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784B76" w14:textId="77777777" w:rsidR="002626B2" w:rsidRPr="00B05947" w:rsidRDefault="002626B2" w:rsidP="009042F5">
      <w:pPr>
        <w:pStyle w:val="Header"/>
        <w:widowControl w:val="0"/>
        <w:rPr>
          <w:rFonts w:ascii="Times New Roman" w:hAnsi="Times New Roman"/>
          <w:color w:val="000000"/>
          <w:sz w:val="22"/>
          <w:szCs w:val="22"/>
          <w:lang w:val="es-ES"/>
        </w:rPr>
      </w:pPr>
      <w:bookmarkStart w:id="0" w:name="_GoBack"/>
      <w:bookmarkEnd w:id="0"/>
    </w:p>
    <w:p w14:paraId="7AF3B1E6" w14:textId="77777777" w:rsidR="002626B2" w:rsidRPr="00B05947" w:rsidRDefault="002626B2" w:rsidP="001A2F33">
      <w:pPr>
        <w:widowControl w:val="0"/>
        <w:rPr>
          <w:color w:val="000000"/>
          <w:sz w:val="22"/>
          <w:szCs w:val="22"/>
        </w:rPr>
      </w:pPr>
    </w:p>
    <w:p w14:paraId="71FCC20F" w14:textId="77777777" w:rsidR="002626B2" w:rsidRPr="00B05947" w:rsidRDefault="002626B2" w:rsidP="001A2F33">
      <w:pPr>
        <w:widowControl w:val="0"/>
        <w:rPr>
          <w:color w:val="000000"/>
          <w:sz w:val="22"/>
          <w:szCs w:val="22"/>
        </w:rPr>
      </w:pPr>
    </w:p>
    <w:p w14:paraId="08AD9CE2" w14:textId="77777777" w:rsidR="002626B2" w:rsidRPr="00B05947" w:rsidRDefault="002626B2" w:rsidP="001A2F33">
      <w:pPr>
        <w:widowControl w:val="0"/>
        <w:rPr>
          <w:color w:val="000000"/>
          <w:sz w:val="22"/>
          <w:szCs w:val="22"/>
        </w:rPr>
      </w:pPr>
    </w:p>
    <w:p w14:paraId="07683F14" w14:textId="77777777" w:rsidR="002626B2" w:rsidRPr="00B05947" w:rsidRDefault="002626B2" w:rsidP="001A2F33">
      <w:pPr>
        <w:widowControl w:val="0"/>
        <w:rPr>
          <w:color w:val="000000"/>
          <w:sz w:val="22"/>
          <w:szCs w:val="22"/>
        </w:rPr>
      </w:pPr>
    </w:p>
    <w:p w14:paraId="4548A5DA" w14:textId="77777777" w:rsidR="002626B2" w:rsidRPr="00B05947" w:rsidRDefault="002626B2" w:rsidP="001A2F33">
      <w:pPr>
        <w:widowControl w:val="0"/>
        <w:rPr>
          <w:color w:val="000000"/>
          <w:sz w:val="22"/>
          <w:szCs w:val="22"/>
        </w:rPr>
      </w:pPr>
    </w:p>
    <w:p w14:paraId="0F0F6FE5" w14:textId="77777777" w:rsidR="002626B2" w:rsidRPr="00B05947" w:rsidRDefault="002626B2" w:rsidP="001A2F33">
      <w:pPr>
        <w:widowControl w:val="0"/>
        <w:rPr>
          <w:color w:val="000000"/>
          <w:sz w:val="22"/>
          <w:szCs w:val="22"/>
        </w:rPr>
      </w:pPr>
    </w:p>
    <w:p w14:paraId="5E44538B" w14:textId="77777777" w:rsidR="002626B2" w:rsidRPr="00B05947" w:rsidRDefault="002626B2" w:rsidP="001A2F33">
      <w:pPr>
        <w:widowControl w:val="0"/>
        <w:rPr>
          <w:color w:val="000000"/>
          <w:sz w:val="22"/>
          <w:szCs w:val="22"/>
        </w:rPr>
      </w:pPr>
    </w:p>
    <w:p w14:paraId="7E45F3E7" w14:textId="77777777" w:rsidR="002626B2" w:rsidRPr="00B05947" w:rsidRDefault="002626B2" w:rsidP="001A2F33">
      <w:pPr>
        <w:widowControl w:val="0"/>
        <w:rPr>
          <w:color w:val="000000"/>
          <w:sz w:val="22"/>
          <w:szCs w:val="22"/>
        </w:rPr>
      </w:pPr>
    </w:p>
    <w:p w14:paraId="5CAAE126" w14:textId="77777777" w:rsidR="002626B2" w:rsidRPr="00B05947" w:rsidRDefault="002626B2" w:rsidP="001A2F33">
      <w:pPr>
        <w:widowControl w:val="0"/>
        <w:rPr>
          <w:color w:val="000000"/>
          <w:sz w:val="22"/>
          <w:szCs w:val="22"/>
        </w:rPr>
      </w:pPr>
    </w:p>
    <w:p w14:paraId="228C4EF1" w14:textId="77777777" w:rsidR="002626B2" w:rsidRPr="00B05947" w:rsidRDefault="002626B2" w:rsidP="001A2F33">
      <w:pPr>
        <w:pStyle w:val="EndnoteText"/>
        <w:widowControl w:val="0"/>
        <w:tabs>
          <w:tab w:val="clear" w:pos="567"/>
        </w:tabs>
        <w:rPr>
          <w:color w:val="000000"/>
          <w:szCs w:val="22"/>
          <w:lang w:val="es-ES"/>
        </w:rPr>
      </w:pPr>
    </w:p>
    <w:p w14:paraId="7BBD28BF" w14:textId="77777777" w:rsidR="002626B2" w:rsidRPr="00B05947" w:rsidRDefault="002626B2" w:rsidP="001A2F33">
      <w:pPr>
        <w:widowControl w:val="0"/>
        <w:rPr>
          <w:color w:val="000000"/>
          <w:sz w:val="22"/>
          <w:szCs w:val="22"/>
        </w:rPr>
      </w:pPr>
    </w:p>
    <w:p w14:paraId="22D1263E" w14:textId="77777777" w:rsidR="002626B2" w:rsidRPr="00B05947" w:rsidRDefault="002626B2" w:rsidP="001A2F33">
      <w:pPr>
        <w:widowControl w:val="0"/>
        <w:rPr>
          <w:color w:val="000000"/>
          <w:sz w:val="22"/>
          <w:szCs w:val="22"/>
        </w:rPr>
      </w:pPr>
    </w:p>
    <w:p w14:paraId="4CB4DFEE" w14:textId="77777777" w:rsidR="002626B2" w:rsidRPr="00B05947" w:rsidRDefault="002626B2" w:rsidP="001A2F33">
      <w:pPr>
        <w:widowControl w:val="0"/>
        <w:rPr>
          <w:color w:val="000000"/>
          <w:sz w:val="22"/>
          <w:szCs w:val="22"/>
        </w:rPr>
      </w:pPr>
    </w:p>
    <w:p w14:paraId="51FF8B45" w14:textId="77777777" w:rsidR="002626B2" w:rsidRPr="00B05947" w:rsidRDefault="002626B2" w:rsidP="001A2F33">
      <w:pPr>
        <w:widowControl w:val="0"/>
        <w:rPr>
          <w:color w:val="000000"/>
          <w:sz w:val="22"/>
          <w:szCs w:val="22"/>
        </w:rPr>
      </w:pPr>
    </w:p>
    <w:p w14:paraId="538EBFCA" w14:textId="77777777" w:rsidR="002626B2" w:rsidRPr="00B05947" w:rsidRDefault="002626B2" w:rsidP="001A2F33">
      <w:pPr>
        <w:widowControl w:val="0"/>
        <w:rPr>
          <w:color w:val="000000"/>
          <w:sz w:val="22"/>
          <w:szCs w:val="22"/>
        </w:rPr>
      </w:pPr>
    </w:p>
    <w:p w14:paraId="26608D8A" w14:textId="77777777" w:rsidR="002626B2" w:rsidRPr="00B05947" w:rsidRDefault="002626B2" w:rsidP="001A2F33">
      <w:pPr>
        <w:widowControl w:val="0"/>
        <w:rPr>
          <w:color w:val="000000"/>
          <w:sz w:val="22"/>
          <w:szCs w:val="22"/>
        </w:rPr>
      </w:pPr>
    </w:p>
    <w:p w14:paraId="6122A2D9" w14:textId="77777777" w:rsidR="002626B2" w:rsidRPr="00B05947" w:rsidRDefault="002626B2" w:rsidP="001A2F33">
      <w:pPr>
        <w:widowControl w:val="0"/>
        <w:rPr>
          <w:color w:val="000000"/>
          <w:sz w:val="22"/>
          <w:szCs w:val="22"/>
        </w:rPr>
      </w:pPr>
    </w:p>
    <w:p w14:paraId="08CE561F" w14:textId="77777777" w:rsidR="002626B2" w:rsidRPr="00B05947" w:rsidRDefault="002626B2" w:rsidP="001A2F33">
      <w:pPr>
        <w:widowControl w:val="0"/>
        <w:rPr>
          <w:color w:val="000000"/>
          <w:sz w:val="22"/>
          <w:szCs w:val="22"/>
        </w:rPr>
      </w:pPr>
    </w:p>
    <w:p w14:paraId="6ECA9D54" w14:textId="77777777" w:rsidR="002626B2" w:rsidRPr="00B05947" w:rsidRDefault="002626B2" w:rsidP="001A2F33">
      <w:pPr>
        <w:widowControl w:val="0"/>
        <w:rPr>
          <w:color w:val="000000"/>
          <w:sz w:val="22"/>
          <w:szCs w:val="22"/>
        </w:rPr>
      </w:pPr>
    </w:p>
    <w:p w14:paraId="6E0296F3" w14:textId="77777777" w:rsidR="002626B2" w:rsidRPr="00B05947" w:rsidRDefault="002626B2" w:rsidP="001A2F33">
      <w:pPr>
        <w:pStyle w:val="EndnoteText"/>
        <w:widowControl w:val="0"/>
        <w:tabs>
          <w:tab w:val="clear" w:pos="567"/>
        </w:tabs>
        <w:rPr>
          <w:snapToGrid/>
          <w:color w:val="000000"/>
          <w:szCs w:val="22"/>
          <w:lang w:val="es-ES"/>
        </w:rPr>
      </w:pPr>
    </w:p>
    <w:p w14:paraId="7465D6CB" w14:textId="77777777" w:rsidR="002626B2" w:rsidRPr="00B05947" w:rsidRDefault="002626B2" w:rsidP="001A2F33">
      <w:pPr>
        <w:pStyle w:val="EndnoteText"/>
        <w:widowControl w:val="0"/>
        <w:tabs>
          <w:tab w:val="clear" w:pos="567"/>
        </w:tabs>
        <w:rPr>
          <w:color w:val="000000"/>
          <w:szCs w:val="22"/>
          <w:lang w:val="es-ES"/>
        </w:rPr>
      </w:pPr>
    </w:p>
    <w:p w14:paraId="01EE26F5" w14:textId="77777777" w:rsidR="002626B2" w:rsidRPr="00B05947" w:rsidRDefault="002626B2" w:rsidP="001A2F33">
      <w:pPr>
        <w:widowControl w:val="0"/>
        <w:rPr>
          <w:color w:val="000000"/>
          <w:sz w:val="22"/>
          <w:szCs w:val="22"/>
        </w:rPr>
      </w:pPr>
    </w:p>
    <w:p w14:paraId="28592633" w14:textId="77777777" w:rsidR="002626B2" w:rsidRPr="002D741C" w:rsidRDefault="002626B2" w:rsidP="001A2F33">
      <w:pPr>
        <w:widowControl w:val="0"/>
        <w:jc w:val="center"/>
        <w:rPr>
          <w:b/>
          <w:color w:val="000000"/>
          <w:sz w:val="22"/>
          <w:szCs w:val="22"/>
        </w:rPr>
      </w:pPr>
      <w:r w:rsidRPr="002D741C">
        <w:rPr>
          <w:b/>
          <w:color w:val="000000"/>
          <w:sz w:val="22"/>
          <w:szCs w:val="22"/>
        </w:rPr>
        <w:t>ANEXO I</w:t>
      </w:r>
    </w:p>
    <w:p w14:paraId="7F1B37E9" w14:textId="77777777" w:rsidR="002626B2" w:rsidRPr="002D741C" w:rsidRDefault="002626B2" w:rsidP="001A2F33">
      <w:pPr>
        <w:widowControl w:val="0"/>
        <w:jc w:val="center"/>
        <w:rPr>
          <w:color w:val="000000"/>
          <w:sz w:val="22"/>
          <w:szCs w:val="22"/>
        </w:rPr>
      </w:pPr>
    </w:p>
    <w:p w14:paraId="523CDE21" w14:textId="77777777" w:rsidR="002626B2" w:rsidRPr="002D741C" w:rsidRDefault="00376B93" w:rsidP="001A2F33">
      <w:pPr>
        <w:widowControl w:val="0"/>
        <w:jc w:val="center"/>
        <w:rPr>
          <w:b/>
          <w:color w:val="000000"/>
          <w:sz w:val="22"/>
          <w:szCs w:val="22"/>
        </w:rPr>
      </w:pPr>
      <w:smartTag w:uri="urn:schemas-microsoft-com:office:smarttags" w:element="PersonName">
        <w:r w:rsidRPr="002D741C">
          <w:rPr>
            <w:b/>
            <w:color w:val="000000"/>
            <w:sz w:val="22"/>
            <w:szCs w:val="22"/>
          </w:rPr>
          <w:t>FI</w:t>
        </w:r>
      </w:smartTag>
      <w:r w:rsidRPr="002D741C">
        <w:rPr>
          <w:b/>
          <w:color w:val="000000"/>
          <w:sz w:val="22"/>
          <w:szCs w:val="22"/>
        </w:rPr>
        <w:t xml:space="preserve">CHA TÉCNICA O </w:t>
      </w:r>
      <w:r w:rsidR="002626B2" w:rsidRPr="002D741C">
        <w:rPr>
          <w:b/>
          <w:color w:val="000000"/>
          <w:sz w:val="22"/>
          <w:szCs w:val="22"/>
        </w:rPr>
        <w:t xml:space="preserve">RESUMEN </w:t>
      </w:r>
      <w:smartTag w:uri="urn:schemas-microsoft-com:office:smarttags" w:element="PersonName">
        <w:r w:rsidR="002626B2" w:rsidRPr="002D741C">
          <w:rPr>
            <w:b/>
            <w:color w:val="000000"/>
            <w:sz w:val="22"/>
            <w:szCs w:val="22"/>
          </w:rPr>
          <w:t>DE</w:t>
        </w:r>
      </w:smartTag>
      <w:r w:rsidR="002626B2" w:rsidRPr="002D741C">
        <w:rPr>
          <w:b/>
          <w:color w:val="000000"/>
          <w:sz w:val="22"/>
          <w:szCs w:val="22"/>
        </w:rPr>
        <w:t xml:space="preserve"> LAS CARACTERÍSTICAS </w:t>
      </w:r>
      <w:smartTag w:uri="urn:schemas-microsoft-com:office:smarttags" w:element="stockticker">
        <w:smartTag w:uri="urn:schemas-microsoft-com:office:smarttags" w:element="PersonName">
          <w:r w:rsidR="002626B2" w:rsidRPr="002D741C">
            <w:rPr>
              <w:b/>
              <w:color w:val="000000"/>
              <w:sz w:val="22"/>
              <w:szCs w:val="22"/>
            </w:rPr>
            <w:t>D</w:t>
          </w:r>
          <w:smartTag w:uri="urn:schemas-microsoft-com:office:smarttags" w:element="PersonName">
            <w:r w:rsidR="002626B2" w:rsidRPr="002D741C">
              <w:rPr>
                <w:b/>
                <w:color w:val="000000"/>
                <w:sz w:val="22"/>
                <w:szCs w:val="22"/>
              </w:rPr>
              <w:t>E</w:t>
            </w:r>
          </w:smartTag>
        </w:smartTag>
        <w:r w:rsidR="002626B2" w:rsidRPr="002D741C">
          <w:rPr>
            <w:b/>
            <w:color w:val="000000"/>
            <w:sz w:val="22"/>
            <w:szCs w:val="22"/>
          </w:rPr>
          <w:t>L</w:t>
        </w:r>
      </w:smartTag>
      <w:r w:rsidR="002626B2" w:rsidRPr="002D741C">
        <w:rPr>
          <w:b/>
          <w:color w:val="000000"/>
          <w:sz w:val="22"/>
          <w:szCs w:val="22"/>
        </w:rPr>
        <w:t xml:space="preserve"> P</w:t>
      </w:r>
      <w:smartTag w:uri="urn:schemas-microsoft-com:office:smarttags" w:element="PersonName">
        <w:r w:rsidR="002626B2" w:rsidRPr="002D741C">
          <w:rPr>
            <w:b/>
            <w:color w:val="000000"/>
            <w:sz w:val="22"/>
            <w:szCs w:val="22"/>
          </w:rPr>
          <w:t>RO</w:t>
        </w:r>
      </w:smartTag>
      <w:r w:rsidR="002626B2" w:rsidRPr="002D741C">
        <w:rPr>
          <w:b/>
          <w:color w:val="000000"/>
          <w:sz w:val="22"/>
          <w:szCs w:val="22"/>
        </w:rPr>
        <w:t>DUCTO</w:t>
      </w:r>
    </w:p>
    <w:p w14:paraId="042274D4" w14:textId="77777777" w:rsidR="002626B2" w:rsidRPr="002D741C" w:rsidRDefault="002626B2" w:rsidP="001A2F33">
      <w:pPr>
        <w:widowControl w:val="0"/>
        <w:tabs>
          <w:tab w:val="left" w:pos="-1440"/>
          <w:tab w:val="left" w:pos="-720"/>
        </w:tabs>
        <w:jc w:val="center"/>
        <w:rPr>
          <w:color w:val="000000"/>
          <w:sz w:val="22"/>
          <w:szCs w:val="22"/>
        </w:rPr>
      </w:pPr>
    </w:p>
    <w:p w14:paraId="38E89E84" w14:textId="77777777" w:rsidR="006B4935" w:rsidRPr="002D741C" w:rsidRDefault="002626B2" w:rsidP="006B4935">
      <w:pPr>
        <w:rPr>
          <w:sz w:val="22"/>
          <w:szCs w:val="22"/>
        </w:rPr>
      </w:pPr>
      <w:r w:rsidRPr="002D741C">
        <w:rPr>
          <w:b/>
          <w:color w:val="000000"/>
          <w:sz w:val="22"/>
          <w:szCs w:val="22"/>
        </w:rPr>
        <w:br w:type="page"/>
      </w:r>
      <w:r w:rsidR="00B34E6C" w:rsidRPr="002D741C">
        <w:rPr>
          <w:noProof/>
          <w:sz w:val="22"/>
          <w:szCs w:val="22"/>
          <w:lang w:val="en-GB" w:eastAsia="en-GB"/>
        </w:rPr>
        <w:lastRenderedPageBreak/>
        <w:drawing>
          <wp:inline distT="0" distB="0" distL="0" distR="0" wp14:anchorId="368C4222" wp14:editId="3DD1DD6E">
            <wp:extent cx="198755" cy="174625"/>
            <wp:effectExtent l="0" t="0" r="0" b="0"/>
            <wp:docPr id="1" name="Picture 1" descr="C:\Users\horemansk\AppData\Local\Microsoft\Windows\Temporary Internet Files\Content.Word\BT_1000x858p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oremansk\AppData\Local\Microsoft\Windows\Temporary Internet Files\Content.Word\BT_1000x858px.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8755" cy="174625"/>
                    </a:xfrm>
                    <a:prstGeom prst="rect">
                      <a:avLst/>
                    </a:prstGeom>
                    <a:noFill/>
                    <a:ln>
                      <a:noFill/>
                    </a:ln>
                  </pic:spPr>
                </pic:pic>
              </a:graphicData>
            </a:graphic>
          </wp:inline>
        </w:drawing>
      </w:r>
      <w:r w:rsidR="006B4935" w:rsidRPr="002D741C">
        <w:rPr>
          <w:sz w:val="22"/>
          <w:szCs w:val="22"/>
        </w:rPr>
        <w:t>Este medicamento está sujeto a seguimiento adicional</w:t>
      </w:r>
      <w:r w:rsidR="006B4935" w:rsidRPr="002D741C">
        <w:rPr>
          <w:bCs/>
          <w:color w:val="000000"/>
          <w:sz w:val="22"/>
          <w:szCs w:val="22"/>
          <w:lang w:val="es-ES" w:eastAsia="fr-LU"/>
        </w:rPr>
        <w:t>,</w:t>
      </w:r>
      <w:r w:rsidR="006B4935" w:rsidRPr="002D741C">
        <w:rPr>
          <w:sz w:val="22"/>
          <w:szCs w:val="22"/>
        </w:rPr>
        <w:t xml:space="preserve"> lo que agilizará la detección de nueva información sobre su seguridad. Se invita a los profesionales sanitarios a notificar las sospechas de reacciones adversas. Ver la sección 4.8, en la que se incluye información sobre cómo notificarlas.</w:t>
      </w:r>
    </w:p>
    <w:p w14:paraId="4F15FBF4" w14:textId="77777777" w:rsidR="006B4935" w:rsidRPr="002D741C" w:rsidRDefault="006B4935" w:rsidP="006B4935">
      <w:pPr>
        <w:rPr>
          <w:sz w:val="22"/>
          <w:szCs w:val="22"/>
        </w:rPr>
      </w:pPr>
    </w:p>
    <w:p w14:paraId="196F9CDB" w14:textId="77777777" w:rsidR="006B4935" w:rsidRPr="002D741C" w:rsidRDefault="006B4935" w:rsidP="006B4935">
      <w:pPr>
        <w:rPr>
          <w:sz w:val="22"/>
          <w:szCs w:val="22"/>
        </w:rPr>
      </w:pPr>
    </w:p>
    <w:p w14:paraId="69E12F89" w14:textId="77777777" w:rsidR="002626B2" w:rsidRPr="002D741C" w:rsidRDefault="002626B2" w:rsidP="001A2F33">
      <w:pPr>
        <w:widowControl w:val="0"/>
        <w:ind w:left="567" w:hanging="567"/>
        <w:rPr>
          <w:color w:val="000000"/>
          <w:sz w:val="22"/>
          <w:szCs w:val="22"/>
        </w:rPr>
      </w:pPr>
      <w:r w:rsidRPr="002D741C">
        <w:rPr>
          <w:b/>
          <w:color w:val="000000"/>
          <w:sz w:val="22"/>
          <w:szCs w:val="22"/>
        </w:rPr>
        <w:t>1.</w:t>
      </w:r>
      <w:r w:rsidRPr="002D741C">
        <w:rPr>
          <w:b/>
          <w:color w:val="000000"/>
          <w:sz w:val="22"/>
          <w:szCs w:val="22"/>
        </w:rPr>
        <w:tab/>
      </w:r>
      <w:smartTag w:uri="urn:schemas-microsoft-com:office:smarttags" w:element="PersonName">
        <w:r w:rsidR="00376B93" w:rsidRPr="002D741C">
          <w:rPr>
            <w:b/>
            <w:color w:val="000000"/>
            <w:sz w:val="22"/>
            <w:szCs w:val="22"/>
          </w:rPr>
          <w:t>NO</w:t>
        </w:r>
      </w:smartTag>
      <w:r w:rsidR="00376B93" w:rsidRPr="002D741C">
        <w:rPr>
          <w:b/>
          <w:color w:val="000000"/>
          <w:sz w:val="22"/>
          <w:szCs w:val="22"/>
        </w:rPr>
        <w:t>MBRE</w:t>
      </w:r>
      <w:r w:rsidRPr="002D741C">
        <w:rPr>
          <w:b/>
          <w:color w:val="000000"/>
          <w:sz w:val="22"/>
          <w:szCs w:val="22"/>
        </w:rPr>
        <w:t xml:space="preserve"> </w:t>
      </w:r>
      <w:smartTag w:uri="urn:schemas-microsoft-com:office:smarttags" w:element="stockticker">
        <w:smartTag w:uri="urn:schemas-microsoft-com:office:smarttags" w:element="PersonName">
          <w:r w:rsidRPr="002D741C">
            <w:rPr>
              <w:b/>
              <w:color w:val="000000"/>
              <w:sz w:val="22"/>
              <w:szCs w:val="22"/>
            </w:rPr>
            <w:t>D</w:t>
          </w:r>
          <w:smartTag w:uri="urn:schemas-microsoft-com:office:smarttags" w:element="PersonName">
            <w:r w:rsidRPr="002D741C">
              <w:rPr>
                <w:b/>
                <w:color w:val="000000"/>
                <w:sz w:val="22"/>
                <w:szCs w:val="22"/>
              </w:rPr>
              <w:t>E</w:t>
            </w:r>
          </w:smartTag>
        </w:smartTag>
        <w:r w:rsidRPr="002D741C">
          <w:rPr>
            <w:b/>
            <w:color w:val="000000"/>
            <w:sz w:val="22"/>
            <w:szCs w:val="22"/>
          </w:rPr>
          <w:t>L</w:t>
        </w:r>
      </w:smartTag>
      <w:r w:rsidRPr="002D741C">
        <w:rPr>
          <w:b/>
          <w:color w:val="000000"/>
          <w:sz w:val="22"/>
          <w:szCs w:val="22"/>
        </w:rPr>
        <w:t xml:space="preserve"> MEDICAMENTO</w:t>
      </w:r>
    </w:p>
    <w:p w14:paraId="7EE97A86" w14:textId="77777777" w:rsidR="002626B2" w:rsidRPr="002D741C" w:rsidRDefault="002626B2" w:rsidP="001A2F33">
      <w:pPr>
        <w:widowControl w:val="0"/>
        <w:rPr>
          <w:i/>
          <w:color w:val="000000"/>
          <w:sz w:val="22"/>
          <w:szCs w:val="22"/>
        </w:rPr>
      </w:pPr>
    </w:p>
    <w:p w14:paraId="6A56F4CB" w14:textId="77777777" w:rsidR="005C69B3" w:rsidRPr="002D741C" w:rsidRDefault="005C69B3" w:rsidP="005C69B3">
      <w:pPr>
        <w:widowControl w:val="0"/>
        <w:rPr>
          <w:color w:val="000000"/>
          <w:sz w:val="22"/>
          <w:szCs w:val="22"/>
        </w:rPr>
      </w:pPr>
      <w:r w:rsidRPr="002D741C">
        <w:rPr>
          <w:color w:val="000000"/>
          <w:sz w:val="22"/>
          <w:szCs w:val="22"/>
        </w:rPr>
        <w:t>Glivec 100 mg cápsulas duras</w:t>
      </w:r>
    </w:p>
    <w:p w14:paraId="24FA028A" w14:textId="77777777" w:rsidR="002626B2" w:rsidRPr="002D741C" w:rsidRDefault="002626B2" w:rsidP="001A2F33">
      <w:pPr>
        <w:widowControl w:val="0"/>
        <w:rPr>
          <w:color w:val="000000"/>
          <w:sz w:val="22"/>
          <w:szCs w:val="22"/>
        </w:rPr>
      </w:pPr>
    </w:p>
    <w:p w14:paraId="2640261A" w14:textId="77777777" w:rsidR="002626B2" w:rsidRPr="002D741C" w:rsidRDefault="002626B2" w:rsidP="001A2F33">
      <w:pPr>
        <w:pStyle w:val="EndnoteText"/>
        <w:widowControl w:val="0"/>
        <w:tabs>
          <w:tab w:val="clear" w:pos="567"/>
        </w:tabs>
        <w:rPr>
          <w:color w:val="000000"/>
          <w:szCs w:val="22"/>
          <w:lang w:val="es-ES"/>
        </w:rPr>
      </w:pPr>
    </w:p>
    <w:p w14:paraId="06026F3E" w14:textId="77777777" w:rsidR="002626B2" w:rsidRPr="002D741C" w:rsidRDefault="002626B2" w:rsidP="00C16E58">
      <w:pPr>
        <w:keepNext/>
        <w:widowControl w:val="0"/>
        <w:ind w:left="567" w:hanging="567"/>
        <w:rPr>
          <w:color w:val="000000"/>
          <w:sz w:val="22"/>
          <w:szCs w:val="22"/>
        </w:rPr>
      </w:pPr>
      <w:r w:rsidRPr="002D741C">
        <w:rPr>
          <w:b/>
          <w:color w:val="000000"/>
          <w:sz w:val="22"/>
          <w:szCs w:val="22"/>
        </w:rPr>
        <w:t>2.</w:t>
      </w:r>
      <w:r w:rsidRPr="002D741C">
        <w:rPr>
          <w:b/>
          <w:color w:val="000000"/>
          <w:sz w:val="22"/>
          <w:szCs w:val="22"/>
        </w:rPr>
        <w:tab/>
        <w:t>COMPO</w:t>
      </w:r>
      <w:smartTag w:uri="urn:schemas-microsoft-com:office:smarttags" w:element="PersonName">
        <w:r w:rsidRPr="002D741C">
          <w:rPr>
            <w:b/>
            <w:color w:val="000000"/>
            <w:sz w:val="22"/>
            <w:szCs w:val="22"/>
          </w:rPr>
          <w:t>SI</w:t>
        </w:r>
      </w:smartTag>
      <w:r w:rsidRPr="002D741C">
        <w:rPr>
          <w:b/>
          <w:color w:val="000000"/>
          <w:sz w:val="22"/>
          <w:szCs w:val="22"/>
        </w:rPr>
        <w:t>CIÓN CUAL</w:t>
      </w:r>
      <w:smartTag w:uri="urn:schemas-microsoft-com:office:smarttags" w:element="PersonName">
        <w:r w:rsidRPr="002D741C">
          <w:rPr>
            <w:b/>
            <w:color w:val="000000"/>
            <w:sz w:val="22"/>
            <w:szCs w:val="22"/>
          </w:rPr>
          <w:t>IT</w:t>
        </w:r>
      </w:smartTag>
      <w:r w:rsidRPr="002D741C">
        <w:rPr>
          <w:b/>
          <w:color w:val="000000"/>
          <w:sz w:val="22"/>
          <w:szCs w:val="22"/>
        </w:rPr>
        <w:t>ATIVA Y CUANT</w:t>
      </w:r>
      <w:smartTag w:uri="urn:schemas-microsoft-com:office:smarttags" w:element="PersonName">
        <w:r w:rsidRPr="002D741C">
          <w:rPr>
            <w:b/>
            <w:color w:val="000000"/>
            <w:sz w:val="22"/>
            <w:szCs w:val="22"/>
          </w:rPr>
          <w:t>IT</w:t>
        </w:r>
      </w:smartTag>
      <w:r w:rsidRPr="002D741C">
        <w:rPr>
          <w:b/>
          <w:color w:val="000000"/>
          <w:sz w:val="22"/>
          <w:szCs w:val="22"/>
        </w:rPr>
        <w:t>ATIVA</w:t>
      </w:r>
    </w:p>
    <w:p w14:paraId="26724F0E" w14:textId="77777777" w:rsidR="002626B2" w:rsidRPr="002D741C" w:rsidRDefault="002626B2" w:rsidP="00C16E58">
      <w:pPr>
        <w:keepNext/>
        <w:widowControl w:val="0"/>
        <w:rPr>
          <w:color w:val="000000"/>
          <w:sz w:val="22"/>
          <w:szCs w:val="22"/>
        </w:rPr>
      </w:pPr>
    </w:p>
    <w:p w14:paraId="1C4A2671" w14:textId="77777777" w:rsidR="005C69B3" w:rsidRPr="002D741C" w:rsidRDefault="005C69B3" w:rsidP="005C69B3">
      <w:pPr>
        <w:widowControl w:val="0"/>
        <w:rPr>
          <w:color w:val="000000"/>
          <w:sz w:val="22"/>
          <w:szCs w:val="22"/>
        </w:rPr>
      </w:pPr>
      <w:r w:rsidRPr="002D741C">
        <w:rPr>
          <w:color w:val="000000"/>
          <w:sz w:val="22"/>
          <w:szCs w:val="22"/>
        </w:rPr>
        <w:t>Cada cápsula contiene 100 mg de imatinib (como mesilato).</w:t>
      </w:r>
    </w:p>
    <w:p w14:paraId="63B16D3A" w14:textId="77777777" w:rsidR="005C69B3" w:rsidRPr="002D741C" w:rsidRDefault="005C69B3" w:rsidP="000427DE">
      <w:pPr>
        <w:widowControl w:val="0"/>
        <w:rPr>
          <w:color w:val="000000"/>
          <w:sz w:val="22"/>
          <w:szCs w:val="22"/>
        </w:rPr>
      </w:pPr>
    </w:p>
    <w:p w14:paraId="28B84268" w14:textId="1F15BDB9" w:rsidR="002626B2" w:rsidRPr="002D741C" w:rsidRDefault="00E84971" w:rsidP="000427DE">
      <w:pPr>
        <w:widowControl w:val="0"/>
        <w:rPr>
          <w:color w:val="000000"/>
          <w:sz w:val="22"/>
          <w:szCs w:val="22"/>
        </w:rPr>
      </w:pPr>
      <w:r w:rsidRPr="002D741C">
        <w:rPr>
          <w:color w:val="000000"/>
          <w:sz w:val="22"/>
          <w:szCs w:val="22"/>
        </w:rPr>
        <w:t xml:space="preserve">Para </w:t>
      </w:r>
      <w:r w:rsidR="0015777F" w:rsidRPr="002D741C">
        <w:rPr>
          <w:color w:val="000000"/>
          <w:sz w:val="22"/>
          <w:szCs w:val="22"/>
        </w:rPr>
        <w:t xml:space="preserve">consultar </w:t>
      </w:r>
      <w:r w:rsidRPr="002D741C">
        <w:rPr>
          <w:color w:val="000000"/>
          <w:sz w:val="22"/>
          <w:szCs w:val="22"/>
        </w:rPr>
        <w:t>la l</w:t>
      </w:r>
      <w:r w:rsidR="002626B2" w:rsidRPr="002D741C">
        <w:rPr>
          <w:color w:val="000000"/>
          <w:sz w:val="22"/>
          <w:szCs w:val="22"/>
        </w:rPr>
        <w:t xml:space="preserve">ista </w:t>
      </w:r>
      <w:r w:rsidRPr="002D741C">
        <w:rPr>
          <w:color w:val="000000"/>
          <w:sz w:val="22"/>
          <w:szCs w:val="22"/>
        </w:rPr>
        <w:t>completa</w:t>
      </w:r>
      <w:r w:rsidR="008677C0" w:rsidRPr="002D741C">
        <w:rPr>
          <w:color w:val="000000"/>
          <w:sz w:val="22"/>
          <w:szCs w:val="22"/>
        </w:rPr>
        <w:t xml:space="preserve"> </w:t>
      </w:r>
      <w:r w:rsidR="002626B2" w:rsidRPr="002D741C">
        <w:rPr>
          <w:color w:val="000000"/>
          <w:sz w:val="22"/>
          <w:szCs w:val="22"/>
        </w:rPr>
        <w:t>de excipientes</w:t>
      </w:r>
      <w:r w:rsidR="003704C8" w:rsidRPr="002D741C">
        <w:rPr>
          <w:color w:val="000000"/>
          <w:sz w:val="22"/>
          <w:szCs w:val="22"/>
        </w:rPr>
        <w:t>,</w:t>
      </w:r>
      <w:r w:rsidR="002626B2" w:rsidRPr="002D741C">
        <w:rPr>
          <w:color w:val="000000"/>
          <w:sz w:val="22"/>
          <w:szCs w:val="22"/>
        </w:rPr>
        <w:t xml:space="preserve"> </w:t>
      </w:r>
      <w:r w:rsidRPr="002D741C">
        <w:rPr>
          <w:color w:val="000000"/>
          <w:sz w:val="22"/>
          <w:szCs w:val="22"/>
        </w:rPr>
        <w:t>ver sección</w:t>
      </w:r>
      <w:r w:rsidR="001B7F17">
        <w:rPr>
          <w:color w:val="000000"/>
          <w:sz w:val="22"/>
          <w:szCs w:val="22"/>
        </w:rPr>
        <w:t> </w:t>
      </w:r>
      <w:r w:rsidR="002626B2" w:rsidRPr="002D741C">
        <w:rPr>
          <w:color w:val="000000"/>
          <w:sz w:val="22"/>
          <w:szCs w:val="22"/>
        </w:rPr>
        <w:t>6.1</w:t>
      </w:r>
      <w:r w:rsidR="003E4094" w:rsidRPr="002D741C">
        <w:rPr>
          <w:color w:val="000000"/>
          <w:sz w:val="22"/>
          <w:szCs w:val="22"/>
        </w:rPr>
        <w:t>.</w:t>
      </w:r>
    </w:p>
    <w:p w14:paraId="3FD85EAE" w14:textId="77777777" w:rsidR="002626B2" w:rsidRPr="002D741C" w:rsidRDefault="002626B2" w:rsidP="001A2F33">
      <w:pPr>
        <w:widowControl w:val="0"/>
        <w:rPr>
          <w:color w:val="000000"/>
          <w:sz w:val="22"/>
          <w:szCs w:val="22"/>
        </w:rPr>
      </w:pPr>
    </w:p>
    <w:p w14:paraId="6AB51D50" w14:textId="77777777" w:rsidR="002626B2" w:rsidRPr="002D741C" w:rsidRDefault="002626B2" w:rsidP="001A2F33">
      <w:pPr>
        <w:widowControl w:val="0"/>
        <w:rPr>
          <w:color w:val="000000"/>
          <w:sz w:val="22"/>
          <w:szCs w:val="22"/>
        </w:rPr>
      </w:pPr>
    </w:p>
    <w:p w14:paraId="413279AD" w14:textId="77777777" w:rsidR="002626B2" w:rsidRPr="002D741C" w:rsidRDefault="002626B2" w:rsidP="00C16E58">
      <w:pPr>
        <w:keepNext/>
        <w:widowControl w:val="0"/>
        <w:ind w:left="567" w:hanging="567"/>
        <w:rPr>
          <w:caps/>
          <w:color w:val="000000"/>
          <w:sz w:val="22"/>
          <w:szCs w:val="22"/>
        </w:rPr>
      </w:pPr>
      <w:r w:rsidRPr="002D741C">
        <w:rPr>
          <w:b/>
          <w:color w:val="000000"/>
          <w:sz w:val="22"/>
          <w:szCs w:val="22"/>
        </w:rPr>
        <w:t>3.</w:t>
      </w:r>
      <w:r w:rsidRPr="002D741C">
        <w:rPr>
          <w:b/>
          <w:color w:val="000000"/>
          <w:sz w:val="22"/>
          <w:szCs w:val="22"/>
        </w:rPr>
        <w:tab/>
        <w:t>FORMA FARMACÉUTICA</w:t>
      </w:r>
    </w:p>
    <w:p w14:paraId="4872C61A" w14:textId="77777777" w:rsidR="002626B2" w:rsidRPr="002D741C" w:rsidRDefault="002626B2" w:rsidP="00C16E58">
      <w:pPr>
        <w:pStyle w:val="EndnoteText"/>
        <w:keepNext/>
        <w:widowControl w:val="0"/>
        <w:tabs>
          <w:tab w:val="clear" w:pos="567"/>
        </w:tabs>
        <w:rPr>
          <w:color w:val="000000"/>
          <w:szCs w:val="22"/>
          <w:lang w:val="es-ES"/>
        </w:rPr>
      </w:pPr>
    </w:p>
    <w:p w14:paraId="7626AEA1" w14:textId="77777777" w:rsidR="002626B2" w:rsidRPr="002D741C" w:rsidRDefault="002626B2" w:rsidP="001A2F33">
      <w:pPr>
        <w:widowControl w:val="0"/>
        <w:rPr>
          <w:color w:val="000000"/>
          <w:sz w:val="22"/>
          <w:szCs w:val="22"/>
        </w:rPr>
      </w:pPr>
      <w:r w:rsidRPr="002D741C">
        <w:rPr>
          <w:color w:val="000000"/>
          <w:sz w:val="22"/>
          <w:szCs w:val="22"/>
        </w:rPr>
        <w:t>Cápsula dura</w:t>
      </w:r>
    </w:p>
    <w:p w14:paraId="450658DD" w14:textId="77777777" w:rsidR="002626B2" w:rsidRPr="002D741C" w:rsidRDefault="002626B2" w:rsidP="001A2F33">
      <w:pPr>
        <w:widowControl w:val="0"/>
        <w:rPr>
          <w:color w:val="000000"/>
          <w:sz w:val="22"/>
          <w:szCs w:val="22"/>
        </w:rPr>
      </w:pPr>
    </w:p>
    <w:p w14:paraId="7CC7C727" w14:textId="77777777" w:rsidR="005C69B3" w:rsidRPr="002D741C" w:rsidRDefault="005C69B3" w:rsidP="005C69B3">
      <w:pPr>
        <w:widowControl w:val="0"/>
        <w:rPr>
          <w:color w:val="000000"/>
          <w:sz w:val="22"/>
          <w:szCs w:val="22"/>
        </w:rPr>
      </w:pPr>
      <w:r w:rsidRPr="002D741C">
        <w:rPr>
          <w:color w:val="000000"/>
          <w:sz w:val="22"/>
          <w:szCs w:val="22"/>
        </w:rPr>
        <w:t xml:space="preserve">Cápsula opaca de color naranja a naranja-grisáceo </w:t>
      </w:r>
      <w:r w:rsidR="00D52D90" w:rsidRPr="002D741C">
        <w:rPr>
          <w:color w:val="000000"/>
          <w:sz w:val="22"/>
          <w:szCs w:val="22"/>
        </w:rPr>
        <w:t>que contiene</w:t>
      </w:r>
      <w:r w:rsidRPr="002D741C">
        <w:rPr>
          <w:color w:val="000000"/>
          <w:sz w:val="22"/>
          <w:szCs w:val="22"/>
        </w:rPr>
        <w:t xml:space="preserve"> un polvo blanco-amarillo con la marca «NVR SI».</w:t>
      </w:r>
    </w:p>
    <w:p w14:paraId="17301403" w14:textId="77777777" w:rsidR="002626B2" w:rsidRPr="002D741C" w:rsidRDefault="002626B2" w:rsidP="001A2F33">
      <w:pPr>
        <w:widowControl w:val="0"/>
        <w:rPr>
          <w:color w:val="000000"/>
          <w:sz w:val="22"/>
          <w:szCs w:val="22"/>
        </w:rPr>
      </w:pPr>
    </w:p>
    <w:p w14:paraId="2A7C7FD9" w14:textId="77777777" w:rsidR="002626B2" w:rsidRPr="002D741C" w:rsidRDefault="002626B2" w:rsidP="001A2F33">
      <w:pPr>
        <w:widowControl w:val="0"/>
        <w:rPr>
          <w:color w:val="000000"/>
          <w:sz w:val="22"/>
          <w:szCs w:val="22"/>
        </w:rPr>
      </w:pPr>
    </w:p>
    <w:p w14:paraId="0541699F" w14:textId="77777777" w:rsidR="002626B2" w:rsidRPr="002D741C" w:rsidRDefault="002626B2" w:rsidP="00C16E58">
      <w:pPr>
        <w:keepNext/>
        <w:widowControl w:val="0"/>
        <w:ind w:left="567" w:hanging="567"/>
        <w:rPr>
          <w:caps/>
          <w:color w:val="000000"/>
          <w:sz w:val="22"/>
          <w:szCs w:val="22"/>
        </w:rPr>
      </w:pPr>
      <w:r w:rsidRPr="002D741C">
        <w:rPr>
          <w:b/>
          <w:caps/>
          <w:color w:val="000000"/>
          <w:sz w:val="22"/>
          <w:szCs w:val="22"/>
        </w:rPr>
        <w:t>4.</w:t>
      </w:r>
      <w:r w:rsidRPr="002D741C">
        <w:rPr>
          <w:b/>
          <w:caps/>
          <w:color w:val="000000"/>
          <w:sz w:val="22"/>
          <w:szCs w:val="22"/>
        </w:rPr>
        <w:tab/>
        <w:t>DATOS CLÍNICOS</w:t>
      </w:r>
    </w:p>
    <w:p w14:paraId="397DBEAC" w14:textId="77777777" w:rsidR="002626B2" w:rsidRPr="002D741C" w:rsidRDefault="002626B2" w:rsidP="00C16E58">
      <w:pPr>
        <w:pStyle w:val="EndnoteText"/>
        <w:keepNext/>
        <w:widowControl w:val="0"/>
        <w:tabs>
          <w:tab w:val="clear" w:pos="567"/>
        </w:tabs>
        <w:rPr>
          <w:color w:val="000000"/>
          <w:szCs w:val="22"/>
          <w:lang w:val="es-ES"/>
        </w:rPr>
      </w:pPr>
    </w:p>
    <w:p w14:paraId="28089205" w14:textId="77777777" w:rsidR="002626B2" w:rsidRPr="002D741C" w:rsidRDefault="002626B2" w:rsidP="00C16E58">
      <w:pPr>
        <w:keepNext/>
        <w:widowControl w:val="0"/>
        <w:ind w:left="567" w:hanging="567"/>
        <w:rPr>
          <w:color w:val="000000"/>
          <w:sz w:val="22"/>
          <w:szCs w:val="22"/>
        </w:rPr>
      </w:pPr>
      <w:r w:rsidRPr="002D741C">
        <w:rPr>
          <w:b/>
          <w:color w:val="000000"/>
          <w:sz w:val="22"/>
          <w:szCs w:val="22"/>
        </w:rPr>
        <w:t>4.1</w:t>
      </w:r>
      <w:r w:rsidRPr="002D741C">
        <w:rPr>
          <w:b/>
          <w:color w:val="000000"/>
          <w:sz w:val="22"/>
          <w:szCs w:val="22"/>
        </w:rPr>
        <w:tab/>
        <w:t>Indicaciones terapéuticas</w:t>
      </w:r>
    </w:p>
    <w:p w14:paraId="6BD692DF" w14:textId="77777777" w:rsidR="002626B2" w:rsidRPr="002D741C" w:rsidRDefault="002626B2" w:rsidP="00C16E58">
      <w:pPr>
        <w:pStyle w:val="EndnoteText"/>
        <w:keepNext/>
        <w:widowControl w:val="0"/>
        <w:tabs>
          <w:tab w:val="clear" w:pos="567"/>
        </w:tabs>
        <w:rPr>
          <w:color w:val="000000"/>
          <w:szCs w:val="22"/>
          <w:lang w:val="es-ES"/>
        </w:rPr>
      </w:pPr>
    </w:p>
    <w:p w14:paraId="21CD52AD" w14:textId="77777777" w:rsidR="000D1862" w:rsidRPr="002D741C" w:rsidRDefault="000D1862" w:rsidP="00C16E58">
      <w:pPr>
        <w:pStyle w:val="EndnoteText"/>
        <w:keepNext/>
        <w:widowControl w:val="0"/>
        <w:tabs>
          <w:tab w:val="clear" w:pos="567"/>
        </w:tabs>
        <w:rPr>
          <w:color w:val="000000"/>
          <w:szCs w:val="22"/>
          <w:lang w:val="es-ES"/>
        </w:rPr>
      </w:pPr>
      <w:r w:rsidRPr="002D741C">
        <w:rPr>
          <w:color w:val="000000"/>
          <w:szCs w:val="22"/>
          <w:lang w:val="es-ES"/>
        </w:rPr>
        <w:t>Glivec está indicado en el tratamiento de</w:t>
      </w:r>
    </w:p>
    <w:p w14:paraId="5CE96C6C" w14:textId="77777777" w:rsidR="000D1862" w:rsidRPr="002D741C" w:rsidRDefault="000D1862" w:rsidP="004374F7">
      <w:pPr>
        <w:pStyle w:val="EndnoteText"/>
        <w:widowControl w:val="0"/>
        <w:numPr>
          <w:ilvl w:val="0"/>
          <w:numId w:val="11"/>
        </w:numPr>
        <w:tabs>
          <w:tab w:val="clear" w:pos="567"/>
          <w:tab w:val="clear" w:pos="720"/>
        </w:tabs>
        <w:ind w:left="567" w:hanging="567"/>
        <w:rPr>
          <w:color w:val="000000"/>
          <w:szCs w:val="22"/>
          <w:lang w:val="es-ES"/>
        </w:rPr>
      </w:pPr>
      <w:r w:rsidRPr="002D741C">
        <w:rPr>
          <w:color w:val="000000"/>
          <w:szCs w:val="22"/>
          <w:lang w:val="es-ES"/>
        </w:rPr>
        <w:t>pacientes adultos y pediátricos con leucemia mieloide crónica (LMC), cromosoma Filadelfia positivo (Ph +) (bcr-abl) de diagnóstico reciente para los que no se considera como tratamiento de primera línea el trasplante de médula ósea.</w:t>
      </w:r>
    </w:p>
    <w:p w14:paraId="01F14035" w14:textId="77777777" w:rsidR="000D1862" w:rsidRPr="002D741C" w:rsidRDefault="000D1862" w:rsidP="004374F7">
      <w:pPr>
        <w:pStyle w:val="EndnoteText"/>
        <w:widowControl w:val="0"/>
        <w:numPr>
          <w:ilvl w:val="0"/>
          <w:numId w:val="11"/>
        </w:numPr>
        <w:tabs>
          <w:tab w:val="clear" w:pos="567"/>
          <w:tab w:val="clear" w:pos="720"/>
        </w:tabs>
        <w:ind w:left="567" w:hanging="567"/>
        <w:rPr>
          <w:color w:val="000000"/>
          <w:szCs w:val="22"/>
          <w:lang w:val="es-ES"/>
        </w:rPr>
      </w:pPr>
      <w:r w:rsidRPr="002D741C">
        <w:rPr>
          <w:color w:val="000000"/>
          <w:szCs w:val="22"/>
          <w:lang w:val="es-ES"/>
        </w:rPr>
        <w:t>pacientes adultos y pediátricos con LMC Ph + en fase crónica tras el fallo del tratamiento con interferón-alfa, o en fase acelerada o crisis blástica.</w:t>
      </w:r>
    </w:p>
    <w:p w14:paraId="1F38E3FC" w14:textId="77777777" w:rsidR="00D21872" w:rsidRPr="002D741C" w:rsidRDefault="00D21872" w:rsidP="004374F7">
      <w:pPr>
        <w:pStyle w:val="EndnoteText"/>
        <w:widowControl w:val="0"/>
        <w:numPr>
          <w:ilvl w:val="0"/>
          <w:numId w:val="11"/>
        </w:numPr>
        <w:tabs>
          <w:tab w:val="clear" w:pos="720"/>
          <w:tab w:val="num" w:pos="567"/>
        </w:tabs>
        <w:ind w:left="567" w:hanging="567"/>
        <w:rPr>
          <w:color w:val="000000"/>
          <w:szCs w:val="22"/>
          <w:lang w:val="es-ES"/>
        </w:rPr>
      </w:pPr>
      <w:r w:rsidRPr="002D741C">
        <w:rPr>
          <w:color w:val="000000"/>
          <w:szCs w:val="22"/>
          <w:lang w:val="es-ES"/>
        </w:rPr>
        <w:t xml:space="preserve">pacientes adultos </w:t>
      </w:r>
      <w:r w:rsidR="009538A6" w:rsidRPr="002D741C">
        <w:rPr>
          <w:color w:val="000000"/>
          <w:szCs w:val="22"/>
          <w:lang w:val="es-ES"/>
        </w:rPr>
        <w:t xml:space="preserve">y pediátricos </w:t>
      </w:r>
      <w:r w:rsidRPr="002D741C">
        <w:rPr>
          <w:color w:val="000000"/>
          <w:szCs w:val="22"/>
          <w:lang w:val="es-ES"/>
        </w:rPr>
        <w:t>con leucemia linfoblástica aguda cromosoma Filadelfia positivo (LLA Ph+) de diagnóstico reciente, integrado con quimioterapia.</w:t>
      </w:r>
    </w:p>
    <w:p w14:paraId="648EECE6" w14:textId="77777777" w:rsidR="00D21872" w:rsidRPr="002D741C" w:rsidRDefault="00D21872" w:rsidP="004374F7">
      <w:pPr>
        <w:pStyle w:val="EndnoteText"/>
        <w:widowControl w:val="0"/>
        <w:numPr>
          <w:ilvl w:val="0"/>
          <w:numId w:val="11"/>
        </w:numPr>
        <w:tabs>
          <w:tab w:val="clear" w:pos="720"/>
          <w:tab w:val="num" w:pos="567"/>
        </w:tabs>
        <w:ind w:left="567" w:hanging="567"/>
        <w:rPr>
          <w:color w:val="000000"/>
          <w:szCs w:val="22"/>
          <w:lang w:val="es-ES"/>
        </w:rPr>
      </w:pPr>
      <w:r w:rsidRPr="002D741C">
        <w:rPr>
          <w:color w:val="000000"/>
          <w:szCs w:val="22"/>
          <w:lang w:val="es-ES"/>
        </w:rPr>
        <w:t>pacientes adultos con LLA Ph+ refractaria o en recaída, como monoterapia.</w:t>
      </w:r>
    </w:p>
    <w:p w14:paraId="5A2326CB" w14:textId="77777777" w:rsidR="001B7D1A" w:rsidRPr="002D741C" w:rsidRDefault="001B7D1A" w:rsidP="004374F7">
      <w:pPr>
        <w:pStyle w:val="EndnoteText"/>
        <w:widowControl w:val="0"/>
        <w:numPr>
          <w:ilvl w:val="0"/>
          <w:numId w:val="11"/>
        </w:numPr>
        <w:tabs>
          <w:tab w:val="clear" w:pos="720"/>
          <w:tab w:val="num" w:pos="567"/>
        </w:tabs>
        <w:ind w:left="567" w:hanging="567"/>
        <w:rPr>
          <w:color w:val="000000"/>
          <w:szCs w:val="22"/>
          <w:lang w:val="es-ES"/>
        </w:rPr>
      </w:pPr>
      <w:r w:rsidRPr="002D741C">
        <w:rPr>
          <w:color w:val="000000"/>
          <w:szCs w:val="22"/>
          <w:lang w:val="es-ES"/>
        </w:rPr>
        <w:t>pacientes adultos con síndromes mielodisplásicos/mieloproliferativos (</w:t>
      </w:r>
      <w:smartTag w:uri="urn:schemas-microsoft-com:office:smarttags" w:element="stockticker">
        <w:r w:rsidRPr="002D741C">
          <w:rPr>
            <w:color w:val="000000"/>
            <w:szCs w:val="22"/>
            <w:lang w:val="es-ES"/>
          </w:rPr>
          <w:t>SMD</w:t>
        </w:r>
      </w:smartTag>
      <w:r w:rsidRPr="002D741C">
        <w:rPr>
          <w:color w:val="000000"/>
          <w:szCs w:val="22"/>
          <w:lang w:val="es-ES"/>
        </w:rPr>
        <w:t>/</w:t>
      </w:r>
      <w:smartTag w:uri="urn:schemas-microsoft-com:office:smarttags" w:element="stockticker">
        <w:r w:rsidRPr="002D741C">
          <w:rPr>
            <w:color w:val="000000"/>
            <w:szCs w:val="22"/>
            <w:lang w:val="es-ES"/>
          </w:rPr>
          <w:t>SMP</w:t>
        </w:r>
      </w:smartTag>
      <w:r w:rsidRPr="002D741C">
        <w:rPr>
          <w:color w:val="000000"/>
          <w:szCs w:val="22"/>
          <w:lang w:val="es-ES"/>
        </w:rPr>
        <w:t>) asociados con el reordenamiento del gen del receptor del factor de crecimiento derivado de las plaquetas (PDG</w:t>
      </w:r>
      <w:smartTag w:uri="urn:schemas-microsoft-com:office:smarttags" w:element="PersonName">
        <w:r w:rsidRPr="002D741C">
          <w:rPr>
            <w:color w:val="000000"/>
            <w:szCs w:val="22"/>
            <w:lang w:val="es-ES"/>
          </w:rPr>
          <w:t>FR</w:t>
        </w:r>
      </w:smartTag>
      <w:r w:rsidRPr="002D741C">
        <w:rPr>
          <w:color w:val="000000"/>
          <w:szCs w:val="22"/>
          <w:lang w:val="es-ES"/>
        </w:rPr>
        <w:t>).</w:t>
      </w:r>
    </w:p>
    <w:p w14:paraId="11942186" w14:textId="77777777" w:rsidR="00A6642A" w:rsidRPr="002D741C" w:rsidRDefault="00A6642A" w:rsidP="004374F7">
      <w:pPr>
        <w:pStyle w:val="EndnoteText"/>
        <w:widowControl w:val="0"/>
        <w:numPr>
          <w:ilvl w:val="0"/>
          <w:numId w:val="11"/>
        </w:numPr>
        <w:tabs>
          <w:tab w:val="clear" w:pos="720"/>
          <w:tab w:val="num" w:pos="567"/>
        </w:tabs>
        <w:ind w:left="567" w:hanging="567"/>
        <w:rPr>
          <w:color w:val="000000"/>
          <w:szCs w:val="22"/>
          <w:lang w:val="es-ES"/>
        </w:rPr>
      </w:pPr>
      <w:r w:rsidRPr="002D741C">
        <w:rPr>
          <w:color w:val="000000"/>
          <w:szCs w:val="22"/>
          <w:lang w:val="es-ES"/>
        </w:rPr>
        <w:t>pacientes adultos con síndrome hipereosinofílico (SHE) avanzado y/o leucemia eosinofílica crónica (LEC) con reordenación de</w:t>
      </w:r>
      <w:r w:rsidRPr="002D741C">
        <w:rPr>
          <w:color w:val="000000"/>
          <w:lang w:val="es-ES_tradnl"/>
        </w:rPr>
        <w:t xml:space="preserve"> </w:t>
      </w:r>
      <w:smartTag w:uri="urn:schemas-microsoft-com:office:smarttags" w:element="PersonName">
        <w:r w:rsidRPr="002D741C">
          <w:rPr>
            <w:color w:val="000000"/>
            <w:lang w:val="es-ES_tradnl"/>
          </w:rPr>
          <w:t>FI</w:t>
        </w:r>
      </w:smartTag>
      <w:r w:rsidRPr="002D741C">
        <w:rPr>
          <w:color w:val="000000"/>
          <w:lang w:val="es-ES_tradnl"/>
        </w:rPr>
        <w:t>P1L1-</w:t>
      </w:r>
      <w:r w:rsidR="00FE6793" w:rsidRPr="002D741C">
        <w:rPr>
          <w:color w:val="000000"/>
          <w:lang w:val="es-ES_tradnl"/>
        </w:rPr>
        <w:t>PDG</w:t>
      </w:r>
      <w:smartTag w:uri="urn:schemas-microsoft-com:office:smarttags" w:element="PersonName">
        <w:r w:rsidR="00FE6793" w:rsidRPr="002D741C">
          <w:rPr>
            <w:color w:val="000000"/>
            <w:lang w:val="es-ES_tradnl"/>
          </w:rPr>
          <w:t>FR</w:t>
        </w:r>
      </w:smartTag>
      <w:r w:rsidR="00FE6793" w:rsidRPr="002D741C">
        <w:rPr>
          <w:color w:val="000000"/>
          <w:lang w:val="en-US"/>
        </w:rPr>
        <w:sym w:font="Symbol" w:char="F061"/>
      </w:r>
      <w:r w:rsidR="00FE6793" w:rsidRPr="002D741C">
        <w:rPr>
          <w:color w:val="000000"/>
          <w:lang w:val="es-ES_tradnl"/>
        </w:rPr>
        <w:t>.</w:t>
      </w:r>
    </w:p>
    <w:p w14:paraId="7AD6DB1B" w14:textId="77777777" w:rsidR="002626B2" w:rsidRPr="002D741C" w:rsidRDefault="002626B2" w:rsidP="001A2F33">
      <w:pPr>
        <w:pStyle w:val="EndnoteText"/>
        <w:widowControl w:val="0"/>
        <w:tabs>
          <w:tab w:val="clear" w:pos="567"/>
        </w:tabs>
        <w:rPr>
          <w:color w:val="000000"/>
          <w:szCs w:val="22"/>
          <w:lang w:val="es-ES_tradnl"/>
        </w:rPr>
      </w:pPr>
    </w:p>
    <w:p w14:paraId="1FA09B50" w14:textId="77777777" w:rsidR="002626B2" w:rsidRPr="002D741C" w:rsidRDefault="002626B2" w:rsidP="001A2F33">
      <w:pPr>
        <w:pStyle w:val="EndnoteText"/>
        <w:widowControl w:val="0"/>
        <w:tabs>
          <w:tab w:val="clear" w:pos="567"/>
        </w:tabs>
        <w:rPr>
          <w:color w:val="000000"/>
          <w:szCs w:val="22"/>
          <w:lang w:val="es-ES"/>
        </w:rPr>
      </w:pPr>
      <w:r w:rsidRPr="002D741C">
        <w:rPr>
          <w:color w:val="000000"/>
          <w:szCs w:val="22"/>
          <w:lang w:val="es-ES"/>
        </w:rPr>
        <w:t>No se ha determinado el efecto de Glivec en el resultado del trasplante de médula ósea.</w:t>
      </w:r>
    </w:p>
    <w:p w14:paraId="6F731351" w14:textId="77777777" w:rsidR="002626B2" w:rsidRPr="002D741C" w:rsidRDefault="002626B2" w:rsidP="001A2F33">
      <w:pPr>
        <w:pStyle w:val="EndnoteText"/>
        <w:widowControl w:val="0"/>
        <w:tabs>
          <w:tab w:val="clear" w:pos="567"/>
        </w:tabs>
        <w:rPr>
          <w:color w:val="000000"/>
          <w:szCs w:val="22"/>
          <w:lang w:val="es-ES"/>
        </w:rPr>
      </w:pPr>
    </w:p>
    <w:p w14:paraId="2CB900AA" w14:textId="77777777" w:rsidR="00B0341F" w:rsidRPr="002D741C" w:rsidRDefault="00B0341F" w:rsidP="00C16E58">
      <w:pPr>
        <w:pStyle w:val="EndnoteText"/>
        <w:keepNext/>
        <w:widowControl w:val="0"/>
        <w:tabs>
          <w:tab w:val="clear" w:pos="567"/>
        </w:tabs>
        <w:rPr>
          <w:color w:val="000000"/>
          <w:szCs w:val="22"/>
          <w:lang w:val="es-ES"/>
        </w:rPr>
      </w:pPr>
      <w:r w:rsidRPr="002D741C">
        <w:rPr>
          <w:color w:val="000000"/>
          <w:szCs w:val="22"/>
          <w:lang w:val="es-ES"/>
        </w:rPr>
        <w:t>Glivec está indicado para</w:t>
      </w:r>
    </w:p>
    <w:p w14:paraId="505B4582" w14:textId="77777777" w:rsidR="00B0341F" w:rsidRPr="002D741C" w:rsidRDefault="00B0341F" w:rsidP="004374F7">
      <w:pPr>
        <w:pStyle w:val="EndnoteText"/>
        <w:widowControl w:val="0"/>
        <w:numPr>
          <w:ilvl w:val="0"/>
          <w:numId w:val="12"/>
        </w:numPr>
        <w:tabs>
          <w:tab w:val="clear" w:pos="567"/>
          <w:tab w:val="clear" w:pos="720"/>
        </w:tabs>
        <w:ind w:left="567" w:hanging="567"/>
        <w:rPr>
          <w:color w:val="000000"/>
          <w:szCs w:val="22"/>
          <w:lang w:val="es-ES"/>
        </w:rPr>
      </w:pPr>
      <w:r w:rsidRPr="002D741C">
        <w:rPr>
          <w:color w:val="000000"/>
          <w:szCs w:val="22"/>
          <w:lang w:val="es-ES"/>
        </w:rPr>
        <w:t>el tratamiento de pacientes adultos con tumores del estroma gastrointestinal (G</w:t>
      </w:r>
      <w:smartTag w:uri="urn:schemas-microsoft-com:office:smarttags" w:element="PersonName">
        <w:r w:rsidRPr="002D741C">
          <w:rPr>
            <w:color w:val="000000"/>
            <w:szCs w:val="22"/>
            <w:lang w:val="es-ES"/>
          </w:rPr>
          <w:t>IS</w:t>
        </w:r>
      </w:smartTag>
      <w:r w:rsidRPr="002D741C">
        <w:rPr>
          <w:color w:val="000000"/>
          <w:szCs w:val="22"/>
          <w:lang w:val="es-ES"/>
        </w:rPr>
        <w:t>T) malignos no resecables y/o metastásicos Kit (CD 117) positivos.</w:t>
      </w:r>
    </w:p>
    <w:p w14:paraId="58867E91" w14:textId="77777777" w:rsidR="003D354A" w:rsidRPr="002D741C" w:rsidRDefault="00B0341F" w:rsidP="004374F7">
      <w:pPr>
        <w:pStyle w:val="EndnoteText"/>
        <w:widowControl w:val="0"/>
        <w:numPr>
          <w:ilvl w:val="0"/>
          <w:numId w:val="12"/>
        </w:numPr>
        <w:tabs>
          <w:tab w:val="clear" w:pos="567"/>
          <w:tab w:val="clear" w:pos="720"/>
        </w:tabs>
        <w:ind w:left="567" w:hanging="567"/>
        <w:rPr>
          <w:color w:val="000000"/>
          <w:szCs w:val="22"/>
          <w:lang w:val="es-ES"/>
        </w:rPr>
      </w:pPr>
      <w:r w:rsidRPr="002D741C">
        <w:rPr>
          <w:color w:val="000000"/>
          <w:szCs w:val="22"/>
          <w:lang w:val="es-ES"/>
        </w:rPr>
        <w:t xml:space="preserve">el tratamiento adyuvante de pacientes adultos que presentan un riesgo </w:t>
      </w:r>
      <w:r w:rsidR="003F67C4" w:rsidRPr="002D741C">
        <w:rPr>
          <w:color w:val="000000"/>
          <w:szCs w:val="22"/>
          <w:lang w:val="es-ES"/>
        </w:rPr>
        <w:t>significativo</w:t>
      </w:r>
      <w:r w:rsidRPr="002D741C">
        <w:rPr>
          <w:color w:val="000000"/>
          <w:szCs w:val="22"/>
          <w:lang w:val="es-ES"/>
        </w:rPr>
        <w:t xml:space="preserve"> de recaída después de la resección de G</w:t>
      </w:r>
      <w:smartTag w:uri="urn:schemas-microsoft-com:office:smarttags" w:element="PersonName">
        <w:r w:rsidRPr="002D741C">
          <w:rPr>
            <w:color w:val="000000"/>
            <w:szCs w:val="22"/>
            <w:lang w:val="es-ES"/>
          </w:rPr>
          <w:t>IS</w:t>
        </w:r>
      </w:smartTag>
      <w:r w:rsidRPr="002D741C">
        <w:rPr>
          <w:color w:val="000000"/>
          <w:szCs w:val="22"/>
          <w:lang w:val="es-ES"/>
        </w:rPr>
        <w:t xml:space="preserve">T Kit (CD117) positivo. </w:t>
      </w:r>
      <w:r w:rsidR="003D354A" w:rsidRPr="002D741C">
        <w:rPr>
          <w:color w:val="000000"/>
          <w:szCs w:val="22"/>
          <w:lang w:val="es-ES"/>
        </w:rPr>
        <w:t>Los pacie</w:t>
      </w:r>
      <w:r w:rsidR="00AB2B26" w:rsidRPr="002D741C">
        <w:rPr>
          <w:color w:val="000000"/>
          <w:szCs w:val="22"/>
          <w:lang w:val="es-ES"/>
        </w:rPr>
        <w:t>ntes que tienen un riesgo bajo o</w:t>
      </w:r>
      <w:r w:rsidR="003D354A" w:rsidRPr="002D741C">
        <w:rPr>
          <w:color w:val="000000"/>
          <w:szCs w:val="22"/>
          <w:lang w:val="es-ES"/>
        </w:rPr>
        <w:t xml:space="preserve"> muy bajo de recaída no </w:t>
      </w:r>
      <w:r w:rsidR="003F67C4" w:rsidRPr="002D741C">
        <w:rPr>
          <w:color w:val="000000"/>
          <w:szCs w:val="22"/>
          <w:lang w:val="es-ES"/>
        </w:rPr>
        <w:t>debe</w:t>
      </w:r>
      <w:r w:rsidR="00EA4C63" w:rsidRPr="002D741C">
        <w:rPr>
          <w:color w:val="000000"/>
          <w:szCs w:val="22"/>
          <w:lang w:val="es-ES"/>
        </w:rPr>
        <w:t>n</w:t>
      </w:r>
      <w:r w:rsidR="003D354A" w:rsidRPr="002D741C">
        <w:rPr>
          <w:color w:val="000000"/>
          <w:szCs w:val="22"/>
          <w:lang w:val="es-ES"/>
        </w:rPr>
        <w:t xml:space="preserve"> recibir tratamiento adyuvante.</w:t>
      </w:r>
    </w:p>
    <w:p w14:paraId="3AB2618F" w14:textId="77777777" w:rsidR="00B0341F" w:rsidRPr="002D741C" w:rsidRDefault="00B0341F" w:rsidP="004374F7">
      <w:pPr>
        <w:pStyle w:val="EndnoteText"/>
        <w:widowControl w:val="0"/>
        <w:numPr>
          <w:ilvl w:val="0"/>
          <w:numId w:val="12"/>
        </w:numPr>
        <w:tabs>
          <w:tab w:val="clear" w:pos="567"/>
          <w:tab w:val="clear" w:pos="720"/>
        </w:tabs>
        <w:ind w:left="567" w:hanging="567"/>
        <w:rPr>
          <w:color w:val="000000"/>
          <w:szCs w:val="22"/>
          <w:lang w:val="es-ES"/>
        </w:rPr>
      </w:pPr>
      <w:r w:rsidRPr="002D741C">
        <w:rPr>
          <w:color w:val="000000"/>
          <w:szCs w:val="22"/>
          <w:lang w:val="es-ES"/>
        </w:rPr>
        <w:t>el tratamiento de pacientes adultos con dermatofibrosarcoma protuberans (DFSP) no resecable y pacientes adultos con DFSP recurrente y/o metastásico que no son de elección para cirugía.</w:t>
      </w:r>
    </w:p>
    <w:p w14:paraId="68557F77" w14:textId="77777777" w:rsidR="00B0341F" w:rsidRPr="002D741C" w:rsidRDefault="00B0341F" w:rsidP="00B0341F">
      <w:pPr>
        <w:pStyle w:val="EndnoteText"/>
        <w:widowControl w:val="0"/>
        <w:tabs>
          <w:tab w:val="clear" w:pos="567"/>
        </w:tabs>
        <w:rPr>
          <w:color w:val="000000"/>
          <w:szCs w:val="22"/>
          <w:lang w:val="es-ES"/>
        </w:rPr>
      </w:pPr>
    </w:p>
    <w:p w14:paraId="3307F43D" w14:textId="77777777" w:rsidR="00B0341F" w:rsidRPr="002D741C" w:rsidRDefault="00B0341F" w:rsidP="00B0341F">
      <w:pPr>
        <w:pStyle w:val="EndnoteText"/>
        <w:widowControl w:val="0"/>
        <w:tabs>
          <w:tab w:val="clear" w:pos="567"/>
        </w:tabs>
        <w:rPr>
          <w:color w:val="000000"/>
          <w:szCs w:val="22"/>
          <w:lang w:val="es-ES"/>
        </w:rPr>
      </w:pPr>
      <w:r w:rsidRPr="002D741C">
        <w:rPr>
          <w:color w:val="000000"/>
          <w:szCs w:val="22"/>
          <w:lang w:val="es-ES"/>
        </w:rPr>
        <w:t xml:space="preserve">En pacientes adultos y pediátricos, la efectividad de Glivec se basa en las tasas de respuesta </w:t>
      </w:r>
      <w:r w:rsidRPr="002D741C">
        <w:rPr>
          <w:color w:val="000000"/>
          <w:szCs w:val="22"/>
          <w:lang w:val="es-ES"/>
        </w:rPr>
        <w:lastRenderedPageBreak/>
        <w:t xml:space="preserve">hematológica y citogenética globales y en la supervivencia sin progresión en LMC, en las tasas de respuesta hematológica y citogenética en LLA Ph+, </w:t>
      </w:r>
      <w:smartTag w:uri="urn:schemas-microsoft-com:office:smarttags" w:element="stockticker">
        <w:r w:rsidRPr="002D741C">
          <w:rPr>
            <w:color w:val="000000"/>
            <w:szCs w:val="22"/>
            <w:lang w:val="es-ES"/>
          </w:rPr>
          <w:t>SMD</w:t>
        </w:r>
      </w:smartTag>
      <w:r w:rsidRPr="002D741C">
        <w:rPr>
          <w:color w:val="000000"/>
          <w:szCs w:val="22"/>
          <w:lang w:val="es-ES"/>
        </w:rPr>
        <w:t>/</w:t>
      </w:r>
      <w:smartTag w:uri="urn:schemas-microsoft-com:office:smarttags" w:element="stockticker">
        <w:r w:rsidRPr="002D741C">
          <w:rPr>
            <w:color w:val="000000"/>
            <w:szCs w:val="22"/>
            <w:lang w:val="es-ES"/>
          </w:rPr>
          <w:t>SMP</w:t>
        </w:r>
      </w:smartTag>
      <w:r w:rsidRPr="002D741C">
        <w:rPr>
          <w:color w:val="000000"/>
          <w:szCs w:val="22"/>
          <w:lang w:val="es-ES"/>
        </w:rPr>
        <w:t>, en las tasas de respuesta hematológica en SHE/LEC y en las tasas de respuesta objetiva en pacientes adultos con G</w:t>
      </w:r>
      <w:smartTag w:uri="urn:schemas-microsoft-com:office:smarttags" w:element="PersonName">
        <w:r w:rsidRPr="002D741C">
          <w:rPr>
            <w:color w:val="000000"/>
            <w:szCs w:val="22"/>
            <w:lang w:val="es-ES"/>
          </w:rPr>
          <w:t>IS</w:t>
        </w:r>
      </w:smartTag>
      <w:r w:rsidRPr="002D741C">
        <w:rPr>
          <w:color w:val="000000"/>
          <w:szCs w:val="22"/>
          <w:lang w:val="es-ES"/>
        </w:rPr>
        <w:t>T no resecable y/o metastásico y DFSP y en la supervivencia libre de recurrencia en adyuvancia de G</w:t>
      </w:r>
      <w:smartTag w:uri="urn:schemas-microsoft-com:office:smarttags" w:element="PersonName">
        <w:r w:rsidRPr="002D741C">
          <w:rPr>
            <w:color w:val="000000"/>
            <w:szCs w:val="22"/>
            <w:lang w:val="es-ES"/>
          </w:rPr>
          <w:t>IS</w:t>
        </w:r>
      </w:smartTag>
      <w:r w:rsidRPr="002D741C">
        <w:rPr>
          <w:color w:val="000000"/>
          <w:szCs w:val="22"/>
          <w:lang w:val="es-ES"/>
        </w:rPr>
        <w:t xml:space="preserve">T. La experiencia con Glivec en pacientes con </w:t>
      </w:r>
      <w:smartTag w:uri="urn:schemas-microsoft-com:office:smarttags" w:element="stockticker">
        <w:r w:rsidRPr="002D741C">
          <w:rPr>
            <w:color w:val="000000"/>
            <w:szCs w:val="22"/>
            <w:lang w:val="es-ES"/>
          </w:rPr>
          <w:t>SMD</w:t>
        </w:r>
      </w:smartTag>
      <w:r w:rsidRPr="002D741C">
        <w:rPr>
          <w:color w:val="000000"/>
          <w:szCs w:val="22"/>
          <w:lang w:val="es-ES"/>
        </w:rPr>
        <w:t>/</w:t>
      </w:r>
      <w:smartTag w:uri="urn:schemas-microsoft-com:office:smarttags" w:element="stockticker">
        <w:r w:rsidRPr="002D741C">
          <w:rPr>
            <w:color w:val="000000"/>
            <w:szCs w:val="22"/>
            <w:lang w:val="es-ES"/>
          </w:rPr>
          <w:t>SMP</w:t>
        </w:r>
      </w:smartTag>
      <w:r w:rsidRPr="002D741C">
        <w:rPr>
          <w:color w:val="000000"/>
          <w:szCs w:val="22"/>
          <w:lang w:val="es-ES"/>
        </w:rPr>
        <w:t xml:space="preserve"> asociados con el reordenamiento del gen del PDG</w:t>
      </w:r>
      <w:smartTag w:uri="urn:schemas-microsoft-com:office:smarttags" w:element="PersonName">
        <w:r w:rsidRPr="002D741C">
          <w:rPr>
            <w:color w:val="000000"/>
            <w:szCs w:val="22"/>
            <w:lang w:val="es-ES"/>
          </w:rPr>
          <w:t>FR</w:t>
        </w:r>
      </w:smartTag>
      <w:r w:rsidRPr="002D741C">
        <w:rPr>
          <w:color w:val="000000"/>
          <w:szCs w:val="22"/>
          <w:lang w:val="es-ES"/>
        </w:rPr>
        <w:t xml:space="preserve"> es muy limitada (ver sección 5.1). Excepto en LMC de diagnóstico reciente en fase crónica, no existen ensayos controlados que demuestren el beneficio clínico o el aumento de la supervivencia para estas enfermedades.</w:t>
      </w:r>
    </w:p>
    <w:p w14:paraId="5331933D" w14:textId="77777777" w:rsidR="00B0341F" w:rsidRPr="002D741C" w:rsidRDefault="00B0341F" w:rsidP="00B0341F">
      <w:pPr>
        <w:pStyle w:val="EndnoteText"/>
        <w:widowControl w:val="0"/>
        <w:tabs>
          <w:tab w:val="clear" w:pos="567"/>
        </w:tabs>
        <w:rPr>
          <w:color w:val="000000"/>
          <w:szCs w:val="22"/>
          <w:lang w:val="es-ES"/>
        </w:rPr>
      </w:pPr>
    </w:p>
    <w:p w14:paraId="2FEA6526" w14:textId="77777777" w:rsidR="002626B2" w:rsidRPr="002D741C" w:rsidRDefault="002626B2" w:rsidP="00C16E58">
      <w:pPr>
        <w:keepNext/>
        <w:widowControl w:val="0"/>
        <w:ind w:left="567" w:hanging="567"/>
        <w:rPr>
          <w:color w:val="000000"/>
          <w:sz w:val="22"/>
          <w:szCs w:val="22"/>
        </w:rPr>
      </w:pPr>
      <w:r w:rsidRPr="002D741C">
        <w:rPr>
          <w:b/>
          <w:color w:val="000000"/>
          <w:sz w:val="22"/>
          <w:szCs w:val="22"/>
        </w:rPr>
        <w:t>4.2</w:t>
      </w:r>
      <w:r w:rsidRPr="002D741C">
        <w:rPr>
          <w:b/>
          <w:color w:val="000000"/>
          <w:sz w:val="22"/>
          <w:szCs w:val="22"/>
        </w:rPr>
        <w:tab/>
        <w:t>Posología y forma de administración</w:t>
      </w:r>
    </w:p>
    <w:p w14:paraId="4E37426A" w14:textId="77777777" w:rsidR="002626B2" w:rsidRPr="002D741C" w:rsidRDefault="002626B2" w:rsidP="00C16E58">
      <w:pPr>
        <w:pStyle w:val="EndnoteText"/>
        <w:keepNext/>
        <w:widowControl w:val="0"/>
        <w:tabs>
          <w:tab w:val="clear" w:pos="567"/>
        </w:tabs>
        <w:rPr>
          <w:color w:val="000000"/>
          <w:szCs w:val="22"/>
          <w:lang w:val="es-ES"/>
        </w:rPr>
      </w:pPr>
    </w:p>
    <w:p w14:paraId="38FBADA8" w14:textId="77777777" w:rsidR="00D21872" w:rsidRPr="002D741C" w:rsidRDefault="00D21872" w:rsidP="00D21872">
      <w:pPr>
        <w:pStyle w:val="EndnoteText"/>
        <w:widowControl w:val="0"/>
        <w:tabs>
          <w:tab w:val="clear" w:pos="567"/>
        </w:tabs>
        <w:rPr>
          <w:color w:val="000000"/>
          <w:szCs w:val="22"/>
          <w:lang w:val="es-ES"/>
        </w:rPr>
      </w:pPr>
      <w:r w:rsidRPr="002D741C">
        <w:rPr>
          <w:color w:val="000000"/>
          <w:szCs w:val="22"/>
          <w:lang w:val="es-ES"/>
        </w:rPr>
        <w:t>El tratamiento debe ser iniciado por un médico experimentado en el tratamiento de pacientes con procesos malignos hematológicos y sarcomas malignos, según el caso.</w:t>
      </w:r>
    </w:p>
    <w:p w14:paraId="2A41D502" w14:textId="77777777" w:rsidR="002626B2" w:rsidRPr="002D741C" w:rsidRDefault="002626B2" w:rsidP="001A2F33">
      <w:pPr>
        <w:pStyle w:val="EndnoteText"/>
        <w:widowControl w:val="0"/>
        <w:tabs>
          <w:tab w:val="clear" w:pos="567"/>
        </w:tabs>
        <w:rPr>
          <w:color w:val="000000"/>
          <w:szCs w:val="22"/>
          <w:lang w:val="es-ES"/>
        </w:rPr>
      </w:pPr>
    </w:p>
    <w:p w14:paraId="3A957270" w14:textId="77777777" w:rsidR="002626B2" w:rsidRPr="002D741C" w:rsidRDefault="002626B2" w:rsidP="00F00735">
      <w:pPr>
        <w:pStyle w:val="EndnoteText"/>
        <w:widowControl w:val="0"/>
        <w:tabs>
          <w:tab w:val="clear" w:pos="567"/>
        </w:tabs>
        <w:rPr>
          <w:color w:val="000000"/>
          <w:szCs w:val="22"/>
          <w:lang w:val="es-ES"/>
        </w:rPr>
      </w:pPr>
      <w:r w:rsidRPr="002D741C">
        <w:rPr>
          <w:color w:val="000000"/>
          <w:szCs w:val="22"/>
          <w:lang w:val="es-ES"/>
        </w:rPr>
        <w:t>La dosis prescrita debe ser administrada oralmente con alimentos y con un gran vaso de agua</w:t>
      </w:r>
      <w:r w:rsidR="00475734" w:rsidRPr="002D741C">
        <w:rPr>
          <w:color w:val="000000"/>
          <w:szCs w:val="22"/>
          <w:lang w:val="es-ES"/>
        </w:rPr>
        <w:t xml:space="preserve"> para minimizar el riesgo de irritaciones gastrointestinales. Dosis de 400</w:t>
      </w:r>
      <w:r w:rsidR="000901B2" w:rsidRPr="002D741C">
        <w:rPr>
          <w:color w:val="000000"/>
          <w:szCs w:val="22"/>
          <w:lang w:val="es-ES"/>
        </w:rPr>
        <w:t> </w:t>
      </w:r>
      <w:r w:rsidR="00475734" w:rsidRPr="002D741C">
        <w:rPr>
          <w:color w:val="000000"/>
          <w:szCs w:val="22"/>
          <w:lang w:val="es-ES"/>
        </w:rPr>
        <w:t>mg ó 600</w:t>
      </w:r>
      <w:r w:rsidR="000901B2" w:rsidRPr="002D741C">
        <w:rPr>
          <w:color w:val="000000"/>
          <w:szCs w:val="22"/>
          <w:lang w:val="es-ES"/>
        </w:rPr>
        <w:t> </w:t>
      </w:r>
      <w:r w:rsidR="00475734" w:rsidRPr="002D741C">
        <w:rPr>
          <w:color w:val="000000"/>
          <w:szCs w:val="22"/>
          <w:lang w:val="es-ES"/>
        </w:rPr>
        <w:t>mg deben administrarse una vez al día, mientras que una dosis diaria de 800</w:t>
      </w:r>
      <w:r w:rsidR="000901B2" w:rsidRPr="002D741C">
        <w:rPr>
          <w:color w:val="000000"/>
          <w:szCs w:val="22"/>
          <w:lang w:val="es-ES"/>
        </w:rPr>
        <w:t> </w:t>
      </w:r>
      <w:r w:rsidR="00475734" w:rsidRPr="002D741C">
        <w:rPr>
          <w:color w:val="000000"/>
          <w:szCs w:val="22"/>
          <w:lang w:val="es-ES"/>
        </w:rPr>
        <w:t xml:space="preserve">mg debe administrarse </w:t>
      </w:r>
      <w:r w:rsidR="003960F6" w:rsidRPr="002D741C">
        <w:rPr>
          <w:color w:val="000000"/>
          <w:szCs w:val="22"/>
          <w:lang w:val="es-ES"/>
        </w:rPr>
        <w:t>en</w:t>
      </w:r>
      <w:r w:rsidR="00475734" w:rsidRPr="002D741C">
        <w:rPr>
          <w:color w:val="000000"/>
          <w:szCs w:val="22"/>
          <w:lang w:val="es-ES"/>
        </w:rPr>
        <w:t xml:space="preserve"> dosis de 400</w:t>
      </w:r>
      <w:r w:rsidR="000901B2" w:rsidRPr="002D741C">
        <w:rPr>
          <w:color w:val="000000"/>
          <w:szCs w:val="22"/>
          <w:lang w:val="es-ES"/>
        </w:rPr>
        <w:t> </w:t>
      </w:r>
      <w:r w:rsidR="00475734" w:rsidRPr="002D741C">
        <w:rPr>
          <w:color w:val="000000"/>
          <w:szCs w:val="22"/>
          <w:lang w:val="es-ES"/>
        </w:rPr>
        <w:t>mg dos veces al día, por la mañana y por la noche</w:t>
      </w:r>
      <w:r w:rsidRPr="002D741C">
        <w:rPr>
          <w:color w:val="000000"/>
          <w:szCs w:val="22"/>
          <w:lang w:val="es-ES"/>
        </w:rPr>
        <w:t>. Para los pacientes (niños) incapaces de tragar las cápsulas, puede diluirse el contenido en un vaso de agua o zumo de manzana. Dado que los estudios en animales han mostrado toxicidad reproductiva y no se conoce el riesgo potencial para el feto humano, las mujeres en edad fértil que abran las cápsulas deberán ser advertidas que manejen el contenido con precaución y eviten el contacto de la piel con los ojos o la inhalación (</w:t>
      </w:r>
      <w:r w:rsidR="00F00735" w:rsidRPr="002D741C">
        <w:rPr>
          <w:color w:val="000000"/>
          <w:szCs w:val="22"/>
          <w:lang w:val="es-ES"/>
        </w:rPr>
        <w:t xml:space="preserve">ver sección </w:t>
      </w:r>
      <w:r w:rsidRPr="002D741C">
        <w:rPr>
          <w:color w:val="000000"/>
          <w:szCs w:val="22"/>
          <w:lang w:val="es-ES"/>
        </w:rPr>
        <w:t>4.6). Se deberán lavar las manos inmediatamente después de manipular las cápsulas abiertas.</w:t>
      </w:r>
    </w:p>
    <w:p w14:paraId="1253FBD2" w14:textId="77777777" w:rsidR="002626B2" w:rsidRPr="002D741C" w:rsidRDefault="002626B2" w:rsidP="001A2F33">
      <w:pPr>
        <w:pStyle w:val="EndnoteText"/>
        <w:widowControl w:val="0"/>
        <w:tabs>
          <w:tab w:val="clear" w:pos="567"/>
        </w:tabs>
        <w:rPr>
          <w:color w:val="000000"/>
          <w:szCs w:val="22"/>
          <w:lang w:val="es-ES"/>
        </w:rPr>
      </w:pPr>
    </w:p>
    <w:p w14:paraId="3AF0658E" w14:textId="77777777" w:rsidR="002626B2" w:rsidRPr="002D741C" w:rsidRDefault="002626B2" w:rsidP="00C16E58">
      <w:pPr>
        <w:pStyle w:val="EndnoteText"/>
        <w:keepNext/>
        <w:widowControl w:val="0"/>
        <w:tabs>
          <w:tab w:val="clear" w:pos="567"/>
        </w:tabs>
        <w:rPr>
          <w:color w:val="000000"/>
          <w:szCs w:val="22"/>
          <w:u w:val="single"/>
          <w:lang w:val="es-ES"/>
        </w:rPr>
      </w:pPr>
      <w:r w:rsidRPr="002D741C">
        <w:rPr>
          <w:color w:val="000000"/>
          <w:szCs w:val="22"/>
          <w:u w:val="single"/>
          <w:lang w:val="es-ES"/>
        </w:rPr>
        <w:t>Posología para LMC</w:t>
      </w:r>
      <w:r w:rsidR="00AF22BD" w:rsidRPr="002D741C">
        <w:rPr>
          <w:color w:val="000000"/>
          <w:szCs w:val="22"/>
          <w:u w:val="single"/>
          <w:lang w:val="es-ES"/>
        </w:rPr>
        <w:t xml:space="preserve"> en pacientes adultos</w:t>
      </w:r>
    </w:p>
    <w:p w14:paraId="3374D041" w14:textId="77777777" w:rsidR="002626B2" w:rsidRPr="002D741C" w:rsidRDefault="002626B2" w:rsidP="001A2F33">
      <w:pPr>
        <w:pStyle w:val="EndnoteText"/>
        <w:widowControl w:val="0"/>
        <w:tabs>
          <w:tab w:val="clear" w:pos="567"/>
        </w:tabs>
        <w:rPr>
          <w:color w:val="000000"/>
          <w:szCs w:val="22"/>
          <w:lang w:val="es-ES"/>
        </w:rPr>
      </w:pPr>
      <w:r w:rsidRPr="002D741C">
        <w:rPr>
          <w:color w:val="000000"/>
          <w:szCs w:val="22"/>
          <w:lang w:val="es-ES"/>
        </w:rPr>
        <w:t xml:space="preserve">La dosis recomendada de Glivec para pacientes </w:t>
      </w:r>
      <w:r w:rsidR="00967AD8" w:rsidRPr="002D741C">
        <w:rPr>
          <w:color w:val="000000"/>
          <w:szCs w:val="22"/>
          <w:lang w:val="es-ES"/>
        </w:rPr>
        <w:t xml:space="preserve">adultos </w:t>
      </w:r>
      <w:r w:rsidRPr="002D741C">
        <w:rPr>
          <w:color w:val="000000"/>
          <w:szCs w:val="22"/>
          <w:lang w:val="es-ES"/>
        </w:rPr>
        <w:t>con LMC en fase crónica es de 400</w:t>
      </w:r>
      <w:r w:rsidR="006171A6" w:rsidRPr="002D741C">
        <w:rPr>
          <w:color w:val="000000"/>
          <w:szCs w:val="22"/>
          <w:lang w:val="es-ES"/>
        </w:rPr>
        <w:t> mg</w:t>
      </w:r>
      <w:r w:rsidRPr="002D741C">
        <w:rPr>
          <w:color w:val="000000"/>
          <w:szCs w:val="22"/>
          <w:lang w:val="es-ES"/>
        </w:rPr>
        <w:t xml:space="preserve">/día. La fase crónica de </w:t>
      </w:r>
      <w:smartTag w:uri="urn:schemas-microsoft-com:office:smarttags" w:element="PersonName">
        <w:smartTagPr>
          <w:attr w:name="ProductID" w:val="la LMC"/>
        </w:smartTagPr>
        <w:r w:rsidRPr="002D741C">
          <w:rPr>
            <w:color w:val="000000"/>
            <w:szCs w:val="22"/>
            <w:lang w:val="es-ES"/>
          </w:rPr>
          <w:t>la LMC</w:t>
        </w:r>
      </w:smartTag>
      <w:r w:rsidRPr="002D741C">
        <w:rPr>
          <w:color w:val="000000"/>
          <w:szCs w:val="22"/>
          <w:lang w:val="es-ES"/>
        </w:rPr>
        <w:t xml:space="preserve"> está definida por los siguientes criterios: blastos &lt;</w:t>
      </w:r>
      <w:r w:rsidR="00F11D96" w:rsidRPr="002D741C">
        <w:rPr>
          <w:color w:val="000000"/>
          <w:szCs w:val="22"/>
          <w:lang w:val="es-ES"/>
        </w:rPr>
        <w:t> </w:t>
      </w:r>
      <w:r w:rsidRPr="002D741C">
        <w:rPr>
          <w:color w:val="000000"/>
          <w:szCs w:val="22"/>
          <w:lang w:val="es-ES"/>
        </w:rPr>
        <w:t>15% en sangre y en médula ósea, basófilos en sangre periférica &lt;</w:t>
      </w:r>
      <w:r w:rsidR="00F11D96" w:rsidRPr="002D741C">
        <w:rPr>
          <w:color w:val="000000"/>
          <w:szCs w:val="22"/>
          <w:lang w:val="es-ES"/>
        </w:rPr>
        <w:t> </w:t>
      </w:r>
      <w:r w:rsidRPr="002D741C">
        <w:rPr>
          <w:color w:val="000000"/>
          <w:szCs w:val="22"/>
          <w:lang w:val="es-ES"/>
        </w:rPr>
        <w:t>20%, plaquetas &gt;</w:t>
      </w:r>
      <w:r w:rsidR="00F11D96" w:rsidRPr="002D741C">
        <w:rPr>
          <w:color w:val="000000"/>
          <w:szCs w:val="22"/>
          <w:lang w:val="es-ES"/>
        </w:rPr>
        <w:t> </w:t>
      </w:r>
      <w:r w:rsidRPr="002D741C">
        <w:rPr>
          <w:color w:val="000000"/>
          <w:szCs w:val="22"/>
          <w:lang w:val="es-ES"/>
        </w:rPr>
        <w:t>100</w:t>
      </w:r>
      <w:r w:rsidR="00F11D96" w:rsidRPr="002D741C">
        <w:rPr>
          <w:color w:val="000000"/>
          <w:szCs w:val="22"/>
          <w:lang w:val="es-ES"/>
        </w:rPr>
        <w:t> </w:t>
      </w:r>
      <w:r w:rsidRPr="002D741C">
        <w:rPr>
          <w:color w:val="000000"/>
          <w:szCs w:val="22"/>
          <w:lang w:val="es-ES"/>
        </w:rPr>
        <w:t>x</w:t>
      </w:r>
      <w:r w:rsidR="00F11D96" w:rsidRPr="002D741C">
        <w:rPr>
          <w:color w:val="000000"/>
          <w:szCs w:val="22"/>
          <w:lang w:val="es-ES"/>
        </w:rPr>
        <w:t> </w:t>
      </w:r>
      <w:r w:rsidRPr="002D741C">
        <w:rPr>
          <w:color w:val="000000"/>
          <w:szCs w:val="22"/>
          <w:lang w:val="es-ES"/>
        </w:rPr>
        <w:t>10</w:t>
      </w:r>
      <w:r w:rsidRPr="002D741C">
        <w:rPr>
          <w:color w:val="000000"/>
          <w:szCs w:val="22"/>
          <w:vertAlign w:val="superscript"/>
          <w:lang w:val="es-ES"/>
        </w:rPr>
        <w:t>9</w:t>
      </w:r>
      <w:r w:rsidRPr="002D741C">
        <w:rPr>
          <w:color w:val="000000"/>
          <w:szCs w:val="22"/>
          <w:lang w:val="es-ES"/>
        </w:rPr>
        <w:t>/l.</w:t>
      </w:r>
    </w:p>
    <w:p w14:paraId="23661506" w14:textId="77777777" w:rsidR="002626B2" w:rsidRPr="002D741C" w:rsidRDefault="002626B2" w:rsidP="001A2F33">
      <w:pPr>
        <w:pStyle w:val="EndnoteText"/>
        <w:widowControl w:val="0"/>
        <w:tabs>
          <w:tab w:val="clear" w:pos="567"/>
        </w:tabs>
        <w:rPr>
          <w:color w:val="000000"/>
          <w:szCs w:val="22"/>
          <w:lang w:val="es-ES"/>
        </w:rPr>
      </w:pPr>
    </w:p>
    <w:p w14:paraId="1E413EA1" w14:textId="77777777" w:rsidR="002626B2" w:rsidRPr="002D741C" w:rsidRDefault="002626B2" w:rsidP="001A2F33">
      <w:pPr>
        <w:pStyle w:val="EndnoteText"/>
        <w:widowControl w:val="0"/>
        <w:tabs>
          <w:tab w:val="clear" w:pos="567"/>
        </w:tabs>
        <w:rPr>
          <w:color w:val="000000"/>
          <w:szCs w:val="22"/>
          <w:lang w:val="es-ES"/>
        </w:rPr>
      </w:pPr>
      <w:r w:rsidRPr="002D741C">
        <w:rPr>
          <w:color w:val="000000"/>
          <w:szCs w:val="22"/>
          <w:lang w:val="es-ES"/>
        </w:rPr>
        <w:t xml:space="preserve">La dosis recomendada de Glivec para pacientes </w:t>
      </w:r>
      <w:r w:rsidR="00967AD8" w:rsidRPr="002D741C">
        <w:rPr>
          <w:color w:val="000000"/>
          <w:szCs w:val="22"/>
          <w:lang w:val="es-ES"/>
        </w:rPr>
        <w:t xml:space="preserve">adultos </w:t>
      </w:r>
      <w:r w:rsidRPr="002D741C">
        <w:rPr>
          <w:color w:val="000000"/>
          <w:szCs w:val="22"/>
          <w:lang w:val="es-ES"/>
        </w:rPr>
        <w:t>en fase acelerada es de 600</w:t>
      </w:r>
      <w:r w:rsidR="006171A6" w:rsidRPr="002D741C">
        <w:rPr>
          <w:color w:val="000000"/>
          <w:szCs w:val="22"/>
          <w:lang w:val="es-ES"/>
        </w:rPr>
        <w:t> mg</w:t>
      </w:r>
      <w:r w:rsidRPr="002D741C">
        <w:rPr>
          <w:color w:val="000000"/>
          <w:szCs w:val="22"/>
          <w:lang w:val="es-ES"/>
        </w:rPr>
        <w:t xml:space="preserve">/día. La fase acelerada está definida por la presencia de cualquiera de los siguientes parámetros: blastos </w:t>
      </w:r>
      <w:r w:rsidRPr="002D741C">
        <w:rPr>
          <w:color w:val="000000"/>
          <w:szCs w:val="22"/>
          <w:lang w:val="es-ES"/>
        </w:rPr>
        <w:sym w:font="Symbol" w:char="F0B3"/>
      </w:r>
      <w:r w:rsidR="00F11D96" w:rsidRPr="002D741C">
        <w:rPr>
          <w:color w:val="000000"/>
          <w:szCs w:val="22"/>
          <w:lang w:val="es-ES"/>
        </w:rPr>
        <w:t> </w:t>
      </w:r>
      <w:r w:rsidRPr="002D741C">
        <w:rPr>
          <w:color w:val="000000"/>
          <w:szCs w:val="22"/>
          <w:lang w:val="es-ES"/>
        </w:rPr>
        <w:t>15% pero &lt;</w:t>
      </w:r>
      <w:r w:rsidR="00F11D96" w:rsidRPr="002D741C">
        <w:rPr>
          <w:color w:val="000000"/>
          <w:szCs w:val="22"/>
          <w:lang w:val="es-ES"/>
        </w:rPr>
        <w:t> </w:t>
      </w:r>
      <w:r w:rsidRPr="002D741C">
        <w:rPr>
          <w:color w:val="000000"/>
          <w:szCs w:val="22"/>
          <w:lang w:val="es-ES"/>
        </w:rPr>
        <w:t xml:space="preserve">30% en sangre o en médula ósea, blastos más promielocitos </w:t>
      </w:r>
      <w:r w:rsidRPr="002D741C">
        <w:rPr>
          <w:color w:val="000000"/>
          <w:szCs w:val="22"/>
          <w:lang w:val="es-ES"/>
        </w:rPr>
        <w:sym w:font="Symbol" w:char="F0B3"/>
      </w:r>
      <w:r w:rsidR="00F11D96" w:rsidRPr="002D741C">
        <w:rPr>
          <w:color w:val="000000"/>
          <w:szCs w:val="22"/>
          <w:lang w:val="es-ES"/>
        </w:rPr>
        <w:t> </w:t>
      </w:r>
      <w:r w:rsidRPr="002D741C">
        <w:rPr>
          <w:color w:val="000000"/>
          <w:szCs w:val="22"/>
          <w:lang w:val="es-ES"/>
        </w:rPr>
        <w:t xml:space="preserve">30% en sangre o en médula ósea (siempre que blastos &lt; 30%), basófilos en sangre periférica </w:t>
      </w:r>
      <w:r w:rsidRPr="002D741C">
        <w:rPr>
          <w:color w:val="000000"/>
          <w:szCs w:val="22"/>
          <w:lang w:val="es-ES"/>
        </w:rPr>
        <w:sym w:font="Symbol" w:char="F0B3"/>
      </w:r>
      <w:r w:rsidR="00F11D96" w:rsidRPr="002D741C">
        <w:rPr>
          <w:color w:val="000000"/>
          <w:szCs w:val="22"/>
          <w:lang w:val="es-ES"/>
        </w:rPr>
        <w:t> </w:t>
      </w:r>
      <w:r w:rsidRPr="002D741C">
        <w:rPr>
          <w:color w:val="000000"/>
          <w:szCs w:val="22"/>
          <w:lang w:val="es-ES"/>
        </w:rPr>
        <w:t>20%, plaquetas &lt;</w:t>
      </w:r>
      <w:r w:rsidR="00F11D96" w:rsidRPr="002D741C">
        <w:rPr>
          <w:color w:val="000000"/>
          <w:szCs w:val="22"/>
          <w:lang w:val="es-ES"/>
        </w:rPr>
        <w:t> </w:t>
      </w:r>
      <w:r w:rsidRPr="002D741C">
        <w:rPr>
          <w:color w:val="000000"/>
          <w:szCs w:val="22"/>
          <w:lang w:val="es-ES"/>
        </w:rPr>
        <w:t>100</w:t>
      </w:r>
      <w:r w:rsidR="00F11D96" w:rsidRPr="002D741C">
        <w:rPr>
          <w:color w:val="000000"/>
          <w:szCs w:val="22"/>
          <w:lang w:val="es-ES"/>
        </w:rPr>
        <w:t> </w:t>
      </w:r>
      <w:r w:rsidRPr="002D741C">
        <w:rPr>
          <w:color w:val="000000"/>
          <w:szCs w:val="22"/>
          <w:lang w:val="es-ES"/>
        </w:rPr>
        <w:t>x</w:t>
      </w:r>
      <w:r w:rsidR="00F11D96" w:rsidRPr="002D741C">
        <w:rPr>
          <w:color w:val="000000"/>
          <w:szCs w:val="22"/>
          <w:lang w:val="es-ES"/>
        </w:rPr>
        <w:t> </w:t>
      </w:r>
      <w:r w:rsidRPr="002D741C">
        <w:rPr>
          <w:color w:val="000000"/>
          <w:szCs w:val="22"/>
          <w:lang w:val="es-ES"/>
        </w:rPr>
        <w:t>10</w:t>
      </w:r>
      <w:r w:rsidRPr="002D741C">
        <w:rPr>
          <w:color w:val="000000"/>
          <w:szCs w:val="22"/>
          <w:vertAlign w:val="superscript"/>
          <w:lang w:val="es-ES"/>
        </w:rPr>
        <w:t>9</w:t>
      </w:r>
      <w:r w:rsidRPr="002D741C">
        <w:rPr>
          <w:color w:val="000000"/>
          <w:szCs w:val="22"/>
          <w:lang w:val="es-ES"/>
        </w:rPr>
        <w:t>/l no relacionados con el tratamiento.</w:t>
      </w:r>
    </w:p>
    <w:p w14:paraId="480C69D9" w14:textId="77777777" w:rsidR="002626B2" w:rsidRPr="002D741C" w:rsidRDefault="002626B2" w:rsidP="001A2F33">
      <w:pPr>
        <w:pStyle w:val="EndnoteText"/>
        <w:widowControl w:val="0"/>
        <w:tabs>
          <w:tab w:val="clear" w:pos="567"/>
        </w:tabs>
        <w:rPr>
          <w:color w:val="000000"/>
          <w:szCs w:val="22"/>
          <w:lang w:val="es-ES"/>
        </w:rPr>
      </w:pPr>
    </w:p>
    <w:p w14:paraId="1F458EFD" w14:textId="77777777" w:rsidR="002626B2" w:rsidRPr="002D741C" w:rsidRDefault="002626B2" w:rsidP="001A2F33">
      <w:pPr>
        <w:pStyle w:val="EndnoteText"/>
        <w:widowControl w:val="0"/>
        <w:tabs>
          <w:tab w:val="clear" w:pos="567"/>
        </w:tabs>
        <w:rPr>
          <w:color w:val="000000"/>
          <w:szCs w:val="22"/>
          <w:lang w:val="es-ES"/>
        </w:rPr>
      </w:pPr>
      <w:r w:rsidRPr="002D741C">
        <w:rPr>
          <w:color w:val="000000"/>
          <w:szCs w:val="22"/>
          <w:lang w:val="es-ES"/>
        </w:rPr>
        <w:t xml:space="preserve">La dosis recomendada de Glivec para pacientes </w:t>
      </w:r>
      <w:r w:rsidR="00967AD8" w:rsidRPr="002D741C">
        <w:rPr>
          <w:color w:val="000000"/>
          <w:szCs w:val="22"/>
          <w:lang w:val="es-ES"/>
        </w:rPr>
        <w:t xml:space="preserve">adultos </w:t>
      </w:r>
      <w:r w:rsidRPr="002D741C">
        <w:rPr>
          <w:color w:val="000000"/>
          <w:szCs w:val="22"/>
          <w:lang w:val="es-ES"/>
        </w:rPr>
        <w:t>en crisis blástica es de 600</w:t>
      </w:r>
      <w:r w:rsidR="006171A6" w:rsidRPr="002D741C">
        <w:rPr>
          <w:color w:val="000000"/>
          <w:szCs w:val="22"/>
          <w:lang w:val="es-ES"/>
        </w:rPr>
        <w:t> mg</w:t>
      </w:r>
      <w:r w:rsidRPr="002D741C">
        <w:rPr>
          <w:color w:val="000000"/>
          <w:szCs w:val="22"/>
          <w:lang w:val="es-ES"/>
        </w:rPr>
        <w:t xml:space="preserve">/día. La crisis blástica está definida como blastos </w:t>
      </w:r>
      <w:r w:rsidRPr="002D741C">
        <w:rPr>
          <w:color w:val="000000"/>
          <w:szCs w:val="22"/>
          <w:lang w:val="es-ES"/>
        </w:rPr>
        <w:sym w:font="Symbol" w:char="F0B3"/>
      </w:r>
      <w:r w:rsidR="00F11D96" w:rsidRPr="002D741C">
        <w:rPr>
          <w:color w:val="000000"/>
          <w:szCs w:val="22"/>
          <w:lang w:val="es-ES"/>
        </w:rPr>
        <w:t> </w:t>
      </w:r>
      <w:r w:rsidRPr="002D741C">
        <w:rPr>
          <w:color w:val="000000"/>
          <w:szCs w:val="22"/>
          <w:lang w:val="es-ES"/>
        </w:rPr>
        <w:t>30% en sangre o médula ósea, o enfermedad extramedular diferente a la hepatosplenomegalia.</w:t>
      </w:r>
    </w:p>
    <w:p w14:paraId="4A8B3BA1" w14:textId="77777777" w:rsidR="002626B2" w:rsidRPr="002D741C" w:rsidRDefault="002626B2" w:rsidP="001A2F33">
      <w:pPr>
        <w:pStyle w:val="EndnoteText"/>
        <w:widowControl w:val="0"/>
        <w:tabs>
          <w:tab w:val="clear" w:pos="567"/>
        </w:tabs>
        <w:rPr>
          <w:color w:val="000000"/>
          <w:szCs w:val="22"/>
          <w:lang w:val="es-ES"/>
        </w:rPr>
      </w:pPr>
    </w:p>
    <w:p w14:paraId="5A7B6069" w14:textId="77777777" w:rsidR="00F11D96" w:rsidRPr="002D741C" w:rsidRDefault="002626B2" w:rsidP="001A2F33">
      <w:pPr>
        <w:pStyle w:val="EndnoteText"/>
        <w:widowControl w:val="0"/>
        <w:tabs>
          <w:tab w:val="clear" w:pos="567"/>
        </w:tabs>
        <w:rPr>
          <w:color w:val="000000"/>
          <w:szCs w:val="22"/>
          <w:lang w:val="es-ES"/>
        </w:rPr>
      </w:pPr>
      <w:r w:rsidRPr="002D741C">
        <w:rPr>
          <w:color w:val="000000"/>
          <w:szCs w:val="22"/>
          <w:lang w:val="es-ES"/>
        </w:rPr>
        <w:t>Duración del tratamiento: En los ensayos clínicos, el tratamiento con Glivec se continuó hasta la progresión de la enfermedad. No se ha estudiado el efecto de la interrupción del tratamiento después de conseguir una respuesta citogenética completa.</w:t>
      </w:r>
    </w:p>
    <w:p w14:paraId="4A2E7C94" w14:textId="77777777" w:rsidR="002626B2" w:rsidRPr="002D741C" w:rsidRDefault="002626B2" w:rsidP="001A2F33">
      <w:pPr>
        <w:pStyle w:val="EndnoteText"/>
        <w:widowControl w:val="0"/>
        <w:tabs>
          <w:tab w:val="clear" w:pos="567"/>
        </w:tabs>
        <w:rPr>
          <w:color w:val="000000"/>
          <w:szCs w:val="22"/>
          <w:lang w:val="es-ES"/>
        </w:rPr>
      </w:pPr>
    </w:p>
    <w:p w14:paraId="746E0AD6" w14:textId="77777777" w:rsidR="002626B2" w:rsidRPr="002D741C" w:rsidRDefault="002626B2" w:rsidP="00475734">
      <w:pPr>
        <w:pStyle w:val="EndnoteText"/>
        <w:widowControl w:val="0"/>
        <w:tabs>
          <w:tab w:val="clear" w:pos="567"/>
        </w:tabs>
        <w:rPr>
          <w:color w:val="000000"/>
          <w:szCs w:val="22"/>
          <w:lang w:val="es-ES"/>
        </w:rPr>
      </w:pPr>
      <w:r w:rsidRPr="002D741C">
        <w:rPr>
          <w:color w:val="000000"/>
          <w:szCs w:val="22"/>
          <w:lang w:val="es-ES"/>
        </w:rPr>
        <w:t>Los aumentos de la dosis de 400</w:t>
      </w:r>
      <w:r w:rsidR="006171A6" w:rsidRPr="002D741C">
        <w:rPr>
          <w:color w:val="000000"/>
          <w:szCs w:val="22"/>
          <w:lang w:val="es-ES"/>
        </w:rPr>
        <w:t> mg</w:t>
      </w:r>
      <w:r w:rsidRPr="002D741C">
        <w:rPr>
          <w:color w:val="000000"/>
          <w:szCs w:val="22"/>
          <w:lang w:val="es-ES"/>
        </w:rPr>
        <w:t xml:space="preserve"> a 600</w:t>
      </w:r>
      <w:r w:rsidR="006171A6" w:rsidRPr="002D741C">
        <w:rPr>
          <w:color w:val="000000"/>
          <w:szCs w:val="22"/>
          <w:lang w:val="es-ES"/>
        </w:rPr>
        <w:t> mg</w:t>
      </w:r>
      <w:r w:rsidRPr="002D741C">
        <w:rPr>
          <w:color w:val="000000"/>
          <w:szCs w:val="22"/>
          <w:lang w:val="es-ES"/>
        </w:rPr>
        <w:t xml:space="preserve"> </w:t>
      </w:r>
      <w:r w:rsidR="00475734" w:rsidRPr="002D741C">
        <w:rPr>
          <w:color w:val="000000"/>
          <w:szCs w:val="22"/>
          <w:lang w:val="es-ES"/>
        </w:rPr>
        <w:t>ó 800</w:t>
      </w:r>
      <w:r w:rsidR="000901B2" w:rsidRPr="002D741C">
        <w:rPr>
          <w:color w:val="000000"/>
          <w:szCs w:val="22"/>
          <w:lang w:val="es-ES"/>
        </w:rPr>
        <w:t> </w:t>
      </w:r>
      <w:r w:rsidR="00475734" w:rsidRPr="002D741C">
        <w:rPr>
          <w:color w:val="000000"/>
          <w:szCs w:val="22"/>
          <w:lang w:val="es-ES"/>
        </w:rPr>
        <w:t xml:space="preserve">mg </w:t>
      </w:r>
      <w:r w:rsidRPr="002D741C">
        <w:rPr>
          <w:color w:val="000000"/>
          <w:szCs w:val="22"/>
          <w:lang w:val="es-ES"/>
        </w:rPr>
        <w:t>en pacientes en fase crónica de la enfermedad, o de 600</w:t>
      </w:r>
      <w:r w:rsidR="006171A6" w:rsidRPr="002D741C">
        <w:rPr>
          <w:color w:val="000000"/>
          <w:szCs w:val="22"/>
          <w:lang w:val="es-ES"/>
        </w:rPr>
        <w:t> mg</w:t>
      </w:r>
      <w:r w:rsidRPr="002D741C">
        <w:rPr>
          <w:color w:val="000000"/>
          <w:szCs w:val="22"/>
          <w:lang w:val="es-ES"/>
        </w:rPr>
        <w:t xml:space="preserve"> hasta un máximo de 800</w:t>
      </w:r>
      <w:r w:rsidR="006171A6" w:rsidRPr="002D741C">
        <w:rPr>
          <w:color w:val="000000"/>
          <w:szCs w:val="22"/>
          <w:lang w:val="es-ES"/>
        </w:rPr>
        <w:t> mg</w:t>
      </w:r>
      <w:r w:rsidRPr="002D741C">
        <w:rPr>
          <w:color w:val="000000"/>
          <w:szCs w:val="22"/>
          <w:lang w:val="es-ES"/>
        </w:rPr>
        <w:t xml:space="preserve"> (administrados en dosis de 400</w:t>
      </w:r>
      <w:r w:rsidR="006171A6" w:rsidRPr="002D741C">
        <w:rPr>
          <w:color w:val="000000"/>
          <w:szCs w:val="22"/>
          <w:lang w:val="es-ES"/>
        </w:rPr>
        <w:t> mg</w:t>
      </w:r>
      <w:r w:rsidRPr="002D741C">
        <w:rPr>
          <w:color w:val="000000"/>
          <w:szCs w:val="22"/>
          <w:lang w:val="es-ES"/>
        </w:rPr>
        <w:t xml:space="preserve"> dos veces al día) en pacientes en fase acelerada o crisis blástica, pueden considerarse en ausencia de reacciones adversas severas y neutropenia o trombocitopenia severas no relacionadas con la leucemia, en las siguientes circunstancias: progresión de la enfermedad (en cualquier momento); si no se consigue una respuesta hematológica satisfactoria después de por lo menos 3 meses de tratamiento; </w:t>
      </w:r>
      <w:r w:rsidR="00475734" w:rsidRPr="002D741C">
        <w:rPr>
          <w:color w:val="000000"/>
          <w:szCs w:val="22"/>
          <w:lang w:val="es-ES"/>
        </w:rPr>
        <w:t>si no se consigue una respuesta citogenética después de 12</w:t>
      </w:r>
      <w:r w:rsidR="000901B2" w:rsidRPr="002D741C">
        <w:rPr>
          <w:color w:val="000000"/>
          <w:szCs w:val="22"/>
          <w:lang w:val="es-ES"/>
        </w:rPr>
        <w:t> </w:t>
      </w:r>
      <w:r w:rsidR="00475734" w:rsidRPr="002D741C">
        <w:rPr>
          <w:color w:val="000000"/>
          <w:szCs w:val="22"/>
          <w:lang w:val="es-ES"/>
        </w:rPr>
        <w:t xml:space="preserve">meses de tratamiento, o </w:t>
      </w:r>
      <w:r w:rsidRPr="002D741C">
        <w:rPr>
          <w:color w:val="000000"/>
          <w:szCs w:val="22"/>
          <w:lang w:val="es-ES"/>
        </w:rPr>
        <w:t xml:space="preserve">pérdida de la respuesta hematológica </w:t>
      </w:r>
      <w:r w:rsidR="00475734" w:rsidRPr="002D741C">
        <w:rPr>
          <w:color w:val="000000"/>
          <w:szCs w:val="22"/>
          <w:lang w:val="es-ES"/>
        </w:rPr>
        <w:t xml:space="preserve">y/o citogenética </w:t>
      </w:r>
      <w:r w:rsidRPr="002D741C">
        <w:rPr>
          <w:color w:val="000000"/>
          <w:szCs w:val="22"/>
          <w:lang w:val="es-ES"/>
        </w:rPr>
        <w:t xml:space="preserve">alcanzada previamente. Debido a la posibilidad de un aumento de la incidencia de </w:t>
      </w:r>
      <w:r w:rsidR="00475734" w:rsidRPr="002D741C">
        <w:rPr>
          <w:color w:val="000000"/>
          <w:szCs w:val="22"/>
          <w:lang w:val="es-ES"/>
        </w:rPr>
        <w:t xml:space="preserve">reacciones </w:t>
      </w:r>
      <w:r w:rsidRPr="002D741C">
        <w:rPr>
          <w:color w:val="000000"/>
          <w:szCs w:val="22"/>
          <w:lang w:val="es-ES"/>
        </w:rPr>
        <w:t>advers</w:t>
      </w:r>
      <w:r w:rsidR="00475734" w:rsidRPr="002D741C">
        <w:rPr>
          <w:color w:val="000000"/>
          <w:szCs w:val="22"/>
          <w:lang w:val="es-ES"/>
        </w:rPr>
        <w:t>a</w:t>
      </w:r>
      <w:r w:rsidRPr="002D741C">
        <w:rPr>
          <w:color w:val="000000"/>
          <w:szCs w:val="22"/>
          <w:lang w:val="es-ES"/>
        </w:rPr>
        <w:t>s a dosis superiores, los pacientes deben ser estrechamente controlados tras la escalada de dosis.</w:t>
      </w:r>
    </w:p>
    <w:p w14:paraId="3CA2A21D" w14:textId="77777777" w:rsidR="002626B2" w:rsidRPr="002D741C" w:rsidRDefault="002626B2" w:rsidP="001A2F33">
      <w:pPr>
        <w:pStyle w:val="EndnoteText"/>
        <w:widowControl w:val="0"/>
        <w:tabs>
          <w:tab w:val="clear" w:pos="567"/>
        </w:tabs>
        <w:rPr>
          <w:color w:val="000000"/>
          <w:szCs w:val="22"/>
          <w:lang w:val="es-ES"/>
        </w:rPr>
      </w:pPr>
    </w:p>
    <w:p w14:paraId="4631FB71" w14:textId="77777777" w:rsidR="00AF22BD" w:rsidRPr="002D741C" w:rsidRDefault="00AF22BD" w:rsidP="00C16E58">
      <w:pPr>
        <w:pStyle w:val="EndnoteText"/>
        <w:keepNext/>
        <w:widowControl w:val="0"/>
        <w:tabs>
          <w:tab w:val="clear" w:pos="567"/>
        </w:tabs>
        <w:rPr>
          <w:color w:val="000000"/>
          <w:szCs w:val="22"/>
          <w:u w:val="single"/>
          <w:lang w:val="es-ES"/>
        </w:rPr>
      </w:pPr>
      <w:r w:rsidRPr="002D741C">
        <w:rPr>
          <w:color w:val="000000"/>
          <w:szCs w:val="22"/>
          <w:u w:val="single"/>
          <w:lang w:val="es-ES"/>
        </w:rPr>
        <w:t>Posología para LMC en niños</w:t>
      </w:r>
    </w:p>
    <w:p w14:paraId="0687EDC7" w14:textId="77777777" w:rsidR="00F11D96" w:rsidRPr="002D741C" w:rsidRDefault="002626B2" w:rsidP="00AF22BD">
      <w:pPr>
        <w:pStyle w:val="EndnoteText"/>
        <w:widowControl w:val="0"/>
        <w:tabs>
          <w:tab w:val="clear" w:pos="567"/>
        </w:tabs>
        <w:rPr>
          <w:color w:val="000000"/>
          <w:szCs w:val="22"/>
          <w:lang w:val="es-ES"/>
        </w:rPr>
      </w:pPr>
      <w:r w:rsidRPr="002D741C">
        <w:rPr>
          <w:color w:val="000000"/>
          <w:szCs w:val="22"/>
          <w:lang w:val="es-ES"/>
        </w:rPr>
        <w:t>La dosificación en niños deberá basarse en la superficie corporal (mg/m</w:t>
      </w:r>
      <w:r w:rsidRPr="002D741C">
        <w:rPr>
          <w:color w:val="000000"/>
          <w:szCs w:val="22"/>
          <w:vertAlign w:val="superscript"/>
          <w:lang w:val="es-ES"/>
        </w:rPr>
        <w:t>2</w:t>
      </w:r>
      <w:r w:rsidRPr="002D741C">
        <w:rPr>
          <w:color w:val="000000"/>
          <w:szCs w:val="22"/>
          <w:lang w:val="es-ES"/>
        </w:rPr>
        <w:t xml:space="preserve">). Se recomienda </w:t>
      </w:r>
      <w:r w:rsidR="00AF22BD" w:rsidRPr="002D741C">
        <w:rPr>
          <w:color w:val="000000"/>
          <w:szCs w:val="22"/>
          <w:lang w:val="es-ES"/>
        </w:rPr>
        <w:t xml:space="preserve">una </w:t>
      </w:r>
      <w:r w:rsidRPr="002D741C">
        <w:rPr>
          <w:color w:val="000000"/>
          <w:szCs w:val="22"/>
          <w:lang w:val="es-ES"/>
        </w:rPr>
        <w:t>dosis de 340</w:t>
      </w:r>
      <w:r w:rsidR="006171A6" w:rsidRPr="002D741C">
        <w:rPr>
          <w:color w:val="000000"/>
          <w:szCs w:val="22"/>
          <w:lang w:val="es-ES"/>
        </w:rPr>
        <w:t> mg</w:t>
      </w:r>
      <w:r w:rsidRPr="002D741C">
        <w:rPr>
          <w:color w:val="000000"/>
          <w:szCs w:val="22"/>
          <w:lang w:val="es-ES"/>
        </w:rPr>
        <w:t>/m</w:t>
      </w:r>
      <w:r w:rsidRPr="002D741C">
        <w:rPr>
          <w:color w:val="000000"/>
          <w:szCs w:val="22"/>
          <w:vertAlign w:val="superscript"/>
          <w:lang w:val="es-ES"/>
        </w:rPr>
        <w:t>2</w:t>
      </w:r>
      <w:r w:rsidRPr="002D741C">
        <w:rPr>
          <w:color w:val="000000"/>
          <w:szCs w:val="22"/>
          <w:lang w:val="es-ES"/>
        </w:rPr>
        <w:t xml:space="preserve"> al día en niños con LMC en fase crónica y LMC en fases avanzadas</w:t>
      </w:r>
      <w:r w:rsidR="00AF22BD" w:rsidRPr="002D741C">
        <w:rPr>
          <w:color w:val="000000"/>
          <w:szCs w:val="22"/>
          <w:lang w:val="es-ES"/>
        </w:rPr>
        <w:t xml:space="preserve"> (sin superar la dosis </w:t>
      </w:r>
      <w:r w:rsidR="00AF22BD" w:rsidRPr="002D741C">
        <w:rPr>
          <w:color w:val="000000"/>
          <w:szCs w:val="22"/>
          <w:lang w:val="es-ES"/>
        </w:rPr>
        <w:lastRenderedPageBreak/>
        <w:t xml:space="preserve">total de 800 mg). </w:t>
      </w:r>
      <w:r w:rsidRPr="002D741C">
        <w:rPr>
          <w:color w:val="000000"/>
          <w:szCs w:val="22"/>
          <w:lang w:val="es-ES"/>
        </w:rPr>
        <w:t xml:space="preserve">El tratamiento puede administrarse una vez al día o, alternativamente, puede </w:t>
      </w:r>
      <w:r w:rsidR="000257BF" w:rsidRPr="002D741C">
        <w:rPr>
          <w:color w:val="000000"/>
          <w:szCs w:val="22"/>
          <w:lang w:val="es-ES"/>
        </w:rPr>
        <w:t>dividirse</w:t>
      </w:r>
      <w:r w:rsidRPr="002D741C">
        <w:rPr>
          <w:color w:val="000000"/>
          <w:szCs w:val="22"/>
          <w:lang w:val="es-ES"/>
        </w:rPr>
        <w:t xml:space="preserve"> la dosis en dos administraciones – una por la mañana y otra por la noche. La recomendación posológica se basa actualmente en un número pequeño de pacientes pediátricos (</w:t>
      </w:r>
      <w:r w:rsidR="00F00735" w:rsidRPr="002D741C">
        <w:rPr>
          <w:color w:val="000000"/>
          <w:szCs w:val="22"/>
          <w:lang w:val="es-ES"/>
        </w:rPr>
        <w:t xml:space="preserve">ver secciones </w:t>
      </w:r>
      <w:r w:rsidRPr="002D741C">
        <w:rPr>
          <w:color w:val="000000"/>
          <w:szCs w:val="22"/>
          <w:lang w:val="es-ES"/>
        </w:rPr>
        <w:t xml:space="preserve">5.1 y 5.2). No existe experiencia en el tratamiento de niños menores de </w:t>
      </w:r>
      <w:r w:rsidR="00AF22BD" w:rsidRPr="002D741C">
        <w:rPr>
          <w:color w:val="000000"/>
          <w:szCs w:val="22"/>
          <w:lang w:val="es-ES"/>
        </w:rPr>
        <w:t>2</w:t>
      </w:r>
      <w:r w:rsidR="00DF063A" w:rsidRPr="002D741C">
        <w:rPr>
          <w:color w:val="000000"/>
          <w:szCs w:val="22"/>
          <w:lang w:val="es-ES"/>
        </w:rPr>
        <w:t> </w:t>
      </w:r>
      <w:r w:rsidRPr="002D741C">
        <w:rPr>
          <w:color w:val="000000"/>
          <w:szCs w:val="22"/>
          <w:lang w:val="es-ES"/>
        </w:rPr>
        <w:t>años de edad.</w:t>
      </w:r>
    </w:p>
    <w:p w14:paraId="27B9A8F6" w14:textId="77777777" w:rsidR="002626B2" w:rsidRPr="002D741C" w:rsidRDefault="002626B2" w:rsidP="001A2F33">
      <w:pPr>
        <w:pStyle w:val="EndnoteText"/>
        <w:widowControl w:val="0"/>
        <w:tabs>
          <w:tab w:val="clear" w:pos="567"/>
        </w:tabs>
        <w:rPr>
          <w:color w:val="000000"/>
          <w:szCs w:val="22"/>
          <w:lang w:val="es-ES"/>
        </w:rPr>
      </w:pPr>
    </w:p>
    <w:p w14:paraId="1893ABA7" w14:textId="77777777" w:rsidR="00AF22BD" w:rsidRPr="002D741C" w:rsidRDefault="00AF22BD" w:rsidP="00AF22BD">
      <w:pPr>
        <w:pStyle w:val="EndnoteText"/>
        <w:widowControl w:val="0"/>
        <w:tabs>
          <w:tab w:val="clear" w:pos="567"/>
        </w:tabs>
        <w:rPr>
          <w:color w:val="000000"/>
          <w:szCs w:val="22"/>
          <w:lang w:val="es-ES"/>
        </w:rPr>
      </w:pPr>
      <w:r w:rsidRPr="002D741C">
        <w:rPr>
          <w:color w:val="000000"/>
          <w:szCs w:val="22"/>
          <w:lang w:val="es-ES"/>
        </w:rPr>
        <w:t>Se pueden considerar aumentos de dosis de 340 mg/</w:t>
      </w:r>
      <w:r w:rsidRPr="002D741C">
        <w:rPr>
          <w:color w:val="000000"/>
          <w:szCs w:val="22"/>
          <w:lang w:val="es-ES_tradnl"/>
        </w:rPr>
        <w:t>m</w:t>
      </w:r>
      <w:r w:rsidRPr="002D741C">
        <w:rPr>
          <w:color w:val="000000"/>
          <w:szCs w:val="22"/>
          <w:vertAlign w:val="superscript"/>
          <w:lang w:val="es-ES_tradnl"/>
        </w:rPr>
        <w:t>2</w:t>
      </w:r>
      <w:r w:rsidRPr="002D741C">
        <w:rPr>
          <w:color w:val="000000"/>
          <w:szCs w:val="22"/>
          <w:lang w:val="es-ES_tradnl"/>
        </w:rPr>
        <w:t xml:space="preserve"> diarios a 570 </w:t>
      </w:r>
      <w:r w:rsidRPr="002D741C">
        <w:rPr>
          <w:color w:val="000000"/>
          <w:szCs w:val="22"/>
          <w:lang w:val="es-ES"/>
        </w:rPr>
        <w:t>mg/</w:t>
      </w:r>
      <w:r w:rsidRPr="002D741C">
        <w:rPr>
          <w:color w:val="000000"/>
          <w:szCs w:val="22"/>
          <w:lang w:val="es-ES_tradnl"/>
        </w:rPr>
        <w:t>m</w:t>
      </w:r>
      <w:r w:rsidRPr="002D741C">
        <w:rPr>
          <w:color w:val="000000"/>
          <w:szCs w:val="22"/>
          <w:vertAlign w:val="superscript"/>
          <w:lang w:val="es-ES_tradnl"/>
        </w:rPr>
        <w:t>2</w:t>
      </w:r>
      <w:r w:rsidRPr="002D741C">
        <w:rPr>
          <w:color w:val="000000"/>
          <w:szCs w:val="22"/>
          <w:lang w:val="es-ES_tradnl"/>
        </w:rPr>
        <w:t xml:space="preserve"> diarios (sin superar la dosis total de 800 mg) en niños, en ausencia de reacciones adversas graves y de neutropenia o trombocitopenia no relacionados con la leucemia, en las siguientes circunstancias: progresión de la enfermedad (en cualquier momento); si no se consigue una respuesta hematológica satisfactoria después de por lo menos 3 meses de tratamiento, si no se consigue una respuesta citogenética después de 12 meses de tratamiento, o pérdida de respuesta hematológica y/o citogenética alcanzada previamente. </w:t>
      </w:r>
      <w:r w:rsidRPr="002D741C">
        <w:rPr>
          <w:color w:val="000000"/>
          <w:szCs w:val="22"/>
          <w:lang w:val="es-ES"/>
        </w:rPr>
        <w:t>Debido a la posibilidad de un aumento de la incidencia de reacciones adversas a dosis superiores, los pacientes deben ser estrechamente controlados tras la escalada de dosis.</w:t>
      </w:r>
    </w:p>
    <w:p w14:paraId="742CE7AD" w14:textId="77777777" w:rsidR="00F068A2" w:rsidRPr="002D741C" w:rsidRDefault="00F068A2" w:rsidP="00F068A2">
      <w:pPr>
        <w:pStyle w:val="EndnoteText"/>
        <w:widowControl w:val="0"/>
        <w:tabs>
          <w:tab w:val="clear" w:pos="567"/>
        </w:tabs>
        <w:rPr>
          <w:color w:val="000000"/>
          <w:szCs w:val="22"/>
          <w:u w:val="single"/>
          <w:lang w:val="es-ES"/>
        </w:rPr>
      </w:pPr>
    </w:p>
    <w:p w14:paraId="79C0D905" w14:textId="77777777" w:rsidR="00F068A2" w:rsidRPr="002D741C" w:rsidRDefault="00F068A2" w:rsidP="00C16E58">
      <w:pPr>
        <w:pStyle w:val="EndnoteText"/>
        <w:keepNext/>
        <w:widowControl w:val="0"/>
        <w:tabs>
          <w:tab w:val="clear" w:pos="567"/>
        </w:tabs>
        <w:rPr>
          <w:color w:val="000000"/>
          <w:szCs w:val="22"/>
          <w:u w:val="single"/>
          <w:lang w:val="es-ES"/>
        </w:rPr>
      </w:pPr>
      <w:r w:rsidRPr="002D741C">
        <w:rPr>
          <w:color w:val="000000"/>
          <w:szCs w:val="22"/>
          <w:u w:val="single"/>
          <w:lang w:val="es-ES"/>
        </w:rPr>
        <w:t>Posología para LLA Ph+</w:t>
      </w:r>
      <w:r w:rsidR="009538A6" w:rsidRPr="002D741C">
        <w:rPr>
          <w:color w:val="000000"/>
          <w:szCs w:val="22"/>
          <w:u w:val="single"/>
          <w:lang w:val="es-ES"/>
        </w:rPr>
        <w:t xml:space="preserve"> en pacientes adultos</w:t>
      </w:r>
    </w:p>
    <w:p w14:paraId="76529AB6" w14:textId="77777777" w:rsidR="00F068A2" w:rsidRPr="002D741C" w:rsidRDefault="00F068A2" w:rsidP="00F068A2">
      <w:pPr>
        <w:pStyle w:val="EndnoteText"/>
        <w:widowControl w:val="0"/>
        <w:tabs>
          <w:tab w:val="clear" w:pos="567"/>
        </w:tabs>
        <w:rPr>
          <w:color w:val="000000"/>
          <w:szCs w:val="22"/>
          <w:lang w:val="es-ES"/>
        </w:rPr>
      </w:pPr>
      <w:r w:rsidRPr="002D741C">
        <w:rPr>
          <w:color w:val="000000"/>
          <w:szCs w:val="22"/>
          <w:lang w:val="es-ES"/>
        </w:rPr>
        <w:t xml:space="preserve">La dosis recomendada de Glivec para pacientes </w:t>
      </w:r>
      <w:r w:rsidR="00967AD8" w:rsidRPr="002D741C">
        <w:rPr>
          <w:color w:val="000000"/>
          <w:szCs w:val="22"/>
          <w:lang w:val="es-ES"/>
        </w:rPr>
        <w:t xml:space="preserve">adultos </w:t>
      </w:r>
      <w:r w:rsidRPr="002D741C">
        <w:rPr>
          <w:color w:val="000000"/>
          <w:szCs w:val="22"/>
          <w:lang w:val="es-ES"/>
        </w:rPr>
        <w:t>con LLA Ph+ es de 600 mg/día. Los hematólogos con experiencia en el manejo de esta enfermedad deben supervisar el tratamiento durante todas las fases.</w:t>
      </w:r>
    </w:p>
    <w:p w14:paraId="5A0628BC" w14:textId="77777777" w:rsidR="00F068A2" w:rsidRPr="002D741C" w:rsidRDefault="00F068A2" w:rsidP="00F068A2">
      <w:pPr>
        <w:pStyle w:val="EndnoteText"/>
        <w:widowControl w:val="0"/>
        <w:tabs>
          <w:tab w:val="clear" w:pos="567"/>
        </w:tabs>
        <w:rPr>
          <w:color w:val="000000"/>
          <w:szCs w:val="22"/>
          <w:lang w:val="es-ES"/>
        </w:rPr>
      </w:pPr>
    </w:p>
    <w:p w14:paraId="39558E70" w14:textId="77777777" w:rsidR="00F068A2" w:rsidRPr="002D741C" w:rsidRDefault="00F068A2" w:rsidP="00F068A2">
      <w:pPr>
        <w:pStyle w:val="EndnoteText"/>
        <w:widowControl w:val="0"/>
        <w:tabs>
          <w:tab w:val="clear" w:pos="567"/>
        </w:tabs>
        <w:rPr>
          <w:color w:val="000000"/>
          <w:szCs w:val="22"/>
          <w:lang w:val="es-ES"/>
        </w:rPr>
      </w:pPr>
      <w:r w:rsidRPr="002D741C">
        <w:rPr>
          <w:color w:val="000000"/>
          <w:szCs w:val="22"/>
          <w:lang w:val="es-ES"/>
        </w:rPr>
        <w:t>Pauta de tratamiento: En base a los datos existentes, Glivec ha demostrado ser eficaz y seguro cuando se administró a dosis de 600 mg/día combinado con quimioterapia en la fase de inducción, las fases de consolidación y mantenimiento de la quimioterapia (ver sección 5.1) para pacientes adultos con LLA Ph+ de diagnóstico reciente. La duración del tratamiento con Glivec puede variar con el programa de tratamiento seleccionado, pero generalmente las exposiciones más prolongadas a Glivec han mostrado mejores resultados.</w:t>
      </w:r>
    </w:p>
    <w:p w14:paraId="224625DF" w14:textId="77777777" w:rsidR="00F068A2" w:rsidRPr="002D741C" w:rsidRDefault="00F068A2" w:rsidP="00F068A2">
      <w:pPr>
        <w:pStyle w:val="EndnoteText"/>
        <w:widowControl w:val="0"/>
        <w:tabs>
          <w:tab w:val="clear" w:pos="567"/>
        </w:tabs>
        <w:rPr>
          <w:color w:val="000000"/>
          <w:szCs w:val="22"/>
          <w:lang w:val="es-ES"/>
        </w:rPr>
      </w:pPr>
    </w:p>
    <w:p w14:paraId="7827A4EA" w14:textId="77777777" w:rsidR="00F068A2" w:rsidRPr="002D741C" w:rsidRDefault="00F068A2" w:rsidP="00F068A2">
      <w:pPr>
        <w:pStyle w:val="EndnoteText"/>
        <w:widowControl w:val="0"/>
        <w:tabs>
          <w:tab w:val="clear" w:pos="567"/>
        </w:tabs>
        <w:rPr>
          <w:color w:val="000000"/>
          <w:szCs w:val="22"/>
          <w:lang w:val="es-ES"/>
        </w:rPr>
      </w:pPr>
      <w:r w:rsidRPr="002D741C">
        <w:rPr>
          <w:color w:val="000000"/>
          <w:szCs w:val="22"/>
          <w:lang w:val="es-ES"/>
        </w:rPr>
        <w:t>Para pacientes adultos con LLA Ph+ refractaria o en recaída, la monoterapia con Glivec a 600 mg/día es segura, eficaz y puede administrarse hasta la progresión de la enfermedad.</w:t>
      </w:r>
    </w:p>
    <w:p w14:paraId="23EE9B19" w14:textId="77777777" w:rsidR="009538A6" w:rsidRPr="002D741C" w:rsidRDefault="009538A6" w:rsidP="00F068A2">
      <w:pPr>
        <w:pStyle w:val="EndnoteText"/>
        <w:widowControl w:val="0"/>
        <w:tabs>
          <w:tab w:val="clear" w:pos="567"/>
        </w:tabs>
        <w:rPr>
          <w:color w:val="000000"/>
          <w:szCs w:val="22"/>
          <w:lang w:val="es-ES"/>
        </w:rPr>
      </w:pPr>
    </w:p>
    <w:p w14:paraId="13C0CBC0" w14:textId="77777777" w:rsidR="009538A6" w:rsidRPr="002D741C" w:rsidRDefault="009538A6" w:rsidP="00C16E58">
      <w:pPr>
        <w:pStyle w:val="EndnoteText"/>
        <w:keepNext/>
        <w:widowControl w:val="0"/>
        <w:tabs>
          <w:tab w:val="clear" w:pos="567"/>
        </w:tabs>
        <w:rPr>
          <w:color w:val="000000"/>
          <w:szCs w:val="22"/>
          <w:u w:val="single"/>
          <w:lang w:val="es-ES"/>
        </w:rPr>
      </w:pPr>
      <w:r w:rsidRPr="002D741C">
        <w:rPr>
          <w:color w:val="000000"/>
          <w:szCs w:val="22"/>
          <w:u w:val="single"/>
          <w:lang w:val="es-ES"/>
        </w:rPr>
        <w:t>Posología para LLA Ph+ en niños</w:t>
      </w:r>
    </w:p>
    <w:p w14:paraId="66554B08" w14:textId="77777777" w:rsidR="00FA64EA" w:rsidRPr="002D741C" w:rsidRDefault="00FA64EA" w:rsidP="00F068A2">
      <w:pPr>
        <w:pStyle w:val="EndnoteText"/>
        <w:widowControl w:val="0"/>
        <w:tabs>
          <w:tab w:val="clear" w:pos="567"/>
        </w:tabs>
        <w:rPr>
          <w:color w:val="000000"/>
          <w:szCs w:val="22"/>
          <w:lang w:val="es-ES"/>
        </w:rPr>
      </w:pPr>
      <w:r w:rsidRPr="002D741C">
        <w:rPr>
          <w:color w:val="000000"/>
          <w:szCs w:val="22"/>
          <w:lang w:val="es-ES"/>
        </w:rPr>
        <w:t>La dosis para niños se debe basar en el área de superficie corporal (mg/m</w:t>
      </w:r>
      <w:r w:rsidRPr="002D741C">
        <w:rPr>
          <w:color w:val="000000"/>
          <w:szCs w:val="22"/>
          <w:vertAlign w:val="superscript"/>
          <w:lang w:val="es-ES"/>
        </w:rPr>
        <w:t>2</w:t>
      </w:r>
      <w:r w:rsidRPr="002D741C">
        <w:rPr>
          <w:color w:val="000000"/>
          <w:szCs w:val="22"/>
          <w:lang w:val="es-ES"/>
        </w:rPr>
        <w:t>). Se recomienda la dosis de 340 mg/m</w:t>
      </w:r>
      <w:r w:rsidRPr="002D741C">
        <w:rPr>
          <w:color w:val="000000"/>
          <w:szCs w:val="22"/>
          <w:vertAlign w:val="superscript"/>
          <w:lang w:val="es-ES"/>
        </w:rPr>
        <w:t>2</w:t>
      </w:r>
      <w:r w:rsidRPr="002D741C">
        <w:rPr>
          <w:color w:val="000000"/>
          <w:szCs w:val="22"/>
          <w:lang w:val="es-ES"/>
        </w:rPr>
        <w:t xml:space="preserve"> diaria para niños con LLA Ph+ (sin superar la dosis total de 600 mg).</w:t>
      </w:r>
    </w:p>
    <w:p w14:paraId="712C5A47" w14:textId="77777777" w:rsidR="001B7D1A" w:rsidRPr="002D741C" w:rsidRDefault="001B7D1A" w:rsidP="001B7D1A">
      <w:pPr>
        <w:pStyle w:val="EndnoteText"/>
        <w:widowControl w:val="0"/>
        <w:tabs>
          <w:tab w:val="clear" w:pos="567"/>
        </w:tabs>
        <w:rPr>
          <w:color w:val="000000"/>
          <w:szCs w:val="22"/>
          <w:u w:val="single"/>
          <w:lang w:val="es-ES"/>
        </w:rPr>
      </w:pPr>
    </w:p>
    <w:p w14:paraId="4D9056F8" w14:textId="77777777" w:rsidR="001B7D1A" w:rsidRPr="002D741C" w:rsidRDefault="001B7D1A" w:rsidP="00C16E58">
      <w:pPr>
        <w:pStyle w:val="EndnoteText"/>
        <w:keepNext/>
        <w:widowControl w:val="0"/>
        <w:tabs>
          <w:tab w:val="clear" w:pos="567"/>
        </w:tabs>
        <w:rPr>
          <w:color w:val="000000"/>
          <w:szCs w:val="22"/>
          <w:u w:val="single"/>
          <w:lang w:val="es-ES"/>
        </w:rPr>
      </w:pPr>
      <w:r w:rsidRPr="002D741C">
        <w:rPr>
          <w:color w:val="000000"/>
          <w:szCs w:val="22"/>
          <w:u w:val="single"/>
          <w:lang w:val="es-ES"/>
        </w:rPr>
        <w:t xml:space="preserve">Posología para </w:t>
      </w:r>
      <w:smartTag w:uri="urn:schemas-microsoft-com:office:smarttags" w:element="stockticker">
        <w:r w:rsidRPr="002D741C">
          <w:rPr>
            <w:color w:val="000000"/>
            <w:szCs w:val="22"/>
            <w:u w:val="single"/>
            <w:lang w:val="es-ES"/>
          </w:rPr>
          <w:t>SMD</w:t>
        </w:r>
      </w:smartTag>
      <w:r w:rsidRPr="002D741C">
        <w:rPr>
          <w:color w:val="000000"/>
          <w:szCs w:val="22"/>
          <w:u w:val="single"/>
          <w:lang w:val="es-ES"/>
        </w:rPr>
        <w:t>/</w:t>
      </w:r>
      <w:smartTag w:uri="urn:schemas-microsoft-com:office:smarttags" w:element="stockticker">
        <w:r w:rsidRPr="002D741C">
          <w:rPr>
            <w:color w:val="000000"/>
            <w:szCs w:val="22"/>
            <w:u w:val="single"/>
            <w:lang w:val="es-ES"/>
          </w:rPr>
          <w:t>SMP</w:t>
        </w:r>
      </w:smartTag>
    </w:p>
    <w:p w14:paraId="356547A1" w14:textId="77777777" w:rsidR="001B7D1A" w:rsidRPr="002D741C" w:rsidRDefault="001B7D1A" w:rsidP="001B7D1A">
      <w:pPr>
        <w:pStyle w:val="EndnoteText"/>
        <w:widowControl w:val="0"/>
        <w:tabs>
          <w:tab w:val="clear" w:pos="567"/>
        </w:tabs>
        <w:rPr>
          <w:color w:val="000000"/>
          <w:szCs w:val="22"/>
          <w:lang w:val="es-ES"/>
        </w:rPr>
      </w:pPr>
      <w:r w:rsidRPr="002D741C">
        <w:rPr>
          <w:color w:val="000000"/>
          <w:szCs w:val="22"/>
          <w:lang w:val="es-ES"/>
        </w:rPr>
        <w:t xml:space="preserve">La dosis recomendada de Glivec para pacientes </w:t>
      </w:r>
      <w:r w:rsidR="00967AD8" w:rsidRPr="002D741C">
        <w:rPr>
          <w:color w:val="000000"/>
          <w:szCs w:val="22"/>
          <w:lang w:val="es-ES"/>
        </w:rPr>
        <w:t xml:space="preserve">adultos </w:t>
      </w:r>
      <w:r w:rsidRPr="002D741C">
        <w:rPr>
          <w:color w:val="000000"/>
          <w:szCs w:val="22"/>
          <w:lang w:val="es-ES"/>
        </w:rPr>
        <w:t xml:space="preserve">con </w:t>
      </w:r>
      <w:smartTag w:uri="urn:schemas-microsoft-com:office:smarttags" w:element="stockticker">
        <w:r w:rsidRPr="002D741C">
          <w:rPr>
            <w:color w:val="000000"/>
            <w:szCs w:val="22"/>
            <w:lang w:val="es-ES"/>
          </w:rPr>
          <w:t>SMD</w:t>
        </w:r>
      </w:smartTag>
      <w:r w:rsidRPr="002D741C">
        <w:rPr>
          <w:color w:val="000000"/>
          <w:szCs w:val="22"/>
          <w:lang w:val="es-ES"/>
        </w:rPr>
        <w:t>/</w:t>
      </w:r>
      <w:smartTag w:uri="urn:schemas-microsoft-com:office:smarttags" w:element="stockticker">
        <w:r w:rsidRPr="002D741C">
          <w:rPr>
            <w:color w:val="000000"/>
            <w:szCs w:val="22"/>
            <w:lang w:val="es-ES"/>
          </w:rPr>
          <w:t>SMP</w:t>
        </w:r>
      </w:smartTag>
      <w:r w:rsidRPr="002D741C">
        <w:rPr>
          <w:color w:val="000000"/>
          <w:szCs w:val="22"/>
          <w:lang w:val="es-ES"/>
        </w:rPr>
        <w:t xml:space="preserve"> es de 400 mg/día.</w:t>
      </w:r>
    </w:p>
    <w:p w14:paraId="0979B5AC" w14:textId="77777777" w:rsidR="00AF22BD" w:rsidRPr="002D741C" w:rsidRDefault="00AF22BD" w:rsidP="001A2F33">
      <w:pPr>
        <w:pStyle w:val="EndnoteText"/>
        <w:widowControl w:val="0"/>
        <w:tabs>
          <w:tab w:val="clear" w:pos="567"/>
        </w:tabs>
        <w:rPr>
          <w:color w:val="000000"/>
          <w:szCs w:val="22"/>
          <w:lang w:val="es-ES"/>
        </w:rPr>
      </w:pPr>
    </w:p>
    <w:p w14:paraId="1D3B3438" w14:textId="77777777" w:rsidR="001B7D1A" w:rsidRPr="002D741C" w:rsidRDefault="001B7D1A" w:rsidP="00CF336E">
      <w:pPr>
        <w:pStyle w:val="EndnoteText"/>
        <w:widowControl w:val="0"/>
        <w:tabs>
          <w:tab w:val="clear" w:pos="567"/>
        </w:tabs>
        <w:rPr>
          <w:color w:val="000000"/>
          <w:szCs w:val="22"/>
          <w:lang w:val="es-ES"/>
        </w:rPr>
      </w:pPr>
      <w:r w:rsidRPr="002D741C">
        <w:rPr>
          <w:color w:val="000000"/>
          <w:szCs w:val="22"/>
          <w:lang w:val="es-ES"/>
        </w:rPr>
        <w:t xml:space="preserve">Duración del tratamiento: En el único </w:t>
      </w:r>
      <w:r w:rsidR="003C3958" w:rsidRPr="002D741C">
        <w:rPr>
          <w:color w:val="000000"/>
          <w:szCs w:val="22"/>
          <w:lang w:val="es-ES"/>
        </w:rPr>
        <w:t>ensayo clínico realizado hasta ahora, el tratamiento con Glivec continuó hasta la progresión de la enfermedad</w:t>
      </w:r>
      <w:r w:rsidR="00CF336E" w:rsidRPr="002D741C">
        <w:rPr>
          <w:color w:val="000000"/>
          <w:szCs w:val="22"/>
          <w:lang w:val="es-ES"/>
        </w:rPr>
        <w:t xml:space="preserve"> (ver sección 5.1). En el momento del análisis, la duración mediana del tratamiento era de 47 meses (24 días – 60 meses)</w:t>
      </w:r>
      <w:r w:rsidR="003C3958" w:rsidRPr="002D741C">
        <w:rPr>
          <w:color w:val="000000"/>
          <w:szCs w:val="22"/>
          <w:lang w:val="es-ES"/>
        </w:rPr>
        <w:t>.</w:t>
      </w:r>
    </w:p>
    <w:p w14:paraId="034F0CAF" w14:textId="77777777" w:rsidR="00A6642A" w:rsidRPr="002D741C" w:rsidRDefault="00A6642A" w:rsidP="003C276D">
      <w:pPr>
        <w:pStyle w:val="EndnoteText"/>
        <w:widowControl w:val="0"/>
        <w:tabs>
          <w:tab w:val="clear" w:pos="567"/>
        </w:tabs>
        <w:rPr>
          <w:color w:val="000000"/>
          <w:szCs w:val="22"/>
          <w:lang w:val="es-ES"/>
        </w:rPr>
      </w:pPr>
    </w:p>
    <w:p w14:paraId="0AA63BDE" w14:textId="77777777" w:rsidR="00A6642A" w:rsidRPr="002D741C" w:rsidRDefault="00A6642A" w:rsidP="00C16E58">
      <w:pPr>
        <w:pStyle w:val="EndnoteText"/>
        <w:keepNext/>
        <w:widowControl w:val="0"/>
        <w:tabs>
          <w:tab w:val="clear" w:pos="567"/>
        </w:tabs>
        <w:rPr>
          <w:color w:val="000000"/>
          <w:szCs w:val="22"/>
          <w:u w:val="single"/>
          <w:lang w:val="es-ES"/>
        </w:rPr>
      </w:pPr>
      <w:r w:rsidRPr="002D741C">
        <w:rPr>
          <w:color w:val="000000"/>
          <w:szCs w:val="22"/>
          <w:u w:val="single"/>
          <w:lang w:val="es-ES"/>
        </w:rPr>
        <w:t>Posología para SHE/LEC</w:t>
      </w:r>
    </w:p>
    <w:p w14:paraId="26536029" w14:textId="77777777" w:rsidR="00A6642A" w:rsidRPr="002D741C" w:rsidRDefault="00A6642A" w:rsidP="00A6642A">
      <w:pPr>
        <w:pStyle w:val="EndnoteText"/>
        <w:widowControl w:val="0"/>
        <w:tabs>
          <w:tab w:val="clear" w:pos="567"/>
        </w:tabs>
        <w:rPr>
          <w:color w:val="000000"/>
          <w:szCs w:val="22"/>
          <w:lang w:val="es-ES"/>
        </w:rPr>
      </w:pPr>
      <w:r w:rsidRPr="002D741C">
        <w:rPr>
          <w:color w:val="000000"/>
          <w:szCs w:val="22"/>
          <w:lang w:val="es-ES"/>
        </w:rPr>
        <w:t xml:space="preserve">La dosis recomendada de Glivec es de 100 mg/día para pacientes </w:t>
      </w:r>
      <w:r w:rsidR="00967AD8" w:rsidRPr="002D741C">
        <w:rPr>
          <w:color w:val="000000"/>
          <w:szCs w:val="22"/>
          <w:lang w:val="es-ES"/>
        </w:rPr>
        <w:t xml:space="preserve">adultos </w:t>
      </w:r>
      <w:r w:rsidRPr="002D741C">
        <w:rPr>
          <w:color w:val="000000"/>
          <w:szCs w:val="22"/>
          <w:lang w:val="es-ES"/>
        </w:rPr>
        <w:t>con SHE/LEC.</w:t>
      </w:r>
    </w:p>
    <w:p w14:paraId="679CCB51" w14:textId="77777777" w:rsidR="00A6642A" w:rsidRPr="002D741C" w:rsidRDefault="00A6642A" w:rsidP="00A6642A">
      <w:pPr>
        <w:pStyle w:val="EndnoteText"/>
        <w:widowControl w:val="0"/>
        <w:tabs>
          <w:tab w:val="clear" w:pos="567"/>
        </w:tabs>
        <w:rPr>
          <w:color w:val="000000"/>
          <w:szCs w:val="22"/>
          <w:lang w:val="es-ES"/>
        </w:rPr>
      </w:pPr>
    </w:p>
    <w:p w14:paraId="0530C97E" w14:textId="77777777" w:rsidR="00A6642A" w:rsidRPr="002D741C" w:rsidRDefault="00A6642A" w:rsidP="00A6642A">
      <w:pPr>
        <w:pStyle w:val="EndnoteText"/>
        <w:widowControl w:val="0"/>
        <w:tabs>
          <w:tab w:val="clear" w:pos="567"/>
        </w:tabs>
        <w:rPr>
          <w:rFonts w:eastAsia="MS Mincho"/>
          <w:color w:val="000000"/>
          <w:szCs w:val="22"/>
          <w:lang w:val="es-ES_tradnl" w:eastAsia="ja-JP"/>
        </w:rPr>
      </w:pPr>
      <w:r w:rsidRPr="002D741C">
        <w:rPr>
          <w:color w:val="000000"/>
          <w:szCs w:val="22"/>
          <w:lang w:val="es-ES_tradnl"/>
        </w:rPr>
        <w:t xml:space="preserve">Se puede considerar un aumento de dosis de 100 mg a 400 mg en ausencia de reacciones adversas al fármaco </w:t>
      </w:r>
      <w:r w:rsidRPr="002D741C">
        <w:rPr>
          <w:rFonts w:eastAsia="MS Mincho"/>
          <w:color w:val="000000"/>
          <w:szCs w:val="22"/>
          <w:lang w:val="es-ES_tradnl" w:eastAsia="ja-JP"/>
        </w:rPr>
        <w:t>si las valoraciones demuestran una respuesta insuficiente al tratamiento.</w:t>
      </w:r>
    </w:p>
    <w:p w14:paraId="3BAEA783" w14:textId="77777777" w:rsidR="00154C6C" w:rsidRPr="002D741C" w:rsidRDefault="00154C6C" w:rsidP="00A6642A">
      <w:pPr>
        <w:pStyle w:val="EndnoteText"/>
        <w:widowControl w:val="0"/>
        <w:tabs>
          <w:tab w:val="clear" w:pos="567"/>
        </w:tabs>
        <w:rPr>
          <w:rFonts w:eastAsia="MS Mincho"/>
          <w:color w:val="000000"/>
          <w:szCs w:val="22"/>
          <w:lang w:val="es-ES_tradnl" w:eastAsia="ja-JP"/>
        </w:rPr>
      </w:pPr>
    </w:p>
    <w:p w14:paraId="365D2408" w14:textId="77777777" w:rsidR="00154C6C" w:rsidRPr="002D741C" w:rsidRDefault="00154C6C" w:rsidP="00A6642A">
      <w:pPr>
        <w:pStyle w:val="EndnoteText"/>
        <w:widowControl w:val="0"/>
        <w:tabs>
          <w:tab w:val="clear" w:pos="567"/>
        </w:tabs>
        <w:rPr>
          <w:rFonts w:eastAsia="MS Mincho"/>
          <w:color w:val="000000"/>
          <w:szCs w:val="22"/>
          <w:lang w:val="es-ES_tradnl" w:eastAsia="ja-JP"/>
        </w:rPr>
      </w:pPr>
      <w:r w:rsidRPr="002D741C">
        <w:rPr>
          <w:rFonts w:eastAsia="MS Mincho"/>
          <w:color w:val="000000"/>
          <w:szCs w:val="22"/>
          <w:lang w:val="es-ES_tradnl" w:eastAsia="ja-JP"/>
        </w:rPr>
        <w:t>El tratamiento debe prolongarse mientras continúe el beneficio para el paciente.</w:t>
      </w:r>
    </w:p>
    <w:p w14:paraId="2E3C1FC6" w14:textId="77777777" w:rsidR="003C3958" w:rsidRPr="002D741C" w:rsidRDefault="003C3958" w:rsidP="003C3958">
      <w:pPr>
        <w:pStyle w:val="EndnoteText"/>
        <w:widowControl w:val="0"/>
        <w:tabs>
          <w:tab w:val="clear" w:pos="567"/>
        </w:tabs>
        <w:rPr>
          <w:color w:val="000000"/>
          <w:szCs w:val="22"/>
          <w:lang w:val="es-ES"/>
        </w:rPr>
      </w:pPr>
    </w:p>
    <w:p w14:paraId="539BB2BD" w14:textId="77777777" w:rsidR="00B0341F" w:rsidRPr="002D741C" w:rsidRDefault="00B0341F" w:rsidP="00C16E58">
      <w:pPr>
        <w:pStyle w:val="EndnoteText"/>
        <w:keepNext/>
        <w:widowControl w:val="0"/>
        <w:tabs>
          <w:tab w:val="clear" w:pos="567"/>
        </w:tabs>
        <w:rPr>
          <w:color w:val="000000"/>
          <w:szCs w:val="22"/>
          <w:u w:val="single"/>
          <w:lang w:val="es-ES"/>
        </w:rPr>
      </w:pPr>
      <w:r w:rsidRPr="002D741C">
        <w:rPr>
          <w:color w:val="000000"/>
          <w:szCs w:val="22"/>
          <w:u w:val="single"/>
          <w:lang w:val="es-ES"/>
        </w:rPr>
        <w:t>Posología para G</w:t>
      </w:r>
      <w:smartTag w:uri="urn:schemas-microsoft-com:office:smarttags" w:element="PersonName">
        <w:r w:rsidRPr="002D741C">
          <w:rPr>
            <w:color w:val="000000"/>
            <w:szCs w:val="22"/>
            <w:u w:val="single"/>
            <w:lang w:val="es-ES"/>
          </w:rPr>
          <w:t>IS</w:t>
        </w:r>
      </w:smartTag>
      <w:r w:rsidRPr="002D741C">
        <w:rPr>
          <w:color w:val="000000"/>
          <w:szCs w:val="22"/>
          <w:u w:val="single"/>
          <w:lang w:val="es-ES"/>
        </w:rPr>
        <w:t>T</w:t>
      </w:r>
    </w:p>
    <w:p w14:paraId="1724E543" w14:textId="77777777" w:rsidR="00B0341F" w:rsidRPr="002D741C" w:rsidRDefault="00B0341F" w:rsidP="00B0341F">
      <w:pPr>
        <w:pStyle w:val="EndnoteText"/>
        <w:widowControl w:val="0"/>
        <w:tabs>
          <w:tab w:val="clear" w:pos="567"/>
        </w:tabs>
        <w:rPr>
          <w:color w:val="000000"/>
          <w:szCs w:val="22"/>
          <w:lang w:val="es-ES"/>
        </w:rPr>
      </w:pPr>
      <w:r w:rsidRPr="002D741C">
        <w:rPr>
          <w:color w:val="000000"/>
          <w:szCs w:val="22"/>
          <w:lang w:val="es-ES"/>
        </w:rPr>
        <w:t xml:space="preserve">La dosis recomendada de Glivec para pacientes </w:t>
      </w:r>
      <w:r w:rsidR="00967AD8" w:rsidRPr="002D741C">
        <w:rPr>
          <w:color w:val="000000"/>
          <w:szCs w:val="22"/>
          <w:lang w:val="es-ES"/>
        </w:rPr>
        <w:t xml:space="preserve">adultos </w:t>
      </w:r>
      <w:r w:rsidRPr="002D741C">
        <w:rPr>
          <w:color w:val="000000"/>
          <w:szCs w:val="22"/>
          <w:lang w:val="es-ES"/>
        </w:rPr>
        <w:t>con G</w:t>
      </w:r>
      <w:smartTag w:uri="urn:schemas-microsoft-com:office:smarttags" w:element="PersonName">
        <w:r w:rsidRPr="002D741C">
          <w:rPr>
            <w:color w:val="000000"/>
            <w:szCs w:val="22"/>
            <w:lang w:val="es-ES"/>
          </w:rPr>
          <w:t>IS</w:t>
        </w:r>
      </w:smartTag>
      <w:r w:rsidRPr="002D741C">
        <w:rPr>
          <w:color w:val="000000"/>
          <w:szCs w:val="22"/>
          <w:lang w:val="es-ES"/>
        </w:rPr>
        <w:t>T maligno no resecable y/o metastásico es de 400 mg/día.</w:t>
      </w:r>
    </w:p>
    <w:p w14:paraId="7D7C04B1" w14:textId="77777777" w:rsidR="00B0341F" w:rsidRPr="002D741C" w:rsidRDefault="00B0341F" w:rsidP="00B0341F">
      <w:pPr>
        <w:pStyle w:val="EndnoteText"/>
        <w:widowControl w:val="0"/>
        <w:tabs>
          <w:tab w:val="clear" w:pos="567"/>
        </w:tabs>
        <w:rPr>
          <w:color w:val="000000"/>
          <w:szCs w:val="22"/>
          <w:lang w:val="es-ES"/>
        </w:rPr>
      </w:pPr>
    </w:p>
    <w:p w14:paraId="19CCF3D6" w14:textId="77777777" w:rsidR="00B0341F" w:rsidRPr="002D741C" w:rsidRDefault="00B0341F" w:rsidP="00B0341F">
      <w:pPr>
        <w:pStyle w:val="EndnoteText"/>
        <w:widowControl w:val="0"/>
        <w:tabs>
          <w:tab w:val="clear" w:pos="567"/>
        </w:tabs>
        <w:rPr>
          <w:color w:val="000000"/>
          <w:szCs w:val="22"/>
          <w:lang w:val="es-ES"/>
        </w:rPr>
      </w:pPr>
      <w:r w:rsidRPr="002D741C">
        <w:rPr>
          <w:color w:val="000000"/>
          <w:szCs w:val="22"/>
          <w:lang w:val="es-ES"/>
        </w:rPr>
        <w:t>Existen datos limitados sobre el efecto del aumento de la dosis desde 400 mg a 600 mg ó 800 mg en pacientes que muestran progresión con la primera de las dosis (ver sección 5.1).</w:t>
      </w:r>
    </w:p>
    <w:p w14:paraId="66B32431" w14:textId="77777777" w:rsidR="00B0341F" w:rsidRPr="002D741C" w:rsidRDefault="00B0341F" w:rsidP="00B0341F">
      <w:pPr>
        <w:pStyle w:val="EndnoteText"/>
        <w:widowControl w:val="0"/>
        <w:tabs>
          <w:tab w:val="clear" w:pos="567"/>
        </w:tabs>
        <w:rPr>
          <w:color w:val="000000"/>
          <w:szCs w:val="22"/>
          <w:lang w:val="es-ES"/>
        </w:rPr>
      </w:pPr>
    </w:p>
    <w:p w14:paraId="018068A3" w14:textId="77777777" w:rsidR="00B0341F" w:rsidRPr="002D741C" w:rsidRDefault="00B0341F" w:rsidP="00B0341F">
      <w:pPr>
        <w:pStyle w:val="EndnoteText"/>
        <w:widowControl w:val="0"/>
        <w:tabs>
          <w:tab w:val="clear" w:pos="567"/>
        </w:tabs>
        <w:rPr>
          <w:color w:val="000000"/>
          <w:szCs w:val="22"/>
          <w:lang w:val="es-ES"/>
        </w:rPr>
      </w:pPr>
      <w:r w:rsidRPr="002D741C">
        <w:rPr>
          <w:color w:val="000000"/>
          <w:szCs w:val="22"/>
          <w:lang w:val="es-ES"/>
        </w:rPr>
        <w:t>Duración del tratamiento: En los ensayos clínicos en pacientes con G</w:t>
      </w:r>
      <w:smartTag w:uri="urn:schemas-microsoft-com:office:smarttags" w:element="PersonName">
        <w:r w:rsidRPr="002D741C">
          <w:rPr>
            <w:color w:val="000000"/>
            <w:szCs w:val="22"/>
            <w:lang w:val="es-ES"/>
          </w:rPr>
          <w:t>IS</w:t>
        </w:r>
      </w:smartTag>
      <w:r w:rsidRPr="002D741C">
        <w:rPr>
          <w:color w:val="000000"/>
          <w:szCs w:val="22"/>
          <w:lang w:val="es-ES"/>
        </w:rPr>
        <w:t xml:space="preserve">T, el tratamiento con Glivec continuó hasta la progresión de la enfermedad. En el momento del análisis, la duración del tratamiento </w:t>
      </w:r>
      <w:r w:rsidRPr="002D741C">
        <w:rPr>
          <w:color w:val="000000"/>
          <w:szCs w:val="22"/>
          <w:lang w:val="es-ES"/>
        </w:rPr>
        <w:lastRenderedPageBreak/>
        <w:t>era de 7 meses de mediana (7 días a 13 meses). No ha sido investigado el efecto de la interrupción del tratamiento después de alcanzar una respuesta.</w:t>
      </w:r>
    </w:p>
    <w:p w14:paraId="363AD9DB" w14:textId="77777777" w:rsidR="00B0341F" w:rsidRPr="002D741C" w:rsidRDefault="00B0341F" w:rsidP="00B0341F">
      <w:pPr>
        <w:pStyle w:val="EndnoteText"/>
        <w:widowControl w:val="0"/>
        <w:tabs>
          <w:tab w:val="clear" w:pos="567"/>
        </w:tabs>
        <w:rPr>
          <w:color w:val="000000"/>
          <w:szCs w:val="22"/>
          <w:lang w:val="es-ES"/>
        </w:rPr>
      </w:pPr>
    </w:p>
    <w:p w14:paraId="0AC47995" w14:textId="77777777" w:rsidR="00B0341F" w:rsidRPr="002D741C" w:rsidRDefault="00B0341F" w:rsidP="00B0341F">
      <w:pPr>
        <w:pStyle w:val="EndnoteText"/>
        <w:widowControl w:val="0"/>
        <w:tabs>
          <w:tab w:val="clear" w:pos="567"/>
        </w:tabs>
        <w:rPr>
          <w:color w:val="000000"/>
          <w:szCs w:val="22"/>
          <w:lang w:val="es-ES"/>
        </w:rPr>
      </w:pPr>
      <w:r w:rsidRPr="002D741C">
        <w:rPr>
          <w:color w:val="000000"/>
          <w:szCs w:val="22"/>
          <w:lang w:val="es-ES"/>
        </w:rPr>
        <w:t>La dosis recomendada de Glivec es de 400 mg/día para el tratamiento adyuvante de pacientes adultos después de la resección del G</w:t>
      </w:r>
      <w:smartTag w:uri="urn:schemas-microsoft-com:office:smarttags" w:element="PersonName">
        <w:r w:rsidRPr="002D741C">
          <w:rPr>
            <w:color w:val="000000"/>
            <w:szCs w:val="22"/>
            <w:lang w:val="es-ES"/>
          </w:rPr>
          <w:t>IS</w:t>
        </w:r>
      </w:smartTag>
      <w:r w:rsidRPr="002D741C">
        <w:rPr>
          <w:color w:val="000000"/>
          <w:szCs w:val="22"/>
          <w:lang w:val="es-ES"/>
        </w:rPr>
        <w:t xml:space="preserve">T. </w:t>
      </w:r>
      <w:r w:rsidR="003D354A" w:rsidRPr="002D741C">
        <w:rPr>
          <w:color w:val="000000"/>
          <w:szCs w:val="22"/>
          <w:lang w:val="es-ES"/>
        </w:rPr>
        <w:t xml:space="preserve">No se ha establecido todavía la duración óptima del tratamiento. La duración del tratamiento en el ensayo clínico que apoya esta indicación fue de </w:t>
      </w:r>
      <w:r w:rsidR="00246612" w:rsidRPr="002D741C">
        <w:rPr>
          <w:color w:val="000000"/>
          <w:szCs w:val="22"/>
          <w:lang w:val="es-ES"/>
        </w:rPr>
        <w:t>36</w:t>
      </w:r>
      <w:r w:rsidR="003D354A" w:rsidRPr="002D741C">
        <w:rPr>
          <w:color w:val="000000"/>
          <w:szCs w:val="22"/>
          <w:lang w:val="es-ES"/>
        </w:rPr>
        <w:t> meses</w:t>
      </w:r>
      <w:r w:rsidR="00246612" w:rsidRPr="002D741C">
        <w:rPr>
          <w:color w:val="000000"/>
          <w:szCs w:val="22"/>
          <w:lang w:val="es-ES"/>
        </w:rPr>
        <w:t xml:space="preserve"> (ver sección 5.1)</w:t>
      </w:r>
      <w:r w:rsidR="003D354A" w:rsidRPr="002D741C">
        <w:rPr>
          <w:color w:val="000000"/>
          <w:szCs w:val="22"/>
          <w:lang w:val="es-ES"/>
        </w:rPr>
        <w:t>.</w:t>
      </w:r>
    </w:p>
    <w:p w14:paraId="2E7911F6" w14:textId="77777777" w:rsidR="00B0341F" w:rsidRPr="002D741C" w:rsidRDefault="00B0341F" w:rsidP="00B0341F">
      <w:pPr>
        <w:pStyle w:val="EndnoteText"/>
        <w:widowControl w:val="0"/>
        <w:tabs>
          <w:tab w:val="clear" w:pos="567"/>
        </w:tabs>
        <w:rPr>
          <w:color w:val="000000"/>
          <w:szCs w:val="22"/>
          <w:lang w:val="es-ES"/>
        </w:rPr>
      </w:pPr>
    </w:p>
    <w:p w14:paraId="75B2D31F" w14:textId="77777777" w:rsidR="00F068A2" w:rsidRPr="002D741C" w:rsidRDefault="00F068A2" w:rsidP="00C16E58">
      <w:pPr>
        <w:pStyle w:val="EndnoteText"/>
        <w:keepNext/>
        <w:widowControl w:val="0"/>
        <w:tabs>
          <w:tab w:val="clear" w:pos="567"/>
        </w:tabs>
        <w:rPr>
          <w:color w:val="000000"/>
          <w:szCs w:val="22"/>
          <w:u w:val="single"/>
          <w:lang w:val="es-ES"/>
        </w:rPr>
      </w:pPr>
      <w:r w:rsidRPr="002D741C">
        <w:rPr>
          <w:color w:val="000000"/>
          <w:szCs w:val="22"/>
          <w:u w:val="single"/>
          <w:lang w:val="es-ES"/>
        </w:rPr>
        <w:t>Posología para DFSP</w:t>
      </w:r>
    </w:p>
    <w:p w14:paraId="685A3469" w14:textId="77777777" w:rsidR="00F068A2" w:rsidRPr="002D741C" w:rsidRDefault="00F068A2" w:rsidP="00F068A2">
      <w:pPr>
        <w:pStyle w:val="EndnoteText"/>
        <w:widowControl w:val="0"/>
        <w:tabs>
          <w:tab w:val="clear" w:pos="567"/>
        </w:tabs>
        <w:rPr>
          <w:color w:val="000000"/>
          <w:szCs w:val="22"/>
          <w:lang w:val="es-ES"/>
        </w:rPr>
      </w:pPr>
      <w:r w:rsidRPr="002D741C">
        <w:rPr>
          <w:color w:val="000000"/>
          <w:szCs w:val="22"/>
          <w:lang w:val="es-ES"/>
        </w:rPr>
        <w:t xml:space="preserve">La dosis recomendada de Glivec para pacientes </w:t>
      </w:r>
      <w:r w:rsidR="00967AD8" w:rsidRPr="002D741C">
        <w:rPr>
          <w:color w:val="000000"/>
          <w:szCs w:val="22"/>
          <w:lang w:val="es-ES"/>
        </w:rPr>
        <w:t xml:space="preserve">adultos </w:t>
      </w:r>
      <w:r w:rsidRPr="002D741C">
        <w:rPr>
          <w:color w:val="000000"/>
          <w:szCs w:val="22"/>
          <w:lang w:val="es-ES"/>
        </w:rPr>
        <w:t>con DFSP es de 800 mg/día.</w:t>
      </w:r>
    </w:p>
    <w:p w14:paraId="67998C90" w14:textId="77777777" w:rsidR="00F068A2" w:rsidRPr="002D741C" w:rsidRDefault="00F068A2" w:rsidP="001A2F33">
      <w:pPr>
        <w:pStyle w:val="EndnoteText"/>
        <w:widowControl w:val="0"/>
        <w:tabs>
          <w:tab w:val="clear" w:pos="567"/>
        </w:tabs>
        <w:rPr>
          <w:color w:val="000000"/>
          <w:szCs w:val="22"/>
          <w:lang w:val="es-ES"/>
        </w:rPr>
      </w:pPr>
    </w:p>
    <w:p w14:paraId="08B26A26" w14:textId="77777777" w:rsidR="00F068A2" w:rsidRPr="002D741C" w:rsidRDefault="00F068A2" w:rsidP="00C16E58">
      <w:pPr>
        <w:pStyle w:val="EndnoteText"/>
        <w:keepNext/>
        <w:widowControl w:val="0"/>
        <w:tabs>
          <w:tab w:val="clear" w:pos="567"/>
        </w:tabs>
        <w:rPr>
          <w:i/>
          <w:color w:val="000000"/>
          <w:szCs w:val="22"/>
          <w:lang w:val="es-ES"/>
        </w:rPr>
      </w:pPr>
      <w:r w:rsidRPr="002D741C">
        <w:rPr>
          <w:color w:val="000000"/>
          <w:szCs w:val="22"/>
          <w:u w:val="single"/>
          <w:lang w:val="es-ES"/>
        </w:rPr>
        <w:t>Ajuste de dosis para las reacciones adversas</w:t>
      </w:r>
    </w:p>
    <w:p w14:paraId="3F9EF49E" w14:textId="77777777" w:rsidR="002626B2" w:rsidRPr="002D741C" w:rsidRDefault="002626B2" w:rsidP="00C16E58">
      <w:pPr>
        <w:pStyle w:val="EndnoteText"/>
        <w:keepNext/>
        <w:widowControl w:val="0"/>
        <w:tabs>
          <w:tab w:val="clear" w:pos="567"/>
        </w:tabs>
        <w:rPr>
          <w:i/>
          <w:color w:val="000000"/>
          <w:szCs w:val="22"/>
          <w:lang w:val="es-ES"/>
        </w:rPr>
      </w:pPr>
      <w:r w:rsidRPr="002D741C">
        <w:rPr>
          <w:i/>
          <w:color w:val="000000"/>
          <w:szCs w:val="22"/>
          <w:lang w:val="es-ES"/>
        </w:rPr>
        <w:t>Reacciones adversas no hematológicas</w:t>
      </w:r>
    </w:p>
    <w:p w14:paraId="501B2FCF" w14:textId="77777777" w:rsidR="002626B2" w:rsidRPr="002D741C" w:rsidRDefault="002626B2" w:rsidP="001A2F33">
      <w:pPr>
        <w:pStyle w:val="EndnoteText"/>
        <w:widowControl w:val="0"/>
        <w:tabs>
          <w:tab w:val="clear" w:pos="567"/>
        </w:tabs>
        <w:rPr>
          <w:color w:val="000000"/>
          <w:szCs w:val="22"/>
          <w:lang w:val="es-ES"/>
        </w:rPr>
      </w:pPr>
      <w:r w:rsidRPr="002D741C">
        <w:rPr>
          <w:color w:val="000000"/>
          <w:szCs w:val="22"/>
          <w:lang w:val="es-ES"/>
        </w:rPr>
        <w:t>Si se desarrolla una reacción adversa severa no hematológica con el uso de Glivec, el tratamiento se interrumpirá hasta que la reacción se haya resuelto. Después, el tratamiento puede reanudarse según corresponda dependiendo de la severidad inicial de la reacción.</w:t>
      </w:r>
    </w:p>
    <w:p w14:paraId="3E05ECF2" w14:textId="77777777" w:rsidR="002626B2" w:rsidRPr="002D741C" w:rsidRDefault="002626B2" w:rsidP="001A2F33">
      <w:pPr>
        <w:pStyle w:val="EndnoteText"/>
        <w:widowControl w:val="0"/>
        <w:tabs>
          <w:tab w:val="clear" w:pos="567"/>
        </w:tabs>
        <w:rPr>
          <w:color w:val="000000"/>
          <w:szCs w:val="22"/>
          <w:lang w:val="es-ES"/>
        </w:rPr>
      </w:pPr>
    </w:p>
    <w:p w14:paraId="045FC41A" w14:textId="77777777" w:rsidR="002626B2" w:rsidRPr="002D741C" w:rsidRDefault="002626B2" w:rsidP="00AF22BD">
      <w:pPr>
        <w:pStyle w:val="EndnoteText"/>
        <w:widowControl w:val="0"/>
        <w:tabs>
          <w:tab w:val="clear" w:pos="567"/>
        </w:tabs>
        <w:rPr>
          <w:color w:val="000000"/>
          <w:szCs w:val="22"/>
          <w:lang w:val="es-ES"/>
        </w:rPr>
      </w:pPr>
      <w:r w:rsidRPr="002D741C">
        <w:rPr>
          <w:color w:val="000000"/>
          <w:szCs w:val="22"/>
          <w:lang w:val="es-ES"/>
        </w:rPr>
        <w:t>Si se producen aumentos en la bilirrubina &gt;</w:t>
      </w:r>
      <w:r w:rsidR="00F11D96" w:rsidRPr="002D741C">
        <w:rPr>
          <w:color w:val="000000"/>
          <w:szCs w:val="22"/>
          <w:lang w:val="es-ES"/>
        </w:rPr>
        <w:t> </w:t>
      </w:r>
      <w:r w:rsidRPr="002D741C">
        <w:rPr>
          <w:color w:val="000000"/>
          <w:szCs w:val="22"/>
          <w:lang w:val="es-ES"/>
        </w:rPr>
        <w:t>3</w:t>
      </w:r>
      <w:r w:rsidR="00DF063A" w:rsidRPr="002D741C">
        <w:rPr>
          <w:color w:val="000000"/>
          <w:szCs w:val="22"/>
          <w:lang w:val="es-ES"/>
        </w:rPr>
        <w:t> </w:t>
      </w:r>
      <w:r w:rsidRPr="002D741C">
        <w:rPr>
          <w:color w:val="000000"/>
          <w:szCs w:val="22"/>
          <w:lang w:val="es-ES"/>
        </w:rPr>
        <w:t>veces el límite superior normal institucional (LSNI) o en las transaminasas hepáticas &gt;</w:t>
      </w:r>
      <w:r w:rsidR="00F11D96" w:rsidRPr="002D741C">
        <w:rPr>
          <w:color w:val="000000"/>
          <w:szCs w:val="22"/>
          <w:lang w:val="es-ES"/>
        </w:rPr>
        <w:t> </w:t>
      </w:r>
      <w:r w:rsidRPr="002D741C">
        <w:rPr>
          <w:color w:val="000000"/>
          <w:szCs w:val="22"/>
          <w:lang w:val="es-ES"/>
        </w:rPr>
        <w:t>5</w:t>
      </w:r>
      <w:r w:rsidR="00DF063A" w:rsidRPr="002D741C">
        <w:rPr>
          <w:color w:val="000000"/>
          <w:szCs w:val="22"/>
          <w:lang w:val="es-ES"/>
        </w:rPr>
        <w:t> </w:t>
      </w:r>
      <w:r w:rsidRPr="002D741C">
        <w:rPr>
          <w:color w:val="000000"/>
          <w:szCs w:val="22"/>
          <w:lang w:val="es-ES"/>
        </w:rPr>
        <w:t>veces el LSNI, Glivec debería interrumpirse hasta que los niveles de bilirrubina hayan vuelto a &lt;</w:t>
      </w:r>
      <w:r w:rsidR="00F11D96" w:rsidRPr="002D741C">
        <w:rPr>
          <w:color w:val="000000"/>
          <w:szCs w:val="22"/>
          <w:lang w:val="es-ES"/>
        </w:rPr>
        <w:t> </w:t>
      </w:r>
      <w:r w:rsidRPr="002D741C">
        <w:rPr>
          <w:color w:val="000000"/>
          <w:szCs w:val="22"/>
          <w:lang w:val="es-ES"/>
        </w:rPr>
        <w:t>1,5</w:t>
      </w:r>
      <w:r w:rsidR="00DF063A" w:rsidRPr="002D741C">
        <w:rPr>
          <w:color w:val="000000"/>
          <w:szCs w:val="22"/>
          <w:lang w:val="es-ES"/>
        </w:rPr>
        <w:t> </w:t>
      </w:r>
      <w:r w:rsidRPr="002D741C">
        <w:rPr>
          <w:color w:val="000000"/>
          <w:szCs w:val="22"/>
          <w:lang w:val="es-ES"/>
        </w:rPr>
        <w:t>veces el LSNI y los niveles de transaminasas a &lt;</w:t>
      </w:r>
      <w:r w:rsidR="00F11D96" w:rsidRPr="002D741C">
        <w:rPr>
          <w:color w:val="000000"/>
          <w:szCs w:val="22"/>
          <w:lang w:val="es-ES"/>
        </w:rPr>
        <w:t> </w:t>
      </w:r>
      <w:r w:rsidRPr="002D741C">
        <w:rPr>
          <w:color w:val="000000"/>
          <w:szCs w:val="22"/>
          <w:lang w:val="es-ES"/>
        </w:rPr>
        <w:t>2,5</w:t>
      </w:r>
      <w:r w:rsidR="00DF063A" w:rsidRPr="002D741C">
        <w:rPr>
          <w:color w:val="000000"/>
          <w:szCs w:val="22"/>
          <w:lang w:val="es-ES"/>
        </w:rPr>
        <w:t> </w:t>
      </w:r>
      <w:r w:rsidRPr="002D741C">
        <w:rPr>
          <w:color w:val="000000"/>
          <w:szCs w:val="22"/>
          <w:lang w:val="es-ES"/>
        </w:rPr>
        <w:t>veces el LSNI. El tratamiento con Glivec puede entonces continuarse a la dosis diaria reducida. En adultos la dosis deberá reducirse de 400</w:t>
      </w:r>
      <w:r w:rsidR="006171A6" w:rsidRPr="002D741C">
        <w:rPr>
          <w:color w:val="000000"/>
          <w:szCs w:val="22"/>
          <w:lang w:val="es-ES"/>
        </w:rPr>
        <w:t> mg</w:t>
      </w:r>
      <w:r w:rsidRPr="002D741C">
        <w:rPr>
          <w:color w:val="000000"/>
          <w:szCs w:val="22"/>
          <w:lang w:val="es-ES"/>
        </w:rPr>
        <w:t xml:space="preserve"> a 300</w:t>
      </w:r>
      <w:r w:rsidR="006171A6" w:rsidRPr="002D741C">
        <w:rPr>
          <w:color w:val="000000"/>
          <w:szCs w:val="22"/>
          <w:lang w:val="es-ES"/>
        </w:rPr>
        <w:t> mg</w:t>
      </w:r>
      <w:r w:rsidRPr="002D741C">
        <w:rPr>
          <w:color w:val="000000"/>
          <w:szCs w:val="22"/>
          <w:lang w:val="es-ES"/>
        </w:rPr>
        <w:t xml:space="preserve"> ó de 600</w:t>
      </w:r>
      <w:r w:rsidR="006171A6" w:rsidRPr="002D741C">
        <w:rPr>
          <w:color w:val="000000"/>
          <w:szCs w:val="22"/>
          <w:lang w:val="es-ES"/>
        </w:rPr>
        <w:t> mg</w:t>
      </w:r>
      <w:r w:rsidRPr="002D741C">
        <w:rPr>
          <w:color w:val="000000"/>
          <w:szCs w:val="22"/>
          <w:lang w:val="es-ES"/>
        </w:rPr>
        <w:t xml:space="preserve"> a 400</w:t>
      </w:r>
      <w:r w:rsidR="006171A6" w:rsidRPr="002D741C">
        <w:rPr>
          <w:color w:val="000000"/>
          <w:szCs w:val="22"/>
          <w:lang w:val="es-ES"/>
        </w:rPr>
        <w:t> mg</w:t>
      </w:r>
      <w:r w:rsidR="00F068A2" w:rsidRPr="002D741C">
        <w:rPr>
          <w:color w:val="000000"/>
          <w:szCs w:val="22"/>
          <w:lang w:val="es-ES"/>
        </w:rPr>
        <w:t>, o de 800 mg a 600 mg,</w:t>
      </w:r>
      <w:r w:rsidRPr="002D741C">
        <w:rPr>
          <w:color w:val="000000"/>
          <w:szCs w:val="22"/>
          <w:lang w:val="es-ES"/>
        </w:rPr>
        <w:t xml:space="preserve"> y en niños de </w:t>
      </w:r>
      <w:smartTag w:uri="urn:schemas-microsoft-com:office:smarttags" w:element="metricconverter">
        <w:smartTagPr>
          <w:attr w:name="ProductID" w:val="340 a"/>
        </w:smartTagPr>
        <w:r w:rsidRPr="002D741C">
          <w:rPr>
            <w:color w:val="000000"/>
            <w:szCs w:val="22"/>
            <w:lang w:val="es-ES"/>
          </w:rPr>
          <w:t>340 a</w:t>
        </w:r>
      </w:smartTag>
      <w:r w:rsidRPr="002D741C">
        <w:rPr>
          <w:color w:val="000000"/>
          <w:szCs w:val="22"/>
          <w:lang w:val="es-ES"/>
        </w:rPr>
        <w:t xml:space="preserve"> 260 mg/m</w:t>
      </w:r>
      <w:r w:rsidRPr="002D741C">
        <w:rPr>
          <w:color w:val="000000"/>
          <w:szCs w:val="22"/>
          <w:vertAlign w:val="superscript"/>
          <w:lang w:val="es-ES"/>
        </w:rPr>
        <w:t>2</w:t>
      </w:r>
      <w:r w:rsidRPr="002D741C">
        <w:rPr>
          <w:color w:val="000000"/>
          <w:szCs w:val="22"/>
          <w:lang w:val="es-ES"/>
        </w:rPr>
        <w:t>/día.</w:t>
      </w:r>
    </w:p>
    <w:p w14:paraId="68F2D828" w14:textId="77777777" w:rsidR="002626B2" w:rsidRPr="002D741C" w:rsidRDefault="002626B2" w:rsidP="001A2F33">
      <w:pPr>
        <w:pStyle w:val="EndnoteText"/>
        <w:widowControl w:val="0"/>
        <w:tabs>
          <w:tab w:val="clear" w:pos="567"/>
        </w:tabs>
        <w:rPr>
          <w:color w:val="000000"/>
          <w:szCs w:val="22"/>
          <w:lang w:val="es-ES"/>
        </w:rPr>
      </w:pPr>
    </w:p>
    <w:p w14:paraId="475B7802" w14:textId="77777777" w:rsidR="002626B2" w:rsidRPr="002D741C" w:rsidRDefault="002626B2" w:rsidP="00C16E58">
      <w:pPr>
        <w:pStyle w:val="EndnoteText"/>
        <w:keepNext/>
        <w:widowControl w:val="0"/>
        <w:tabs>
          <w:tab w:val="clear" w:pos="567"/>
        </w:tabs>
        <w:rPr>
          <w:i/>
          <w:color w:val="000000"/>
          <w:szCs w:val="22"/>
          <w:lang w:val="es-ES"/>
        </w:rPr>
      </w:pPr>
      <w:r w:rsidRPr="002D741C">
        <w:rPr>
          <w:i/>
          <w:color w:val="000000"/>
          <w:szCs w:val="22"/>
          <w:lang w:val="es-ES"/>
        </w:rPr>
        <w:t>Reacciones adversas hematológicas</w:t>
      </w:r>
    </w:p>
    <w:p w14:paraId="1B17B9C6" w14:textId="77777777" w:rsidR="002626B2" w:rsidRPr="002D741C" w:rsidRDefault="002626B2" w:rsidP="001A2F33">
      <w:pPr>
        <w:pStyle w:val="EndnoteText"/>
        <w:widowControl w:val="0"/>
        <w:tabs>
          <w:tab w:val="clear" w:pos="567"/>
        </w:tabs>
        <w:rPr>
          <w:color w:val="000000"/>
          <w:szCs w:val="22"/>
          <w:lang w:val="es-ES"/>
        </w:rPr>
      </w:pPr>
      <w:r w:rsidRPr="002D741C">
        <w:rPr>
          <w:color w:val="000000"/>
          <w:szCs w:val="22"/>
          <w:lang w:val="es-ES"/>
        </w:rPr>
        <w:t>Se recomienda la reducción de dosis o la interrupción del tratamiento si se produce neutropenia y trombocitopenia severas, tal como se indica en la siguiente tabla.</w:t>
      </w:r>
    </w:p>
    <w:p w14:paraId="783E9A9F" w14:textId="77777777" w:rsidR="002626B2" w:rsidRPr="002D741C" w:rsidRDefault="002626B2" w:rsidP="001A2F33">
      <w:pPr>
        <w:pStyle w:val="EndnoteText"/>
        <w:widowControl w:val="0"/>
        <w:tabs>
          <w:tab w:val="clear" w:pos="567"/>
        </w:tabs>
        <w:rPr>
          <w:color w:val="000000"/>
          <w:szCs w:val="22"/>
          <w:lang w:val="es-ES"/>
        </w:rPr>
      </w:pPr>
    </w:p>
    <w:p w14:paraId="14BEC0B9" w14:textId="77777777" w:rsidR="002626B2" w:rsidRPr="002D741C" w:rsidRDefault="002626B2" w:rsidP="00C16E58">
      <w:pPr>
        <w:pStyle w:val="EndnoteText"/>
        <w:keepNext/>
        <w:widowControl w:val="0"/>
        <w:tabs>
          <w:tab w:val="clear" w:pos="567"/>
        </w:tabs>
        <w:rPr>
          <w:color w:val="000000"/>
          <w:szCs w:val="22"/>
          <w:lang w:val="es-ES"/>
        </w:rPr>
      </w:pPr>
      <w:r w:rsidRPr="002D741C">
        <w:rPr>
          <w:bCs/>
          <w:color w:val="000000"/>
          <w:szCs w:val="22"/>
          <w:lang w:val="es-ES"/>
        </w:rPr>
        <w:t>Ajuste de dosis por neutropenia y trombocitopenia</w:t>
      </w:r>
      <w:r w:rsidR="0003352F" w:rsidRPr="002D741C">
        <w:rPr>
          <w:color w:val="000000"/>
          <w:szCs w:val="22"/>
          <w:lang w:val="es-ES"/>
        </w:rPr>
        <w:t>:</w:t>
      </w:r>
    </w:p>
    <w:p w14:paraId="74F42F87" w14:textId="77777777" w:rsidR="002C5664" w:rsidRPr="002D741C" w:rsidRDefault="002C5664" w:rsidP="00C16E58">
      <w:pPr>
        <w:pStyle w:val="EndnoteText"/>
        <w:keepNext/>
        <w:widowControl w:val="0"/>
        <w:tabs>
          <w:tab w:val="clear" w:pos="567"/>
        </w:tabs>
        <w:rPr>
          <w:color w:val="000000"/>
          <w:szCs w:val="22"/>
          <w:lang w:val="es-ES"/>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68"/>
        <w:gridCol w:w="2410"/>
        <w:gridCol w:w="4394"/>
      </w:tblGrid>
      <w:tr w:rsidR="00A6642A" w:rsidRPr="002D741C" w14:paraId="4E9583D7" w14:textId="77777777" w:rsidTr="00C16E58">
        <w:trPr>
          <w:cantSplit/>
        </w:trPr>
        <w:tc>
          <w:tcPr>
            <w:tcW w:w="2268" w:type="dxa"/>
          </w:tcPr>
          <w:p w14:paraId="56D04255" w14:textId="77777777" w:rsidR="00A6642A" w:rsidRPr="002D741C" w:rsidRDefault="00A6642A" w:rsidP="003C6653">
            <w:pPr>
              <w:pStyle w:val="EndnoteText"/>
              <w:widowControl w:val="0"/>
              <w:tabs>
                <w:tab w:val="clear" w:pos="567"/>
              </w:tabs>
              <w:rPr>
                <w:color w:val="000000"/>
                <w:szCs w:val="22"/>
                <w:lang w:val="en-US"/>
              </w:rPr>
            </w:pPr>
            <w:r w:rsidRPr="002D741C">
              <w:rPr>
                <w:color w:val="000000"/>
                <w:szCs w:val="22"/>
                <w:lang w:val="en-US"/>
              </w:rPr>
              <w:t>SHE/LEC (dosis inicial 100 mg)</w:t>
            </w:r>
          </w:p>
        </w:tc>
        <w:tc>
          <w:tcPr>
            <w:tcW w:w="2410" w:type="dxa"/>
          </w:tcPr>
          <w:p w14:paraId="0E8D8D20" w14:textId="77777777" w:rsidR="00A6642A" w:rsidRPr="002D741C" w:rsidRDefault="00A6642A" w:rsidP="00A6642A">
            <w:pPr>
              <w:pStyle w:val="EndnoteText"/>
              <w:widowControl w:val="0"/>
              <w:tabs>
                <w:tab w:val="clear" w:pos="567"/>
              </w:tabs>
              <w:rPr>
                <w:color w:val="000000"/>
                <w:szCs w:val="22"/>
                <w:lang w:val="es-ES"/>
              </w:rPr>
            </w:pPr>
            <w:r w:rsidRPr="002D741C">
              <w:rPr>
                <w:color w:val="000000"/>
                <w:szCs w:val="22"/>
                <w:lang w:val="es-ES"/>
              </w:rPr>
              <w:t>RAN &lt; 1,0 x 10</w:t>
            </w:r>
            <w:r w:rsidRPr="002D741C">
              <w:rPr>
                <w:color w:val="000000"/>
                <w:szCs w:val="22"/>
                <w:vertAlign w:val="superscript"/>
                <w:lang w:val="es-ES"/>
              </w:rPr>
              <w:t>9</w:t>
            </w:r>
            <w:r w:rsidRPr="002D741C">
              <w:rPr>
                <w:color w:val="000000"/>
                <w:szCs w:val="22"/>
                <w:lang w:val="es-ES"/>
              </w:rPr>
              <w:t>/l</w:t>
            </w:r>
          </w:p>
          <w:p w14:paraId="676BBAB9" w14:textId="77777777" w:rsidR="00A6642A" w:rsidRPr="002D741C" w:rsidRDefault="00A6642A" w:rsidP="00A6642A">
            <w:pPr>
              <w:pStyle w:val="EndnoteText"/>
              <w:widowControl w:val="0"/>
              <w:tabs>
                <w:tab w:val="clear" w:pos="567"/>
              </w:tabs>
              <w:rPr>
                <w:color w:val="000000"/>
                <w:szCs w:val="22"/>
                <w:lang w:val="es-ES"/>
              </w:rPr>
            </w:pPr>
            <w:r w:rsidRPr="002D741C">
              <w:rPr>
                <w:color w:val="000000"/>
                <w:szCs w:val="22"/>
                <w:lang w:val="es-ES"/>
              </w:rPr>
              <w:t>y/o</w:t>
            </w:r>
          </w:p>
          <w:p w14:paraId="2AE72A98" w14:textId="77777777" w:rsidR="00A6642A" w:rsidRPr="002D741C" w:rsidRDefault="00A6642A" w:rsidP="00A6642A">
            <w:pPr>
              <w:pStyle w:val="EndnoteText"/>
              <w:widowControl w:val="0"/>
              <w:tabs>
                <w:tab w:val="clear" w:pos="567"/>
              </w:tabs>
              <w:rPr>
                <w:color w:val="000000"/>
                <w:szCs w:val="22"/>
                <w:lang w:val="es-ES_tradnl"/>
              </w:rPr>
            </w:pPr>
            <w:r w:rsidRPr="002D741C">
              <w:rPr>
                <w:color w:val="000000"/>
                <w:szCs w:val="22"/>
                <w:lang w:val="es-ES"/>
              </w:rPr>
              <w:t>plaquetas &lt; 50 x 10</w:t>
            </w:r>
            <w:r w:rsidRPr="002D741C">
              <w:rPr>
                <w:color w:val="000000"/>
                <w:szCs w:val="22"/>
                <w:vertAlign w:val="superscript"/>
                <w:lang w:val="es-ES"/>
              </w:rPr>
              <w:t>9</w:t>
            </w:r>
            <w:r w:rsidRPr="002D741C">
              <w:rPr>
                <w:color w:val="000000"/>
                <w:szCs w:val="22"/>
                <w:lang w:val="es-ES"/>
              </w:rPr>
              <w:t>/l</w:t>
            </w:r>
          </w:p>
        </w:tc>
        <w:tc>
          <w:tcPr>
            <w:tcW w:w="4394" w:type="dxa"/>
          </w:tcPr>
          <w:p w14:paraId="0159C577" w14:textId="77777777" w:rsidR="00A6642A" w:rsidRPr="002D741C" w:rsidRDefault="005B76AA" w:rsidP="005B76AA">
            <w:pPr>
              <w:pStyle w:val="EndnoteText"/>
              <w:widowControl w:val="0"/>
              <w:tabs>
                <w:tab w:val="clear" w:pos="567"/>
              </w:tabs>
              <w:ind w:left="548" w:hanging="514"/>
              <w:rPr>
                <w:color w:val="000000"/>
                <w:szCs w:val="22"/>
                <w:lang w:val="es-ES"/>
              </w:rPr>
            </w:pPr>
            <w:r w:rsidRPr="002D741C">
              <w:rPr>
                <w:color w:val="000000"/>
                <w:szCs w:val="22"/>
                <w:lang w:val="es-ES_tradnl"/>
              </w:rPr>
              <w:t>1.</w:t>
            </w:r>
            <w:r w:rsidRPr="002D741C">
              <w:rPr>
                <w:color w:val="000000"/>
                <w:szCs w:val="22"/>
                <w:lang w:val="es-ES_tradnl"/>
              </w:rPr>
              <w:tab/>
            </w:r>
            <w:r w:rsidR="00A6642A" w:rsidRPr="002D741C">
              <w:rPr>
                <w:color w:val="000000"/>
                <w:szCs w:val="22"/>
                <w:lang w:val="es-ES"/>
              </w:rPr>
              <w:t xml:space="preserve">Interrumpir Glivec hasta que RAN </w:t>
            </w:r>
            <w:r w:rsidR="00A6642A" w:rsidRPr="002D741C">
              <w:rPr>
                <w:color w:val="000000"/>
                <w:szCs w:val="22"/>
                <w:lang w:val="es-ES"/>
              </w:rPr>
              <w:sym w:font="Symbol" w:char="F0B3"/>
            </w:r>
            <w:r w:rsidR="00A6642A" w:rsidRPr="002D741C">
              <w:rPr>
                <w:color w:val="000000"/>
                <w:szCs w:val="22"/>
                <w:lang w:val="es-ES"/>
              </w:rPr>
              <w:t> 1,5 x 10</w:t>
            </w:r>
            <w:r w:rsidR="00A6642A" w:rsidRPr="002D741C">
              <w:rPr>
                <w:color w:val="000000"/>
                <w:szCs w:val="22"/>
                <w:vertAlign w:val="superscript"/>
                <w:lang w:val="es-ES"/>
              </w:rPr>
              <w:t>9</w:t>
            </w:r>
            <w:r w:rsidR="00A6642A" w:rsidRPr="002D741C">
              <w:rPr>
                <w:color w:val="000000"/>
                <w:szCs w:val="22"/>
                <w:lang w:val="es-ES"/>
              </w:rPr>
              <w:t xml:space="preserve">/l y plaquetas </w:t>
            </w:r>
            <w:r w:rsidR="00A6642A" w:rsidRPr="002D741C">
              <w:rPr>
                <w:color w:val="000000"/>
                <w:szCs w:val="22"/>
                <w:lang w:val="es-ES"/>
              </w:rPr>
              <w:sym w:font="Symbol" w:char="F0B3"/>
            </w:r>
            <w:r w:rsidR="00A6642A" w:rsidRPr="002D741C">
              <w:rPr>
                <w:color w:val="000000"/>
                <w:szCs w:val="22"/>
                <w:lang w:val="es-ES"/>
              </w:rPr>
              <w:t> 75 x 10</w:t>
            </w:r>
            <w:r w:rsidR="00A6642A" w:rsidRPr="002D741C">
              <w:rPr>
                <w:color w:val="000000"/>
                <w:szCs w:val="22"/>
                <w:vertAlign w:val="superscript"/>
                <w:lang w:val="es-ES"/>
              </w:rPr>
              <w:t>9</w:t>
            </w:r>
            <w:r w:rsidR="00A6642A" w:rsidRPr="002D741C">
              <w:rPr>
                <w:color w:val="000000"/>
                <w:szCs w:val="22"/>
                <w:lang w:val="es-ES"/>
              </w:rPr>
              <w:t>/l.</w:t>
            </w:r>
          </w:p>
          <w:p w14:paraId="6BF91B34" w14:textId="77777777" w:rsidR="00A6642A" w:rsidRPr="002D741C" w:rsidRDefault="005B76AA" w:rsidP="005B76AA">
            <w:pPr>
              <w:pStyle w:val="EndnoteText"/>
              <w:widowControl w:val="0"/>
              <w:tabs>
                <w:tab w:val="clear" w:pos="567"/>
              </w:tabs>
              <w:ind w:left="548" w:hanging="514"/>
              <w:rPr>
                <w:color w:val="000000"/>
                <w:szCs w:val="22"/>
                <w:lang w:val="es-ES_tradnl"/>
              </w:rPr>
            </w:pPr>
            <w:r w:rsidRPr="002D741C">
              <w:rPr>
                <w:color w:val="000000"/>
                <w:szCs w:val="22"/>
                <w:lang w:val="es-ES"/>
              </w:rPr>
              <w:t>2.</w:t>
            </w:r>
            <w:r w:rsidRPr="002D741C">
              <w:rPr>
                <w:color w:val="000000"/>
                <w:szCs w:val="22"/>
                <w:lang w:val="es-ES"/>
              </w:rPr>
              <w:tab/>
            </w:r>
            <w:r w:rsidR="00A6642A" w:rsidRPr="002D741C">
              <w:rPr>
                <w:color w:val="000000"/>
                <w:szCs w:val="22"/>
                <w:lang w:val="es-ES"/>
              </w:rPr>
              <w:t>Reanudar el tratamiento con Glivec a la dosis previa (antes de la reacción adversa).</w:t>
            </w:r>
          </w:p>
        </w:tc>
      </w:tr>
      <w:tr w:rsidR="002C5664" w:rsidRPr="002D741C" w14:paraId="523FC539" w14:textId="77777777" w:rsidTr="00C16E58">
        <w:trPr>
          <w:cantSplit/>
        </w:trPr>
        <w:tc>
          <w:tcPr>
            <w:tcW w:w="2268" w:type="dxa"/>
          </w:tcPr>
          <w:p w14:paraId="58EFAE57" w14:textId="77777777" w:rsidR="002C5664" w:rsidRPr="002D741C" w:rsidRDefault="002C5664" w:rsidP="003C6653">
            <w:pPr>
              <w:pStyle w:val="EndnoteText"/>
              <w:widowControl w:val="0"/>
              <w:tabs>
                <w:tab w:val="clear" w:pos="567"/>
              </w:tabs>
              <w:rPr>
                <w:color w:val="000000"/>
                <w:szCs w:val="22"/>
                <w:lang w:val="es-ES"/>
              </w:rPr>
            </w:pPr>
            <w:r w:rsidRPr="002D741C">
              <w:rPr>
                <w:color w:val="000000"/>
                <w:szCs w:val="22"/>
                <w:lang w:val="es-ES"/>
              </w:rPr>
              <w:t>LMC fase crónica</w:t>
            </w:r>
            <w:r w:rsidR="003C3958" w:rsidRPr="002D741C">
              <w:rPr>
                <w:color w:val="000000"/>
                <w:szCs w:val="22"/>
                <w:lang w:val="es-ES"/>
              </w:rPr>
              <w:t xml:space="preserve">, </w:t>
            </w:r>
            <w:smartTag w:uri="urn:schemas-microsoft-com:office:smarttags" w:element="stockticker">
              <w:r w:rsidR="003C3958" w:rsidRPr="002D741C">
                <w:rPr>
                  <w:color w:val="000000"/>
                  <w:szCs w:val="22"/>
                  <w:lang w:val="es-ES"/>
                </w:rPr>
                <w:t>SMD</w:t>
              </w:r>
            </w:smartTag>
            <w:r w:rsidR="003C3958" w:rsidRPr="002D741C">
              <w:rPr>
                <w:color w:val="000000"/>
                <w:szCs w:val="22"/>
                <w:lang w:val="es-ES"/>
              </w:rPr>
              <w:t>/</w:t>
            </w:r>
            <w:smartTag w:uri="urn:schemas-microsoft-com:office:smarttags" w:element="stockticker">
              <w:r w:rsidR="003C3958" w:rsidRPr="002D741C">
                <w:rPr>
                  <w:color w:val="000000"/>
                  <w:szCs w:val="22"/>
                  <w:lang w:val="es-ES"/>
                </w:rPr>
                <w:t>SMP</w:t>
              </w:r>
            </w:smartTag>
            <w:r w:rsidRPr="002D741C">
              <w:rPr>
                <w:color w:val="000000"/>
                <w:szCs w:val="22"/>
                <w:lang w:val="es-ES"/>
              </w:rPr>
              <w:t xml:space="preserve"> y G</w:t>
            </w:r>
            <w:smartTag w:uri="urn:schemas-microsoft-com:office:smarttags" w:element="PersonName">
              <w:r w:rsidRPr="002D741C">
                <w:rPr>
                  <w:color w:val="000000"/>
                  <w:szCs w:val="22"/>
                  <w:lang w:val="es-ES"/>
                </w:rPr>
                <w:t>IS</w:t>
              </w:r>
            </w:smartTag>
            <w:r w:rsidRPr="002D741C">
              <w:rPr>
                <w:color w:val="000000"/>
                <w:szCs w:val="22"/>
                <w:lang w:val="es-ES"/>
              </w:rPr>
              <w:t>T</w:t>
            </w:r>
          </w:p>
          <w:p w14:paraId="7E001445" w14:textId="77777777" w:rsidR="002C5664" w:rsidRPr="002D741C" w:rsidRDefault="002C5664" w:rsidP="003C6653">
            <w:pPr>
              <w:pStyle w:val="EndnoteText"/>
              <w:widowControl w:val="0"/>
              <w:tabs>
                <w:tab w:val="clear" w:pos="567"/>
              </w:tabs>
              <w:rPr>
                <w:color w:val="000000"/>
                <w:szCs w:val="22"/>
                <w:lang w:val="es-ES"/>
              </w:rPr>
            </w:pPr>
            <w:r w:rsidRPr="002D741C">
              <w:rPr>
                <w:color w:val="000000"/>
                <w:szCs w:val="22"/>
                <w:lang w:val="es-ES"/>
              </w:rPr>
              <w:t>(dosis inicial 400 mg)</w:t>
            </w:r>
          </w:p>
          <w:p w14:paraId="6416A502" w14:textId="77777777" w:rsidR="00A6642A" w:rsidRPr="00DF6C0D" w:rsidRDefault="00A6642A" w:rsidP="00A6642A">
            <w:pPr>
              <w:pStyle w:val="EndnoteText"/>
              <w:widowControl w:val="0"/>
              <w:tabs>
                <w:tab w:val="clear" w:pos="567"/>
              </w:tabs>
              <w:rPr>
                <w:color w:val="000000"/>
                <w:szCs w:val="22"/>
                <w:lang w:val="es-ES"/>
              </w:rPr>
            </w:pPr>
            <w:r w:rsidRPr="00DF6C0D">
              <w:rPr>
                <w:color w:val="000000"/>
                <w:szCs w:val="22"/>
                <w:lang w:val="es-ES"/>
              </w:rPr>
              <w:t>SHE/LEC (a dosis de 400 mg)</w:t>
            </w:r>
          </w:p>
        </w:tc>
        <w:tc>
          <w:tcPr>
            <w:tcW w:w="2410" w:type="dxa"/>
          </w:tcPr>
          <w:p w14:paraId="53C52700" w14:textId="77777777" w:rsidR="002C5664" w:rsidRPr="002D741C" w:rsidRDefault="002C5664" w:rsidP="003C6653">
            <w:pPr>
              <w:pStyle w:val="EndnoteText"/>
              <w:widowControl w:val="0"/>
              <w:tabs>
                <w:tab w:val="clear" w:pos="567"/>
              </w:tabs>
              <w:rPr>
                <w:color w:val="000000"/>
                <w:szCs w:val="22"/>
                <w:lang w:val="es-ES"/>
              </w:rPr>
            </w:pPr>
            <w:r w:rsidRPr="002D741C">
              <w:rPr>
                <w:color w:val="000000"/>
                <w:szCs w:val="22"/>
                <w:lang w:val="es-ES"/>
              </w:rPr>
              <w:t>RAN &lt; 1,0 x 10</w:t>
            </w:r>
            <w:r w:rsidRPr="002D741C">
              <w:rPr>
                <w:color w:val="000000"/>
                <w:szCs w:val="22"/>
                <w:vertAlign w:val="superscript"/>
                <w:lang w:val="es-ES"/>
              </w:rPr>
              <w:t>9</w:t>
            </w:r>
            <w:r w:rsidRPr="002D741C">
              <w:rPr>
                <w:color w:val="000000"/>
                <w:szCs w:val="22"/>
                <w:lang w:val="es-ES"/>
              </w:rPr>
              <w:t>/l</w:t>
            </w:r>
          </w:p>
          <w:p w14:paraId="4D760CB5" w14:textId="77777777" w:rsidR="002C5664" w:rsidRPr="002D741C" w:rsidRDefault="002C5664" w:rsidP="003C6653">
            <w:pPr>
              <w:pStyle w:val="EndnoteText"/>
              <w:widowControl w:val="0"/>
              <w:tabs>
                <w:tab w:val="clear" w:pos="567"/>
              </w:tabs>
              <w:rPr>
                <w:color w:val="000000"/>
                <w:szCs w:val="22"/>
                <w:lang w:val="es-ES"/>
              </w:rPr>
            </w:pPr>
            <w:r w:rsidRPr="002D741C">
              <w:rPr>
                <w:color w:val="000000"/>
                <w:szCs w:val="22"/>
                <w:lang w:val="es-ES"/>
              </w:rPr>
              <w:t>y/o</w:t>
            </w:r>
          </w:p>
          <w:p w14:paraId="44D25033" w14:textId="77777777" w:rsidR="002C5664" w:rsidRPr="002D741C" w:rsidRDefault="002C5664" w:rsidP="003C6653">
            <w:pPr>
              <w:pStyle w:val="EndnoteText"/>
              <w:widowControl w:val="0"/>
              <w:tabs>
                <w:tab w:val="clear" w:pos="567"/>
              </w:tabs>
              <w:rPr>
                <w:color w:val="000000"/>
                <w:szCs w:val="22"/>
                <w:lang w:val="es-ES"/>
              </w:rPr>
            </w:pPr>
            <w:r w:rsidRPr="002D741C">
              <w:rPr>
                <w:color w:val="000000"/>
                <w:szCs w:val="22"/>
                <w:lang w:val="es-ES"/>
              </w:rPr>
              <w:t>plaquetas &lt; 50 x 10</w:t>
            </w:r>
            <w:r w:rsidRPr="002D741C">
              <w:rPr>
                <w:color w:val="000000"/>
                <w:szCs w:val="22"/>
                <w:vertAlign w:val="superscript"/>
                <w:lang w:val="es-ES"/>
              </w:rPr>
              <w:t>9</w:t>
            </w:r>
            <w:r w:rsidRPr="002D741C">
              <w:rPr>
                <w:color w:val="000000"/>
                <w:szCs w:val="22"/>
                <w:lang w:val="es-ES"/>
              </w:rPr>
              <w:t>/l</w:t>
            </w:r>
          </w:p>
        </w:tc>
        <w:tc>
          <w:tcPr>
            <w:tcW w:w="4394" w:type="dxa"/>
          </w:tcPr>
          <w:p w14:paraId="535B8334" w14:textId="77777777" w:rsidR="002C5664" w:rsidRPr="002D741C" w:rsidRDefault="005B76AA" w:rsidP="005B76AA">
            <w:pPr>
              <w:pStyle w:val="EndnoteText"/>
              <w:widowControl w:val="0"/>
              <w:tabs>
                <w:tab w:val="clear" w:pos="567"/>
              </w:tabs>
              <w:ind w:left="548" w:hanging="514"/>
              <w:rPr>
                <w:color w:val="000000"/>
                <w:szCs w:val="22"/>
                <w:lang w:val="es-ES"/>
              </w:rPr>
            </w:pPr>
            <w:r w:rsidRPr="002D741C">
              <w:rPr>
                <w:color w:val="000000"/>
                <w:szCs w:val="22"/>
                <w:lang w:val="es-ES"/>
              </w:rPr>
              <w:t>1.</w:t>
            </w:r>
            <w:r w:rsidRPr="002D741C">
              <w:rPr>
                <w:color w:val="000000"/>
                <w:szCs w:val="22"/>
                <w:lang w:val="es-ES"/>
              </w:rPr>
              <w:tab/>
            </w:r>
            <w:r w:rsidR="002C5664" w:rsidRPr="002D741C">
              <w:rPr>
                <w:color w:val="000000"/>
                <w:szCs w:val="22"/>
                <w:lang w:val="es-ES"/>
              </w:rPr>
              <w:t xml:space="preserve">Interrumpir Glivec hasta que RAN </w:t>
            </w:r>
            <w:r w:rsidR="002C5664" w:rsidRPr="002D741C">
              <w:rPr>
                <w:color w:val="000000"/>
                <w:szCs w:val="22"/>
                <w:lang w:val="es-ES"/>
              </w:rPr>
              <w:sym w:font="Symbol" w:char="F0B3"/>
            </w:r>
            <w:r w:rsidR="002C5664" w:rsidRPr="002D741C">
              <w:rPr>
                <w:color w:val="000000"/>
                <w:szCs w:val="22"/>
                <w:lang w:val="es-ES"/>
              </w:rPr>
              <w:t> 1,5 x 10</w:t>
            </w:r>
            <w:r w:rsidR="002C5664" w:rsidRPr="002D741C">
              <w:rPr>
                <w:color w:val="000000"/>
                <w:szCs w:val="22"/>
                <w:vertAlign w:val="superscript"/>
                <w:lang w:val="es-ES"/>
              </w:rPr>
              <w:t>9</w:t>
            </w:r>
            <w:r w:rsidR="002C5664" w:rsidRPr="002D741C">
              <w:rPr>
                <w:color w:val="000000"/>
                <w:szCs w:val="22"/>
                <w:lang w:val="es-ES"/>
              </w:rPr>
              <w:t xml:space="preserve">/l y plaquetas </w:t>
            </w:r>
            <w:r w:rsidR="002C5664" w:rsidRPr="002D741C">
              <w:rPr>
                <w:color w:val="000000"/>
                <w:szCs w:val="22"/>
                <w:lang w:val="es-ES"/>
              </w:rPr>
              <w:sym w:font="Symbol" w:char="F0B3"/>
            </w:r>
            <w:r w:rsidR="002C5664" w:rsidRPr="002D741C">
              <w:rPr>
                <w:color w:val="000000"/>
                <w:szCs w:val="22"/>
                <w:lang w:val="es-ES"/>
              </w:rPr>
              <w:t> 75 x 10</w:t>
            </w:r>
            <w:r w:rsidR="002C5664" w:rsidRPr="002D741C">
              <w:rPr>
                <w:color w:val="000000"/>
                <w:szCs w:val="22"/>
                <w:vertAlign w:val="superscript"/>
                <w:lang w:val="es-ES"/>
              </w:rPr>
              <w:t>9</w:t>
            </w:r>
            <w:r w:rsidR="002C5664" w:rsidRPr="002D741C">
              <w:rPr>
                <w:color w:val="000000"/>
                <w:szCs w:val="22"/>
                <w:lang w:val="es-ES"/>
              </w:rPr>
              <w:t>/l.</w:t>
            </w:r>
          </w:p>
          <w:p w14:paraId="78C53116" w14:textId="77777777" w:rsidR="002C5664" w:rsidRPr="002D741C" w:rsidRDefault="005B76AA" w:rsidP="005B76AA">
            <w:pPr>
              <w:pStyle w:val="EndnoteText"/>
              <w:widowControl w:val="0"/>
              <w:tabs>
                <w:tab w:val="clear" w:pos="567"/>
              </w:tabs>
              <w:ind w:left="548" w:hanging="514"/>
              <w:rPr>
                <w:color w:val="000000"/>
                <w:szCs w:val="22"/>
                <w:lang w:val="es-ES"/>
              </w:rPr>
            </w:pPr>
            <w:r w:rsidRPr="002D741C">
              <w:rPr>
                <w:color w:val="000000"/>
                <w:szCs w:val="22"/>
                <w:lang w:val="es-ES"/>
              </w:rPr>
              <w:t>2.</w:t>
            </w:r>
            <w:r w:rsidRPr="002D741C">
              <w:rPr>
                <w:color w:val="000000"/>
                <w:szCs w:val="22"/>
                <w:lang w:val="es-ES"/>
              </w:rPr>
              <w:tab/>
            </w:r>
            <w:r w:rsidR="002C5664" w:rsidRPr="002D741C">
              <w:rPr>
                <w:color w:val="000000"/>
                <w:szCs w:val="22"/>
                <w:lang w:val="es-ES"/>
              </w:rPr>
              <w:t>Reanudar el tratamiento con Glivec a la dosis previa (antes de la reacción adversa).</w:t>
            </w:r>
          </w:p>
          <w:p w14:paraId="3FF918F8" w14:textId="77777777" w:rsidR="002C5664" w:rsidRPr="002D741C" w:rsidRDefault="005B76AA" w:rsidP="005B76AA">
            <w:pPr>
              <w:pStyle w:val="EndnoteText"/>
              <w:widowControl w:val="0"/>
              <w:tabs>
                <w:tab w:val="clear" w:pos="567"/>
              </w:tabs>
              <w:ind w:left="548" w:hanging="514"/>
              <w:rPr>
                <w:color w:val="000000"/>
                <w:szCs w:val="22"/>
                <w:lang w:val="es-ES"/>
              </w:rPr>
            </w:pPr>
            <w:r w:rsidRPr="002D741C">
              <w:rPr>
                <w:color w:val="000000"/>
                <w:szCs w:val="22"/>
                <w:lang w:val="es-ES"/>
              </w:rPr>
              <w:t>3.</w:t>
            </w:r>
            <w:r w:rsidRPr="002D741C">
              <w:rPr>
                <w:color w:val="000000"/>
                <w:szCs w:val="22"/>
                <w:lang w:val="es-ES"/>
              </w:rPr>
              <w:tab/>
            </w:r>
            <w:r w:rsidR="002C5664" w:rsidRPr="002D741C">
              <w:rPr>
                <w:color w:val="000000"/>
                <w:szCs w:val="22"/>
                <w:lang w:val="es-ES"/>
              </w:rPr>
              <w:t>Si recurre la situación de RAN &lt; 1,0 x 10</w:t>
            </w:r>
            <w:r w:rsidR="002C5664" w:rsidRPr="002D741C">
              <w:rPr>
                <w:color w:val="000000"/>
                <w:szCs w:val="22"/>
                <w:vertAlign w:val="superscript"/>
                <w:lang w:val="es-ES"/>
              </w:rPr>
              <w:t>9</w:t>
            </w:r>
            <w:r w:rsidR="002C5664" w:rsidRPr="002D741C">
              <w:rPr>
                <w:color w:val="000000"/>
                <w:szCs w:val="22"/>
                <w:lang w:val="es-ES"/>
              </w:rPr>
              <w:t>/l y/o plaquetas &lt; 50 x 10</w:t>
            </w:r>
            <w:r w:rsidR="002C5664" w:rsidRPr="002D741C">
              <w:rPr>
                <w:color w:val="000000"/>
                <w:szCs w:val="22"/>
                <w:vertAlign w:val="superscript"/>
                <w:lang w:val="es-ES"/>
              </w:rPr>
              <w:t>9</w:t>
            </w:r>
            <w:r w:rsidR="002C5664" w:rsidRPr="002D741C">
              <w:rPr>
                <w:color w:val="000000"/>
                <w:szCs w:val="22"/>
                <w:lang w:val="es-ES"/>
              </w:rPr>
              <w:t>/l, repetir el paso 1 y reanudar Glivec a la dosis reducida de 300 mg.</w:t>
            </w:r>
          </w:p>
        </w:tc>
      </w:tr>
      <w:tr w:rsidR="002C5664" w:rsidRPr="002D741C" w14:paraId="55A2DDEB" w14:textId="77777777" w:rsidTr="00C16E58">
        <w:trPr>
          <w:cantSplit/>
        </w:trPr>
        <w:tc>
          <w:tcPr>
            <w:tcW w:w="2268" w:type="dxa"/>
            <w:tcBorders>
              <w:bottom w:val="nil"/>
            </w:tcBorders>
          </w:tcPr>
          <w:p w14:paraId="737E0175" w14:textId="77777777" w:rsidR="002C5664" w:rsidRPr="002D741C" w:rsidRDefault="002C5664" w:rsidP="003C6653">
            <w:pPr>
              <w:pStyle w:val="EndnoteText"/>
              <w:widowControl w:val="0"/>
              <w:tabs>
                <w:tab w:val="clear" w:pos="567"/>
              </w:tabs>
              <w:rPr>
                <w:color w:val="000000"/>
                <w:szCs w:val="22"/>
                <w:lang w:val="pt-BR"/>
              </w:rPr>
            </w:pPr>
            <w:r w:rsidRPr="002D741C">
              <w:rPr>
                <w:color w:val="000000"/>
                <w:szCs w:val="22"/>
                <w:lang w:val="pt-BR"/>
              </w:rPr>
              <w:t>LMC fase crónica pediátrica</w:t>
            </w:r>
          </w:p>
          <w:p w14:paraId="440AD8F8" w14:textId="77777777" w:rsidR="002C5664" w:rsidRPr="002D741C" w:rsidRDefault="002C5664" w:rsidP="003C6653">
            <w:pPr>
              <w:pStyle w:val="EndnoteText"/>
              <w:widowControl w:val="0"/>
              <w:tabs>
                <w:tab w:val="clear" w:pos="567"/>
              </w:tabs>
              <w:rPr>
                <w:color w:val="000000"/>
                <w:szCs w:val="22"/>
                <w:lang w:val="pt-BR"/>
              </w:rPr>
            </w:pPr>
            <w:r w:rsidRPr="002D741C">
              <w:rPr>
                <w:color w:val="000000"/>
                <w:szCs w:val="22"/>
                <w:lang w:val="pt-BR"/>
              </w:rPr>
              <w:t>(a dosis de 340 mg/m</w:t>
            </w:r>
            <w:r w:rsidRPr="002D741C">
              <w:rPr>
                <w:color w:val="000000"/>
                <w:szCs w:val="22"/>
                <w:vertAlign w:val="superscript"/>
                <w:lang w:val="pt-BR"/>
              </w:rPr>
              <w:t>2</w:t>
            </w:r>
            <w:r w:rsidRPr="002D741C">
              <w:rPr>
                <w:color w:val="000000"/>
                <w:szCs w:val="22"/>
                <w:lang w:val="pt-BR"/>
              </w:rPr>
              <w:t>)</w:t>
            </w:r>
          </w:p>
        </w:tc>
        <w:tc>
          <w:tcPr>
            <w:tcW w:w="2410" w:type="dxa"/>
            <w:tcBorders>
              <w:bottom w:val="nil"/>
            </w:tcBorders>
          </w:tcPr>
          <w:p w14:paraId="6F32787C" w14:textId="77777777" w:rsidR="002C5664" w:rsidRPr="002D741C" w:rsidRDefault="002C5664" w:rsidP="003C6653">
            <w:pPr>
              <w:pStyle w:val="Table"/>
              <w:spacing w:before="0" w:after="0"/>
              <w:rPr>
                <w:rFonts w:ascii="Times New Roman" w:hAnsi="Times New Roman"/>
                <w:color w:val="000000"/>
                <w:sz w:val="22"/>
                <w:szCs w:val="22"/>
                <w:lang w:val="es-ES_tradnl"/>
              </w:rPr>
            </w:pPr>
            <w:r w:rsidRPr="002D741C">
              <w:rPr>
                <w:rFonts w:ascii="Times New Roman" w:hAnsi="Times New Roman"/>
                <w:color w:val="000000"/>
                <w:sz w:val="22"/>
                <w:szCs w:val="22"/>
                <w:lang w:val="es-ES_tradnl"/>
              </w:rPr>
              <w:t>RAN &lt; 1,0 x 10</w:t>
            </w:r>
            <w:r w:rsidRPr="002D741C">
              <w:rPr>
                <w:rFonts w:ascii="Times New Roman" w:hAnsi="Times New Roman"/>
                <w:color w:val="000000"/>
                <w:sz w:val="22"/>
                <w:szCs w:val="22"/>
                <w:vertAlign w:val="superscript"/>
                <w:lang w:val="es-ES_tradnl"/>
              </w:rPr>
              <w:t>9</w:t>
            </w:r>
            <w:r w:rsidRPr="002D741C">
              <w:rPr>
                <w:rFonts w:ascii="Times New Roman" w:hAnsi="Times New Roman"/>
                <w:color w:val="000000"/>
                <w:sz w:val="22"/>
                <w:szCs w:val="22"/>
                <w:lang w:val="es-ES_tradnl"/>
              </w:rPr>
              <w:t>/l</w:t>
            </w:r>
          </w:p>
          <w:p w14:paraId="7E451771" w14:textId="77777777" w:rsidR="002C5664" w:rsidRPr="002D741C" w:rsidRDefault="002C5664" w:rsidP="003C6653">
            <w:pPr>
              <w:pStyle w:val="Table"/>
              <w:spacing w:before="0" w:after="0"/>
              <w:rPr>
                <w:rFonts w:ascii="Times New Roman" w:hAnsi="Times New Roman"/>
                <w:color w:val="000000"/>
                <w:sz w:val="22"/>
                <w:szCs w:val="22"/>
                <w:lang w:val="es-ES_tradnl"/>
              </w:rPr>
            </w:pPr>
            <w:r w:rsidRPr="002D741C">
              <w:rPr>
                <w:rFonts w:ascii="Times New Roman" w:hAnsi="Times New Roman"/>
                <w:color w:val="000000"/>
                <w:sz w:val="22"/>
                <w:szCs w:val="22"/>
                <w:lang w:val="es-ES_tradnl"/>
              </w:rPr>
              <w:t>y/o</w:t>
            </w:r>
          </w:p>
          <w:p w14:paraId="3BA1478E" w14:textId="77777777" w:rsidR="002C5664" w:rsidRPr="002D741C" w:rsidRDefault="002C5664" w:rsidP="003C6653">
            <w:pPr>
              <w:pStyle w:val="Table"/>
              <w:spacing w:before="0" w:after="0"/>
              <w:rPr>
                <w:rFonts w:ascii="Times New Roman" w:hAnsi="Times New Roman"/>
                <w:color w:val="000000"/>
                <w:sz w:val="22"/>
                <w:szCs w:val="22"/>
                <w:lang w:val="es-ES_tradnl"/>
              </w:rPr>
            </w:pPr>
            <w:r w:rsidRPr="002D741C">
              <w:rPr>
                <w:rFonts w:ascii="Times New Roman" w:hAnsi="Times New Roman"/>
                <w:color w:val="000000"/>
                <w:sz w:val="22"/>
                <w:szCs w:val="22"/>
                <w:lang w:val="es-ES_tradnl"/>
              </w:rPr>
              <w:t>plaquetas &lt; 50 x 10</w:t>
            </w:r>
            <w:r w:rsidRPr="002D741C">
              <w:rPr>
                <w:rFonts w:ascii="Times New Roman" w:hAnsi="Times New Roman"/>
                <w:color w:val="000000"/>
                <w:sz w:val="22"/>
                <w:szCs w:val="22"/>
                <w:vertAlign w:val="superscript"/>
                <w:lang w:val="es-ES_tradnl"/>
              </w:rPr>
              <w:t>9</w:t>
            </w:r>
            <w:r w:rsidRPr="002D741C">
              <w:rPr>
                <w:rFonts w:ascii="Times New Roman" w:hAnsi="Times New Roman"/>
                <w:color w:val="000000"/>
                <w:sz w:val="22"/>
                <w:szCs w:val="22"/>
                <w:lang w:val="es-ES_tradnl"/>
              </w:rPr>
              <w:t>/l</w:t>
            </w:r>
          </w:p>
          <w:p w14:paraId="3542F604" w14:textId="77777777" w:rsidR="002C5664" w:rsidRPr="002D741C" w:rsidDel="00F4499A" w:rsidRDefault="002C5664" w:rsidP="003C6653">
            <w:pPr>
              <w:pStyle w:val="EndnoteText"/>
              <w:widowControl w:val="0"/>
              <w:tabs>
                <w:tab w:val="clear" w:pos="567"/>
              </w:tabs>
              <w:rPr>
                <w:color w:val="000000"/>
                <w:szCs w:val="22"/>
                <w:vertAlign w:val="superscript"/>
                <w:lang w:val="es-ES_tradnl"/>
              </w:rPr>
            </w:pPr>
          </w:p>
        </w:tc>
        <w:tc>
          <w:tcPr>
            <w:tcW w:w="4394" w:type="dxa"/>
            <w:tcBorders>
              <w:bottom w:val="nil"/>
            </w:tcBorders>
          </w:tcPr>
          <w:p w14:paraId="64E4D2B7" w14:textId="77777777" w:rsidR="002C5664" w:rsidRPr="002D741C" w:rsidRDefault="005B76AA" w:rsidP="005B76AA">
            <w:pPr>
              <w:pStyle w:val="EndnoteText"/>
              <w:widowControl w:val="0"/>
              <w:tabs>
                <w:tab w:val="clear" w:pos="567"/>
              </w:tabs>
              <w:ind w:left="548" w:hanging="514"/>
              <w:rPr>
                <w:color w:val="000000"/>
                <w:szCs w:val="22"/>
                <w:lang w:val="es-ES"/>
              </w:rPr>
            </w:pPr>
            <w:r w:rsidRPr="002D741C">
              <w:rPr>
                <w:color w:val="000000"/>
                <w:szCs w:val="22"/>
                <w:lang w:val="es-ES_tradnl"/>
              </w:rPr>
              <w:t>1.</w:t>
            </w:r>
            <w:r w:rsidRPr="002D741C">
              <w:rPr>
                <w:color w:val="000000"/>
                <w:szCs w:val="22"/>
                <w:lang w:val="es-ES_tradnl"/>
              </w:rPr>
              <w:tab/>
            </w:r>
            <w:r w:rsidR="002C5664" w:rsidRPr="002D741C">
              <w:rPr>
                <w:color w:val="000000"/>
                <w:szCs w:val="22"/>
                <w:lang w:val="es-ES"/>
              </w:rPr>
              <w:t xml:space="preserve">Interrumpir Glivec hasta que RAN </w:t>
            </w:r>
            <w:r w:rsidR="002C5664" w:rsidRPr="002D741C">
              <w:rPr>
                <w:color w:val="000000"/>
                <w:szCs w:val="22"/>
                <w:lang w:val="es-ES"/>
              </w:rPr>
              <w:sym w:font="Symbol" w:char="F0B3"/>
            </w:r>
            <w:r w:rsidR="002C5664" w:rsidRPr="002D741C">
              <w:rPr>
                <w:color w:val="000000"/>
                <w:szCs w:val="22"/>
                <w:lang w:val="es-ES"/>
              </w:rPr>
              <w:t> 1,5 x 10</w:t>
            </w:r>
            <w:r w:rsidR="002C5664" w:rsidRPr="002D741C">
              <w:rPr>
                <w:color w:val="000000"/>
                <w:szCs w:val="22"/>
                <w:vertAlign w:val="superscript"/>
                <w:lang w:val="es-ES"/>
              </w:rPr>
              <w:t>9</w:t>
            </w:r>
            <w:r w:rsidR="002C5664" w:rsidRPr="002D741C">
              <w:rPr>
                <w:color w:val="000000"/>
                <w:szCs w:val="22"/>
                <w:lang w:val="es-ES"/>
              </w:rPr>
              <w:t xml:space="preserve">/l y plaquetas </w:t>
            </w:r>
            <w:r w:rsidR="002C5664" w:rsidRPr="002D741C">
              <w:rPr>
                <w:color w:val="000000"/>
                <w:szCs w:val="22"/>
                <w:lang w:val="es-ES"/>
              </w:rPr>
              <w:sym w:font="Symbol" w:char="F0B3"/>
            </w:r>
            <w:r w:rsidR="002C5664" w:rsidRPr="002D741C">
              <w:rPr>
                <w:color w:val="000000"/>
                <w:szCs w:val="22"/>
                <w:lang w:val="es-ES"/>
              </w:rPr>
              <w:t> 75 x 10</w:t>
            </w:r>
            <w:r w:rsidR="002C5664" w:rsidRPr="002D741C">
              <w:rPr>
                <w:color w:val="000000"/>
                <w:szCs w:val="22"/>
                <w:vertAlign w:val="superscript"/>
                <w:lang w:val="es-ES"/>
              </w:rPr>
              <w:t>9</w:t>
            </w:r>
            <w:r w:rsidR="002C5664" w:rsidRPr="002D741C">
              <w:rPr>
                <w:color w:val="000000"/>
                <w:szCs w:val="22"/>
                <w:lang w:val="es-ES"/>
              </w:rPr>
              <w:t>/l.</w:t>
            </w:r>
          </w:p>
          <w:p w14:paraId="39749976" w14:textId="77777777" w:rsidR="002C5664" w:rsidRPr="002D741C" w:rsidRDefault="005B76AA" w:rsidP="005B76AA">
            <w:pPr>
              <w:pStyle w:val="EndnoteText"/>
              <w:widowControl w:val="0"/>
              <w:tabs>
                <w:tab w:val="clear" w:pos="567"/>
              </w:tabs>
              <w:ind w:left="548" w:hanging="514"/>
              <w:rPr>
                <w:color w:val="000000"/>
                <w:szCs w:val="22"/>
                <w:lang w:val="es-ES"/>
              </w:rPr>
            </w:pPr>
            <w:r w:rsidRPr="002D741C">
              <w:rPr>
                <w:color w:val="000000"/>
                <w:szCs w:val="22"/>
                <w:lang w:val="es-ES"/>
              </w:rPr>
              <w:t>2.</w:t>
            </w:r>
            <w:r w:rsidRPr="002D741C">
              <w:rPr>
                <w:color w:val="000000"/>
                <w:szCs w:val="22"/>
                <w:lang w:val="es-ES"/>
              </w:rPr>
              <w:tab/>
            </w:r>
            <w:r w:rsidR="002C5664" w:rsidRPr="002D741C">
              <w:rPr>
                <w:color w:val="000000"/>
                <w:szCs w:val="22"/>
                <w:lang w:val="es-ES"/>
              </w:rPr>
              <w:t>Reanudar el tratamiento con Glivec a la dosis previa (antes de la reacción adversa).</w:t>
            </w:r>
          </w:p>
          <w:p w14:paraId="49301BAF" w14:textId="77777777" w:rsidR="002C5664" w:rsidRPr="002D741C" w:rsidRDefault="002C5664" w:rsidP="005B76AA">
            <w:pPr>
              <w:pStyle w:val="EndnoteText"/>
              <w:widowControl w:val="0"/>
              <w:tabs>
                <w:tab w:val="clear" w:pos="567"/>
              </w:tabs>
              <w:ind w:left="548" w:hanging="514"/>
              <w:rPr>
                <w:color w:val="000000"/>
                <w:szCs w:val="22"/>
                <w:lang w:val="es-ES_tradnl"/>
              </w:rPr>
            </w:pPr>
            <w:r w:rsidRPr="002D741C">
              <w:rPr>
                <w:color w:val="000000"/>
                <w:szCs w:val="22"/>
                <w:lang w:val="es-ES"/>
              </w:rPr>
              <w:t>3.</w:t>
            </w:r>
            <w:r w:rsidRPr="002D741C">
              <w:rPr>
                <w:color w:val="000000"/>
                <w:szCs w:val="22"/>
                <w:lang w:val="es-ES"/>
              </w:rPr>
              <w:tab/>
              <w:t>Si recurre la situación de RAN &lt; 1,0 x 10</w:t>
            </w:r>
            <w:r w:rsidRPr="002D741C">
              <w:rPr>
                <w:color w:val="000000"/>
                <w:szCs w:val="22"/>
                <w:vertAlign w:val="superscript"/>
                <w:lang w:val="es-ES"/>
              </w:rPr>
              <w:t>9</w:t>
            </w:r>
            <w:r w:rsidRPr="002D741C">
              <w:rPr>
                <w:color w:val="000000"/>
                <w:szCs w:val="22"/>
                <w:lang w:val="es-ES"/>
              </w:rPr>
              <w:t>/l y/o plaquetas &lt; 50 x 10</w:t>
            </w:r>
            <w:r w:rsidRPr="002D741C">
              <w:rPr>
                <w:color w:val="000000"/>
                <w:szCs w:val="22"/>
                <w:vertAlign w:val="superscript"/>
                <w:lang w:val="es-ES"/>
              </w:rPr>
              <w:t>9</w:t>
            </w:r>
            <w:r w:rsidRPr="002D741C">
              <w:rPr>
                <w:color w:val="000000"/>
                <w:szCs w:val="22"/>
                <w:lang w:val="es-ES"/>
              </w:rPr>
              <w:t>/l, repetir el paso 1 y reanudar Glivec a la dosis reducida de 260 mg/m</w:t>
            </w:r>
            <w:r w:rsidRPr="002D741C">
              <w:rPr>
                <w:color w:val="000000"/>
                <w:szCs w:val="22"/>
                <w:vertAlign w:val="superscript"/>
                <w:lang w:val="es-ES"/>
              </w:rPr>
              <w:t>2</w:t>
            </w:r>
            <w:r w:rsidRPr="002D741C">
              <w:rPr>
                <w:color w:val="000000"/>
                <w:szCs w:val="22"/>
                <w:lang w:val="es-ES"/>
              </w:rPr>
              <w:t>.</w:t>
            </w:r>
          </w:p>
        </w:tc>
      </w:tr>
      <w:tr w:rsidR="002C5664" w:rsidRPr="002D741C" w14:paraId="78388650" w14:textId="77777777" w:rsidTr="00C16E58">
        <w:trPr>
          <w:cantSplit/>
        </w:trPr>
        <w:tc>
          <w:tcPr>
            <w:tcW w:w="2268" w:type="dxa"/>
            <w:tcBorders>
              <w:bottom w:val="nil"/>
            </w:tcBorders>
          </w:tcPr>
          <w:p w14:paraId="642855F0" w14:textId="77777777" w:rsidR="002C5664" w:rsidRPr="002D741C" w:rsidRDefault="002C5664" w:rsidP="003C6653">
            <w:pPr>
              <w:pStyle w:val="EndnoteText"/>
              <w:widowControl w:val="0"/>
              <w:tabs>
                <w:tab w:val="clear" w:pos="567"/>
              </w:tabs>
              <w:rPr>
                <w:color w:val="000000"/>
                <w:szCs w:val="22"/>
                <w:lang w:val="es-ES"/>
              </w:rPr>
            </w:pPr>
            <w:r w:rsidRPr="002D741C">
              <w:rPr>
                <w:color w:val="000000"/>
                <w:szCs w:val="22"/>
                <w:lang w:val="es-ES"/>
              </w:rPr>
              <w:lastRenderedPageBreak/>
              <w:t xml:space="preserve">LMC fase acelerada y crisis blástica </w:t>
            </w:r>
            <w:r w:rsidR="00F068A2" w:rsidRPr="002D741C">
              <w:rPr>
                <w:color w:val="000000"/>
                <w:szCs w:val="22"/>
                <w:lang w:val="es-ES"/>
              </w:rPr>
              <w:t xml:space="preserve">y LLA Ph+ </w:t>
            </w:r>
            <w:r w:rsidRPr="002D741C">
              <w:rPr>
                <w:color w:val="000000"/>
                <w:szCs w:val="22"/>
                <w:lang w:val="es-ES"/>
              </w:rPr>
              <w:t>(dosis inicial 600 mg)</w:t>
            </w:r>
          </w:p>
        </w:tc>
        <w:tc>
          <w:tcPr>
            <w:tcW w:w="2410" w:type="dxa"/>
            <w:tcBorders>
              <w:bottom w:val="nil"/>
            </w:tcBorders>
          </w:tcPr>
          <w:p w14:paraId="7A75C2A8" w14:textId="77777777" w:rsidR="002C5664" w:rsidRPr="002D741C" w:rsidRDefault="002C5664" w:rsidP="003C6653">
            <w:pPr>
              <w:pStyle w:val="EndnoteText"/>
              <w:widowControl w:val="0"/>
              <w:tabs>
                <w:tab w:val="clear" w:pos="567"/>
              </w:tabs>
              <w:rPr>
                <w:color w:val="000000"/>
                <w:szCs w:val="22"/>
                <w:lang w:val="es-ES"/>
              </w:rPr>
            </w:pPr>
            <w:r w:rsidRPr="002D741C">
              <w:rPr>
                <w:color w:val="000000"/>
                <w:szCs w:val="22"/>
                <w:vertAlign w:val="superscript"/>
                <w:lang w:val="es-ES"/>
              </w:rPr>
              <w:t>a</w:t>
            </w:r>
            <w:r w:rsidRPr="002D741C">
              <w:rPr>
                <w:color w:val="000000"/>
                <w:szCs w:val="22"/>
                <w:lang w:val="es-ES"/>
              </w:rPr>
              <w:t>RAN&lt; 0,5 x 10</w:t>
            </w:r>
            <w:r w:rsidRPr="002D741C">
              <w:rPr>
                <w:color w:val="000000"/>
                <w:szCs w:val="22"/>
                <w:vertAlign w:val="superscript"/>
                <w:lang w:val="es-ES"/>
              </w:rPr>
              <w:t>9</w:t>
            </w:r>
            <w:r w:rsidRPr="002D741C">
              <w:rPr>
                <w:color w:val="000000"/>
                <w:szCs w:val="22"/>
                <w:lang w:val="es-ES"/>
              </w:rPr>
              <w:t>/l</w:t>
            </w:r>
          </w:p>
          <w:p w14:paraId="12B9AB82" w14:textId="77777777" w:rsidR="002C5664" w:rsidRPr="002D741C" w:rsidRDefault="002C5664" w:rsidP="003C6653">
            <w:pPr>
              <w:pStyle w:val="EndnoteText"/>
              <w:widowControl w:val="0"/>
              <w:tabs>
                <w:tab w:val="clear" w:pos="567"/>
              </w:tabs>
              <w:rPr>
                <w:color w:val="000000"/>
                <w:szCs w:val="22"/>
                <w:lang w:val="es-ES"/>
              </w:rPr>
            </w:pPr>
            <w:r w:rsidRPr="002D741C">
              <w:rPr>
                <w:color w:val="000000"/>
                <w:szCs w:val="22"/>
                <w:lang w:val="es-ES"/>
              </w:rPr>
              <w:t>y/o</w:t>
            </w:r>
          </w:p>
          <w:p w14:paraId="77F55318" w14:textId="77777777" w:rsidR="002C5664" w:rsidRPr="002D741C" w:rsidRDefault="002C5664" w:rsidP="003C6653">
            <w:pPr>
              <w:pStyle w:val="EndnoteText"/>
              <w:widowControl w:val="0"/>
              <w:tabs>
                <w:tab w:val="clear" w:pos="567"/>
              </w:tabs>
              <w:rPr>
                <w:color w:val="000000"/>
                <w:szCs w:val="22"/>
                <w:lang w:val="es-ES"/>
              </w:rPr>
            </w:pPr>
            <w:r w:rsidRPr="002D741C">
              <w:rPr>
                <w:color w:val="000000"/>
                <w:szCs w:val="22"/>
                <w:lang w:val="es-ES"/>
              </w:rPr>
              <w:t>plaquetas &lt; 10 x 10</w:t>
            </w:r>
            <w:r w:rsidRPr="002D741C">
              <w:rPr>
                <w:color w:val="000000"/>
                <w:szCs w:val="22"/>
                <w:vertAlign w:val="superscript"/>
                <w:lang w:val="es-ES"/>
              </w:rPr>
              <w:t>9</w:t>
            </w:r>
            <w:r w:rsidRPr="002D741C">
              <w:rPr>
                <w:color w:val="000000"/>
                <w:szCs w:val="22"/>
                <w:lang w:val="es-ES"/>
              </w:rPr>
              <w:t>/l</w:t>
            </w:r>
          </w:p>
        </w:tc>
        <w:tc>
          <w:tcPr>
            <w:tcW w:w="4394" w:type="dxa"/>
            <w:tcBorders>
              <w:bottom w:val="nil"/>
            </w:tcBorders>
          </w:tcPr>
          <w:p w14:paraId="1981BAC1" w14:textId="77777777" w:rsidR="002C5664" w:rsidRPr="002D741C" w:rsidRDefault="002C5664" w:rsidP="003C6653">
            <w:pPr>
              <w:pStyle w:val="EndnoteText"/>
              <w:widowControl w:val="0"/>
              <w:tabs>
                <w:tab w:val="clear" w:pos="567"/>
              </w:tabs>
              <w:ind w:left="547" w:hanging="547"/>
              <w:rPr>
                <w:color w:val="000000"/>
                <w:szCs w:val="22"/>
                <w:lang w:val="es-ES"/>
              </w:rPr>
            </w:pPr>
            <w:r w:rsidRPr="002D741C">
              <w:rPr>
                <w:color w:val="000000"/>
                <w:szCs w:val="22"/>
                <w:lang w:val="es-ES"/>
              </w:rPr>
              <w:t>1.</w:t>
            </w:r>
            <w:r w:rsidRPr="002D741C">
              <w:rPr>
                <w:color w:val="000000"/>
                <w:szCs w:val="22"/>
                <w:lang w:val="es-ES"/>
              </w:rPr>
              <w:tab/>
              <w:t>Comprobar si la citopenia está relacionada con la leucemia (aspirado de médula ósea o biopsia).</w:t>
            </w:r>
          </w:p>
          <w:p w14:paraId="20E63B7B" w14:textId="77777777" w:rsidR="002C5664" w:rsidRPr="002D741C" w:rsidRDefault="002C5664" w:rsidP="003C6653">
            <w:pPr>
              <w:pStyle w:val="EndnoteText"/>
              <w:widowControl w:val="0"/>
              <w:tabs>
                <w:tab w:val="clear" w:pos="567"/>
              </w:tabs>
              <w:ind w:left="547" w:hanging="547"/>
              <w:rPr>
                <w:color w:val="000000"/>
                <w:szCs w:val="22"/>
                <w:lang w:val="es-ES"/>
              </w:rPr>
            </w:pPr>
            <w:r w:rsidRPr="002D741C">
              <w:rPr>
                <w:color w:val="000000"/>
                <w:szCs w:val="22"/>
                <w:lang w:val="es-ES"/>
              </w:rPr>
              <w:t>2.</w:t>
            </w:r>
            <w:r w:rsidRPr="002D741C">
              <w:rPr>
                <w:color w:val="000000"/>
                <w:szCs w:val="22"/>
                <w:lang w:val="es-ES"/>
              </w:rPr>
              <w:tab/>
              <w:t>Si la citopenia no está relacionada con la leucemia reducir la dosis de Glivec a 400 mg.</w:t>
            </w:r>
          </w:p>
          <w:p w14:paraId="3B84AE75" w14:textId="77777777" w:rsidR="002C5664" w:rsidRPr="002D741C" w:rsidRDefault="002C5664" w:rsidP="003C6653">
            <w:pPr>
              <w:pStyle w:val="EndnoteText"/>
              <w:widowControl w:val="0"/>
              <w:tabs>
                <w:tab w:val="clear" w:pos="567"/>
              </w:tabs>
              <w:ind w:left="547" w:hanging="547"/>
              <w:rPr>
                <w:color w:val="000000"/>
                <w:szCs w:val="22"/>
                <w:lang w:val="es-ES"/>
              </w:rPr>
            </w:pPr>
            <w:r w:rsidRPr="002D741C">
              <w:rPr>
                <w:color w:val="000000"/>
                <w:szCs w:val="22"/>
                <w:lang w:val="es-ES"/>
              </w:rPr>
              <w:t>3.</w:t>
            </w:r>
            <w:r w:rsidRPr="002D741C">
              <w:rPr>
                <w:color w:val="000000"/>
                <w:szCs w:val="22"/>
                <w:lang w:val="es-ES"/>
              </w:rPr>
              <w:tab/>
              <w:t>Si la citopenia persiste durante 2 semanas, reducir hasta 300 mg.</w:t>
            </w:r>
          </w:p>
          <w:p w14:paraId="6C2590FF" w14:textId="77777777" w:rsidR="002C5664" w:rsidRPr="002D741C" w:rsidRDefault="002C5664" w:rsidP="003C6653">
            <w:pPr>
              <w:pStyle w:val="EndnoteText"/>
              <w:widowControl w:val="0"/>
              <w:tabs>
                <w:tab w:val="clear" w:pos="567"/>
              </w:tabs>
              <w:ind w:left="547" w:hanging="547"/>
              <w:rPr>
                <w:color w:val="000000"/>
                <w:szCs w:val="22"/>
                <w:lang w:val="es-ES"/>
              </w:rPr>
            </w:pPr>
            <w:r w:rsidRPr="002D741C">
              <w:rPr>
                <w:color w:val="000000"/>
                <w:szCs w:val="22"/>
                <w:lang w:val="es-ES"/>
              </w:rPr>
              <w:t>4.</w:t>
            </w:r>
            <w:r w:rsidRPr="002D741C">
              <w:rPr>
                <w:color w:val="000000"/>
                <w:szCs w:val="22"/>
                <w:lang w:val="es-ES"/>
              </w:rPr>
              <w:tab/>
              <w:t xml:space="preserve">Si la citopenia persiste durante 4 semanas y sigue sin estar relacionada con la leucemia, interrumpir Glivec hasta que RAN </w:t>
            </w:r>
            <w:r w:rsidRPr="002D741C">
              <w:rPr>
                <w:color w:val="000000"/>
                <w:szCs w:val="22"/>
                <w:lang w:val="es-ES"/>
              </w:rPr>
              <w:sym w:font="Symbol" w:char="F0B3"/>
            </w:r>
            <w:r w:rsidRPr="002D741C">
              <w:rPr>
                <w:color w:val="000000"/>
                <w:szCs w:val="22"/>
                <w:lang w:val="es-ES"/>
              </w:rPr>
              <w:t> 1 x 10</w:t>
            </w:r>
            <w:r w:rsidRPr="002D741C">
              <w:rPr>
                <w:color w:val="000000"/>
                <w:szCs w:val="22"/>
                <w:vertAlign w:val="superscript"/>
                <w:lang w:val="es-ES"/>
              </w:rPr>
              <w:t>9</w:t>
            </w:r>
            <w:r w:rsidRPr="002D741C">
              <w:rPr>
                <w:color w:val="000000"/>
                <w:szCs w:val="22"/>
                <w:lang w:val="es-ES"/>
              </w:rPr>
              <w:t xml:space="preserve">/l y plaquetas </w:t>
            </w:r>
            <w:r w:rsidRPr="002D741C">
              <w:rPr>
                <w:color w:val="000000"/>
                <w:szCs w:val="22"/>
                <w:lang w:val="es-ES"/>
              </w:rPr>
              <w:sym w:font="Symbol" w:char="F0B3"/>
            </w:r>
            <w:r w:rsidRPr="002D741C">
              <w:rPr>
                <w:color w:val="000000"/>
                <w:szCs w:val="22"/>
                <w:lang w:val="es-ES"/>
              </w:rPr>
              <w:t> 20 x 10</w:t>
            </w:r>
            <w:r w:rsidRPr="002D741C">
              <w:rPr>
                <w:color w:val="000000"/>
                <w:szCs w:val="22"/>
                <w:vertAlign w:val="superscript"/>
                <w:lang w:val="es-ES"/>
              </w:rPr>
              <w:t>9</w:t>
            </w:r>
            <w:r w:rsidRPr="002D741C">
              <w:rPr>
                <w:color w:val="000000"/>
                <w:szCs w:val="22"/>
                <w:lang w:val="es-ES"/>
              </w:rPr>
              <w:t>/l, entonces reanudar el tratamiento con 300 mg.</w:t>
            </w:r>
          </w:p>
        </w:tc>
      </w:tr>
      <w:tr w:rsidR="002C5664" w:rsidRPr="002D741C" w14:paraId="099D48B5" w14:textId="77777777" w:rsidTr="00C16E58">
        <w:trPr>
          <w:cantSplit/>
        </w:trPr>
        <w:tc>
          <w:tcPr>
            <w:tcW w:w="2268" w:type="dxa"/>
            <w:tcBorders>
              <w:bottom w:val="nil"/>
            </w:tcBorders>
          </w:tcPr>
          <w:p w14:paraId="2B8598AF" w14:textId="77777777" w:rsidR="002C5664" w:rsidRPr="002D741C" w:rsidRDefault="002C5664" w:rsidP="003C6653">
            <w:pPr>
              <w:pStyle w:val="EndnoteText"/>
              <w:widowControl w:val="0"/>
              <w:tabs>
                <w:tab w:val="clear" w:pos="567"/>
              </w:tabs>
              <w:rPr>
                <w:color w:val="000000"/>
                <w:szCs w:val="22"/>
                <w:lang w:val="es-ES"/>
              </w:rPr>
            </w:pPr>
            <w:r w:rsidRPr="002D741C">
              <w:rPr>
                <w:color w:val="000000"/>
                <w:szCs w:val="22"/>
                <w:lang w:val="es-ES"/>
              </w:rPr>
              <w:t>LMC pediátrica fase acelerada y crisis blástica</w:t>
            </w:r>
          </w:p>
          <w:p w14:paraId="3F3F4186" w14:textId="77777777" w:rsidR="002C5664" w:rsidRPr="002D741C" w:rsidRDefault="002C5664" w:rsidP="003C6653">
            <w:pPr>
              <w:pStyle w:val="EndnoteText"/>
              <w:widowControl w:val="0"/>
              <w:tabs>
                <w:tab w:val="clear" w:pos="567"/>
              </w:tabs>
              <w:rPr>
                <w:color w:val="000000"/>
                <w:szCs w:val="22"/>
                <w:lang w:val="pt-BR"/>
              </w:rPr>
            </w:pPr>
            <w:r w:rsidRPr="002D741C">
              <w:rPr>
                <w:color w:val="000000"/>
                <w:szCs w:val="22"/>
                <w:lang w:val="pt-BR"/>
              </w:rPr>
              <w:t>(dosis inicial 340 mg/m</w:t>
            </w:r>
            <w:r w:rsidRPr="002D741C">
              <w:rPr>
                <w:color w:val="000000"/>
                <w:szCs w:val="22"/>
                <w:vertAlign w:val="superscript"/>
                <w:lang w:val="pt-BR"/>
              </w:rPr>
              <w:t>2</w:t>
            </w:r>
            <w:r w:rsidRPr="002D741C">
              <w:rPr>
                <w:color w:val="000000"/>
                <w:szCs w:val="22"/>
                <w:lang w:val="pt-BR"/>
              </w:rPr>
              <w:t>)</w:t>
            </w:r>
          </w:p>
        </w:tc>
        <w:tc>
          <w:tcPr>
            <w:tcW w:w="2410" w:type="dxa"/>
            <w:tcBorders>
              <w:bottom w:val="nil"/>
            </w:tcBorders>
          </w:tcPr>
          <w:p w14:paraId="78C1843F" w14:textId="77777777" w:rsidR="002C5664" w:rsidRPr="002D741C" w:rsidRDefault="002C5664" w:rsidP="003C6653">
            <w:pPr>
              <w:pStyle w:val="EndnoteText"/>
              <w:widowControl w:val="0"/>
              <w:rPr>
                <w:color w:val="000000"/>
                <w:szCs w:val="22"/>
                <w:lang w:val="es-ES_tradnl"/>
              </w:rPr>
            </w:pPr>
            <w:r w:rsidRPr="002D741C">
              <w:rPr>
                <w:color w:val="000000"/>
                <w:szCs w:val="22"/>
                <w:vertAlign w:val="superscript"/>
                <w:lang w:val="es-ES"/>
              </w:rPr>
              <w:t>a</w:t>
            </w:r>
            <w:r w:rsidRPr="002D741C">
              <w:rPr>
                <w:color w:val="000000"/>
                <w:szCs w:val="22"/>
                <w:lang w:val="es-ES_tradnl"/>
              </w:rPr>
              <w:t>RAN &lt; 0,5 x 10</w:t>
            </w:r>
            <w:r w:rsidRPr="002D741C">
              <w:rPr>
                <w:color w:val="000000"/>
                <w:szCs w:val="22"/>
                <w:vertAlign w:val="superscript"/>
                <w:lang w:val="es-ES_tradnl"/>
              </w:rPr>
              <w:t>9</w:t>
            </w:r>
            <w:r w:rsidRPr="002D741C">
              <w:rPr>
                <w:color w:val="000000"/>
                <w:szCs w:val="22"/>
                <w:lang w:val="es-ES_tradnl"/>
              </w:rPr>
              <w:t>/l</w:t>
            </w:r>
          </w:p>
          <w:p w14:paraId="32FB6B89" w14:textId="77777777" w:rsidR="002C5664" w:rsidRPr="002D741C" w:rsidRDefault="002C5664" w:rsidP="003C6653">
            <w:pPr>
              <w:pStyle w:val="EndnoteText"/>
              <w:widowControl w:val="0"/>
              <w:rPr>
                <w:color w:val="000000"/>
                <w:szCs w:val="22"/>
                <w:lang w:val="es-ES_tradnl"/>
              </w:rPr>
            </w:pPr>
            <w:r w:rsidRPr="002D741C">
              <w:rPr>
                <w:color w:val="000000"/>
                <w:szCs w:val="22"/>
                <w:lang w:val="es-ES_tradnl"/>
              </w:rPr>
              <w:t>y/o</w:t>
            </w:r>
          </w:p>
          <w:p w14:paraId="725929FA" w14:textId="77777777" w:rsidR="002C5664" w:rsidRPr="002D741C" w:rsidRDefault="002C5664" w:rsidP="003C6653">
            <w:pPr>
              <w:pStyle w:val="EndnoteText"/>
              <w:widowControl w:val="0"/>
              <w:rPr>
                <w:color w:val="000000"/>
                <w:szCs w:val="22"/>
                <w:lang w:val="es-ES_tradnl"/>
              </w:rPr>
            </w:pPr>
            <w:r w:rsidRPr="002D741C">
              <w:rPr>
                <w:color w:val="000000"/>
                <w:szCs w:val="22"/>
                <w:lang w:val="es-ES_tradnl"/>
              </w:rPr>
              <w:t>plaquetas &lt; 10 x 10</w:t>
            </w:r>
            <w:r w:rsidRPr="002D741C">
              <w:rPr>
                <w:color w:val="000000"/>
                <w:szCs w:val="22"/>
                <w:vertAlign w:val="superscript"/>
                <w:lang w:val="es-ES_tradnl"/>
              </w:rPr>
              <w:t>9</w:t>
            </w:r>
            <w:r w:rsidRPr="002D741C">
              <w:rPr>
                <w:color w:val="000000"/>
                <w:szCs w:val="22"/>
                <w:lang w:val="es-ES_tradnl"/>
              </w:rPr>
              <w:t>/l</w:t>
            </w:r>
          </w:p>
          <w:p w14:paraId="61AC5966" w14:textId="77777777" w:rsidR="002C5664" w:rsidRPr="002D741C" w:rsidRDefault="002C5664" w:rsidP="003C6653">
            <w:pPr>
              <w:pStyle w:val="EndnoteText"/>
              <w:widowControl w:val="0"/>
              <w:tabs>
                <w:tab w:val="clear" w:pos="567"/>
              </w:tabs>
              <w:rPr>
                <w:color w:val="000000"/>
                <w:szCs w:val="22"/>
                <w:lang w:val="es-ES_tradnl"/>
              </w:rPr>
            </w:pPr>
          </w:p>
        </w:tc>
        <w:tc>
          <w:tcPr>
            <w:tcW w:w="4394" w:type="dxa"/>
            <w:tcBorders>
              <w:bottom w:val="nil"/>
            </w:tcBorders>
          </w:tcPr>
          <w:p w14:paraId="2BEE8861" w14:textId="77777777" w:rsidR="002C5664" w:rsidRPr="002D741C" w:rsidRDefault="002C5664" w:rsidP="003C6653">
            <w:pPr>
              <w:pStyle w:val="EndnoteText"/>
              <w:widowControl w:val="0"/>
              <w:tabs>
                <w:tab w:val="clear" w:pos="567"/>
              </w:tabs>
              <w:ind w:left="547" w:hanging="547"/>
              <w:rPr>
                <w:color w:val="000000"/>
                <w:szCs w:val="22"/>
                <w:lang w:val="es-ES"/>
              </w:rPr>
            </w:pPr>
            <w:r w:rsidRPr="002D741C">
              <w:rPr>
                <w:color w:val="000000"/>
                <w:szCs w:val="22"/>
                <w:lang w:val="es-ES"/>
              </w:rPr>
              <w:t>1.</w:t>
            </w:r>
            <w:r w:rsidRPr="002D741C">
              <w:rPr>
                <w:color w:val="000000"/>
                <w:szCs w:val="22"/>
                <w:lang w:val="es-ES"/>
              </w:rPr>
              <w:tab/>
              <w:t>Comprobar si la citopenia está relacionada con la leucemia (aspirado de médula ósea o biopsia).</w:t>
            </w:r>
          </w:p>
          <w:p w14:paraId="78F2C169" w14:textId="77777777" w:rsidR="002C5664" w:rsidRPr="002D741C" w:rsidRDefault="002C5664" w:rsidP="003C6653">
            <w:pPr>
              <w:pStyle w:val="EndnoteText"/>
              <w:widowControl w:val="0"/>
              <w:tabs>
                <w:tab w:val="clear" w:pos="567"/>
              </w:tabs>
              <w:ind w:left="547" w:hanging="547"/>
              <w:rPr>
                <w:color w:val="000000"/>
                <w:szCs w:val="22"/>
                <w:lang w:val="es-ES"/>
              </w:rPr>
            </w:pPr>
            <w:r w:rsidRPr="002D741C">
              <w:rPr>
                <w:color w:val="000000"/>
                <w:szCs w:val="22"/>
                <w:lang w:val="es-ES"/>
              </w:rPr>
              <w:t>2.</w:t>
            </w:r>
            <w:r w:rsidRPr="002D741C">
              <w:rPr>
                <w:color w:val="000000"/>
                <w:szCs w:val="22"/>
                <w:lang w:val="es-ES"/>
              </w:rPr>
              <w:tab/>
              <w:t>Si la citopenia no está relacionada con la leucemia reducir la dosis de Glivec a 260 mg/</w:t>
            </w:r>
            <w:r w:rsidRPr="002D741C">
              <w:rPr>
                <w:color w:val="000000"/>
                <w:szCs w:val="22"/>
                <w:lang w:val="es-ES_tradnl"/>
              </w:rPr>
              <w:t>m</w:t>
            </w:r>
            <w:r w:rsidRPr="002D741C">
              <w:rPr>
                <w:color w:val="000000"/>
                <w:szCs w:val="22"/>
                <w:vertAlign w:val="superscript"/>
                <w:lang w:val="es-ES_tradnl"/>
              </w:rPr>
              <w:t>2</w:t>
            </w:r>
            <w:r w:rsidRPr="002D741C">
              <w:rPr>
                <w:color w:val="000000"/>
                <w:szCs w:val="22"/>
                <w:lang w:val="es-ES"/>
              </w:rPr>
              <w:t>.</w:t>
            </w:r>
          </w:p>
          <w:p w14:paraId="13F2C0A0" w14:textId="77777777" w:rsidR="002C5664" w:rsidRPr="002D741C" w:rsidRDefault="002C5664" w:rsidP="003C6653">
            <w:pPr>
              <w:pStyle w:val="EndnoteText"/>
              <w:widowControl w:val="0"/>
              <w:tabs>
                <w:tab w:val="clear" w:pos="567"/>
              </w:tabs>
              <w:ind w:left="547" w:hanging="547"/>
              <w:rPr>
                <w:color w:val="000000"/>
                <w:szCs w:val="22"/>
                <w:lang w:val="es-ES"/>
              </w:rPr>
            </w:pPr>
            <w:r w:rsidRPr="002D741C">
              <w:rPr>
                <w:color w:val="000000"/>
                <w:szCs w:val="22"/>
                <w:lang w:val="es-ES"/>
              </w:rPr>
              <w:t>3.</w:t>
            </w:r>
            <w:r w:rsidRPr="002D741C">
              <w:rPr>
                <w:color w:val="000000"/>
                <w:szCs w:val="22"/>
                <w:lang w:val="es-ES"/>
              </w:rPr>
              <w:tab/>
              <w:t>Si la citopenia persiste durante 2 semanas, reducir hasta 200 mg/</w:t>
            </w:r>
            <w:r w:rsidRPr="002D741C">
              <w:rPr>
                <w:color w:val="000000"/>
                <w:szCs w:val="22"/>
                <w:lang w:val="es-ES_tradnl"/>
              </w:rPr>
              <w:t>m</w:t>
            </w:r>
            <w:r w:rsidRPr="002D741C">
              <w:rPr>
                <w:color w:val="000000"/>
                <w:szCs w:val="22"/>
                <w:vertAlign w:val="superscript"/>
                <w:lang w:val="es-ES_tradnl"/>
              </w:rPr>
              <w:t>2</w:t>
            </w:r>
            <w:r w:rsidRPr="002D741C">
              <w:rPr>
                <w:color w:val="000000"/>
                <w:szCs w:val="22"/>
                <w:lang w:val="es-ES"/>
              </w:rPr>
              <w:t>.</w:t>
            </w:r>
          </w:p>
          <w:p w14:paraId="62D467C1" w14:textId="77777777" w:rsidR="002C5664" w:rsidRPr="002D741C" w:rsidRDefault="002C5664" w:rsidP="004D1872">
            <w:pPr>
              <w:pStyle w:val="EndnoteText"/>
              <w:widowControl w:val="0"/>
              <w:tabs>
                <w:tab w:val="clear" w:pos="567"/>
              </w:tabs>
              <w:ind w:left="534" w:hanging="534"/>
              <w:rPr>
                <w:color w:val="000000"/>
                <w:szCs w:val="22"/>
                <w:lang w:val="es-ES_tradnl"/>
              </w:rPr>
            </w:pPr>
            <w:r w:rsidRPr="002D741C">
              <w:rPr>
                <w:color w:val="000000"/>
                <w:szCs w:val="22"/>
                <w:lang w:val="es-ES"/>
              </w:rPr>
              <w:t>4.</w:t>
            </w:r>
            <w:r w:rsidRPr="002D741C">
              <w:rPr>
                <w:color w:val="000000"/>
                <w:szCs w:val="22"/>
                <w:lang w:val="es-ES"/>
              </w:rPr>
              <w:tab/>
              <w:t xml:space="preserve">Si la citopenia persiste durante 4 semanas y sigue sin estar relacionada con la leucemia, interrumpir Glivec hasta que RAN </w:t>
            </w:r>
            <w:r w:rsidRPr="002D741C">
              <w:rPr>
                <w:color w:val="000000"/>
                <w:szCs w:val="22"/>
                <w:lang w:val="es-ES"/>
              </w:rPr>
              <w:sym w:font="Symbol" w:char="F0B3"/>
            </w:r>
            <w:r w:rsidRPr="002D741C">
              <w:rPr>
                <w:color w:val="000000"/>
                <w:szCs w:val="22"/>
                <w:lang w:val="es-ES"/>
              </w:rPr>
              <w:t> 1 x 10</w:t>
            </w:r>
            <w:r w:rsidRPr="002D741C">
              <w:rPr>
                <w:color w:val="000000"/>
                <w:szCs w:val="22"/>
                <w:vertAlign w:val="superscript"/>
                <w:lang w:val="es-ES"/>
              </w:rPr>
              <w:t>9</w:t>
            </w:r>
            <w:r w:rsidRPr="002D741C">
              <w:rPr>
                <w:color w:val="000000"/>
                <w:szCs w:val="22"/>
                <w:lang w:val="es-ES"/>
              </w:rPr>
              <w:t xml:space="preserve">/l y plaquetas </w:t>
            </w:r>
            <w:r w:rsidRPr="002D741C">
              <w:rPr>
                <w:color w:val="000000"/>
                <w:szCs w:val="22"/>
                <w:lang w:val="es-ES"/>
              </w:rPr>
              <w:sym w:font="Symbol" w:char="F0B3"/>
            </w:r>
            <w:r w:rsidRPr="002D741C">
              <w:rPr>
                <w:color w:val="000000"/>
                <w:szCs w:val="22"/>
                <w:lang w:val="es-ES"/>
              </w:rPr>
              <w:t> 20 x 10</w:t>
            </w:r>
            <w:r w:rsidRPr="002D741C">
              <w:rPr>
                <w:color w:val="000000"/>
                <w:szCs w:val="22"/>
                <w:vertAlign w:val="superscript"/>
                <w:lang w:val="es-ES"/>
              </w:rPr>
              <w:t>9</w:t>
            </w:r>
            <w:r w:rsidRPr="002D741C">
              <w:rPr>
                <w:color w:val="000000"/>
                <w:szCs w:val="22"/>
                <w:lang w:val="es-ES"/>
              </w:rPr>
              <w:t>/l, entonces reanudar el tratamiento con 200 mg</w:t>
            </w:r>
            <w:r w:rsidR="00000526" w:rsidRPr="002D741C">
              <w:rPr>
                <w:color w:val="000000"/>
                <w:szCs w:val="22"/>
                <w:lang w:val="es-ES"/>
              </w:rPr>
              <w:t>/</w:t>
            </w:r>
            <w:r w:rsidR="00000526" w:rsidRPr="002D741C">
              <w:rPr>
                <w:color w:val="000000"/>
                <w:szCs w:val="22"/>
                <w:lang w:val="es-ES_tradnl"/>
              </w:rPr>
              <w:t>m</w:t>
            </w:r>
            <w:r w:rsidR="00000526" w:rsidRPr="002D741C">
              <w:rPr>
                <w:color w:val="000000"/>
                <w:szCs w:val="22"/>
                <w:vertAlign w:val="superscript"/>
                <w:lang w:val="es-ES_tradnl"/>
              </w:rPr>
              <w:t>2</w:t>
            </w:r>
            <w:r w:rsidRPr="002D741C">
              <w:rPr>
                <w:color w:val="000000"/>
                <w:szCs w:val="22"/>
                <w:lang w:val="es-ES"/>
              </w:rPr>
              <w:t>.</w:t>
            </w:r>
          </w:p>
        </w:tc>
      </w:tr>
      <w:tr w:rsidR="00733A18" w:rsidRPr="002D741C" w14:paraId="67DD819A" w14:textId="77777777" w:rsidTr="00C16E58">
        <w:trPr>
          <w:cantSplit/>
          <w:trHeight w:val="926"/>
        </w:trPr>
        <w:tc>
          <w:tcPr>
            <w:tcW w:w="2268" w:type="dxa"/>
            <w:tcBorders>
              <w:bottom w:val="nil"/>
            </w:tcBorders>
          </w:tcPr>
          <w:p w14:paraId="71FB0950" w14:textId="77777777" w:rsidR="00733A18" w:rsidRPr="002D741C" w:rsidRDefault="00733A18" w:rsidP="00C16E58">
            <w:pPr>
              <w:pStyle w:val="EndnoteText"/>
              <w:keepNext/>
              <w:widowControl w:val="0"/>
              <w:tabs>
                <w:tab w:val="clear" w:pos="567"/>
              </w:tabs>
              <w:rPr>
                <w:color w:val="000000"/>
                <w:szCs w:val="22"/>
                <w:lang w:val="es-ES"/>
              </w:rPr>
            </w:pPr>
            <w:r w:rsidRPr="002D741C">
              <w:rPr>
                <w:color w:val="000000"/>
                <w:szCs w:val="22"/>
                <w:lang w:val="es-ES"/>
              </w:rPr>
              <w:t>DFSP</w:t>
            </w:r>
          </w:p>
          <w:p w14:paraId="46A13FCB" w14:textId="77777777" w:rsidR="00733A18" w:rsidRPr="002D741C" w:rsidRDefault="00733A18" w:rsidP="00C16E58">
            <w:pPr>
              <w:pStyle w:val="EndnoteText"/>
              <w:keepNext/>
              <w:widowControl w:val="0"/>
              <w:tabs>
                <w:tab w:val="clear" w:pos="567"/>
              </w:tabs>
              <w:rPr>
                <w:color w:val="000000"/>
                <w:szCs w:val="22"/>
                <w:lang w:val="es-ES"/>
              </w:rPr>
            </w:pPr>
            <w:r w:rsidRPr="002D741C">
              <w:rPr>
                <w:color w:val="000000"/>
                <w:szCs w:val="22"/>
                <w:lang w:val="es-ES"/>
              </w:rPr>
              <w:t>(a una dosis de 800 mg)</w:t>
            </w:r>
          </w:p>
        </w:tc>
        <w:tc>
          <w:tcPr>
            <w:tcW w:w="2410" w:type="dxa"/>
            <w:tcBorders>
              <w:bottom w:val="nil"/>
            </w:tcBorders>
          </w:tcPr>
          <w:p w14:paraId="331920CB" w14:textId="77777777" w:rsidR="00733A18" w:rsidRPr="002D741C" w:rsidRDefault="00733A18" w:rsidP="00C16E58">
            <w:pPr>
              <w:pStyle w:val="EndnoteText"/>
              <w:keepNext/>
              <w:widowControl w:val="0"/>
              <w:tabs>
                <w:tab w:val="clear" w:pos="567"/>
              </w:tabs>
              <w:rPr>
                <w:color w:val="000000"/>
                <w:szCs w:val="22"/>
                <w:lang w:val="es-ES"/>
              </w:rPr>
            </w:pPr>
            <w:r w:rsidRPr="002D741C">
              <w:rPr>
                <w:color w:val="000000"/>
                <w:szCs w:val="22"/>
                <w:lang w:val="es-ES"/>
              </w:rPr>
              <w:t>RAN &lt; 1,0 x 10</w:t>
            </w:r>
            <w:r w:rsidRPr="002D741C">
              <w:rPr>
                <w:color w:val="000000"/>
                <w:szCs w:val="22"/>
                <w:vertAlign w:val="superscript"/>
                <w:lang w:val="es-ES"/>
              </w:rPr>
              <w:t>9 </w:t>
            </w:r>
            <w:r w:rsidRPr="002D741C">
              <w:rPr>
                <w:color w:val="000000"/>
                <w:szCs w:val="22"/>
                <w:lang w:val="es-ES"/>
              </w:rPr>
              <w:t>/l</w:t>
            </w:r>
          </w:p>
          <w:p w14:paraId="660BE19D" w14:textId="77777777" w:rsidR="00733A18" w:rsidRPr="002D741C" w:rsidRDefault="00733A18" w:rsidP="00C16E58">
            <w:pPr>
              <w:pStyle w:val="EndnoteText"/>
              <w:keepNext/>
              <w:widowControl w:val="0"/>
              <w:tabs>
                <w:tab w:val="clear" w:pos="567"/>
              </w:tabs>
              <w:rPr>
                <w:color w:val="000000"/>
                <w:szCs w:val="22"/>
                <w:lang w:val="es-ES"/>
              </w:rPr>
            </w:pPr>
            <w:r w:rsidRPr="002D741C">
              <w:rPr>
                <w:color w:val="000000"/>
                <w:szCs w:val="22"/>
                <w:lang w:val="es-ES"/>
              </w:rPr>
              <w:t>y/o plaquetas &lt; 50 x 10</w:t>
            </w:r>
            <w:r w:rsidRPr="002D741C">
              <w:rPr>
                <w:color w:val="000000"/>
                <w:szCs w:val="22"/>
                <w:vertAlign w:val="superscript"/>
                <w:lang w:val="es-ES"/>
              </w:rPr>
              <w:t>9</w:t>
            </w:r>
            <w:r w:rsidRPr="002D741C">
              <w:rPr>
                <w:color w:val="000000"/>
                <w:szCs w:val="22"/>
                <w:lang w:val="es-ES"/>
              </w:rPr>
              <w:t>/l</w:t>
            </w:r>
          </w:p>
        </w:tc>
        <w:tc>
          <w:tcPr>
            <w:tcW w:w="4394" w:type="dxa"/>
            <w:tcBorders>
              <w:bottom w:val="nil"/>
            </w:tcBorders>
          </w:tcPr>
          <w:p w14:paraId="70DB2404" w14:textId="77777777" w:rsidR="00733A18" w:rsidRPr="002D741C" w:rsidRDefault="00733A18" w:rsidP="00C16E58">
            <w:pPr>
              <w:pStyle w:val="EndnoteText"/>
              <w:keepNext/>
              <w:widowControl w:val="0"/>
              <w:tabs>
                <w:tab w:val="clear" w:pos="567"/>
              </w:tabs>
              <w:ind w:left="534" w:hanging="534"/>
              <w:rPr>
                <w:color w:val="000000"/>
                <w:szCs w:val="22"/>
                <w:lang w:val="es-ES"/>
              </w:rPr>
            </w:pPr>
            <w:r w:rsidRPr="002D741C">
              <w:rPr>
                <w:color w:val="000000"/>
                <w:szCs w:val="22"/>
                <w:lang w:val="es-ES"/>
              </w:rPr>
              <w:t>1.</w:t>
            </w:r>
            <w:r w:rsidRPr="002D741C">
              <w:rPr>
                <w:color w:val="000000"/>
                <w:szCs w:val="22"/>
                <w:lang w:val="es-ES"/>
              </w:rPr>
              <w:tab/>
              <w:t xml:space="preserve">Interrumpir Glivec hasta que RAN </w:t>
            </w:r>
            <w:r w:rsidRPr="002D741C">
              <w:rPr>
                <w:color w:val="000000"/>
                <w:szCs w:val="22"/>
                <w:lang w:val="es-ES"/>
              </w:rPr>
              <w:sym w:font="Symbol" w:char="F0B3"/>
            </w:r>
            <w:r w:rsidRPr="002D741C">
              <w:rPr>
                <w:color w:val="000000"/>
                <w:szCs w:val="22"/>
                <w:lang w:val="es-ES"/>
              </w:rPr>
              <w:t> 1,5 x 10</w:t>
            </w:r>
            <w:r w:rsidRPr="002D741C">
              <w:rPr>
                <w:color w:val="000000"/>
                <w:szCs w:val="22"/>
                <w:vertAlign w:val="superscript"/>
                <w:lang w:val="es-ES"/>
              </w:rPr>
              <w:t>9</w:t>
            </w:r>
            <w:r w:rsidRPr="002D741C">
              <w:rPr>
                <w:color w:val="000000"/>
                <w:szCs w:val="22"/>
                <w:lang w:val="es-ES"/>
              </w:rPr>
              <w:t xml:space="preserve">/l y plaquetas </w:t>
            </w:r>
            <w:r w:rsidRPr="002D741C">
              <w:rPr>
                <w:color w:val="000000"/>
                <w:szCs w:val="22"/>
                <w:lang w:val="es-ES"/>
              </w:rPr>
              <w:sym w:font="Symbol" w:char="F0B3"/>
            </w:r>
            <w:r w:rsidRPr="002D741C">
              <w:rPr>
                <w:color w:val="000000"/>
                <w:szCs w:val="22"/>
                <w:lang w:val="es-ES"/>
              </w:rPr>
              <w:t> 75 x 10</w:t>
            </w:r>
            <w:r w:rsidRPr="002D741C">
              <w:rPr>
                <w:color w:val="000000"/>
                <w:szCs w:val="22"/>
                <w:vertAlign w:val="superscript"/>
                <w:lang w:val="es-ES"/>
              </w:rPr>
              <w:t>9</w:t>
            </w:r>
            <w:r w:rsidRPr="002D741C">
              <w:rPr>
                <w:color w:val="000000"/>
                <w:szCs w:val="22"/>
                <w:lang w:val="es-ES"/>
              </w:rPr>
              <w:t>/l</w:t>
            </w:r>
          </w:p>
          <w:p w14:paraId="2201A172" w14:textId="77777777" w:rsidR="00733A18" w:rsidRPr="002D741C" w:rsidRDefault="00733A18" w:rsidP="00C16E58">
            <w:pPr>
              <w:pStyle w:val="EndnoteText"/>
              <w:keepNext/>
              <w:widowControl w:val="0"/>
              <w:tabs>
                <w:tab w:val="clear" w:pos="567"/>
              </w:tabs>
              <w:ind w:left="534" w:hanging="534"/>
              <w:rPr>
                <w:color w:val="000000"/>
                <w:szCs w:val="22"/>
                <w:lang w:val="es-ES"/>
              </w:rPr>
            </w:pPr>
            <w:r w:rsidRPr="002D741C">
              <w:rPr>
                <w:color w:val="000000"/>
                <w:szCs w:val="22"/>
                <w:lang w:val="es-ES"/>
              </w:rPr>
              <w:t>2.</w:t>
            </w:r>
            <w:r w:rsidRPr="002D741C">
              <w:rPr>
                <w:color w:val="000000"/>
                <w:szCs w:val="22"/>
                <w:lang w:val="es-ES"/>
              </w:rPr>
              <w:tab/>
              <w:t>Reanudar el tratamiento con Glivec a 600 mg.</w:t>
            </w:r>
          </w:p>
          <w:p w14:paraId="339B4CC9" w14:textId="77777777" w:rsidR="00733A18" w:rsidRPr="002D741C" w:rsidRDefault="00733A18" w:rsidP="00C16E58">
            <w:pPr>
              <w:pStyle w:val="EndnoteText"/>
              <w:keepNext/>
              <w:widowControl w:val="0"/>
              <w:tabs>
                <w:tab w:val="clear" w:pos="567"/>
                <w:tab w:val="left" w:pos="459"/>
              </w:tabs>
              <w:ind w:left="534" w:hanging="534"/>
              <w:rPr>
                <w:color w:val="000000"/>
                <w:szCs w:val="22"/>
                <w:lang w:val="es-ES"/>
              </w:rPr>
            </w:pPr>
            <w:r w:rsidRPr="002D741C">
              <w:rPr>
                <w:color w:val="000000"/>
                <w:szCs w:val="22"/>
                <w:lang w:val="es-ES"/>
              </w:rPr>
              <w:t>3.</w:t>
            </w:r>
            <w:r w:rsidRPr="002D741C">
              <w:rPr>
                <w:color w:val="000000"/>
                <w:szCs w:val="22"/>
                <w:lang w:val="es-ES"/>
              </w:rPr>
              <w:tab/>
              <w:t>Si recurre la situación de RAN &lt; 1,0 x 10</w:t>
            </w:r>
            <w:r w:rsidRPr="002D741C">
              <w:rPr>
                <w:color w:val="000000"/>
                <w:szCs w:val="22"/>
                <w:vertAlign w:val="superscript"/>
                <w:lang w:val="es-ES"/>
              </w:rPr>
              <w:t>9</w:t>
            </w:r>
            <w:r w:rsidRPr="002D741C">
              <w:rPr>
                <w:color w:val="000000"/>
                <w:szCs w:val="22"/>
                <w:lang w:val="es-ES"/>
              </w:rPr>
              <w:t>/l y/o plaquetas &lt; 50 x 10</w:t>
            </w:r>
            <w:r w:rsidRPr="002D741C">
              <w:rPr>
                <w:color w:val="000000"/>
                <w:szCs w:val="22"/>
                <w:vertAlign w:val="superscript"/>
                <w:lang w:val="es-ES"/>
              </w:rPr>
              <w:t>9</w:t>
            </w:r>
            <w:r w:rsidRPr="002D741C">
              <w:rPr>
                <w:color w:val="000000"/>
                <w:szCs w:val="22"/>
                <w:lang w:val="es-ES"/>
              </w:rPr>
              <w:t>/l, repetir el paso</w:t>
            </w:r>
            <w:r w:rsidR="00000526" w:rsidRPr="002D741C">
              <w:rPr>
                <w:color w:val="000000"/>
                <w:szCs w:val="22"/>
                <w:lang w:val="es-ES"/>
              </w:rPr>
              <w:t> </w:t>
            </w:r>
            <w:r w:rsidRPr="002D741C">
              <w:rPr>
                <w:color w:val="000000"/>
                <w:szCs w:val="22"/>
                <w:lang w:val="es-ES"/>
              </w:rPr>
              <w:t>1 y reanudar Glivec a la dosis reducida de 400 mg.</w:t>
            </w:r>
          </w:p>
        </w:tc>
      </w:tr>
      <w:tr w:rsidR="002C5664" w:rsidRPr="002D741C" w14:paraId="21288BB6" w14:textId="77777777" w:rsidTr="00C16E58">
        <w:trPr>
          <w:cantSplit/>
        </w:trPr>
        <w:tc>
          <w:tcPr>
            <w:tcW w:w="9072" w:type="dxa"/>
            <w:gridSpan w:val="3"/>
            <w:tcBorders>
              <w:bottom w:val="nil"/>
            </w:tcBorders>
          </w:tcPr>
          <w:p w14:paraId="37C1CED5" w14:textId="77777777" w:rsidR="002C5664" w:rsidRPr="002D741C" w:rsidRDefault="002C5664" w:rsidP="00C16E58">
            <w:pPr>
              <w:pStyle w:val="EndnoteText"/>
              <w:keepNext/>
              <w:widowControl w:val="0"/>
              <w:tabs>
                <w:tab w:val="clear" w:pos="567"/>
              </w:tabs>
              <w:rPr>
                <w:color w:val="000000"/>
                <w:szCs w:val="22"/>
                <w:lang w:val="es-ES"/>
              </w:rPr>
            </w:pPr>
            <w:r w:rsidRPr="002D741C">
              <w:rPr>
                <w:color w:val="000000"/>
                <w:szCs w:val="22"/>
                <w:lang w:val="es-ES"/>
              </w:rPr>
              <w:t>RAN = Recuento absoluto de neutrófilos</w:t>
            </w:r>
          </w:p>
        </w:tc>
      </w:tr>
      <w:tr w:rsidR="002C5664" w:rsidRPr="002D741C" w14:paraId="1527247A" w14:textId="77777777" w:rsidTr="00C16E58">
        <w:trPr>
          <w:cantSplit/>
        </w:trPr>
        <w:tc>
          <w:tcPr>
            <w:tcW w:w="9072" w:type="dxa"/>
            <w:gridSpan w:val="3"/>
            <w:tcBorders>
              <w:top w:val="nil"/>
            </w:tcBorders>
          </w:tcPr>
          <w:p w14:paraId="2B847FCA" w14:textId="77777777" w:rsidR="002C5664" w:rsidRPr="002D741C" w:rsidRDefault="002C5664" w:rsidP="003C6653">
            <w:pPr>
              <w:pStyle w:val="EndnoteText"/>
              <w:widowControl w:val="0"/>
              <w:tabs>
                <w:tab w:val="clear" w:pos="567"/>
              </w:tabs>
              <w:rPr>
                <w:color w:val="000000"/>
                <w:szCs w:val="22"/>
                <w:lang w:val="es-ES"/>
              </w:rPr>
            </w:pPr>
            <w:r w:rsidRPr="002D741C">
              <w:rPr>
                <w:color w:val="000000"/>
                <w:szCs w:val="22"/>
                <w:vertAlign w:val="superscript"/>
                <w:lang w:val="es-ES"/>
              </w:rPr>
              <w:t>a</w:t>
            </w:r>
            <w:r w:rsidRPr="002D741C">
              <w:rPr>
                <w:color w:val="000000"/>
                <w:szCs w:val="22"/>
                <w:lang w:val="es-ES"/>
              </w:rPr>
              <w:t xml:space="preserve"> que ocurra al menos después de 1 mes de tratamiento</w:t>
            </w:r>
          </w:p>
        </w:tc>
      </w:tr>
    </w:tbl>
    <w:p w14:paraId="19AF29B9" w14:textId="77777777" w:rsidR="002626B2" w:rsidRPr="002D741C" w:rsidRDefault="002626B2" w:rsidP="001A2F33">
      <w:pPr>
        <w:pStyle w:val="EndnoteText"/>
        <w:widowControl w:val="0"/>
        <w:tabs>
          <w:tab w:val="clear" w:pos="567"/>
        </w:tabs>
        <w:rPr>
          <w:color w:val="000000"/>
          <w:szCs w:val="22"/>
          <w:lang w:val="es-ES_tradnl"/>
        </w:rPr>
      </w:pPr>
    </w:p>
    <w:p w14:paraId="6FE06A08" w14:textId="77777777" w:rsidR="00967AD8" w:rsidRPr="00C16E58" w:rsidRDefault="00967AD8" w:rsidP="00C16E58">
      <w:pPr>
        <w:pStyle w:val="EndnoteText"/>
        <w:keepNext/>
        <w:widowControl w:val="0"/>
        <w:tabs>
          <w:tab w:val="clear" w:pos="567"/>
        </w:tabs>
        <w:rPr>
          <w:color w:val="000000"/>
          <w:szCs w:val="22"/>
          <w:u w:val="single"/>
          <w:lang w:val="es-ES"/>
        </w:rPr>
      </w:pPr>
      <w:r w:rsidRPr="00C16E58">
        <w:rPr>
          <w:color w:val="000000"/>
          <w:szCs w:val="22"/>
          <w:u w:val="single"/>
          <w:lang w:val="es-ES"/>
        </w:rPr>
        <w:t>Poblaciones especiales</w:t>
      </w:r>
    </w:p>
    <w:p w14:paraId="0F50AE38" w14:textId="77777777" w:rsidR="00F11D96" w:rsidRPr="002D741C" w:rsidRDefault="002626B2" w:rsidP="00C55434">
      <w:pPr>
        <w:pStyle w:val="EndnoteText"/>
        <w:widowControl w:val="0"/>
        <w:tabs>
          <w:tab w:val="clear" w:pos="567"/>
        </w:tabs>
        <w:rPr>
          <w:color w:val="000000"/>
          <w:szCs w:val="22"/>
          <w:lang w:val="es-ES"/>
        </w:rPr>
      </w:pPr>
      <w:r w:rsidRPr="002D741C">
        <w:rPr>
          <w:i/>
          <w:color w:val="000000"/>
          <w:szCs w:val="22"/>
          <w:lang w:val="es-ES"/>
        </w:rPr>
        <w:t>Uso en pediatría:</w:t>
      </w:r>
      <w:r w:rsidRPr="002D741C">
        <w:rPr>
          <w:color w:val="000000"/>
          <w:szCs w:val="22"/>
          <w:lang w:val="es-ES"/>
        </w:rPr>
        <w:t xml:space="preserve"> </w:t>
      </w:r>
      <w:r w:rsidR="00C55434" w:rsidRPr="002D741C">
        <w:rPr>
          <w:color w:val="000000"/>
          <w:szCs w:val="22"/>
          <w:lang w:val="es-ES"/>
        </w:rPr>
        <w:t xml:space="preserve">No hay experiencia en niños con LMC menores de 2 años de edad </w:t>
      </w:r>
      <w:r w:rsidR="00FA64EA" w:rsidRPr="002D741C">
        <w:rPr>
          <w:color w:val="000000"/>
          <w:szCs w:val="22"/>
          <w:lang w:val="es-ES"/>
        </w:rPr>
        <w:t xml:space="preserve">y con LLA Ph+ menores de 1 año de edad </w:t>
      </w:r>
      <w:r w:rsidR="00C55434" w:rsidRPr="002D741C">
        <w:rPr>
          <w:color w:val="000000"/>
          <w:szCs w:val="22"/>
          <w:lang w:val="es-ES"/>
        </w:rPr>
        <w:t xml:space="preserve">(ver sección 5.1). </w:t>
      </w:r>
      <w:r w:rsidR="00FA64EA" w:rsidRPr="002D741C">
        <w:rPr>
          <w:color w:val="000000"/>
          <w:szCs w:val="22"/>
          <w:lang w:val="es-ES"/>
        </w:rPr>
        <w:t>L</w:t>
      </w:r>
      <w:r w:rsidR="003C3958" w:rsidRPr="002D741C">
        <w:rPr>
          <w:color w:val="000000"/>
          <w:szCs w:val="22"/>
          <w:lang w:val="es-ES"/>
        </w:rPr>
        <w:t xml:space="preserve">a experiencia en niños con </w:t>
      </w:r>
      <w:smartTag w:uri="urn:schemas-microsoft-com:office:smarttags" w:element="stockticker">
        <w:r w:rsidR="003C3958" w:rsidRPr="002D741C">
          <w:rPr>
            <w:color w:val="000000"/>
            <w:szCs w:val="22"/>
            <w:lang w:val="es-ES"/>
          </w:rPr>
          <w:t>SMD</w:t>
        </w:r>
      </w:smartTag>
      <w:r w:rsidR="003C3958" w:rsidRPr="002D741C">
        <w:rPr>
          <w:color w:val="000000"/>
          <w:szCs w:val="22"/>
          <w:lang w:val="es-ES"/>
        </w:rPr>
        <w:t>/SMP</w:t>
      </w:r>
      <w:r w:rsidR="00754D8B" w:rsidRPr="002D741C">
        <w:rPr>
          <w:color w:val="000000"/>
          <w:szCs w:val="22"/>
          <w:lang w:val="es-ES"/>
        </w:rPr>
        <w:t xml:space="preserve">, </w:t>
      </w:r>
      <w:r w:rsidR="003C3958" w:rsidRPr="002D741C">
        <w:rPr>
          <w:color w:val="000000"/>
          <w:szCs w:val="22"/>
          <w:lang w:val="es-ES"/>
        </w:rPr>
        <w:t>DFSP</w:t>
      </w:r>
      <w:r w:rsidR="00754D8B" w:rsidRPr="002D741C">
        <w:rPr>
          <w:color w:val="000000"/>
          <w:szCs w:val="22"/>
          <w:lang w:val="es-ES"/>
        </w:rPr>
        <w:t>, G</w:t>
      </w:r>
      <w:smartTag w:uri="urn:schemas-microsoft-com:office:smarttags" w:element="PersonName">
        <w:r w:rsidR="00754D8B" w:rsidRPr="002D741C">
          <w:rPr>
            <w:color w:val="000000"/>
            <w:szCs w:val="22"/>
            <w:lang w:val="es-ES"/>
          </w:rPr>
          <w:t>IS</w:t>
        </w:r>
      </w:smartTag>
      <w:r w:rsidR="00754D8B" w:rsidRPr="002D741C">
        <w:rPr>
          <w:color w:val="000000"/>
          <w:szCs w:val="22"/>
          <w:lang w:val="es-ES"/>
        </w:rPr>
        <w:t>T y SHE/LEC</w:t>
      </w:r>
      <w:r w:rsidR="003C3958" w:rsidRPr="002D741C">
        <w:rPr>
          <w:color w:val="000000"/>
          <w:szCs w:val="22"/>
          <w:lang w:val="es-ES"/>
        </w:rPr>
        <w:t xml:space="preserve"> es muy limitada</w:t>
      </w:r>
      <w:r w:rsidR="00C55434" w:rsidRPr="002D741C">
        <w:rPr>
          <w:color w:val="000000"/>
          <w:szCs w:val="22"/>
          <w:lang w:val="es-ES"/>
        </w:rPr>
        <w:t>.</w:t>
      </w:r>
    </w:p>
    <w:p w14:paraId="253850D2" w14:textId="77777777" w:rsidR="002626B2" w:rsidRPr="002D741C" w:rsidRDefault="002626B2" w:rsidP="001A2F33">
      <w:pPr>
        <w:pStyle w:val="EndnoteText"/>
        <w:widowControl w:val="0"/>
        <w:tabs>
          <w:tab w:val="clear" w:pos="567"/>
        </w:tabs>
        <w:rPr>
          <w:color w:val="000000"/>
          <w:szCs w:val="22"/>
          <w:lang w:val="es-ES"/>
        </w:rPr>
      </w:pPr>
    </w:p>
    <w:p w14:paraId="7C813DC9" w14:textId="77777777" w:rsidR="00754D8B" w:rsidRPr="002D741C" w:rsidRDefault="00754D8B" w:rsidP="001A2F33">
      <w:pPr>
        <w:pStyle w:val="EndnoteText"/>
        <w:widowControl w:val="0"/>
        <w:tabs>
          <w:tab w:val="clear" w:pos="567"/>
        </w:tabs>
        <w:rPr>
          <w:color w:val="000000"/>
          <w:szCs w:val="22"/>
          <w:lang w:val="es-ES"/>
        </w:rPr>
      </w:pPr>
      <w:r w:rsidRPr="002D741C">
        <w:rPr>
          <w:color w:val="000000"/>
          <w:szCs w:val="22"/>
          <w:lang w:val="es-ES"/>
        </w:rPr>
        <w:t>No se ha establecido la seguridad y eficacia de imanitib en niños menores de 18 años con SMD/SMP, DFSP, G</w:t>
      </w:r>
      <w:smartTag w:uri="urn:schemas-microsoft-com:office:smarttags" w:element="PersonName">
        <w:r w:rsidRPr="002D741C">
          <w:rPr>
            <w:color w:val="000000"/>
            <w:szCs w:val="22"/>
            <w:lang w:val="es-ES"/>
          </w:rPr>
          <w:t>IS</w:t>
        </w:r>
      </w:smartTag>
      <w:r w:rsidRPr="002D741C">
        <w:rPr>
          <w:color w:val="000000"/>
          <w:szCs w:val="22"/>
          <w:lang w:val="es-ES"/>
        </w:rPr>
        <w:t xml:space="preserve">T y SHE/LEC en los ensayos clínicos. Los datos publicados actualmente </w:t>
      </w:r>
      <w:r w:rsidR="008B551E" w:rsidRPr="002D741C">
        <w:rPr>
          <w:color w:val="000000"/>
          <w:szCs w:val="22"/>
          <w:lang w:val="es-ES"/>
        </w:rPr>
        <w:t xml:space="preserve">disponibles </w:t>
      </w:r>
      <w:r w:rsidRPr="002D741C">
        <w:rPr>
          <w:color w:val="000000"/>
          <w:szCs w:val="22"/>
          <w:lang w:val="es-ES"/>
        </w:rPr>
        <w:t>se resumen en la secci</w:t>
      </w:r>
      <w:r w:rsidR="008B551E" w:rsidRPr="002D741C">
        <w:rPr>
          <w:color w:val="000000"/>
          <w:szCs w:val="22"/>
          <w:lang w:val="es-ES"/>
        </w:rPr>
        <w:t>ón</w:t>
      </w:r>
      <w:r w:rsidRPr="002D741C">
        <w:rPr>
          <w:color w:val="000000"/>
          <w:szCs w:val="22"/>
          <w:lang w:val="es-ES"/>
        </w:rPr>
        <w:t xml:space="preserve"> 5.1</w:t>
      </w:r>
      <w:r w:rsidR="008B551E" w:rsidRPr="002D741C">
        <w:rPr>
          <w:color w:val="000000"/>
          <w:szCs w:val="22"/>
          <w:lang w:val="es-ES"/>
        </w:rPr>
        <w:t>; sin embargo,</w:t>
      </w:r>
      <w:r w:rsidRPr="002D741C">
        <w:rPr>
          <w:color w:val="000000"/>
          <w:szCs w:val="22"/>
          <w:lang w:val="es-ES"/>
        </w:rPr>
        <w:t xml:space="preserve"> no se puede hacer una recomendación posológica.</w:t>
      </w:r>
    </w:p>
    <w:p w14:paraId="052C3C63" w14:textId="77777777" w:rsidR="00754D8B" w:rsidRPr="002D741C" w:rsidRDefault="00754D8B" w:rsidP="001A2F33">
      <w:pPr>
        <w:pStyle w:val="EndnoteText"/>
        <w:widowControl w:val="0"/>
        <w:tabs>
          <w:tab w:val="clear" w:pos="567"/>
        </w:tabs>
        <w:rPr>
          <w:color w:val="000000"/>
          <w:szCs w:val="22"/>
          <w:lang w:val="es-ES"/>
        </w:rPr>
      </w:pPr>
    </w:p>
    <w:p w14:paraId="0D1558E4" w14:textId="77777777" w:rsidR="002626B2" w:rsidRPr="002D741C" w:rsidRDefault="002626B2" w:rsidP="00A6642A">
      <w:pPr>
        <w:pStyle w:val="EndnoteText"/>
        <w:widowControl w:val="0"/>
        <w:tabs>
          <w:tab w:val="clear" w:pos="567"/>
        </w:tabs>
        <w:rPr>
          <w:color w:val="000000"/>
          <w:szCs w:val="22"/>
          <w:lang w:val="es-ES"/>
        </w:rPr>
      </w:pPr>
      <w:r w:rsidRPr="002D741C">
        <w:rPr>
          <w:i/>
          <w:color w:val="000000"/>
          <w:szCs w:val="22"/>
          <w:lang w:val="es-ES"/>
        </w:rPr>
        <w:t>Insuficiencia hepática:</w:t>
      </w:r>
      <w:r w:rsidRPr="002D741C">
        <w:rPr>
          <w:color w:val="000000"/>
          <w:szCs w:val="22"/>
          <w:lang w:val="es-ES"/>
        </w:rPr>
        <w:t xml:space="preserve"> </w:t>
      </w:r>
      <w:r w:rsidR="00C10E9D" w:rsidRPr="002D741C">
        <w:rPr>
          <w:color w:val="000000"/>
          <w:szCs w:val="22"/>
          <w:lang w:val="es-ES"/>
        </w:rPr>
        <w:t>I</w:t>
      </w:r>
      <w:r w:rsidRPr="002D741C">
        <w:rPr>
          <w:color w:val="000000"/>
          <w:szCs w:val="22"/>
          <w:lang w:val="es-ES"/>
        </w:rPr>
        <w:t>matinib es metabolizado principalmente por el hígado</w:t>
      </w:r>
      <w:r w:rsidR="00365BD7" w:rsidRPr="002D741C">
        <w:rPr>
          <w:color w:val="000000"/>
          <w:szCs w:val="22"/>
          <w:lang w:val="es-ES"/>
        </w:rPr>
        <w:t>. Los pacientes con alteración hepática leve, moderada o grave deberán recibir la dosis mínima recomendada de 400</w:t>
      </w:r>
      <w:r w:rsidR="00F75D2A" w:rsidRPr="002D741C">
        <w:rPr>
          <w:color w:val="000000"/>
          <w:szCs w:val="22"/>
          <w:lang w:val="es-ES"/>
        </w:rPr>
        <w:t> </w:t>
      </w:r>
      <w:r w:rsidR="00365BD7" w:rsidRPr="002D741C">
        <w:rPr>
          <w:color w:val="000000"/>
          <w:szCs w:val="22"/>
          <w:lang w:val="es-ES"/>
        </w:rPr>
        <w:t xml:space="preserve">mg diarios. La dosis puede reducirse </w:t>
      </w:r>
      <w:r w:rsidR="00A6642A" w:rsidRPr="002D741C">
        <w:rPr>
          <w:color w:val="000000"/>
          <w:szCs w:val="22"/>
          <w:lang w:val="es-ES"/>
        </w:rPr>
        <w:t xml:space="preserve">en caso que no sea bien tolerada </w:t>
      </w:r>
      <w:r w:rsidR="003960F6" w:rsidRPr="002D741C">
        <w:rPr>
          <w:color w:val="000000"/>
          <w:szCs w:val="22"/>
          <w:lang w:val="es-ES"/>
        </w:rPr>
        <w:t>(</w:t>
      </w:r>
      <w:r w:rsidR="00F00735" w:rsidRPr="002D741C">
        <w:rPr>
          <w:color w:val="000000"/>
          <w:szCs w:val="22"/>
          <w:lang w:val="es-ES"/>
        </w:rPr>
        <w:t xml:space="preserve">ver secciones </w:t>
      </w:r>
      <w:r w:rsidR="00365BD7" w:rsidRPr="002D741C">
        <w:rPr>
          <w:color w:val="000000"/>
          <w:szCs w:val="22"/>
          <w:lang w:val="es-ES"/>
        </w:rPr>
        <w:t>4.4, 4.8 y 5.2).</w:t>
      </w:r>
    </w:p>
    <w:p w14:paraId="06FFDBC7" w14:textId="77777777" w:rsidR="00365BD7" w:rsidRPr="002D741C" w:rsidRDefault="00365BD7" w:rsidP="00365BD7">
      <w:pPr>
        <w:pStyle w:val="EndnoteText"/>
        <w:widowControl w:val="0"/>
        <w:tabs>
          <w:tab w:val="clear" w:pos="567"/>
        </w:tabs>
        <w:rPr>
          <w:color w:val="000000"/>
          <w:szCs w:val="22"/>
          <w:lang w:val="es-ES"/>
        </w:rPr>
      </w:pPr>
    </w:p>
    <w:p w14:paraId="209F1692" w14:textId="77777777" w:rsidR="00365BD7" w:rsidRPr="00C16E58" w:rsidRDefault="00365BD7" w:rsidP="00C16E58">
      <w:pPr>
        <w:pStyle w:val="EndnoteText"/>
        <w:keepNext/>
        <w:widowControl w:val="0"/>
        <w:tabs>
          <w:tab w:val="clear" w:pos="567"/>
        </w:tabs>
        <w:rPr>
          <w:color w:val="000000"/>
          <w:szCs w:val="22"/>
          <w:lang w:val="es-ES"/>
        </w:rPr>
      </w:pPr>
      <w:r w:rsidRPr="00C16E58">
        <w:rPr>
          <w:color w:val="000000"/>
          <w:szCs w:val="22"/>
          <w:lang w:val="es-ES"/>
        </w:rPr>
        <w:lastRenderedPageBreak/>
        <w:t>Clasificación de la función hepática</w:t>
      </w:r>
      <w:r w:rsidR="0003352F" w:rsidRPr="00C16E58">
        <w:rPr>
          <w:color w:val="000000"/>
          <w:szCs w:val="22"/>
          <w:lang w:val="es-ES"/>
        </w:rPr>
        <w:t>:</w:t>
      </w:r>
    </w:p>
    <w:p w14:paraId="12319823" w14:textId="77777777" w:rsidR="000901B2" w:rsidRPr="00C16E58" w:rsidRDefault="000901B2" w:rsidP="00C16E58">
      <w:pPr>
        <w:pStyle w:val="EndnoteText"/>
        <w:keepNext/>
        <w:widowControl w:val="0"/>
        <w:tabs>
          <w:tab w:val="clear" w:pos="567"/>
        </w:tabs>
        <w:rPr>
          <w:bCs/>
          <w:color w:val="000000"/>
          <w:szCs w:val="22"/>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97"/>
        <w:gridCol w:w="5764"/>
      </w:tblGrid>
      <w:tr w:rsidR="00365BD7" w:rsidRPr="00C16E58" w14:paraId="55C3B762" w14:textId="77777777" w:rsidTr="00C16E58">
        <w:trPr>
          <w:cantSplit/>
        </w:trPr>
        <w:tc>
          <w:tcPr>
            <w:tcW w:w="3369" w:type="dxa"/>
          </w:tcPr>
          <w:p w14:paraId="13A639EE" w14:textId="77777777" w:rsidR="00365BD7" w:rsidRPr="00C16E58" w:rsidRDefault="00365BD7" w:rsidP="00C16E58">
            <w:pPr>
              <w:pStyle w:val="Text"/>
              <w:keepNext/>
              <w:tabs>
                <w:tab w:val="left" w:pos="567"/>
              </w:tabs>
              <w:spacing w:before="0" w:line="260" w:lineRule="exact"/>
              <w:jc w:val="left"/>
              <w:rPr>
                <w:color w:val="000000"/>
                <w:sz w:val="22"/>
                <w:szCs w:val="22"/>
                <w:lang w:val="en-GB"/>
              </w:rPr>
            </w:pPr>
            <w:r w:rsidRPr="00C16E58">
              <w:rPr>
                <w:color w:val="000000"/>
                <w:sz w:val="22"/>
                <w:szCs w:val="22"/>
              </w:rPr>
              <w:t>Alteración hepática</w:t>
            </w:r>
          </w:p>
        </w:tc>
        <w:tc>
          <w:tcPr>
            <w:tcW w:w="5918" w:type="dxa"/>
          </w:tcPr>
          <w:p w14:paraId="6B091050" w14:textId="77777777" w:rsidR="00365BD7" w:rsidRPr="00C16E58" w:rsidRDefault="00A373AD" w:rsidP="00C16E58">
            <w:pPr>
              <w:pStyle w:val="Text"/>
              <w:keepNext/>
              <w:tabs>
                <w:tab w:val="left" w:pos="567"/>
              </w:tabs>
              <w:spacing w:before="0" w:line="260" w:lineRule="exact"/>
              <w:jc w:val="left"/>
              <w:rPr>
                <w:color w:val="000000"/>
                <w:sz w:val="22"/>
                <w:szCs w:val="22"/>
                <w:lang w:val="en-GB"/>
              </w:rPr>
            </w:pPr>
            <w:r w:rsidRPr="00C16E58">
              <w:rPr>
                <w:color w:val="000000"/>
                <w:sz w:val="22"/>
                <w:szCs w:val="22"/>
              </w:rPr>
              <w:t>Pruebas</w:t>
            </w:r>
            <w:r w:rsidR="00365BD7" w:rsidRPr="00C16E58">
              <w:rPr>
                <w:color w:val="000000"/>
                <w:sz w:val="22"/>
                <w:szCs w:val="22"/>
              </w:rPr>
              <w:t xml:space="preserve"> de función hepática</w:t>
            </w:r>
          </w:p>
        </w:tc>
      </w:tr>
      <w:tr w:rsidR="00365BD7" w:rsidRPr="00C16E58" w14:paraId="0B1BE7BF" w14:textId="77777777" w:rsidTr="00C16E58">
        <w:trPr>
          <w:cantSplit/>
        </w:trPr>
        <w:tc>
          <w:tcPr>
            <w:tcW w:w="3369" w:type="dxa"/>
          </w:tcPr>
          <w:p w14:paraId="505F2136" w14:textId="77777777" w:rsidR="00365BD7" w:rsidRPr="00C16E58" w:rsidRDefault="00365BD7" w:rsidP="00C16E58">
            <w:pPr>
              <w:pStyle w:val="Text"/>
              <w:keepNext/>
              <w:tabs>
                <w:tab w:val="left" w:pos="567"/>
              </w:tabs>
              <w:spacing w:before="0" w:line="260" w:lineRule="exact"/>
              <w:jc w:val="left"/>
              <w:rPr>
                <w:color w:val="000000"/>
                <w:sz w:val="22"/>
                <w:szCs w:val="22"/>
                <w:lang w:val="en-GB"/>
              </w:rPr>
            </w:pPr>
            <w:r w:rsidRPr="00C16E58">
              <w:rPr>
                <w:color w:val="000000"/>
                <w:sz w:val="22"/>
                <w:szCs w:val="22"/>
              </w:rPr>
              <w:t>Leve</w:t>
            </w:r>
          </w:p>
        </w:tc>
        <w:tc>
          <w:tcPr>
            <w:tcW w:w="5918" w:type="dxa"/>
          </w:tcPr>
          <w:p w14:paraId="6C8A030F" w14:textId="77777777" w:rsidR="00365BD7" w:rsidRPr="00C16E58" w:rsidRDefault="00365BD7" w:rsidP="00C16E58">
            <w:pPr>
              <w:keepNext/>
              <w:tabs>
                <w:tab w:val="left" w:pos="567"/>
              </w:tabs>
              <w:rPr>
                <w:snapToGrid w:val="0"/>
                <w:color w:val="000000"/>
                <w:sz w:val="22"/>
                <w:szCs w:val="22"/>
              </w:rPr>
            </w:pPr>
            <w:r w:rsidRPr="00C16E58">
              <w:rPr>
                <w:snapToGrid w:val="0"/>
                <w:color w:val="000000"/>
                <w:sz w:val="22"/>
                <w:szCs w:val="22"/>
              </w:rPr>
              <w:t>Bilirrubina total: = 1,5 </w:t>
            </w:r>
            <w:r w:rsidR="003960F6" w:rsidRPr="00C16E58">
              <w:rPr>
                <w:snapToGrid w:val="0"/>
                <w:color w:val="000000"/>
                <w:sz w:val="22"/>
                <w:szCs w:val="22"/>
              </w:rPr>
              <w:t>LSNI</w:t>
            </w:r>
          </w:p>
          <w:p w14:paraId="05A44C9D" w14:textId="77777777" w:rsidR="00365BD7" w:rsidRPr="00C16E58" w:rsidRDefault="00365BD7" w:rsidP="00C16E58">
            <w:pPr>
              <w:pStyle w:val="Text"/>
              <w:keepNext/>
              <w:tabs>
                <w:tab w:val="left" w:pos="567"/>
              </w:tabs>
              <w:spacing w:before="0" w:line="260" w:lineRule="exact"/>
              <w:jc w:val="left"/>
              <w:rPr>
                <w:color w:val="000000"/>
                <w:sz w:val="22"/>
                <w:szCs w:val="22"/>
                <w:lang w:val="es-ES_tradnl"/>
              </w:rPr>
            </w:pPr>
            <w:r w:rsidRPr="00C16E58">
              <w:rPr>
                <w:snapToGrid w:val="0"/>
                <w:color w:val="000000"/>
                <w:sz w:val="22"/>
                <w:szCs w:val="22"/>
                <w:lang w:val="es-ES_tradnl"/>
              </w:rPr>
              <w:t>A</w:t>
            </w:r>
            <w:r w:rsidRPr="00C16E58">
              <w:rPr>
                <w:snapToGrid w:val="0"/>
                <w:color w:val="000000"/>
                <w:sz w:val="22"/>
                <w:szCs w:val="22"/>
              </w:rPr>
              <w:t>ST: &gt;</w:t>
            </w:r>
            <w:r w:rsidR="000901B2" w:rsidRPr="00C16E58">
              <w:rPr>
                <w:snapToGrid w:val="0"/>
                <w:color w:val="000000"/>
                <w:sz w:val="22"/>
                <w:szCs w:val="22"/>
              </w:rPr>
              <w:t> </w:t>
            </w:r>
            <w:r w:rsidR="00C95E11" w:rsidRPr="00C16E58">
              <w:rPr>
                <w:snapToGrid w:val="0"/>
                <w:color w:val="000000"/>
                <w:sz w:val="22"/>
                <w:szCs w:val="22"/>
              </w:rPr>
              <w:t>LSNI</w:t>
            </w:r>
            <w:r w:rsidRPr="00C16E58">
              <w:rPr>
                <w:snapToGrid w:val="0"/>
                <w:color w:val="000000"/>
                <w:sz w:val="22"/>
                <w:szCs w:val="22"/>
              </w:rPr>
              <w:t xml:space="preserve"> (puede ser normal o &lt;</w:t>
            </w:r>
            <w:r w:rsidR="000901B2" w:rsidRPr="00C16E58">
              <w:rPr>
                <w:snapToGrid w:val="0"/>
                <w:color w:val="000000"/>
                <w:sz w:val="22"/>
                <w:szCs w:val="22"/>
              </w:rPr>
              <w:t> </w:t>
            </w:r>
            <w:r w:rsidR="00C95E11" w:rsidRPr="00C16E58">
              <w:rPr>
                <w:snapToGrid w:val="0"/>
                <w:color w:val="000000"/>
                <w:sz w:val="22"/>
                <w:szCs w:val="22"/>
              </w:rPr>
              <w:t>LSNI</w:t>
            </w:r>
            <w:r w:rsidRPr="00C16E58">
              <w:rPr>
                <w:snapToGrid w:val="0"/>
                <w:color w:val="000000"/>
                <w:sz w:val="22"/>
                <w:szCs w:val="22"/>
              </w:rPr>
              <w:t xml:space="preserve"> si la bilirrubina total es &gt;</w:t>
            </w:r>
            <w:r w:rsidR="000901B2" w:rsidRPr="00C16E58">
              <w:rPr>
                <w:snapToGrid w:val="0"/>
                <w:color w:val="000000"/>
                <w:sz w:val="22"/>
                <w:szCs w:val="22"/>
              </w:rPr>
              <w:t> </w:t>
            </w:r>
            <w:r w:rsidR="00C95E11" w:rsidRPr="00C16E58">
              <w:rPr>
                <w:snapToGrid w:val="0"/>
                <w:color w:val="000000"/>
                <w:sz w:val="22"/>
                <w:szCs w:val="22"/>
              </w:rPr>
              <w:t>LSNI</w:t>
            </w:r>
            <w:r w:rsidRPr="00C16E58">
              <w:rPr>
                <w:snapToGrid w:val="0"/>
                <w:color w:val="000000"/>
                <w:sz w:val="22"/>
                <w:szCs w:val="22"/>
              </w:rPr>
              <w:t>)</w:t>
            </w:r>
          </w:p>
        </w:tc>
      </w:tr>
      <w:tr w:rsidR="00365BD7" w:rsidRPr="00C16E58" w14:paraId="33BEA384" w14:textId="77777777" w:rsidTr="00C16E58">
        <w:trPr>
          <w:cantSplit/>
        </w:trPr>
        <w:tc>
          <w:tcPr>
            <w:tcW w:w="3369" w:type="dxa"/>
          </w:tcPr>
          <w:p w14:paraId="48965384" w14:textId="77777777" w:rsidR="00365BD7" w:rsidRPr="00C16E58" w:rsidRDefault="00365BD7" w:rsidP="00C16E58">
            <w:pPr>
              <w:pStyle w:val="Text"/>
              <w:keepNext/>
              <w:tabs>
                <w:tab w:val="left" w:pos="567"/>
              </w:tabs>
              <w:spacing w:before="0" w:line="260" w:lineRule="exact"/>
              <w:jc w:val="left"/>
              <w:rPr>
                <w:color w:val="000000"/>
                <w:sz w:val="22"/>
                <w:szCs w:val="22"/>
                <w:lang w:val="en-GB"/>
              </w:rPr>
            </w:pPr>
            <w:r w:rsidRPr="00C16E58">
              <w:rPr>
                <w:color w:val="000000"/>
                <w:sz w:val="22"/>
                <w:szCs w:val="22"/>
              </w:rPr>
              <w:t>Moderada</w:t>
            </w:r>
          </w:p>
        </w:tc>
        <w:tc>
          <w:tcPr>
            <w:tcW w:w="5918" w:type="dxa"/>
          </w:tcPr>
          <w:p w14:paraId="4A0ED395" w14:textId="77777777" w:rsidR="00365BD7" w:rsidRPr="00C16E58" w:rsidRDefault="00365BD7" w:rsidP="00C16E58">
            <w:pPr>
              <w:keepNext/>
              <w:tabs>
                <w:tab w:val="left" w:pos="567"/>
              </w:tabs>
              <w:rPr>
                <w:snapToGrid w:val="0"/>
                <w:color w:val="000000"/>
                <w:sz w:val="22"/>
                <w:szCs w:val="22"/>
              </w:rPr>
            </w:pPr>
            <w:r w:rsidRPr="00C16E58">
              <w:rPr>
                <w:snapToGrid w:val="0"/>
                <w:color w:val="000000"/>
                <w:sz w:val="22"/>
                <w:szCs w:val="22"/>
              </w:rPr>
              <w:t>Bilirrubina total: &gt;</w:t>
            </w:r>
            <w:r w:rsidR="000901B2" w:rsidRPr="00C16E58">
              <w:rPr>
                <w:snapToGrid w:val="0"/>
                <w:color w:val="000000"/>
                <w:sz w:val="22"/>
                <w:szCs w:val="22"/>
              </w:rPr>
              <w:t> </w:t>
            </w:r>
            <w:r w:rsidRPr="00C16E58">
              <w:rPr>
                <w:snapToGrid w:val="0"/>
                <w:color w:val="000000"/>
                <w:sz w:val="22"/>
                <w:szCs w:val="22"/>
              </w:rPr>
              <w:t>1,5</w:t>
            </w:r>
            <w:r w:rsidRPr="00C16E58">
              <w:rPr>
                <w:color w:val="000000"/>
                <w:sz w:val="22"/>
                <w:szCs w:val="22"/>
              </w:rPr>
              <w:t>–</w:t>
            </w:r>
            <w:r w:rsidRPr="00C16E58">
              <w:rPr>
                <w:snapToGrid w:val="0"/>
                <w:color w:val="000000"/>
                <w:sz w:val="22"/>
                <w:szCs w:val="22"/>
              </w:rPr>
              <w:t>3,0 </w:t>
            </w:r>
            <w:r w:rsidR="00C95E11" w:rsidRPr="00C16E58">
              <w:rPr>
                <w:snapToGrid w:val="0"/>
                <w:color w:val="000000"/>
                <w:sz w:val="22"/>
                <w:szCs w:val="22"/>
              </w:rPr>
              <w:t>LSNI</w:t>
            </w:r>
          </w:p>
          <w:p w14:paraId="35D7D2CC" w14:textId="77777777" w:rsidR="00365BD7" w:rsidRPr="00C16E58" w:rsidRDefault="00365BD7" w:rsidP="00C16E58">
            <w:pPr>
              <w:pStyle w:val="Text"/>
              <w:keepNext/>
              <w:tabs>
                <w:tab w:val="left" w:pos="567"/>
              </w:tabs>
              <w:spacing w:before="0" w:line="260" w:lineRule="exact"/>
              <w:jc w:val="left"/>
              <w:rPr>
                <w:color w:val="000000"/>
                <w:sz w:val="22"/>
                <w:szCs w:val="22"/>
                <w:lang w:val="es-ES_tradnl"/>
              </w:rPr>
            </w:pPr>
            <w:r w:rsidRPr="00C16E58">
              <w:rPr>
                <w:snapToGrid w:val="0"/>
                <w:color w:val="000000"/>
                <w:sz w:val="22"/>
                <w:szCs w:val="22"/>
              </w:rPr>
              <w:t>AST: ninguna</w:t>
            </w:r>
          </w:p>
        </w:tc>
      </w:tr>
      <w:tr w:rsidR="00365BD7" w:rsidRPr="00C16E58" w14:paraId="3B8CAA50" w14:textId="77777777" w:rsidTr="00C16E58">
        <w:trPr>
          <w:cantSplit/>
        </w:trPr>
        <w:tc>
          <w:tcPr>
            <w:tcW w:w="3369" w:type="dxa"/>
          </w:tcPr>
          <w:p w14:paraId="3393DCC4" w14:textId="77777777" w:rsidR="00365BD7" w:rsidRPr="00C16E58" w:rsidRDefault="00365BD7" w:rsidP="00C16E58">
            <w:pPr>
              <w:pStyle w:val="Text"/>
              <w:keepNext/>
              <w:tabs>
                <w:tab w:val="left" w:pos="567"/>
              </w:tabs>
              <w:spacing w:before="0" w:line="260" w:lineRule="exact"/>
              <w:jc w:val="left"/>
              <w:rPr>
                <w:color w:val="000000"/>
                <w:sz w:val="22"/>
                <w:szCs w:val="22"/>
                <w:lang w:val="en-GB"/>
              </w:rPr>
            </w:pPr>
            <w:r w:rsidRPr="00C16E58">
              <w:rPr>
                <w:color w:val="000000"/>
                <w:sz w:val="22"/>
                <w:szCs w:val="22"/>
              </w:rPr>
              <w:t>Grave</w:t>
            </w:r>
          </w:p>
        </w:tc>
        <w:tc>
          <w:tcPr>
            <w:tcW w:w="5918" w:type="dxa"/>
          </w:tcPr>
          <w:p w14:paraId="4A890E90" w14:textId="77777777" w:rsidR="00365BD7" w:rsidRPr="00C16E58" w:rsidRDefault="00365BD7" w:rsidP="00C16E58">
            <w:pPr>
              <w:keepNext/>
              <w:tabs>
                <w:tab w:val="left" w:pos="567"/>
              </w:tabs>
              <w:rPr>
                <w:snapToGrid w:val="0"/>
                <w:color w:val="000000"/>
                <w:sz w:val="22"/>
                <w:szCs w:val="22"/>
              </w:rPr>
            </w:pPr>
            <w:r w:rsidRPr="00C16E58">
              <w:rPr>
                <w:snapToGrid w:val="0"/>
                <w:color w:val="000000"/>
                <w:sz w:val="22"/>
                <w:szCs w:val="22"/>
              </w:rPr>
              <w:t>Bilirrubina total: &gt;</w:t>
            </w:r>
            <w:r w:rsidR="000901B2" w:rsidRPr="00C16E58">
              <w:rPr>
                <w:snapToGrid w:val="0"/>
                <w:color w:val="000000"/>
                <w:sz w:val="22"/>
                <w:szCs w:val="22"/>
              </w:rPr>
              <w:t> </w:t>
            </w:r>
            <w:r w:rsidRPr="00C16E58">
              <w:rPr>
                <w:snapToGrid w:val="0"/>
                <w:color w:val="000000"/>
                <w:sz w:val="22"/>
                <w:szCs w:val="22"/>
              </w:rPr>
              <w:t>3</w:t>
            </w:r>
            <w:r w:rsidRPr="00C16E58">
              <w:rPr>
                <w:color w:val="000000"/>
                <w:sz w:val="22"/>
                <w:szCs w:val="22"/>
              </w:rPr>
              <w:t>–</w:t>
            </w:r>
            <w:r w:rsidRPr="00C16E58">
              <w:rPr>
                <w:snapToGrid w:val="0"/>
                <w:color w:val="000000"/>
                <w:sz w:val="22"/>
                <w:szCs w:val="22"/>
              </w:rPr>
              <w:t>10 </w:t>
            </w:r>
            <w:r w:rsidR="00C95E11" w:rsidRPr="00C16E58">
              <w:rPr>
                <w:snapToGrid w:val="0"/>
                <w:color w:val="000000"/>
                <w:sz w:val="22"/>
                <w:szCs w:val="22"/>
              </w:rPr>
              <w:t>LSNI</w:t>
            </w:r>
          </w:p>
          <w:p w14:paraId="07008F78" w14:textId="77777777" w:rsidR="00365BD7" w:rsidRPr="00C16E58" w:rsidRDefault="00365BD7" w:rsidP="00C16E58">
            <w:pPr>
              <w:pStyle w:val="Text"/>
              <w:keepNext/>
              <w:tabs>
                <w:tab w:val="left" w:pos="567"/>
              </w:tabs>
              <w:spacing w:before="0" w:line="260" w:lineRule="exact"/>
              <w:jc w:val="left"/>
              <w:rPr>
                <w:color w:val="000000"/>
                <w:sz w:val="22"/>
                <w:szCs w:val="22"/>
                <w:lang w:val="es-ES_tradnl"/>
              </w:rPr>
            </w:pPr>
            <w:r w:rsidRPr="00C16E58">
              <w:rPr>
                <w:snapToGrid w:val="0"/>
                <w:color w:val="000000"/>
                <w:sz w:val="22"/>
                <w:szCs w:val="22"/>
              </w:rPr>
              <w:t>AST: ninguna</w:t>
            </w:r>
          </w:p>
        </w:tc>
      </w:tr>
    </w:tbl>
    <w:p w14:paraId="1E6E8FFD" w14:textId="77777777" w:rsidR="00365BD7" w:rsidRPr="002D741C" w:rsidRDefault="00C95E11" w:rsidP="00C16E58">
      <w:pPr>
        <w:pStyle w:val="Text"/>
        <w:keepNext/>
        <w:spacing w:before="0"/>
        <w:jc w:val="left"/>
        <w:rPr>
          <w:color w:val="000000"/>
          <w:sz w:val="22"/>
          <w:szCs w:val="22"/>
        </w:rPr>
      </w:pPr>
      <w:r w:rsidRPr="00C16E58">
        <w:rPr>
          <w:color w:val="000000"/>
          <w:sz w:val="22"/>
          <w:szCs w:val="22"/>
        </w:rPr>
        <w:t>LSNI</w:t>
      </w:r>
      <w:r w:rsidR="00365BD7" w:rsidRPr="00C16E58">
        <w:rPr>
          <w:color w:val="000000"/>
          <w:sz w:val="22"/>
          <w:szCs w:val="22"/>
        </w:rPr>
        <w:t xml:space="preserve"> =</w:t>
      </w:r>
      <w:r w:rsidR="00365BD7" w:rsidRPr="002D741C">
        <w:rPr>
          <w:color w:val="000000"/>
          <w:sz w:val="22"/>
          <w:szCs w:val="22"/>
        </w:rPr>
        <w:t xml:space="preserve"> </w:t>
      </w:r>
      <w:r w:rsidRPr="002D741C">
        <w:rPr>
          <w:color w:val="000000"/>
          <w:sz w:val="22"/>
          <w:szCs w:val="22"/>
        </w:rPr>
        <w:t>límite superior normal institucional</w:t>
      </w:r>
    </w:p>
    <w:p w14:paraId="129696FC" w14:textId="77777777" w:rsidR="000901B2" w:rsidRPr="002D741C" w:rsidRDefault="000901B2" w:rsidP="000901B2">
      <w:pPr>
        <w:autoSpaceDE w:val="0"/>
        <w:autoSpaceDN w:val="0"/>
        <w:adjustRightInd w:val="0"/>
        <w:ind w:left="993" w:hanging="993"/>
        <w:rPr>
          <w:rFonts w:eastAsia="MS Mincho"/>
          <w:bCs/>
          <w:color w:val="000000"/>
          <w:sz w:val="22"/>
          <w:szCs w:val="22"/>
          <w:lang w:eastAsia="ja-JP"/>
        </w:rPr>
      </w:pPr>
      <w:r w:rsidRPr="002D741C">
        <w:rPr>
          <w:rFonts w:eastAsia="MS Mincho"/>
          <w:bCs/>
          <w:color w:val="000000"/>
          <w:sz w:val="22"/>
          <w:szCs w:val="22"/>
          <w:lang w:eastAsia="ja-JP"/>
        </w:rPr>
        <w:t xml:space="preserve">AST = </w:t>
      </w:r>
      <w:r w:rsidRPr="002D741C">
        <w:rPr>
          <w:color w:val="000000"/>
          <w:sz w:val="22"/>
          <w:szCs w:val="22"/>
        </w:rPr>
        <w:t>aspartato aminotransferasa</w:t>
      </w:r>
    </w:p>
    <w:p w14:paraId="362AEC42" w14:textId="77777777" w:rsidR="002626B2" w:rsidRPr="002D741C" w:rsidRDefault="002626B2" w:rsidP="001A2F33">
      <w:pPr>
        <w:pStyle w:val="EndnoteText"/>
        <w:widowControl w:val="0"/>
        <w:tabs>
          <w:tab w:val="clear" w:pos="567"/>
        </w:tabs>
        <w:rPr>
          <w:color w:val="000000"/>
          <w:szCs w:val="22"/>
          <w:lang w:val="es-ES"/>
        </w:rPr>
      </w:pPr>
    </w:p>
    <w:p w14:paraId="27B667FC" w14:textId="77777777" w:rsidR="004E19DD" w:rsidRPr="002D741C" w:rsidRDefault="002626B2" w:rsidP="004E19DD">
      <w:pPr>
        <w:pStyle w:val="EndnoteText"/>
        <w:widowControl w:val="0"/>
        <w:tabs>
          <w:tab w:val="clear" w:pos="567"/>
        </w:tabs>
        <w:rPr>
          <w:color w:val="000000"/>
          <w:szCs w:val="22"/>
          <w:lang w:val="es-ES"/>
        </w:rPr>
      </w:pPr>
      <w:r w:rsidRPr="002D741C">
        <w:rPr>
          <w:i/>
          <w:color w:val="000000"/>
          <w:szCs w:val="22"/>
          <w:lang w:val="es-ES"/>
        </w:rPr>
        <w:t>Insuficiencia renal:</w:t>
      </w:r>
      <w:r w:rsidRPr="002D741C">
        <w:rPr>
          <w:color w:val="000000"/>
          <w:szCs w:val="22"/>
          <w:lang w:val="es-ES"/>
        </w:rPr>
        <w:t xml:space="preserve"> </w:t>
      </w:r>
      <w:r w:rsidR="004E19DD" w:rsidRPr="002D741C">
        <w:rPr>
          <w:color w:val="000000"/>
          <w:szCs w:val="22"/>
          <w:lang w:val="es-ES"/>
        </w:rPr>
        <w:t xml:space="preserve">Los pacientes con alteración renal </w:t>
      </w:r>
      <w:r w:rsidR="00967AD8" w:rsidRPr="002D741C">
        <w:rPr>
          <w:color w:val="000000"/>
          <w:szCs w:val="22"/>
          <w:lang w:val="es-ES"/>
        </w:rPr>
        <w:t>o en diálisis</w:t>
      </w:r>
      <w:r w:rsidR="000E0FAA" w:rsidRPr="002D741C">
        <w:rPr>
          <w:color w:val="000000"/>
          <w:szCs w:val="22"/>
          <w:lang w:val="es-ES"/>
        </w:rPr>
        <w:t xml:space="preserve"> </w:t>
      </w:r>
      <w:r w:rsidR="004E19DD" w:rsidRPr="002D741C">
        <w:rPr>
          <w:color w:val="000000"/>
          <w:szCs w:val="22"/>
          <w:lang w:val="es-ES"/>
        </w:rPr>
        <w:t xml:space="preserve">deberán recibir </w:t>
      </w:r>
      <w:r w:rsidR="00724AE4" w:rsidRPr="002D741C">
        <w:rPr>
          <w:color w:val="000000"/>
          <w:szCs w:val="22"/>
          <w:lang w:val="es-ES"/>
        </w:rPr>
        <w:t>la dosis mínima recomendada de 4</w:t>
      </w:r>
      <w:r w:rsidR="004E19DD" w:rsidRPr="002D741C">
        <w:rPr>
          <w:color w:val="000000"/>
          <w:szCs w:val="22"/>
          <w:lang w:val="es-ES"/>
        </w:rPr>
        <w:t xml:space="preserve">00 mg diarios como dosis inicial. </w:t>
      </w:r>
      <w:r w:rsidRPr="002D741C">
        <w:rPr>
          <w:color w:val="000000"/>
          <w:szCs w:val="22"/>
          <w:lang w:val="es-ES"/>
        </w:rPr>
        <w:t xml:space="preserve">Sin embargo, </w:t>
      </w:r>
      <w:r w:rsidR="004E19DD" w:rsidRPr="002D741C">
        <w:rPr>
          <w:color w:val="000000"/>
          <w:szCs w:val="22"/>
          <w:lang w:val="es-ES"/>
        </w:rPr>
        <w:t xml:space="preserve">en estos pacientes </w:t>
      </w:r>
      <w:r w:rsidRPr="002D741C">
        <w:rPr>
          <w:color w:val="000000"/>
          <w:szCs w:val="22"/>
          <w:lang w:val="es-ES"/>
        </w:rPr>
        <w:t>se recomienda precaución.</w:t>
      </w:r>
      <w:r w:rsidR="004E19DD" w:rsidRPr="002D741C">
        <w:rPr>
          <w:color w:val="000000"/>
          <w:szCs w:val="22"/>
          <w:lang w:val="es-ES"/>
        </w:rPr>
        <w:t xml:space="preserve"> La dosis puede reducirse en caso que no sea bien tolerada</w:t>
      </w:r>
      <w:r w:rsidR="00967AD8" w:rsidRPr="002D741C">
        <w:rPr>
          <w:color w:val="000000"/>
          <w:szCs w:val="22"/>
          <w:lang w:val="es-ES"/>
        </w:rPr>
        <w:t>.</w:t>
      </w:r>
      <w:r w:rsidR="004E19DD" w:rsidRPr="002D741C">
        <w:rPr>
          <w:color w:val="000000"/>
          <w:szCs w:val="22"/>
          <w:lang w:val="es-ES"/>
        </w:rPr>
        <w:t xml:space="preserve"> </w:t>
      </w:r>
      <w:r w:rsidR="00967AD8" w:rsidRPr="002D741C">
        <w:rPr>
          <w:color w:val="000000"/>
          <w:szCs w:val="22"/>
          <w:lang w:val="es-ES"/>
        </w:rPr>
        <w:t>Si se tolera, la dosis</w:t>
      </w:r>
      <w:r w:rsidR="004E19DD" w:rsidRPr="002D741C">
        <w:rPr>
          <w:color w:val="000000"/>
          <w:szCs w:val="22"/>
          <w:lang w:val="es-ES"/>
        </w:rPr>
        <w:t xml:space="preserve"> puede aumentarse por falta de eficacia (ver secciones 4.4 y 5.2).</w:t>
      </w:r>
    </w:p>
    <w:p w14:paraId="1BBFF761" w14:textId="77777777" w:rsidR="002626B2" w:rsidRPr="002D741C" w:rsidRDefault="002626B2" w:rsidP="001A2F33">
      <w:pPr>
        <w:pStyle w:val="EndnoteText"/>
        <w:widowControl w:val="0"/>
        <w:tabs>
          <w:tab w:val="clear" w:pos="567"/>
        </w:tabs>
        <w:rPr>
          <w:color w:val="000000"/>
          <w:szCs w:val="22"/>
          <w:lang w:val="es-ES"/>
        </w:rPr>
      </w:pPr>
    </w:p>
    <w:p w14:paraId="2E820CFF" w14:textId="77777777" w:rsidR="002626B2" w:rsidRPr="002D741C" w:rsidRDefault="002626B2" w:rsidP="001A2F33">
      <w:pPr>
        <w:pStyle w:val="EndnoteText"/>
        <w:widowControl w:val="0"/>
        <w:tabs>
          <w:tab w:val="clear" w:pos="567"/>
        </w:tabs>
        <w:rPr>
          <w:color w:val="000000"/>
          <w:szCs w:val="22"/>
          <w:lang w:val="es-ES"/>
        </w:rPr>
      </w:pPr>
      <w:r w:rsidRPr="002D741C">
        <w:rPr>
          <w:i/>
          <w:color w:val="000000"/>
          <w:szCs w:val="22"/>
          <w:lang w:val="es-ES"/>
        </w:rPr>
        <w:t>Pacientes de edad avanzada:</w:t>
      </w:r>
      <w:r w:rsidRPr="002D741C">
        <w:rPr>
          <w:color w:val="000000"/>
          <w:szCs w:val="22"/>
          <w:lang w:val="es-ES"/>
        </w:rPr>
        <w:t xml:space="preserve"> No se ha estudiado la farmacocinética de imatinib específicamente en personas de edad avanzada. En los ensayos clínicos en pacientes adultos, que incluyeron más de un 20% de pacientes de 65</w:t>
      </w:r>
      <w:r w:rsidR="00DF063A" w:rsidRPr="002D741C">
        <w:rPr>
          <w:color w:val="000000"/>
          <w:szCs w:val="22"/>
          <w:lang w:val="es-ES"/>
        </w:rPr>
        <w:t> </w:t>
      </w:r>
      <w:r w:rsidRPr="002D741C">
        <w:rPr>
          <w:color w:val="000000"/>
          <w:szCs w:val="22"/>
          <w:lang w:val="es-ES"/>
        </w:rPr>
        <w:t>años o mayores, no se han observado diferencias significativas en la farmacocinética relacionadas con la edad. No es necesaria una recomendación específica de dosis en pacientes de edad avanzada.</w:t>
      </w:r>
    </w:p>
    <w:p w14:paraId="4E39546C" w14:textId="77777777" w:rsidR="002626B2" w:rsidRPr="002D741C" w:rsidRDefault="002626B2" w:rsidP="001A2F33">
      <w:pPr>
        <w:pStyle w:val="EndnoteText"/>
        <w:widowControl w:val="0"/>
        <w:tabs>
          <w:tab w:val="clear" w:pos="567"/>
        </w:tabs>
        <w:rPr>
          <w:color w:val="000000"/>
          <w:szCs w:val="22"/>
          <w:lang w:val="es-ES"/>
        </w:rPr>
      </w:pPr>
    </w:p>
    <w:p w14:paraId="08689F82" w14:textId="77777777" w:rsidR="002626B2" w:rsidRPr="002D741C" w:rsidRDefault="002626B2" w:rsidP="00C16E58">
      <w:pPr>
        <w:keepNext/>
        <w:widowControl w:val="0"/>
        <w:ind w:left="567" w:hanging="567"/>
        <w:rPr>
          <w:color w:val="000000"/>
          <w:sz w:val="22"/>
          <w:szCs w:val="22"/>
        </w:rPr>
      </w:pPr>
      <w:r w:rsidRPr="002D741C">
        <w:rPr>
          <w:b/>
          <w:color w:val="000000"/>
          <w:sz w:val="22"/>
          <w:szCs w:val="22"/>
        </w:rPr>
        <w:t>4.3</w:t>
      </w:r>
      <w:r w:rsidRPr="002D741C">
        <w:rPr>
          <w:b/>
          <w:color w:val="000000"/>
          <w:sz w:val="22"/>
          <w:szCs w:val="22"/>
        </w:rPr>
        <w:tab/>
        <w:t>Contraindicaciones</w:t>
      </w:r>
    </w:p>
    <w:p w14:paraId="30BC03C3" w14:textId="77777777" w:rsidR="002626B2" w:rsidRPr="002D741C" w:rsidRDefault="002626B2" w:rsidP="00C16E58">
      <w:pPr>
        <w:pStyle w:val="EndnoteText"/>
        <w:keepNext/>
        <w:widowControl w:val="0"/>
        <w:tabs>
          <w:tab w:val="clear" w:pos="567"/>
        </w:tabs>
        <w:rPr>
          <w:color w:val="000000"/>
          <w:szCs w:val="22"/>
          <w:lang w:val="es-ES"/>
        </w:rPr>
      </w:pPr>
    </w:p>
    <w:p w14:paraId="37E918E5" w14:textId="77777777" w:rsidR="002626B2" w:rsidRPr="002D741C" w:rsidRDefault="002626B2" w:rsidP="001A2F33">
      <w:pPr>
        <w:pStyle w:val="EndnoteText"/>
        <w:widowControl w:val="0"/>
        <w:tabs>
          <w:tab w:val="clear" w:pos="567"/>
        </w:tabs>
        <w:rPr>
          <w:color w:val="000000"/>
          <w:szCs w:val="22"/>
          <w:lang w:val="es-ES"/>
        </w:rPr>
      </w:pPr>
      <w:r w:rsidRPr="002D741C">
        <w:rPr>
          <w:color w:val="000000"/>
          <w:szCs w:val="22"/>
          <w:lang w:val="es-ES"/>
        </w:rPr>
        <w:t>Hipersensibilidad al principio activo o a alguno de los excipientes</w:t>
      </w:r>
      <w:r w:rsidR="003704C8" w:rsidRPr="002D741C">
        <w:rPr>
          <w:color w:val="000000"/>
          <w:szCs w:val="22"/>
          <w:lang w:val="es-ES"/>
        </w:rPr>
        <w:t xml:space="preserve"> incluidos en la sección 6.1</w:t>
      </w:r>
      <w:r w:rsidRPr="002D741C">
        <w:rPr>
          <w:color w:val="000000"/>
          <w:szCs w:val="22"/>
          <w:lang w:val="es-ES"/>
        </w:rPr>
        <w:t>.</w:t>
      </w:r>
    </w:p>
    <w:p w14:paraId="046CE6DB" w14:textId="77777777" w:rsidR="002626B2" w:rsidRPr="002D741C" w:rsidRDefault="002626B2" w:rsidP="001A2F33">
      <w:pPr>
        <w:pStyle w:val="EndnoteText"/>
        <w:widowControl w:val="0"/>
        <w:tabs>
          <w:tab w:val="clear" w:pos="567"/>
        </w:tabs>
        <w:rPr>
          <w:color w:val="000000"/>
          <w:szCs w:val="22"/>
          <w:lang w:val="es-ES"/>
        </w:rPr>
      </w:pPr>
    </w:p>
    <w:p w14:paraId="60E114FB" w14:textId="77777777" w:rsidR="002626B2" w:rsidRPr="002D741C" w:rsidRDefault="002626B2" w:rsidP="00C16E58">
      <w:pPr>
        <w:keepNext/>
        <w:widowControl w:val="0"/>
        <w:ind w:left="567" w:hanging="567"/>
        <w:rPr>
          <w:color w:val="000000"/>
          <w:sz w:val="22"/>
          <w:szCs w:val="22"/>
        </w:rPr>
      </w:pPr>
      <w:r w:rsidRPr="002D741C">
        <w:rPr>
          <w:b/>
          <w:color w:val="000000"/>
          <w:sz w:val="22"/>
          <w:szCs w:val="22"/>
        </w:rPr>
        <w:t>4.4</w:t>
      </w:r>
      <w:r w:rsidRPr="002D741C">
        <w:rPr>
          <w:b/>
          <w:color w:val="000000"/>
          <w:sz w:val="22"/>
          <w:szCs w:val="22"/>
        </w:rPr>
        <w:tab/>
        <w:t>Advertencias y precauciones especiales de empleo</w:t>
      </w:r>
    </w:p>
    <w:p w14:paraId="35EECE94" w14:textId="77777777" w:rsidR="002626B2" w:rsidRPr="002D741C" w:rsidRDefault="002626B2" w:rsidP="00C16E58">
      <w:pPr>
        <w:pStyle w:val="EndnoteText"/>
        <w:keepNext/>
        <w:widowControl w:val="0"/>
        <w:tabs>
          <w:tab w:val="clear" w:pos="567"/>
        </w:tabs>
        <w:rPr>
          <w:color w:val="000000"/>
          <w:szCs w:val="22"/>
          <w:lang w:val="es-ES"/>
        </w:rPr>
      </w:pPr>
    </w:p>
    <w:p w14:paraId="2577E519" w14:textId="77777777" w:rsidR="00F11D96" w:rsidRPr="002D741C" w:rsidRDefault="002626B2" w:rsidP="00F00735">
      <w:pPr>
        <w:pStyle w:val="EndnoteText"/>
        <w:widowControl w:val="0"/>
        <w:tabs>
          <w:tab w:val="clear" w:pos="567"/>
        </w:tabs>
        <w:rPr>
          <w:color w:val="000000"/>
          <w:szCs w:val="22"/>
          <w:lang w:val="es-ES"/>
        </w:rPr>
      </w:pPr>
      <w:r w:rsidRPr="002D741C">
        <w:rPr>
          <w:color w:val="000000"/>
          <w:szCs w:val="22"/>
          <w:lang w:val="es-ES"/>
        </w:rPr>
        <w:t>Cuando se administra Glivec con otros medicamentos existe un potencial de interacciones entre fármacos.</w:t>
      </w:r>
      <w:r w:rsidR="00C73FC9" w:rsidRPr="002D741C">
        <w:rPr>
          <w:color w:val="000000"/>
          <w:szCs w:val="22"/>
          <w:lang w:val="es-ES"/>
        </w:rPr>
        <w:t xml:space="preserve"> </w:t>
      </w:r>
      <w:r w:rsidR="003E6773" w:rsidRPr="002D741C">
        <w:rPr>
          <w:color w:val="000000"/>
          <w:szCs w:val="22"/>
          <w:lang w:val="es-ES"/>
        </w:rPr>
        <w:t>Se debe</w:t>
      </w:r>
      <w:r w:rsidR="00C77F32" w:rsidRPr="002D741C">
        <w:rPr>
          <w:color w:val="000000"/>
          <w:szCs w:val="22"/>
          <w:lang w:val="es-ES"/>
        </w:rPr>
        <w:t xml:space="preserve"> tener precaución al tomar Glivec con </w:t>
      </w:r>
      <w:r w:rsidR="00BA6201" w:rsidRPr="002D741C">
        <w:rPr>
          <w:color w:val="000000"/>
          <w:szCs w:val="22"/>
          <w:lang w:val="es-ES"/>
        </w:rPr>
        <w:t>inhibidores de la proteasa, antifúngicos azólicos, algunos macrólidos (ver sección</w:t>
      </w:r>
      <w:r w:rsidR="004C2728" w:rsidRPr="002D741C">
        <w:rPr>
          <w:color w:val="000000"/>
          <w:szCs w:val="22"/>
          <w:lang w:val="es-ES"/>
        </w:rPr>
        <w:t xml:space="preserve"> </w:t>
      </w:r>
      <w:r w:rsidR="00BA6201" w:rsidRPr="002D741C">
        <w:rPr>
          <w:color w:val="000000"/>
          <w:szCs w:val="22"/>
          <w:lang w:val="es-ES"/>
        </w:rPr>
        <w:t xml:space="preserve">4.5), </w:t>
      </w:r>
      <w:r w:rsidR="00C77F32" w:rsidRPr="002D741C">
        <w:rPr>
          <w:color w:val="000000"/>
          <w:szCs w:val="22"/>
          <w:lang w:val="es-ES"/>
        </w:rPr>
        <w:t xml:space="preserve">sustratos de </w:t>
      </w:r>
      <w:smartTag w:uri="urn:schemas-microsoft-com:office:smarttags" w:element="PersonName">
        <w:r w:rsidR="00C77F32" w:rsidRPr="002D741C">
          <w:rPr>
            <w:color w:val="000000"/>
            <w:szCs w:val="22"/>
            <w:lang w:val="es-ES"/>
          </w:rPr>
          <w:t>CY</w:t>
        </w:r>
      </w:smartTag>
      <w:r w:rsidR="00C77F32" w:rsidRPr="002D741C">
        <w:rPr>
          <w:color w:val="000000"/>
          <w:szCs w:val="22"/>
          <w:lang w:val="es-ES"/>
        </w:rPr>
        <w:t>P3A4 con un estrecho margen terapéutico (p.ej. ciclosporina</w:t>
      </w:r>
      <w:r w:rsidR="00BA6201" w:rsidRPr="002D741C">
        <w:rPr>
          <w:color w:val="000000"/>
          <w:szCs w:val="22"/>
          <w:lang w:val="es-ES"/>
        </w:rPr>
        <w:t>,</w:t>
      </w:r>
      <w:r w:rsidR="00C77F32" w:rsidRPr="002D741C">
        <w:rPr>
          <w:color w:val="000000"/>
          <w:szCs w:val="22"/>
          <w:lang w:val="es-ES"/>
        </w:rPr>
        <w:t xml:space="preserve"> pimocida</w:t>
      </w:r>
      <w:r w:rsidR="00C16B02" w:rsidRPr="002D741C">
        <w:rPr>
          <w:color w:val="000000"/>
          <w:szCs w:val="22"/>
          <w:lang w:val="es-ES"/>
        </w:rPr>
        <w:t>, tacrolimus, sirolimus</w:t>
      </w:r>
      <w:r w:rsidR="00BA6201" w:rsidRPr="002D741C">
        <w:rPr>
          <w:color w:val="000000"/>
          <w:szCs w:val="22"/>
          <w:lang w:val="es-ES"/>
        </w:rPr>
        <w:t>, ergotamina, diergotamina, fentanil</w:t>
      </w:r>
      <w:r w:rsidR="00C16B02" w:rsidRPr="002D741C">
        <w:rPr>
          <w:color w:val="000000"/>
          <w:szCs w:val="22"/>
          <w:lang w:val="es-ES"/>
        </w:rPr>
        <w:t>o</w:t>
      </w:r>
      <w:r w:rsidR="00BA6201" w:rsidRPr="002D741C">
        <w:rPr>
          <w:color w:val="000000"/>
          <w:szCs w:val="22"/>
          <w:lang w:val="es-ES"/>
        </w:rPr>
        <w:t>, alfentanil</w:t>
      </w:r>
      <w:r w:rsidR="00C16B02" w:rsidRPr="002D741C">
        <w:rPr>
          <w:color w:val="000000"/>
          <w:szCs w:val="22"/>
          <w:lang w:val="es-ES"/>
        </w:rPr>
        <w:t>o</w:t>
      </w:r>
      <w:r w:rsidR="00BA6201" w:rsidRPr="002D741C">
        <w:rPr>
          <w:color w:val="000000"/>
          <w:szCs w:val="22"/>
          <w:lang w:val="es-ES"/>
        </w:rPr>
        <w:t>, terfenadina</w:t>
      </w:r>
      <w:r w:rsidR="00690D34" w:rsidRPr="002D741C">
        <w:rPr>
          <w:color w:val="000000"/>
          <w:szCs w:val="22"/>
          <w:lang w:val="es-ES"/>
        </w:rPr>
        <w:t>, bortezomib, docetaxel, quinidina</w:t>
      </w:r>
      <w:r w:rsidR="00C77F32" w:rsidRPr="002D741C">
        <w:rPr>
          <w:color w:val="000000"/>
          <w:szCs w:val="22"/>
          <w:lang w:val="es-ES"/>
        </w:rPr>
        <w:t>) o warfarina y otros derivados cumarínicos (ver sección 4.5).</w:t>
      </w:r>
    </w:p>
    <w:p w14:paraId="039CC80D" w14:textId="77777777" w:rsidR="002626B2" w:rsidRPr="002D741C" w:rsidRDefault="002626B2" w:rsidP="001A2F33">
      <w:pPr>
        <w:pStyle w:val="EndnoteText"/>
        <w:widowControl w:val="0"/>
        <w:tabs>
          <w:tab w:val="clear" w:pos="567"/>
        </w:tabs>
        <w:rPr>
          <w:color w:val="000000"/>
          <w:szCs w:val="22"/>
          <w:lang w:val="es-ES"/>
        </w:rPr>
      </w:pPr>
    </w:p>
    <w:p w14:paraId="30B357A4" w14:textId="77777777" w:rsidR="002626B2" w:rsidRPr="002D741C" w:rsidRDefault="002626B2" w:rsidP="00F00735">
      <w:pPr>
        <w:pStyle w:val="EndnoteText"/>
        <w:widowControl w:val="0"/>
        <w:tabs>
          <w:tab w:val="clear" w:pos="567"/>
        </w:tabs>
        <w:rPr>
          <w:color w:val="000000"/>
          <w:szCs w:val="22"/>
          <w:lang w:val="es-ES"/>
        </w:rPr>
      </w:pPr>
      <w:r w:rsidRPr="002D741C">
        <w:rPr>
          <w:color w:val="000000"/>
          <w:szCs w:val="22"/>
          <w:lang w:val="es-ES"/>
        </w:rPr>
        <w:t xml:space="preserve">El uso concomitante de imatinib y medicamentos que inducen el </w:t>
      </w:r>
      <w:smartTag w:uri="urn:schemas-microsoft-com:office:smarttags" w:element="PersonName">
        <w:r w:rsidRPr="002D741C">
          <w:rPr>
            <w:color w:val="000000"/>
            <w:szCs w:val="22"/>
            <w:lang w:val="es-ES"/>
          </w:rPr>
          <w:t>CY</w:t>
        </w:r>
      </w:smartTag>
      <w:r w:rsidRPr="002D741C">
        <w:rPr>
          <w:color w:val="000000"/>
          <w:szCs w:val="22"/>
          <w:lang w:val="es-ES"/>
        </w:rPr>
        <w:t xml:space="preserve">P3A4 (p. ej. dexametasona, fenitoína, carbamazepina, rifampicina, fenobarbital o </w:t>
      </w:r>
      <w:r w:rsidRPr="002D741C">
        <w:rPr>
          <w:i/>
          <w:color w:val="000000"/>
          <w:szCs w:val="22"/>
          <w:lang w:val="es-ES"/>
        </w:rPr>
        <w:t>Hypericum perforatum</w:t>
      </w:r>
      <w:r w:rsidRPr="002D741C">
        <w:rPr>
          <w:color w:val="000000"/>
          <w:szCs w:val="22"/>
          <w:lang w:val="es-ES"/>
        </w:rPr>
        <w:t xml:space="preserve">, también conocido como hierba de San Juan) puede reducir significativamente la exposición a Glivec, aumentando potencialmente el riesgo de fallo terapéutico. Por lo tanto, deberá evitarse el uso concomitante de inductores potentes del </w:t>
      </w:r>
      <w:smartTag w:uri="urn:schemas-microsoft-com:office:smarttags" w:element="PersonName">
        <w:r w:rsidRPr="002D741C">
          <w:rPr>
            <w:color w:val="000000"/>
            <w:szCs w:val="22"/>
            <w:lang w:val="es-ES"/>
          </w:rPr>
          <w:t>CY</w:t>
        </w:r>
      </w:smartTag>
      <w:r w:rsidRPr="002D741C">
        <w:rPr>
          <w:color w:val="000000"/>
          <w:szCs w:val="22"/>
          <w:lang w:val="es-ES"/>
        </w:rPr>
        <w:t>P3A4 e imatinib (</w:t>
      </w:r>
      <w:r w:rsidR="00F00735" w:rsidRPr="002D741C">
        <w:rPr>
          <w:color w:val="000000"/>
          <w:szCs w:val="22"/>
          <w:lang w:val="es-ES"/>
        </w:rPr>
        <w:t xml:space="preserve">ver sección </w:t>
      </w:r>
      <w:r w:rsidRPr="002D741C">
        <w:rPr>
          <w:color w:val="000000"/>
          <w:szCs w:val="22"/>
          <w:lang w:val="es-ES"/>
        </w:rPr>
        <w:t>4.5).</w:t>
      </w:r>
    </w:p>
    <w:p w14:paraId="6B35FBE7" w14:textId="77777777" w:rsidR="002626B2" w:rsidRPr="002D741C" w:rsidRDefault="002626B2" w:rsidP="001A2F33">
      <w:pPr>
        <w:pStyle w:val="EndnoteText"/>
        <w:widowControl w:val="0"/>
        <w:tabs>
          <w:tab w:val="clear" w:pos="567"/>
        </w:tabs>
        <w:rPr>
          <w:color w:val="000000"/>
          <w:szCs w:val="22"/>
          <w:lang w:val="es-ES"/>
        </w:rPr>
      </w:pPr>
    </w:p>
    <w:p w14:paraId="110DB825" w14:textId="77777777" w:rsidR="003704C8" w:rsidRPr="002D741C" w:rsidRDefault="003704C8" w:rsidP="00C16E58">
      <w:pPr>
        <w:pStyle w:val="EndnoteText"/>
        <w:keepNext/>
        <w:widowControl w:val="0"/>
        <w:tabs>
          <w:tab w:val="clear" w:pos="567"/>
        </w:tabs>
        <w:rPr>
          <w:color w:val="000000"/>
          <w:szCs w:val="22"/>
          <w:u w:val="single"/>
          <w:lang w:val="es-ES"/>
        </w:rPr>
      </w:pPr>
      <w:r w:rsidRPr="002D741C">
        <w:rPr>
          <w:color w:val="000000"/>
          <w:szCs w:val="22"/>
          <w:u w:val="single"/>
          <w:lang w:val="es-ES"/>
        </w:rPr>
        <w:t>Hipotiroidismo</w:t>
      </w:r>
    </w:p>
    <w:p w14:paraId="565E1438" w14:textId="77777777" w:rsidR="004E19DD" w:rsidRPr="002D741C" w:rsidRDefault="004E19DD" w:rsidP="004E19DD">
      <w:pPr>
        <w:pStyle w:val="EndnoteText"/>
        <w:widowControl w:val="0"/>
        <w:tabs>
          <w:tab w:val="clear" w:pos="567"/>
        </w:tabs>
        <w:rPr>
          <w:color w:val="000000"/>
          <w:szCs w:val="22"/>
          <w:lang w:val="es-ES"/>
        </w:rPr>
      </w:pPr>
      <w:r w:rsidRPr="002D741C">
        <w:rPr>
          <w:color w:val="000000"/>
          <w:szCs w:val="22"/>
          <w:lang w:val="es-ES"/>
        </w:rPr>
        <w:t>Durante el tratamiento con Glivec se han notificado casos clínicos de hipotiroidismo en pacientes tiroidectomizados y que reciben tratamiento de sustitución con levotiroxina</w:t>
      </w:r>
      <w:r w:rsidR="00CB6BDC" w:rsidRPr="002D741C">
        <w:rPr>
          <w:color w:val="000000"/>
          <w:szCs w:val="22"/>
          <w:lang w:val="es-ES"/>
        </w:rPr>
        <w:t xml:space="preserve"> (ver sección 4.5)</w:t>
      </w:r>
      <w:r w:rsidRPr="002D741C">
        <w:rPr>
          <w:color w:val="000000"/>
          <w:szCs w:val="22"/>
          <w:lang w:val="es-ES"/>
        </w:rPr>
        <w:t xml:space="preserve">. En estos pacientes deberán controlarse estrechamente los niveles de </w:t>
      </w:r>
      <w:r w:rsidR="00C77F32" w:rsidRPr="002D741C">
        <w:rPr>
          <w:color w:val="000000"/>
          <w:szCs w:val="22"/>
          <w:lang w:val="es-ES"/>
        </w:rPr>
        <w:t xml:space="preserve">de hormona estimulante del tiroides (niveles de </w:t>
      </w:r>
      <w:r w:rsidRPr="002D741C">
        <w:rPr>
          <w:color w:val="000000"/>
          <w:szCs w:val="22"/>
          <w:lang w:val="es-ES"/>
        </w:rPr>
        <w:t>TSH</w:t>
      </w:r>
      <w:r w:rsidR="00C77F32" w:rsidRPr="002D741C">
        <w:rPr>
          <w:color w:val="000000"/>
          <w:szCs w:val="22"/>
          <w:lang w:val="es-ES"/>
        </w:rPr>
        <w:t>)</w:t>
      </w:r>
      <w:r w:rsidRPr="002D741C">
        <w:rPr>
          <w:color w:val="000000"/>
          <w:szCs w:val="22"/>
          <w:lang w:val="es-ES"/>
        </w:rPr>
        <w:t>.</w:t>
      </w:r>
    </w:p>
    <w:p w14:paraId="723A8BB2" w14:textId="77777777" w:rsidR="004E19DD" w:rsidRPr="002D741C" w:rsidRDefault="004E19DD" w:rsidP="004E19DD">
      <w:pPr>
        <w:pStyle w:val="EndnoteText"/>
        <w:widowControl w:val="0"/>
        <w:tabs>
          <w:tab w:val="clear" w:pos="567"/>
        </w:tabs>
        <w:rPr>
          <w:color w:val="000000"/>
          <w:szCs w:val="22"/>
          <w:lang w:val="es-ES"/>
        </w:rPr>
      </w:pPr>
    </w:p>
    <w:p w14:paraId="4B0E2652" w14:textId="77777777" w:rsidR="003704C8" w:rsidRPr="002D741C" w:rsidRDefault="003704C8" w:rsidP="00C16E58">
      <w:pPr>
        <w:pStyle w:val="EndnoteText"/>
        <w:keepNext/>
        <w:widowControl w:val="0"/>
        <w:tabs>
          <w:tab w:val="clear" w:pos="567"/>
        </w:tabs>
        <w:rPr>
          <w:color w:val="000000"/>
          <w:szCs w:val="22"/>
          <w:u w:val="single"/>
          <w:lang w:val="es-ES"/>
        </w:rPr>
      </w:pPr>
      <w:r w:rsidRPr="002D741C">
        <w:rPr>
          <w:color w:val="000000"/>
          <w:szCs w:val="22"/>
          <w:u w:val="single"/>
          <w:lang w:val="es-ES"/>
        </w:rPr>
        <w:t>Hepatotoxicidad</w:t>
      </w:r>
    </w:p>
    <w:p w14:paraId="78E0FEF6" w14:textId="77777777" w:rsidR="002626B2" w:rsidRPr="002D741C" w:rsidRDefault="002626B2" w:rsidP="00F00735">
      <w:pPr>
        <w:pStyle w:val="EndnoteText"/>
        <w:widowControl w:val="0"/>
        <w:tabs>
          <w:tab w:val="clear" w:pos="567"/>
        </w:tabs>
        <w:rPr>
          <w:color w:val="000000"/>
          <w:szCs w:val="22"/>
          <w:lang w:val="es-ES"/>
        </w:rPr>
      </w:pPr>
      <w:r w:rsidRPr="002D741C">
        <w:rPr>
          <w:color w:val="000000"/>
          <w:szCs w:val="22"/>
          <w:lang w:val="es-ES"/>
        </w:rPr>
        <w:t xml:space="preserve">El metabolismo de Glivec es principalmente hepático, y sólo un 13% de la excreción es a través de los riñones. En </w:t>
      </w:r>
      <w:r w:rsidR="00C95E11" w:rsidRPr="002D741C">
        <w:rPr>
          <w:color w:val="000000"/>
          <w:szCs w:val="22"/>
          <w:lang w:val="es-ES"/>
        </w:rPr>
        <w:t xml:space="preserve">pacientes con alteración hepática (leve, moderada </w:t>
      </w:r>
      <w:r w:rsidR="003960F6" w:rsidRPr="002D741C">
        <w:rPr>
          <w:color w:val="000000"/>
          <w:szCs w:val="22"/>
          <w:lang w:val="es-ES"/>
        </w:rPr>
        <w:t>o</w:t>
      </w:r>
      <w:r w:rsidR="00C95E11" w:rsidRPr="002D741C">
        <w:rPr>
          <w:color w:val="000000"/>
          <w:szCs w:val="22"/>
          <w:lang w:val="es-ES"/>
        </w:rPr>
        <w:t xml:space="preserve"> grave) </w:t>
      </w:r>
      <w:r w:rsidRPr="002D741C">
        <w:rPr>
          <w:color w:val="000000"/>
          <w:szCs w:val="22"/>
          <w:lang w:val="es-ES"/>
        </w:rPr>
        <w:t>deben monitorizarse cuidadosamente los recuentos en sangre periférica y los enzimas hepáticos (</w:t>
      </w:r>
      <w:r w:rsidR="00F00735" w:rsidRPr="002D741C">
        <w:rPr>
          <w:color w:val="000000"/>
          <w:szCs w:val="22"/>
          <w:lang w:val="es-ES"/>
        </w:rPr>
        <w:t xml:space="preserve">ver secciones </w:t>
      </w:r>
      <w:r w:rsidRPr="002D741C">
        <w:rPr>
          <w:color w:val="000000"/>
          <w:szCs w:val="22"/>
          <w:lang w:val="es-ES"/>
        </w:rPr>
        <w:t>4.2</w:t>
      </w:r>
      <w:r w:rsidR="00C95E11" w:rsidRPr="002D741C">
        <w:rPr>
          <w:color w:val="000000"/>
          <w:szCs w:val="22"/>
          <w:lang w:val="es-ES"/>
        </w:rPr>
        <w:t xml:space="preserve">, </w:t>
      </w:r>
      <w:r w:rsidRPr="002D741C">
        <w:rPr>
          <w:color w:val="000000"/>
          <w:szCs w:val="22"/>
          <w:lang w:val="es-ES"/>
        </w:rPr>
        <w:t>4.8</w:t>
      </w:r>
      <w:r w:rsidR="00C95E11" w:rsidRPr="002D741C">
        <w:rPr>
          <w:color w:val="000000"/>
          <w:szCs w:val="22"/>
          <w:lang w:val="es-ES"/>
        </w:rPr>
        <w:t xml:space="preserve"> y 5.2</w:t>
      </w:r>
      <w:r w:rsidRPr="002D741C">
        <w:rPr>
          <w:color w:val="000000"/>
          <w:szCs w:val="22"/>
          <w:lang w:val="es-ES"/>
        </w:rPr>
        <w:t>). Debe tenerse en cuenta que los pacientes con G</w:t>
      </w:r>
      <w:smartTag w:uri="urn:schemas-microsoft-com:office:smarttags" w:element="PersonName">
        <w:r w:rsidRPr="002D741C">
          <w:rPr>
            <w:color w:val="000000"/>
            <w:szCs w:val="22"/>
            <w:lang w:val="es-ES"/>
          </w:rPr>
          <w:t>IS</w:t>
        </w:r>
      </w:smartTag>
      <w:r w:rsidRPr="002D741C">
        <w:rPr>
          <w:color w:val="000000"/>
          <w:szCs w:val="22"/>
          <w:lang w:val="es-ES"/>
        </w:rPr>
        <w:t>T pueden presentar metástasis hepáticas que pueden dar lugar a una insuficiencia hepática.</w:t>
      </w:r>
    </w:p>
    <w:p w14:paraId="6AA22823" w14:textId="77777777" w:rsidR="002626B2" w:rsidRPr="002D741C" w:rsidRDefault="002626B2" w:rsidP="001A2F33">
      <w:pPr>
        <w:pStyle w:val="EndnoteText"/>
        <w:widowControl w:val="0"/>
        <w:tabs>
          <w:tab w:val="clear" w:pos="567"/>
        </w:tabs>
        <w:rPr>
          <w:color w:val="000000"/>
          <w:szCs w:val="22"/>
          <w:lang w:val="es-ES"/>
        </w:rPr>
      </w:pPr>
    </w:p>
    <w:p w14:paraId="69EAC1D2" w14:textId="77777777" w:rsidR="00733A18" w:rsidRPr="002D741C" w:rsidRDefault="004822C6" w:rsidP="004822C6">
      <w:pPr>
        <w:pStyle w:val="EndnoteText"/>
        <w:widowControl w:val="0"/>
        <w:tabs>
          <w:tab w:val="clear" w:pos="567"/>
        </w:tabs>
        <w:rPr>
          <w:color w:val="000000"/>
          <w:szCs w:val="22"/>
          <w:lang w:val="es-ES"/>
        </w:rPr>
      </w:pPr>
      <w:r w:rsidRPr="002D741C">
        <w:rPr>
          <w:color w:val="000000"/>
          <w:szCs w:val="22"/>
          <w:lang w:val="es-ES"/>
        </w:rPr>
        <w:t xml:space="preserve">Se han observado casos de </w:t>
      </w:r>
      <w:r w:rsidR="00FF428F" w:rsidRPr="002D741C">
        <w:rPr>
          <w:color w:val="000000"/>
          <w:szCs w:val="22"/>
          <w:lang w:val="es-ES"/>
        </w:rPr>
        <w:t>daño</w:t>
      </w:r>
      <w:r w:rsidRPr="002D741C">
        <w:rPr>
          <w:color w:val="000000"/>
          <w:szCs w:val="22"/>
          <w:lang w:val="es-ES"/>
        </w:rPr>
        <w:t xml:space="preserve"> hepátic</w:t>
      </w:r>
      <w:r w:rsidR="00FF428F" w:rsidRPr="002D741C">
        <w:rPr>
          <w:color w:val="000000"/>
          <w:szCs w:val="22"/>
          <w:lang w:val="es-ES"/>
        </w:rPr>
        <w:t>o</w:t>
      </w:r>
      <w:r w:rsidRPr="002D741C">
        <w:rPr>
          <w:color w:val="000000"/>
          <w:szCs w:val="22"/>
          <w:lang w:val="es-ES"/>
        </w:rPr>
        <w:t xml:space="preserve">, incluyendo </w:t>
      </w:r>
      <w:r w:rsidR="00FF428F" w:rsidRPr="002D741C">
        <w:rPr>
          <w:color w:val="000000"/>
          <w:szCs w:val="22"/>
          <w:lang w:val="es-ES"/>
        </w:rPr>
        <w:t>fallo</w:t>
      </w:r>
      <w:r w:rsidRPr="002D741C">
        <w:rPr>
          <w:color w:val="000000"/>
          <w:szCs w:val="22"/>
          <w:lang w:val="es-ES"/>
        </w:rPr>
        <w:t xml:space="preserve"> hepátic</w:t>
      </w:r>
      <w:r w:rsidR="00FF428F" w:rsidRPr="002D741C">
        <w:rPr>
          <w:color w:val="000000"/>
          <w:szCs w:val="22"/>
          <w:lang w:val="es-ES"/>
        </w:rPr>
        <w:t>o</w:t>
      </w:r>
      <w:r w:rsidRPr="002D741C">
        <w:rPr>
          <w:color w:val="000000"/>
          <w:szCs w:val="22"/>
          <w:lang w:val="es-ES"/>
        </w:rPr>
        <w:t xml:space="preserve"> y necrosis hepática con imatinib.</w:t>
      </w:r>
      <w:r w:rsidR="003E05C1" w:rsidRPr="002D741C">
        <w:rPr>
          <w:color w:val="000000"/>
          <w:szCs w:val="22"/>
          <w:lang w:val="es-ES"/>
        </w:rPr>
        <w:t xml:space="preserve"> </w:t>
      </w:r>
      <w:r w:rsidR="00733A18" w:rsidRPr="002D741C">
        <w:rPr>
          <w:color w:val="000000"/>
          <w:szCs w:val="22"/>
          <w:lang w:val="es-ES"/>
        </w:rPr>
        <w:lastRenderedPageBreak/>
        <w:t>Cuando se combina imatinib con regímenes de quimioterapia a dosis altas</w:t>
      </w:r>
      <w:r w:rsidRPr="002D741C">
        <w:rPr>
          <w:color w:val="000000"/>
          <w:szCs w:val="22"/>
          <w:lang w:val="es-ES"/>
        </w:rPr>
        <w:t>, se ha detectado un aumento de las reacciones hepáticas graves. Deberá monitorizarse estrechamente la función hepática</w:t>
      </w:r>
      <w:r w:rsidR="00733A18" w:rsidRPr="002D741C">
        <w:rPr>
          <w:color w:val="000000"/>
          <w:szCs w:val="22"/>
          <w:lang w:val="es-ES"/>
        </w:rPr>
        <w:t xml:space="preserve"> cuando imatinib se combine con regímenes de quimioterapia que se </w:t>
      </w:r>
      <w:r w:rsidR="004C4763" w:rsidRPr="002D741C">
        <w:rPr>
          <w:color w:val="000000"/>
          <w:szCs w:val="22"/>
          <w:lang w:val="es-ES"/>
        </w:rPr>
        <w:t>sabe</w:t>
      </w:r>
      <w:r w:rsidR="00733A18" w:rsidRPr="002D741C">
        <w:rPr>
          <w:color w:val="000000"/>
          <w:szCs w:val="22"/>
          <w:lang w:val="es-ES"/>
        </w:rPr>
        <w:t xml:space="preserve"> que </w:t>
      </w:r>
      <w:r w:rsidR="004C4763" w:rsidRPr="002D741C">
        <w:rPr>
          <w:color w:val="000000"/>
          <w:szCs w:val="22"/>
          <w:lang w:val="es-ES"/>
        </w:rPr>
        <w:t xml:space="preserve">también </w:t>
      </w:r>
      <w:r w:rsidR="00733A18" w:rsidRPr="002D741C">
        <w:rPr>
          <w:color w:val="000000"/>
          <w:szCs w:val="22"/>
          <w:lang w:val="es-ES"/>
        </w:rPr>
        <w:t>están asociados a alteraciones hepáticas (</w:t>
      </w:r>
      <w:r w:rsidR="0045260D" w:rsidRPr="002D741C">
        <w:rPr>
          <w:color w:val="000000"/>
          <w:szCs w:val="22"/>
          <w:lang w:val="es-ES"/>
        </w:rPr>
        <w:t>ver secciones</w:t>
      </w:r>
      <w:r w:rsidR="00733A18" w:rsidRPr="002D741C">
        <w:rPr>
          <w:color w:val="000000"/>
          <w:szCs w:val="22"/>
          <w:lang w:val="es-ES"/>
        </w:rPr>
        <w:t xml:space="preserve"> 4.5 y 4.8).</w:t>
      </w:r>
    </w:p>
    <w:p w14:paraId="6E1A7FD6" w14:textId="77777777" w:rsidR="00733A18" w:rsidRPr="002D741C" w:rsidRDefault="00733A18" w:rsidP="001A2F33">
      <w:pPr>
        <w:pStyle w:val="EndnoteText"/>
        <w:widowControl w:val="0"/>
        <w:tabs>
          <w:tab w:val="clear" w:pos="567"/>
        </w:tabs>
        <w:rPr>
          <w:color w:val="000000"/>
          <w:szCs w:val="22"/>
          <w:lang w:val="es-ES"/>
        </w:rPr>
      </w:pPr>
    </w:p>
    <w:p w14:paraId="09A719D3" w14:textId="77777777" w:rsidR="003704C8" w:rsidRPr="002D741C" w:rsidRDefault="003704C8" w:rsidP="00C16E58">
      <w:pPr>
        <w:pStyle w:val="EndnoteText"/>
        <w:keepNext/>
        <w:widowControl w:val="0"/>
        <w:tabs>
          <w:tab w:val="clear" w:pos="567"/>
        </w:tabs>
        <w:rPr>
          <w:color w:val="000000"/>
          <w:szCs w:val="22"/>
          <w:u w:val="single"/>
          <w:lang w:val="es-ES"/>
        </w:rPr>
      </w:pPr>
      <w:r w:rsidRPr="002D741C">
        <w:rPr>
          <w:color w:val="000000"/>
          <w:szCs w:val="22"/>
          <w:u w:val="single"/>
          <w:lang w:val="es-ES"/>
        </w:rPr>
        <w:t>Retención de líquidos</w:t>
      </w:r>
    </w:p>
    <w:p w14:paraId="6A966879" w14:textId="77777777" w:rsidR="002626B2" w:rsidRPr="002D741C" w:rsidRDefault="002626B2" w:rsidP="004E19DD">
      <w:pPr>
        <w:pStyle w:val="EndnoteText"/>
        <w:widowControl w:val="0"/>
        <w:tabs>
          <w:tab w:val="clear" w:pos="567"/>
        </w:tabs>
        <w:rPr>
          <w:color w:val="000000"/>
          <w:szCs w:val="22"/>
          <w:lang w:val="es-ES"/>
        </w:rPr>
      </w:pPr>
      <w:r w:rsidRPr="002D741C">
        <w:rPr>
          <w:color w:val="000000"/>
          <w:szCs w:val="22"/>
          <w:lang w:val="es-ES"/>
        </w:rPr>
        <w:t>Se han notificado casos de retención severa de líquidos (efusión pleural, edema, edema pulmonar, ascitis</w:t>
      </w:r>
      <w:r w:rsidR="00CB6BDC" w:rsidRPr="002D741C">
        <w:rPr>
          <w:color w:val="000000"/>
          <w:szCs w:val="22"/>
          <w:lang w:val="es-ES"/>
        </w:rPr>
        <w:t>, edema superficial</w:t>
      </w:r>
      <w:r w:rsidRPr="002D741C">
        <w:rPr>
          <w:color w:val="000000"/>
          <w:szCs w:val="22"/>
          <w:lang w:val="es-ES"/>
        </w:rPr>
        <w:t>) en aproximadamente 2</w:t>
      </w:r>
      <w:r w:rsidR="004E19DD" w:rsidRPr="002D741C">
        <w:rPr>
          <w:color w:val="000000"/>
          <w:szCs w:val="22"/>
          <w:lang w:val="es-ES"/>
        </w:rPr>
        <w:t>,5</w:t>
      </w:r>
      <w:r w:rsidRPr="002D741C">
        <w:rPr>
          <w:color w:val="000000"/>
          <w:szCs w:val="22"/>
          <w:lang w:val="es-ES"/>
        </w:rPr>
        <w:t xml:space="preserve">% de los pacientes </w:t>
      </w:r>
      <w:r w:rsidR="004E19DD" w:rsidRPr="002D741C">
        <w:rPr>
          <w:color w:val="000000"/>
          <w:szCs w:val="22"/>
          <w:lang w:val="es-ES"/>
        </w:rPr>
        <w:t xml:space="preserve">de LMC de diagnóstico reciente </w:t>
      </w:r>
      <w:r w:rsidRPr="002D741C">
        <w:rPr>
          <w:color w:val="000000"/>
          <w:szCs w:val="22"/>
          <w:lang w:val="es-ES"/>
        </w:rPr>
        <w:t>tratados con Glivec, por lo que es altamente recomendable pesar a los pacientes de forma regular. Deberá estudiarse cuidadosamente un aumento rápido e inesperado de peso, y si se considera necesario, deberán llevarse a cabo medidas terapéuticas y de soporte. En los ensayos clínicos, hubo un aumento de la incidencia de estos acontecimientos en pacientes de edad avanzada y en aquéllos con una historia previa de enfermedad cardíaca. Por lo tanto, deberá tenerse precaución en pacientes con disfunción cardíaca.</w:t>
      </w:r>
    </w:p>
    <w:p w14:paraId="2732EC56" w14:textId="77777777" w:rsidR="003C3958" w:rsidRPr="002D741C" w:rsidRDefault="003C3958" w:rsidP="004E19DD">
      <w:pPr>
        <w:pStyle w:val="EndnoteText"/>
        <w:widowControl w:val="0"/>
        <w:tabs>
          <w:tab w:val="clear" w:pos="567"/>
        </w:tabs>
        <w:rPr>
          <w:color w:val="000000"/>
          <w:szCs w:val="22"/>
          <w:lang w:val="es-ES"/>
        </w:rPr>
      </w:pPr>
    </w:p>
    <w:p w14:paraId="67A154D0" w14:textId="77777777" w:rsidR="003704C8" w:rsidRPr="002D741C" w:rsidRDefault="003704C8" w:rsidP="00C16E58">
      <w:pPr>
        <w:pStyle w:val="EndnoteText"/>
        <w:keepNext/>
        <w:widowControl w:val="0"/>
        <w:tabs>
          <w:tab w:val="clear" w:pos="567"/>
        </w:tabs>
        <w:rPr>
          <w:color w:val="000000"/>
          <w:szCs w:val="22"/>
          <w:u w:val="single"/>
          <w:lang w:val="es-ES"/>
        </w:rPr>
      </w:pPr>
      <w:r w:rsidRPr="002D741C">
        <w:rPr>
          <w:color w:val="000000"/>
          <w:szCs w:val="22"/>
          <w:u w:val="single"/>
          <w:lang w:val="es-ES"/>
        </w:rPr>
        <w:t>Pacientes con enfermedad cardíaca</w:t>
      </w:r>
    </w:p>
    <w:p w14:paraId="333FAAE5" w14:textId="77777777" w:rsidR="003C3958" w:rsidRPr="002D741C" w:rsidRDefault="003C3958" w:rsidP="003C276D">
      <w:pPr>
        <w:pStyle w:val="EndnoteText"/>
        <w:widowControl w:val="0"/>
        <w:tabs>
          <w:tab w:val="clear" w:pos="567"/>
        </w:tabs>
        <w:rPr>
          <w:color w:val="000000"/>
          <w:szCs w:val="22"/>
          <w:lang w:val="es-ES"/>
        </w:rPr>
      </w:pPr>
      <w:r w:rsidRPr="002D741C">
        <w:rPr>
          <w:color w:val="000000"/>
          <w:szCs w:val="22"/>
          <w:lang w:val="es-ES"/>
        </w:rPr>
        <w:t>Los pacientes con enfermedad cardiaca</w:t>
      </w:r>
      <w:r w:rsidR="00037C9F" w:rsidRPr="002D741C">
        <w:rPr>
          <w:color w:val="000000"/>
          <w:szCs w:val="22"/>
          <w:lang w:val="es-ES"/>
        </w:rPr>
        <w:t xml:space="preserve">, </w:t>
      </w:r>
      <w:r w:rsidRPr="002D741C">
        <w:rPr>
          <w:color w:val="000000"/>
          <w:szCs w:val="22"/>
          <w:lang w:val="es-ES"/>
        </w:rPr>
        <w:t xml:space="preserve">factores de riesgo para insuficiencia cardiaca </w:t>
      </w:r>
      <w:r w:rsidR="00037C9F" w:rsidRPr="002D741C">
        <w:rPr>
          <w:color w:val="000000"/>
          <w:szCs w:val="22"/>
          <w:lang w:val="es-ES"/>
        </w:rPr>
        <w:t xml:space="preserve">o antecedentes de insuficiencia renal </w:t>
      </w:r>
      <w:r w:rsidRPr="002D741C">
        <w:rPr>
          <w:color w:val="000000"/>
          <w:szCs w:val="22"/>
          <w:lang w:val="es-ES"/>
        </w:rPr>
        <w:t xml:space="preserve">deben </w:t>
      </w:r>
      <w:r w:rsidR="003C276D" w:rsidRPr="002D741C">
        <w:rPr>
          <w:color w:val="000000"/>
          <w:szCs w:val="22"/>
          <w:lang w:val="es-ES"/>
        </w:rPr>
        <w:t>ser controlados</w:t>
      </w:r>
      <w:r w:rsidRPr="002D741C">
        <w:rPr>
          <w:color w:val="000000"/>
          <w:szCs w:val="22"/>
          <w:lang w:val="es-ES"/>
        </w:rPr>
        <w:t xml:space="preserve"> cuidadosamente y cualquier paciente con signos y síntomas consi</w:t>
      </w:r>
      <w:r w:rsidR="00573BA5" w:rsidRPr="002D741C">
        <w:rPr>
          <w:color w:val="000000"/>
          <w:szCs w:val="22"/>
          <w:lang w:val="es-ES"/>
        </w:rPr>
        <w:t>s</w:t>
      </w:r>
      <w:r w:rsidRPr="002D741C">
        <w:rPr>
          <w:color w:val="000000"/>
          <w:szCs w:val="22"/>
          <w:lang w:val="es-ES"/>
        </w:rPr>
        <w:t xml:space="preserve">tentes con insuficiencia cardiaca </w:t>
      </w:r>
      <w:r w:rsidR="00037C9F" w:rsidRPr="002D741C">
        <w:rPr>
          <w:color w:val="000000"/>
          <w:szCs w:val="22"/>
          <w:lang w:val="es-ES"/>
        </w:rPr>
        <w:t xml:space="preserve">o renal </w:t>
      </w:r>
      <w:r w:rsidRPr="002D741C">
        <w:rPr>
          <w:color w:val="000000"/>
          <w:szCs w:val="22"/>
          <w:lang w:val="es-ES"/>
        </w:rPr>
        <w:t>deberá ser evaluado y tratado.</w:t>
      </w:r>
    </w:p>
    <w:p w14:paraId="2C8BEC48" w14:textId="77777777" w:rsidR="003C3958" w:rsidRPr="002D741C" w:rsidRDefault="003C3958" w:rsidP="003C3958">
      <w:pPr>
        <w:pStyle w:val="EndnoteText"/>
        <w:widowControl w:val="0"/>
        <w:tabs>
          <w:tab w:val="clear" w:pos="567"/>
        </w:tabs>
        <w:rPr>
          <w:color w:val="000000"/>
          <w:szCs w:val="22"/>
          <w:lang w:val="es-ES"/>
        </w:rPr>
      </w:pPr>
    </w:p>
    <w:p w14:paraId="0EF45EE0" w14:textId="77777777" w:rsidR="00690D34" w:rsidRPr="002D741C" w:rsidRDefault="003C3958" w:rsidP="003C3958">
      <w:pPr>
        <w:pStyle w:val="EndnoteText"/>
        <w:widowControl w:val="0"/>
        <w:tabs>
          <w:tab w:val="clear" w:pos="567"/>
        </w:tabs>
        <w:rPr>
          <w:color w:val="000000"/>
          <w:szCs w:val="22"/>
          <w:lang w:val="es-ES"/>
        </w:rPr>
      </w:pPr>
      <w:r w:rsidRPr="002D741C">
        <w:rPr>
          <w:color w:val="000000"/>
          <w:szCs w:val="22"/>
          <w:lang w:val="es-ES"/>
        </w:rPr>
        <w:t>En pacientes con síndrome hipereosinofílico (HES)</w:t>
      </w:r>
      <w:r w:rsidR="00690D34" w:rsidRPr="002D741C">
        <w:rPr>
          <w:color w:val="000000"/>
          <w:szCs w:val="22"/>
          <w:lang w:val="es-ES"/>
        </w:rPr>
        <w:t xml:space="preserve"> con infiltración oculta de células HES dentro del miocardio</w:t>
      </w:r>
      <w:r w:rsidRPr="002D741C">
        <w:rPr>
          <w:color w:val="000000"/>
          <w:szCs w:val="22"/>
          <w:lang w:val="es-ES"/>
        </w:rPr>
        <w:t xml:space="preserve">, se han asociado casos aislados de shock cardiogénico /disfunción ventricular izquierda con </w:t>
      </w:r>
      <w:r w:rsidR="00690D34" w:rsidRPr="002D741C">
        <w:rPr>
          <w:color w:val="000000"/>
          <w:szCs w:val="22"/>
          <w:lang w:val="es-ES"/>
        </w:rPr>
        <w:t xml:space="preserve">degranulación de </w:t>
      </w:r>
      <w:r w:rsidR="00C16B02" w:rsidRPr="002D741C">
        <w:rPr>
          <w:color w:val="000000"/>
          <w:szCs w:val="22"/>
          <w:lang w:val="es-ES"/>
        </w:rPr>
        <w:t xml:space="preserve">las </w:t>
      </w:r>
      <w:r w:rsidR="00690D34" w:rsidRPr="002D741C">
        <w:rPr>
          <w:color w:val="000000"/>
          <w:szCs w:val="22"/>
          <w:lang w:val="es-ES"/>
        </w:rPr>
        <w:t xml:space="preserve">células HES tras </w:t>
      </w:r>
      <w:r w:rsidRPr="002D741C">
        <w:rPr>
          <w:color w:val="000000"/>
          <w:szCs w:val="22"/>
          <w:lang w:val="es-ES"/>
        </w:rPr>
        <w:t xml:space="preserve">el inicio del tratamiento con imatinib. Se notificó que la situación era reversible tras la administración de corticosteroides sistémicos, medidas de soporte circulatorio y la retirada temporal de imatinib. Puesto que se han notificado reacciones adversas </w:t>
      </w:r>
      <w:r w:rsidR="002A70F7" w:rsidRPr="002D741C">
        <w:rPr>
          <w:color w:val="000000"/>
          <w:szCs w:val="22"/>
          <w:lang w:val="es-ES"/>
        </w:rPr>
        <w:t xml:space="preserve">cardiacas </w:t>
      </w:r>
      <w:r w:rsidRPr="002D741C">
        <w:rPr>
          <w:color w:val="000000"/>
          <w:szCs w:val="22"/>
          <w:lang w:val="es-ES"/>
        </w:rPr>
        <w:t xml:space="preserve">de forma </w:t>
      </w:r>
      <w:r w:rsidR="002A70F7" w:rsidRPr="002D741C">
        <w:rPr>
          <w:color w:val="000000"/>
          <w:szCs w:val="22"/>
          <w:lang w:val="es-ES"/>
        </w:rPr>
        <w:t>poco</w:t>
      </w:r>
      <w:r w:rsidRPr="002D741C">
        <w:rPr>
          <w:color w:val="000000"/>
          <w:szCs w:val="22"/>
          <w:lang w:val="es-ES"/>
        </w:rPr>
        <w:t xml:space="preserve"> frecuente con imatinib, se deberá evaluar cuidadosamente </w:t>
      </w:r>
      <w:r w:rsidR="00DD6519" w:rsidRPr="002D741C">
        <w:rPr>
          <w:color w:val="000000"/>
          <w:szCs w:val="22"/>
          <w:lang w:val="es-ES"/>
        </w:rPr>
        <w:t>la relación</w:t>
      </w:r>
      <w:r w:rsidRPr="002D741C">
        <w:rPr>
          <w:color w:val="000000"/>
          <w:szCs w:val="22"/>
          <w:lang w:val="es-ES"/>
        </w:rPr>
        <w:t xml:space="preserve"> beneficio/riesgo del tratamiento con imatinib en los pacientes con SHE/</w:t>
      </w:r>
      <w:r w:rsidR="00E52091" w:rsidRPr="002D741C">
        <w:rPr>
          <w:color w:val="000000"/>
          <w:szCs w:val="22"/>
          <w:lang w:val="es-ES"/>
        </w:rPr>
        <w:t>LEC</w:t>
      </w:r>
      <w:r w:rsidR="002A70F7" w:rsidRPr="002D741C">
        <w:rPr>
          <w:color w:val="000000"/>
          <w:szCs w:val="22"/>
          <w:lang w:val="es-ES"/>
        </w:rPr>
        <w:t xml:space="preserve"> antes de iniciar el tratamiento</w:t>
      </w:r>
      <w:r w:rsidRPr="002D741C">
        <w:rPr>
          <w:color w:val="000000"/>
          <w:szCs w:val="22"/>
          <w:lang w:val="es-ES"/>
        </w:rPr>
        <w:t>.</w:t>
      </w:r>
    </w:p>
    <w:p w14:paraId="4FE86D3F" w14:textId="77777777" w:rsidR="00690D34" w:rsidRPr="002D741C" w:rsidRDefault="00690D34" w:rsidP="003C3958">
      <w:pPr>
        <w:pStyle w:val="EndnoteText"/>
        <w:widowControl w:val="0"/>
        <w:tabs>
          <w:tab w:val="clear" w:pos="567"/>
        </w:tabs>
        <w:rPr>
          <w:color w:val="000000"/>
          <w:szCs w:val="22"/>
          <w:lang w:val="es-ES"/>
        </w:rPr>
      </w:pPr>
    </w:p>
    <w:p w14:paraId="22B3FABB" w14:textId="77777777" w:rsidR="003C3958" w:rsidRPr="002D741C" w:rsidRDefault="003C3958" w:rsidP="003C3958">
      <w:pPr>
        <w:pStyle w:val="EndnoteText"/>
        <w:widowControl w:val="0"/>
        <w:tabs>
          <w:tab w:val="clear" w:pos="567"/>
        </w:tabs>
        <w:rPr>
          <w:color w:val="000000"/>
          <w:szCs w:val="22"/>
          <w:lang w:val="es-ES"/>
        </w:rPr>
      </w:pPr>
      <w:r w:rsidRPr="002D741C">
        <w:rPr>
          <w:color w:val="000000"/>
          <w:szCs w:val="22"/>
          <w:lang w:val="es-ES"/>
        </w:rPr>
        <w:t xml:space="preserve">Los síndromes mielodisplásicos/mieloproliferativos </w:t>
      </w:r>
      <w:r w:rsidR="002A70F7" w:rsidRPr="002D741C">
        <w:rPr>
          <w:color w:val="000000"/>
          <w:szCs w:val="22"/>
          <w:lang w:val="es-ES"/>
        </w:rPr>
        <w:t>con reordenamiento del gen PDG</w:t>
      </w:r>
      <w:smartTag w:uri="urn:schemas-microsoft-com:office:smarttags" w:element="PersonName">
        <w:r w:rsidR="002A70F7" w:rsidRPr="002D741C">
          <w:rPr>
            <w:color w:val="000000"/>
            <w:szCs w:val="22"/>
            <w:lang w:val="es-ES"/>
          </w:rPr>
          <w:t>FR</w:t>
        </w:r>
      </w:smartTag>
      <w:r w:rsidR="002A70F7" w:rsidRPr="002D741C">
        <w:rPr>
          <w:color w:val="000000"/>
          <w:szCs w:val="22"/>
          <w:lang w:val="es-ES"/>
        </w:rPr>
        <w:t xml:space="preserve"> </w:t>
      </w:r>
      <w:r w:rsidRPr="002D741C">
        <w:rPr>
          <w:color w:val="000000"/>
          <w:szCs w:val="22"/>
          <w:lang w:val="es-ES"/>
        </w:rPr>
        <w:t xml:space="preserve">podrían estar asociados con eosinofilia. Se deberá considerar por lo tanto, </w:t>
      </w:r>
      <w:r w:rsidR="002A70F7" w:rsidRPr="002D741C">
        <w:rPr>
          <w:color w:val="000000"/>
          <w:szCs w:val="22"/>
          <w:lang w:val="es-ES"/>
        </w:rPr>
        <w:t xml:space="preserve">la evaluación por </w:t>
      </w:r>
      <w:r w:rsidR="00341570" w:rsidRPr="002D741C">
        <w:rPr>
          <w:color w:val="000000"/>
          <w:szCs w:val="22"/>
          <w:lang w:val="es-ES"/>
        </w:rPr>
        <w:t xml:space="preserve">parte de </w:t>
      </w:r>
      <w:r w:rsidR="002A70F7" w:rsidRPr="002D741C">
        <w:rPr>
          <w:color w:val="000000"/>
          <w:szCs w:val="22"/>
          <w:lang w:val="es-ES"/>
        </w:rPr>
        <w:t xml:space="preserve">un cardiólogo, </w:t>
      </w:r>
      <w:r w:rsidRPr="002D741C">
        <w:rPr>
          <w:color w:val="000000"/>
          <w:szCs w:val="22"/>
          <w:lang w:val="es-ES"/>
        </w:rPr>
        <w:t xml:space="preserve">la realización de un ecocardiograma y la determinación de troponina sérica en pacientes con </w:t>
      </w:r>
      <w:r w:rsidR="002A70F7" w:rsidRPr="002D741C">
        <w:rPr>
          <w:color w:val="000000"/>
          <w:szCs w:val="22"/>
          <w:lang w:val="es-ES"/>
        </w:rPr>
        <w:t xml:space="preserve">SHE/LEC, y en pacientes con </w:t>
      </w:r>
      <w:smartTag w:uri="urn:schemas-microsoft-com:office:smarttags" w:element="stockticker">
        <w:r w:rsidRPr="002D741C">
          <w:rPr>
            <w:color w:val="000000"/>
            <w:szCs w:val="22"/>
            <w:lang w:val="es-ES"/>
          </w:rPr>
          <w:t>SMD</w:t>
        </w:r>
      </w:smartTag>
      <w:r w:rsidRPr="002D741C">
        <w:rPr>
          <w:color w:val="000000"/>
          <w:szCs w:val="22"/>
          <w:lang w:val="es-ES"/>
        </w:rPr>
        <w:t>/</w:t>
      </w:r>
      <w:smartTag w:uri="urn:schemas-microsoft-com:office:smarttags" w:element="stockticker">
        <w:r w:rsidRPr="002D741C">
          <w:rPr>
            <w:color w:val="000000"/>
            <w:szCs w:val="22"/>
            <w:lang w:val="es-ES"/>
          </w:rPr>
          <w:t>SMP</w:t>
        </w:r>
      </w:smartTag>
      <w:r w:rsidRPr="002D741C">
        <w:rPr>
          <w:color w:val="000000"/>
          <w:szCs w:val="22"/>
          <w:lang w:val="es-ES"/>
        </w:rPr>
        <w:t xml:space="preserve"> asociados con eosinofilia</w:t>
      </w:r>
      <w:r w:rsidR="00341570" w:rsidRPr="002D741C">
        <w:rPr>
          <w:color w:val="000000"/>
          <w:szCs w:val="22"/>
          <w:lang w:val="es-ES"/>
        </w:rPr>
        <w:t>,</w:t>
      </w:r>
      <w:r w:rsidR="002A70F7" w:rsidRPr="002D741C">
        <w:rPr>
          <w:color w:val="000000"/>
          <w:szCs w:val="22"/>
          <w:lang w:val="es-ES"/>
        </w:rPr>
        <w:t xml:space="preserve"> antes de administrar imatinib</w:t>
      </w:r>
      <w:r w:rsidRPr="002D741C">
        <w:rPr>
          <w:color w:val="000000"/>
          <w:szCs w:val="22"/>
          <w:lang w:val="es-ES"/>
        </w:rPr>
        <w:t xml:space="preserve">. Si alguno no es normal, al inicio del tratamiento deberá considerarse </w:t>
      </w:r>
      <w:r w:rsidR="002A70F7" w:rsidRPr="002D741C">
        <w:rPr>
          <w:color w:val="000000"/>
          <w:szCs w:val="22"/>
          <w:lang w:val="es-ES"/>
        </w:rPr>
        <w:t xml:space="preserve">el seguimiento por parte de un cardiólogo y </w:t>
      </w:r>
      <w:r w:rsidRPr="002D741C">
        <w:rPr>
          <w:color w:val="000000"/>
          <w:szCs w:val="22"/>
          <w:lang w:val="es-ES"/>
        </w:rPr>
        <w:t>el uso profiláctico de corticosteroides sistémicos (1</w:t>
      </w:r>
      <w:r w:rsidRPr="002D741C">
        <w:rPr>
          <w:color w:val="000000"/>
          <w:szCs w:val="22"/>
          <w:lang w:val="es-ES"/>
        </w:rPr>
        <w:noBreakHyphen/>
        <w:t>2 mg/kg) durante una a dos semanas de forma concomitante con imatinib.</w:t>
      </w:r>
    </w:p>
    <w:p w14:paraId="6DA6A089" w14:textId="77777777" w:rsidR="002626B2" w:rsidRPr="002D741C" w:rsidRDefault="002626B2" w:rsidP="001A2F33">
      <w:pPr>
        <w:pStyle w:val="EndnoteText"/>
        <w:widowControl w:val="0"/>
        <w:tabs>
          <w:tab w:val="clear" w:pos="567"/>
        </w:tabs>
        <w:rPr>
          <w:color w:val="000000"/>
          <w:szCs w:val="22"/>
          <w:lang w:val="es-ES"/>
        </w:rPr>
      </w:pPr>
    </w:p>
    <w:p w14:paraId="2C69A859" w14:textId="77777777" w:rsidR="003704C8" w:rsidRPr="002D741C" w:rsidRDefault="003704C8" w:rsidP="00C16E58">
      <w:pPr>
        <w:pStyle w:val="EndnoteText"/>
        <w:keepNext/>
        <w:widowControl w:val="0"/>
        <w:tabs>
          <w:tab w:val="clear" w:pos="567"/>
        </w:tabs>
        <w:rPr>
          <w:color w:val="000000"/>
          <w:szCs w:val="22"/>
          <w:u w:val="single"/>
          <w:lang w:val="es-ES"/>
        </w:rPr>
      </w:pPr>
      <w:r w:rsidRPr="002D741C">
        <w:rPr>
          <w:color w:val="000000"/>
          <w:szCs w:val="22"/>
          <w:u w:val="single"/>
          <w:lang w:val="es-ES"/>
        </w:rPr>
        <w:t>Hemorragia gastrointestinal</w:t>
      </w:r>
    </w:p>
    <w:p w14:paraId="6C6C2C7B" w14:textId="77777777" w:rsidR="002626B2" w:rsidRPr="002D741C" w:rsidRDefault="00B0341F" w:rsidP="00F00735">
      <w:pPr>
        <w:pStyle w:val="EndnoteText"/>
        <w:widowControl w:val="0"/>
        <w:tabs>
          <w:tab w:val="clear" w:pos="567"/>
        </w:tabs>
        <w:rPr>
          <w:color w:val="000000"/>
          <w:szCs w:val="22"/>
          <w:lang w:val="es-ES"/>
        </w:rPr>
      </w:pPr>
      <w:r w:rsidRPr="002D741C">
        <w:rPr>
          <w:color w:val="000000"/>
          <w:szCs w:val="22"/>
          <w:lang w:val="es-ES"/>
        </w:rPr>
        <w:t>En el estudio en pacientes con G</w:t>
      </w:r>
      <w:smartTag w:uri="urn:schemas-microsoft-com:office:smarttags" w:element="PersonName">
        <w:r w:rsidRPr="002D741C">
          <w:rPr>
            <w:color w:val="000000"/>
            <w:szCs w:val="22"/>
            <w:lang w:val="es-ES"/>
          </w:rPr>
          <w:t>IS</w:t>
        </w:r>
      </w:smartTag>
      <w:r w:rsidRPr="002D741C">
        <w:rPr>
          <w:color w:val="000000"/>
          <w:szCs w:val="22"/>
          <w:lang w:val="es-ES"/>
        </w:rPr>
        <w:t>T no resecable y/o metastásico,</w:t>
      </w:r>
      <w:r w:rsidR="002626B2" w:rsidRPr="002D741C">
        <w:rPr>
          <w:color w:val="000000"/>
          <w:szCs w:val="22"/>
          <w:lang w:val="es-ES"/>
        </w:rPr>
        <w:t xml:space="preserve"> se notificaron tanto hemorragias gastrointestinales como intra-tumorales (</w:t>
      </w:r>
      <w:r w:rsidR="00F00735" w:rsidRPr="002D741C">
        <w:rPr>
          <w:color w:val="000000"/>
          <w:szCs w:val="22"/>
          <w:lang w:val="es-ES"/>
        </w:rPr>
        <w:t>ver sección</w:t>
      </w:r>
      <w:r w:rsidR="002626B2" w:rsidRPr="002D741C">
        <w:rPr>
          <w:color w:val="000000"/>
          <w:szCs w:val="22"/>
          <w:lang w:val="es-ES"/>
        </w:rPr>
        <w:t xml:space="preserve"> 4.8). En base a los datos disponibles, no se han identificado factores de predisposición (por ejemplo: tamaño del tumor, localización del tumor, trastornos de la coagulación) que supongan a los pacientes con G</w:t>
      </w:r>
      <w:smartTag w:uri="urn:schemas-microsoft-com:office:smarttags" w:element="PersonName">
        <w:r w:rsidR="002626B2" w:rsidRPr="002D741C">
          <w:rPr>
            <w:color w:val="000000"/>
            <w:szCs w:val="22"/>
            <w:lang w:val="es-ES"/>
          </w:rPr>
          <w:t>IS</w:t>
        </w:r>
      </w:smartTag>
      <w:r w:rsidR="002626B2" w:rsidRPr="002D741C">
        <w:rPr>
          <w:color w:val="000000"/>
          <w:szCs w:val="22"/>
          <w:lang w:val="es-ES"/>
        </w:rPr>
        <w:t>T un mayor riesgo para cualquier tipo de hemorragia. Dado que la vascularidad aumentada y la propensión a hemorragias es parte de la naturaleza y el curso clínico de G</w:t>
      </w:r>
      <w:smartTag w:uri="urn:schemas-microsoft-com:office:smarttags" w:element="PersonName">
        <w:r w:rsidR="002626B2" w:rsidRPr="002D741C">
          <w:rPr>
            <w:color w:val="000000"/>
            <w:szCs w:val="22"/>
            <w:lang w:val="es-ES"/>
          </w:rPr>
          <w:t>IS</w:t>
        </w:r>
      </w:smartTag>
      <w:r w:rsidR="002626B2" w:rsidRPr="002D741C">
        <w:rPr>
          <w:color w:val="000000"/>
          <w:szCs w:val="22"/>
          <w:lang w:val="es-ES"/>
        </w:rPr>
        <w:t>T, deberán aplicarse prácticas y procedimientos estandarizados para el control y el manejo de las hemorragias en todos los pacientes.</w:t>
      </w:r>
    </w:p>
    <w:p w14:paraId="0CF355D6" w14:textId="77777777" w:rsidR="002626B2" w:rsidRPr="002D741C" w:rsidRDefault="002626B2" w:rsidP="001A2F33">
      <w:pPr>
        <w:pStyle w:val="EndnoteText"/>
        <w:widowControl w:val="0"/>
        <w:tabs>
          <w:tab w:val="clear" w:pos="567"/>
        </w:tabs>
        <w:rPr>
          <w:color w:val="000000"/>
          <w:szCs w:val="22"/>
          <w:lang w:val="es-ES"/>
        </w:rPr>
      </w:pPr>
    </w:p>
    <w:p w14:paraId="6E309CA0" w14:textId="77777777" w:rsidR="006C74F0" w:rsidRPr="002D741C" w:rsidRDefault="006C74F0" w:rsidP="006C74F0">
      <w:pPr>
        <w:widowControl w:val="0"/>
        <w:rPr>
          <w:snapToGrid w:val="0"/>
          <w:color w:val="000000"/>
          <w:sz w:val="22"/>
          <w:szCs w:val="22"/>
          <w:lang w:val="es-ES"/>
        </w:rPr>
      </w:pPr>
      <w:r w:rsidRPr="002D741C">
        <w:rPr>
          <w:snapToGrid w:val="0"/>
          <w:color w:val="000000"/>
          <w:sz w:val="22"/>
          <w:szCs w:val="22"/>
          <w:lang w:val="es-ES"/>
        </w:rPr>
        <w:t>Además, se han notificado casos de ectasia vascular antral gástrica (EVAG), una causa rara de hemorragia gastrointestinal, en la experiencia postcomercialización en pacientes con LMC, LLA y otras enfermedades (ver sección 4.8). En caso necesario, se puede considerar la interrupción del tratamiento con Glivec.</w:t>
      </w:r>
    </w:p>
    <w:p w14:paraId="59F59491" w14:textId="77777777" w:rsidR="006C74F0" w:rsidRPr="002D741C" w:rsidRDefault="006C74F0" w:rsidP="001A2F33">
      <w:pPr>
        <w:pStyle w:val="EndnoteText"/>
        <w:widowControl w:val="0"/>
        <w:tabs>
          <w:tab w:val="clear" w:pos="567"/>
        </w:tabs>
        <w:rPr>
          <w:color w:val="000000"/>
          <w:szCs w:val="22"/>
          <w:lang w:val="es-ES"/>
        </w:rPr>
      </w:pPr>
    </w:p>
    <w:p w14:paraId="3D5174FD" w14:textId="77777777" w:rsidR="003704C8" w:rsidRPr="002D741C" w:rsidRDefault="003704C8" w:rsidP="00C16E58">
      <w:pPr>
        <w:pStyle w:val="EndnoteText"/>
        <w:keepNext/>
        <w:widowControl w:val="0"/>
        <w:tabs>
          <w:tab w:val="clear" w:pos="567"/>
        </w:tabs>
        <w:rPr>
          <w:color w:val="000000"/>
          <w:szCs w:val="22"/>
          <w:u w:val="single"/>
          <w:lang w:val="es-ES"/>
        </w:rPr>
      </w:pPr>
      <w:r w:rsidRPr="002D741C">
        <w:rPr>
          <w:color w:val="000000"/>
          <w:szCs w:val="22"/>
          <w:u w:val="single"/>
          <w:lang w:val="es-ES"/>
        </w:rPr>
        <w:t>Síndrome de lisis tumoral</w:t>
      </w:r>
    </w:p>
    <w:p w14:paraId="7901E07A" w14:textId="77777777" w:rsidR="001E6583" w:rsidRPr="002D741C" w:rsidRDefault="001E6583" w:rsidP="001A2F33">
      <w:pPr>
        <w:pStyle w:val="EndnoteText"/>
        <w:widowControl w:val="0"/>
        <w:tabs>
          <w:tab w:val="clear" w:pos="567"/>
        </w:tabs>
        <w:rPr>
          <w:color w:val="000000"/>
          <w:szCs w:val="22"/>
          <w:lang w:val="es-ES"/>
        </w:rPr>
      </w:pPr>
      <w:r w:rsidRPr="002D741C">
        <w:rPr>
          <w:color w:val="000000"/>
          <w:szCs w:val="22"/>
          <w:lang w:val="es-ES"/>
        </w:rPr>
        <w:t>Antes de iniciar el tratamiento con Glivec, se recomienda la corrección de la deshidratación clínicamente signficativa y el tratamiento de los niveles altos de ácido úrico, debido a la posible aparición del síndrome de lisis tumor</w:t>
      </w:r>
      <w:r w:rsidR="00795F5E" w:rsidRPr="002D741C">
        <w:rPr>
          <w:color w:val="000000"/>
          <w:szCs w:val="22"/>
          <w:lang w:val="es-ES"/>
        </w:rPr>
        <w:t>al</w:t>
      </w:r>
      <w:r w:rsidRPr="002D741C">
        <w:rPr>
          <w:color w:val="000000"/>
          <w:szCs w:val="22"/>
          <w:lang w:val="es-ES"/>
        </w:rPr>
        <w:t xml:space="preserve"> (S</w:t>
      </w:r>
      <w:smartTag w:uri="urn:schemas-microsoft-com:office:smarttags" w:element="PersonName">
        <w:r w:rsidRPr="002D741C">
          <w:rPr>
            <w:color w:val="000000"/>
            <w:szCs w:val="22"/>
            <w:lang w:val="es-ES"/>
          </w:rPr>
          <w:t>LT</w:t>
        </w:r>
      </w:smartTag>
      <w:r w:rsidRPr="002D741C">
        <w:rPr>
          <w:color w:val="000000"/>
          <w:szCs w:val="22"/>
          <w:lang w:val="es-ES"/>
        </w:rPr>
        <w:t>)</w:t>
      </w:r>
      <w:r w:rsidR="00023074" w:rsidRPr="002D741C">
        <w:rPr>
          <w:color w:val="000000"/>
          <w:szCs w:val="22"/>
          <w:lang w:val="es-ES"/>
        </w:rPr>
        <w:t xml:space="preserve"> (ver sección 4.8)</w:t>
      </w:r>
      <w:r w:rsidRPr="002D741C">
        <w:rPr>
          <w:color w:val="000000"/>
          <w:szCs w:val="22"/>
          <w:lang w:val="es-ES"/>
        </w:rPr>
        <w:t>.</w:t>
      </w:r>
    </w:p>
    <w:p w14:paraId="580DAEF7" w14:textId="77777777" w:rsidR="001E6583" w:rsidRPr="002D741C" w:rsidRDefault="001E6583" w:rsidP="001A2F33">
      <w:pPr>
        <w:pStyle w:val="EndnoteText"/>
        <w:widowControl w:val="0"/>
        <w:tabs>
          <w:tab w:val="clear" w:pos="567"/>
        </w:tabs>
        <w:rPr>
          <w:color w:val="000000"/>
          <w:szCs w:val="22"/>
          <w:lang w:val="es-ES"/>
        </w:rPr>
      </w:pPr>
    </w:p>
    <w:p w14:paraId="1FFE234F" w14:textId="77777777" w:rsidR="00A64B6A" w:rsidRPr="002D741C" w:rsidRDefault="00A64B6A" w:rsidP="00FA7D21">
      <w:pPr>
        <w:pStyle w:val="EndnoteText"/>
        <w:keepNext/>
        <w:widowControl w:val="0"/>
        <w:rPr>
          <w:color w:val="000000"/>
          <w:szCs w:val="22"/>
          <w:u w:val="single"/>
          <w:lang w:val="es-ES"/>
        </w:rPr>
      </w:pPr>
      <w:r w:rsidRPr="002D741C">
        <w:rPr>
          <w:color w:val="000000"/>
          <w:szCs w:val="22"/>
          <w:u w:val="single"/>
          <w:lang w:val="es-ES"/>
        </w:rPr>
        <w:lastRenderedPageBreak/>
        <w:t>Reactivación del virus de la hepatitis B</w:t>
      </w:r>
    </w:p>
    <w:p w14:paraId="739D3E8D" w14:textId="77777777" w:rsidR="00A64B6A" w:rsidRPr="002D741C" w:rsidRDefault="00A64B6A" w:rsidP="00A64B6A">
      <w:pPr>
        <w:pStyle w:val="EndnoteText"/>
        <w:widowControl w:val="0"/>
        <w:rPr>
          <w:color w:val="000000"/>
          <w:szCs w:val="22"/>
          <w:lang w:val="es-ES"/>
        </w:rPr>
      </w:pPr>
      <w:r w:rsidRPr="002D741C">
        <w:rPr>
          <w:color w:val="000000"/>
          <w:szCs w:val="22"/>
          <w:lang w:val="es-ES"/>
        </w:rPr>
        <w:t>Se han producido reactivaciones de la hepatitis B en pacientes que son portadores crónicos de este virus después de que los pacientes hayan recibido inhibidores de la tirosina quinasa BCR-ABL. En algunos casos se produjo insuficiencia hepática aguda o hepatitis fulminante que dio lugar a un trasplante de hígado o a un desenlace mortal.</w:t>
      </w:r>
    </w:p>
    <w:p w14:paraId="7275918B" w14:textId="77777777" w:rsidR="001D5D1B" w:rsidRPr="002D741C" w:rsidRDefault="001D5D1B" w:rsidP="00A64B6A">
      <w:pPr>
        <w:pStyle w:val="EndnoteText"/>
        <w:widowControl w:val="0"/>
        <w:rPr>
          <w:color w:val="000000"/>
          <w:szCs w:val="22"/>
          <w:lang w:val="es-ES"/>
        </w:rPr>
      </w:pPr>
    </w:p>
    <w:p w14:paraId="235D781C" w14:textId="77777777" w:rsidR="00A64B6A" w:rsidRPr="002D741C" w:rsidRDefault="00A64B6A" w:rsidP="00A64B6A">
      <w:pPr>
        <w:pStyle w:val="EndnoteText"/>
        <w:widowControl w:val="0"/>
        <w:rPr>
          <w:color w:val="000000"/>
          <w:szCs w:val="22"/>
          <w:lang w:val="es-ES"/>
        </w:rPr>
      </w:pPr>
      <w:r w:rsidRPr="002D741C">
        <w:rPr>
          <w:color w:val="000000"/>
          <w:szCs w:val="22"/>
          <w:lang w:val="es-ES"/>
        </w:rPr>
        <w:t>Los pacientes se deben someter a pruebas para detectar la infección por VHB antes de comenzar el tratamiento con Glivec. Se debe consultar a expertos en enfermedades hepáticas y en el tratamiento de la hepatitis B antes de comenzar el tratamiento en pacientes con una serología positiva para hepatitis B (incluyendo a los pacientes con enfermedad activa) y pacientes que den un resultado positivo en una prueba de infección por VHB durante el tratamiento. Los portadores del VHB que necesiten tratamiento con Glivec se deben someter a una estrecha monitorización para detectar signos y síntomas de infección activa por VHB a lo largo de todo el tratamiento y durante varios meses después de finalizar el tratamiento (ver sección</w:t>
      </w:r>
      <w:r w:rsidR="00FA7D21" w:rsidRPr="002D741C">
        <w:rPr>
          <w:color w:val="000000"/>
          <w:szCs w:val="22"/>
          <w:lang w:val="es-ES"/>
        </w:rPr>
        <w:t> </w:t>
      </w:r>
      <w:r w:rsidRPr="002D741C">
        <w:rPr>
          <w:color w:val="000000"/>
          <w:szCs w:val="22"/>
          <w:lang w:val="es-ES"/>
        </w:rPr>
        <w:t>4.8).</w:t>
      </w:r>
    </w:p>
    <w:p w14:paraId="53D59254" w14:textId="77777777" w:rsidR="00F036F2" w:rsidRPr="002D741C" w:rsidRDefault="00F036F2" w:rsidP="00A64B6A">
      <w:pPr>
        <w:pStyle w:val="EndnoteText"/>
        <w:widowControl w:val="0"/>
        <w:rPr>
          <w:color w:val="000000"/>
          <w:szCs w:val="22"/>
          <w:lang w:val="es-ES"/>
        </w:rPr>
      </w:pPr>
    </w:p>
    <w:p w14:paraId="435B7748" w14:textId="77777777" w:rsidR="00F036F2" w:rsidRPr="002D741C" w:rsidRDefault="00F036F2" w:rsidP="004A36AB">
      <w:pPr>
        <w:pStyle w:val="EndnoteText"/>
        <w:keepNext/>
        <w:widowControl w:val="0"/>
        <w:tabs>
          <w:tab w:val="clear" w:pos="567"/>
        </w:tabs>
        <w:rPr>
          <w:color w:val="000000"/>
          <w:szCs w:val="22"/>
          <w:lang w:val="es-ES"/>
        </w:rPr>
      </w:pPr>
      <w:r w:rsidRPr="002D741C">
        <w:rPr>
          <w:color w:val="000000"/>
          <w:szCs w:val="22"/>
          <w:u w:val="single"/>
          <w:lang w:val="es-ES"/>
        </w:rPr>
        <w:t>Fototoxicidad</w:t>
      </w:r>
    </w:p>
    <w:p w14:paraId="26FBEC09" w14:textId="77777777" w:rsidR="00F036F2" w:rsidRPr="002D741C" w:rsidRDefault="00F036F2" w:rsidP="00F036F2">
      <w:pPr>
        <w:pStyle w:val="EndnoteText"/>
        <w:widowControl w:val="0"/>
        <w:rPr>
          <w:color w:val="000000"/>
          <w:szCs w:val="22"/>
          <w:lang w:val="es-ES_tradnl"/>
        </w:rPr>
      </w:pPr>
      <w:r w:rsidRPr="002D741C">
        <w:rPr>
          <w:color w:val="000000"/>
          <w:szCs w:val="22"/>
          <w:lang w:val="es-ES"/>
        </w:rPr>
        <w:t xml:space="preserve">Se debe evitar o minimizar </w:t>
      </w:r>
      <w:r w:rsidR="004A2E0C" w:rsidRPr="002D741C">
        <w:rPr>
          <w:color w:val="000000"/>
          <w:szCs w:val="22"/>
          <w:lang w:val="es-ES"/>
        </w:rPr>
        <w:t xml:space="preserve">la exposición directa al sol </w:t>
      </w:r>
      <w:r w:rsidRPr="002D741C">
        <w:rPr>
          <w:color w:val="000000"/>
          <w:szCs w:val="22"/>
          <w:lang w:val="es-ES"/>
        </w:rPr>
        <w:t xml:space="preserve">debido al riesgo de fototoxicidad asociada al tratamiento con imatinib. Se </w:t>
      </w:r>
      <w:r w:rsidR="004A2E0C" w:rsidRPr="002D741C">
        <w:rPr>
          <w:color w:val="000000"/>
          <w:szCs w:val="22"/>
          <w:lang w:val="es-ES"/>
        </w:rPr>
        <w:t>debe</w:t>
      </w:r>
      <w:r w:rsidRPr="002D741C">
        <w:rPr>
          <w:color w:val="000000"/>
          <w:szCs w:val="22"/>
          <w:lang w:val="es-ES"/>
        </w:rPr>
        <w:t xml:space="preserve"> i</w:t>
      </w:r>
      <w:r w:rsidR="002F1B7A" w:rsidRPr="002D741C">
        <w:rPr>
          <w:color w:val="000000"/>
          <w:szCs w:val="22"/>
          <w:lang w:val="es-ES"/>
        </w:rPr>
        <w:t>ndicar</w:t>
      </w:r>
      <w:r w:rsidRPr="002D741C">
        <w:rPr>
          <w:color w:val="000000"/>
          <w:szCs w:val="22"/>
          <w:lang w:val="es-ES"/>
        </w:rPr>
        <w:t xml:space="preserve"> a los pacientes </w:t>
      </w:r>
      <w:r w:rsidR="002F1B7A" w:rsidRPr="002D741C">
        <w:rPr>
          <w:color w:val="000000"/>
          <w:szCs w:val="22"/>
          <w:lang w:val="es-ES"/>
        </w:rPr>
        <w:t>que tomen medidas</w:t>
      </w:r>
      <w:r w:rsidR="00A362E7" w:rsidRPr="002D741C">
        <w:rPr>
          <w:color w:val="000000"/>
          <w:szCs w:val="22"/>
          <w:lang w:val="es-ES"/>
        </w:rPr>
        <w:t xml:space="preserve"> tales</w:t>
      </w:r>
      <w:r w:rsidR="002F1B7A" w:rsidRPr="002D741C">
        <w:rPr>
          <w:color w:val="000000"/>
          <w:szCs w:val="22"/>
          <w:lang w:val="es-ES"/>
        </w:rPr>
        <w:t xml:space="preserve"> como</w:t>
      </w:r>
      <w:r w:rsidRPr="002D741C">
        <w:rPr>
          <w:color w:val="000000"/>
          <w:szCs w:val="22"/>
          <w:lang w:val="es-ES"/>
        </w:rPr>
        <w:t xml:space="preserve"> </w:t>
      </w:r>
      <w:r w:rsidR="00A833C7" w:rsidRPr="002D741C">
        <w:rPr>
          <w:color w:val="000000"/>
          <w:szCs w:val="22"/>
          <w:lang w:val="es-ES"/>
        </w:rPr>
        <w:t xml:space="preserve">ropa protectora </w:t>
      </w:r>
      <w:r w:rsidRPr="002D741C">
        <w:rPr>
          <w:color w:val="000000"/>
          <w:szCs w:val="22"/>
          <w:lang w:val="es-ES"/>
        </w:rPr>
        <w:t xml:space="preserve">y </w:t>
      </w:r>
      <w:r w:rsidR="002F1B7A" w:rsidRPr="002D741C">
        <w:rPr>
          <w:color w:val="000000"/>
          <w:szCs w:val="22"/>
          <w:lang w:val="es-ES"/>
        </w:rPr>
        <w:t>pro</w:t>
      </w:r>
      <w:r w:rsidR="004F166B" w:rsidRPr="002D741C">
        <w:rPr>
          <w:color w:val="000000"/>
          <w:szCs w:val="22"/>
          <w:lang w:val="es-ES"/>
        </w:rPr>
        <w:t>tector</w:t>
      </w:r>
      <w:r w:rsidRPr="002D741C">
        <w:rPr>
          <w:color w:val="000000"/>
          <w:szCs w:val="22"/>
          <w:lang w:val="es-ES"/>
        </w:rPr>
        <w:t xml:space="preserve"> solar </w:t>
      </w:r>
      <w:r w:rsidR="004A2E0C" w:rsidRPr="002D741C">
        <w:rPr>
          <w:color w:val="000000"/>
          <w:szCs w:val="22"/>
          <w:lang w:val="es-ES"/>
        </w:rPr>
        <w:t xml:space="preserve">con </w:t>
      </w:r>
      <w:r w:rsidRPr="002D741C">
        <w:rPr>
          <w:color w:val="000000"/>
          <w:szCs w:val="22"/>
          <w:lang w:val="es-ES"/>
        </w:rPr>
        <w:t>factor de protección alto</w:t>
      </w:r>
      <w:r w:rsidR="004F166B" w:rsidRPr="002D741C">
        <w:rPr>
          <w:color w:val="000000"/>
          <w:szCs w:val="22"/>
          <w:lang w:val="es-ES"/>
        </w:rPr>
        <w:t xml:space="preserve"> (SPF, por sus siglas en inglés)</w:t>
      </w:r>
      <w:r w:rsidRPr="002D741C">
        <w:rPr>
          <w:color w:val="000000"/>
          <w:szCs w:val="22"/>
          <w:lang w:val="es-ES"/>
        </w:rPr>
        <w:t>.</w:t>
      </w:r>
    </w:p>
    <w:p w14:paraId="299AD7CF" w14:textId="77777777" w:rsidR="00A64B6A" w:rsidRPr="002D741C" w:rsidRDefault="00A64B6A" w:rsidP="00A64B6A">
      <w:pPr>
        <w:pStyle w:val="EndnoteText"/>
        <w:widowControl w:val="0"/>
        <w:tabs>
          <w:tab w:val="clear" w:pos="567"/>
        </w:tabs>
        <w:rPr>
          <w:color w:val="000000"/>
          <w:szCs w:val="22"/>
          <w:lang w:val="es-ES_tradnl"/>
        </w:rPr>
      </w:pPr>
    </w:p>
    <w:p w14:paraId="3455DF11" w14:textId="77777777" w:rsidR="00CB22C0" w:rsidRPr="00DF6C0D" w:rsidRDefault="001F39EC" w:rsidP="00CB22C0">
      <w:pPr>
        <w:pStyle w:val="EndnoteText"/>
        <w:keepNext/>
        <w:widowControl w:val="0"/>
        <w:tabs>
          <w:tab w:val="clear" w:pos="567"/>
        </w:tabs>
        <w:rPr>
          <w:color w:val="000000"/>
          <w:szCs w:val="22"/>
          <w:u w:val="single"/>
          <w:lang w:val="es-ES"/>
        </w:rPr>
      </w:pPr>
      <w:r w:rsidRPr="00DF6C0D">
        <w:rPr>
          <w:color w:val="000000"/>
          <w:szCs w:val="22"/>
          <w:u w:val="single"/>
          <w:lang w:val="es-ES"/>
        </w:rPr>
        <w:t>Microangiopatía trombótica</w:t>
      </w:r>
    </w:p>
    <w:p w14:paraId="5D5B51DC" w14:textId="77777777" w:rsidR="00CB22C0" w:rsidRPr="002D741C" w:rsidRDefault="001F39EC" w:rsidP="00CB22C0">
      <w:pPr>
        <w:pStyle w:val="EndnoteText"/>
        <w:widowControl w:val="0"/>
        <w:tabs>
          <w:tab w:val="clear" w:pos="567"/>
        </w:tabs>
        <w:rPr>
          <w:color w:val="000000"/>
          <w:szCs w:val="22"/>
          <w:lang w:val="es-ES"/>
        </w:rPr>
      </w:pPr>
      <w:r w:rsidRPr="002D741C">
        <w:rPr>
          <w:color w:val="000000"/>
          <w:szCs w:val="22"/>
          <w:lang w:val="es-ES"/>
        </w:rPr>
        <w:t xml:space="preserve">Los inhibidores de la tirosina quinasa </w:t>
      </w:r>
      <w:r w:rsidR="00CB22C0" w:rsidRPr="002D741C">
        <w:rPr>
          <w:color w:val="000000"/>
          <w:szCs w:val="22"/>
          <w:lang w:val="es-ES"/>
        </w:rPr>
        <w:t xml:space="preserve">BCR-ABL </w:t>
      </w:r>
      <w:r w:rsidR="00C02FD7" w:rsidRPr="002D741C">
        <w:rPr>
          <w:color w:val="000000"/>
          <w:szCs w:val="22"/>
          <w:lang w:val="es-ES"/>
        </w:rPr>
        <w:t>se asocian</w:t>
      </w:r>
      <w:r w:rsidRPr="002D741C">
        <w:rPr>
          <w:color w:val="000000"/>
          <w:szCs w:val="22"/>
          <w:lang w:val="es-ES"/>
        </w:rPr>
        <w:t xml:space="preserve"> a microangiopatía trombótica (MAT)</w:t>
      </w:r>
      <w:r w:rsidR="00CB22C0" w:rsidRPr="002D741C">
        <w:rPr>
          <w:color w:val="000000"/>
          <w:szCs w:val="22"/>
          <w:lang w:val="es-ES"/>
        </w:rPr>
        <w:t>, incl</w:t>
      </w:r>
      <w:r w:rsidR="00C02FD7" w:rsidRPr="002D741C">
        <w:rPr>
          <w:color w:val="000000"/>
          <w:szCs w:val="22"/>
          <w:lang w:val="es-ES"/>
        </w:rPr>
        <w:t>uyendo</w:t>
      </w:r>
      <w:r w:rsidRPr="002D741C">
        <w:rPr>
          <w:color w:val="000000"/>
          <w:szCs w:val="22"/>
          <w:lang w:val="es-ES"/>
        </w:rPr>
        <w:t xml:space="preserve"> los informe</w:t>
      </w:r>
      <w:r w:rsidR="00C02FD7" w:rsidRPr="002D741C">
        <w:rPr>
          <w:color w:val="000000"/>
          <w:szCs w:val="22"/>
          <w:lang w:val="es-ES"/>
        </w:rPr>
        <w:t>s</w:t>
      </w:r>
      <w:r w:rsidRPr="002D741C">
        <w:rPr>
          <w:color w:val="000000"/>
          <w:szCs w:val="22"/>
          <w:lang w:val="es-ES"/>
        </w:rPr>
        <w:t xml:space="preserve"> </w:t>
      </w:r>
      <w:r w:rsidR="00764DCE" w:rsidRPr="002D741C">
        <w:rPr>
          <w:color w:val="000000"/>
          <w:szCs w:val="22"/>
          <w:lang w:val="es-ES"/>
        </w:rPr>
        <w:t xml:space="preserve">de casos </w:t>
      </w:r>
      <w:r w:rsidRPr="002D741C">
        <w:rPr>
          <w:color w:val="000000"/>
          <w:szCs w:val="22"/>
          <w:lang w:val="es-ES"/>
        </w:rPr>
        <w:t>individuales de Glivec</w:t>
      </w:r>
      <w:r w:rsidR="00CB22C0" w:rsidRPr="002D741C">
        <w:rPr>
          <w:color w:val="000000"/>
          <w:szCs w:val="22"/>
          <w:lang w:val="es-ES"/>
        </w:rPr>
        <w:t xml:space="preserve"> </w:t>
      </w:r>
      <w:r w:rsidRPr="002D741C">
        <w:rPr>
          <w:color w:val="000000"/>
          <w:szCs w:val="22"/>
          <w:lang w:val="es-ES"/>
        </w:rPr>
        <w:t>(ver sección</w:t>
      </w:r>
      <w:r w:rsidR="00CB22C0" w:rsidRPr="002D741C">
        <w:rPr>
          <w:color w:val="000000"/>
          <w:szCs w:val="22"/>
          <w:lang w:val="es-ES"/>
        </w:rPr>
        <w:t xml:space="preserve"> 4.8). </w:t>
      </w:r>
      <w:r w:rsidRPr="002D741C">
        <w:rPr>
          <w:color w:val="000000"/>
          <w:szCs w:val="22"/>
          <w:lang w:val="es-ES"/>
        </w:rPr>
        <w:t xml:space="preserve">Si </w:t>
      </w:r>
      <w:r w:rsidR="00C4682B" w:rsidRPr="002D741C">
        <w:rPr>
          <w:color w:val="000000"/>
          <w:szCs w:val="22"/>
          <w:lang w:val="es-ES"/>
        </w:rPr>
        <w:t>en un paciente en tratamiento con Glivec aparecen</w:t>
      </w:r>
      <w:r w:rsidRPr="002D741C">
        <w:rPr>
          <w:color w:val="000000"/>
          <w:szCs w:val="22"/>
          <w:lang w:val="es-ES"/>
        </w:rPr>
        <w:t xml:space="preserve"> hallazgos clínicos o de laboratorio asociados a MAT</w:t>
      </w:r>
      <w:r w:rsidR="00CB22C0" w:rsidRPr="002D741C">
        <w:rPr>
          <w:color w:val="000000"/>
          <w:szCs w:val="22"/>
          <w:lang w:val="es-ES"/>
        </w:rPr>
        <w:t xml:space="preserve">, </w:t>
      </w:r>
      <w:r w:rsidR="00C02FD7" w:rsidRPr="002D741C">
        <w:rPr>
          <w:color w:val="000000"/>
          <w:szCs w:val="22"/>
          <w:lang w:val="es-ES"/>
        </w:rPr>
        <w:t xml:space="preserve">se </w:t>
      </w:r>
      <w:r w:rsidR="003844CB" w:rsidRPr="002D741C">
        <w:rPr>
          <w:color w:val="000000"/>
          <w:szCs w:val="22"/>
          <w:lang w:val="es-ES"/>
        </w:rPr>
        <w:t>debe</w:t>
      </w:r>
      <w:r w:rsidRPr="002D741C">
        <w:rPr>
          <w:color w:val="000000"/>
          <w:szCs w:val="22"/>
          <w:lang w:val="es-ES"/>
        </w:rPr>
        <w:t xml:space="preserve"> interrumpir el tratamiento y hacer una evaluación exhaustiva de MAT, incluyendo la actividad </w:t>
      </w:r>
      <w:r w:rsidR="00CB22C0" w:rsidRPr="002D741C">
        <w:rPr>
          <w:color w:val="000000"/>
          <w:szCs w:val="22"/>
          <w:lang w:val="es-ES"/>
        </w:rPr>
        <w:t xml:space="preserve">ADAMTS13 </w:t>
      </w:r>
      <w:r w:rsidRPr="002D741C">
        <w:rPr>
          <w:color w:val="000000"/>
          <w:szCs w:val="22"/>
          <w:lang w:val="es-ES"/>
        </w:rPr>
        <w:t xml:space="preserve">y la determinación de anticuerpos anti- </w:t>
      </w:r>
      <w:r w:rsidR="00CB22C0" w:rsidRPr="002D741C">
        <w:rPr>
          <w:color w:val="000000"/>
          <w:szCs w:val="22"/>
          <w:lang w:val="es-ES"/>
        </w:rPr>
        <w:t xml:space="preserve">ADAMTS13. </w:t>
      </w:r>
      <w:r w:rsidRPr="002D741C">
        <w:rPr>
          <w:color w:val="000000"/>
          <w:szCs w:val="22"/>
          <w:lang w:val="es-ES"/>
        </w:rPr>
        <w:t xml:space="preserve">Si los anticuerpos anti-ADAMTS13 se elevan cuando hay una baja actividad </w:t>
      </w:r>
      <w:r w:rsidR="00CB22C0" w:rsidRPr="002D741C">
        <w:rPr>
          <w:color w:val="000000"/>
          <w:szCs w:val="22"/>
          <w:lang w:val="es-ES"/>
        </w:rPr>
        <w:t xml:space="preserve">ADAMTS13, </w:t>
      </w:r>
      <w:r w:rsidRPr="002D741C">
        <w:rPr>
          <w:color w:val="000000"/>
          <w:szCs w:val="22"/>
          <w:lang w:val="es-ES"/>
        </w:rPr>
        <w:t xml:space="preserve">no debe reanudarse el tratamiento con </w:t>
      </w:r>
      <w:r w:rsidR="00CB22C0" w:rsidRPr="002D741C">
        <w:rPr>
          <w:color w:val="000000"/>
          <w:szCs w:val="22"/>
          <w:lang w:val="es-ES"/>
        </w:rPr>
        <w:t>Glivec.</w:t>
      </w:r>
    </w:p>
    <w:p w14:paraId="13605817" w14:textId="77777777" w:rsidR="00CB22C0" w:rsidRPr="002D741C" w:rsidRDefault="00CB22C0" w:rsidP="00A64B6A">
      <w:pPr>
        <w:pStyle w:val="EndnoteText"/>
        <w:widowControl w:val="0"/>
        <w:tabs>
          <w:tab w:val="clear" w:pos="567"/>
        </w:tabs>
        <w:rPr>
          <w:color w:val="000000"/>
          <w:szCs w:val="22"/>
          <w:lang w:val="es-ES"/>
        </w:rPr>
      </w:pPr>
    </w:p>
    <w:p w14:paraId="722024CC" w14:textId="77777777" w:rsidR="002626B2" w:rsidRPr="002D741C" w:rsidRDefault="002626B2" w:rsidP="001A2F33">
      <w:pPr>
        <w:pStyle w:val="EndnoteText"/>
        <w:widowControl w:val="0"/>
        <w:tabs>
          <w:tab w:val="clear" w:pos="567"/>
        </w:tabs>
        <w:rPr>
          <w:color w:val="000000"/>
          <w:szCs w:val="22"/>
          <w:lang w:val="es-ES"/>
        </w:rPr>
      </w:pPr>
      <w:r w:rsidRPr="002D741C">
        <w:rPr>
          <w:color w:val="000000"/>
          <w:szCs w:val="22"/>
          <w:u w:val="single"/>
          <w:lang w:val="es-ES"/>
        </w:rPr>
        <w:t>Pruebas de laboratorio</w:t>
      </w:r>
    </w:p>
    <w:p w14:paraId="56309A06" w14:textId="77777777" w:rsidR="002626B2" w:rsidRPr="002D741C" w:rsidRDefault="002626B2" w:rsidP="001A2F33">
      <w:pPr>
        <w:pStyle w:val="EndnoteText"/>
        <w:widowControl w:val="0"/>
        <w:tabs>
          <w:tab w:val="clear" w:pos="567"/>
        </w:tabs>
        <w:rPr>
          <w:color w:val="000000"/>
          <w:szCs w:val="22"/>
          <w:lang w:val="es-ES"/>
        </w:rPr>
      </w:pPr>
      <w:r w:rsidRPr="002D741C">
        <w:rPr>
          <w:color w:val="000000"/>
          <w:szCs w:val="22"/>
          <w:lang w:val="es-ES"/>
        </w:rPr>
        <w:t xml:space="preserve">Durante el tratamiento con Glivec deben realizarse regularmente recuentos sanguíneos completos. El tratamiento con Glivec de pacientes con LMC se ha asociado con neutropenia o trombocitopenia. Sin embargo, la presencia de estas citopenias está probablemente relacionada con la fase de la enfermedad que se esté tratando, siendo más frecuentes en pacientes en fase acelerada de LMC o crisis blástica, en comparación con pacientes en fase crónica de LMC. El tratamiento con Glivec puede ser interrumpido o la dosis reducida, tal como se recomienda en </w:t>
      </w:r>
      <w:r w:rsidR="00E0715F" w:rsidRPr="002D741C">
        <w:rPr>
          <w:color w:val="000000"/>
          <w:szCs w:val="22"/>
          <w:lang w:val="es-ES"/>
        </w:rPr>
        <w:t>la</w:t>
      </w:r>
      <w:r w:rsidRPr="002D741C">
        <w:rPr>
          <w:color w:val="000000"/>
          <w:szCs w:val="22"/>
          <w:lang w:val="es-ES"/>
        </w:rPr>
        <w:t xml:space="preserve"> </w:t>
      </w:r>
      <w:r w:rsidR="00E0715F" w:rsidRPr="002D741C">
        <w:rPr>
          <w:color w:val="000000"/>
          <w:szCs w:val="22"/>
          <w:lang w:val="es-ES"/>
        </w:rPr>
        <w:t>sección</w:t>
      </w:r>
      <w:r w:rsidRPr="002D741C">
        <w:rPr>
          <w:color w:val="000000"/>
          <w:szCs w:val="22"/>
          <w:lang w:val="es-ES"/>
        </w:rPr>
        <w:t xml:space="preserve"> 4.2.</w:t>
      </w:r>
    </w:p>
    <w:p w14:paraId="2191B205" w14:textId="77777777" w:rsidR="002626B2" w:rsidRPr="002D741C" w:rsidRDefault="002626B2" w:rsidP="001A2F33">
      <w:pPr>
        <w:pStyle w:val="EndnoteText"/>
        <w:widowControl w:val="0"/>
        <w:tabs>
          <w:tab w:val="clear" w:pos="567"/>
        </w:tabs>
        <w:rPr>
          <w:color w:val="000000"/>
          <w:szCs w:val="22"/>
          <w:lang w:val="es-ES"/>
        </w:rPr>
      </w:pPr>
    </w:p>
    <w:p w14:paraId="6D673B7C" w14:textId="77777777" w:rsidR="002626B2" w:rsidRPr="002D741C" w:rsidRDefault="002626B2" w:rsidP="001A2F33">
      <w:pPr>
        <w:pStyle w:val="EndnoteText"/>
        <w:widowControl w:val="0"/>
        <w:tabs>
          <w:tab w:val="clear" w:pos="567"/>
        </w:tabs>
        <w:rPr>
          <w:color w:val="000000"/>
          <w:szCs w:val="22"/>
          <w:lang w:val="es-ES"/>
        </w:rPr>
      </w:pPr>
      <w:r w:rsidRPr="002D741C">
        <w:rPr>
          <w:color w:val="000000"/>
          <w:szCs w:val="22"/>
          <w:lang w:val="es-ES"/>
        </w:rPr>
        <w:t>La función hepática (transaminasas, bilirrubina, fosfatasa alcalina) debe ser controlada regularmente en pacientes que estén recibiendo Glivec.</w:t>
      </w:r>
    </w:p>
    <w:p w14:paraId="2C6203CD" w14:textId="77777777" w:rsidR="002626B2" w:rsidRPr="002D741C" w:rsidRDefault="002626B2" w:rsidP="001A2F33">
      <w:pPr>
        <w:pStyle w:val="EndnoteText"/>
        <w:widowControl w:val="0"/>
        <w:tabs>
          <w:tab w:val="clear" w:pos="567"/>
        </w:tabs>
        <w:rPr>
          <w:color w:val="000000"/>
          <w:szCs w:val="22"/>
          <w:lang w:val="es-ES"/>
        </w:rPr>
      </w:pPr>
    </w:p>
    <w:p w14:paraId="47389DC6" w14:textId="77777777" w:rsidR="002626B2" w:rsidRPr="002D741C" w:rsidRDefault="004E19DD" w:rsidP="00D53F13">
      <w:pPr>
        <w:pStyle w:val="EndnoteText"/>
        <w:widowControl w:val="0"/>
        <w:tabs>
          <w:tab w:val="clear" w:pos="567"/>
        </w:tabs>
        <w:rPr>
          <w:color w:val="000000"/>
          <w:szCs w:val="22"/>
          <w:lang w:val="es-ES_tradnl"/>
        </w:rPr>
      </w:pPr>
      <w:r w:rsidRPr="002D741C">
        <w:rPr>
          <w:color w:val="000000"/>
          <w:szCs w:val="22"/>
          <w:lang w:val="es-ES"/>
        </w:rPr>
        <w:t xml:space="preserve">En pacientes con alteración </w:t>
      </w:r>
      <w:r w:rsidR="00724AE4" w:rsidRPr="002D741C">
        <w:rPr>
          <w:color w:val="000000"/>
          <w:szCs w:val="22"/>
          <w:lang w:val="es-ES"/>
        </w:rPr>
        <w:t>de</w:t>
      </w:r>
      <w:r w:rsidRPr="002D741C">
        <w:rPr>
          <w:color w:val="000000"/>
          <w:szCs w:val="22"/>
          <w:lang w:val="es-ES"/>
        </w:rPr>
        <w:t xml:space="preserve"> la función ren</w:t>
      </w:r>
      <w:r w:rsidR="00724AE4" w:rsidRPr="002D741C">
        <w:rPr>
          <w:color w:val="000000"/>
          <w:szCs w:val="22"/>
          <w:lang w:val="es-ES"/>
        </w:rPr>
        <w:t>a</w:t>
      </w:r>
      <w:r w:rsidRPr="002D741C">
        <w:rPr>
          <w:color w:val="000000"/>
          <w:szCs w:val="22"/>
          <w:lang w:val="es-ES"/>
        </w:rPr>
        <w:t>l, la exposición plasmática a imatinib parece ser superior que en pacientes con función renal normal, probabl</w:t>
      </w:r>
      <w:r w:rsidR="0035665D" w:rsidRPr="002D741C">
        <w:rPr>
          <w:color w:val="000000"/>
          <w:szCs w:val="22"/>
          <w:lang w:val="es-ES"/>
        </w:rPr>
        <w:t>e</w:t>
      </w:r>
      <w:r w:rsidRPr="002D741C">
        <w:rPr>
          <w:color w:val="000000"/>
          <w:szCs w:val="22"/>
          <w:lang w:val="es-ES"/>
        </w:rPr>
        <w:t xml:space="preserve">mente debido a un </w:t>
      </w:r>
      <w:r w:rsidR="00724AE4" w:rsidRPr="002D741C">
        <w:rPr>
          <w:color w:val="000000"/>
          <w:szCs w:val="22"/>
          <w:lang w:val="es-ES"/>
        </w:rPr>
        <w:t xml:space="preserve">elevado </w:t>
      </w:r>
      <w:r w:rsidRPr="002D741C">
        <w:rPr>
          <w:color w:val="000000"/>
          <w:szCs w:val="22"/>
          <w:lang w:val="es-ES"/>
        </w:rPr>
        <w:t xml:space="preserve">nivel </w:t>
      </w:r>
      <w:r w:rsidR="00724AE4" w:rsidRPr="002D741C">
        <w:rPr>
          <w:color w:val="000000"/>
          <w:szCs w:val="22"/>
          <w:lang w:val="es-ES"/>
        </w:rPr>
        <w:t>plasmático</w:t>
      </w:r>
      <w:r w:rsidRPr="002D741C">
        <w:rPr>
          <w:color w:val="000000"/>
          <w:szCs w:val="22"/>
          <w:lang w:val="es-ES"/>
        </w:rPr>
        <w:t xml:space="preserve"> de glicoproteina</w:t>
      </w:r>
      <w:r w:rsidR="00802256" w:rsidRPr="002D741C">
        <w:rPr>
          <w:color w:val="000000"/>
          <w:szCs w:val="22"/>
          <w:lang w:val="es-ES"/>
        </w:rPr>
        <w:t xml:space="preserve"> alfa-ácid</w:t>
      </w:r>
      <w:r w:rsidR="0035665D" w:rsidRPr="002D741C">
        <w:rPr>
          <w:color w:val="000000"/>
          <w:szCs w:val="22"/>
          <w:lang w:val="es-ES"/>
        </w:rPr>
        <w:t>a</w:t>
      </w:r>
      <w:r w:rsidR="00802256" w:rsidRPr="002D741C">
        <w:rPr>
          <w:color w:val="000000"/>
          <w:szCs w:val="22"/>
          <w:lang w:val="es-ES"/>
        </w:rPr>
        <w:t xml:space="preserve"> (GAA), una proteina de unión a imatinib, en </w:t>
      </w:r>
      <w:r w:rsidR="00CB6BDC" w:rsidRPr="002D741C">
        <w:rPr>
          <w:color w:val="000000"/>
          <w:szCs w:val="22"/>
          <w:lang w:val="es-ES"/>
        </w:rPr>
        <w:t xml:space="preserve">estos </w:t>
      </w:r>
      <w:r w:rsidR="00802256" w:rsidRPr="002D741C">
        <w:rPr>
          <w:color w:val="000000"/>
          <w:szCs w:val="22"/>
          <w:lang w:val="es-ES"/>
        </w:rPr>
        <w:t>pacientes</w:t>
      </w:r>
      <w:r w:rsidR="00CB6BDC" w:rsidRPr="002D741C">
        <w:rPr>
          <w:color w:val="000000"/>
          <w:szCs w:val="22"/>
          <w:lang w:val="es-ES"/>
        </w:rPr>
        <w:t>.</w:t>
      </w:r>
      <w:r w:rsidR="00802256" w:rsidRPr="002D741C">
        <w:rPr>
          <w:color w:val="000000"/>
          <w:szCs w:val="22"/>
          <w:lang w:val="es-ES"/>
        </w:rPr>
        <w:t xml:space="preserve"> </w:t>
      </w:r>
      <w:r w:rsidR="00CB6BDC" w:rsidRPr="002D741C">
        <w:rPr>
          <w:color w:val="000000"/>
          <w:szCs w:val="22"/>
          <w:lang w:val="es-ES"/>
        </w:rPr>
        <w:t>Los pacientes con alteración renal deberán recibir la dosis inicial</w:t>
      </w:r>
      <w:r w:rsidR="00D53F13" w:rsidRPr="002D741C">
        <w:rPr>
          <w:color w:val="000000"/>
          <w:szCs w:val="22"/>
          <w:lang w:val="es-ES"/>
        </w:rPr>
        <w:t xml:space="preserve"> mínima</w:t>
      </w:r>
      <w:r w:rsidR="00CB6BDC" w:rsidRPr="002D741C">
        <w:rPr>
          <w:color w:val="000000"/>
          <w:szCs w:val="22"/>
          <w:lang w:val="es-ES"/>
        </w:rPr>
        <w:t>. Los pacientes con alteración renal grave deberán tratarse con precaución. La dosis puede reducirse si no es bien tolerada (ver secciones 4.2 y 5.2).</w:t>
      </w:r>
    </w:p>
    <w:p w14:paraId="620987A6" w14:textId="77777777" w:rsidR="002626B2" w:rsidRPr="002D741C" w:rsidRDefault="002626B2" w:rsidP="001A2F33">
      <w:pPr>
        <w:pStyle w:val="EndnoteText"/>
        <w:widowControl w:val="0"/>
        <w:tabs>
          <w:tab w:val="clear" w:pos="567"/>
        </w:tabs>
        <w:rPr>
          <w:color w:val="000000"/>
          <w:szCs w:val="22"/>
          <w:lang w:val="es-ES"/>
        </w:rPr>
      </w:pPr>
    </w:p>
    <w:p w14:paraId="22A5D987" w14:textId="77777777" w:rsidR="00B408D0" w:rsidRPr="002D741C" w:rsidRDefault="00B408D0" w:rsidP="00B408D0">
      <w:pPr>
        <w:pStyle w:val="EndnoteText"/>
        <w:widowControl w:val="0"/>
        <w:tabs>
          <w:tab w:val="clear" w:pos="567"/>
        </w:tabs>
        <w:rPr>
          <w:color w:val="000000"/>
          <w:szCs w:val="22"/>
          <w:lang w:val="es-ES"/>
        </w:rPr>
      </w:pPr>
      <w:r w:rsidRPr="002D741C">
        <w:rPr>
          <w:color w:val="000000"/>
          <w:szCs w:val="22"/>
          <w:lang w:val="es-ES"/>
        </w:rPr>
        <w:t xml:space="preserve">El tratamiento a largo plazo con imatinib puede </w:t>
      </w:r>
      <w:r w:rsidR="00467883" w:rsidRPr="002D741C">
        <w:rPr>
          <w:color w:val="000000"/>
          <w:szCs w:val="22"/>
          <w:lang w:val="es-ES"/>
        </w:rPr>
        <w:t>estar asociado con un</w:t>
      </w:r>
      <w:r w:rsidR="00F269DD" w:rsidRPr="002D741C">
        <w:rPr>
          <w:color w:val="000000"/>
          <w:szCs w:val="22"/>
          <w:lang w:val="es-ES"/>
        </w:rPr>
        <w:t>a</w:t>
      </w:r>
      <w:r w:rsidR="00467883" w:rsidRPr="002D741C">
        <w:rPr>
          <w:color w:val="000000"/>
          <w:szCs w:val="22"/>
          <w:lang w:val="es-ES"/>
        </w:rPr>
        <w:t xml:space="preserve"> </w:t>
      </w:r>
      <w:r w:rsidR="00F269DD" w:rsidRPr="002D741C">
        <w:rPr>
          <w:color w:val="000000"/>
          <w:szCs w:val="22"/>
          <w:lang w:val="es-ES"/>
        </w:rPr>
        <w:t>disminución</w:t>
      </w:r>
      <w:r w:rsidR="00467883" w:rsidRPr="002D741C">
        <w:rPr>
          <w:color w:val="000000"/>
          <w:szCs w:val="22"/>
          <w:lang w:val="es-ES"/>
        </w:rPr>
        <w:t xml:space="preserve"> clínicamente significativ</w:t>
      </w:r>
      <w:r w:rsidR="00F269DD" w:rsidRPr="002D741C">
        <w:rPr>
          <w:color w:val="000000"/>
          <w:szCs w:val="22"/>
          <w:lang w:val="es-ES"/>
        </w:rPr>
        <w:t>a</w:t>
      </w:r>
      <w:r w:rsidR="00467883" w:rsidRPr="002D741C">
        <w:rPr>
          <w:color w:val="000000"/>
          <w:szCs w:val="22"/>
          <w:lang w:val="es-ES"/>
        </w:rPr>
        <w:t xml:space="preserve"> de la función renal. Por consiguiente, la función renal </w:t>
      </w:r>
      <w:r w:rsidR="00DD7929" w:rsidRPr="002D741C">
        <w:rPr>
          <w:color w:val="000000"/>
          <w:szCs w:val="22"/>
          <w:lang w:val="es-ES"/>
        </w:rPr>
        <w:t xml:space="preserve">se </w:t>
      </w:r>
      <w:r w:rsidR="00467883" w:rsidRPr="002D741C">
        <w:rPr>
          <w:color w:val="000000"/>
          <w:szCs w:val="22"/>
          <w:lang w:val="es-ES"/>
        </w:rPr>
        <w:t xml:space="preserve">debe evaluar antes del inicio del tratamiento con imatinib y </w:t>
      </w:r>
      <w:r w:rsidR="00F269DD" w:rsidRPr="002D741C">
        <w:rPr>
          <w:color w:val="000000"/>
          <w:szCs w:val="22"/>
          <w:lang w:val="es-ES"/>
        </w:rPr>
        <w:t>controlarla</w:t>
      </w:r>
      <w:r w:rsidR="00467883" w:rsidRPr="002D741C">
        <w:rPr>
          <w:color w:val="000000"/>
          <w:szCs w:val="22"/>
          <w:lang w:val="es-ES"/>
        </w:rPr>
        <w:t xml:space="preserve"> estrechamente</w:t>
      </w:r>
      <w:r w:rsidR="00F269DD" w:rsidRPr="002D741C">
        <w:rPr>
          <w:color w:val="000000"/>
          <w:szCs w:val="22"/>
          <w:lang w:val="es-ES"/>
        </w:rPr>
        <w:t xml:space="preserve"> durante el tratamiento, prestando especial atención a los pacientes que presenten factores de riesgo de alteración renal. Si se observa alteración renal, </w:t>
      </w:r>
      <w:r w:rsidR="00DD7929" w:rsidRPr="002D741C">
        <w:rPr>
          <w:color w:val="000000"/>
          <w:szCs w:val="22"/>
          <w:lang w:val="es-ES"/>
        </w:rPr>
        <w:t xml:space="preserve">se </w:t>
      </w:r>
      <w:r w:rsidR="00F269DD" w:rsidRPr="002D741C">
        <w:rPr>
          <w:color w:val="000000"/>
          <w:szCs w:val="22"/>
          <w:lang w:val="es-ES"/>
        </w:rPr>
        <w:t>debe instaurar el tratamiento y las medidas oportun</w:t>
      </w:r>
      <w:r w:rsidR="00953613" w:rsidRPr="002D741C">
        <w:rPr>
          <w:color w:val="000000"/>
          <w:szCs w:val="22"/>
          <w:lang w:val="es-ES"/>
        </w:rPr>
        <w:t>a</w:t>
      </w:r>
      <w:r w:rsidR="00F269DD" w:rsidRPr="002D741C">
        <w:rPr>
          <w:color w:val="000000"/>
          <w:szCs w:val="22"/>
          <w:lang w:val="es-ES"/>
        </w:rPr>
        <w:t>s de acuerdo con las guías terapéuticas estándar.</w:t>
      </w:r>
    </w:p>
    <w:p w14:paraId="4F96CAF0" w14:textId="77777777" w:rsidR="00B408D0" w:rsidRPr="002D741C" w:rsidRDefault="00B408D0" w:rsidP="001A2F33">
      <w:pPr>
        <w:pStyle w:val="EndnoteText"/>
        <w:widowControl w:val="0"/>
        <w:tabs>
          <w:tab w:val="clear" w:pos="567"/>
        </w:tabs>
        <w:rPr>
          <w:color w:val="000000"/>
          <w:szCs w:val="22"/>
          <w:lang w:val="es-ES"/>
        </w:rPr>
      </w:pPr>
    </w:p>
    <w:p w14:paraId="66F42A2F" w14:textId="77777777" w:rsidR="00A01A99" w:rsidRPr="002D741C" w:rsidRDefault="003704C8" w:rsidP="00C16E58">
      <w:pPr>
        <w:pStyle w:val="EndnoteText"/>
        <w:keepNext/>
        <w:widowControl w:val="0"/>
        <w:tabs>
          <w:tab w:val="clear" w:pos="567"/>
        </w:tabs>
        <w:rPr>
          <w:color w:val="000000"/>
          <w:szCs w:val="22"/>
          <w:u w:val="single"/>
          <w:lang w:val="es-ES"/>
        </w:rPr>
      </w:pPr>
      <w:r w:rsidRPr="002D741C">
        <w:rPr>
          <w:color w:val="000000"/>
          <w:szCs w:val="22"/>
          <w:u w:val="single"/>
          <w:lang w:val="es-ES"/>
        </w:rPr>
        <w:t>Población pediátrica</w:t>
      </w:r>
    </w:p>
    <w:p w14:paraId="4003347A" w14:textId="77777777" w:rsidR="00A01A99" w:rsidRPr="002D741C" w:rsidRDefault="00A01A99" w:rsidP="001A2F33">
      <w:pPr>
        <w:pStyle w:val="EndnoteText"/>
        <w:widowControl w:val="0"/>
        <w:tabs>
          <w:tab w:val="clear" w:pos="567"/>
        </w:tabs>
        <w:rPr>
          <w:color w:val="000000"/>
          <w:szCs w:val="22"/>
          <w:lang w:val="es-ES"/>
        </w:rPr>
      </w:pPr>
      <w:r w:rsidRPr="002D741C">
        <w:rPr>
          <w:color w:val="000000"/>
          <w:szCs w:val="22"/>
          <w:lang w:val="es-ES"/>
        </w:rPr>
        <w:t xml:space="preserve">Se han recogido casos de retraso del crecimiento en niños y pre adolescentes tratados con imatinib. </w:t>
      </w:r>
      <w:r w:rsidR="00335C69" w:rsidRPr="002D741C">
        <w:rPr>
          <w:color w:val="000000"/>
          <w:szCs w:val="22"/>
          <w:lang w:val="es-ES"/>
        </w:rPr>
        <w:t xml:space="preserve">En un estudio observacional de LMC en población pediátrica, se notificó una disminución </w:t>
      </w:r>
      <w:r w:rsidR="00247C11" w:rsidRPr="002D741C">
        <w:rPr>
          <w:color w:val="000000"/>
          <w:szCs w:val="22"/>
          <w:lang w:val="es-ES"/>
        </w:rPr>
        <w:lastRenderedPageBreak/>
        <w:t xml:space="preserve">estadísticamente significativa (pero de poca relevancia clínica) </w:t>
      </w:r>
      <w:r w:rsidR="00335C69" w:rsidRPr="002D741C">
        <w:rPr>
          <w:color w:val="000000"/>
          <w:szCs w:val="22"/>
          <w:lang w:val="es-ES"/>
        </w:rPr>
        <w:t>en las puntuaciones medias de la desviación estándar de altura después de 12 y 24</w:t>
      </w:r>
      <w:r w:rsidR="00481129" w:rsidRPr="002D741C">
        <w:rPr>
          <w:color w:val="000000"/>
          <w:szCs w:val="22"/>
          <w:lang w:val="es-ES"/>
        </w:rPr>
        <w:t> </w:t>
      </w:r>
      <w:r w:rsidR="00335C69" w:rsidRPr="002D741C">
        <w:rPr>
          <w:color w:val="000000"/>
          <w:szCs w:val="22"/>
          <w:lang w:val="es-ES"/>
        </w:rPr>
        <w:t>meses de tratamiento</w:t>
      </w:r>
      <w:r w:rsidR="0026423B" w:rsidRPr="002D741C">
        <w:rPr>
          <w:color w:val="000000"/>
          <w:szCs w:val="22"/>
          <w:lang w:val="es-ES"/>
        </w:rPr>
        <w:t xml:space="preserve"> en dos pequeños sub</w:t>
      </w:r>
      <w:r w:rsidR="00F31769" w:rsidRPr="002D741C">
        <w:rPr>
          <w:color w:val="000000"/>
          <w:szCs w:val="22"/>
          <w:lang w:val="es-ES"/>
        </w:rPr>
        <w:t>grupos</w:t>
      </w:r>
      <w:r w:rsidR="0026423B" w:rsidRPr="002D741C">
        <w:rPr>
          <w:color w:val="000000"/>
          <w:szCs w:val="22"/>
          <w:lang w:val="es-ES"/>
        </w:rPr>
        <w:t>, independientes del estado de pubertad o del género</w:t>
      </w:r>
      <w:r w:rsidR="00335C69" w:rsidRPr="002D741C">
        <w:rPr>
          <w:color w:val="000000"/>
          <w:szCs w:val="22"/>
          <w:lang w:val="es-ES"/>
        </w:rPr>
        <w:t>.</w:t>
      </w:r>
      <w:r w:rsidR="0080666D" w:rsidRPr="002D741C">
        <w:rPr>
          <w:color w:val="000000"/>
          <w:szCs w:val="22"/>
          <w:lang w:val="es-ES"/>
        </w:rPr>
        <w:t xml:space="preserve"> </w:t>
      </w:r>
      <w:r w:rsidR="00335C69" w:rsidRPr="002D741C">
        <w:rPr>
          <w:color w:val="000000"/>
          <w:szCs w:val="22"/>
          <w:lang w:val="es-ES"/>
        </w:rPr>
        <w:t>S</w:t>
      </w:r>
      <w:r w:rsidRPr="002D741C">
        <w:rPr>
          <w:color w:val="000000"/>
          <w:szCs w:val="22"/>
          <w:lang w:val="es-ES"/>
        </w:rPr>
        <w:t xml:space="preserve">e recomienda un control estrecho del crecimiento de los niños que reciben tratamiento con imatinib </w:t>
      </w:r>
      <w:r w:rsidR="00786740" w:rsidRPr="002D741C">
        <w:rPr>
          <w:color w:val="000000"/>
          <w:szCs w:val="22"/>
          <w:lang w:val="es-ES"/>
        </w:rPr>
        <w:t>(ver sección 4.8).</w:t>
      </w:r>
    </w:p>
    <w:p w14:paraId="5600F945" w14:textId="77777777" w:rsidR="00786740" w:rsidRPr="002D741C" w:rsidRDefault="00786740" w:rsidP="001A2F33">
      <w:pPr>
        <w:pStyle w:val="EndnoteText"/>
        <w:widowControl w:val="0"/>
        <w:tabs>
          <w:tab w:val="clear" w:pos="567"/>
        </w:tabs>
        <w:rPr>
          <w:color w:val="000000"/>
          <w:szCs w:val="22"/>
          <w:lang w:val="es-ES"/>
        </w:rPr>
      </w:pPr>
    </w:p>
    <w:p w14:paraId="7E67BACF" w14:textId="77777777" w:rsidR="002626B2" w:rsidRPr="002D741C" w:rsidRDefault="002626B2" w:rsidP="00C16E58">
      <w:pPr>
        <w:keepNext/>
        <w:widowControl w:val="0"/>
        <w:ind w:left="567" w:hanging="567"/>
        <w:rPr>
          <w:color w:val="000000"/>
          <w:sz w:val="22"/>
          <w:szCs w:val="22"/>
        </w:rPr>
      </w:pPr>
      <w:r w:rsidRPr="002D741C">
        <w:rPr>
          <w:b/>
          <w:color w:val="000000"/>
          <w:sz w:val="22"/>
          <w:szCs w:val="22"/>
        </w:rPr>
        <w:t>4.5</w:t>
      </w:r>
      <w:r w:rsidRPr="002D741C">
        <w:rPr>
          <w:b/>
          <w:color w:val="000000"/>
          <w:sz w:val="22"/>
          <w:szCs w:val="22"/>
        </w:rPr>
        <w:tab/>
        <w:t>Interacción con otros medicamentos y otras formas de interacción</w:t>
      </w:r>
    </w:p>
    <w:p w14:paraId="6C7682DE" w14:textId="77777777" w:rsidR="002626B2" w:rsidRPr="002D741C" w:rsidRDefault="002626B2" w:rsidP="00C16E58">
      <w:pPr>
        <w:pStyle w:val="EndnoteText"/>
        <w:keepNext/>
        <w:widowControl w:val="0"/>
        <w:tabs>
          <w:tab w:val="clear" w:pos="567"/>
        </w:tabs>
        <w:rPr>
          <w:color w:val="000000"/>
          <w:szCs w:val="22"/>
          <w:lang w:val="es-ES"/>
        </w:rPr>
      </w:pPr>
    </w:p>
    <w:p w14:paraId="19877F9A" w14:textId="77777777" w:rsidR="002626B2" w:rsidRPr="002D741C" w:rsidRDefault="00D7076F" w:rsidP="00C16E58">
      <w:pPr>
        <w:pStyle w:val="EndnoteText"/>
        <w:keepNext/>
        <w:widowControl w:val="0"/>
        <w:tabs>
          <w:tab w:val="clear" w:pos="567"/>
        </w:tabs>
        <w:rPr>
          <w:color w:val="000000"/>
          <w:szCs w:val="22"/>
          <w:u w:val="single"/>
          <w:lang w:val="es-ES"/>
        </w:rPr>
      </w:pPr>
      <w:r w:rsidRPr="002D741C">
        <w:rPr>
          <w:bCs/>
          <w:color w:val="000000"/>
          <w:szCs w:val="22"/>
          <w:u w:val="single"/>
          <w:lang w:val="es-ES"/>
        </w:rPr>
        <w:t>Principios activos</w:t>
      </w:r>
      <w:r w:rsidR="002626B2" w:rsidRPr="002D741C">
        <w:rPr>
          <w:color w:val="000000"/>
          <w:szCs w:val="22"/>
          <w:u w:val="single"/>
          <w:lang w:val="es-ES"/>
        </w:rPr>
        <w:t xml:space="preserve"> que pueden </w:t>
      </w:r>
      <w:r w:rsidR="002626B2" w:rsidRPr="002D741C">
        <w:rPr>
          <w:b/>
          <w:color w:val="000000"/>
          <w:szCs w:val="22"/>
          <w:u w:val="single"/>
          <w:lang w:val="es-ES"/>
        </w:rPr>
        <w:t>aumentar</w:t>
      </w:r>
      <w:r w:rsidR="002626B2" w:rsidRPr="002D741C">
        <w:rPr>
          <w:color w:val="000000"/>
          <w:szCs w:val="22"/>
          <w:u w:val="single"/>
          <w:lang w:val="es-ES"/>
        </w:rPr>
        <w:t xml:space="preserve"> las concentraciones plasmáticas de imatinib:</w:t>
      </w:r>
    </w:p>
    <w:p w14:paraId="7E3701A5" w14:textId="77777777" w:rsidR="002626B2" w:rsidRPr="002D741C" w:rsidRDefault="002626B2" w:rsidP="001A2F33">
      <w:pPr>
        <w:pStyle w:val="EndnoteText"/>
        <w:widowControl w:val="0"/>
        <w:tabs>
          <w:tab w:val="clear" w:pos="567"/>
        </w:tabs>
        <w:rPr>
          <w:color w:val="000000"/>
          <w:szCs w:val="22"/>
          <w:lang w:val="es-ES"/>
        </w:rPr>
      </w:pPr>
      <w:r w:rsidRPr="002D741C">
        <w:rPr>
          <w:color w:val="000000"/>
          <w:szCs w:val="22"/>
          <w:lang w:val="es-ES"/>
        </w:rPr>
        <w:t xml:space="preserve">Las sustancias que inhiben la actividad del citocromo P450, isoenzima </w:t>
      </w:r>
      <w:smartTag w:uri="urn:schemas-microsoft-com:office:smarttags" w:element="PersonName">
        <w:r w:rsidRPr="002D741C">
          <w:rPr>
            <w:color w:val="000000"/>
            <w:szCs w:val="22"/>
            <w:lang w:val="es-ES"/>
          </w:rPr>
          <w:t>CY</w:t>
        </w:r>
      </w:smartTag>
      <w:r w:rsidRPr="002D741C">
        <w:rPr>
          <w:color w:val="000000"/>
          <w:szCs w:val="22"/>
          <w:lang w:val="es-ES"/>
        </w:rPr>
        <w:t xml:space="preserve">P3A4 (p. ej. </w:t>
      </w:r>
      <w:r w:rsidR="00EF4926" w:rsidRPr="002D741C">
        <w:rPr>
          <w:color w:val="000000"/>
          <w:szCs w:val="22"/>
          <w:lang w:val="es-ES"/>
        </w:rPr>
        <w:t>i</w:t>
      </w:r>
      <w:r w:rsidR="00690D34" w:rsidRPr="002D741C">
        <w:rPr>
          <w:color w:val="000000"/>
          <w:szCs w:val="22"/>
          <w:lang w:val="es-ES"/>
        </w:rPr>
        <w:t xml:space="preserve">nhibidores de la proteasa como indinavir, lopinavir/ritonavir, </w:t>
      </w:r>
      <w:r w:rsidR="006D2DF9" w:rsidRPr="002D741C">
        <w:rPr>
          <w:color w:val="000000"/>
          <w:szCs w:val="22"/>
          <w:lang w:val="es-ES"/>
        </w:rPr>
        <w:t xml:space="preserve">ritonavir, </w:t>
      </w:r>
      <w:r w:rsidR="00690D34" w:rsidRPr="002D741C">
        <w:rPr>
          <w:color w:val="000000"/>
          <w:szCs w:val="22"/>
          <w:lang w:val="es-ES"/>
        </w:rPr>
        <w:t xml:space="preserve">saquinavir, telaprevir, nelfinavir, boceprevir; antifúngicos azólicos incluyendo </w:t>
      </w:r>
      <w:r w:rsidRPr="002D741C">
        <w:rPr>
          <w:color w:val="000000"/>
          <w:szCs w:val="22"/>
          <w:lang w:val="es-ES"/>
        </w:rPr>
        <w:t xml:space="preserve">ketoconazol, itraconazol, </w:t>
      </w:r>
      <w:r w:rsidR="00690D34" w:rsidRPr="002D741C">
        <w:rPr>
          <w:color w:val="000000"/>
          <w:szCs w:val="22"/>
          <w:lang w:val="es-ES"/>
        </w:rPr>
        <w:t xml:space="preserve">posaconazol, voriconazol; algunos macrólidos como </w:t>
      </w:r>
      <w:r w:rsidRPr="002D741C">
        <w:rPr>
          <w:color w:val="000000"/>
          <w:szCs w:val="22"/>
          <w:lang w:val="es-ES"/>
        </w:rPr>
        <w:t>eritromicina, claritromicina</w:t>
      </w:r>
      <w:r w:rsidR="00670CF2" w:rsidRPr="002D741C">
        <w:rPr>
          <w:color w:val="000000"/>
          <w:szCs w:val="22"/>
          <w:lang w:val="es-ES"/>
        </w:rPr>
        <w:t xml:space="preserve"> y telitromi</w:t>
      </w:r>
      <w:r w:rsidR="00690D34" w:rsidRPr="002D741C">
        <w:rPr>
          <w:color w:val="000000"/>
          <w:szCs w:val="22"/>
          <w:lang w:val="es-ES"/>
        </w:rPr>
        <w:t>cina</w:t>
      </w:r>
      <w:r w:rsidRPr="002D741C">
        <w:rPr>
          <w:color w:val="000000"/>
          <w:szCs w:val="22"/>
          <w:lang w:val="es-ES"/>
        </w:rPr>
        <w:t>) podrían reducir el metabolismo y aumentar las concentraciones de imatinib. Hubo un aumento significativo en la exposición a imatinib (</w:t>
      </w:r>
      <w:smartTag w:uri="urn:schemas-microsoft-com:office:smarttags" w:element="PersonName">
        <w:smartTagPr>
          <w:attr w:name="ProductID" w:val="la Cm￡x"/>
        </w:smartTagPr>
        <w:r w:rsidRPr="002D741C">
          <w:rPr>
            <w:color w:val="000000"/>
            <w:szCs w:val="22"/>
            <w:lang w:val="es-ES"/>
          </w:rPr>
          <w:t>la C</w:t>
        </w:r>
        <w:r w:rsidRPr="002D741C">
          <w:rPr>
            <w:color w:val="000000"/>
            <w:szCs w:val="22"/>
            <w:vertAlign w:val="subscript"/>
            <w:lang w:val="es-ES"/>
          </w:rPr>
          <w:t>máx</w:t>
        </w:r>
      </w:smartTag>
      <w:r w:rsidRPr="002D741C">
        <w:rPr>
          <w:color w:val="000000"/>
          <w:szCs w:val="22"/>
          <w:lang w:val="es-ES"/>
        </w:rPr>
        <w:t xml:space="preserve"> y AUC medias de imatinib aumentaron en un 26% y 40%, respectivamente) en sujetos sanos cuando fue administrado conjuntamente con una dosis única de ketoconazol (un inhibidor del </w:t>
      </w:r>
      <w:smartTag w:uri="urn:schemas-microsoft-com:office:smarttags" w:element="PersonName">
        <w:r w:rsidRPr="002D741C">
          <w:rPr>
            <w:color w:val="000000"/>
            <w:szCs w:val="22"/>
            <w:lang w:val="es-ES"/>
          </w:rPr>
          <w:t>CY</w:t>
        </w:r>
      </w:smartTag>
      <w:r w:rsidRPr="002D741C">
        <w:rPr>
          <w:color w:val="000000"/>
          <w:szCs w:val="22"/>
          <w:lang w:val="es-ES"/>
        </w:rPr>
        <w:t xml:space="preserve">P3A4). Deberá tenerse precaución cuando se administre Glivec con inhibidores de la familia del </w:t>
      </w:r>
      <w:smartTag w:uri="urn:schemas-microsoft-com:office:smarttags" w:element="PersonName">
        <w:r w:rsidRPr="002D741C">
          <w:rPr>
            <w:color w:val="000000"/>
            <w:szCs w:val="22"/>
            <w:lang w:val="es-ES"/>
          </w:rPr>
          <w:t>CY</w:t>
        </w:r>
      </w:smartTag>
      <w:r w:rsidRPr="002D741C">
        <w:rPr>
          <w:color w:val="000000"/>
          <w:szCs w:val="22"/>
          <w:lang w:val="es-ES"/>
        </w:rPr>
        <w:t>P3A4.</w:t>
      </w:r>
    </w:p>
    <w:p w14:paraId="1F471AD1" w14:textId="77777777" w:rsidR="002626B2" w:rsidRPr="002D741C" w:rsidRDefault="002626B2" w:rsidP="001A2F33">
      <w:pPr>
        <w:pStyle w:val="EndnoteText"/>
        <w:widowControl w:val="0"/>
        <w:tabs>
          <w:tab w:val="clear" w:pos="567"/>
        </w:tabs>
        <w:rPr>
          <w:color w:val="000000"/>
          <w:szCs w:val="22"/>
          <w:lang w:val="es-ES"/>
        </w:rPr>
      </w:pPr>
    </w:p>
    <w:p w14:paraId="05DC91C8" w14:textId="77777777" w:rsidR="002626B2" w:rsidRPr="002D741C" w:rsidRDefault="00D7076F" w:rsidP="00C16E58">
      <w:pPr>
        <w:pStyle w:val="EndnoteText"/>
        <w:keepNext/>
        <w:widowControl w:val="0"/>
        <w:tabs>
          <w:tab w:val="clear" w:pos="567"/>
        </w:tabs>
        <w:rPr>
          <w:color w:val="000000"/>
          <w:szCs w:val="22"/>
          <w:u w:val="single"/>
          <w:lang w:val="es-ES"/>
        </w:rPr>
      </w:pPr>
      <w:r w:rsidRPr="002D741C">
        <w:rPr>
          <w:color w:val="000000"/>
          <w:szCs w:val="22"/>
          <w:u w:val="single"/>
          <w:lang w:val="es-ES"/>
        </w:rPr>
        <w:t xml:space="preserve">Principios activos </w:t>
      </w:r>
      <w:r w:rsidR="002626B2" w:rsidRPr="002D741C">
        <w:rPr>
          <w:color w:val="000000"/>
          <w:szCs w:val="22"/>
          <w:u w:val="single"/>
          <w:lang w:val="es-ES"/>
        </w:rPr>
        <w:t xml:space="preserve">que pueden </w:t>
      </w:r>
      <w:r w:rsidR="002626B2" w:rsidRPr="002D741C">
        <w:rPr>
          <w:b/>
          <w:color w:val="000000"/>
          <w:szCs w:val="22"/>
          <w:u w:val="single"/>
          <w:lang w:val="es-ES"/>
        </w:rPr>
        <w:t>reducir</w:t>
      </w:r>
      <w:r w:rsidR="002626B2" w:rsidRPr="002D741C">
        <w:rPr>
          <w:color w:val="000000"/>
          <w:szCs w:val="22"/>
          <w:u w:val="single"/>
          <w:lang w:val="es-ES"/>
        </w:rPr>
        <w:t xml:space="preserve"> las concentraciones plasmáticas de imatinib:</w:t>
      </w:r>
    </w:p>
    <w:p w14:paraId="79D14E90" w14:textId="77777777" w:rsidR="00F11D96" w:rsidRPr="002D741C" w:rsidRDefault="002626B2" w:rsidP="00DA14AC">
      <w:pPr>
        <w:pStyle w:val="Text"/>
        <w:widowControl w:val="0"/>
        <w:spacing w:before="0"/>
        <w:jc w:val="left"/>
        <w:rPr>
          <w:color w:val="000000"/>
          <w:sz w:val="22"/>
          <w:szCs w:val="22"/>
        </w:rPr>
      </w:pPr>
      <w:r w:rsidRPr="002D741C">
        <w:rPr>
          <w:color w:val="000000"/>
          <w:sz w:val="22"/>
          <w:szCs w:val="22"/>
        </w:rPr>
        <w:t xml:space="preserve">Las sustancias que son inductoras de la actividad del </w:t>
      </w:r>
      <w:smartTag w:uri="urn:schemas-microsoft-com:office:smarttags" w:element="PersonName">
        <w:r w:rsidRPr="002D741C">
          <w:rPr>
            <w:color w:val="000000"/>
            <w:sz w:val="22"/>
            <w:szCs w:val="22"/>
          </w:rPr>
          <w:t>CY</w:t>
        </w:r>
      </w:smartTag>
      <w:r w:rsidRPr="002D741C">
        <w:rPr>
          <w:color w:val="000000"/>
          <w:sz w:val="22"/>
          <w:szCs w:val="22"/>
        </w:rPr>
        <w:t>P3A4 (p. ej. dexametasona, fenitoína, carbamazepina, rifampicina, fenobarbital</w:t>
      </w:r>
      <w:r w:rsidR="00B13F5D" w:rsidRPr="002D741C">
        <w:rPr>
          <w:color w:val="000000"/>
          <w:sz w:val="22"/>
          <w:szCs w:val="22"/>
        </w:rPr>
        <w:t xml:space="preserve">, fosfenitoína, primidona </w:t>
      </w:r>
      <w:r w:rsidRPr="002D741C">
        <w:rPr>
          <w:color w:val="000000"/>
          <w:sz w:val="22"/>
          <w:szCs w:val="22"/>
        </w:rPr>
        <w:t xml:space="preserve">o </w:t>
      </w:r>
      <w:r w:rsidRPr="002D741C">
        <w:rPr>
          <w:i/>
          <w:color w:val="000000"/>
          <w:sz w:val="22"/>
          <w:szCs w:val="22"/>
        </w:rPr>
        <w:t>Hypericum perforatum</w:t>
      </w:r>
      <w:r w:rsidRPr="002D741C">
        <w:rPr>
          <w:color w:val="000000"/>
          <w:sz w:val="22"/>
          <w:szCs w:val="22"/>
        </w:rPr>
        <w:t>, también conocido como hierba de San Juan) puede reducir significativamente la exposición a Glivec, aumentando potencialmente el riesgo de fallo terapéutico</w:t>
      </w:r>
      <w:r w:rsidR="00777D3B" w:rsidRPr="002D741C">
        <w:rPr>
          <w:color w:val="000000"/>
          <w:sz w:val="22"/>
          <w:szCs w:val="22"/>
        </w:rPr>
        <w:t>.</w:t>
      </w:r>
      <w:r w:rsidRPr="002D741C">
        <w:rPr>
          <w:color w:val="000000"/>
          <w:sz w:val="22"/>
          <w:szCs w:val="22"/>
        </w:rPr>
        <w:t xml:space="preserve"> El tratamiento previo con dosis múltiples de rifampicina, 600</w:t>
      </w:r>
      <w:r w:rsidR="006171A6" w:rsidRPr="002D741C">
        <w:rPr>
          <w:color w:val="000000"/>
          <w:sz w:val="22"/>
          <w:szCs w:val="22"/>
        </w:rPr>
        <w:t> mg</w:t>
      </w:r>
      <w:r w:rsidRPr="002D741C">
        <w:rPr>
          <w:color w:val="000000"/>
          <w:sz w:val="22"/>
          <w:szCs w:val="22"/>
        </w:rPr>
        <w:t xml:space="preserve"> seguidos de una dosis única de 400</w:t>
      </w:r>
      <w:r w:rsidR="006171A6" w:rsidRPr="002D741C">
        <w:rPr>
          <w:color w:val="000000"/>
          <w:sz w:val="22"/>
          <w:szCs w:val="22"/>
        </w:rPr>
        <w:t> mg</w:t>
      </w:r>
      <w:r w:rsidRPr="002D741C">
        <w:rPr>
          <w:color w:val="000000"/>
          <w:sz w:val="22"/>
          <w:szCs w:val="22"/>
        </w:rPr>
        <w:t xml:space="preserve"> de Glivec, representa una reducción en </w:t>
      </w:r>
      <w:smartTag w:uri="urn:schemas-microsoft-com:office:smarttags" w:element="PersonName">
        <w:smartTagPr>
          <w:attr w:name="ProductID" w:val="la Cm￡x"/>
        </w:smartTagPr>
        <w:r w:rsidRPr="002D741C">
          <w:rPr>
            <w:color w:val="000000"/>
            <w:sz w:val="22"/>
            <w:szCs w:val="22"/>
          </w:rPr>
          <w:t>la C</w:t>
        </w:r>
        <w:r w:rsidRPr="002D741C">
          <w:rPr>
            <w:color w:val="000000"/>
            <w:sz w:val="22"/>
            <w:szCs w:val="22"/>
            <w:vertAlign w:val="subscript"/>
          </w:rPr>
          <w:t>máx</w:t>
        </w:r>
      </w:smartTag>
      <w:r w:rsidRPr="002D741C">
        <w:rPr>
          <w:color w:val="000000"/>
          <w:sz w:val="22"/>
          <w:szCs w:val="22"/>
        </w:rPr>
        <w:t>, y AUC</w:t>
      </w:r>
      <w:r w:rsidRPr="002D741C">
        <w:rPr>
          <w:color w:val="000000"/>
          <w:sz w:val="22"/>
          <w:szCs w:val="22"/>
          <w:vertAlign w:val="subscript"/>
        </w:rPr>
        <w:t>(0-</w:t>
      </w:r>
      <w:r w:rsidRPr="002D741C">
        <w:rPr>
          <w:color w:val="000000"/>
          <w:sz w:val="22"/>
          <w:szCs w:val="22"/>
          <w:vertAlign w:val="subscript"/>
        </w:rPr>
        <w:sym w:font="Symbol" w:char="F0A5"/>
      </w:r>
      <w:r w:rsidRPr="002D741C">
        <w:rPr>
          <w:color w:val="000000"/>
          <w:sz w:val="22"/>
          <w:szCs w:val="22"/>
          <w:vertAlign w:val="subscript"/>
        </w:rPr>
        <w:t>)</w:t>
      </w:r>
      <w:r w:rsidR="00777D3B" w:rsidRPr="002D741C">
        <w:rPr>
          <w:color w:val="000000"/>
          <w:sz w:val="22"/>
          <w:szCs w:val="22"/>
        </w:rPr>
        <w:t xml:space="preserve"> </w:t>
      </w:r>
      <w:r w:rsidRPr="002D741C">
        <w:rPr>
          <w:color w:val="000000"/>
          <w:sz w:val="22"/>
          <w:szCs w:val="22"/>
        </w:rPr>
        <w:t>de al menos el 54%</w:t>
      </w:r>
      <w:r w:rsidR="00777D3B" w:rsidRPr="002D741C">
        <w:rPr>
          <w:color w:val="000000"/>
          <w:sz w:val="22"/>
          <w:szCs w:val="22"/>
        </w:rPr>
        <w:t xml:space="preserve"> </w:t>
      </w:r>
      <w:r w:rsidRPr="002D741C">
        <w:rPr>
          <w:color w:val="000000"/>
          <w:sz w:val="22"/>
          <w:szCs w:val="22"/>
        </w:rPr>
        <w:t xml:space="preserve">y 74% de los valores respectivos sin el tratamiento con rifampicina. </w:t>
      </w:r>
      <w:r w:rsidR="00F12394" w:rsidRPr="002D741C">
        <w:rPr>
          <w:color w:val="000000"/>
          <w:sz w:val="22"/>
          <w:szCs w:val="22"/>
        </w:rPr>
        <w:t xml:space="preserve">Se observaron unos resultados </w:t>
      </w:r>
      <w:r w:rsidR="00DA14AC" w:rsidRPr="002D741C">
        <w:rPr>
          <w:color w:val="000000"/>
          <w:sz w:val="22"/>
          <w:szCs w:val="22"/>
        </w:rPr>
        <w:t>similares</w:t>
      </w:r>
      <w:r w:rsidR="00F12394" w:rsidRPr="002D741C">
        <w:rPr>
          <w:color w:val="000000"/>
          <w:sz w:val="22"/>
          <w:szCs w:val="22"/>
        </w:rPr>
        <w:t xml:space="preserve"> en pacientes con gliomas malignos tratados con Glivec mientras tomaban fármacos antiepilépticos inductores enzimáticos como carbamazepina, </w:t>
      </w:r>
      <w:r w:rsidR="00B0341F" w:rsidRPr="002D741C">
        <w:rPr>
          <w:color w:val="000000"/>
          <w:sz w:val="22"/>
          <w:szCs w:val="22"/>
        </w:rPr>
        <w:t>oxcarbazepina</w:t>
      </w:r>
      <w:r w:rsidR="00F12394" w:rsidRPr="002D741C">
        <w:rPr>
          <w:color w:val="000000"/>
          <w:sz w:val="22"/>
          <w:szCs w:val="22"/>
        </w:rPr>
        <w:t xml:space="preserve"> y </w:t>
      </w:r>
      <w:r w:rsidR="00DA14AC" w:rsidRPr="002D741C">
        <w:rPr>
          <w:color w:val="000000"/>
          <w:sz w:val="22"/>
          <w:szCs w:val="22"/>
        </w:rPr>
        <w:t>fenitoí</w:t>
      </w:r>
      <w:r w:rsidR="00F12394" w:rsidRPr="002D741C">
        <w:rPr>
          <w:color w:val="000000"/>
          <w:sz w:val="22"/>
          <w:szCs w:val="22"/>
        </w:rPr>
        <w:t xml:space="preserve">na. </w:t>
      </w:r>
      <w:r w:rsidR="00040280" w:rsidRPr="002D741C">
        <w:rPr>
          <w:color w:val="000000"/>
          <w:sz w:val="22"/>
          <w:szCs w:val="22"/>
          <w:lang w:val="es-ES_tradnl"/>
        </w:rPr>
        <w:t xml:space="preserve">El </w:t>
      </w:r>
      <w:r w:rsidR="00F12394" w:rsidRPr="002D741C">
        <w:rPr>
          <w:color w:val="000000"/>
          <w:sz w:val="22"/>
          <w:szCs w:val="22"/>
          <w:lang w:val="es-ES_tradnl"/>
        </w:rPr>
        <w:t xml:space="preserve">AUC plasmática de imatinib disminuyó un 73% en comparación con pacientes </w:t>
      </w:r>
      <w:r w:rsidR="00040280" w:rsidRPr="002D741C">
        <w:rPr>
          <w:color w:val="000000"/>
          <w:sz w:val="22"/>
          <w:szCs w:val="22"/>
          <w:lang w:val="es-ES_tradnl"/>
        </w:rPr>
        <w:t>que no estaban siendo tratados con fármacos antiepilépticos inductores enzimáticos</w:t>
      </w:r>
      <w:r w:rsidR="00F12394" w:rsidRPr="002D741C">
        <w:rPr>
          <w:color w:val="000000"/>
          <w:sz w:val="22"/>
          <w:szCs w:val="22"/>
          <w:lang w:val="es-ES_tradnl"/>
        </w:rPr>
        <w:t xml:space="preserve">. </w:t>
      </w:r>
      <w:r w:rsidRPr="002D741C">
        <w:rPr>
          <w:color w:val="000000"/>
          <w:sz w:val="22"/>
          <w:szCs w:val="22"/>
        </w:rPr>
        <w:t xml:space="preserve">Deberá evitarse el uso concomitante de rifampicina u otro inductor potente del </w:t>
      </w:r>
      <w:smartTag w:uri="urn:schemas-microsoft-com:office:smarttags" w:element="PersonName">
        <w:r w:rsidRPr="002D741C">
          <w:rPr>
            <w:color w:val="000000"/>
            <w:sz w:val="22"/>
            <w:szCs w:val="22"/>
          </w:rPr>
          <w:t>CY</w:t>
        </w:r>
      </w:smartTag>
      <w:r w:rsidRPr="002D741C">
        <w:rPr>
          <w:color w:val="000000"/>
          <w:sz w:val="22"/>
          <w:szCs w:val="22"/>
        </w:rPr>
        <w:t>P3A4 e imatinib.</w:t>
      </w:r>
    </w:p>
    <w:p w14:paraId="6DBFF142" w14:textId="77777777" w:rsidR="00DA4364" w:rsidRPr="002D741C" w:rsidRDefault="00DA4364" w:rsidP="001A2F33">
      <w:pPr>
        <w:pStyle w:val="EndnoteText"/>
        <w:widowControl w:val="0"/>
        <w:tabs>
          <w:tab w:val="clear" w:pos="567"/>
        </w:tabs>
        <w:rPr>
          <w:color w:val="000000"/>
          <w:szCs w:val="22"/>
          <w:lang w:val="es-ES"/>
        </w:rPr>
      </w:pPr>
    </w:p>
    <w:p w14:paraId="7797500F" w14:textId="77777777" w:rsidR="002626B2" w:rsidRPr="002D741C" w:rsidRDefault="00D7076F" w:rsidP="00C16E58">
      <w:pPr>
        <w:pStyle w:val="EndnoteText"/>
        <w:keepNext/>
        <w:widowControl w:val="0"/>
        <w:tabs>
          <w:tab w:val="clear" w:pos="567"/>
        </w:tabs>
        <w:rPr>
          <w:color w:val="000000"/>
          <w:szCs w:val="22"/>
          <w:lang w:val="es-ES"/>
        </w:rPr>
      </w:pPr>
      <w:r w:rsidRPr="002D741C">
        <w:rPr>
          <w:b/>
          <w:color w:val="000000"/>
          <w:szCs w:val="22"/>
          <w:lang w:val="es-ES"/>
        </w:rPr>
        <w:t xml:space="preserve">Principios activos </w:t>
      </w:r>
      <w:r w:rsidR="002626B2" w:rsidRPr="002D741C">
        <w:rPr>
          <w:b/>
          <w:color w:val="000000"/>
          <w:szCs w:val="22"/>
          <w:lang w:val="es-ES"/>
        </w:rPr>
        <w:t>a los que Glivec puede alterar su concentración plasmática</w:t>
      </w:r>
    </w:p>
    <w:p w14:paraId="02E73CA0" w14:textId="77777777" w:rsidR="002626B2" w:rsidRPr="002D741C" w:rsidRDefault="002626B2" w:rsidP="001A2F33">
      <w:pPr>
        <w:pStyle w:val="EndnoteText"/>
        <w:widowControl w:val="0"/>
        <w:tabs>
          <w:tab w:val="clear" w:pos="567"/>
        </w:tabs>
        <w:rPr>
          <w:color w:val="000000"/>
          <w:szCs w:val="22"/>
          <w:lang w:val="es-ES"/>
        </w:rPr>
      </w:pPr>
      <w:r w:rsidRPr="002D741C">
        <w:rPr>
          <w:color w:val="000000"/>
          <w:szCs w:val="22"/>
          <w:lang w:val="es-ES"/>
        </w:rPr>
        <w:t xml:space="preserve">Imatinib aumenta </w:t>
      </w:r>
      <w:smartTag w:uri="urn:schemas-microsoft-com:office:smarttags" w:element="PersonName">
        <w:smartTagPr>
          <w:attr w:name="ProductID" w:val="la Cm￡x"/>
        </w:smartTagPr>
        <w:r w:rsidRPr="002D741C">
          <w:rPr>
            <w:color w:val="000000"/>
            <w:szCs w:val="22"/>
            <w:lang w:val="es-ES"/>
          </w:rPr>
          <w:t>la C</w:t>
        </w:r>
        <w:r w:rsidRPr="002D741C">
          <w:rPr>
            <w:color w:val="000000"/>
            <w:szCs w:val="22"/>
            <w:vertAlign w:val="subscript"/>
            <w:lang w:val="es-ES"/>
          </w:rPr>
          <w:t>máx</w:t>
        </w:r>
      </w:smartTag>
      <w:r w:rsidRPr="002D741C">
        <w:rPr>
          <w:color w:val="000000"/>
          <w:szCs w:val="22"/>
          <w:lang w:val="es-ES"/>
        </w:rPr>
        <w:t xml:space="preserve"> y AUC medias de simvastatina (sustrato del </w:t>
      </w:r>
      <w:smartTag w:uri="urn:schemas-microsoft-com:office:smarttags" w:element="PersonName">
        <w:r w:rsidRPr="002D741C">
          <w:rPr>
            <w:color w:val="000000"/>
            <w:szCs w:val="22"/>
            <w:lang w:val="es-ES"/>
          </w:rPr>
          <w:t>CY</w:t>
        </w:r>
      </w:smartTag>
      <w:r w:rsidRPr="002D741C">
        <w:rPr>
          <w:color w:val="000000"/>
          <w:szCs w:val="22"/>
          <w:lang w:val="es-ES"/>
        </w:rPr>
        <w:t>P3A4) 2 y 3,5</w:t>
      </w:r>
      <w:r w:rsidR="00DF063A" w:rsidRPr="002D741C">
        <w:rPr>
          <w:color w:val="000000"/>
          <w:szCs w:val="22"/>
          <w:lang w:val="es-ES"/>
        </w:rPr>
        <w:t> </w:t>
      </w:r>
      <w:r w:rsidRPr="002D741C">
        <w:rPr>
          <w:color w:val="000000"/>
          <w:szCs w:val="22"/>
          <w:lang w:val="es-ES"/>
        </w:rPr>
        <w:t xml:space="preserve">veces, respectivamente, lo que indica que imatinib inhibe el </w:t>
      </w:r>
      <w:smartTag w:uri="urn:schemas-microsoft-com:office:smarttags" w:element="PersonName">
        <w:r w:rsidRPr="002D741C">
          <w:rPr>
            <w:color w:val="000000"/>
            <w:szCs w:val="22"/>
            <w:lang w:val="es-ES"/>
          </w:rPr>
          <w:t>CY</w:t>
        </w:r>
      </w:smartTag>
      <w:r w:rsidRPr="002D741C">
        <w:rPr>
          <w:color w:val="000000"/>
          <w:szCs w:val="22"/>
          <w:lang w:val="es-ES"/>
        </w:rPr>
        <w:t xml:space="preserve">P3A4. Por lo tanto, se recomienda precaución cuando se administre Glivec con sustratos del </w:t>
      </w:r>
      <w:smartTag w:uri="urn:schemas-microsoft-com:office:smarttags" w:element="PersonName">
        <w:r w:rsidRPr="002D741C">
          <w:rPr>
            <w:color w:val="000000"/>
            <w:szCs w:val="22"/>
            <w:lang w:val="es-ES"/>
          </w:rPr>
          <w:t>CY</w:t>
        </w:r>
      </w:smartTag>
      <w:r w:rsidRPr="002D741C">
        <w:rPr>
          <w:color w:val="000000"/>
          <w:szCs w:val="22"/>
          <w:lang w:val="es-ES"/>
        </w:rPr>
        <w:t xml:space="preserve">P3A4 con un estrecho margen terapéutico (p. ej. </w:t>
      </w:r>
      <w:r w:rsidR="00C16B02" w:rsidRPr="002D741C">
        <w:rPr>
          <w:color w:val="000000"/>
          <w:szCs w:val="22"/>
          <w:lang w:val="es-ES"/>
        </w:rPr>
        <w:t>c</w:t>
      </w:r>
      <w:r w:rsidRPr="002D741C">
        <w:rPr>
          <w:color w:val="000000"/>
          <w:szCs w:val="22"/>
          <w:lang w:val="es-ES"/>
        </w:rPr>
        <w:t>iclosporina</w:t>
      </w:r>
      <w:r w:rsidR="00690D34" w:rsidRPr="002D741C">
        <w:rPr>
          <w:color w:val="000000"/>
          <w:szCs w:val="22"/>
          <w:lang w:val="es-ES"/>
        </w:rPr>
        <w:t xml:space="preserve">, </w:t>
      </w:r>
      <w:r w:rsidRPr="002D741C">
        <w:rPr>
          <w:color w:val="000000"/>
          <w:szCs w:val="22"/>
          <w:lang w:val="es-ES"/>
        </w:rPr>
        <w:t>pimozida</w:t>
      </w:r>
      <w:r w:rsidR="00EF4926" w:rsidRPr="002D741C">
        <w:rPr>
          <w:color w:val="000000"/>
          <w:szCs w:val="22"/>
          <w:lang w:val="es-ES"/>
        </w:rPr>
        <w:t>, tacro</w:t>
      </w:r>
      <w:r w:rsidR="00690D34" w:rsidRPr="002D741C">
        <w:rPr>
          <w:color w:val="000000"/>
          <w:szCs w:val="22"/>
          <w:lang w:val="es-ES"/>
        </w:rPr>
        <w:t>lim</w:t>
      </w:r>
      <w:r w:rsidR="00C16B02" w:rsidRPr="002D741C">
        <w:rPr>
          <w:color w:val="000000"/>
          <w:szCs w:val="22"/>
          <w:lang w:val="es-ES"/>
        </w:rPr>
        <w:t>us</w:t>
      </w:r>
      <w:r w:rsidR="00690D34" w:rsidRPr="002D741C">
        <w:rPr>
          <w:color w:val="000000"/>
          <w:szCs w:val="22"/>
          <w:lang w:val="es-ES"/>
        </w:rPr>
        <w:t>, sirolimus, ergotamina, diergotamina, fentanilo, alfentanilo, terfenadina, bortezomib, docetaxel y quinidina</w:t>
      </w:r>
      <w:r w:rsidRPr="002D741C">
        <w:rPr>
          <w:color w:val="000000"/>
          <w:szCs w:val="22"/>
          <w:lang w:val="es-ES"/>
        </w:rPr>
        <w:t xml:space="preserve">). Glivec puede aumentar la concentración plasmática de otros fármacos metabolizados por el </w:t>
      </w:r>
      <w:smartTag w:uri="urn:schemas-microsoft-com:office:smarttags" w:element="PersonName">
        <w:r w:rsidRPr="002D741C">
          <w:rPr>
            <w:color w:val="000000"/>
            <w:szCs w:val="22"/>
            <w:lang w:val="es-ES"/>
          </w:rPr>
          <w:t>CY</w:t>
        </w:r>
      </w:smartTag>
      <w:r w:rsidRPr="002D741C">
        <w:rPr>
          <w:color w:val="000000"/>
          <w:szCs w:val="22"/>
          <w:lang w:val="es-ES"/>
        </w:rPr>
        <w:t xml:space="preserve">P3A4 (p. ej. triazolo-benzodiazepinas, dihidropiridina, bloqueantes de los canales de calcio, ciertos inhibidores de </w:t>
      </w:r>
      <w:smartTag w:uri="urn:schemas-microsoft-com:office:smarttags" w:element="PersonName">
        <w:smartTagPr>
          <w:attr w:name="ProductID" w:val="la HMG-CoA"/>
        </w:smartTagPr>
        <w:r w:rsidRPr="002D741C">
          <w:rPr>
            <w:color w:val="000000"/>
            <w:szCs w:val="22"/>
            <w:lang w:val="es-ES"/>
          </w:rPr>
          <w:t xml:space="preserve">la </w:t>
        </w:r>
        <w:smartTag w:uri="urn:schemas-microsoft-com:office:smarttags" w:element="stockticker">
          <w:r w:rsidRPr="002D741C">
            <w:rPr>
              <w:color w:val="000000"/>
              <w:szCs w:val="22"/>
              <w:lang w:val="es-ES"/>
            </w:rPr>
            <w:t>HMG</w:t>
          </w:r>
        </w:smartTag>
        <w:r w:rsidRPr="002D741C">
          <w:rPr>
            <w:color w:val="000000"/>
            <w:szCs w:val="22"/>
            <w:lang w:val="es-ES"/>
          </w:rPr>
          <w:t>-CoA</w:t>
        </w:r>
      </w:smartTag>
      <w:r w:rsidRPr="002D741C">
        <w:rPr>
          <w:color w:val="000000"/>
          <w:szCs w:val="22"/>
          <w:lang w:val="es-ES"/>
        </w:rPr>
        <w:t xml:space="preserve"> reductasa, es decir, estatinas, etc.).</w:t>
      </w:r>
    </w:p>
    <w:p w14:paraId="7C0D6C43" w14:textId="77777777" w:rsidR="002626B2" w:rsidRPr="002D741C" w:rsidRDefault="002626B2" w:rsidP="001A2F33">
      <w:pPr>
        <w:pStyle w:val="EndnoteText"/>
        <w:widowControl w:val="0"/>
        <w:tabs>
          <w:tab w:val="clear" w:pos="567"/>
        </w:tabs>
        <w:rPr>
          <w:color w:val="000000"/>
          <w:szCs w:val="22"/>
          <w:lang w:val="es-ES"/>
        </w:rPr>
      </w:pPr>
    </w:p>
    <w:p w14:paraId="29FF31A4" w14:textId="77777777" w:rsidR="002626B2" w:rsidRPr="002D741C" w:rsidRDefault="002626B2" w:rsidP="001A2F33">
      <w:pPr>
        <w:pStyle w:val="EndnoteText"/>
        <w:widowControl w:val="0"/>
        <w:tabs>
          <w:tab w:val="clear" w:pos="567"/>
        </w:tabs>
        <w:rPr>
          <w:color w:val="000000"/>
          <w:szCs w:val="22"/>
          <w:lang w:val="es-ES"/>
        </w:rPr>
      </w:pPr>
      <w:r w:rsidRPr="002D741C">
        <w:rPr>
          <w:color w:val="000000"/>
          <w:szCs w:val="22"/>
          <w:lang w:val="es-ES"/>
        </w:rPr>
        <w:t xml:space="preserve">Los pacientes que precisen anticoagulantes deberán recibir heparina de bajo peso molecular o estándar </w:t>
      </w:r>
      <w:r w:rsidR="00690D34" w:rsidRPr="002D741C">
        <w:rPr>
          <w:color w:val="000000"/>
          <w:szCs w:val="22"/>
          <w:lang w:val="es-ES"/>
        </w:rPr>
        <w:t>en vez de derivados cumarínicos como warfarina, debido al riesgo aumentado conocido de hemorragia en combinación con el uso de imatinib (p.ej.</w:t>
      </w:r>
      <w:r w:rsidR="00C16B02" w:rsidRPr="002D741C">
        <w:rPr>
          <w:color w:val="000000"/>
          <w:szCs w:val="22"/>
          <w:lang w:val="es-ES"/>
        </w:rPr>
        <w:t xml:space="preserve"> </w:t>
      </w:r>
      <w:r w:rsidR="00690D34" w:rsidRPr="002D741C">
        <w:rPr>
          <w:color w:val="000000"/>
          <w:szCs w:val="22"/>
          <w:lang w:val="es-ES"/>
        </w:rPr>
        <w:t>hemorragia)</w:t>
      </w:r>
      <w:r w:rsidRPr="002D741C">
        <w:rPr>
          <w:color w:val="000000"/>
          <w:szCs w:val="22"/>
          <w:lang w:val="es-ES"/>
        </w:rPr>
        <w:t>.</w:t>
      </w:r>
    </w:p>
    <w:p w14:paraId="3E202F54" w14:textId="77777777" w:rsidR="002626B2" w:rsidRPr="002D741C" w:rsidRDefault="002626B2" w:rsidP="001A2F33">
      <w:pPr>
        <w:pStyle w:val="EndnoteText"/>
        <w:widowControl w:val="0"/>
        <w:tabs>
          <w:tab w:val="clear" w:pos="567"/>
        </w:tabs>
        <w:rPr>
          <w:color w:val="000000"/>
          <w:szCs w:val="22"/>
          <w:lang w:val="es-ES"/>
        </w:rPr>
      </w:pPr>
    </w:p>
    <w:p w14:paraId="73C47FAE" w14:textId="201C1CBA" w:rsidR="00782174" w:rsidRPr="002D741C" w:rsidRDefault="002626B2" w:rsidP="00782174">
      <w:pPr>
        <w:pStyle w:val="EndnoteText"/>
        <w:widowControl w:val="0"/>
        <w:tabs>
          <w:tab w:val="clear" w:pos="567"/>
        </w:tabs>
        <w:rPr>
          <w:color w:val="000000"/>
          <w:szCs w:val="22"/>
          <w:lang w:val="es-ES"/>
        </w:rPr>
      </w:pPr>
      <w:r w:rsidRPr="002D741C">
        <w:rPr>
          <w:i/>
          <w:color w:val="000000"/>
          <w:szCs w:val="22"/>
          <w:lang w:val="es-ES"/>
        </w:rPr>
        <w:t>In vitro</w:t>
      </w:r>
      <w:r w:rsidRPr="002D741C">
        <w:rPr>
          <w:color w:val="000000"/>
          <w:szCs w:val="22"/>
          <w:lang w:val="es-ES"/>
        </w:rPr>
        <w:t xml:space="preserve">, Glivec inhibe la actividad del citocromo P450, isoenzima </w:t>
      </w:r>
      <w:smartTag w:uri="urn:schemas-microsoft-com:office:smarttags" w:element="PersonName">
        <w:r w:rsidRPr="002D741C">
          <w:rPr>
            <w:color w:val="000000"/>
            <w:szCs w:val="22"/>
            <w:lang w:val="es-ES"/>
          </w:rPr>
          <w:t>CY</w:t>
        </w:r>
      </w:smartTag>
      <w:r w:rsidRPr="002D741C">
        <w:rPr>
          <w:color w:val="000000"/>
          <w:szCs w:val="22"/>
          <w:lang w:val="es-ES"/>
        </w:rPr>
        <w:t xml:space="preserve">P2D6 a concentraciones similares a las que afectan la actividad del </w:t>
      </w:r>
      <w:smartTag w:uri="urn:schemas-microsoft-com:office:smarttags" w:element="PersonName">
        <w:r w:rsidRPr="002D741C">
          <w:rPr>
            <w:color w:val="000000"/>
            <w:szCs w:val="22"/>
            <w:lang w:val="es-ES"/>
          </w:rPr>
          <w:t>CY</w:t>
        </w:r>
      </w:smartTag>
      <w:r w:rsidRPr="002D741C">
        <w:rPr>
          <w:color w:val="000000"/>
          <w:szCs w:val="22"/>
          <w:lang w:val="es-ES"/>
        </w:rPr>
        <w:t xml:space="preserve">P3A4. </w:t>
      </w:r>
      <w:r w:rsidR="00546287" w:rsidRPr="002D741C">
        <w:rPr>
          <w:rStyle w:val="TextChar"/>
          <w:color w:val="000000"/>
          <w:sz w:val="22"/>
        </w:rPr>
        <w:t xml:space="preserve">Las </w:t>
      </w:r>
      <w:r w:rsidR="00546287" w:rsidRPr="002D741C">
        <w:rPr>
          <w:color w:val="000000"/>
          <w:szCs w:val="22"/>
          <w:lang w:val="es-ES_tradnl"/>
        </w:rPr>
        <w:t>d</w:t>
      </w:r>
      <w:r w:rsidR="00F002C8" w:rsidRPr="002D741C">
        <w:rPr>
          <w:color w:val="000000"/>
          <w:szCs w:val="22"/>
          <w:lang w:val="es-ES_tradnl"/>
        </w:rPr>
        <w:t xml:space="preserve">osis de imatinib de 400 mg dos veces al día mostraron un efecto inhibidor sobre el metabolismo de metoprolol mediado por </w:t>
      </w:r>
      <w:smartTag w:uri="urn:schemas-microsoft-com:office:smarttags" w:element="PersonName">
        <w:r w:rsidR="00F002C8" w:rsidRPr="002D741C">
          <w:rPr>
            <w:color w:val="000000"/>
            <w:szCs w:val="22"/>
            <w:lang w:val="es-ES_tradnl"/>
          </w:rPr>
          <w:t>CY</w:t>
        </w:r>
      </w:smartTag>
      <w:r w:rsidR="00F002C8" w:rsidRPr="002D741C">
        <w:rPr>
          <w:color w:val="000000"/>
          <w:szCs w:val="22"/>
          <w:lang w:val="es-ES_tradnl"/>
        </w:rPr>
        <w:t>P2D6, con un aumento de la C</w:t>
      </w:r>
      <w:r w:rsidR="00F002C8" w:rsidRPr="002D741C">
        <w:rPr>
          <w:color w:val="000000"/>
          <w:szCs w:val="22"/>
          <w:vertAlign w:val="subscript"/>
          <w:lang w:val="es-ES_tradnl"/>
        </w:rPr>
        <w:t>max</w:t>
      </w:r>
      <w:r w:rsidR="00F002C8" w:rsidRPr="002D741C">
        <w:rPr>
          <w:color w:val="000000"/>
          <w:szCs w:val="22"/>
          <w:lang w:val="es-ES_tradnl"/>
        </w:rPr>
        <w:t xml:space="preserve"> y de</w:t>
      </w:r>
      <w:r w:rsidR="00D704DD" w:rsidRPr="002D741C">
        <w:rPr>
          <w:color w:val="000000"/>
          <w:szCs w:val="22"/>
          <w:lang w:val="es-ES_tradnl"/>
        </w:rPr>
        <w:t>l</w:t>
      </w:r>
      <w:r w:rsidR="00F002C8" w:rsidRPr="002D741C">
        <w:rPr>
          <w:color w:val="000000"/>
          <w:szCs w:val="22"/>
          <w:lang w:val="es-ES_tradnl"/>
        </w:rPr>
        <w:t xml:space="preserve"> AUC de metoprolol de aproximadamente un 23% (IC 90% [1,16</w:t>
      </w:r>
      <w:r w:rsidR="00FA35A0" w:rsidRPr="002D741C">
        <w:rPr>
          <w:color w:val="000000"/>
          <w:szCs w:val="22"/>
          <w:lang w:val="es-ES_tradnl"/>
        </w:rPr>
        <w:noBreakHyphen/>
      </w:r>
      <w:r w:rsidR="00F002C8" w:rsidRPr="002D741C">
        <w:rPr>
          <w:color w:val="000000"/>
          <w:szCs w:val="22"/>
          <w:lang w:val="es-ES_tradnl"/>
        </w:rPr>
        <w:t>1,30]). No parecen ser necesarios ajustes de dosis cuando imatinib se administra conjunta</w:t>
      </w:r>
      <w:r w:rsidR="00A0418D" w:rsidRPr="002D741C">
        <w:rPr>
          <w:color w:val="000000"/>
          <w:szCs w:val="22"/>
          <w:lang w:val="es-ES_tradnl"/>
        </w:rPr>
        <w:t>mente</w:t>
      </w:r>
      <w:r w:rsidR="00F002C8" w:rsidRPr="002D741C">
        <w:rPr>
          <w:color w:val="000000"/>
          <w:szCs w:val="22"/>
          <w:lang w:val="es-ES_tradnl"/>
        </w:rPr>
        <w:t xml:space="preserve"> con sustratos de </w:t>
      </w:r>
      <w:smartTag w:uri="urn:schemas-microsoft-com:office:smarttags" w:element="PersonName">
        <w:r w:rsidR="00F002C8" w:rsidRPr="002D741C">
          <w:rPr>
            <w:color w:val="000000"/>
            <w:szCs w:val="22"/>
            <w:lang w:val="es-ES_tradnl"/>
          </w:rPr>
          <w:t>CY</w:t>
        </w:r>
      </w:smartTag>
      <w:r w:rsidR="00F002C8" w:rsidRPr="002D741C">
        <w:rPr>
          <w:color w:val="000000"/>
          <w:szCs w:val="22"/>
          <w:lang w:val="es-ES_tradnl"/>
        </w:rPr>
        <w:t>P2D6, sin embargo se recomienda precauci</w:t>
      </w:r>
      <w:r w:rsidR="00A0418D" w:rsidRPr="002D741C">
        <w:rPr>
          <w:color w:val="000000"/>
          <w:szCs w:val="22"/>
          <w:lang w:val="es-ES_tradnl"/>
        </w:rPr>
        <w:t>ón para sustratos de</w:t>
      </w:r>
      <w:r w:rsidR="00F002C8" w:rsidRPr="002D741C">
        <w:rPr>
          <w:color w:val="000000"/>
          <w:szCs w:val="22"/>
          <w:lang w:val="es-ES_tradnl"/>
        </w:rPr>
        <w:t xml:space="preserve"> </w:t>
      </w:r>
      <w:smartTag w:uri="urn:schemas-microsoft-com:office:smarttags" w:element="PersonName">
        <w:r w:rsidR="00F002C8" w:rsidRPr="002D741C">
          <w:rPr>
            <w:color w:val="000000"/>
            <w:szCs w:val="22"/>
            <w:lang w:val="es-ES_tradnl"/>
          </w:rPr>
          <w:t>CY</w:t>
        </w:r>
      </w:smartTag>
      <w:r w:rsidR="00F002C8" w:rsidRPr="002D741C">
        <w:rPr>
          <w:color w:val="000000"/>
          <w:szCs w:val="22"/>
          <w:lang w:val="es-ES_tradnl"/>
        </w:rPr>
        <w:t xml:space="preserve">P2D6 con un estrecho margen terapéutico como metoprolol. En pacientes tratados con metoprolol deberá </w:t>
      </w:r>
      <w:r w:rsidR="00A0418D" w:rsidRPr="002D741C">
        <w:rPr>
          <w:color w:val="000000"/>
          <w:szCs w:val="22"/>
          <w:lang w:val="es-ES_tradnl"/>
        </w:rPr>
        <w:t>considerarse</w:t>
      </w:r>
      <w:r w:rsidR="00F002C8" w:rsidRPr="002D741C">
        <w:rPr>
          <w:color w:val="000000"/>
          <w:szCs w:val="22"/>
          <w:lang w:val="es-ES_tradnl"/>
        </w:rPr>
        <w:t xml:space="preserve"> la </w:t>
      </w:r>
      <w:r w:rsidR="00D614F6" w:rsidRPr="002D741C">
        <w:rPr>
          <w:color w:val="000000"/>
          <w:szCs w:val="22"/>
          <w:lang w:val="es-ES_tradnl"/>
        </w:rPr>
        <w:t>supervisión</w:t>
      </w:r>
      <w:r w:rsidR="00F002C8" w:rsidRPr="002D741C">
        <w:rPr>
          <w:color w:val="000000"/>
          <w:szCs w:val="22"/>
          <w:lang w:val="es-ES_tradnl"/>
        </w:rPr>
        <w:t xml:space="preserve"> clínica.</w:t>
      </w:r>
    </w:p>
    <w:p w14:paraId="54633211" w14:textId="77777777" w:rsidR="00782174" w:rsidRPr="002D741C" w:rsidRDefault="00782174" w:rsidP="00782174">
      <w:pPr>
        <w:pStyle w:val="EndnoteText"/>
        <w:widowControl w:val="0"/>
        <w:tabs>
          <w:tab w:val="clear" w:pos="567"/>
        </w:tabs>
        <w:rPr>
          <w:i/>
          <w:iCs/>
          <w:color w:val="000000"/>
          <w:szCs w:val="22"/>
          <w:lang w:val="es-ES"/>
        </w:rPr>
      </w:pPr>
    </w:p>
    <w:p w14:paraId="7C8499C1" w14:textId="77777777" w:rsidR="00782174" w:rsidRPr="002D741C" w:rsidRDefault="00782174" w:rsidP="00782174">
      <w:pPr>
        <w:pStyle w:val="EndnoteText"/>
        <w:widowControl w:val="0"/>
        <w:tabs>
          <w:tab w:val="clear" w:pos="567"/>
        </w:tabs>
        <w:rPr>
          <w:color w:val="000000"/>
          <w:szCs w:val="22"/>
          <w:lang w:val="es-ES"/>
        </w:rPr>
      </w:pPr>
      <w:r w:rsidRPr="002D741C">
        <w:rPr>
          <w:i/>
          <w:iCs/>
          <w:color w:val="000000"/>
          <w:szCs w:val="22"/>
          <w:lang w:val="es-ES"/>
        </w:rPr>
        <w:t xml:space="preserve">In vitro, </w:t>
      </w:r>
      <w:r w:rsidRPr="002D741C">
        <w:rPr>
          <w:color w:val="000000"/>
          <w:szCs w:val="22"/>
          <w:lang w:val="es-ES"/>
        </w:rPr>
        <w:t xml:space="preserve">Glivec inhibe </w:t>
      </w:r>
      <w:smartTag w:uri="urn:schemas-microsoft-com:office:smarttags" w:element="PersonName">
        <w:smartTagPr>
          <w:attr w:name="ProductID" w:val="la O-glucuronidaci￳n"/>
        </w:smartTagPr>
        <w:r w:rsidRPr="002D741C">
          <w:rPr>
            <w:color w:val="000000"/>
            <w:szCs w:val="22"/>
            <w:lang w:val="es-ES"/>
          </w:rPr>
          <w:t>la O-glucuronidación</w:t>
        </w:r>
      </w:smartTag>
      <w:r w:rsidRPr="002D741C">
        <w:rPr>
          <w:color w:val="000000"/>
          <w:szCs w:val="22"/>
          <w:lang w:val="es-ES"/>
        </w:rPr>
        <w:t xml:space="preserve"> de paracetamol </w:t>
      </w:r>
      <w:r w:rsidR="008126DD" w:rsidRPr="002D741C">
        <w:rPr>
          <w:color w:val="000000"/>
          <w:szCs w:val="22"/>
          <w:lang w:val="es-ES"/>
        </w:rPr>
        <w:t xml:space="preserve">con un </w:t>
      </w:r>
      <w:r w:rsidRPr="002D741C">
        <w:rPr>
          <w:color w:val="000000"/>
          <w:szCs w:val="22"/>
          <w:lang w:val="es-ES"/>
        </w:rPr>
        <w:t>valor Ki de 58,5 micromoles/l</w:t>
      </w:r>
      <w:r w:rsidR="008126DD" w:rsidRPr="002D741C">
        <w:rPr>
          <w:color w:val="000000"/>
          <w:szCs w:val="22"/>
          <w:lang w:val="es-ES"/>
        </w:rPr>
        <w:t xml:space="preserve">. Esta inhibición no se ha observado </w:t>
      </w:r>
      <w:r w:rsidR="008126DD" w:rsidRPr="002D741C">
        <w:rPr>
          <w:i/>
          <w:color w:val="000000"/>
          <w:szCs w:val="22"/>
          <w:lang w:val="es-ES"/>
        </w:rPr>
        <w:t>in vivo</w:t>
      </w:r>
      <w:r w:rsidR="008126DD" w:rsidRPr="002D741C">
        <w:rPr>
          <w:color w:val="000000"/>
          <w:szCs w:val="22"/>
          <w:lang w:val="es-ES"/>
        </w:rPr>
        <w:t xml:space="preserve"> después de la administración de Glivec 400 mg y paracetamol 1000 mg. No se han estudiado dosis más altas de Glivec y paracetamol.</w:t>
      </w:r>
    </w:p>
    <w:p w14:paraId="060B6A51" w14:textId="77777777" w:rsidR="00782174" w:rsidRPr="002D741C" w:rsidRDefault="00782174" w:rsidP="00782174">
      <w:pPr>
        <w:pStyle w:val="EndnoteText"/>
        <w:widowControl w:val="0"/>
        <w:tabs>
          <w:tab w:val="clear" w:pos="567"/>
        </w:tabs>
        <w:rPr>
          <w:color w:val="000000"/>
          <w:szCs w:val="22"/>
          <w:lang w:val="es-ES"/>
        </w:rPr>
      </w:pPr>
    </w:p>
    <w:p w14:paraId="7EFA59CC" w14:textId="77777777" w:rsidR="00782174" w:rsidRPr="002D741C" w:rsidRDefault="00782174" w:rsidP="00782174">
      <w:pPr>
        <w:pStyle w:val="EndnoteText"/>
        <w:widowControl w:val="0"/>
        <w:tabs>
          <w:tab w:val="clear" w:pos="567"/>
        </w:tabs>
        <w:rPr>
          <w:color w:val="000000"/>
          <w:szCs w:val="22"/>
          <w:lang w:val="es-ES"/>
        </w:rPr>
      </w:pPr>
      <w:r w:rsidRPr="002D741C">
        <w:rPr>
          <w:color w:val="000000"/>
          <w:szCs w:val="22"/>
          <w:lang w:val="es-ES"/>
        </w:rPr>
        <w:t xml:space="preserve">Por lo tanto, deberá tenerse precaución cuando se use </w:t>
      </w:r>
      <w:r w:rsidR="008126DD" w:rsidRPr="002D741C">
        <w:rPr>
          <w:color w:val="000000"/>
          <w:szCs w:val="22"/>
          <w:lang w:val="es-ES"/>
        </w:rPr>
        <w:t xml:space="preserve">dosis altas de </w:t>
      </w:r>
      <w:r w:rsidRPr="002D741C">
        <w:rPr>
          <w:color w:val="000000"/>
          <w:szCs w:val="22"/>
          <w:lang w:val="es-ES"/>
        </w:rPr>
        <w:t>Glivec y paracetamol de forma concomitante.</w:t>
      </w:r>
    </w:p>
    <w:p w14:paraId="6553E609" w14:textId="77777777" w:rsidR="00782174" w:rsidRPr="002D741C" w:rsidRDefault="00782174" w:rsidP="00782174">
      <w:pPr>
        <w:pStyle w:val="EndnoteText"/>
        <w:widowControl w:val="0"/>
        <w:tabs>
          <w:tab w:val="clear" w:pos="567"/>
        </w:tabs>
        <w:rPr>
          <w:color w:val="000000"/>
          <w:szCs w:val="22"/>
          <w:lang w:val="es-ES"/>
        </w:rPr>
      </w:pPr>
    </w:p>
    <w:p w14:paraId="5EACDC15" w14:textId="77777777" w:rsidR="000A7AE0" w:rsidRPr="002D741C" w:rsidRDefault="00782174" w:rsidP="00782174">
      <w:pPr>
        <w:pStyle w:val="EndnoteText"/>
        <w:widowControl w:val="0"/>
        <w:tabs>
          <w:tab w:val="clear" w:pos="567"/>
        </w:tabs>
        <w:rPr>
          <w:color w:val="000000"/>
          <w:szCs w:val="22"/>
          <w:lang w:val="es-ES"/>
        </w:rPr>
      </w:pPr>
      <w:r w:rsidRPr="002D741C">
        <w:rPr>
          <w:color w:val="000000"/>
          <w:szCs w:val="22"/>
          <w:lang w:val="es-ES"/>
        </w:rPr>
        <w:t xml:space="preserve">En </w:t>
      </w:r>
      <w:r w:rsidR="00CB6BDC" w:rsidRPr="002D741C">
        <w:rPr>
          <w:color w:val="000000"/>
          <w:szCs w:val="22"/>
          <w:lang w:val="es-ES"/>
        </w:rPr>
        <w:t>pacientes tiroide</w:t>
      </w:r>
      <w:r w:rsidR="00D53F13" w:rsidRPr="002D741C">
        <w:rPr>
          <w:color w:val="000000"/>
          <w:szCs w:val="22"/>
          <w:lang w:val="es-ES"/>
        </w:rPr>
        <w:t>cto</w:t>
      </w:r>
      <w:r w:rsidR="00CB6BDC" w:rsidRPr="002D741C">
        <w:rPr>
          <w:color w:val="000000"/>
          <w:szCs w:val="22"/>
          <w:lang w:val="es-ES"/>
        </w:rPr>
        <w:t xml:space="preserve">mizados que reciben tratamiento con levotiroxina, puede disminuir la exposición plasmática de levotiroxina cuando se administra Glivec conjuntamente (ver sección 4.4). Por lo tanto, se recomienda precaución. Sin embargo, </w:t>
      </w:r>
      <w:r w:rsidR="00D53F13" w:rsidRPr="002D741C">
        <w:rPr>
          <w:color w:val="000000"/>
          <w:szCs w:val="22"/>
          <w:lang w:val="es-ES"/>
        </w:rPr>
        <w:t xml:space="preserve">en la actualidad </w:t>
      </w:r>
      <w:r w:rsidR="00CB6BDC" w:rsidRPr="002D741C">
        <w:rPr>
          <w:color w:val="000000"/>
          <w:szCs w:val="22"/>
          <w:lang w:val="es-ES"/>
        </w:rPr>
        <w:t>se desconoce el mecanismo de la interacción observada</w:t>
      </w:r>
      <w:r w:rsidR="000A7AE0" w:rsidRPr="002D741C">
        <w:rPr>
          <w:color w:val="000000"/>
          <w:szCs w:val="22"/>
          <w:lang w:val="es-ES"/>
        </w:rPr>
        <w:t>.</w:t>
      </w:r>
    </w:p>
    <w:p w14:paraId="2883F24A" w14:textId="77777777" w:rsidR="00CB6BDC" w:rsidRPr="002D741C" w:rsidRDefault="00CB6BDC" w:rsidP="000A7AE0">
      <w:pPr>
        <w:pStyle w:val="EndnoteText"/>
        <w:widowControl w:val="0"/>
        <w:tabs>
          <w:tab w:val="clear" w:pos="567"/>
        </w:tabs>
        <w:rPr>
          <w:color w:val="000000"/>
          <w:szCs w:val="22"/>
          <w:lang w:val="es-ES"/>
        </w:rPr>
      </w:pPr>
    </w:p>
    <w:p w14:paraId="68F2C07F" w14:textId="77777777" w:rsidR="00733A18" w:rsidRPr="008D0368" w:rsidRDefault="00733A18" w:rsidP="00733A18">
      <w:pPr>
        <w:pStyle w:val="EndnoteText"/>
        <w:widowControl w:val="0"/>
        <w:tabs>
          <w:tab w:val="clear" w:pos="567"/>
        </w:tabs>
        <w:rPr>
          <w:color w:val="000000"/>
          <w:szCs w:val="22"/>
          <w:lang w:val="es-ES"/>
        </w:rPr>
      </w:pPr>
      <w:r w:rsidRPr="002D741C">
        <w:rPr>
          <w:color w:val="000000"/>
          <w:szCs w:val="22"/>
          <w:lang w:val="es-ES"/>
        </w:rPr>
        <w:t>Existe experiencia clínica sobre la administración conjunta de Glivec con quimioterapia en pacientes con LLA Ph+ (ver sección 5.1), pero las interacciones fármaco-fármaco entre imatinib y regimenes de quimioterapia no están bien caracterizadas. Los acontecimientos adversos de imatinib, p.ej. hepatotoxicidad, mielosupresión u otros</w:t>
      </w:r>
      <w:r w:rsidRPr="008D0368">
        <w:rPr>
          <w:color w:val="000000"/>
          <w:szCs w:val="22"/>
          <w:lang w:val="es-ES"/>
        </w:rPr>
        <w:t>, pueden aumentar y se ha notificado que el uso concomitante con L-asparaginasa puede estar asociado con una hepatotoxicidad aumentada (ver sección 4.8). Por tanto, el uso de Glivec en combinación requiere una precaución especial.</w:t>
      </w:r>
    </w:p>
    <w:p w14:paraId="43CFAA25" w14:textId="77777777" w:rsidR="00733A18" w:rsidRPr="008D0368" w:rsidRDefault="00733A18" w:rsidP="001A2F33">
      <w:pPr>
        <w:pStyle w:val="EndnoteText"/>
        <w:widowControl w:val="0"/>
        <w:tabs>
          <w:tab w:val="clear" w:pos="567"/>
        </w:tabs>
        <w:rPr>
          <w:color w:val="000000"/>
          <w:szCs w:val="22"/>
          <w:lang w:val="es-ES"/>
        </w:rPr>
      </w:pPr>
    </w:p>
    <w:p w14:paraId="10BF1766" w14:textId="77777777" w:rsidR="002626B2" w:rsidRPr="008D0368" w:rsidRDefault="002626B2" w:rsidP="00C16E58">
      <w:pPr>
        <w:keepNext/>
        <w:widowControl w:val="0"/>
        <w:ind w:left="567" w:hanging="567"/>
        <w:rPr>
          <w:color w:val="000000"/>
          <w:sz w:val="22"/>
          <w:szCs w:val="22"/>
        </w:rPr>
      </w:pPr>
      <w:r w:rsidRPr="008D0368">
        <w:rPr>
          <w:b/>
          <w:color w:val="000000"/>
          <w:sz w:val="22"/>
          <w:szCs w:val="22"/>
        </w:rPr>
        <w:t>4.6</w:t>
      </w:r>
      <w:r w:rsidRPr="008D0368">
        <w:rPr>
          <w:b/>
          <w:color w:val="000000"/>
          <w:sz w:val="22"/>
          <w:szCs w:val="22"/>
        </w:rPr>
        <w:tab/>
      </w:r>
      <w:r w:rsidR="00331276" w:rsidRPr="008D0368">
        <w:rPr>
          <w:b/>
          <w:color w:val="000000"/>
          <w:sz w:val="22"/>
          <w:szCs w:val="22"/>
        </w:rPr>
        <w:t>Fertilidad, e</w:t>
      </w:r>
      <w:r w:rsidRPr="008D0368">
        <w:rPr>
          <w:b/>
          <w:color w:val="000000"/>
          <w:sz w:val="22"/>
          <w:szCs w:val="22"/>
        </w:rPr>
        <w:t>mbarazo y lactancia</w:t>
      </w:r>
    </w:p>
    <w:p w14:paraId="0DF16240" w14:textId="77777777" w:rsidR="002626B2" w:rsidRPr="008D0368" w:rsidRDefault="002626B2" w:rsidP="00C16E58">
      <w:pPr>
        <w:pStyle w:val="EndnoteText"/>
        <w:keepNext/>
        <w:widowControl w:val="0"/>
        <w:rPr>
          <w:color w:val="000000"/>
          <w:szCs w:val="22"/>
          <w:lang w:val="es-ES"/>
        </w:rPr>
      </w:pPr>
    </w:p>
    <w:p w14:paraId="0052DB97" w14:textId="77777777" w:rsidR="00630B0C" w:rsidRPr="008D0368" w:rsidRDefault="00630B0C" w:rsidP="00C16E58">
      <w:pPr>
        <w:pStyle w:val="EndnoteText"/>
        <w:keepNext/>
        <w:widowControl w:val="0"/>
        <w:rPr>
          <w:color w:val="000000"/>
          <w:szCs w:val="22"/>
          <w:u w:val="single"/>
          <w:lang w:val="es-ES"/>
        </w:rPr>
      </w:pPr>
      <w:r w:rsidRPr="008D0368">
        <w:rPr>
          <w:color w:val="000000"/>
          <w:szCs w:val="22"/>
          <w:u w:val="single"/>
          <w:lang w:val="es-ES"/>
        </w:rPr>
        <w:t>Mujeres en edad fértil</w:t>
      </w:r>
    </w:p>
    <w:p w14:paraId="05BED506" w14:textId="0C0DD72E" w:rsidR="00630B0C" w:rsidRPr="008D0368" w:rsidRDefault="00630B0C" w:rsidP="00630B0C">
      <w:pPr>
        <w:pStyle w:val="EndnoteText"/>
        <w:widowControl w:val="0"/>
        <w:rPr>
          <w:color w:val="000000"/>
          <w:szCs w:val="22"/>
          <w:lang w:val="es-ES"/>
        </w:rPr>
      </w:pPr>
      <w:r w:rsidRPr="008D0368">
        <w:rPr>
          <w:color w:val="000000"/>
          <w:szCs w:val="22"/>
          <w:lang w:val="es-ES"/>
        </w:rPr>
        <w:t xml:space="preserve">Las mujeres en edad fértil han de ser advertidas de que utilicen métodos anticonceptivos </w:t>
      </w:r>
      <w:r w:rsidR="00665FA8" w:rsidRPr="008D0368">
        <w:rPr>
          <w:color w:val="000000"/>
          <w:szCs w:val="22"/>
          <w:lang w:val="es-ES"/>
        </w:rPr>
        <w:t>eficaces</w:t>
      </w:r>
      <w:r w:rsidRPr="008D0368">
        <w:rPr>
          <w:color w:val="000000"/>
          <w:szCs w:val="22"/>
          <w:lang w:val="es-ES"/>
        </w:rPr>
        <w:t xml:space="preserve"> durante el tratamiento</w:t>
      </w:r>
      <w:r w:rsidR="00DF6C0D" w:rsidRPr="008D0368">
        <w:rPr>
          <w:color w:val="000000"/>
          <w:szCs w:val="22"/>
          <w:lang w:val="es-ES"/>
        </w:rPr>
        <w:t xml:space="preserve"> con Glivec y hasta</w:t>
      </w:r>
      <w:r w:rsidR="00012972" w:rsidRPr="008D0368">
        <w:rPr>
          <w:color w:val="000000"/>
          <w:szCs w:val="22"/>
          <w:lang w:val="es-ES"/>
        </w:rPr>
        <w:t xml:space="preserve"> </w:t>
      </w:r>
      <w:r w:rsidR="00DF6C0D" w:rsidRPr="008D0368">
        <w:rPr>
          <w:color w:val="000000"/>
          <w:szCs w:val="22"/>
          <w:lang w:val="es-ES"/>
        </w:rPr>
        <w:t>15</w:t>
      </w:r>
      <w:r w:rsidR="00DF6C0D" w:rsidRPr="008D0368">
        <w:rPr>
          <w:lang w:val="es-ES"/>
        </w:rPr>
        <w:t> días después de interrumpir el tratamiento</w:t>
      </w:r>
      <w:r w:rsidRPr="008D0368">
        <w:rPr>
          <w:color w:val="000000"/>
          <w:szCs w:val="22"/>
          <w:lang w:val="es-ES"/>
        </w:rPr>
        <w:t>.</w:t>
      </w:r>
    </w:p>
    <w:p w14:paraId="04FEFE42" w14:textId="77777777" w:rsidR="00630B0C" w:rsidRPr="008D0368" w:rsidRDefault="00630B0C" w:rsidP="001A2F33">
      <w:pPr>
        <w:pStyle w:val="EndnoteText"/>
        <w:widowControl w:val="0"/>
        <w:rPr>
          <w:color w:val="000000"/>
          <w:szCs w:val="22"/>
          <w:u w:val="single"/>
          <w:lang w:val="es-ES"/>
        </w:rPr>
      </w:pPr>
    </w:p>
    <w:p w14:paraId="456CD8DE" w14:textId="77777777" w:rsidR="002626B2" w:rsidRPr="008D0368" w:rsidRDefault="002626B2" w:rsidP="00C16E58">
      <w:pPr>
        <w:pStyle w:val="EndnoteText"/>
        <w:keepNext/>
        <w:widowControl w:val="0"/>
        <w:rPr>
          <w:color w:val="000000"/>
          <w:szCs w:val="22"/>
          <w:lang w:val="es-ES"/>
        </w:rPr>
      </w:pPr>
      <w:r w:rsidRPr="008D0368">
        <w:rPr>
          <w:color w:val="000000"/>
          <w:szCs w:val="22"/>
          <w:u w:val="single"/>
          <w:lang w:val="es-ES"/>
        </w:rPr>
        <w:t>Embarazo</w:t>
      </w:r>
    </w:p>
    <w:p w14:paraId="7BC89AB9" w14:textId="5E4FA7FF" w:rsidR="006D3553" w:rsidRPr="002D741C" w:rsidRDefault="00037C9F" w:rsidP="00F00735">
      <w:pPr>
        <w:pStyle w:val="EndnoteText"/>
        <w:widowControl w:val="0"/>
        <w:rPr>
          <w:color w:val="000000"/>
          <w:szCs w:val="22"/>
          <w:lang w:val="es-ES"/>
        </w:rPr>
      </w:pPr>
      <w:r w:rsidRPr="008D0368">
        <w:rPr>
          <w:color w:val="000000"/>
          <w:szCs w:val="22"/>
          <w:lang w:val="es-ES"/>
        </w:rPr>
        <w:t>E</w:t>
      </w:r>
      <w:r w:rsidR="002626B2" w:rsidRPr="008D0368">
        <w:rPr>
          <w:color w:val="000000"/>
          <w:szCs w:val="22"/>
          <w:lang w:val="es-ES"/>
        </w:rPr>
        <w:t xml:space="preserve">xisten datos </w:t>
      </w:r>
      <w:r w:rsidRPr="008D0368">
        <w:rPr>
          <w:color w:val="000000"/>
          <w:szCs w:val="22"/>
          <w:lang w:val="es-ES"/>
        </w:rPr>
        <w:t xml:space="preserve">limitados </w:t>
      </w:r>
      <w:r w:rsidR="002626B2" w:rsidRPr="008D0368">
        <w:rPr>
          <w:color w:val="000000"/>
          <w:szCs w:val="22"/>
          <w:lang w:val="es-ES"/>
        </w:rPr>
        <w:t xml:space="preserve">sobre la utilización de imatinib en mujeres embarazadas. </w:t>
      </w:r>
      <w:r w:rsidR="00AA63B0" w:rsidRPr="008D0368">
        <w:rPr>
          <w:color w:val="000000"/>
          <w:szCs w:val="22"/>
          <w:lang w:val="es-ES"/>
        </w:rPr>
        <w:t>D</w:t>
      </w:r>
      <w:r w:rsidR="002C4575" w:rsidRPr="008D0368">
        <w:rPr>
          <w:color w:val="000000"/>
          <w:szCs w:val="22"/>
          <w:lang w:val="es-ES"/>
        </w:rPr>
        <w:t>urante la</w:t>
      </w:r>
      <w:r w:rsidR="00EE799D" w:rsidRPr="008D0368">
        <w:rPr>
          <w:color w:val="000000"/>
          <w:szCs w:val="22"/>
          <w:lang w:val="es-ES"/>
        </w:rPr>
        <w:t xml:space="preserve"> fase pos</w:t>
      </w:r>
      <w:r w:rsidR="00AA63B0" w:rsidRPr="008D0368">
        <w:rPr>
          <w:color w:val="000000"/>
          <w:szCs w:val="22"/>
          <w:lang w:val="es-ES"/>
        </w:rPr>
        <w:t xml:space="preserve"> comercialización</w:t>
      </w:r>
      <w:r w:rsidR="002C4575" w:rsidRPr="008D0368">
        <w:rPr>
          <w:color w:val="000000"/>
          <w:szCs w:val="22"/>
          <w:lang w:val="es-ES"/>
        </w:rPr>
        <w:t>,</w:t>
      </w:r>
      <w:r w:rsidR="00AA63B0" w:rsidRPr="008D0368">
        <w:rPr>
          <w:color w:val="000000"/>
          <w:szCs w:val="22"/>
          <w:lang w:val="es-ES"/>
        </w:rPr>
        <w:t xml:space="preserve"> </w:t>
      </w:r>
      <w:r w:rsidR="008C4B63" w:rsidRPr="008D0368">
        <w:rPr>
          <w:color w:val="000000"/>
          <w:szCs w:val="22"/>
          <w:lang w:val="es-ES"/>
        </w:rPr>
        <w:t>ha habido notificaciones de</w:t>
      </w:r>
      <w:r w:rsidR="00E31CEF" w:rsidRPr="008D0368">
        <w:rPr>
          <w:color w:val="000000"/>
          <w:szCs w:val="22"/>
          <w:lang w:val="es-ES"/>
        </w:rPr>
        <w:t xml:space="preserve"> ab</w:t>
      </w:r>
      <w:r w:rsidR="00F10F82" w:rsidRPr="008D0368">
        <w:rPr>
          <w:color w:val="000000"/>
          <w:szCs w:val="22"/>
          <w:lang w:val="es-ES"/>
        </w:rPr>
        <w:t xml:space="preserve">ortos </w:t>
      </w:r>
      <w:r w:rsidR="00EE799D" w:rsidRPr="008D0368">
        <w:rPr>
          <w:color w:val="000000"/>
          <w:szCs w:val="22"/>
          <w:lang w:val="es-ES"/>
        </w:rPr>
        <w:t>espontaneos</w:t>
      </w:r>
      <w:r w:rsidR="00F10F82" w:rsidRPr="008D0368">
        <w:rPr>
          <w:color w:val="000000"/>
          <w:szCs w:val="22"/>
          <w:lang w:val="es-ES"/>
        </w:rPr>
        <w:t>y anormalidades</w:t>
      </w:r>
      <w:r w:rsidR="009402E5" w:rsidRPr="008D0368">
        <w:rPr>
          <w:color w:val="000000"/>
          <w:szCs w:val="22"/>
          <w:lang w:val="es-ES"/>
        </w:rPr>
        <w:t xml:space="preserve"> congénitas</w:t>
      </w:r>
      <w:r w:rsidR="00F10F82" w:rsidRPr="008D0368">
        <w:rPr>
          <w:color w:val="000000"/>
          <w:szCs w:val="22"/>
          <w:lang w:val="es-ES"/>
        </w:rPr>
        <w:t xml:space="preserve"> </w:t>
      </w:r>
      <w:r w:rsidR="00AA63B0" w:rsidRPr="008D0368">
        <w:rPr>
          <w:color w:val="000000"/>
          <w:szCs w:val="22"/>
          <w:lang w:val="es-ES"/>
        </w:rPr>
        <w:t>en</w:t>
      </w:r>
      <w:r w:rsidR="00F10F82" w:rsidRPr="008D0368">
        <w:rPr>
          <w:color w:val="000000"/>
          <w:szCs w:val="22"/>
          <w:lang w:val="es-ES"/>
        </w:rPr>
        <w:t xml:space="preserve"> mujeres que habían tomado Glivec. </w:t>
      </w:r>
      <w:r w:rsidR="002626B2" w:rsidRPr="008D0368">
        <w:rPr>
          <w:color w:val="000000"/>
          <w:szCs w:val="22"/>
          <w:lang w:val="es-ES"/>
        </w:rPr>
        <w:t>Sin embargo</w:t>
      </w:r>
      <w:r w:rsidR="002626B2" w:rsidRPr="002D741C">
        <w:rPr>
          <w:color w:val="000000"/>
          <w:szCs w:val="22"/>
          <w:lang w:val="es-ES"/>
        </w:rPr>
        <w:t xml:space="preserve">, los estudios </w:t>
      </w:r>
      <w:r w:rsidR="006D3553" w:rsidRPr="002D741C">
        <w:rPr>
          <w:color w:val="000000"/>
          <w:szCs w:val="22"/>
          <w:lang w:val="es-ES"/>
        </w:rPr>
        <w:t xml:space="preserve">realizados </w:t>
      </w:r>
      <w:r w:rsidR="002626B2" w:rsidRPr="002D741C">
        <w:rPr>
          <w:color w:val="000000"/>
          <w:szCs w:val="22"/>
          <w:lang w:val="es-ES"/>
        </w:rPr>
        <w:t xml:space="preserve">en animales han mostrado toxicidad </w:t>
      </w:r>
      <w:r w:rsidR="006D3553" w:rsidRPr="002D741C">
        <w:rPr>
          <w:color w:val="000000"/>
          <w:szCs w:val="22"/>
          <w:lang w:val="es-ES"/>
        </w:rPr>
        <w:t xml:space="preserve">para la </w:t>
      </w:r>
      <w:r w:rsidR="002626B2" w:rsidRPr="002D741C">
        <w:rPr>
          <w:color w:val="000000"/>
          <w:szCs w:val="22"/>
          <w:lang w:val="es-ES"/>
        </w:rPr>
        <w:t>reproduc</w:t>
      </w:r>
      <w:r w:rsidR="006D3553" w:rsidRPr="002D741C">
        <w:rPr>
          <w:color w:val="000000"/>
          <w:szCs w:val="22"/>
          <w:lang w:val="es-ES"/>
        </w:rPr>
        <w:t>ción</w:t>
      </w:r>
      <w:r w:rsidR="002626B2" w:rsidRPr="002D741C">
        <w:rPr>
          <w:color w:val="000000"/>
          <w:szCs w:val="22"/>
          <w:lang w:val="es-ES"/>
        </w:rPr>
        <w:t xml:space="preserve"> (</w:t>
      </w:r>
      <w:r w:rsidR="00F00735" w:rsidRPr="002D741C">
        <w:rPr>
          <w:color w:val="000000"/>
          <w:szCs w:val="22"/>
          <w:lang w:val="es-ES"/>
        </w:rPr>
        <w:t>ver sección</w:t>
      </w:r>
      <w:r w:rsidR="00DF6C0D" w:rsidRPr="002D741C">
        <w:rPr>
          <w:lang w:val="es-ES"/>
        </w:rPr>
        <w:t> </w:t>
      </w:r>
      <w:r w:rsidR="002626B2" w:rsidRPr="002D741C">
        <w:rPr>
          <w:color w:val="000000"/>
          <w:szCs w:val="22"/>
          <w:lang w:val="es-ES"/>
        </w:rPr>
        <w:t xml:space="preserve">5.3) y se desconoce el riesgo para el feto. </w:t>
      </w:r>
      <w:r w:rsidR="006D3553" w:rsidRPr="002D741C">
        <w:rPr>
          <w:color w:val="000000"/>
          <w:szCs w:val="22"/>
          <w:lang w:val="es-ES"/>
        </w:rPr>
        <w:t xml:space="preserve">No debe utilizarse </w:t>
      </w:r>
      <w:r w:rsidR="002626B2" w:rsidRPr="002D741C">
        <w:rPr>
          <w:color w:val="000000"/>
          <w:szCs w:val="22"/>
          <w:lang w:val="es-ES"/>
        </w:rPr>
        <w:t xml:space="preserve">Glivec durante el embarazo </w:t>
      </w:r>
      <w:r w:rsidR="006D3553" w:rsidRPr="002D741C">
        <w:rPr>
          <w:color w:val="000000"/>
          <w:szCs w:val="22"/>
          <w:lang w:val="es-ES"/>
        </w:rPr>
        <w:t xml:space="preserve">a no ser que </w:t>
      </w:r>
      <w:r w:rsidR="002626B2" w:rsidRPr="002D741C">
        <w:rPr>
          <w:color w:val="000000"/>
          <w:szCs w:val="22"/>
          <w:lang w:val="es-ES"/>
        </w:rPr>
        <w:t>fuese claramente necesario. Si se utiliza durante el embarazo, la paciente ha de ser informada del riesgo potencial para el feto.</w:t>
      </w:r>
    </w:p>
    <w:p w14:paraId="59E4A1BE" w14:textId="77777777" w:rsidR="006D3553" w:rsidRPr="002D741C" w:rsidRDefault="006D3553" w:rsidP="00F00735">
      <w:pPr>
        <w:pStyle w:val="EndnoteText"/>
        <w:widowControl w:val="0"/>
        <w:rPr>
          <w:color w:val="000000"/>
          <w:szCs w:val="22"/>
          <w:lang w:val="es-ES"/>
        </w:rPr>
      </w:pPr>
    </w:p>
    <w:p w14:paraId="331DDDA6" w14:textId="77777777" w:rsidR="002626B2" w:rsidRPr="002D741C" w:rsidRDefault="002626B2" w:rsidP="00C16E58">
      <w:pPr>
        <w:pStyle w:val="EndnoteText"/>
        <w:keepNext/>
        <w:widowControl w:val="0"/>
        <w:rPr>
          <w:color w:val="000000"/>
          <w:szCs w:val="22"/>
          <w:lang w:val="es-ES"/>
        </w:rPr>
      </w:pPr>
      <w:r w:rsidRPr="002D741C">
        <w:rPr>
          <w:color w:val="000000"/>
          <w:szCs w:val="22"/>
          <w:u w:val="single"/>
          <w:lang w:val="es-ES"/>
        </w:rPr>
        <w:t>Lactancia</w:t>
      </w:r>
    </w:p>
    <w:p w14:paraId="1BCD0B2A" w14:textId="30ECD328" w:rsidR="002626B2" w:rsidRPr="002D741C" w:rsidRDefault="003D354A" w:rsidP="004B64AC">
      <w:pPr>
        <w:pStyle w:val="EndnoteText"/>
        <w:widowControl w:val="0"/>
        <w:rPr>
          <w:lang w:val="es-ES"/>
        </w:rPr>
      </w:pPr>
      <w:r w:rsidRPr="002D741C">
        <w:rPr>
          <w:color w:val="000000"/>
          <w:szCs w:val="22"/>
          <w:lang w:val="es-ES"/>
        </w:rPr>
        <w:t>Existe información limitada sobre la distribución de imatinib en la leche humana. Estudios en dos mujeres en periodo de lactancia revelaron que t</w:t>
      </w:r>
      <w:r w:rsidR="00154C6C" w:rsidRPr="002D741C">
        <w:rPr>
          <w:color w:val="000000"/>
          <w:szCs w:val="22"/>
          <w:lang w:val="es-ES"/>
        </w:rPr>
        <w:t xml:space="preserve">anto imatinib como su metabolito activo </w:t>
      </w:r>
      <w:r w:rsidR="00CB12BA" w:rsidRPr="002D741C">
        <w:rPr>
          <w:color w:val="000000"/>
          <w:szCs w:val="22"/>
          <w:lang w:val="es-ES"/>
        </w:rPr>
        <w:t>pueden</w:t>
      </w:r>
      <w:r w:rsidR="00154C6C" w:rsidRPr="002D741C">
        <w:rPr>
          <w:color w:val="000000"/>
          <w:szCs w:val="22"/>
          <w:lang w:val="es-ES"/>
        </w:rPr>
        <w:t xml:space="preserve"> excreta</w:t>
      </w:r>
      <w:r w:rsidR="00CB12BA" w:rsidRPr="002D741C">
        <w:rPr>
          <w:color w:val="000000"/>
          <w:szCs w:val="22"/>
          <w:lang w:val="es-ES"/>
        </w:rPr>
        <w:t>rse</w:t>
      </w:r>
      <w:r w:rsidR="00154C6C" w:rsidRPr="002D741C">
        <w:rPr>
          <w:color w:val="000000"/>
          <w:szCs w:val="22"/>
          <w:lang w:val="es-ES"/>
        </w:rPr>
        <w:t xml:space="preserve"> en la leche humana. </w:t>
      </w:r>
      <w:r w:rsidR="00B43CB3" w:rsidRPr="002D741C">
        <w:rPr>
          <w:color w:val="000000"/>
          <w:szCs w:val="22"/>
          <w:lang w:val="es-ES"/>
        </w:rPr>
        <w:t>L</w:t>
      </w:r>
      <w:r w:rsidR="00154C6C" w:rsidRPr="002D741C">
        <w:rPr>
          <w:color w:val="000000"/>
          <w:szCs w:val="22"/>
          <w:lang w:val="es-ES"/>
        </w:rPr>
        <w:t>a proporción leche-plasma</w:t>
      </w:r>
      <w:r w:rsidRPr="002D741C">
        <w:rPr>
          <w:color w:val="000000"/>
          <w:szCs w:val="22"/>
          <w:lang w:val="es-ES"/>
        </w:rPr>
        <w:t>,</w:t>
      </w:r>
      <w:r w:rsidR="00154C6C" w:rsidRPr="002D741C">
        <w:rPr>
          <w:color w:val="000000"/>
          <w:szCs w:val="22"/>
          <w:lang w:val="es-ES"/>
        </w:rPr>
        <w:t xml:space="preserve"> </w:t>
      </w:r>
      <w:r w:rsidRPr="002D741C">
        <w:rPr>
          <w:color w:val="000000"/>
          <w:szCs w:val="22"/>
          <w:lang w:val="es-ES"/>
        </w:rPr>
        <w:t xml:space="preserve">estudiada en una única paciente, </w:t>
      </w:r>
      <w:r w:rsidR="00B43CB3" w:rsidRPr="002D741C">
        <w:rPr>
          <w:color w:val="000000"/>
          <w:szCs w:val="22"/>
          <w:lang w:val="es-ES"/>
        </w:rPr>
        <w:t xml:space="preserve">se ha establecido que </w:t>
      </w:r>
      <w:r w:rsidR="00CB12BA" w:rsidRPr="002D741C">
        <w:rPr>
          <w:color w:val="000000"/>
          <w:szCs w:val="22"/>
          <w:lang w:val="es-ES"/>
        </w:rPr>
        <w:t>es</w:t>
      </w:r>
      <w:r w:rsidR="00154C6C" w:rsidRPr="002D741C">
        <w:rPr>
          <w:color w:val="000000"/>
          <w:szCs w:val="22"/>
          <w:lang w:val="es-ES"/>
        </w:rPr>
        <w:t xml:space="preserve"> de 0,5</w:t>
      </w:r>
      <w:r w:rsidR="00F409C5" w:rsidRPr="002D741C">
        <w:rPr>
          <w:color w:val="000000"/>
          <w:szCs w:val="22"/>
          <w:lang w:val="es-ES"/>
        </w:rPr>
        <w:t xml:space="preserve"> </w:t>
      </w:r>
      <w:r w:rsidR="00154C6C" w:rsidRPr="002D741C">
        <w:rPr>
          <w:color w:val="000000"/>
          <w:szCs w:val="22"/>
          <w:lang w:val="es-ES"/>
        </w:rPr>
        <w:t>para imatinib y 0,9</w:t>
      </w:r>
      <w:r w:rsidR="00F409C5" w:rsidRPr="002D741C">
        <w:rPr>
          <w:color w:val="000000"/>
          <w:szCs w:val="22"/>
          <w:lang w:val="es-ES"/>
        </w:rPr>
        <w:t xml:space="preserve"> </w:t>
      </w:r>
      <w:r w:rsidR="00154C6C" w:rsidRPr="002D741C">
        <w:rPr>
          <w:color w:val="000000"/>
          <w:szCs w:val="22"/>
          <w:lang w:val="es-ES"/>
        </w:rPr>
        <w:t>para el metabolito, sugiriendo una mayor distribución del metabolito en la leche. Considerando la concentración combinada de imatinib y el metabolito y la cantidad máxima diaria de toma de leche por parte de los lactantes, la exposición total se espera que sea baja (</w:t>
      </w:r>
      <w:r w:rsidR="00154C6C" w:rsidRPr="002D741C">
        <w:rPr>
          <w:lang w:val="es-ES"/>
        </w:rPr>
        <w:t xml:space="preserve">~10% de </w:t>
      </w:r>
      <w:r w:rsidR="004B64AC" w:rsidRPr="002D741C">
        <w:rPr>
          <w:lang w:val="es-ES"/>
        </w:rPr>
        <w:t>una</w:t>
      </w:r>
      <w:r w:rsidR="00154C6C" w:rsidRPr="002D741C">
        <w:rPr>
          <w:lang w:val="es-ES"/>
        </w:rPr>
        <w:t xml:space="preserve"> dosis terapéutica). Sin embargo, puesto que se desconocen los efectos de una exposición a dosis baja</w:t>
      </w:r>
      <w:r w:rsidR="00CB12BA" w:rsidRPr="002D741C">
        <w:rPr>
          <w:lang w:val="es-ES"/>
        </w:rPr>
        <w:t>s</w:t>
      </w:r>
      <w:r w:rsidR="00154C6C" w:rsidRPr="002D741C">
        <w:rPr>
          <w:lang w:val="es-ES"/>
        </w:rPr>
        <w:t xml:space="preserve"> de imatinib por parte del lactante, las mujeres no debe</w:t>
      </w:r>
      <w:r w:rsidR="00AB6C5D" w:rsidRPr="002D741C">
        <w:rPr>
          <w:lang w:val="es-ES"/>
        </w:rPr>
        <w:t>n</w:t>
      </w:r>
      <w:r w:rsidR="00154C6C" w:rsidRPr="002D741C">
        <w:rPr>
          <w:lang w:val="es-ES"/>
        </w:rPr>
        <w:t xml:space="preserve"> dar </w:t>
      </w:r>
      <w:r w:rsidR="006478B2" w:rsidRPr="002D741C">
        <w:rPr>
          <w:lang w:val="es-ES"/>
        </w:rPr>
        <w:t xml:space="preserve">el pecho </w:t>
      </w:r>
      <w:r w:rsidR="00154C6C" w:rsidRPr="002D741C">
        <w:rPr>
          <w:lang w:val="es-ES"/>
        </w:rPr>
        <w:t>a sus hijos</w:t>
      </w:r>
      <w:r w:rsidR="00DF6C0D">
        <w:rPr>
          <w:lang w:val="es-ES"/>
        </w:rPr>
        <w:t xml:space="preserve"> durante el tratamiento con Glivec </w:t>
      </w:r>
      <w:r w:rsidR="00DF6C0D">
        <w:rPr>
          <w:color w:val="000000"/>
          <w:szCs w:val="22"/>
          <w:lang w:val="es-ES"/>
        </w:rPr>
        <w:t>ni hasta 15</w:t>
      </w:r>
      <w:r w:rsidR="00DF6C0D" w:rsidRPr="002D741C">
        <w:rPr>
          <w:lang w:val="es-ES"/>
        </w:rPr>
        <w:t> </w:t>
      </w:r>
      <w:r w:rsidR="00DF6C0D">
        <w:rPr>
          <w:lang w:val="es-ES"/>
        </w:rPr>
        <w:t>días después de interrumpirlo</w:t>
      </w:r>
      <w:r w:rsidR="00154C6C" w:rsidRPr="002D741C">
        <w:rPr>
          <w:lang w:val="es-ES"/>
        </w:rPr>
        <w:t>.</w:t>
      </w:r>
    </w:p>
    <w:p w14:paraId="24320647" w14:textId="77777777" w:rsidR="006D3553" w:rsidRPr="002D741C" w:rsidRDefault="006D3553" w:rsidP="004B64AC">
      <w:pPr>
        <w:pStyle w:val="EndnoteText"/>
        <w:widowControl w:val="0"/>
        <w:rPr>
          <w:lang w:val="es-ES"/>
        </w:rPr>
      </w:pPr>
    </w:p>
    <w:p w14:paraId="2E27983A" w14:textId="77777777" w:rsidR="006D3553" w:rsidRPr="002D741C" w:rsidRDefault="006D3553" w:rsidP="00C16E58">
      <w:pPr>
        <w:pStyle w:val="EndnoteText"/>
        <w:keepNext/>
        <w:widowControl w:val="0"/>
        <w:rPr>
          <w:u w:val="single"/>
          <w:lang w:val="es-ES"/>
        </w:rPr>
      </w:pPr>
      <w:r w:rsidRPr="002D741C">
        <w:rPr>
          <w:u w:val="single"/>
          <w:lang w:val="es-ES"/>
        </w:rPr>
        <w:t>Fertilidad</w:t>
      </w:r>
    </w:p>
    <w:p w14:paraId="4007B905" w14:textId="77777777" w:rsidR="006D3553" w:rsidRPr="002D741C" w:rsidRDefault="004A00DB" w:rsidP="006D3553">
      <w:pPr>
        <w:pStyle w:val="EndnoteText"/>
        <w:widowControl w:val="0"/>
        <w:rPr>
          <w:color w:val="000000"/>
          <w:szCs w:val="22"/>
          <w:lang w:val="es-ES"/>
        </w:rPr>
      </w:pPr>
      <w:r w:rsidRPr="002D741C">
        <w:rPr>
          <w:lang w:val="es-ES"/>
        </w:rPr>
        <w:t>En estudios preclínicos no se vio afectada la fertilidad de las ratas machos y hembras</w:t>
      </w:r>
      <w:r w:rsidR="00DF6C0D">
        <w:rPr>
          <w:lang w:val="es-ES"/>
        </w:rPr>
        <w:t>, aunque sí se observaron efectos en los parámetros reproductivos</w:t>
      </w:r>
      <w:r w:rsidRPr="002D741C">
        <w:rPr>
          <w:lang w:val="es-ES"/>
        </w:rPr>
        <w:t xml:space="preserve"> (ver sección 5.3). </w:t>
      </w:r>
      <w:r w:rsidR="006D3553" w:rsidRPr="002D741C">
        <w:rPr>
          <w:lang w:val="es-ES"/>
        </w:rPr>
        <w:t xml:space="preserve">No se han realizado estudios en pacientes tratados con Glivec y su efecto sobre la fertilidad y la </w:t>
      </w:r>
      <w:r w:rsidRPr="002D741C">
        <w:rPr>
          <w:lang w:val="es-ES"/>
        </w:rPr>
        <w:t>game</w:t>
      </w:r>
      <w:r w:rsidR="006D3553" w:rsidRPr="002D741C">
        <w:rPr>
          <w:lang w:val="es-ES"/>
        </w:rPr>
        <w:t>togénesis. Los pacientes preocupados sobre su fertilidad durante el tratamiento con Glivec deberán consultar con su médico.</w:t>
      </w:r>
    </w:p>
    <w:p w14:paraId="0351C764" w14:textId="77777777" w:rsidR="002626B2" w:rsidRPr="002D741C" w:rsidRDefault="002626B2" w:rsidP="001A2F33">
      <w:pPr>
        <w:pStyle w:val="EndnoteText"/>
        <w:widowControl w:val="0"/>
        <w:rPr>
          <w:color w:val="000000"/>
          <w:szCs w:val="22"/>
          <w:lang w:val="es-ES"/>
        </w:rPr>
      </w:pPr>
    </w:p>
    <w:p w14:paraId="735B013F" w14:textId="77777777" w:rsidR="002626B2" w:rsidRPr="002D741C" w:rsidRDefault="002626B2" w:rsidP="00C16E58">
      <w:pPr>
        <w:keepNext/>
        <w:widowControl w:val="0"/>
        <w:ind w:left="567" w:hanging="567"/>
        <w:rPr>
          <w:color w:val="000000"/>
          <w:sz w:val="22"/>
          <w:szCs w:val="22"/>
        </w:rPr>
      </w:pPr>
      <w:r w:rsidRPr="002D741C">
        <w:rPr>
          <w:b/>
          <w:color w:val="000000"/>
          <w:sz w:val="22"/>
          <w:szCs w:val="22"/>
        </w:rPr>
        <w:t>4.7</w:t>
      </w:r>
      <w:r w:rsidRPr="002D741C">
        <w:rPr>
          <w:b/>
          <w:color w:val="000000"/>
          <w:sz w:val="22"/>
          <w:szCs w:val="22"/>
        </w:rPr>
        <w:tab/>
        <w:t>Efectos sobre la capacidad para conducir y utilizar máquinas</w:t>
      </w:r>
    </w:p>
    <w:p w14:paraId="054BB764" w14:textId="77777777" w:rsidR="002626B2" w:rsidRPr="002D741C" w:rsidRDefault="002626B2" w:rsidP="00C16E58">
      <w:pPr>
        <w:pStyle w:val="EndnoteText"/>
        <w:keepNext/>
        <w:widowControl w:val="0"/>
        <w:tabs>
          <w:tab w:val="clear" w:pos="567"/>
        </w:tabs>
        <w:rPr>
          <w:color w:val="000000"/>
          <w:szCs w:val="22"/>
          <w:lang w:val="es-ES"/>
        </w:rPr>
      </w:pPr>
    </w:p>
    <w:p w14:paraId="44C7384A" w14:textId="77777777" w:rsidR="002626B2" w:rsidRPr="002D741C" w:rsidRDefault="004A00DB" w:rsidP="001A2F33">
      <w:pPr>
        <w:pStyle w:val="EndnoteText"/>
        <w:widowControl w:val="0"/>
        <w:tabs>
          <w:tab w:val="clear" w:pos="567"/>
        </w:tabs>
        <w:rPr>
          <w:color w:val="000000"/>
          <w:szCs w:val="22"/>
          <w:lang w:val="es-ES"/>
        </w:rPr>
      </w:pPr>
      <w:r w:rsidRPr="002D741C">
        <w:rPr>
          <w:color w:val="000000"/>
          <w:szCs w:val="22"/>
          <w:lang w:val="es-ES"/>
        </w:rPr>
        <w:t>L</w:t>
      </w:r>
      <w:r w:rsidR="002626B2" w:rsidRPr="002D741C">
        <w:rPr>
          <w:color w:val="000000"/>
          <w:szCs w:val="22"/>
          <w:lang w:val="es-ES"/>
        </w:rPr>
        <w:t>os pacientes deben ser advertidos de que durante el tratamiento con imatinib pueden tener reacciones adversas tales como mareos</w:t>
      </w:r>
      <w:r w:rsidR="006D3553" w:rsidRPr="002D741C">
        <w:rPr>
          <w:color w:val="000000"/>
          <w:szCs w:val="22"/>
          <w:lang w:val="es-ES"/>
        </w:rPr>
        <w:t>,</w:t>
      </w:r>
      <w:r w:rsidR="002626B2" w:rsidRPr="002D741C">
        <w:rPr>
          <w:color w:val="000000"/>
          <w:szCs w:val="22"/>
          <w:lang w:val="es-ES"/>
        </w:rPr>
        <w:t xml:space="preserve"> visión borrosa</w:t>
      </w:r>
      <w:r w:rsidR="006D3553" w:rsidRPr="002D741C">
        <w:rPr>
          <w:color w:val="000000"/>
          <w:szCs w:val="22"/>
          <w:lang w:val="es-ES"/>
        </w:rPr>
        <w:t xml:space="preserve"> o somnolencia</w:t>
      </w:r>
      <w:r w:rsidR="002626B2" w:rsidRPr="002D741C">
        <w:rPr>
          <w:color w:val="000000"/>
          <w:szCs w:val="22"/>
          <w:lang w:val="es-ES"/>
        </w:rPr>
        <w:t>. Por lo tanto, debe recomendarse precaución cuando se conduzca un coche o se utilice maquinaria.</w:t>
      </w:r>
    </w:p>
    <w:p w14:paraId="29C75B3B" w14:textId="77777777" w:rsidR="002626B2" w:rsidRPr="002D741C" w:rsidRDefault="002626B2" w:rsidP="001A2F33">
      <w:pPr>
        <w:pStyle w:val="EndnoteText"/>
        <w:widowControl w:val="0"/>
        <w:tabs>
          <w:tab w:val="clear" w:pos="567"/>
        </w:tabs>
        <w:rPr>
          <w:color w:val="000000"/>
          <w:szCs w:val="22"/>
          <w:lang w:val="es-ES"/>
        </w:rPr>
      </w:pPr>
    </w:p>
    <w:p w14:paraId="6003B2EF" w14:textId="77777777" w:rsidR="002626B2" w:rsidRPr="002D741C" w:rsidRDefault="002626B2" w:rsidP="00C16E58">
      <w:pPr>
        <w:keepNext/>
        <w:widowControl w:val="0"/>
        <w:ind w:left="567" w:hanging="567"/>
        <w:rPr>
          <w:b/>
          <w:color w:val="000000"/>
          <w:sz w:val="22"/>
          <w:szCs w:val="22"/>
        </w:rPr>
      </w:pPr>
      <w:r w:rsidRPr="002D741C">
        <w:rPr>
          <w:b/>
          <w:color w:val="000000"/>
          <w:sz w:val="22"/>
          <w:szCs w:val="22"/>
        </w:rPr>
        <w:t>4.8</w:t>
      </w:r>
      <w:r w:rsidRPr="002D741C">
        <w:rPr>
          <w:b/>
          <w:color w:val="000000"/>
          <w:sz w:val="22"/>
          <w:szCs w:val="22"/>
        </w:rPr>
        <w:tab/>
        <w:t>Reacciones adversas</w:t>
      </w:r>
    </w:p>
    <w:p w14:paraId="08F46620" w14:textId="77777777" w:rsidR="002626B2" w:rsidRPr="002D741C" w:rsidRDefault="002626B2" w:rsidP="00C16E58">
      <w:pPr>
        <w:pStyle w:val="EndnoteText"/>
        <w:keepNext/>
        <w:widowControl w:val="0"/>
        <w:tabs>
          <w:tab w:val="clear" w:pos="567"/>
        </w:tabs>
        <w:rPr>
          <w:color w:val="000000"/>
          <w:szCs w:val="22"/>
          <w:lang w:val="es-ES"/>
        </w:rPr>
      </w:pPr>
    </w:p>
    <w:p w14:paraId="22FE914C" w14:textId="77777777" w:rsidR="002626B2" w:rsidRPr="002D741C" w:rsidRDefault="002626B2" w:rsidP="00733A18">
      <w:pPr>
        <w:pStyle w:val="EndnoteText"/>
        <w:widowControl w:val="0"/>
        <w:tabs>
          <w:tab w:val="clear" w:pos="567"/>
        </w:tabs>
        <w:rPr>
          <w:color w:val="000000"/>
          <w:szCs w:val="22"/>
          <w:lang w:val="es-ES"/>
        </w:rPr>
      </w:pPr>
      <w:r w:rsidRPr="002D741C">
        <w:rPr>
          <w:color w:val="000000"/>
          <w:szCs w:val="22"/>
          <w:lang w:val="es-ES"/>
        </w:rPr>
        <w:t xml:space="preserve">Los pacientes en fases avanzadas de </w:t>
      </w:r>
      <w:r w:rsidR="00733A18" w:rsidRPr="002D741C">
        <w:rPr>
          <w:color w:val="000000"/>
          <w:szCs w:val="22"/>
          <w:lang w:val="es-ES"/>
        </w:rPr>
        <w:t>procesos malignos</w:t>
      </w:r>
      <w:r w:rsidRPr="002D741C">
        <w:rPr>
          <w:color w:val="000000"/>
          <w:szCs w:val="22"/>
          <w:lang w:val="es-ES"/>
        </w:rPr>
        <w:t xml:space="preserve"> pueden tener múltiple sintomatología clínica que puede hacer difícil la atribución de causalidad de l</w:t>
      </w:r>
      <w:r w:rsidR="00B11299" w:rsidRPr="002D741C">
        <w:rPr>
          <w:color w:val="000000"/>
          <w:szCs w:val="22"/>
          <w:lang w:val="es-ES"/>
        </w:rPr>
        <w:t>a</w:t>
      </w:r>
      <w:r w:rsidRPr="002D741C">
        <w:rPr>
          <w:color w:val="000000"/>
          <w:szCs w:val="22"/>
          <w:lang w:val="es-ES"/>
        </w:rPr>
        <w:t xml:space="preserve">s </w:t>
      </w:r>
      <w:r w:rsidR="00B11299" w:rsidRPr="002D741C">
        <w:rPr>
          <w:color w:val="000000"/>
          <w:szCs w:val="22"/>
          <w:lang w:val="es-ES"/>
        </w:rPr>
        <w:t xml:space="preserve">reacciones </w:t>
      </w:r>
      <w:r w:rsidRPr="002D741C">
        <w:rPr>
          <w:color w:val="000000"/>
          <w:szCs w:val="22"/>
          <w:lang w:val="es-ES"/>
        </w:rPr>
        <w:t>advers</w:t>
      </w:r>
      <w:r w:rsidR="00B11299" w:rsidRPr="002D741C">
        <w:rPr>
          <w:color w:val="000000"/>
          <w:szCs w:val="22"/>
          <w:lang w:val="es-ES"/>
        </w:rPr>
        <w:t>a</w:t>
      </w:r>
      <w:r w:rsidRPr="002D741C">
        <w:rPr>
          <w:color w:val="000000"/>
          <w:szCs w:val="22"/>
          <w:lang w:val="es-ES"/>
        </w:rPr>
        <w:t xml:space="preserve">s, dada la variedad de </w:t>
      </w:r>
      <w:r w:rsidRPr="002D741C">
        <w:rPr>
          <w:color w:val="000000"/>
          <w:szCs w:val="22"/>
          <w:lang w:val="es-ES"/>
        </w:rPr>
        <w:lastRenderedPageBreak/>
        <w:t>síntomas relacionados con la enfermedad subyacente, su progresión y la administración conjunta de numeros</w:t>
      </w:r>
      <w:r w:rsidR="00B11299" w:rsidRPr="002D741C">
        <w:rPr>
          <w:color w:val="000000"/>
          <w:szCs w:val="22"/>
          <w:lang w:val="es-ES"/>
        </w:rPr>
        <w:t>o</w:t>
      </w:r>
      <w:r w:rsidRPr="002D741C">
        <w:rPr>
          <w:color w:val="000000"/>
          <w:szCs w:val="22"/>
          <w:lang w:val="es-ES"/>
        </w:rPr>
        <w:t>s</w:t>
      </w:r>
      <w:r w:rsidR="00B11299" w:rsidRPr="002D741C">
        <w:rPr>
          <w:color w:val="000000"/>
          <w:szCs w:val="22"/>
          <w:lang w:val="es-ES"/>
        </w:rPr>
        <w:t xml:space="preserve"> medicamentos</w:t>
      </w:r>
      <w:r w:rsidRPr="002D741C">
        <w:rPr>
          <w:color w:val="000000"/>
          <w:szCs w:val="22"/>
          <w:lang w:val="es-ES"/>
        </w:rPr>
        <w:t>.</w:t>
      </w:r>
    </w:p>
    <w:p w14:paraId="1B18E8E1" w14:textId="77777777" w:rsidR="002626B2" w:rsidRPr="002D741C" w:rsidRDefault="002626B2" w:rsidP="001A2F33">
      <w:pPr>
        <w:pStyle w:val="EndnoteText"/>
        <w:widowControl w:val="0"/>
        <w:tabs>
          <w:tab w:val="clear" w:pos="567"/>
        </w:tabs>
        <w:rPr>
          <w:color w:val="000000"/>
          <w:szCs w:val="22"/>
          <w:lang w:val="es-ES"/>
        </w:rPr>
      </w:pPr>
    </w:p>
    <w:p w14:paraId="25AAB22B" w14:textId="77777777" w:rsidR="002626B2" w:rsidRPr="002D741C" w:rsidRDefault="002626B2" w:rsidP="003960F6">
      <w:pPr>
        <w:pStyle w:val="EndnoteText"/>
        <w:widowControl w:val="0"/>
        <w:tabs>
          <w:tab w:val="clear" w:pos="567"/>
        </w:tabs>
        <w:rPr>
          <w:color w:val="000000"/>
          <w:szCs w:val="22"/>
          <w:lang w:val="es-ES"/>
        </w:rPr>
      </w:pPr>
      <w:bookmarkStart w:id="1" w:name="OLE_LINK2"/>
      <w:r w:rsidRPr="002D741C">
        <w:rPr>
          <w:color w:val="000000"/>
          <w:szCs w:val="22"/>
          <w:lang w:val="es-ES"/>
        </w:rPr>
        <w:t xml:space="preserve">En los ensayos clínicos </w:t>
      </w:r>
      <w:r w:rsidR="00B11299" w:rsidRPr="002D741C">
        <w:rPr>
          <w:color w:val="000000"/>
          <w:szCs w:val="22"/>
          <w:lang w:val="es-ES"/>
        </w:rPr>
        <w:t xml:space="preserve">en LMC, </w:t>
      </w:r>
      <w:r w:rsidRPr="002D741C">
        <w:rPr>
          <w:color w:val="000000"/>
          <w:szCs w:val="22"/>
          <w:lang w:val="es-ES"/>
        </w:rPr>
        <w:t xml:space="preserve">la interrupción del tratamiento debido a las reacciones adversas relacionadas con el fármaco se observó en el </w:t>
      </w:r>
      <w:r w:rsidR="00B11299" w:rsidRPr="002D741C">
        <w:rPr>
          <w:color w:val="000000"/>
          <w:szCs w:val="22"/>
          <w:lang w:val="es-ES"/>
        </w:rPr>
        <w:t>2</w:t>
      </w:r>
      <w:r w:rsidR="00724AE4" w:rsidRPr="002D741C">
        <w:rPr>
          <w:color w:val="000000"/>
          <w:szCs w:val="22"/>
          <w:lang w:val="es-ES"/>
        </w:rPr>
        <w:t>,4</w:t>
      </w:r>
      <w:r w:rsidRPr="002D741C">
        <w:rPr>
          <w:color w:val="000000"/>
          <w:szCs w:val="22"/>
          <w:lang w:val="es-ES"/>
        </w:rPr>
        <w:t xml:space="preserve">% de los pacientes </w:t>
      </w:r>
      <w:r w:rsidR="00B11299" w:rsidRPr="002D741C">
        <w:rPr>
          <w:color w:val="000000"/>
          <w:szCs w:val="22"/>
          <w:lang w:val="es-ES"/>
        </w:rPr>
        <w:t xml:space="preserve">de diagnóstico reciente, </w:t>
      </w:r>
      <w:r w:rsidR="00E5743D" w:rsidRPr="002D741C">
        <w:rPr>
          <w:color w:val="000000"/>
          <w:szCs w:val="22"/>
          <w:lang w:val="es-ES"/>
        </w:rPr>
        <w:t xml:space="preserve">el </w:t>
      </w:r>
      <w:r w:rsidR="00B11299" w:rsidRPr="002D741C">
        <w:rPr>
          <w:color w:val="000000"/>
          <w:szCs w:val="22"/>
          <w:lang w:val="es-ES"/>
        </w:rPr>
        <w:t xml:space="preserve">4% de los pacientes </w:t>
      </w:r>
      <w:r w:rsidRPr="002D741C">
        <w:rPr>
          <w:color w:val="000000"/>
          <w:szCs w:val="22"/>
          <w:lang w:val="es-ES"/>
        </w:rPr>
        <w:t>en fase crónica</w:t>
      </w:r>
      <w:r w:rsidR="00E5743D" w:rsidRPr="002D741C">
        <w:rPr>
          <w:color w:val="000000"/>
          <w:szCs w:val="22"/>
          <w:lang w:val="es-ES"/>
        </w:rPr>
        <w:t xml:space="preserve"> tardía </w:t>
      </w:r>
      <w:r w:rsidR="003960F6" w:rsidRPr="002D741C">
        <w:rPr>
          <w:color w:val="000000"/>
          <w:szCs w:val="22"/>
          <w:lang w:val="es-ES"/>
        </w:rPr>
        <w:t>tras el</w:t>
      </w:r>
      <w:r w:rsidR="00E5743D" w:rsidRPr="002D741C">
        <w:rPr>
          <w:color w:val="000000"/>
          <w:szCs w:val="22"/>
          <w:lang w:val="es-ES"/>
        </w:rPr>
        <w:t xml:space="preserve"> fallo </w:t>
      </w:r>
      <w:r w:rsidR="003960F6" w:rsidRPr="002D741C">
        <w:rPr>
          <w:color w:val="000000"/>
          <w:szCs w:val="22"/>
          <w:lang w:val="es-ES"/>
        </w:rPr>
        <w:t>d</w:t>
      </w:r>
      <w:r w:rsidR="00E5743D" w:rsidRPr="002D741C">
        <w:rPr>
          <w:color w:val="000000"/>
          <w:szCs w:val="22"/>
          <w:lang w:val="es-ES"/>
        </w:rPr>
        <w:t>el tratamiento con interferón</w:t>
      </w:r>
      <w:r w:rsidRPr="002D741C">
        <w:rPr>
          <w:color w:val="000000"/>
          <w:szCs w:val="22"/>
          <w:lang w:val="es-ES"/>
        </w:rPr>
        <w:t xml:space="preserve">, el </w:t>
      </w:r>
      <w:r w:rsidR="00E5743D" w:rsidRPr="002D741C">
        <w:rPr>
          <w:color w:val="000000"/>
          <w:szCs w:val="22"/>
          <w:lang w:val="es-ES"/>
        </w:rPr>
        <w:t>4</w:t>
      </w:r>
      <w:r w:rsidRPr="002D741C">
        <w:rPr>
          <w:color w:val="000000"/>
          <w:szCs w:val="22"/>
          <w:lang w:val="es-ES"/>
        </w:rPr>
        <w:t xml:space="preserve">% de los pacientes en fase acelerada </w:t>
      </w:r>
      <w:r w:rsidR="003960F6" w:rsidRPr="002D741C">
        <w:rPr>
          <w:color w:val="000000"/>
          <w:szCs w:val="22"/>
          <w:lang w:val="es-ES"/>
        </w:rPr>
        <w:t>tras el fallo d</w:t>
      </w:r>
      <w:r w:rsidR="00E5743D" w:rsidRPr="002D741C">
        <w:rPr>
          <w:color w:val="000000"/>
          <w:szCs w:val="22"/>
          <w:lang w:val="es-ES"/>
        </w:rPr>
        <w:t xml:space="preserve">el tratamiento con interferón </w:t>
      </w:r>
      <w:r w:rsidRPr="002D741C">
        <w:rPr>
          <w:color w:val="000000"/>
          <w:szCs w:val="22"/>
          <w:lang w:val="es-ES"/>
        </w:rPr>
        <w:t>y el 5% de los pacientes en crisis blástica</w:t>
      </w:r>
      <w:r w:rsidR="00E5743D" w:rsidRPr="002D741C">
        <w:rPr>
          <w:color w:val="000000"/>
          <w:szCs w:val="22"/>
          <w:lang w:val="es-ES"/>
        </w:rPr>
        <w:t xml:space="preserve"> </w:t>
      </w:r>
      <w:r w:rsidR="003960F6" w:rsidRPr="002D741C">
        <w:rPr>
          <w:color w:val="000000"/>
          <w:szCs w:val="22"/>
          <w:lang w:val="es-ES"/>
        </w:rPr>
        <w:t>tras el fallo d</w:t>
      </w:r>
      <w:r w:rsidR="00E5743D" w:rsidRPr="002D741C">
        <w:rPr>
          <w:color w:val="000000"/>
          <w:szCs w:val="22"/>
          <w:lang w:val="es-ES"/>
        </w:rPr>
        <w:t>el tratamiento con interferón</w:t>
      </w:r>
      <w:r w:rsidRPr="002D741C">
        <w:rPr>
          <w:color w:val="000000"/>
          <w:szCs w:val="22"/>
          <w:lang w:val="es-ES"/>
        </w:rPr>
        <w:t>. En G</w:t>
      </w:r>
      <w:smartTag w:uri="urn:schemas-microsoft-com:office:smarttags" w:element="PersonName">
        <w:r w:rsidRPr="002D741C">
          <w:rPr>
            <w:color w:val="000000"/>
            <w:szCs w:val="22"/>
            <w:lang w:val="es-ES"/>
          </w:rPr>
          <w:t>IS</w:t>
        </w:r>
      </w:smartTag>
      <w:r w:rsidRPr="002D741C">
        <w:rPr>
          <w:color w:val="000000"/>
          <w:szCs w:val="22"/>
          <w:lang w:val="es-ES"/>
        </w:rPr>
        <w:t xml:space="preserve">T el </w:t>
      </w:r>
      <w:r w:rsidR="00E5743D" w:rsidRPr="002D741C">
        <w:rPr>
          <w:color w:val="000000"/>
          <w:szCs w:val="22"/>
          <w:lang w:val="es-ES"/>
        </w:rPr>
        <w:t>4</w:t>
      </w:r>
      <w:r w:rsidRPr="002D741C">
        <w:rPr>
          <w:color w:val="000000"/>
          <w:szCs w:val="22"/>
          <w:lang w:val="es-ES"/>
        </w:rPr>
        <w:t xml:space="preserve">% de los pacientes interrumpió la medicación del estudio debido a </w:t>
      </w:r>
      <w:r w:rsidR="00E5743D" w:rsidRPr="002D741C">
        <w:rPr>
          <w:color w:val="000000"/>
          <w:szCs w:val="22"/>
          <w:lang w:val="es-ES"/>
        </w:rPr>
        <w:t xml:space="preserve">reacciones </w:t>
      </w:r>
      <w:r w:rsidRPr="002D741C">
        <w:rPr>
          <w:color w:val="000000"/>
          <w:szCs w:val="22"/>
          <w:lang w:val="es-ES"/>
        </w:rPr>
        <w:t>advers</w:t>
      </w:r>
      <w:r w:rsidR="00E5743D" w:rsidRPr="002D741C">
        <w:rPr>
          <w:color w:val="000000"/>
          <w:szCs w:val="22"/>
          <w:lang w:val="es-ES"/>
        </w:rPr>
        <w:t>a</w:t>
      </w:r>
      <w:r w:rsidRPr="002D741C">
        <w:rPr>
          <w:color w:val="000000"/>
          <w:szCs w:val="22"/>
          <w:lang w:val="es-ES"/>
        </w:rPr>
        <w:t>s del fármaco.</w:t>
      </w:r>
    </w:p>
    <w:bookmarkEnd w:id="1"/>
    <w:p w14:paraId="2081D877" w14:textId="77777777" w:rsidR="00F11D96" w:rsidRPr="002D741C" w:rsidRDefault="00F11D96" w:rsidP="001A2F33">
      <w:pPr>
        <w:pStyle w:val="EndnoteText"/>
        <w:widowControl w:val="0"/>
        <w:tabs>
          <w:tab w:val="clear" w:pos="567"/>
        </w:tabs>
        <w:rPr>
          <w:color w:val="000000"/>
          <w:szCs w:val="22"/>
          <w:lang w:val="es-ES"/>
        </w:rPr>
      </w:pPr>
    </w:p>
    <w:p w14:paraId="305A1397" w14:textId="77777777" w:rsidR="002626B2" w:rsidRPr="002D741C" w:rsidRDefault="002626B2" w:rsidP="00733A18">
      <w:pPr>
        <w:pStyle w:val="EndnoteText"/>
        <w:widowControl w:val="0"/>
        <w:tabs>
          <w:tab w:val="clear" w:pos="567"/>
        </w:tabs>
        <w:rPr>
          <w:color w:val="000000"/>
          <w:szCs w:val="22"/>
          <w:lang w:val="es-ES"/>
        </w:rPr>
      </w:pPr>
      <w:r w:rsidRPr="002D741C">
        <w:rPr>
          <w:color w:val="000000"/>
          <w:szCs w:val="22"/>
          <w:lang w:val="es-ES"/>
        </w:rPr>
        <w:t xml:space="preserve">Las reacciones adversas en </w:t>
      </w:r>
      <w:r w:rsidR="00733A18" w:rsidRPr="002D741C">
        <w:rPr>
          <w:color w:val="000000"/>
          <w:szCs w:val="22"/>
          <w:lang w:val="es-ES"/>
        </w:rPr>
        <w:t>todas las indicaciones</w:t>
      </w:r>
      <w:r w:rsidRPr="002D741C">
        <w:rPr>
          <w:color w:val="000000"/>
          <w:szCs w:val="22"/>
          <w:lang w:val="es-ES"/>
        </w:rPr>
        <w:t xml:space="preserve"> fueron similares con dos excepciones. Se observó más mielosupresión en pacientes con LMC que con G</w:t>
      </w:r>
      <w:smartTag w:uri="urn:schemas-microsoft-com:office:smarttags" w:element="PersonName">
        <w:r w:rsidRPr="002D741C">
          <w:rPr>
            <w:color w:val="000000"/>
            <w:szCs w:val="22"/>
            <w:lang w:val="es-ES"/>
          </w:rPr>
          <w:t>IS</w:t>
        </w:r>
      </w:smartTag>
      <w:r w:rsidRPr="002D741C">
        <w:rPr>
          <w:color w:val="000000"/>
          <w:szCs w:val="22"/>
          <w:lang w:val="es-ES"/>
        </w:rPr>
        <w:t xml:space="preserve">T, lo que probablemente sea debido a la enfermedad subyacente. </w:t>
      </w:r>
      <w:r w:rsidR="00B0341F" w:rsidRPr="002D741C">
        <w:rPr>
          <w:color w:val="000000"/>
          <w:szCs w:val="22"/>
          <w:lang w:val="es-ES"/>
        </w:rPr>
        <w:t>En el estudio en pacientes con G</w:t>
      </w:r>
      <w:smartTag w:uri="urn:schemas-microsoft-com:office:smarttags" w:element="PersonName">
        <w:r w:rsidR="00B0341F" w:rsidRPr="002D741C">
          <w:rPr>
            <w:color w:val="000000"/>
            <w:szCs w:val="22"/>
            <w:lang w:val="es-ES"/>
          </w:rPr>
          <w:t>IS</w:t>
        </w:r>
      </w:smartTag>
      <w:r w:rsidR="00B0341F" w:rsidRPr="002D741C">
        <w:rPr>
          <w:color w:val="000000"/>
          <w:szCs w:val="22"/>
          <w:lang w:val="es-ES"/>
        </w:rPr>
        <w:t>T no resecable y/o metastásico, 7 (5%)</w:t>
      </w:r>
      <w:r w:rsidRPr="002D741C">
        <w:rPr>
          <w:color w:val="000000"/>
          <w:szCs w:val="22"/>
          <w:lang w:val="es-ES"/>
        </w:rPr>
        <w:t xml:space="preserve"> pacientes presentaron Criterios de Toxicidad Comunes (</w:t>
      </w:r>
      <w:smartTag w:uri="urn:schemas-microsoft-com:office:smarttags" w:element="stockticker">
        <w:r w:rsidRPr="002D741C">
          <w:rPr>
            <w:color w:val="000000"/>
            <w:szCs w:val="22"/>
            <w:lang w:val="es-ES"/>
          </w:rPr>
          <w:t>CTC</w:t>
        </w:r>
      </w:smartTag>
      <w:r w:rsidRPr="002D741C">
        <w:rPr>
          <w:color w:val="000000"/>
          <w:szCs w:val="22"/>
          <w:lang w:val="es-ES"/>
        </w:rPr>
        <w:t>) de grado</w:t>
      </w:r>
      <w:r w:rsidR="00DF063A" w:rsidRPr="002D741C">
        <w:rPr>
          <w:color w:val="000000"/>
          <w:szCs w:val="22"/>
          <w:lang w:val="es-ES"/>
        </w:rPr>
        <w:t> </w:t>
      </w:r>
      <w:r w:rsidRPr="002D741C">
        <w:rPr>
          <w:color w:val="000000"/>
          <w:szCs w:val="22"/>
          <w:lang w:val="es-ES"/>
        </w:rPr>
        <w:t>3 / 4: hemorragias gastrointestinales (3</w:t>
      </w:r>
      <w:r w:rsidR="00DF063A" w:rsidRPr="002D741C">
        <w:rPr>
          <w:color w:val="000000"/>
          <w:szCs w:val="22"/>
          <w:lang w:val="es-ES"/>
        </w:rPr>
        <w:t> </w:t>
      </w:r>
      <w:r w:rsidRPr="002D741C">
        <w:rPr>
          <w:color w:val="000000"/>
          <w:szCs w:val="22"/>
          <w:lang w:val="es-ES"/>
        </w:rPr>
        <w:t>pacientes), hemorragias intra-tumorales (3</w:t>
      </w:r>
      <w:r w:rsidR="00DF063A" w:rsidRPr="002D741C">
        <w:rPr>
          <w:color w:val="000000"/>
          <w:szCs w:val="22"/>
          <w:lang w:val="es-ES"/>
        </w:rPr>
        <w:t> </w:t>
      </w:r>
      <w:r w:rsidRPr="002D741C">
        <w:rPr>
          <w:color w:val="000000"/>
          <w:szCs w:val="22"/>
          <w:lang w:val="es-ES"/>
        </w:rPr>
        <w:t>pacientes) o ambas (1</w:t>
      </w:r>
      <w:r w:rsidR="00DF063A" w:rsidRPr="002D741C">
        <w:rPr>
          <w:color w:val="000000"/>
          <w:szCs w:val="22"/>
          <w:lang w:val="es-ES"/>
        </w:rPr>
        <w:t> </w:t>
      </w:r>
      <w:r w:rsidRPr="002D741C">
        <w:rPr>
          <w:color w:val="000000"/>
          <w:szCs w:val="22"/>
          <w:lang w:val="es-ES"/>
        </w:rPr>
        <w:t>paciente). La localización del tumor gastrointestinal podría haber sido la causa de las hemorragias gastrointestinales (</w:t>
      </w:r>
      <w:r w:rsidR="00F00735" w:rsidRPr="002D741C">
        <w:rPr>
          <w:color w:val="000000"/>
          <w:szCs w:val="22"/>
          <w:lang w:val="es-ES"/>
        </w:rPr>
        <w:t xml:space="preserve">ver sección </w:t>
      </w:r>
      <w:r w:rsidRPr="002D741C">
        <w:rPr>
          <w:color w:val="000000"/>
          <w:szCs w:val="22"/>
          <w:lang w:val="es-ES"/>
        </w:rPr>
        <w:t>4.4). Las hemorragias gastrointestinales y tumorales podrían ser graves y en ocasiones fatales.</w:t>
      </w:r>
      <w:r w:rsidR="00777D3B" w:rsidRPr="002D741C">
        <w:rPr>
          <w:color w:val="000000"/>
          <w:szCs w:val="22"/>
          <w:lang w:val="es-ES"/>
        </w:rPr>
        <w:t xml:space="preserve"> </w:t>
      </w:r>
      <w:r w:rsidRPr="002D741C">
        <w:rPr>
          <w:color w:val="000000"/>
          <w:szCs w:val="22"/>
          <w:lang w:val="es-ES"/>
        </w:rPr>
        <w:t>Las reacciones adversas relacionadas con el tratamiento notificadas más comúnmente (</w:t>
      </w:r>
      <w:r w:rsidRPr="002D741C">
        <w:rPr>
          <w:color w:val="000000"/>
          <w:szCs w:val="22"/>
          <w:lang w:val="es-ES"/>
        </w:rPr>
        <w:sym w:font="Symbol" w:char="F0B3"/>
      </w:r>
      <w:r w:rsidRPr="002D741C">
        <w:rPr>
          <w:color w:val="000000"/>
          <w:szCs w:val="22"/>
          <w:lang w:val="es-ES"/>
        </w:rPr>
        <w:t> 10%) en ambas patologías fueron leves: náuseas, vómitos, diarrea, dolor abdominal, fatiga, mialgia, calambres musculares y erupción. Un hallazgo común en todos los estudios fueron los edemas superficiales, siendo descritos principalmente como edemas periorbitales o de los miembros inferiores. Sin embargo, estos edemas raramente fueron severos y pudieron ser tratados con diuréticos, otras medidas de soporte o reduciendo la dosis de Glivec.</w:t>
      </w:r>
    </w:p>
    <w:p w14:paraId="0AAE50D7" w14:textId="77777777" w:rsidR="002626B2" w:rsidRPr="002D741C" w:rsidRDefault="002626B2" w:rsidP="001A2F33">
      <w:pPr>
        <w:pStyle w:val="EndnoteText"/>
        <w:widowControl w:val="0"/>
        <w:tabs>
          <w:tab w:val="clear" w:pos="567"/>
        </w:tabs>
        <w:rPr>
          <w:color w:val="000000"/>
          <w:szCs w:val="22"/>
          <w:lang w:val="es-ES"/>
        </w:rPr>
      </w:pPr>
    </w:p>
    <w:p w14:paraId="5C5FF86F" w14:textId="77777777" w:rsidR="002D1BC4" w:rsidRPr="002D741C" w:rsidRDefault="00733A18" w:rsidP="00733A18">
      <w:pPr>
        <w:pStyle w:val="EndnoteText"/>
        <w:widowControl w:val="0"/>
        <w:tabs>
          <w:tab w:val="clear" w:pos="567"/>
        </w:tabs>
        <w:rPr>
          <w:color w:val="000000"/>
          <w:szCs w:val="22"/>
          <w:lang w:val="es-ES"/>
        </w:rPr>
      </w:pPr>
      <w:r w:rsidRPr="002D741C">
        <w:rPr>
          <w:color w:val="000000"/>
          <w:szCs w:val="22"/>
          <w:lang w:val="es-ES"/>
        </w:rPr>
        <w:t>Cuando se combinó imatinib con quimioterapia a altas dosis en pacientes con LLA Ph+, se observó toxicidad hepática transitoria en forma de elevación de las transaminasas e hiperbilirrubinemia.</w:t>
      </w:r>
      <w:r w:rsidR="00FA64EA" w:rsidRPr="002D741C">
        <w:rPr>
          <w:color w:val="000000"/>
          <w:szCs w:val="22"/>
          <w:lang w:val="es-ES"/>
        </w:rPr>
        <w:t xml:space="preserve"> </w:t>
      </w:r>
      <w:r w:rsidR="00BF6C20" w:rsidRPr="002D741C">
        <w:rPr>
          <w:color w:val="000000"/>
          <w:szCs w:val="22"/>
          <w:lang w:val="es-ES"/>
        </w:rPr>
        <w:t>Teniendo en cuenta</w:t>
      </w:r>
      <w:r w:rsidR="00FA64EA" w:rsidRPr="002D741C">
        <w:rPr>
          <w:color w:val="000000"/>
          <w:szCs w:val="22"/>
          <w:lang w:val="es-ES"/>
        </w:rPr>
        <w:t xml:space="preserve"> la limita</w:t>
      </w:r>
      <w:r w:rsidR="00BF6C20" w:rsidRPr="002D741C">
        <w:rPr>
          <w:color w:val="000000"/>
          <w:szCs w:val="22"/>
          <w:lang w:val="es-ES"/>
        </w:rPr>
        <w:t>da</w:t>
      </w:r>
      <w:r w:rsidR="00FA64EA" w:rsidRPr="002D741C">
        <w:rPr>
          <w:color w:val="000000"/>
          <w:szCs w:val="22"/>
          <w:lang w:val="es-ES"/>
        </w:rPr>
        <w:t xml:space="preserve"> base de datos de seguridad</w:t>
      </w:r>
      <w:r w:rsidR="00BF6C20" w:rsidRPr="002D741C">
        <w:rPr>
          <w:color w:val="000000"/>
          <w:szCs w:val="22"/>
          <w:lang w:val="es-ES"/>
        </w:rPr>
        <w:t>, l</w:t>
      </w:r>
      <w:r w:rsidR="009D1C8F" w:rsidRPr="002D741C">
        <w:rPr>
          <w:color w:val="000000"/>
          <w:szCs w:val="22"/>
          <w:lang w:val="es-ES"/>
        </w:rPr>
        <w:t>a</w:t>
      </w:r>
      <w:r w:rsidR="00BF6C20" w:rsidRPr="002D741C">
        <w:rPr>
          <w:color w:val="000000"/>
          <w:szCs w:val="22"/>
          <w:lang w:val="es-ES"/>
        </w:rPr>
        <w:t xml:space="preserve">s </w:t>
      </w:r>
      <w:r w:rsidR="009D1C8F" w:rsidRPr="002D741C">
        <w:rPr>
          <w:color w:val="000000"/>
          <w:szCs w:val="22"/>
          <w:lang w:val="es-ES"/>
        </w:rPr>
        <w:t xml:space="preserve">reacciones </w:t>
      </w:r>
      <w:r w:rsidR="00BF6C20" w:rsidRPr="002D741C">
        <w:rPr>
          <w:color w:val="000000"/>
          <w:szCs w:val="22"/>
          <w:lang w:val="es-ES"/>
        </w:rPr>
        <w:t>advers</w:t>
      </w:r>
      <w:r w:rsidR="009D1C8F" w:rsidRPr="002D741C">
        <w:rPr>
          <w:color w:val="000000"/>
          <w:szCs w:val="22"/>
          <w:lang w:val="es-ES"/>
        </w:rPr>
        <w:t>a</w:t>
      </w:r>
      <w:r w:rsidR="00BF6C20" w:rsidRPr="002D741C">
        <w:rPr>
          <w:color w:val="000000"/>
          <w:szCs w:val="22"/>
          <w:lang w:val="es-ES"/>
        </w:rPr>
        <w:t xml:space="preserve">s </w:t>
      </w:r>
      <w:r w:rsidR="009D1C8F" w:rsidRPr="002D741C">
        <w:rPr>
          <w:color w:val="000000"/>
          <w:szCs w:val="22"/>
          <w:lang w:val="es-ES"/>
        </w:rPr>
        <w:t>notificada</w:t>
      </w:r>
      <w:r w:rsidR="00BF6C20" w:rsidRPr="002D741C">
        <w:rPr>
          <w:color w:val="000000"/>
          <w:szCs w:val="22"/>
          <w:lang w:val="es-ES"/>
        </w:rPr>
        <w:t xml:space="preserve">s hasta ahora en niños son consistentes con el perfil de seguridad conocido en pacientes adultos con LLA Ph+. </w:t>
      </w:r>
      <w:r w:rsidR="009A10C5" w:rsidRPr="002D741C">
        <w:rPr>
          <w:color w:val="000000"/>
          <w:szCs w:val="22"/>
          <w:lang w:val="es-ES"/>
        </w:rPr>
        <w:t>La base de datos para niños con LLA Ph+ es muy limitada aunque no se han identificado nuevos problemas de seguridad.</w:t>
      </w:r>
    </w:p>
    <w:p w14:paraId="68CA9A3B" w14:textId="77777777" w:rsidR="00733A18" w:rsidRPr="002D741C" w:rsidRDefault="00733A18" w:rsidP="001A2F33">
      <w:pPr>
        <w:pStyle w:val="EndnoteText"/>
        <w:widowControl w:val="0"/>
        <w:tabs>
          <w:tab w:val="clear" w:pos="567"/>
        </w:tabs>
        <w:rPr>
          <w:color w:val="000000"/>
          <w:szCs w:val="22"/>
          <w:lang w:val="es-ES"/>
        </w:rPr>
      </w:pPr>
    </w:p>
    <w:p w14:paraId="3F8BB674" w14:textId="77777777" w:rsidR="002626B2" w:rsidRPr="002D741C" w:rsidRDefault="002626B2" w:rsidP="00DC080F">
      <w:pPr>
        <w:pStyle w:val="EndnoteText"/>
        <w:widowControl w:val="0"/>
        <w:tabs>
          <w:tab w:val="clear" w:pos="567"/>
        </w:tabs>
        <w:rPr>
          <w:color w:val="000000"/>
          <w:szCs w:val="22"/>
          <w:lang w:val="es-ES"/>
        </w:rPr>
      </w:pPr>
      <w:r w:rsidRPr="002D741C">
        <w:rPr>
          <w:color w:val="000000"/>
          <w:szCs w:val="22"/>
          <w:lang w:val="es-ES"/>
        </w:rPr>
        <w:t>Divers</w:t>
      </w:r>
      <w:r w:rsidR="00E5743D" w:rsidRPr="002D741C">
        <w:rPr>
          <w:color w:val="000000"/>
          <w:szCs w:val="22"/>
          <w:lang w:val="es-ES"/>
        </w:rPr>
        <w:t>a</w:t>
      </w:r>
      <w:r w:rsidRPr="002D741C">
        <w:rPr>
          <w:color w:val="000000"/>
          <w:szCs w:val="22"/>
          <w:lang w:val="es-ES"/>
        </w:rPr>
        <w:t xml:space="preserve">s </w:t>
      </w:r>
      <w:r w:rsidR="00E5743D" w:rsidRPr="002D741C">
        <w:rPr>
          <w:color w:val="000000"/>
          <w:szCs w:val="22"/>
          <w:lang w:val="es-ES"/>
        </w:rPr>
        <w:t xml:space="preserve">reacciones </w:t>
      </w:r>
      <w:r w:rsidRPr="002D741C">
        <w:rPr>
          <w:color w:val="000000"/>
          <w:szCs w:val="22"/>
          <w:lang w:val="es-ES"/>
        </w:rPr>
        <w:t>advers</w:t>
      </w:r>
      <w:r w:rsidR="00E5743D" w:rsidRPr="002D741C">
        <w:rPr>
          <w:color w:val="000000"/>
          <w:szCs w:val="22"/>
          <w:lang w:val="es-ES"/>
        </w:rPr>
        <w:t>a</w:t>
      </w:r>
      <w:r w:rsidRPr="002D741C">
        <w:rPr>
          <w:color w:val="000000"/>
          <w:szCs w:val="22"/>
          <w:lang w:val="es-ES"/>
        </w:rPr>
        <w:t xml:space="preserve">s tales como efusión pleural, ascitis, edema pulmonar y aumento rápido de peso con o sin edema superficial pueden ser descritos de forma conjunta como </w:t>
      </w:r>
      <w:r w:rsidR="00777D3B" w:rsidRPr="002D741C">
        <w:rPr>
          <w:color w:val="000000"/>
          <w:szCs w:val="22"/>
          <w:lang w:val="es-ES"/>
        </w:rPr>
        <w:t>«</w:t>
      </w:r>
      <w:r w:rsidRPr="002D741C">
        <w:rPr>
          <w:color w:val="000000"/>
          <w:szCs w:val="22"/>
          <w:lang w:val="es-ES"/>
        </w:rPr>
        <w:t>retención de líquidos</w:t>
      </w:r>
      <w:r w:rsidR="00777D3B" w:rsidRPr="002D741C">
        <w:rPr>
          <w:color w:val="000000"/>
          <w:szCs w:val="22"/>
          <w:lang w:val="es-ES"/>
        </w:rPr>
        <w:t>»</w:t>
      </w:r>
      <w:r w:rsidRPr="002D741C">
        <w:rPr>
          <w:color w:val="000000"/>
          <w:szCs w:val="22"/>
          <w:lang w:val="es-ES"/>
        </w:rPr>
        <w:t>. Est</w:t>
      </w:r>
      <w:r w:rsidR="00E5743D" w:rsidRPr="002D741C">
        <w:rPr>
          <w:color w:val="000000"/>
          <w:szCs w:val="22"/>
          <w:lang w:val="es-ES"/>
        </w:rPr>
        <w:t>a</w:t>
      </w:r>
      <w:r w:rsidRPr="002D741C">
        <w:rPr>
          <w:color w:val="000000"/>
          <w:szCs w:val="22"/>
          <w:lang w:val="es-ES"/>
        </w:rPr>
        <w:t xml:space="preserve">s </w:t>
      </w:r>
      <w:r w:rsidR="00E5743D" w:rsidRPr="002D741C">
        <w:rPr>
          <w:color w:val="000000"/>
          <w:szCs w:val="22"/>
          <w:lang w:val="es-ES"/>
        </w:rPr>
        <w:t xml:space="preserve">reacciones </w:t>
      </w:r>
      <w:r w:rsidRPr="002D741C">
        <w:rPr>
          <w:color w:val="000000"/>
          <w:szCs w:val="22"/>
          <w:lang w:val="es-ES"/>
        </w:rPr>
        <w:t>pueden normalmente ser tratad</w:t>
      </w:r>
      <w:r w:rsidR="00E5743D" w:rsidRPr="002D741C">
        <w:rPr>
          <w:color w:val="000000"/>
          <w:szCs w:val="22"/>
          <w:lang w:val="es-ES"/>
        </w:rPr>
        <w:t>a</w:t>
      </w:r>
      <w:r w:rsidRPr="002D741C">
        <w:rPr>
          <w:color w:val="000000"/>
          <w:szCs w:val="22"/>
          <w:lang w:val="es-ES"/>
        </w:rPr>
        <w:t>s retirando</w:t>
      </w:r>
      <w:r w:rsidR="00777D3B" w:rsidRPr="002D741C">
        <w:rPr>
          <w:color w:val="000000"/>
          <w:szCs w:val="22"/>
          <w:lang w:val="es-ES"/>
        </w:rPr>
        <w:t xml:space="preserve"> </w:t>
      </w:r>
      <w:r w:rsidRPr="002D741C">
        <w:rPr>
          <w:color w:val="000000"/>
          <w:szCs w:val="22"/>
          <w:lang w:val="es-ES"/>
        </w:rPr>
        <w:t>temporalmente el tratamiento con Glivec, y administrando diuréticos y otras medidas terapéuticas de soporte. Sin embargo, algun</w:t>
      </w:r>
      <w:r w:rsidR="0071263F" w:rsidRPr="002D741C">
        <w:rPr>
          <w:color w:val="000000"/>
          <w:szCs w:val="22"/>
          <w:lang w:val="es-ES"/>
        </w:rPr>
        <w:t>a</w:t>
      </w:r>
      <w:r w:rsidRPr="002D741C">
        <w:rPr>
          <w:color w:val="000000"/>
          <w:szCs w:val="22"/>
          <w:lang w:val="es-ES"/>
        </w:rPr>
        <w:t>s de est</w:t>
      </w:r>
      <w:r w:rsidR="00E5743D" w:rsidRPr="002D741C">
        <w:rPr>
          <w:color w:val="000000"/>
          <w:szCs w:val="22"/>
          <w:lang w:val="es-ES"/>
        </w:rPr>
        <w:t>a</w:t>
      </w:r>
      <w:r w:rsidRPr="002D741C">
        <w:rPr>
          <w:color w:val="000000"/>
          <w:szCs w:val="22"/>
          <w:lang w:val="es-ES"/>
        </w:rPr>
        <w:t xml:space="preserve">s </w:t>
      </w:r>
      <w:r w:rsidR="00E5743D" w:rsidRPr="002D741C">
        <w:rPr>
          <w:color w:val="000000"/>
          <w:szCs w:val="22"/>
          <w:lang w:val="es-ES"/>
        </w:rPr>
        <w:t xml:space="preserve">reacciones </w:t>
      </w:r>
      <w:r w:rsidRPr="002D741C">
        <w:rPr>
          <w:color w:val="000000"/>
          <w:szCs w:val="22"/>
          <w:lang w:val="es-ES"/>
        </w:rPr>
        <w:t>pueden ser graves o comportar riesgo para la vida. Diversos pacientes con crisis blástica murieron con una historia clínica compleja de efusión pleural, insuficiencia cardíaca congestiva y fallo renal. En los ensayos clínicos pediátricos no se observaron hallazgos especiales respecto a la seguridad.</w:t>
      </w:r>
    </w:p>
    <w:p w14:paraId="6DE364FE" w14:textId="77777777" w:rsidR="002626B2" w:rsidRPr="002D741C" w:rsidRDefault="002626B2" w:rsidP="001A2F33">
      <w:pPr>
        <w:pStyle w:val="EndnoteText"/>
        <w:widowControl w:val="0"/>
        <w:tabs>
          <w:tab w:val="clear" w:pos="567"/>
        </w:tabs>
        <w:rPr>
          <w:color w:val="000000"/>
          <w:szCs w:val="22"/>
          <w:lang w:val="es-ES"/>
        </w:rPr>
      </w:pPr>
    </w:p>
    <w:p w14:paraId="47A650D8" w14:textId="77777777" w:rsidR="002626B2" w:rsidRPr="002D741C" w:rsidRDefault="002626B2" w:rsidP="00C16E58">
      <w:pPr>
        <w:pStyle w:val="EndnoteText"/>
        <w:keepNext/>
        <w:widowControl w:val="0"/>
        <w:tabs>
          <w:tab w:val="clear" w:pos="567"/>
        </w:tabs>
        <w:rPr>
          <w:b/>
          <w:color w:val="000000"/>
          <w:szCs w:val="22"/>
          <w:lang w:val="es-ES"/>
        </w:rPr>
      </w:pPr>
      <w:r w:rsidRPr="002D741C">
        <w:rPr>
          <w:b/>
          <w:color w:val="000000"/>
          <w:szCs w:val="22"/>
          <w:lang w:val="es-ES"/>
        </w:rPr>
        <w:t>Reacciones adversas</w:t>
      </w:r>
    </w:p>
    <w:p w14:paraId="52784FF3" w14:textId="77777777" w:rsidR="002626B2" w:rsidRPr="002D741C" w:rsidRDefault="002626B2" w:rsidP="001A2F33">
      <w:pPr>
        <w:pStyle w:val="EndnoteText"/>
        <w:widowControl w:val="0"/>
        <w:tabs>
          <w:tab w:val="clear" w:pos="567"/>
        </w:tabs>
        <w:rPr>
          <w:color w:val="000000"/>
          <w:szCs w:val="22"/>
          <w:lang w:val="es-ES"/>
        </w:rPr>
      </w:pPr>
      <w:r w:rsidRPr="002D741C">
        <w:rPr>
          <w:color w:val="000000"/>
          <w:szCs w:val="22"/>
          <w:lang w:val="es-ES"/>
        </w:rPr>
        <w:t xml:space="preserve">Se detallan a continuación las reacciones adversas notificadas, excepto los casos aislados, por </w:t>
      </w:r>
      <w:r w:rsidR="004824AF" w:rsidRPr="002D741C">
        <w:rPr>
          <w:color w:val="000000"/>
          <w:szCs w:val="22"/>
          <w:lang w:val="es-ES"/>
        </w:rPr>
        <w:t>órganos y sistemas</w:t>
      </w:r>
      <w:r w:rsidRPr="002D741C">
        <w:rPr>
          <w:color w:val="000000"/>
          <w:szCs w:val="22"/>
          <w:lang w:val="es-ES"/>
        </w:rPr>
        <w:t xml:space="preserve"> y por frecuencia. Las </w:t>
      </w:r>
      <w:r w:rsidR="00671924" w:rsidRPr="002D741C">
        <w:rPr>
          <w:color w:val="000000"/>
          <w:szCs w:val="22"/>
          <w:lang w:val="es-ES"/>
        </w:rPr>
        <w:t xml:space="preserve">categorías de </w:t>
      </w:r>
      <w:r w:rsidRPr="002D741C">
        <w:rPr>
          <w:color w:val="000000"/>
          <w:szCs w:val="22"/>
          <w:lang w:val="es-ES"/>
        </w:rPr>
        <w:t xml:space="preserve">frecuencias se definen </w:t>
      </w:r>
      <w:r w:rsidR="00671924" w:rsidRPr="002D741C">
        <w:rPr>
          <w:color w:val="000000"/>
          <w:szCs w:val="22"/>
          <w:lang w:val="es-ES"/>
        </w:rPr>
        <w:t>utilizando la siguiente convención</w:t>
      </w:r>
      <w:r w:rsidRPr="002D741C">
        <w:rPr>
          <w:color w:val="000000"/>
          <w:szCs w:val="22"/>
          <w:lang w:val="es-ES"/>
        </w:rPr>
        <w:t>: muy frecuentes (</w:t>
      </w:r>
      <w:r w:rsidR="00B86500" w:rsidRPr="002D741C">
        <w:rPr>
          <w:szCs w:val="22"/>
          <w:lang w:val="es-ES"/>
        </w:rPr>
        <w:t>≥</w:t>
      </w:r>
      <w:r w:rsidRPr="002D741C">
        <w:rPr>
          <w:color w:val="000000"/>
          <w:szCs w:val="22"/>
          <w:lang w:val="es-ES"/>
        </w:rPr>
        <w:t>1/10), frecuentes (</w:t>
      </w:r>
      <w:r w:rsidR="00B86500" w:rsidRPr="002D741C">
        <w:rPr>
          <w:szCs w:val="22"/>
          <w:lang w:val="es-ES"/>
        </w:rPr>
        <w:t>≥</w:t>
      </w:r>
      <w:r w:rsidRPr="002D741C">
        <w:rPr>
          <w:color w:val="000000"/>
          <w:szCs w:val="22"/>
          <w:lang w:val="es-ES"/>
        </w:rPr>
        <w:t>1/100</w:t>
      </w:r>
      <w:r w:rsidR="00B86500" w:rsidRPr="002D741C">
        <w:rPr>
          <w:color w:val="000000"/>
          <w:szCs w:val="22"/>
          <w:lang w:val="es-ES"/>
        </w:rPr>
        <w:t xml:space="preserve"> a</w:t>
      </w:r>
      <w:r w:rsidRPr="002D741C">
        <w:rPr>
          <w:color w:val="000000"/>
          <w:szCs w:val="22"/>
          <w:lang w:val="es-ES"/>
        </w:rPr>
        <w:t xml:space="preserve"> </w:t>
      </w:r>
      <w:r w:rsidR="00B86500" w:rsidRPr="002D741C">
        <w:rPr>
          <w:color w:val="000000"/>
          <w:szCs w:val="22"/>
          <w:lang w:val="es-ES"/>
        </w:rPr>
        <w:t>&lt;</w:t>
      </w:r>
      <w:r w:rsidRPr="002D741C">
        <w:rPr>
          <w:color w:val="000000"/>
          <w:szCs w:val="22"/>
          <w:lang w:val="es-ES"/>
        </w:rPr>
        <w:t xml:space="preserve">1/10), </w:t>
      </w:r>
      <w:r w:rsidR="00742DB1" w:rsidRPr="002D741C">
        <w:rPr>
          <w:color w:val="000000"/>
          <w:szCs w:val="22"/>
          <w:lang w:val="es-ES"/>
        </w:rPr>
        <w:t>poco</w:t>
      </w:r>
      <w:r w:rsidRPr="002D741C">
        <w:rPr>
          <w:color w:val="000000"/>
          <w:szCs w:val="22"/>
          <w:lang w:val="es-ES"/>
        </w:rPr>
        <w:t xml:space="preserve"> frecuentes (</w:t>
      </w:r>
      <w:r w:rsidR="00B86500" w:rsidRPr="002D741C">
        <w:rPr>
          <w:szCs w:val="22"/>
          <w:lang w:val="es-ES"/>
        </w:rPr>
        <w:t>≥</w:t>
      </w:r>
      <w:r w:rsidRPr="002D741C">
        <w:rPr>
          <w:color w:val="000000"/>
          <w:szCs w:val="22"/>
          <w:lang w:val="es-ES"/>
        </w:rPr>
        <w:t>1/1.000</w:t>
      </w:r>
      <w:r w:rsidR="00B86500" w:rsidRPr="002D741C">
        <w:rPr>
          <w:color w:val="000000"/>
          <w:szCs w:val="22"/>
          <w:lang w:val="es-ES"/>
        </w:rPr>
        <w:t xml:space="preserve"> a</w:t>
      </w:r>
      <w:r w:rsidRPr="002D741C">
        <w:rPr>
          <w:color w:val="000000"/>
          <w:szCs w:val="22"/>
          <w:lang w:val="es-ES"/>
        </w:rPr>
        <w:t xml:space="preserve"> </w:t>
      </w:r>
      <w:r w:rsidR="00B86500" w:rsidRPr="002D741C">
        <w:rPr>
          <w:color w:val="000000"/>
          <w:szCs w:val="22"/>
          <w:lang w:val="es-ES"/>
        </w:rPr>
        <w:t>&lt;</w:t>
      </w:r>
      <w:r w:rsidRPr="002D741C">
        <w:rPr>
          <w:color w:val="000000"/>
          <w:szCs w:val="22"/>
          <w:lang w:val="es-ES"/>
        </w:rPr>
        <w:t>1/100), raras (</w:t>
      </w:r>
      <w:r w:rsidR="00B86500" w:rsidRPr="002D741C">
        <w:rPr>
          <w:szCs w:val="22"/>
          <w:lang w:val="es-ES"/>
        </w:rPr>
        <w:t xml:space="preserve">≥1/10.000 a </w:t>
      </w:r>
      <w:r w:rsidR="00B86500" w:rsidRPr="002D741C">
        <w:rPr>
          <w:color w:val="000000"/>
          <w:szCs w:val="22"/>
          <w:lang w:val="es-ES"/>
        </w:rPr>
        <w:t>&lt;</w:t>
      </w:r>
      <w:r w:rsidRPr="002D741C">
        <w:rPr>
          <w:color w:val="000000"/>
          <w:szCs w:val="22"/>
          <w:lang w:val="es-ES"/>
        </w:rPr>
        <w:t>1/1.000)</w:t>
      </w:r>
      <w:r w:rsidR="0082098C" w:rsidRPr="002D741C">
        <w:rPr>
          <w:color w:val="000000"/>
          <w:szCs w:val="22"/>
          <w:lang w:val="es-ES"/>
        </w:rPr>
        <w:t xml:space="preserve">, </w:t>
      </w:r>
      <w:r w:rsidR="00406303" w:rsidRPr="002D741C">
        <w:rPr>
          <w:color w:val="000000"/>
          <w:szCs w:val="22"/>
          <w:lang w:val="es-ES"/>
        </w:rPr>
        <w:t xml:space="preserve">muy raras (&lt;1/10.000), </w:t>
      </w:r>
      <w:r w:rsidR="00354BC8" w:rsidRPr="002D741C">
        <w:rPr>
          <w:color w:val="000000"/>
          <w:szCs w:val="22"/>
          <w:lang w:val="es-ES"/>
        </w:rPr>
        <w:t xml:space="preserve">frecuencia </w:t>
      </w:r>
      <w:r w:rsidR="0082098C" w:rsidRPr="002D741C">
        <w:rPr>
          <w:noProof/>
          <w:color w:val="000000"/>
          <w:lang w:val="es-ES"/>
        </w:rPr>
        <w:t>no conocida (no puede estimarse a partir de los datos disponibles)</w:t>
      </w:r>
      <w:r w:rsidRPr="002D741C">
        <w:rPr>
          <w:color w:val="000000"/>
          <w:szCs w:val="22"/>
          <w:lang w:val="es-ES"/>
        </w:rPr>
        <w:t>.</w:t>
      </w:r>
    </w:p>
    <w:p w14:paraId="6CA0032D" w14:textId="77777777" w:rsidR="0003352F" w:rsidRPr="002D741C" w:rsidRDefault="0003352F" w:rsidP="001A2F33">
      <w:pPr>
        <w:pStyle w:val="EndnoteText"/>
        <w:widowControl w:val="0"/>
        <w:tabs>
          <w:tab w:val="clear" w:pos="567"/>
        </w:tabs>
        <w:rPr>
          <w:color w:val="000000"/>
          <w:szCs w:val="22"/>
          <w:lang w:val="es-ES"/>
        </w:rPr>
      </w:pPr>
    </w:p>
    <w:p w14:paraId="51A6D6C0" w14:textId="77777777" w:rsidR="0003352F" w:rsidRPr="002D741C" w:rsidRDefault="0003352F" w:rsidP="004306EF">
      <w:pPr>
        <w:pStyle w:val="EndnoteText"/>
        <w:widowControl w:val="0"/>
        <w:tabs>
          <w:tab w:val="clear" w:pos="567"/>
        </w:tabs>
        <w:rPr>
          <w:color w:val="000000"/>
          <w:szCs w:val="22"/>
          <w:lang w:val="es-ES"/>
        </w:rPr>
      </w:pPr>
      <w:r w:rsidRPr="002D741C">
        <w:rPr>
          <w:color w:val="000000"/>
          <w:szCs w:val="22"/>
          <w:lang w:val="es-ES"/>
        </w:rPr>
        <w:t xml:space="preserve">Las reacciones adversas se </w:t>
      </w:r>
      <w:r w:rsidR="004306EF" w:rsidRPr="002D741C">
        <w:rPr>
          <w:color w:val="000000"/>
          <w:szCs w:val="22"/>
          <w:lang w:val="es-ES"/>
        </w:rPr>
        <w:t xml:space="preserve">enumeran </w:t>
      </w:r>
      <w:r w:rsidR="004824AF" w:rsidRPr="002D741C">
        <w:rPr>
          <w:color w:val="000000"/>
          <w:szCs w:val="22"/>
          <w:lang w:val="es-ES"/>
        </w:rPr>
        <w:t xml:space="preserve">en orden decreciente de </w:t>
      </w:r>
      <w:r w:rsidR="00F07AA5" w:rsidRPr="002D741C">
        <w:rPr>
          <w:color w:val="000000"/>
          <w:szCs w:val="22"/>
          <w:lang w:val="es-ES"/>
        </w:rPr>
        <w:t>frecuencia</w:t>
      </w:r>
      <w:r w:rsidR="004824AF" w:rsidRPr="002D741C">
        <w:rPr>
          <w:color w:val="000000"/>
          <w:szCs w:val="22"/>
          <w:lang w:val="es-ES"/>
        </w:rPr>
        <w:t xml:space="preserve"> dentro de cada </w:t>
      </w:r>
      <w:r w:rsidR="004306EF" w:rsidRPr="002D741C">
        <w:rPr>
          <w:color w:val="000000"/>
          <w:szCs w:val="22"/>
          <w:lang w:val="es-ES"/>
        </w:rPr>
        <w:t xml:space="preserve">intervalo </w:t>
      </w:r>
      <w:r w:rsidR="004824AF" w:rsidRPr="002D741C">
        <w:rPr>
          <w:color w:val="000000"/>
          <w:szCs w:val="22"/>
          <w:lang w:val="es-ES"/>
        </w:rPr>
        <w:t>de frecuencia.</w:t>
      </w:r>
    </w:p>
    <w:p w14:paraId="088951E7" w14:textId="77777777" w:rsidR="00F409C5" w:rsidRPr="002D741C" w:rsidRDefault="00F409C5" w:rsidP="00E759D2">
      <w:pPr>
        <w:pStyle w:val="EndnoteText"/>
        <w:widowControl w:val="0"/>
        <w:tabs>
          <w:tab w:val="clear" w:pos="567"/>
        </w:tabs>
        <w:rPr>
          <w:color w:val="000000"/>
          <w:szCs w:val="22"/>
          <w:lang w:val="es-ES_tradnl"/>
        </w:rPr>
      </w:pPr>
    </w:p>
    <w:p w14:paraId="1717CFB4" w14:textId="77777777" w:rsidR="00F76B85" w:rsidRPr="002D741C" w:rsidRDefault="00F76B85" w:rsidP="00E759D2">
      <w:pPr>
        <w:pStyle w:val="EndnoteText"/>
        <w:widowControl w:val="0"/>
        <w:tabs>
          <w:tab w:val="clear" w:pos="567"/>
        </w:tabs>
        <w:rPr>
          <w:color w:val="000000"/>
          <w:szCs w:val="22"/>
          <w:lang w:val="es-ES_tradnl"/>
        </w:rPr>
      </w:pPr>
      <w:r w:rsidRPr="002D741C">
        <w:rPr>
          <w:color w:val="000000"/>
          <w:szCs w:val="22"/>
          <w:lang w:val="es-ES_tradnl"/>
        </w:rPr>
        <w:t xml:space="preserve">Las reacciones adversas y sus frecuencias </w:t>
      </w:r>
      <w:r w:rsidR="00E759D2" w:rsidRPr="002D741C">
        <w:rPr>
          <w:color w:val="000000"/>
          <w:szCs w:val="22"/>
          <w:lang w:val="es-ES_tradnl"/>
        </w:rPr>
        <w:t>se presentan</w:t>
      </w:r>
      <w:r w:rsidRPr="002D741C">
        <w:rPr>
          <w:color w:val="000000"/>
          <w:szCs w:val="22"/>
          <w:lang w:val="es-ES_tradnl"/>
        </w:rPr>
        <w:t xml:space="preserve"> en </w:t>
      </w:r>
      <w:smartTag w:uri="urn:schemas-microsoft-com:office:smarttags" w:element="PersonName">
        <w:smartTagPr>
          <w:attr w:name="ProductID" w:val="la Tabla"/>
        </w:smartTagPr>
        <w:r w:rsidRPr="002D741C">
          <w:rPr>
            <w:color w:val="000000"/>
            <w:szCs w:val="22"/>
            <w:lang w:val="es-ES_tradnl"/>
          </w:rPr>
          <w:t>la Tabla</w:t>
        </w:r>
      </w:smartTag>
      <w:r w:rsidR="00C6402C" w:rsidRPr="002D741C">
        <w:rPr>
          <w:color w:val="000000"/>
          <w:szCs w:val="22"/>
          <w:lang w:val="es-ES_tradnl"/>
        </w:rPr>
        <w:t> </w:t>
      </w:r>
      <w:r w:rsidRPr="002D741C">
        <w:rPr>
          <w:color w:val="000000"/>
          <w:szCs w:val="22"/>
          <w:lang w:val="es-ES_tradnl"/>
        </w:rPr>
        <w:t>1.</w:t>
      </w:r>
    </w:p>
    <w:p w14:paraId="0787FC7E" w14:textId="77777777" w:rsidR="00F76B85" w:rsidRPr="002D741C" w:rsidRDefault="00F76B85" w:rsidP="00F76B85">
      <w:pPr>
        <w:pStyle w:val="EndnoteText"/>
        <w:widowControl w:val="0"/>
        <w:tabs>
          <w:tab w:val="clear" w:pos="567"/>
        </w:tabs>
        <w:rPr>
          <w:color w:val="000000"/>
          <w:szCs w:val="22"/>
          <w:lang w:val="es-ES_tradnl"/>
        </w:rPr>
      </w:pPr>
    </w:p>
    <w:p w14:paraId="06EE27EC" w14:textId="77777777" w:rsidR="00E759D2" w:rsidRPr="002D741C" w:rsidRDefault="00E759D2" w:rsidP="00D13C5E">
      <w:pPr>
        <w:pStyle w:val="Heading4"/>
        <w:widowControl w:val="0"/>
        <w:tabs>
          <w:tab w:val="clear" w:pos="567"/>
          <w:tab w:val="left" w:pos="1134"/>
        </w:tabs>
        <w:spacing w:line="240" w:lineRule="auto"/>
        <w:rPr>
          <w:color w:val="000000"/>
          <w:szCs w:val="22"/>
        </w:rPr>
      </w:pPr>
      <w:r w:rsidRPr="002D741C">
        <w:rPr>
          <w:color w:val="000000"/>
          <w:szCs w:val="22"/>
        </w:rPr>
        <w:lastRenderedPageBreak/>
        <w:t>Tabla 1</w:t>
      </w:r>
      <w:r w:rsidRPr="002D741C">
        <w:rPr>
          <w:color w:val="000000"/>
          <w:szCs w:val="22"/>
        </w:rPr>
        <w:tab/>
      </w:r>
      <w:r w:rsidR="00A15248" w:rsidRPr="002D741C">
        <w:rPr>
          <w:color w:val="000000"/>
          <w:szCs w:val="22"/>
        </w:rPr>
        <w:t>Tabla r</w:t>
      </w:r>
      <w:r w:rsidR="006C74F0" w:rsidRPr="002D741C">
        <w:rPr>
          <w:color w:val="000000"/>
          <w:szCs w:val="22"/>
        </w:rPr>
        <w:t>esumen de r</w:t>
      </w:r>
      <w:r w:rsidRPr="002D741C">
        <w:rPr>
          <w:color w:val="000000"/>
          <w:szCs w:val="22"/>
        </w:rPr>
        <w:t>eacciones adversas</w:t>
      </w:r>
    </w:p>
    <w:p w14:paraId="797E3A69" w14:textId="77777777" w:rsidR="00363223" w:rsidRPr="002D741C" w:rsidRDefault="00363223" w:rsidP="00C16E58">
      <w:pPr>
        <w:keepNext/>
        <w:rPr>
          <w:color w:val="000000"/>
          <w:sz w:val="22"/>
          <w:szCs w:val="22"/>
        </w:rPr>
      </w:pP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5"/>
        <w:gridCol w:w="7087"/>
      </w:tblGrid>
      <w:tr w:rsidR="00363223" w:rsidRPr="002D741C" w14:paraId="1015C40D" w14:textId="77777777" w:rsidTr="00C16E58">
        <w:trPr>
          <w:cantSplit/>
        </w:trPr>
        <w:tc>
          <w:tcPr>
            <w:tcW w:w="9322" w:type="dxa"/>
            <w:gridSpan w:val="2"/>
          </w:tcPr>
          <w:p w14:paraId="7A93B864" w14:textId="77777777" w:rsidR="00363223" w:rsidRPr="002D741C" w:rsidRDefault="00363223" w:rsidP="00C16E58">
            <w:pPr>
              <w:keepNext/>
              <w:tabs>
                <w:tab w:val="left" w:pos="567"/>
              </w:tabs>
              <w:spacing w:line="260" w:lineRule="exact"/>
              <w:rPr>
                <w:b/>
                <w:color w:val="000000"/>
                <w:sz w:val="22"/>
                <w:szCs w:val="22"/>
                <w:lang w:val="es-ES"/>
              </w:rPr>
            </w:pPr>
            <w:r w:rsidRPr="002D741C">
              <w:rPr>
                <w:b/>
                <w:color w:val="000000"/>
                <w:sz w:val="22"/>
                <w:szCs w:val="22"/>
                <w:lang w:val="es-ES"/>
              </w:rPr>
              <w:t>Infecciones e infestaciones</w:t>
            </w:r>
          </w:p>
        </w:tc>
      </w:tr>
      <w:tr w:rsidR="00363223" w:rsidRPr="002D741C" w14:paraId="596E1F8A" w14:textId="77777777" w:rsidTr="00C16E58">
        <w:trPr>
          <w:cantSplit/>
        </w:trPr>
        <w:tc>
          <w:tcPr>
            <w:tcW w:w="2235" w:type="dxa"/>
          </w:tcPr>
          <w:p w14:paraId="2E0ED39B" w14:textId="77777777" w:rsidR="00363223" w:rsidRPr="002D741C" w:rsidRDefault="00363223" w:rsidP="00C16E58">
            <w:pPr>
              <w:keepNext/>
              <w:tabs>
                <w:tab w:val="left" w:pos="567"/>
              </w:tabs>
              <w:spacing w:line="260" w:lineRule="exact"/>
              <w:rPr>
                <w:i/>
                <w:color w:val="000000"/>
                <w:sz w:val="22"/>
                <w:szCs w:val="22"/>
                <w:lang w:val="es-ES"/>
              </w:rPr>
            </w:pPr>
            <w:r w:rsidRPr="002D741C">
              <w:rPr>
                <w:i/>
                <w:color w:val="000000"/>
                <w:sz w:val="22"/>
                <w:szCs w:val="22"/>
                <w:lang w:val="es-ES"/>
              </w:rPr>
              <w:t>Poco frecuentes:</w:t>
            </w:r>
          </w:p>
        </w:tc>
        <w:tc>
          <w:tcPr>
            <w:tcW w:w="7087" w:type="dxa"/>
          </w:tcPr>
          <w:p w14:paraId="09D8B395" w14:textId="77777777" w:rsidR="00363223" w:rsidRPr="002D741C" w:rsidRDefault="00363223" w:rsidP="00C16E58">
            <w:pPr>
              <w:keepNext/>
              <w:tabs>
                <w:tab w:val="left" w:pos="567"/>
              </w:tabs>
              <w:spacing w:line="260" w:lineRule="exact"/>
              <w:rPr>
                <w:color w:val="000000"/>
                <w:sz w:val="22"/>
                <w:szCs w:val="22"/>
                <w:lang w:val="es-ES"/>
              </w:rPr>
            </w:pPr>
            <w:r w:rsidRPr="002D741C">
              <w:rPr>
                <w:color w:val="000000"/>
                <w:sz w:val="22"/>
                <w:szCs w:val="22"/>
                <w:lang w:val="es-ES"/>
              </w:rPr>
              <w:t>Herpes zoster, herpes simplex, nasofaringitis, neumonía</w:t>
            </w:r>
            <w:r w:rsidR="00FD0896" w:rsidRPr="002D741C">
              <w:rPr>
                <w:color w:val="000000"/>
                <w:sz w:val="22"/>
                <w:szCs w:val="22"/>
                <w:vertAlign w:val="superscript"/>
                <w:lang w:val="es-ES"/>
              </w:rPr>
              <w:t>1</w:t>
            </w:r>
            <w:r w:rsidRPr="002D741C">
              <w:rPr>
                <w:color w:val="000000"/>
                <w:sz w:val="22"/>
                <w:szCs w:val="22"/>
                <w:lang w:val="es-ES"/>
              </w:rPr>
              <w:t>, sinusitis, celulitis, infección del tracto respiratorio superior, influenza, infección del tracto urinario, gastroenteritis, sepsis</w:t>
            </w:r>
          </w:p>
        </w:tc>
      </w:tr>
      <w:tr w:rsidR="00363223" w:rsidRPr="002D741C" w14:paraId="47DC6A87" w14:textId="77777777" w:rsidTr="00C16E58">
        <w:trPr>
          <w:cantSplit/>
        </w:trPr>
        <w:tc>
          <w:tcPr>
            <w:tcW w:w="2235" w:type="dxa"/>
          </w:tcPr>
          <w:p w14:paraId="70BCC4C0" w14:textId="77777777" w:rsidR="00363223" w:rsidRPr="002D741C" w:rsidRDefault="00363223" w:rsidP="00C16E58">
            <w:pPr>
              <w:keepNext/>
              <w:tabs>
                <w:tab w:val="left" w:pos="567"/>
              </w:tabs>
              <w:spacing w:line="260" w:lineRule="exact"/>
              <w:rPr>
                <w:i/>
                <w:color w:val="000000"/>
                <w:sz w:val="22"/>
                <w:szCs w:val="22"/>
                <w:lang w:val="es-ES"/>
              </w:rPr>
            </w:pPr>
            <w:r w:rsidRPr="002D741C">
              <w:rPr>
                <w:i/>
                <w:color w:val="000000"/>
                <w:sz w:val="22"/>
                <w:szCs w:val="22"/>
                <w:lang w:val="es-ES"/>
              </w:rPr>
              <w:t>Raras:</w:t>
            </w:r>
          </w:p>
        </w:tc>
        <w:tc>
          <w:tcPr>
            <w:tcW w:w="7087" w:type="dxa"/>
          </w:tcPr>
          <w:p w14:paraId="14D4EEDE" w14:textId="77777777" w:rsidR="00363223" w:rsidRPr="002D741C" w:rsidRDefault="00363223" w:rsidP="00C16E58">
            <w:pPr>
              <w:keepNext/>
              <w:tabs>
                <w:tab w:val="left" w:pos="567"/>
              </w:tabs>
              <w:spacing w:line="260" w:lineRule="exact"/>
              <w:rPr>
                <w:color w:val="000000"/>
                <w:sz w:val="22"/>
                <w:szCs w:val="22"/>
                <w:lang w:val="es-ES"/>
              </w:rPr>
            </w:pPr>
            <w:r w:rsidRPr="002D741C">
              <w:rPr>
                <w:color w:val="000000"/>
                <w:sz w:val="22"/>
                <w:szCs w:val="22"/>
                <w:lang w:val="es-ES"/>
              </w:rPr>
              <w:t>Infección fúngica</w:t>
            </w:r>
          </w:p>
        </w:tc>
      </w:tr>
      <w:tr w:rsidR="00A64B6A" w:rsidRPr="002D741C" w14:paraId="19955892" w14:textId="77777777" w:rsidTr="00C16E58">
        <w:trPr>
          <w:cantSplit/>
        </w:trPr>
        <w:tc>
          <w:tcPr>
            <w:tcW w:w="2235" w:type="dxa"/>
          </w:tcPr>
          <w:p w14:paraId="6DEF9981" w14:textId="77777777" w:rsidR="00A64B6A" w:rsidRPr="002D741C" w:rsidRDefault="00A64B6A" w:rsidP="00C16E58">
            <w:pPr>
              <w:keepNext/>
              <w:tabs>
                <w:tab w:val="left" w:pos="567"/>
              </w:tabs>
              <w:spacing w:line="260" w:lineRule="exact"/>
              <w:rPr>
                <w:i/>
                <w:color w:val="000000"/>
                <w:sz w:val="22"/>
                <w:szCs w:val="22"/>
                <w:lang w:val="es-ES"/>
              </w:rPr>
            </w:pPr>
            <w:r w:rsidRPr="002D741C">
              <w:rPr>
                <w:i/>
                <w:color w:val="000000"/>
                <w:sz w:val="22"/>
                <w:szCs w:val="22"/>
                <w:lang w:val="es-ES"/>
              </w:rPr>
              <w:t>Frecuencia no conocida:</w:t>
            </w:r>
          </w:p>
        </w:tc>
        <w:tc>
          <w:tcPr>
            <w:tcW w:w="7087" w:type="dxa"/>
          </w:tcPr>
          <w:p w14:paraId="1BE0C940" w14:textId="77777777" w:rsidR="00A64B6A" w:rsidRPr="002D741C" w:rsidRDefault="00A64B6A" w:rsidP="00C16E58">
            <w:pPr>
              <w:keepNext/>
              <w:tabs>
                <w:tab w:val="left" w:pos="567"/>
              </w:tabs>
              <w:spacing w:line="260" w:lineRule="exact"/>
              <w:rPr>
                <w:color w:val="000000"/>
                <w:sz w:val="22"/>
                <w:szCs w:val="22"/>
                <w:lang w:val="es-ES"/>
              </w:rPr>
            </w:pPr>
            <w:r w:rsidRPr="002D741C">
              <w:rPr>
                <w:color w:val="000000"/>
                <w:sz w:val="22"/>
                <w:szCs w:val="22"/>
                <w:lang w:val="es-ES"/>
              </w:rPr>
              <w:t>Reactivación del virus de la hepatitis B*</w:t>
            </w:r>
          </w:p>
        </w:tc>
      </w:tr>
      <w:tr w:rsidR="001E6583" w:rsidRPr="002D741C" w14:paraId="1A274704" w14:textId="77777777" w:rsidTr="00C16E58">
        <w:trPr>
          <w:cantSplit/>
        </w:trPr>
        <w:tc>
          <w:tcPr>
            <w:tcW w:w="9322" w:type="dxa"/>
            <w:gridSpan w:val="2"/>
          </w:tcPr>
          <w:p w14:paraId="117394FC" w14:textId="77777777" w:rsidR="001E6583" w:rsidRPr="002D741C" w:rsidRDefault="001E6583" w:rsidP="00C16E58">
            <w:pPr>
              <w:keepNext/>
              <w:tabs>
                <w:tab w:val="left" w:pos="567"/>
              </w:tabs>
              <w:spacing w:line="260" w:lineRule="exact"/>
              <w:rPr>
                <w:b/>
                <w:color w:val="000000"/>
                <w:sz w:val="22"/>
                <w:szCs w:val="22"/>
                <w:lang w:val="es-ES"/>
              </w:rPr>
            </w:pPr>
            <w:r w:rsidRPr="002D741C">
              <w:rPr>
                <w:b/>
                <w:color w:val="000000"/>
                <w:sz w:val="22"/>
                <w:szCs w:val="22"/>
                <w:lang w:val="es-ES"/>
              </w:rPr>
              <w:t>Neoplasias benignas, malignas y no especificadas (incluyendo quistes y pólipos)</w:t>
            </w:r>
          </w:p>
        </w:tc>
      </w:tr>
      <w:tr w:rsidR="001E6583" w:rsidRPr="002D741C" w14:paraId="7CB2333B" w14:textId="77777777" w:rsidTr="00C16E58">
        <w:trPr>
          <w:cantSplit/>
        </w:trPr>
        <w:tc>
          <w:tcPr>
            <w:tcW w:w="2235" w:type="dxa"/>
          </w:tcPr>
          <w:p w14:paraId="6FDC1228" w14:textId="77777777" w:rsidR="001E6583" w:rsidRPr="002D741C" w:rsidRDefault="001E6583" w:rsidP="00C16E58">
            <w:pPr>
              <w:keepNext/>
              <w:tabs>
                <w:tab w:val="left" w:pos="567"/>
              </w:tabs>
              <w:spacing w:line="260" w:lineRule="exact"/>
              <w:rPr>
                <w:i/>
                <w:color w:val="000000"/>
                <w:sz w:val="22"/>
                <w:szCs w:val="22"/>
                <w:lang w:val="es-ES"/>
              </w:rPr>
            </w:pPr>
            <w:r w:rsidRPr="002D741C">
              <w:rPr>
                <w:i/>
                <w:color w:val="000000"/>
                <w:sz w:val="22"/>
                <w:szCs w:val="22"/>
                <w:lang w:val="es-ES"/>
              </w:rPr>
              <w:t>Raras</w:t>
            </w:r>
          </w:p>
        </w:tc>
        <w:tc>
          <w:tcPr>
            <w:tcW w:w="7087" w:type="dxa"/>
          </w:tcPr>
          <w:p w14:paraId="68B18117" w14:textId="77777777" w:rsidR="001E6583" w:rsidRPr="002D741C" w:rsidRDefault="00795F5E" w:rsidP="00C16E58">
            <w:pPr>
              <w:keepNext/>
              <w:tabs>
                <w:tab w:val="left" w:pos="567"/>
              </w:tabs>
              <w:spacing w:line="260" w:lineRule="exact"/>
              <w:rPr>
                <w:color w:val="000000"/>
                <w:sz w:val="22"/>
                <w:szCs w:val="22"/>
                <w:lang w:val="es-ES"/>
              </w:rPr>
            </w:pPr>
            <w:r w:rsidRPr="002D741C">
              <w:rPr>
                <w:color w:val="000000"/>
                <w:sz w:val="22"/>
                <w:szCs w:val="22"/>
                <w:lang w:val="es-ES"/>
              </w:rPr>
              <w:t>Síndrome de lisis tumoral</w:t>
            </w:r>
          </w:p>
        </w:tc>
      </w:tr>
      <w:tr w:rsidR="00A6343C" w:rsidRPr="002D741C" w14:paraId="7BFF14BE" w14:textId="77777777" w:rsidTr="00C16E58">
        <w:trPr>
          <w:cantSplit/>
        </w:trPr>
        <w:tc>
          <w:tcPr>
            <w:tcW w:w="2235" w:type="dxa"/>
          </w:tcPr>
          <w:p w14:paraId="5B646381" w14:textId="77777777" w:rsidR="00A6343C" w:rsidRPr="002D741C" w:rsidRDefault="00A6343C" w:rsidP="00CF4EBE">
            <w:pPr>
              <w:tabs>
                <w:tab w:val="left" w:pos="567"/>
              </w:tabs>
              <w:spacing w:line="260" w:lineRule="exact"/>
              <w:rPr>
                <w:i/>
                <w:color w:val="000000"/>
                <w:sz w:val="22"/>
                <w:szCs w:val="22"/>
                <w:lang w:val="es-ES"/>
              </w:rPr>
            </w:pPr>
            <w:r w:rsidRPr="002D741C">
              <w:rPr>
                <w:i/>
                <w:color w:val="000000"/>
                <w:sz w:val="22"/>
                <w:szCs w:val="22"/>
                <w:lang w:val="es-ES"/>
              </w:rPr>
              <w:t>Frecuencia no conocida:</w:t>
            </w:r>
          </w:p>
        </w:tc>
        <w:tc>
          <w:tcPr>
            <w:tcW w:w="7087" w:type="dxa"/>
          </w:tcPr>
          <w:p w14:paraId="354A3C7B" w14:textId="77777777" w:rsidR="00A6343C" w:rsidRPr="002D741C" w:rsidRDefault="00A6343C" w:rsidP="00CF4EBE">
            <w:pPr>
              <w:tabs>
                <w:tab w:val="left" w:pos="567"/>
              </w:tabs>
              <w:spacing w:line="260" w:lineRule="exact"/>
              <w:rPr>
                <w:color w:val="000000"/>
                <w:sz w:val="22"/>
                <w:szCs w:val="22"/>
                <w:lang w:val="es-ES"/>
              </w:rPr>
            </w:pPr>
            <w:r w:rsidRPr="002D741C">
              <w:rPr>
                <w:color w:val="000000"/>
                <w:sz w:val="22"/>
                <w:szCs w:val="22"/>
                <w:lang w:val="es-ES"/>
              </w:rPr>
              <w:t>Hemorragia tumoral/necrosis tumoral*</w:t>
            </w:r>
          </w:p>
        </w:tc>
      </w:tr>
      <w:tr w:rsidR="006C74F0" w:rsidRPr="002D741C" w14:paraId="3C0FD5D5" w14:textId="77777777" w:rsidTr="00C16E58">
        <w:trPr>
          <w:cantSplit/>
        </w:trPr>
        <w:tc>
          <w:tcPr>
            <w:tcW w:w="9322" w:type="dxa"/>
            <w:gridSpan w:val="2"/>
          </w:tcPr>
          <w:p w14:paraId="03CBC9F8" w14:textId="77777777" w:rsidR="006C74F0" w:rsidRPr="002D741C" w:rsidRDefault="006C74F0" w:rsidP="00C16E58">
            <w:pPr>
              <w:keepNext/>
              <w:tabs>
                <w:tab w:val="left" w:pos="567"/>
              </w:tabs>
              <w:spacing w:line="260" w:lineRule="exact"/>
              <w:rPr>
                <w:b/>
                <w:color w:val="000000"/>
                <w:sz w:val="22"/>
                <w:szCs w:val="22"/>
                <w:lang w:val="es-ES"/>
              </w:rPr>
            </w:pPr>
            <w:r w:rsidRPr="002D741C">
              <w:rPr>
                <w:b/>
                <w:color w:val="000000"/>
                <w:sz w:val="22"/>
                <w:szCs w:val="22"/>
                <w:lang w:val="es-ES"/>
              </w:rPr>
              <w:t>Trastornos del sistema inmunológico</w:t>
            </w:r>
          </w:p>
        </w:tc>
      </w:tr>
      <w:tr w:rsidR="006C74F0" w:rsidRPr="002D741C" w14:paraId="512775FB" w14:textId="77777777" w:rsidTr="00C16E58">
        <w:trPr>
          <w:cantSplit/>
        </w:trPr>
        <w:tc>
          <w:tcPr>
            <w:tcW w:w="2235" w:type="dxa"/>
          </w:tcPr>
          <w:p w14:paraId="468B22B2" w14:textId="77777777" w:rsidR="006C74F0" w:rsidRPr="002D741C" w:rsidRDefault="006C74F0" w:rsidP="004374F7">
            <w:pPr>
              <w:tabs>
                <w:tab w:val="left" w:pos="567"/>
              </w:tabs>
              <w:spacing w:line="260" w:lineRule="exact"/>
              <w:rPr>
                <w:i/>
                <w:color w:val="000000"/>
                <w:sz w:val="22"/>
                <w:szCs w:val="22"/>
                <w:lang w:val="es-ES"/>
              </w:rPr>
            </w:pPr>
            <w:r w:rsidRPr="002D741C">
              <w:rPr>
                <w:i/>
                <w:color w:val="000000"/>
                <w:sz w:val="22"/>
                <w:szCs w:val="22"/>
                <w:lang w:val="es-ES"/>
              </w:rPr>
              <w:t>Frecuencia no conocida:</w:t>
            </w:r>
          </w:p>
        </w:tc>
        <w:tc>
          <w:tcPr>
            <w:tcW w:w="7087" w:type="dxa"/>
          </w:tcPr>
          <w:p w14:paraId="62BEEA18" w14:textId="77777777" w:rsidR="006C74F0" w:rsidRPr="002D741C" w:rsidRDefault="006C74F0" w:rsidP="004374F7">
            <w:pPr>
              <w:tabs>
                <w:tab w:val="left" w:pos="567"/>
              </w:tabs>
              <w:spacing w:line="260" w:lineRule="exact"/>
              <w:rPr>
                <w:color w:val="000000"/>
                <w:sz w:val="22"/>
                <w:szCs w:val="22"/>
                <w:lang w:val="es-ES"/>
              </w:rPr>
            </w:pPr>
            <w:r w:rsidRPr="002D741C">
              <w:rPr>
                <w:color w:val="000000"/>
                <w:sz w:val="22"/>
                <w:szCs w:val="22"/>
                <w:lang w:val="es-ES"/>
              </w:rPr>
              <w:t>Shock anafiláctico*</w:t>
            </w:r>
          </w:p>
        </w:tc>
      </w:tr>
      <w:tr w:rsidR="00363223" w:rsidRPr="002D741C" w14:paraId="1FC78013" w14:textId="77777777" w:rsidTr="00C16E58">
        <w:trPr>
          <w:cantSplit/>
        </w:trPr>
        <w:tc>
          <w:tcPr>
            <w:tcW w:w="9322" w:type="dxa"/>
            <w:gridSpan w:val="2"/>
          </w:tcPr>
          <w:p w14:paraId="71E60129" w14:textId="77777777" w:rsidR="00363223" w:rsidRPr="002D741C" w:rsidRDefault="00363223" w:rsidP="00C16E58">
            <w:pPr>
              <w:keepNext/>
              <w:tabs>
                <w:tab w:val="left" w:pos="567"/>
              </w:tabs>
              <w:spacing w:line="260" w:lineRule="exact"/>
              <w:rPr>
                <w:color w:val="000000"/>
                <w:sz w:val="22"/>
              </w:rPr>
            </w:pPr>
            <w:r w:rsidRPr="002D741C">
              <w:rPr>
                <w:b/>
                <w:color w:val="000000"/>
                <w:sz w:val="22"/>
                <w:szCs w:val="22"/>
                <w:lang w:val="es-ES"/>
              </w:rPr>
              <w:t>Trastornos de la sangre y del sistema linfático</w:t>
            </w:r>
          </w:p>
        </w:tc>
      </w:tr>
      <w:tr w:rsidR="00363223" w:rsidRPr="002D741C" w14:paraId="6044D89D" w14:textId="77777777" w:rsidTr="00C16E58">
        <w:trPr>
          <w:cantSplit/>
        </w:trPr>
        <w:tc>
          <w:tcPr>
            <w:tcW w:w="2235" w:type="dxa"/>
          </w:tcPr>
          <w:p w14:paraId="43892E3F" w14:textId="77777777" w:rsidR="00363223" w:rsidRPr="002D741C" w:rsidRDefault="00363223" w:rsidP="00C16E58">
            <w:pPr>
              <w:keepNext/>
              <w:tabs>
                <w:tab w:val="left" w:pos="567"/>
              </w:tabs>
              <w:spacing w:line="260" w:lineRule="exact"/>
              <w:rPr>
                <w:color w:val="000000"/>
                <w:sz w:val="22"/>
                <w:lang w:val="en-GB"/>
              </w:rPr>
            </w:pPr>
            <w:r w:rsidRPr="002D741C">
              <w:rPr>
                <w:i/>
                <w:color w:val="000000"/>
                <w:sz w:val="22"/>
                <w:szCs w:val="22"/>
                <w:lang w:val="en-GB"/>
              </w:rPr>
              <w:t>Muy frecuentes:</w:t>
            </w:r>
          </w:p>
        </w:tc>
        <w:tc>
          <w:tcPr>
            <w:tcW w:w="7087" w:type="dxa"/>
          </w:tcPr>
          <w:p w14:paraId="00BFFC76" w14:textId="77777777" w:rsidR="00363223" w:rsidRPr="002D741C" w:rsidRDefault="00363223" w:rsidP="00C16E58">
            <w:pPr>
              <w:keepNext/>
              <w:tabs>
                <w:tab w:val="left" w:pos="567"/>
              </w:tabs>
              <w:spacing w:line="260" w:lineRule="exact"/>
              <w:rPr>
                <w:color w:val="000000"/>
                <w:sz w:val="22"/>
                <w:lang w:val="en-GB"/>
              </w:rPr>
            </w:pPr>
            <w:r w:rsidRPr="002D741C">
              <w:rPr>
                <w:color w:val="000000"/>
                <w:sz w:val="22"/>
                <w:szCs w:val="22"/>
              </w:rPr>
              <w:t>Neutropenia, trombocitopenia, anemia</w:t>
            </w:r>
          </w:p>
        </w:tc>
      </w:tr>
      <w:tr w:rsidR="00363223" w:rsidRPr="002D741C" w14:paraId="698794BA" w14:textId="77777777" w:rsidTr="00C16E58">
        <w:trPr>
          <w:cantSplit/>
        </w:trPr>
        <w:tc>
          <w:tcPr>
            <w:tcW w:w="2235" w:type="dxa"/>
          </w:tcPr>
          <w:p w14:paraId="4C36DD25" w14:textId="77777777" w:rsidR="00363223" w:rsidRPr="002D741C" w:rsidRDefault="00363223" w:rsidP="00C16E58">
            <w:pPr>
              <w:keepNext/>
              <w:tabs>
                <w:tab w:val="left" w:pos="567"/>
              </w:tabs>
              <w:spacing w:line="260" w:lineRule="exact"/>
              <w:rPr>
                <w:color w:val="000000"/>
                <w:sz w:val="22"/>
                <w:lang w:val="en-GB"/>
              </w:rPr>
            </w:pPr>
            <w:r w:rsidRPr="002D741C">
              <w:rPr>
                <w:i/>
                <w:color w:val="000000"/>
                <w:sz w:val="22"/>
                <w:szCs w:val="22"/>
                <w:lang w:val="en-GB"/>
              </w:rPr>
              <w:t>Frecuentes:</w:t>
            </w:r>
          </w:p>
        </w:tc>
        <w:tc>
          <w:tcPr>
            <w:tcW w:w="7087" w:type="dxa"/>
          </w:tcPr>
          <w:p w14:paraId="6FCEBF23" w14:textId="77777777" w:rsidR="00363223" w:rsidRPr="002D741C" w:rsidRDefault="00363223" w:rsidP="00C16E58">
            <w:pPr>
              <w:keepNext/>
              <w:tabs>
                <w:tab w:val="left" w:pos="567"/>
              </w:tabs>
              <w:spacing w:line="260" w:lineRule="exact"/>
              <w:rPr>
                <w:color w:val="000000"/>
                <w:sz w:val="22"/>
                <w:lang w:val="en-GB"/>
              </w:rPr>
            </w:pPr>
            <w:r w:rsidRPr="002D741C">
              <w:rPr>
                <w:color w:val="000000"/>
                <w:sz w:val="22"/>
                <w:szCs w:val="22"/>
                <w:lang w:val="it-IT"/>
              </w:rPr>
              <w:t>Pancitopenia, neutropenia febril</w:t>
            </w:r>
          </w:p>
        </w:tc>
      </w:tr>
      <w:tr w:rsidR="00363223" w:rsidRPr="002D741C" w14:paraId="7ED34364" w14:textId="77777777" w:rsidTr="00C16E58">
        <w:trPr>
          <w:cantSplit/>
        </w:trPr>
        <w:tc>
          <w:tcPr>
            <w:tcW w:w="2235" w:type="dxa"/>
          </w:tcPr>
          <w:p w14:paraId="11619CE2" w14:textId="77777777" w:rsidR="00363223" w:rsidRPr="002D741C" w:rsidRDefault="00363223" w:rsidP="00C16E58">
            <w:pPr>
              <w:keepNext/>
              <w:tabs>
                <w:tab w:val="left" w:pos="567"/>
              </w:tabs>
              <w:spacing w:line="260" w:lineRule="exact"/>
              <w:rPr>
                <w:color w:val="000000"/>
                <w:sz w:val="22"/>
                <w:lang w:val="en-GB"/>
              </w:rPr>
            </w:pPr>
            <w:r w:rsidRPr="002D741C">
              <w:rPr>
                <w:i/>
                <w:color w:val="000000"/>
                <w:sz w:val="22"/>
                <w:szCs w:val="22"/>
                <w:lang w:val="en-GB"/>
              </w:rPr>
              <w:t>Poco frecuentes:</w:t>
            </w:r>
          </w:p>
        </w:tc>
        <w:tc>
          <w:tcPr>
            <w:tcW w:w="7087" w:type="dxa"/>
          </w:tcPr>
          <w:p w14:paraId="68CC407F" w14:textId="77777777" w:rsidR="00363223" w:rsidRPr="002D741C" w:rsidRDefault="00363223" w:rsidP="00C16E58">
            <w:pPr>
              <w:keepNext/>
              <w:tabs>
                <w:tab w:val="left" w:pos="567"/>
              </w:tabs>
              <w:spacing w:line="260" w:lineRule="exact"/>
              <w:rPr>
                <w:color w:val="000000"/>
                <w:sz w:val="22"/>
              </w:rPr>
            </w:pPr>
            <w:r w:rsidRPr="002D741C">
              <w:rPr>
                <w:color w:val="000000"/>
                <w:sz w:val="22"/>
                <w:szCs w:val="22"/>
              </w:rPr>
              <w:t>Trombocitemia, linfopenia, depresión de la médula ósea, eosinofilia, linfoadenopatía</w:t>
            </w:r>
          </w:p>
        </w:tc>
      </w:tr>
      <w:tr w:rsidR="00363223" w:rsidRPr="002D741C" w14:paraId="3AD9EFEB" w14:textId="77777777" w:rsidTr="00C16E58">
        <w:trPr>
          <w:cantSplit/>
        </w:trPr>
        <w:tc>
          <w:tcPr>
            <w:tcW w:w="2235" w:type="dxa"/>
          </w:tcPr>
          <w:p w14:paraId="09CD4BD1" w14:textId="77777777" w:rsidR="00363223" w:rsidRPr="002D741C" w:rsidRDefault="00363223" w:rsidP="004374F7">
            <w:pPr>
              <w:tabs>
                <w:tab w:val="left" w:pos="567"/>
              </w:tabs>
              <w:spacing w:line="260" w:lineRule="exact"/>
              <w:rPr>
                <w:i/>
                <w:color w:val="000000"/>
                <w:sz w:val="22"/>
                <w:lang w:val="en-GB"/>
              </w:rPr>
            </w:pPr>
            <w:r w:rsidRPr="002D741C">
              <w:rPr>
                <w:i/>
                <w:color w:val="000000"/>
                <w:sz w:val="22"/>
                <w:lang w:val="en-GB"/>
              </w:rPr>
              <w:t>Raras:</w:t>
            </w:r>
          </w:p>
        </w:tc>
        <w:tc>
          <w:tcPr>
            <w:tcW w:w="7087" w:type="dxa"/>
          </w:tcPr>
          <w:p w14:paraId="23E24767" w14:textId="77777777" w:rsidR="00363223" w:rsidRPr="002D741C" w:rsidRDefault="00363223" w:rsidP="004374F7">
            <w:pPr>
              <w:tabs>
                <w:tab w:val="left" w:pos="567"/>
              </w:tabs>
              <w:spacing w:line="260" w:lineRule="exact"/>
              <w:rPr>
                <w:color w:val="000000"/>
                <w:sz w:val="22"/>
                <w:lang w:val="en-GB"/>
              </w:rPr>
            </w:pPr>
            <w:r w:rsidRPr="002D741C">
              <w:rPr>
                <w:color w:val="000000"/>
                <w:sz w:val="22"/>
                <w:lang w:val="en-GB"/>
              </w:rPr>
              <w:t>Anemia hemolítica</w:t>
            </w:r>
            <w:r w:rsidR="00CB22C0" w:rsidRPr="002D741C">
              <w:rPr>
                <w:color w:val="000000"/>
                <w:sz w:val="22"/>
                <w:lang w:val="en-GB"/>
              </w:rPr>
              <w:t>, microangiopatía trombótica</w:t>
            </w:r>
          </w:p>
        </w:tc>
      </w:tr>
      <w:tr w:rsidR="00363223" w:rsidRPr="002D741C" w14:paraId="07DA91BA" w14:textId="77777777" w:rsidTr="00C16E58">
        <w:trPr>
          <w:cantSplit/>
        </w:trPr>
        <w:tc>
          <w:tcPr>
            <w:tcW w:w="9322" w:type="dxa"/>
            <w:gridSpan w:val="2"/>
          </w:tcPr>
          <w:p w14:paraId="55D5D85F" w14:textId="77777777" w:rsidR="00363223" w:rsidRPr="002D741C" w:rsidRDefault="00363223" w:rsidP="00C16E58">
            <w:pPr>
              <w:keepNext/>
              <w:tabs>
                <w:tab w:val="left" w:pos="567"/>
              </w:tabs>
              <w:spacing w:line="260" w:lineRule="exact"/>
              <w:rPr>
                <w:b/>
                <w:color w:val="000000"/>
                <w:sz w:val="22"/>
                <w:szCs w:val="22"/>
                <w:lang w:val="es-ES"/>
              </w:rPr>
            </w:pPr>
            <w:r w:rsidRPr="002D741C">
              <w:rPr>
                <w:b/>
                <w:color w:val="000000"/>
                <w:sz w:val="22"/>
                <w:szCs w:val="22"/>
                <w:lang w:val="es-ES"/>
              </w:rPr>
              <w:t>Trastornos del metabolismo y de la nutrición</w:t>
            </w:r>
          </w:p>
        </w:tc>
      </w:tr>
      <w:tr w:rsidR="00363223" w:rsidRPr="002D741C" w14:paraId="5D406C7B" w14:textId="77777777" w:rsidTr="00C16E58">
        <w:trPr>
          <w:cantSplit/>
        </w:trPr>
        <w:tc>
          <w:tcPr>
            <w:tcW w:w="2235" w:type="dxa"/>
          </w:tcPr>
          <w:p w14:paraId="67153E8C" w14:textId="77777777" w:rsidR="00363223" w:rsidRPr="002D741C" w:rsidRDefault="00363223" w:rsidP="00C16E58">
            <w:pPr>
              <w:keepNext/>
              <w:tabs>
                <w:tab w:val="left" w:pos="567"/>
              </w:tabs>
              <w:spacing w:line="260" w:lineRule="exact"/>
              <w:rPr>
                <w:i/>
                <w:color w:val="000000"/>
                <w:sz w:val="22"/>
                <w:szCs w:val="22"/>
                <w:lang w:val="fr-FR"/>
              </w:rPr>
            </w:pPr>
            <w:r w:rsidRPr="002D741C">
              <w:rPr>
                <w:i/>
                <w:color w:val="000000"/>
                <w:sz w:val="22"/>
                <w:szCs w:val="22"/>
                <w:lang w:val="fr-FR"/>
              </w:rPr>
              <w:t>Frecuentes:</w:t>
            </w:r>
          </w:p>
        </w:tc>
        <w:tc>
          <w:tcPr>
            <w:tcW w:w="7087" w:type="dxa"/>
          </w:tcPr>
          <w:p w14:paraId="350D609E" w14:textId="77777777" w:rsidR="00363223" w:rsidRPr="002D741C" w:rsidRDefault="00363223" w:rsidP="00C16E58">
            <w:pPr>
              <w:keepNext/>
              <w:tabs>
                <w:tab w:val="left" w:pos="567"/>
              </w:tabs>
              <w:spacing w:line="260" w:lineRule="exact"/>
              <w:rPr>
                <w:color w:val="000000"/>
                <w:sz w:val="22"/>
                <w:szCs w:val="22"/>
                <w:lang w:val="fr-FR"/>
              </w:rPr>
            </w:pPr>
            <w:r w:rsidRPr="002D741C">
              <w:rPr>
                <w:color w:val="000000"/>
                <w:sz w:val="22"/>
                <w:szCs w:val="22"/>
                <w:lang w:val="fr-FR"/>
              </w:rPr>
              <w:t>Anorexia</w:t>
            </w:r>
          </w:p>
        </w:tc>
      </w:tr>
      <w:tr w:rsidR="00363223" w:rsidRPr="002D741C" w14:paraId="533BD5FC" w14:textId="77777777" w:rsidTr="00C16E58">
        <w:trPr>
          <w:cantSplit/>
        </w:trPr>
        <w:tc>
          <w:tcPr>
            <w:tcW w:w="2235" w:type="dxa"/>
          </w:tcPr>
          <w:p w14:paraId="0B8E97C8" w14:textId="77777777" w:rsidR="00363223" w:rsidRPr="002D741C" w:rsidRDefault="00363223" w:rsidP="00C16E58">
            <w:pPr>
              <w:keepNext/>
              <w:tabs>
                <w:tab w:val="left" w:pos="567"/>
              </w:tabs>
              <w:spacing w:line="260" w:lineRule="exact"/>
              <w:rPr>
                <w:i/>
                <w:color w:val="000000"/>
                <w:sz w:val="22"/>
                <w:szCs w:val="22"/>
                <w:lang w:val="fr-FR"/>
              </w:rPr>
            </w:pPr>
            <w:r w:rsidRPr="002D741C">
              <w:rPr>
                <w:i/>
                <w:color w:val="000000"/>
                <w:sz w:val="22"/>
                <w:szCs w:val="22"/>
                <w:lang w:val="fr-FR"/>
              </w:rPr>
              <w:t>Poco frecuentes :</w:t>
            </w:r>
          </w:p>
        </w:tc>
        <w:tc>
          <w:tcPr>
            <w:tcW w:w="7087" w:type="dxa"/>
          </w:tcPr>
          <w:p w14:paraId="7861991D" w14:textId="77777777" w:rsidR="00363223" w:rsidRPr="002D741C" w:rsidRDefault="00363223" w:rsidP="00C16E58">
            <w:pPr>
              <w:keepNext/>
              <w:tabs>
                <w:tab w:val="left" w:pos="567"/>
              </w:tabs>
              <w:spacing w:line="260" w:lineRule="exact"/>
              <w:rPr>
                <w:color w:val="000000"/>
                <w:sz w:val="22"/>
                <w:szCs w:val="22"/>
                <w:lang w:val="es-ES"/>
              </w:rPr>
            </w:pPr>
            <w:r w:rsidRPr="002D741C">
              <w:rPr>
                <w:color w:val="000000"/>
                <w:sz w:val="22"/>
                <w:szCs w:val="22"/>
                <w:lang w:val="es-ES"/>
              </w:rPr>
              <w:t>Hipocalemia, aumento del apetito, hipofosfatemia, disminución del apetito, deshidratación, gota, hiperuricemia, hipercalcemia, hiperglucemia, hiponatremia</w:t>
            </w:r>
          </w:p>
        </w:tc>
      </w:tr>
      <w:tr w:rsidR="00363223" w:rsidRPr="002D741C" w14:paraId="5DE90BCB" w14:textId="77777777" w:rsidTr="00C16E58">
        <w:trPr>
          <w:cantSplit/>
        </w:trPr>
        <w:tc>
          <w:tcPr>
            <w:tcW w:w="2235" w:type="dxa"/>
          </w:tcPr>
          <w:p w14:paraId="398D067B" w14:textId="77777777" w:rsidR="00363223" w:rsidRPr="002D741C" w:rsidRDefault="00363223" w:rsidP="004374F7">
            <w:pPr>
              <w:tabs>
                <w:tab w:val="left" w:pos="567"/>
              </w:tabs>
              <w:spacing w:line="260" w:lineRule="exact"/>
              <w:rPr>
                <w:i/>
                <w:color w:val="000000"/>
                <w:sz w:val="22"/>
                <w:szCs w:val="22"/>
                <w:lang w:val="fr-FR"/>
              </w:rPr>
            </w:pPr>
            <w:r w:rsidRPr="002D741C">
              <w:rPr>
                <w:i/>
                <w:color w:val="000000"/>
                <w:sz w:val="22"/>
                <w:szCs w:val="22"/>
                <w:lang w:val="fr-FR"/>
              </w:rPr>
              <w:t>Raras:</w:t>
            </w:r>
          </w:p>
        </w:tc>
        <w:tc>
          <w:tcPr>
            <w:tcW w:w="7087" w:type="dxa"/>
          </w:tcPr>
          <w:p w14:paraId="723E5FAB" w14:textId="77777777" w:rsidR="00363223" w:rsidRPr="002D741C" w:rsidRDefault="00363223" w:rsidP="004374F7">
            <w:pPr>
              <w:tabs>
                <w:tab w:val="left" w:pos="567"/>
              </w:tabs>
              <w:spacing w:line="260" w:lineRule="exact"/>
              <w:rPr>
                <w:color w:val="000000"/>
                <w:sz w:val="22"/>
                <w:szCs w:val="22"/>
                <w:lang w:val="fr-FR"/>
              </w:rPr>
            </w:pPr>
            <w:r w:rsidRPr="002D741C">
              <w:rPr>
                <w:color w:val="000000"/>
                <w:sz w:val="22"/>
                <w:szCs w:val="22"/>
                <w:lang w:val="fr-FR"/>
              </w:rPr>
              <w:t>Hipercalemia, hipomagnesemia</w:t>
            </w:r>
          </w:p>
        </w:tc>
      </w:tr>
      <w:tr w:rsidR="00363223" w:rsidRPr="002D741C" w14:paraId="68878E3E" w14:textId="77777777" w:rsidTr="00C16E58">
        <w:trPr>
          <w:cantSplit/>
        </w:trPr>
        <w:tc>
          <w:tcPr>
            <w:tcW w:w="9322" w:type="dxa"/>
            <w:gridSpan w:val="2"/>
          </w:tcPr>
          <w:p w14:paraId="50766182" w14:textId="77777777" w:rsidR="00363223" w:rsidRPr="002D741C" w:rsidRDefault="00363223" w:rsidP="00C16E58">
            <w:pPr>
              <w:keepNext/>
              <w:tabs>
                <w:tab w:val="left" w:pos="567"/>
              </w:tabs>
              <w:spacing w:line="260" w:lineRule="exact"/>
              <w:rPr>
                <w:b/>
                <w:color w:val="000000"/>
                <w:sz w:val="22"/>
                <w:szCs w:val="22"/>
                <w:lang w:val="fr-FR"/>
              </w:rPr>
            </w:pPr>
            <w:r w:rsidRPr="002D741C">
              <w:rPr>
                <w:b/>
                <w:color w:val="000000"/>
                <w:sz w:val="22"/>
                <w:szCs w:val="22"/>
                <w:lang w:val="fr-FR"/>
              </w:rPr>
              <w:t>Trastornos psiquiátricos</w:t>
            </w:r>
          </w:p>
        </w:tc>
      </w:tr>
      <w:tr w:rsidR="00363223" w:rsidRPr="002D741C" w14:paraId="52BF6397" w14:textId="77777777" w:rsidTr="00C16E58">
        <w:trPr>
          <w:cantSplit/>
        </w:trPr>
        <w:tc>
          <w:tcPr>
            <w:tcW w:w="2235" w:type="dxa"/>
          </w:tcPr>
          <w:p w14:paraId="3368CE72" w14:textId="77777777" w:rsidR="00363223" w:rsidRPr="002D741C" w:rsidRDefault="00363223" w:rsidP="00C16E58">
            <w:pPr>
              <w:keepNext/>
              <w:tabs>
                <w:tab w:val="left" w:pos="567"/>
              </w:tabs>
              <w:spacing w:line="260" w:lineRule="exact"/>
              <w:rPr>
                <w:i/>
                <w:color w:val="000000"/>
                <w:sz w:val="22"/>
                <w:szCs w:val="22"/>
                <w:lang w:val="fr-FR"/>
              </w:rPr>
            </w:pPr>
            <w:r w:rsidRPr="002D741C">
              <w:rPr>
                <w:i/>
                <w:color w:val="000000"/>
                <w:sz w:val="22"/>
                <w:szCs w:val="22"/>
                <w:lang w:val="fr-FR"/>
              </w:rPr>
              <w:t>Frecuentes:</w:t>
            </w:r>
          </w:p>
        </w:tc>
        <w:tc>
          <w:tcPr>
            <w:tcW w:w="7087" w:type="dxa"/>
          </w:tcPr>
          <w:p w14:paraId="56C4B0CC" w14:textId="77777777" w:rsidR="00363223" w:rsidRPr="002D741C" w:rsidRDefault="00363223" w:rsidP="00C16E58">
            <w:pPr>
              <w:keepNext/>
              <w:tabs>
                <w:tab w:val="left" w:pos="567"/>
              </w:tabs>
              <w:spacing w:line="260" w:lineRule="exact"/>
              <w:rPr>
                <w:color w:val="000000"/>
                <w:sz w:val="22"/>
                <w:szCs w:val="22"/>
                <w:lang w:val="fr-FR"/>
              </w:rPr>
            </w:pPr>
            <w:r w:rsidRPr="002D741C">
              <w:rPr>
                <w:color w:val="000000"/>
                <w:sz w:val="22"/>
                <w:szCs w:val="22"/>
                <w:lang w:val="fr-FR"/>
              </w:rPr>
              <w:t>Insomnio</w:t>
            </w:r>
          </w:p>
        </w:tc>
      </w:tr>
      <w:tr w:rsidR="00363223" w:rsidRPr="002D741C" w14:paraId="7170D407" w14:textId="77777777" w:rsidTr="00C16E58">
        <w:trPr>
          <w:cantSplit/>
        </w:trPr>
        <w:tc>
          <w:tcPr>
            <w:tcW w:w="2235" w:type="dxa"/>
          </w:tcPr>
          <w:p w14:paraId="135C7DC3" w14:textId="77777777" w:rsidR="00363223" w:rsidRPr="002D741C" w:rsidRDefault="00363223" w:rsidP="00C16E58">
            <w:pPr>
              <w:keepNext/>
              <w:tabs>
                <w:tab w:val="left" w:pos="567"/>
              </w:tabs>
              <w:spacing w:line="260" w:lineRule="exact"/>
              <w:rPr>
                <w:i/>
                <w:color w:val="000000"/>
                <w:sz w:val="22"/>
                <w:szCs w:val="22"/>
                <w:lang w:val="fr-FR"/>
              </w:rPr>
            </w:pPr>
            <w:r w:rsidRPr="002D741C">
              <w:rPr>
                <w:i/>
                <w:color w:val="000000"/>
                <w:sz w:val="22"/>
                <w:szCs w:val="22"/>
                <w:lang w:val="fr-FR"/>
              </w:rPr>
              <w:t>Poco frecuentes:</w:t>
            </w:r>
          </w:p>
        </w:tc>
        <w:tc>
          <w:tcPr>
            <w:tcW w:w="7087" w:type="dxa"/>
          </w:tcPr>
          <w:p w14:paraId="5E515683" w14:textId="77777777" w:rsidR="00363223" w:rsidRPr="002D741C" w:rsidRDefault="00363223" w:rsidP="00C16E58">
            <w:pPr>
              <w:keepNext/>
              <w:tabs>
                <w:tab w:val="left" w:pos="567"/>
              </w:tabs>
              <w:spacing w:line="260" w:lineRule="exact"/>
              <w:rPr>
                <w:color w:val="000000"/>
                <w:sz w:val="22"/>
                <w:szCs w:val="22"/>
                <w:lang w:val="es-ES"/>
              </w:rPr>
            </w:pPr>
            <w:r w:rsidRPr="002D741C">
              <w:rPr>
                <w:color w:val="000000"/>
                <w:sz w:val="22"/>
                <w:szCs w:val="22"/>
                <w:lang w:val="es-ES"/>
              </w:rPr>
              <w:t>Depresión, disminución de la líbido, ansiedad</w:t>
            </w:r>
          </w:p>
        </w:tc>
      </w:tr>
      <w:tr w:rsidR="00363223" w:rsidRPr="002D741C" w14:paraId="2EBEE29A" w14:textId="77777777" w:rsidTr="00C16E58">
        <w:trPr>
          <w:cantSplit/>
        </w:trPr>
        <w:tc>
          <w:tcPr>
            <w:tcW w:w="2235" w:type="dxa"/>
          </w:tcPr>
          <w:p w14:paraId="1082F4BA" w14:textId="77777777" w:rsidR="00363223" w:rsidRPr="002D741C" w:rsidRDefault="00363223" w:rsidP="004374F7">
            <w:pPr>
              <w:tabs>
                <w:tab w:val="left" w:pos="567"/>
              </w:tabs>
              <w:spacing w:line="260" w:lineRule="exact"/>
              <w:rPr>
                <w:i/>
                <w:color w:val="000000"/>
                <w:sz w:val="22"/>
                <w:szCs w:val="22"/>
                <w:lang w:val="fr-FR"/>
              </w:rPr>
            </w:pPr>
            <w:r w:rsidRPr="002D741C">
              <w:rPr>
                <w:i/>
                <w:color w:val="000000"/>
                <w:sz w:val="22"/>
                <w:szCs w:val="22"/>
                <w:lang w:val="fr-FR"/>
              </w:rPr>
              <w:t>Raras:</w:t>
            </w:r>
          </w:p>
        </w:tc>
        <w:tc>
          <w:tcPr>
            <w:tcW w:w="7087" w:type="dxa"/>
          </w:tcPr>
          <w:p w14:paraId="0AF33181" w14:textId="77777777" w:rsidR="00363223" w:rsidRPr="002D741C" w:rsidRDefault="00363223" w:rsidP="004374F7">
            <w:pPr>
              <w:tabs>
                <w:tab w:val="left" w:pos="567"/>
              </w:tabs>
              <w:spacing w:line="260" w:lineRule="exact"/>
              <w:rPr>
                <w:color w:val="000000"/>
                <w:sz w:val="22"/>
                <w:szCs w:val="22"/>
                <w:lang w:val="fr-FR"/>
              </w:rPr>
            </w:pPr>
            <w:r w:rsidRPr="002D741C">
              <w:rPr>
                <w:color w:val="000000"/>
                <w:sz w:val="22"/>
                <w:szCs w:val="22"/>
                <w:lang w:val="fr-FR"/>
              </w:rPr>
              <w:t>Confusión</w:t>
            </w:r>
          </w:p>
        </w:tc>
      </w:tr>
      <w:tr w:rsidR="00363223" w:rsidRPr="002D741C" w14:paraId="0AC37FD5" w14:textId="77777777" w:rsidTr="00C16E58">
        <w:trPr>
          <w:cantSplit/>
        </w:trPr>
        <w:tc>
          <w:tcPr>
            <w:tcW w:w="9322" w:type="dxa"/>
            <w:gridSpan w:val="2"/>
          </w:tcPr>
          <w:p w14:paraId="6C080562" w14:textId="77777777" w:rsidR="00363223" w:rsidRPr="002D741C" w:rsidRDefault="00363223" w:rsidP="00C16E58">
            <w:pPr>
              <w:keepNext/>
              <w:tabs>
                <w:tab w:val="left" w:pos="567"/>
              </w:tabs>
              <w:spacing w:line="260" w:lineRule="exact"/>
              <w:rPr>
                <w:color w:val="000000"/>
                <w:sz w:val="22"/>
                <w:lang w:val="en-GB"/>
              </w:rPr>
            </w:pPr>
            <w:r w:rsidRPr="002D741C">
              <w:rPr>
                <w:b/>
                <w:color w:val="000000"/>
                <w:sz w:val="22"/>
                <w:szCs w:val="22"/>
                <w:lang w:val="fr-FR"/>
              </w:rPr>
              <w:t>Trastornos del sistema nervioso</w:t>
            </w:r>
          </w:p>
        </w:tc>
      </w:tr>
      <w:tr w:rsidR="00363223" w:rsidRPr="002D741C" w14:paraId="4C1670C5" w14:textId="77777777" w:rsidTr="00C16E58">
        <w:trPr>
          <w:cantSplit/>
        </w:trPr>
        <w:tc>
          <w:tcPr>
            <w:tcW w:w="2235" w:type="dxa"/>
          </w:tcPr>
          <w:p w14:paraId="090BD258" w14:textId="77777777" w:rsidR="00363223" w:rsidRPr="002D741C" w:rsidRDefault="00363223" w:rsidP="00C16E58">
            <w:pPr>
              <w:keepNext/>
              <w:tabs>
                <w:tab w:val="left" w:pos="567"/>
              </w:tabs>
              <w:spacing w:line="260" w:lineRule="exact"/>
              <w:rPr>
                <w:color w:val="000000"/>
                <w:sz w:val="22"/>
                <w:lang w:val="en-GB"/>
              </w:rPr>
            </w:pPr>
            <w:r w:rsidRPr="002D741C">
              <w:rPr>
                <w:i/>
                <w:color w:val="000000"/>
                <w:sz w:val="22"/>
                <w:szCs w:val="22"/>
              </w:rPr>
              <w:t>Muy frecuentes</w:t>
            </w:r>
            <w:r w:rsidRPr="002D741C">
              <w:rPr>
                <w:i/>
                <w:color w:val="000000"/>
                <w:szCs w:val="22"/>
              </w:rPr>
              <w:t>:</w:t>
            </w:r>
          </w:p>
        </w:tc>
        <w:tc>
          <w:tcPr>
            <w:tcW w:w="7087" w:type="dxa"/>
          </w:tcPr>
          <w:p w14:paraId="259123C8" w14:textId="77777777" w:rsidR="00363223" w:rsidRPr="002D741C" w:rsidRDefault="00363223" w:rsidP="00C16E58">
            <w:pPr>
              <w:keepNext/>
              <w:tabs>
                <w:tab w:val="left" w:pos="567"/>
              </w:tabs>
              <w:spacing w:line="260" w:lineRule="exact"/>
              <w:rPr>
                <w:color w:val="000000"/>
                <w:sz w:val="22"/>
                <w:lang w:val="en-GB"/>
              </w:rPr>
            </w:pPr>
            <w:r w:rsidRPr="002D741C">
              <w:rPr>
                <w:color w:val="000000"/>
                <w:sz w:val="22"/>
                <w:szCs w:val="22"/>
                <w:lang w:val="en-GB"/>
              </w:rPr>
              <w:t>Cefalea</w:t>
            </w:r>
            <w:r w:rsidRPr="002D741C">
              <w:rPr>
                <w:color w:val="000000"/>
                <w:sz w:val="22"/>
                <w:szCs w:val="22"/>
                <w:vertAlign w:val="superscript"/>
                <w:lang w:val="en-GB"/>
              </w:rPr>
              <w:t>2</w:t>
            </w:r>
          </w:p>
        </w:tc>
      </w:tr>
      <w:tr w:rsidR="00363223" w:rsidRPr="002D741C" w14:paraId="7556C02A" w14:textId="77777777" w:rsidTr="00C16E58">
        <w:trPr>
          <w:cantSplit/>
        </w:trPr>
        <w:tc>
          <w:tcPr>
            <w:tcW w:w="2235" w:type="dxa"/>
          </w:tcPr>
          <w:p w14:paraId="13F1097D" w14:textId="77777777" w:rsidR="00363223" w:rsidRPr="002D741C" w:rsidRDefault="00363223" w:rsidP="00C16E58">
            <w:pPr>
              <w:keepNext/>
              <w:tabs>
                <w:tab w:val="left" w:pos="567"/>
              </w:tabs>
              <w:spacing w:line="260" w:lineRule="exact"/>
              <w:rPr>
                <w:color w:val="000000"/>
                <w:sz w:val="22"/>
                <w:szCs w:val="22"/>
                <w:lang w:val="en-GB"/>
              </w:rPr>
            </w:pPr>
            <w:r w:rsidRPr="002D741C">
              <w:rPr>
                <w:i/>
                <w:color w:val="000000"/>
                <w:sz w:val="22"/>
                <w:szCs w:val="22"/>
              </w:rPr>
              <w:t>Frecuentes:</w:t>
            </w:r>
          </w:p>
        </w:tc>
        <w:tc>
          <w:tcPr>
            <w:tcW w:w="7087" w:type="dxa"/>
          </w:tcPr>
          <w:p w14:paraId="2105C4AC" w14:textId="77777777" w:rsidR="00363223" w:rsidRPr="002D741C" w:rsidRDefault="00363223" w:rsidP="00C16E58">
            <w:pPr>
              <w:keepNext/>
              <w:tabs>
                <w:tab w:val="left" w:pos="567"/>
              </w:tabs>
              <w:spacing w:line="260" w:lineRule="exact"/>
              <w:rPr>
                <w:color w:val="000000"/>
                <w:sz w:val="22"/>
                <w:szCs w:val="22"/>
              </w:rPr>
            </w:pPr>
            <w:r w:rsidRPr="002D741C">
              <w:rPr>
                <w:color w:val="000000"/>
                <w:sz w:val="22"/>
                <w:szCs w:val="22"/>
              </w:rPr>
              <w:t>Mareo, parestesia, alteraciones del gusto, hipoestesia</w:t>
            </w:r>
          </w:p>
        </w:tc>
      </w:tr>
      <w:tr w:rsidR="00363223" w:rsidRPr="002D741C" w14:paraId="63FBD28C" w14:textId="77777777" w:rsidTr="00C16E58">
        <w:trPr>
          <w:cantSplit/>
        </w:trPr>
        <w:tc>
          <w:tcPr>
            <w:tcW w:w="2235" w:type="dxa"/>
          </w:tcPr>
          <w:p w14:paraId="1C17089E" w14:textId="77777777" w:rsidR="00363223" w:rsidRPr="002D741C" w:rsidRDefault="00363223" w:rsidP="00C16E58">
            <w:pPr>
              <w:keepNext/>
              <w:tabs>
                <w:tab w:val="left" w:pos="567"/>
              </w:tabs>
              <w:spacing w:line="260" w:lineRule="exact"/>
              <w:rPr>
                <w:color w:val="000000"/>
                <w:sz w:val="22"/>
                <w:lang w:val="en-GB"/>
              </w:rPr>
            </w:pPr>
            <w:r w:rsidRPr="002D741C">
              <w:rPr>
                <w:i/>
                <w:color w:val="000000"/>
                <w:sz w:val="22"/>
                <w:szCs w:val="22"/>
                <w:lang w:val="en-GB"/>
              </w:rPr>
              <w:t>Poco frecuentes:</w:t>
            </w:r>
          </w:p>
        </w:tc>
        <w:tc>
          <w:tcPr>
            <w:tcW w:w="7087" w:type="dxa"/>
          </w:tcPr>
          <w:p w14:paraId="3AB24487" w14:textId="77777777" w:rsidR="00363223" w:rsidRPr="002D741C" w:rsidRDefault="00363223" w:rsidP="00C16E58">
            <w:pPr>
              <w:keepNext/>
              <w:tabs>
                <w:tab w:val="left" w:pos="567"/>
              </w:tabs>
              <w:spacing w:line="260" w:lineRule="exact"/>
              <w:rPr>
                <w:color w:val="000000"/>
                <w:sz w:val="22"/>
              </w:rPr>
            </w:pPr>
            <w:r w:rsidRPr="002D741C">
              <w:rPr>
                <w:color w:val="000000"/>
                <w:sz w:val="22"/>
                <w:szCs w:val="22"/>
              </w:rPr>
              <w:t xml:space="preserve">Migraña, somnolencia, síncope, neuropatía periférica, alteración de la memoria, ciática, síndrome de piernas inquietas, temblor, hemorragia cerebral </w:t>
            </w:r>
          </w:p>
        </w:tc>
      </w:tr>
      <w:tr w:rsidR="00363223" w:rsidRPr="002D741C" w14:paraId="52C3222C" w14:textId="77777777" w:rsidTr="00C16E58">
        <w:trPr>
          <w:cantSplit/>
        </w:trPr>
        <w:tc>
          <w:tcPr>
            <w:tcW w:w="2235" w:type="dxa"/>
          </w:tcPr>
          <w:p w14:paraId="4EC92717" w14:textId="77777777" w:rsidR="00363223" w:rsidRPr="002D741C" w:rsidRDefault="00363223" w:rsidP="00C16E58">
            <w:pPr>
              <w:keepNext/>
              <w:tabs>
                <w:tab w:val="left" w:pos="567"/>
              </w:tabs>
              <w:spacing w:line="260" w:lineRule="exact"/>
              <w:rPr>
                <w:color w:val="000000"/>
                <w:sz w:val="22"/>
                <w:lang w:val="en-GB"/>
              </w:rPr>
            </w:pPr>
            <w:r w:rsidRPr="002D741C">
              <w:rPr>
                <w:i/>
                <w:color w:val="000000"/>
                <w:sz w:val="22"/>
                <w:szCs w:val="22"/>
                <w:lang w:val="en-GB"/>
              </w:rPr>
              <w:t>Raras:</w:t>
            </w:r>
          </w:p>
        </w:tc>
        <w:tc>
          <w:tcPr>
            <w:tcW w:w="7087" w:type="dxa"/>
          </w:tcPr>
          <w:p w14:paraId="15ED7C38" w14:textId="77777777" w:rsidR="00363223" w:rsidRPr="002D741C" w:rsidRDefault="00363223" w:rsidP="00C16E58">
            <w:pPr>
              <w:keepNext/>
              <w:tabs>
                <w:tab w:val="left" w:pos="567"/>
              </w:tabs>
              <w:spacing w:line="260" w:lineRule="exact"/>
              <w:rPr>
                <w:color w:val="000000"/>
                <w:sz w:val="22"/>
                <w:szCs w:val="22"/>
              </w:rPr>
            </w:pPr>
            <w:r w:rsidRPr="002D741C">
              <w:rPr>
                <w:color w:val="000000"/>
                <w:sz w:val="22"/>
                <w:szCs w:val="22"/>
              </w:rPr>
              <w:t>Aumento de la presión intracraneal, convulsiones, neuritis óptica</w:t>
            </w:r>
          </w:p>
        </w:tc>
      </w:tr>
      <w:tr w:rsidR="006C74F0" w:rsidRPr="002D741C" w14:paraId="7D801A3D" w14:textId="77777777" w:rsidTr="00C16E58">
        <w:trPr>
          <w:cantSplit/>
        </w:trPr>
        <w:tc>
          <w:tcPr>
            <w:tcW w:w="2235" w:type="dxa"/>
          </w:tcPr>
          <w:p w14:paraId="2302C3CF" w14:textId="77777777" w:rsidR="006C74F0" w:rsidRPr="002D741C" w:rsidRDefault="006C74F0" w:rsidP="004374F7">
            <w:pPr>
              <w:tabs>
                <w:tab w:val="left" w:pos="567"/>
              </w:tabs>
              <w:spacing w:line="260" w:lineRule="exact"/>
              <w:rPr>
                <w:i/>
                <w:color w:val="000000"/>
                <w:sz w:val="22"/>
                <w:szCs w:val="22"/>
                <w:lang w:val="en-GB"/>
              </w:rPr>
            </w:pPr>
            <w:r w:rsidRPr="002D741C">
              <w:rPr>
                <w:i/>
                <w:color w:val="000000"/>
                <w:sz w:val="22"/>
                <w:szCs w:val="22"/>
                <w:lang w:val="en-GB"/>
              </w:rPr>
              <w:t>Frecuencia no conocida:</w:t>
            </w:r>
          </w:p>
        </w:tc>
        <w:tc>
          <w:tcPr>
            <w:tcW w:w="7087" w:type="dxa"/>
          </w:tcPr>
          <w:p w14:paraId="3C1E9D2A" w14:textId="77777777" w:rsidR="006C74F0" w:rsidRPr="002D741C" w:rsidRDefault="006C74F0" w:rsidP="004374F7">
            <w:pPr>
              <w:tabs>
                <w:tab w:val="left" w:pos="567"/>
              </w:tabs>
              <w:spacing w:line="260" w:lineRule="exact"/>
              <w:rPr>
                <w:color w:val="000000"/>
                <w:sz w:val="22"/>
                <w:szCs w:val="22"/>
              </w:rPr>
            </w:pPr>
            <w:r w:rsidRPr="002D741C">
              <w:rPr>
                <w:color w:val="000000"/>
                <w:sz w:val="22"/>
                <w:szCs w:val="22"/>
              </w:rPr>
              <w:t>Edema cerebral*</w:t>
            </w:r>
          </w:p>
        </w:tc>
      </w:tr>
      <w:tr w:rsidR="00363223" w:rsidRPr="002D741C" w14:paraId="3C44968D" w14:textId="77777777" w:rsidTr="00C16E58">
        <w:trPr>
          <w:cantSplit/>
        </w:trPr>
        <w:tc>
          <w:tcPr>
            <w:tcW w:w="9322" w:type="dxa"/>
            <w:gridSpan w:val="2"/>
          </w:tcPr>
          <w:p w14:paraId="367B8907" w14:textId="77777777" w:rsidR="00363223" w:rsidRPr="002D741C" w:rsidRDefault="00363223" w:rsidP="00C16E58">
            <w:pPr>
              <w:keepNext/>
              <w:tabs>
                <w:tab w:val="left" w:pos="567"/>
              </w:tabs>
              <w:spacing w:line="260" w:lineRule="exact"/>
              <w:rPr>
                <w:color w:val="000000"/>
                <w:sz w:val="22"/>
                <w:lang w:val="en-GB"/>
              </w:rPr>
            </w:pPr>
            <w:r w:rsidRPr="002D741C">
              <w:rPr>
                <w:b/>
                <w:color w:val="000000"/>
                <w:sz w:val="22"/>
                <w:szCs w:val="22"/>
                <w:lang w:val="it-IT"/>
              </w:rPr>
              <w:t>Trastornos oculares</w:t>
            </w:r>
          </w:p>
        </w:tc>
      </w:tr>
      <w:tr w:rsidR="00363223" w:rsidRPr="002D741C" w14:paraId="6E500C25" w14:textId="77777777" w:rsidTr="00C16E58">
        <w:trPr>
          <w:cantSplit/>
        </w:trPr>
        <w:tc>
          <w:tcPr>
            <w:tcW w:w="2235" w:type="dxa"/>
          </w:tcPr>
          <w:p w14:paraId="2E50843A" w14:textId="77777777" w:rsidR="00363223" w:rsidRPr="002D741C" w:rsidRDefault="00363223" w:rsidP="00C16E58">
            <w:pPr>
              <w:keepNext/>
              <w:tabs>
                <w:tab w:val="left" w:pos="567"/>
              </w:tabs>
              <w:spacing w:line="260" w:lineRule="exact"/>
              <w:rPr>
                <w:color w:val="000000"/>
                <w:sz w:val="22"/>
                <w:lang w:val="en-GB"/>
              </w:rPr>
            </w:pPr>
            <w:r w:rsidRPr="002D741C">
              <w:rPr>
                <w:i/>
                <w:color w:val="000000"/>
                <w:sz w:val="22"/>
                <w:szCs w:val="22"/>
                <w:lang w:val="en-GB"/>
              </w:rPr>
              <w:t>Frecuentes:</w:t>
            </w:r>
          </w:p>
        </w:tc>
        <w:tc>
          <w:tcPr>
            <w:tcW w:w="7087" w:type="dxa"/>
          </w:tcPr>
          <w:p w14:paraId="61ED7937" w14:textId="77777777" w:rsidR="00363223" w:rsidRPr="002D741C" w:rsidRDefault="00363223" w:rsidP="00C16E58">
            <w:pPr>
              <w:keepNext/>
              <w:tabs>
                <w:tab w:val="left" w:pos="567"/>
              </w:tabs>
              <w:spacing w:line="260" w:lineRule="exact"/>
              <w:rPr>
                <w:color w:val="000000"/>
                <w:sz w:val="22"/>
              </w:rPr>
            </w:pPr>
            <w:r w:rsidRPr="002D741C">
              <w:rPr>
                <w:color w:val="000000"/>
                <w:sz w:val="22"/>
                <w:szCs w:val="22"/>
              </w:rPr>
              <w:t>Edema palpebral, aumento del lagrimeo, hemorragia conjuntival, conjuntivitis, ojo seco, visión borrosa</w:t>
            </w:r>
          </w:p>
        </w:tc>
      </w:tr>
      <w:tr w:rsidR="00363223" w:rsidRPr="002D741C" w14:paraId="532B99BF" w14:textId="77777777" w:rsidTr="00C16E58">
        <w:trPr>
          <w:cantSplit/>
        </w:trPr>
        <w:tc>
          <w:tcPr>
            <w:tcW w:w="2235" w:type="dxa"/>
          </w:tcPr>
          <w:p w14:paraId="0FEEC721" w14:textId="77777777" w:rsidR="00363223" w:rsidRPr="002D741C" w:rsidRDefault="00363223" w:rsidP="00C16E58">
            <w:pPr>
              <w:keepNext/>
              <w:tabs>
                <w:tab w:val="left" w:pos="567"/>
              </w:tabs>
              <w:spacing w:line="260" w:lineRule="exact"/>
              <w:rPr>
                <w:color w:val="000000"/>
                <w:sz w:val="22"/>
                <w:lang w:val="en-GB"/>
              </w:rPr>
            </w:pPr>
            <w:r w:rsidRPr="002D741C">
              <w:rPr>
                <w:i/>
                <w:color w:val="000000"/>
                <w:sz w:val="22"/>
                <w:szCs w:val="22"/>
                <w:lang w:val="en-GB"/>
              </w:rPr>
              <w:t>Poco frecuentes:</w:t>
            </w:r>
          </w:p>
        </w:tc>
        <w:tc>
          <w:tcPr>
            <w:tcW w:w="7087" w:type="dxa"/>
          </w:tcPr>
          <w:p w14:paraId="5659EED1" w14:textId="77777777" w:rsidR="00363223" w:rsidRPr="002D741C" w:rsidRDefault="00363223" w:rsidP="00C16E58">
            <w:pPr>
              <w:keepNext/>
              <w:tabs>
                <w:tab w:val="left" w:pos="567"/>
              </w:tabs>
              <w:spacing w:line="260" w:lineRule="exact"/>
              <w:rPr>
                <w:color w:val="000000"/>
                <w:sz w:val="22"/>
              </w:rPr>
            </w:pPr>
            <w:r w:rsidRPr="002D741C">
              <w:rPr>
                <w:color w:val="000000"/>
                <w:sz w:val="22"/>
                <w:szCs w:val="22"/>
              </w:rPr>
              <w:t>Irritación ocular, dolor ocular, edema orbital, hemorragia escleral, hemorragia retiniana, blefaritis, edema macular</w:t>
            </w:r>
          </w:p>
        </w:tc>
      </w:tr>
      <w:tr w:rsidR="00363223" w:rsidRPr="002D741C" w14:paraId="300EFEBC" w14:textId="77777777" w:rsidTr="00C16E58">
        <w:trPr>
          <w:cantSplit/>
        </w:trPr>
        <w:tc>
          <w:tcPr>
            <w:tcW w:w="2235" w:type="dxa"/>
          </w:tcPr>
          <w:p w14:paraId="4AB61BB6" w14:textId="77777777" w:rsidR="00363223" w:rsidRPr="002D741C" w:rsidRDefault="00363223" w:rsidP="00C16E58">
            <w:pPr>
              <w:keepNext/>
              <w:tabs>
                <w:tab w:val="left" w:pos="567"/>
              </w:tabs>
              <w:spacing w:line="260" w:lineRule="exact"/>
              <w:rPr>
                <w:color w:val="000000"/>
                <w:sz w:val="22"/>
                <w:lang w:val="en-GB"/>
              </w:rPr>
            </w:pPr>
            <w:r w:rsidRPr="002D741C">
              <w:rPr>
                <w:i/>
                <w:color w:val="000000"/>
                <w:sz w:val="22"/>
                <w:szCs w:val="22"/>
                <w:lang w:val="en-GB"/>
              </w:rPr>
              <w:t>Raras:</w:t>
            </w:r>
          </w:p>
        </w:tc>
        <w:tc>
          <w:tcPr>
            <w:tcW w:w="7087" w:type="dxa"/>
          </w:tcPr>
          <w:p w14:paraId="47520177" w14:textId="77777777" w:rsidR="00363223" w:rsidRPr="002D741C" w:rsidRDefault="00363223" w:rsidP="00C16E58">
            <w:pPr>
              <w:keepNext/>
              <w:tabs>
                <w:tab w:val="left" w:pos="567"/>
              </w:tabs>
              <w:spacing w:line="260" w:lineRule="exact"/>
              <w:rPr>
                <w:color w:val="000000"/>
                <w:sz w:val="22"/>
                <w:lang w:val="en-GB"/>
              </w:rPr>
            </w:pPr>
            <w:r w:rsidRPr="002D741C">
              <w:rPr>
                <w:color w:val="000000"/>
                <w:sz w:val="22"/>
                <w:szCs w:val="22"/>
                <w:lang w:val="en-GB"/>
              </w:rPr>
              <w:t>Catarata, glaucoma, papiloedema</w:t>
            </w:r>
          </w:p>
        </w:tc>
      </w:tr>
      <w:tr w:rsidR="006C74F0" w:rsidRPr="002D741C" w14:paraId="07ACC3DD" w14:textId="77777777" w:rsidTr="00C16E58">
        <w:trPr>
          <w:cantSplit/>
        </w:trPr>
        <w:tc>
          <w:tcPr>
            <w:tcW w:w="2235" w:type="dxa"/>
          </w:tcPr>
          <w:p w14:paraId="4A4F373B" w14:textId="77777777" w:rsidR="006C74F0" w:rsidRPr="002D741C" w:rsidRDefault="006C74F0" w:rsidP="004374F7">
            <w:pPr>
              <w:tabs>
                <w:tab w:val="left" w:pos="567"/>
              </w:tabs>
              <w:spacing w:line="260" w:lineRule="exact"/>
              <w:rPr>
                <w:i/>
                <w:color w:val="000000"/>
                <w:sz w:val="22"/>
                <w:szCs w:val="22"/>
                <w:lang w:val="en-GB"/>
              </w:rPr>
            </w:pPr>
            <w:r w:rsidRPr="002D741C">
              <w:rPr>
                <w:i/>
                <w:color w:val="000000"/>
                <w:sz w:val="22"/>
                <w:szCs w:val="22"/>
                <w:lang w:val="en-GB"/>
              </w:rPr>
              <w:t>Frecuencia no conocida:</w:t>
            </w:r>
          </w:p>
        </w:tc>
        <w:tc>
          <w:tcPr>
            <w:tcW w:w="7087" w:type="dxa"/>
          </w:tcPr>
          <w:p w14:paraId="5C06B078" w14:textId="77777777" w:rsidR="006C74F0" w:rsidRPr="002D741C" w:rsidRDefault="006C74F0" w:rsidP="004374F7">
            <w:pPr>
              <w:tabs>
                <w:tab w:val="left" w:pos="567"/>
              </w:tabs>
              <w:spacing w:line="260" w:lineRule="exact"/>
              <w:rPr>
                <w:color w:val="000000"/>
                <w:sz w:val="22"/>
                <w:szCs w:val="22"/>
                <w:lang w:val="en-GB"/>
              </w:rPr>
            </w:pPr>
            <w:r w:rsidRPr="002D741C">
              <w:rPr>
                <w:color w:val="000000"/>
                <w:sz w:val="22"/>
                <w:szCs w:val="22"/>
                <w:lang w:val="en-GB"/>
              </w:rPr>
              <w:t>Hemorragia vítrea*</w:t>
            </w:r>
          </w:p>
        </w:tc>
      </w:tr>
      <w:tr w:rsidR="00363223" w:rsidRPr="002D741C" w14:paraId="5748D452" w14:textId="77777777" w:rsidTr="00C16E58">
        <w:trPr>
          <w:cantSplit/>
        </w:trPr>
        <w:tc>
          <w:tcPr>
            <w:tcW w:w="9322" w:type="dxa"/>
            <w:gridSpan w:val="2"/>
          </w:tcPr>
          <w:p w14:paraId="09E2A7B7" w14:textId="77777777" w:rsidR="00363223" w:rsidRPr="002D741C" w:rsidRDefault="00363223" w:rsidP="00C16E58">
            <w:pPr>
              <w:keepNext/>
              <w:tabs>
                <w:tab w:val="left" w:pos="567"/>
              </w:tabs>
              <w:spacing w:line="260" w:lineRule="exact"/>
              <w:rPr>
                <w:color w:val="000000"/>
                <w:sz w:val="22"/>
              </w:rPr>
            </w:pPr>
            <w:r w:rsidRPr="002D741C">
              <w:rPr>
                <w:b/>
                <w:color w:val="000000"/>
                <w:sz w:val="22"/>
                <w:szCs w:val="22"/>
                <w:lang w:val="es-ES"/>
              </w:rPr>
              <w:t>Trastornos del oído y del laberinto</w:t>
            </w:r>
          </w:p>
        </w:tc>
      </w:tr>
      <w:tr w:rsidR="00363223" w:rsidRPr="002D741C" w14:paraId="495AC3BB" w14:textId="77777777" w:rsidTr="00C16E58">
        <w:trPr>
          <w:cantSplit/>
        </w:trPr>
        <w:tc>
          <w:tcPr>
            <w:tcW w:w="2235" w:type="dxa"/>
          </w:tcPr>
          <w:p w14:paraId="20063A83" w14:textId="77777777" w:rsidR="00363223" w:rsidRPr="002D741C" w:rsidRDefault="00363223" w:rsidP="004374F7">
            <w:pPr>
              <w:tabs>
                <w:tab w:val="left" w:pos="567"/>
              </w:tabs>
              <w:spacing w:line="260" w:lineRule="exact"/>
              <w:rPr>
                <w:color w:val="000000"/>
                <w:sz w:val="22"/>
                <w:lang w:val="en-GB"/>
              </w:rPr>
            </w:pPr>
            <w:r w:rsidRPr="002D741C">
              <w:rPr>
                <w:i/>
                <w:color w:val="000000"/>
                <w:sz w:val="22"/>
                <w:szCs w:val="22"/>
                <w:lang w:val="en-GB"/>
              </w:rPr>
              <w:t>Poco frecuentes:</w:t>
            </w:r>
          </w:p>
        </w:tc>
        <w:tc>
          <w:tcPr>
            <w:tcW w:w="7087" w:type="dxa"/>
          </w:tcPr>
          <w:p w14:paraId="29FF7C92" w14:textId="77777777" w:rsidR="00363223" w:rsidRPr="002D741C" w:rsidRDefault="00363223" w:rsidP="004374F7">
            <w:pPr>
              <w:tabs>
                <w:tab w:val="left" w:pos="567"/>
              </w:tabs>
              <w:spacing w:line="260" w:lineRule="exact"/>
              <w:rPr>
                <w:color w:val="000000"/>
                <w:sz w:val="22"/>
                <w:lang w:val="pt-BR"/>
              </w:rPr>
            </w:pPr>
            <w:r w:rsidRPr="002D741C">
              <w:rPr>
                <w:color w:val="000000"/>
                <w:sz w:val="22"/>
                <w:szCs w:val="22"/>
                <w:lang w:val="pt-BR"/>
              </w:rPr>
              <w:t>Vértigo, tinnitus, pérdida de audición</w:t>
            </w:r>
          </w:p>
        </w:tc>
      </w:tr>
      <w:tr w:rsidR="00363223" w:rsidRPr="002D741C" w14:paraId="22407121" w14:textId="77777777" w:rsidTr="00C16E58">
        <w:trPr>
          <w:cantSplit/>
        </w:trPr>
        <w:tc>
          <w:tcPr>
            <w:tcW w:w="9322" w:type="dxa"/>
            <w:gridSpan w:val="2"/>
          </w:tcPr>
          <w:p w14:paraId="3A13BCD8" w14:textId="77777777" w:rsidR="00363223" w:rsidRPr="002D741C" w:rsidRDefault="00363223" w:rsidP="00C16E58">
            <w:pPr>
              <w:keepNext/>
              <w:tabs>
                <w:tab w:val="left" w:pos="567"/>
              </w:tabs>
              <w:spacing w:line="260" w:lineRule="exact"/>
              <w:rPr>
                <w:b/>
                <w:noProof/>
                <w:color w:val="000000"/>
                <w:sz w:val="22"/>
                <w:szCs w:val="22"/>
                <w:lang w:val="es-ES"/>
              </w:rPr>
            </w:pPr>
            <w:r w:rsidRPr="002D741C">
              <w:rPr>
                <w:b/>
                <w:noProof/>
                <w:color w:val="000000"/>
                <w:sz w:val="22"/>
                <w:szCs w:val="22"/>
                <w:lang w:val="es-ES"/>
              </w:rPr>
              <w:lastRenderedPageBreak/>
              <w:t>Trastornos cardiacos</w:t>
            </w:r>
          </w:p>
        </w:tc>
      </w:tr>
      <w:tr w:rsidR="00363223" w:rsidRPr="002D741C" w14:paraId="5D9A553C" w14:textId="77777777" w:rsidTr="00C16E58">
        <w:trPr>
          <w:cantSplit/>
        </w:trPr>
        <w:tc>
          <w:tcPr>
            <w:tcW w:w="2235" w:type="dxa"/>
          </w:tcPr>
          <w:p w14:paraId="1D40BD7B" w14:textId="77777777" w:rsidR="00363223" w:rsidRPr="002D741C" w:rsidRDefault="00363223" w:rsidP="00C16E58">
            <w:pPr>
              <w:keepNext/>
              <w:tabs>
                <w:tab w:val="left" w:pos="567"/>
              </w:tabs>
              <w:spacing w:line="260" w:lineRule="exact"/>
              <w:rPr>
                <w:i/>
                <w:noProof/>
                <w:color w:val="000000"/>
                <w:sz w:val="22"/>
                <w:szCs w:val="22"/>
                <w:lang w:val="es-ES"/>
              </w:rPr>
            </w:pPr>
            <w:r w:rsidRPr="002D741C">
              <w:rPr>
                <w:i/>
                <w:noProof/>
                <w:color w:val="000000"/>
                <w:sz w:val="22"/>
                <w:szCs w:val="22"/>
                <w:lang w:val="es-ES"/>
              </w:rPr>
              <w:t>Poco frecuentes:</w:t>
            </w:r>
          </w:p>
        </w:tc>
        <w:tc>
          <w:tcPr>
            <w:tcW w:w="7087" w:type="dxa"/>
          </w:tcPr>
          <w:p w14:paraId="57B1DDE4" w14:textId="77777777" w:rsidR="00363223" w:rsidRPr="002D741C" w:rsidRDefault="00363223" w:rsidP="00C16E58">
            <w:pPr>
              <w:keepNext/>
              <w:tabs>
                <w:tab w:val="left" w:pos="567"/>
              </w:tabs>
              <w:spacing w:line="260" w:lineRule="exact"/>
              <w:rPr>
                <w:noProof/>
                <w:color w:val="000000"/>
                <w:sz w:val="22"/>
                <w:szCs w:val="22"/>
                <w:lang w:val="es-ES"/>
              </w:rPr>
            </w:pPr>
            <w:r w:rsidRPr="002D741C">
              <w:rPr>
                <w:noProof/>
                <w:color w:val="000000"/>
                <w:sz w:val="22"/>
                <w:szCs w:val="22"/>
                <w:lang w:val="es-ES"/>
              </w:rPr>
              <w:t>Palpitaciones, taquicardia, insuficiencia cardiaca congestiva</w:t>
            </w:r>
            <w:r w:rsidR="00FD0896" w:rsidRPr="002D741C">
              <w:rPr>
                <w:noProof/>
                <w:color w:val="000000"/>
                <w:sz w:val="22"/>
                <w:szCs w:val="22"/>
                <w:vertAlign w:val="superscript"/>
                <w:lang w:val="es-ES"/>
              </w:rPr>
              <w:t>3</w:t>
            </w:r>
            <w:r w:rsidRPr="002D741C">
              <w:rPr>
                <w:noProof/>
                <w:color w:val="000000"/>
                <w:sz w:val="22"/>
                <w:szCs w:val="22"/>
                <w:lang w:val="es-ES"/>
              </w:rPr>
              <w:t>, edema pulmonar</w:t>
            </w:r>
          </w:p>
        </w:tc>
      </w:tr>
      <w:tr w:rsidR="00363223" w:rsidRPr="002D741C" w14:paraId="0BEAFC6C" w14:textId="77777777" w:rsidTr="00C16E58">
        <w:trPr>
          <w:cantSplit/>
        </w:trPr>
        <w:tc>
          <w:tcPr>
            <w:tcW w:w="2235" w:type="dxa"/>
          </w:tcPr>
          <w:p w14:paraId="04C4BDBC" w14:textId="77777777" w:rsidR="00363223" w:rsidRPr="002D741C" w:rsidRDefault="00363223" w:rsidP="00C16E58">
            <w:pPr>
              <w:keepNext/>
              <w:tabs>
                <w:tab w:val="left" w:pos="567"/>
              </w:tabs>
              <w:spacing w:line="260" w:lineRule="exact"/>
              <w:rPr>
                <w:i/>
                <w:noProof/>
                <w:color w:val="000000"/>
                <w:sz w:val="22"/>
                <w:szCs w:val="22"/>
                <w:lang w:val="es-ES"/>
              </w:rPr>
            </w:pPr>
            <w:r w:rsidRPr="002D741C">
              <w:rPr>
                <w:i/>
                <w:noProof/>
                <w:color w:val="000000"/>
                <w:sz w:val="22"/>
                <w:szCs w:val="22"/>
                <w:lang w:val="es-ES"/>
              </w:rPr>
              <w:t>Raras:</w:t>
            </w:r>
          </w:p>
        </w:tc>
        <w:tc>
          <w:tcPr>
            <w:tcW w:w="7087" w:type="dxa"/>
          </w:tcPr>
          <w:p w14:paraId="0AAF8E19" w14:textId="77777777" w:rsidR="00363223" w:rsidRPr="002D741C" w:rsidRDefault="00363223" w:rsidP="00C16E58">
            <w:pPr>
              <w:keepNext/>
              <w:tabs>
                <w:tab w:val="left" w:pos="567"/>
              </w:tabs>
              <w:spacing w:line="260" w:lineRule="exact"/>
              <w:rPr>
                <w:noProof/>
                <w:color w:val="000000"/>
                <w:sz w:val="22"/>
                <w:szCs w:val="22"/>
                <w:lang w:val="es-ES"/>
              </w:rPr>
            </w:pPr>
            <w:r w:rsidRPr="002D741C">
              <w:rPr>
                <w:noProof/>
                <w:color w:val="000000"/>
                <w:sz w:val="22"/>
                <w:szCs w:val="22"/>
                <w:lang w:val="es-ES"/>
              </w:rPr>
              <w:t>Arritmia, fibrilación auricular, paro cardiaco, infarto de miocardio, angina de pecho, derrame pericárdico</w:t>
            </w:r>
          </w:p>
        </w:tc>
      </w:tr>
      <w:tr w:rsidR="006C74F0" w:rsidRPr="002D741C" w14:paraId="5C065D8B" w14:textId="77777777" w:rsidTr="00C16E58">
        <w:trPr>
          <w:cantSplit/>
        </w:trPr>
        <w:tc>
          <w:tcPr>
            <w:tcW w:w="2235" w:type="dxa"/>
          </w:tcPr>
          <w:p w14:paraId="50E27C92" w14:textId="77777777" w:rsidR="006C74F0" w:rsidRPr="002D741C" w:rsidRDefault="006C74F0" w:rsidP="004374F7">
            <w:pPr>
              <w:tabs>
                <w:tab w:val="left" w:pos="567"/>
              </w:tabs>
              <w:spacing w:line="260" w:lineRule="exact"/>
              <w:rPr>
                <w:i/>
                <w:noProof/>
                <w:color w:val="000000"/>
                <w:sz w:val="22"/>
                <w:szCs w:val="22"/>
                <w:lang w:val="es-ES"/>
              </w:rPr>
            </w:pPr>
            <w:r w:rsidRPr="002D741C">
              <w:rPr>
                <w:i/>
                <w:noProof/>
                <w:color w:val="000000"/>
                <w:sz w:val="22"/>
                <w:szCs w:val="22"/>
                <w:lang w:val="es-ES"/>
              </w:rPr>
              <w:t>Frecuencia no conocida:</w:t>
            </w:r>
          </w:p>
        </w:tc>
        <w:tc>
          <w:tcPr>
            <w:tcW w:w="7087" w:type="dxa"/>
          </w:tcPr>
          <w:p w14:paraId="1BD1D5DE" w14:textId="77777777" w:rsidR="006C74F0" w:rsidRPr="002D741C" w:rsidRDefault="006C74F0" w:rsidP="004374F7">
            <w:pPr>
              <w:tabs>
                <w:tab w:val="left" w:pos="567"/>
              </w:tabs>
              <w:spacing w:line="260" w:lineRule="exact"/>
              <w:rPr>
                <w:noProof/>
                <w:color w:val="000000"/>
                <w:sz w:val="22"/>
                <w:szCs w:val="22"/>
                <w:lang w:val="es-ES"/>
              </w:rPr>
            </w:pPr>
            <w:r w:rsidRPr="002D741C">
              <w:rPr>
                <w:noProof/>
                <w:color w:val="000000"/>
                <w:sz w:val="22"/>
                <w:szCs w:val="22"/>
                <w:lang w:val="es-ES"/>
              </w:rPr>
              <w:t>Pericarditis*, tamponamiento cardiaco*</w:t>
            </w:r>
          </w:p>
        </w:tc>
      </w:tr>
      <w:tr w:rsidR="00363223" w:rsidRPr="002D741C" w14:paraId="4FB78E8C" w14:textId="77777777" w:rsidTr="00C16E58">
        <w:trPr>
          <w:cantSplit/>
        </w:trPr>
        <w:tc>
          <w:tcPr>
            <w:tcW w:w="9322" w:type="dxa"/>
            <w:gridSpan w:val="2"/>
          </w:tcPr>
          <w:p w14:paraId="7B3F8AAA" w14:textId="77777777" w:rsidR="00363223" w:rsidRPr="002D741C" w:rsidRDefault="00363223" w:rsidP="00C16E58">
            <w:pPr>
              <w:keepNext/>
              <w:tabs>
                <w:tab w:val="left" w:pos="567"/>
              </w:tabs>
              <w:spacing w:line="260" w:lineRule="exact"/>
              <w:rPr>
                <w:b/>
                <w:noProof/>
                <w:color w:val="000000"/>
                <w:sz w:val="22"/>
                <w:szCs w:val="22"/>
                <w:lang w:val="es-ES"/>
              </w:rPr>
            </w:pPr>
            <w:r w:rsidRPr="002D741C">
              <w:rPr>
                <w:b/>
                <w:noProof/>
                <w:color w:val="000000"/>
                <w:sz w:val="22"/>
                <w:szCs w:val="22"/>
                <w:lang w:val="es-ES"/>
              </w:rPr>
              <w:t>Trastornos vasculares</w:t>
            </w:r>
            <w:r w:rsidR="00FD0896" w:rsidRPr="002D741C">
              <w:rPr>
                <w:rFonts w:ascii="Times New Roman Bold" w:hAnsi="Times New Roman Bold"/>
                <w:b/>
                <w:noProof/>
                <w:color w:val="000000"/>
                <w:sz w:val="22"/>
                <w:szCs w:val="22"/>
                <w:vertAlign w:val="superscript"/>
                <w:lang w:val="es-ES"/>
              </w:rPr>
              <w:t>4</w:t>
            </w:r>
          </w:p>
        </w:tc>
      </w:tr>
      <w:tr w:rsidR="00363223" w:rsidRPr="002D741C" w14:paraId="1C01631D" w14:textId="77777777" w:rsidTr="00C16E58">
        <w:trPr>
          <w:cantSplit/>
        </w:trPr>
        <w:tc>
          <w:tcPr>
            <w:tcW w:w="2235" w:type="dxa"/>
          </w:tcPr>
          <w:p w14:paraId="4FE47530" w14:textId="77777777" w:rsidR="00363223" w:rsidRPr="002D741C" w:rsidRDefault="00363223" w:rsidP="00C16E58">
            <w:pPr>
              <w:keepNext/>
              <w:tabs>
                <w:tab w:val="left" w:pos="567"/>
              </w:tabs>
              <w:spacing w:line="260" w:lineRule="exact"/>
              <w:rPr>
                <w:i/>
                <w:noProof/>
                <w:color w:val="000000"/>
                <w:sz w:val="22"/>
                <w:szCs w:val="22"/>
                <w:lang w:val="es-ES"/>
              </w:rPr>
            </w:pPr>
            <w:r w:rsidRPr="002D741C">
              <w:rPr>
                <w:i/>
                <w:noProof/>
                <w:color w:val="000000"/>
                <w:sz w:val="22"/>
                <w:szCs w:val="22"/>
                <w:lang w:val="es-ES"/>
              </w:rPr>
              <w:t>Frecuentes:</w:t>
            </w:r>
          </w:p>
        </w:tc>
        <w:tc>
          <w:tcPr>
            <w:tcW w:w="7087" w:type="dxa"/>
          </w:tcPr>
          <w:p w14:paraId="0A709499" w14:textId="77777777" w:rsidR="00363223" w:rsidRPr="002D741C" w:rsidRDefault="00363223" w:rsidP="00C16E58">
            <w:pPr>
              <w:keepNext/>
              <w:tabs>
                <w:tab w:val="left" w:pos="567"/>
              </w:tabs>
              <w:spacing w:line="260" w:lineRule="exact"/>
              <w:rPr>
                <w:noProof/>
                <w:color w:val="000000"/>
                <w:sz w:val="22"/>
                <w:szCs w:val="22"/>
                <w:lang w:val="es-ES"/>
              </w:rPr>
            </w:pPr>
            <w:r w:rsidRPr="002D741C">
              <w:rPr>
                <w:noProof/>
                <w:color w:val="000000"/>
                <w:sz w:val="22"/>
                <w:szCs w:val="22"/>
                <w:lang w:val="es-ES"/>
              </w:rPr>
              <w:t>Sofocos, hemorragia</w:t>
            </w:r>
          </w:p>
        </w:tc>
      </w:tr>
      <w:tr w:rsidR="00363223" w:rsidRPr="002D741C" w14:paraId="22C4C7B3" w14:textId="77777777" w:rsidTr="00C16E58">
        <w:trPr>
          <w:cantSplit/>
        </w:trPr>
        <w:tc>
          <w:tcPr>
            <w:tcW w:w="2235" w:type="dxa"/>
          </w:tcPr>
          <w:p w14:paraId="7C44057B" w14:textId="77777777" w:rsidR="00363223" w:rsidRPr="002D741C" w:rsidRDefault="00363223" w:rsidP="00C16E58">
            <w:pPr>
              <w:keepNext/>
              <w:tabs>
                <w:tab w:val="left" w:pos="567"/>
              </w:tabs>
              <w:spacing w:line="260" w:lineRule="exact"/>
              <w:rPr>
                <w:i/>
                <w:noProof/>
                <w:color w:val="000000"/>
                <w:sz w:val="22"/>
                <w:szCs w:val="22"/>
                <w:lang w:val="es-ES"/>
              </w:rPr>
            </w:pPr>
            <w:r w:rsidRPr="002D741C">
              <w:rPr>
                <w:i/>
                <w:noProof/>
                <w:color w:val="000000"/>
                <w:sz w:val="22"/>
                <w:szCs w:val="22"/>
                <w:lang w:val="es-ES"/>
              </w:rPr>
              <w:t>Poco frecuentes:</w:t>
            </w:r>
          </w:p>
        </w:tc>
        <w:tc>
          <w:tcPr>
            <w:tcW w:w="7087" w:type="dxa"/>
          </w:tcPr>
          <w:p w14:paraId="5893377E" w14:textId="77777777" w:rsidR="00363223" w:rsidRPr="002D741C" w:rsidRDefault="00363223" w:rsidP="00C16E58">
            <w:pPr>
              <w:keepNext/>
              <w:tabs>
                <w:tab w:val="left" w:pos="567"/>
              </w:tabs>
              <w:spacing w:line="260" w:lineRule="exact"/>
              <w:rPr>
                <w:noProof/>
                <w:color w:val="000000"/>
                <w:sz w:val="22"/>
                <w:szCs w:val="22"/>
                <w:lang w:val="es-ES"/>
              </w:rPr>
            </w:pPr>
            <w:r w:rsidRPr="002D741C">
              <w:rPr>
                <w:noProof/>
                <w:color w:val="000000"/>
                <w:sz w:val="22"/>
                <w:szCs w:val="22"/>
                <w:lang w:val="es-ES"/>
              </w:rPr>
              <w:t xml:space="preserve">Hipertensión, hematomas, </w:t>
            </w:r>
            <w:r w:rsidR="00754D8B" w:rsidRPr="002D741C">
              <w:rPr>
                <w:noProof/>
                <w:color w:val="000000"/>
                <w:sz w:val="22"/>
                <w:szCs w:val="22"/>
                <w:lang w:val="es-ES"/>
              </w:rPr>
              <w:t xml:space="preserve">hematoma subdural, </w:t>
            </w:r>
            <w:r w:rsidRPr="002D741C">
              <w:rPr>
                <w:noProof/>
                <w:color w:val="000000"/>
                <w:sz w:val="22"/>
                <w:szCs w:val="22"/>
                <w:lang w:val="es-ES"/>
              </w:rPr>
              <w:t>enfriamiento periférico, hipotensión, fenómeno de Raynaud</w:t>
            </w:r>
          </w:p>
        </w:tc>
      </w:tr>
      <w:tr w:rsidR="006C74F0" w:rsidRPr="002D741C" w14:paraId="020DE2FA" w14:textId="77777777" w:rsidTr="00C16E58">
        <w:trPr>
          <w:cantSplit/>
        </w:trPr>
        <w:tc>
          <w:tcPr>
            <w:tcW w:w="2235" w:type="dxa"/>
          </w:tcPr>
          <w:p w14:paraId="722DD938" w14:textId="77777777" w:rsidR="006C74F0" w:rsidRPr="002D741C" w:rsidRDefault="006C74F0" w:rsidP="004374F7">
            <w:pPr>
              <w:tabs>
                <w:tab w:val="left" w:pos="567"/>
              </w:tabs>
              <w:spacing w:line="260" w:lineRule="exact"/>
              <w:rPr>
                <w:i/>
                <w:noProof/>
                <w:color w:val="000000"/>
                <w:sz w:val="22"/>
                <w:szCs w:val="22"/>
                <w:lang w:val="es-ES"/>
              </w:rPr>
            </w:pPr>
            <w:r w:rsidRPr="002D741C">
              <w:rPr>
                <w:i/>
                <w:noProof/>
                <w:color w:val="000000"/>
                <w:sz w:val="22"/>
                <w:szCs w:val="22"/>
                <w:lang w:val="es-ES"/>
              </w:rPr>
              <w:t>Frecuencia no conocida:</w:t>
            </w:r>
          </w:p>
        </w:tc>
        <w:tc>
          <w:tcPr>
            <w:tcW w:w="7087" w:type="dxa"/>
          </w:tcPr>
          <w:p w14:paraId="63F32636" w14:textId="77777777" w:rsidR="006C74F0" w:rsidRPr="002D741C" w:rsidRDefault="006C74F0" w:rsidP="004374F7">
            <w:pPr>
              <w:tabs>
                <w:tab w:val="left" w:pos="567"/>
              </w:tabs>
              <w:spacing w:line="260" w:lineRule="exact"/>
              <w:rPr>
                <w:noProof/>
                <w:color w:val="000000"/>
                <w:sz w:val="22"/>
                <w:szCs w:val="22"/>
                <w:lang w:val="es-ES"/>
              </w:rPr>
            </w:pPr>
            <w:r w:rsidRPr="002D741C">
              <w:rPr>
                <w:noProof/>
                <w:color w:val="000000"/>
                <w:sz w:val="22"/>
                <w:szCs w:val="22"/>
                <w:lang w:val="es-ES"/>
              </w:rPr>
              <w:t>Trombosis/embolismo*</w:t>
            </w:r>
          </w:p>
        </w:tc>
      </w:tr>
      <w:tr w:rsidR="00363223" w:rsidRPr="002D741C" w14:paraId="68A450E9" w14:textId="77777777" w:rsidTr="00C16E58">
        <w:trPr>
          <w:cantSplit/>
        </w:trPr>
        <w:tc>
          <w:tcPr>
            <w:tcW w:w="9322" w:type="dxa"/>
            <w:gridSpan w:val="2"/>
          </w:tcPr>
          <w:p w14:paraId="69C93FE0" w14:textId="77777777" w:rsidR="00363223" w:rsidRPr="002D741C" w:rsidRDefault="00363223" w:rsidP="00C16E58">
            <w:pPr>
              <w:keepNext/>
              <w:tabs>
                <w:tab w:val="left" w:pos="567"/>
              </w:tabs>
              <w:spacing w:line="260" w:lineRule="exact"/>
              <w:rPr>
                <w:b/>
                <w:color w:val="000000"/>
                <w:sz w:val="22"/>
                <w:szCs w:val="22"/>
              </w:rPr>
            </w:pPr>
            <w:r w:rsidRPr="002D741C">
              <w:rPr>
                <w:b/>
                <w:noProof/>
                <w:color w:val="000000"/>
                <w:sz w:val="22"/>
                <w:szCs w:val="22"/>
                <w:lang w:val="es-ES"/>
              </w:rPr>
              <w:t>Trastornos respiratorios, torácicos y mediastínicos</w:t>
            </w:r>
          </w:p>
        </w:tc>
      </w:tr>
      <w:tr w:rsidR="00363223" w:rsidRPr="002D741C" w14:paraId="7EFEFE68" w14:textId="77777777" w:rsidTr="00C16E58">
        <w:trPr>
          <w:cantSplit/>
        </w:trPr>
        <w:tc>
          <w:tcPr>
            <w:tcW w:w="2235" w:type="dxa"/>
          </w:tcPr>
          <w:p w14:paraId="02C0F801" w14:textId="77777777" w:rsidR="00363223" w:rsidRPr="002D741C" w:rsidRDefault="00363223" w:rsidP="00C16E58">
            <w:pPr>
              <w:keepNext/>
              <w:tabs>
                <w:tab w:val="left" w:pos="567"/>
              </w:tabs>
              <w:spacing w:line="260" w:lineRule="exact"/>
              <w:rPr>
                <w:color w:val="000000"/>
                <w:sz w:val="22"/>
                <w:lang w:val="en-GB"/>
              </w:rPr>
            </w:pPr>
            <w:r w:rsidRPr="002D741C">
              <w:rPr>
                <w:i/>
                <w:color w:val="000000"/>
                <w:sz w:val="22"/>
                <w:szCs w:val="22"/>
                <w:lang w:val="en-GB"/>
              </w:rPr>
              <w:t>Frecuentes:</w:t>
            </w:r>
          </w:p>
        </w:tc>
        <w:tc>
          <w:tcPr>
            <w:tcW w:w="7087" w:type="dxa"/>
          </w:tcPr>
          <w:p w14:paraId="3FF6ED6B" w14:textId="77777777" w:rsidR="00363223" w:rsidRPr="002D741C" w:rsidRDefault="00363223" w:rsidP="00C16E58">
            <w:pPr>
              <w:keepNext/>
              <w:tabs>
                <w:tab w:val="left" w:pos="567"/>
              </w:tabs>
              <w:spacing w:line="260" w:lineRule="exact"/>
              <w:rPr>
                <w:color w:val="000000"/>
                <w:sz w:val="22"/>
                <w:lang w:val="en-GB"/>
              </w:rPr>
            </w:pPr>
            <w:r w:rsidRPr="002D741C">
              <w:rPr>
                <w:color w:val="000000"/>
                <w:sz w:val="22"/>
                <w:szCs w:val="22"/>
                <w:lang w:val="fr-FR"/>
              </w:rPr>
              <w:t>Disnea, epistaxis, tos</w:t>
            </w:r>
          </w:p>
        </w:tc>
      </w:tr>
      <w:tr w:rsidR="00363223" w:rsidRPr="002D741C" w14:paraId="39FF79C2" w14:textId="77777777" w:rsidTr="00C16E58">
        <w:trPr>
          <w:cantSplit/>
        </w:trPr>
        <w:tc>
          <w:tcPr>
            <w:tcW w:w="2235" w:type="dxa"/>
          </w:tcPr>
          <w:p w14:paraId="1772D924" w14:textId="77777777" w:rsidR="00363223" w:rsidRPr="002D741C" w:rsidRDefault="00363223" w:rsidP="00C16E58">
            <w:pPr>
              <w:keepNext/>
              <w:tabs>
                <w:tab w:val="left" w:pos="567"/>
              </w:tabs>
              <w:spacing w:line="260" w:lineRule="exact"/>
              <w:rPr>
                <w:color w:val="000000"/>
                <w:sz w:val="22"/>
                <w:lang w:val="en-GB"/>
              </w:rPr>
            </w:pPr>
            <w:r w:rsidRPr="002D741C">
              <w:rPr>
                <w:i/>
                <w:color w:val="000000"/>
                <w:sz w:val="22"/>
                <w:szCs w:val="22"/>
                <w:lang w:val="en-GB"/>
              </w:rPr>
              <w:t>Poco frecuentes:</w:t>
            </w:r>
          </w:p>
        </w:tc>
        <w:tc>
          <w:tcPr>
            <w:tcW w:w="7087" w:type="dxa"/>
          </w:tcPr>
          <w:p w14:paraId="2C00E936" w14:textId="77777777" w:rsidR="00363223" w:rsidRPr="002D741C" w:rsidRDefault="00363223" w:rsidP="00C16E58">
            <w:pPr>
              <w:keepNext/>
              <w:tabs>
                <w:tab w:val="left" w:pos="567"/>
              </w:tabs>
              <w:spacing w:line="260" w:lineRule="exact"/>
              <w:rPr>
                <w:color w:val="000000"/>
                <w:sz w:val="22"/>
                <w:lang w:val="it-IT"/>
              </w:rPr>
            </w:pPr>
            <w:r w:rsidRPr="002D741C">
              <w:rPr>
                <w:color w:val="000000"/>
                <w:sz w:val="22"/>
                <w:szCs w:val="22"/>
                <w:lang w:val="it-IT"/>
              </w:rPr>
              <w:t>Derrame pleural</w:t>
            </w:r>
            <w:r w:rsidR="00FD0896" w:rsidRPr="002D741C">
              <w:rPr>
                <w:color w:val="000000"/>
                <w:sz w:val="22"/>
                <w:szCs w:val="22"/>
                <w:vertAlign w:val="superscript"/>
                <w:lang w:val="it-IT"/>
              </w:rPr>
              <w:t>5</w:t>
            </w:r>
            <w:r w:rsidRPr="002D741C">
              <w:rPr>
                <w:color w:val="000000"/>
                <w:sz w:val="22"/>
                <w:szCs w:val="22"/>
                <w:lang w:val="it-IT"/>
              </w:rPr>
              <w:t>, dolor faringolaringeo, faringitis</w:t>
            </w:r>
          </w:p>
        </w:tc>
      </w:tr>
      <w:tr w:rsidR="00363223" w:rsidRPr="002D741C" w14:paraId="34F9963A" w14:textId="77777777" w:rsidTr="00C16E58">
        <w:trPr>
          <w:cantSplit/>
        </w:trPr>
        <w:tc>
          <w:tcPr>
            <w:tcW w:w="2235" w:type="dxa"/>
          </w:tcPr>
          <w:p w14:paraId="18EEE9B6" w14:textId="77777777" w:rsidR="00363223" w:rsidRPr="002D741C" w:rsidRDefault="00363223" w:rsidP="00C16E58">
            <w:pPr>
              <w:keepNext/>
              <w:tabs>
                <w:tab w:val="left" w:pos="567"/>
              </w:tabs>
              <w:spacing w:line="260" w:lineRule="exact"/>
              <w:rPr>
                <w:color w:val="000000"/>
                <w:sz w:val="22"/>
                <w:lang w:val="en-GB"/>
              </w:rPr>
            </w:pPr>
            <w:r w:rsidRPr="002D741C">
              <w:rPr>
                <w:i/>
                <w:color w:val="000000"/>
                <w:sz w:val="22"/>
                <w:szCs w:val="22"/>
                <w:lang w:val="en-GB"/>
              </w:rPr>
              <w:t>Raras:</w:t>
            </w:r>
          </w:p>
        </w:tc>
        <w:tc>
          <w:tcPr>
            <w:tcW w:w="7087" w:type="dxa"/>
          </w:tcPr>
          <w:p w14:paraId="2088A39E" w14:textId="77777777" w:rsidR="00363223" w:rsidRPr="002D741C" w:rsidRDefault="00363223" w:rsidP="00C16E58">
            <w:pPr>
              <w:keepNext/>
              <w:tabs>
                <w:tab w:val="left" w:pos="567"/>
              </w:tabs>
              <w:spacing w:line="260" w:lineRule="exact"/>
              <w:rPr>
                <w:color w:val="000000"/>
                <w:sz w:val="22"/>
              </w:rPr>
            </w:pPr>
            <w:r w:rsidRPr="002D741C">
              <w:rPr>
                <w:color w:val="000000"/>
                <w:sz w:val="22"/>
                <w:szCs w:val="22"/>
              </w:rPr>
              <w:t>Dolor pleural, fibrosis pulmonar, hipertensión pulmonar, hemorragia pulmonar</w:t>
            </w:r>
          </w:p>
        </w:tc>
      </w:tr>
      <w:tr w:rsidR="006C74F0" w:rsidRPr="002D741C" w14:paraId="42C54E84" w14:textId="77777777" w:rsidTr="00C16E58">
        <w:trPr>
          <w:cantSplit/>
        </w:trPr>
        <w:tc>
          <w:tcPr>
            <w:tcW w:w="2235" w:type="dxa"/>
          </w:tcPr>
          <w:p w14:paraId="660500E4" w14:textId="77777777" w:rsidR="006C74F0" w:rsidRPr="002D741C" w:rsidRDefault="006C74F0" w:rsidP="004374F7">
            <w:pPr>
              <w:tabs>
                <w:tab w:val="left" w:pos="567"/>
              </w:tabs>
              <w:spacing w:line="260" w:lineRule="exact"/>
              <w:rPr>
                <w:i/>
                <w:color w:val="000000"/>
                <w:sz w:val="22"/>
                <w:szCs w:val="22"/>
                <w:lang w:val="en-GB"/>
              </w:rPr>
            </w:pPr>
            <w:r w:rsidRPr="002D741C">
              <w:rPr>
                <w:i/>
                <w:color w:val="000000"/>
                <w:sz w:val="22"/>
                <w:szCs w:val="22"/>
                <w:lang w:val="en-GB"/>
              </w:rPr>
              <w:t>Frecuencia no conocida:</w:t>
            </w:r>
          </w:p>
        </w:tc>
        <w:tc>
          <w:tcPr>
            <w:tcW w:w="7087" w:type="dxa"/>
          </w:tcPr>
          <w:p w14:paraId="69001227" w14:textId="77777777" w:rsidR="006C74F0" w:rsidRPr="002D741C" w:rsidRDefault="006C74F0" w:rsidP="005C69B3">
            <w:pPr>
              <w:tabs>
                <w:tab w:val="left" w:pos="567"/>
              </w:tabs>
              <w:spacing w:line="260" w:lineRule="exact"/>
              <w:rPr>
                <w:color w:val="000000"/>
                <w:sz w:val="22"/>
                <w:szCs w:val="22"/>
              </w:rPr>
            </w:pPr>
            <w:r w:rsidRPr="002D741C">
              <w:rPr>
                <w:color w:val="000000"/>
                <w:sz w:val="22"/>
                <w:szCs w:val="22"/>
              </w:rPr>
              <w:t>Insuficiencia respiratoria aguda</w:t>
            </w:r>
            <w:r w:rsidR="005C69B3" w:rsidRPr="002D741C">
              <w:rPr>
                <w:color w:val="000000"/>
                <w:sz w:val="22"/>
                <w:szCs w:val="22"/>
                <w:vertAlign w:val="superscript"/>
              </w:rPr>
              <w:t>11</w:t>
            </w:r>
            <w:r w:rsidRPr="002D741C">
              <w:rPr>
                <w:color w:val="000000"/>
                <w:sz w:val="22"/>
                <w:szCs w:val="22"/>
              </w:rPr>
              <w:t>*, enfermedad pulmonar intersticial*</w:t>
            </w:r>
          </w:p>
        </w:tc>
      </w:tr>
      <w:tr w:rsidR="00363223" w:rsidRPr="002D741C" w14:paraId="156C4F71" w14:textId="77777777" w:rsidTr="00C16E58">
        <w:trPr>
          <w:cantSplit/>
        </w:trPr>
        <w:tc>
          <w:tcPr>
            <w:tcW w:w="9322" w:type="dxa"/>
            <w:gridSpan w:val="2"/>
          </w:tcPr>
          <w:p w14:paraId="2661EA75" w14:textId="77777777" w:rsidR="00363223" w:rsidRPr="002D741C" w:rsidRDefault="00363223" w:rsidP="00C16E58">
            <w:pPr>
              <w:keepNext/>
              <w:tabs>
                <w:tab w:val="left" w:pos="567"/>
              </w:tabs>
              <w:spacing w:line="260" w:lineRule="exact"/>
              <w:rPr>
                <w:color w:val="000000"/>
                <w:sz w:val="22"/>
                <w:lang w:val="fr-FR"/>
              </w:rPr>
            </w:pPr>
            <w:r w:rsidRPr="002D741C">
              <w:rPr>
                <w:b/>
                <w:color w:val="000000"/>
                <w:sz w:val="22"/>
                <w:szCs w:val="22"/>
                <w:lang w:val="es-ES"/>
              </w:rPr>
              <w:t>Trastornos gastrointestinales</w:t>
            </w:r>
          </w:p>
        </w:tc>
      </w:tr>
      <w:tr w:rsidR="00363223" w:rsidRPr="002D741C" w14:paraId="2C0C88E6" w14:textId="77777777" w:rsidTr="00C16E58">
        <w:trPr>
          <w:cantSplit/>
        </w:trPr>
        <w:tc>
          <w:tcPr>
            <w:tcW w:w="2235" w:type="dxa"/>
          </w:tcPr>
          <w:p w14:paraId="773059B8" w14:textId="77777777" w:rsidR="00363223" w:rsidRPr="002D741C" w:rsidRDefault="00363223" w:rsidP="00C16E58">
            <w:pPr>
              <w:keepNext/>
              <w:tabs>
                <w:tab w:val="left" w:pos="567"/>
              </w:tabs>
              <w:spacing w:line="260" w:lineRule="exact"/>
              <w:rPr>
                <w:color w:val="000000"/>
                <w:sz w:val="22"/>
                <w:lang w:val="en-GB"/>
              </w:rPr>
            </w:pPr>
            <w:r w:rsidRPr="002D741C">
              <w:rPr>
                <w:i/>
                <w:color w:val="000000"/>
                <w:sz w:val="22"/>
                <w:szCs w:val="22"/>
                <w:lang w:val="en-GB"/>
              </w:rPr>
              <w:t>Muy frecuentes:</w:t>
            </w:r>
          </w:p>
        </w:tc>
        <w:tc>
          <w:tcPr>
            <w:tcW w:w="7087" w:type="dxa"/>
          </w:tcPr>
          <w:p w14:paraId="14EEE67A" w14:textId="77777777" w:rsidR="00363223" w:rsidRPr="002D741C" w:rsidRDefault="00363223" w:rsidP="00C16E58">
            <w:pPr>
              <w:keepNext/>
              <w:tabs>
                <w:tab w:val="left" w:pos="567"/>
              </w:tabs>
              <w:spacing w:line="260" w:lineRule="exact"/>
              <w:rPr>
                <w:color w:val="000000"/>
                <w:sz w:val="22"/>
                <w:lang w:val="es-ES"/>
              </w:rPr>
            </w:pPr>
            <w:r w:rsidRPr="002D741C">
              <w:rPr>
                <w:color w:val="000000"/>
                <w:sz w:val="22"/>
                <w:szCs w:val="22"/>
                <w:lang w:val="es-ES"/>
              </w:rPr>
              <w:t>Náuseas, diarrea, vómitos, dispepsia, dolor abdominal</w:t>
            </w:r>
            <w:r w:rsidR="00FD0896" w:rsidRPr="002D741C">
              <w:rPr>
                <w:color w:val="000000"/>
                <w:sz w:val="22"/>
                <w:szCs w:val="22"/>
                <w:vertAlign w:val="superscript"/>
                <w:lang w:val="es-ES"/>
              </w:rPr>
              <w:t>6</w:t>
            </w:r>
          </w:p>
        </w:tc>
      </w:tr>
      <w:tr w:rsidR="00363223" w:rsidRPr="002D741C" w14:paraId="79A38A39" w14:textId="77777777" w:rsidTr="00C16E58">
        <w:trPr>
          <w:cantSplit/>
        </w:trPr>
        <w:tc>
          <w:tcPr>
            <w:tcW w:w="2235" w:type="dxa"/>
          </w:tcPr>
          <w:p w14:paraId="77ECAA54" w14:textId="77777777" w:rsidR="00363223" w:rsidRPr="002D741C" w:rsidRDefault="00363223" w:rsidP="00C16E58">
            <w:pPr>
              <w:keepNext/>
              <w:tabs>
                <w:tab w:val="left" w:pos="567"/>
              </w:tabs>
              <w:spacing w:line="260" w:lineRule="exact"/>
              <w:rPr>
                <w:color w:val="000000"/>
                <w:sz w:val="22"/>
                <w:lang w:val="en-GB"/>
              </w:rPr>
            </w:pPr>
            <w:r w:rsidRPr="002D741C">
              <w:rPr>
                <w:i/>
                <w:color w:val="000000"/>
                <w:sz w:val="22"/>
                <w:szCs w:val="22"/>
                <w:lang w:val="en-GB"/>
              </w:rPr>
              <w:t>Frecuentes:</w:t>
            </w:r>
          </w:p>
        </w:tc>
        <w:tc>
          <w:tcPr>
            <w:tcW w:w="7087" w:type="dxa"/>
          </w:tcPr>
          <w:p w14:paraId="4D4F635B" w14:textId="77777777" w:rsidR="00363223" w:rsidRPr="002D741C" w:rsidRDefault="00363223" w:rsidP="00C16E58">
            <w:pPr>
              <w:keepNext/>
              <w:tabs>
                <w:tab w:val="left" w:pos="567"/>
              </w:tabs>
              <w:spacing w:line="260" w:lineRule="exact"/>
              <w:rPr>
                <w:color w:val="000000"/>
                <w:sz w:val="22"/>
              </w:rPr>
            </w:pPr>
            <w:r w:rsidRPr="002D741C">
              <w:rPr>
                <w:color w:val="000000"/>
                <w:sz w:val="22"/>
                <w:szCs w:val="22"/>
              </w:rPr>
              <w:t>Flatulencia, distensión abdominal, reflujo gastroesofágico, estreñimiento, sequedad de la boca, gastritis</w:t>
            </w:r>
          </w:p>
        </w:tc>
      </w:tr>
      <w:tr w:rsidR="00363223" w:rsidRPr="002D741C" w14:paraId="0E518B85" w14:textId="77777777" w:rsidTr="00C16E58">
        <w:trPr>
          <w:cantSplit/>
        </w:trPr>
        <w:tc>
          <w:tcPr>
            <w:tcW w:w="2235" w:type="dxa"/>
          </w:tcPr>
          <w:p w14:paraId="11FAA9B1" w14:textId="77777777" w:rsidR="00363223" w:rsidRPr="002D741C" w:rsidRDefault="00363223" w:rsidP="00C16E58">
            <w:pPr>
              <w:keepNext/>
              <w:tabs>
                <w:tab w:val="left" w:pos="567"/>
              </w:tabs>
              <w:spacing w:line="260" w:lineRule="exact"/>
              <w:rPr>
                <w:color w:val="000000"/>
                <w:sz w:val="22"/>
                <w:lang w:val="en-GB"/>
              </w:rPr>
            </w:pPr>
            <w:r w:rsidRPr="002D741C">
              <w:rPr>
                <w:i/>
                <w:color w:val="000000"/>
                <w:sz w:val="22"/>
                <w:szCs w:val="22"/>
                <w:lang w:val="en-GB"/>
              </w:rPr>
              <w:t>Poco frecuentes:</w:t>
            </w:r>
          </w:p>
        </w:tc>
        <w:tc>
          <w:tcPr>
            <w:tcW w:w="7087" w:type="dxa"/>
          </w:tcPr>
          <w:p w14:paraId="584C9DE0" w14:textId="77777777" w:rsidR="00363223" w:rsidRPr="002D741C" w:rsidRDefault="00363223" w:rsidP="00C16E58">
            <w:pPr>
              <w:keepNext/>
              <w:tabs>
                <w:tab w:val="left" w:pos="567"/>
              </w:tabs>
              <w:spacing w:line="260" w:lineRule="exact"/>
              <w:rPr>
                <w:color w:val="000000"/>
                <w:sz w:val="22"/>
              </w:rPr>
            </w:pPr>
            <w:r w:rsidRPr="002D741C">
              <w:rPr>
                <w:color w:val="000000"/>
                <w:sz w:val="22"/>
                <w:szCs w:val="22"/>
              </w:rPr>
              <w:t>Estomatitis, ulceración de la boca, hemorragia gastrointestinal</w:t>
            </w:r>
            <w:r w:rsidR="00FD0896" w:rsidRPr="002D741C">
              <w:rPr>
                <w:color w:val="000000"/>
                <w:sz w:val="22"/>
                <w:szCs w:val="22"/>
                <w:vertAlign w:val="superscript"/>
              </w:rPr>
              <w:t>7</w:t>
            </w:r>
            <w:r w:rsidRPr="002D741C">
              <w:rPr>
                <w:color w:val="000000"/>
                <w:sz w:val="22"/>
                <w:szCs w:val="22"/>
              </w:rPr>
              <w:t>, eructación, melena, esofagitis, ascitis, úlcera gástrica, hematemesis, queilitis, disfagia, pancreatitis</w:t>
            </w:r>
          </w:p>
        </w:tc>
      </w:tr>
      <w:tr w:rsidR="00363223" w:rsidRPr="002D741C" w14:paraId="1F99E7BD" w14:textId="77777777" w:rsidTr="00C16E58">
        <w:trPr>
          <w:cantSplit/>
        </w:trPr>
        <w:tc>
          <w:tcPr>
            <w:tcW w:w="2235" w:type="dxa"/>
          </w:tcPr>
          <w:p w14:paraId="69622B6E" w14:textId="77777777" w:rsidR="00363223" w:rsidRPr="002D741C" w:rsidRDefault="00363223" w:rsidP="00C16E58">
            <w:pPr>
              <w:keepNext/>
              <w:tabs>
                <w:tab w:val="left" w:pos="567"/>
              </w:tabs>
              <w:spacing w:line="260" w:lineRule="exact"/>
              <w:rPr>
                <w:color w:val="000000"/>
                <w:sz w:val="22"/>
                <w:lang w:val="en-GB"/>
              </w:rPr>
            </w:pPr>
            <w:r w:rsidRPr="002D741C">
              <w:rPr>
                <w:i/>
                <w:color w:val="000000"/>
                <w:sz w:val="22"/>
                <w:szCs w:val="22"/>
                <w:lang w:val="en-GB"/>
              </w:rPr>
              <w:t>Raras:</w:t>
            </w:r>
          </w:p>
        </w:tc>
        <w:tc>
          <w:tcPr>
            <w:tcW w:w="7087" w:type="dxa"/>
          </w:tcPr>
          <w:p w14:paraId="76290B0D" w14:textId="77777777" w:rsidR="00363223" w:rsidRPr="002D741C" w:rsidRDefault="00363223" w:rsidP="00C16E58">
            <w:pPr>
              <w:keepNext/>
              <w:tabs>
                <w:tab w:val="left" w:pos="567"/>
              </w:tabs>
              <w:spacing w:line="260" w:lineRule="exact"/>
              <w:rPr>
                <w:snapToGrid w:val="0"/>
                <w:color w:val="000000"/>
                <w:sz w:val="22"/>
                <w:szCs w:val="22"/>
                <w:lang w:val="it-IT"/>
              </w:rPr>
            </w:pPr>
            <w:r w:rsidRPr="002D741C">
              <w:rPr>
                <w:color w:val="000000"/>
                <w:sz w:val="22"/>
                <w:szCs w:val="22"/>
                <w:lang w:val="it-IT"/>
              </w:rPr>
              <w:t xml:space="preserve">Colitis, </w:t>
            </w:r>
            <w:r w:rsidRPr="002D741C">
              <w:rPr>
                <w:snapToGrid w:val="0"/>
                <w:color w:val="000000"/>
                <w:sz w:val="22"/>
                <w:szCs w:val="22"/>
                <w:lang w:val="it-IT"/>
              </w:rPr>
              <w:t>íleo, enfermedad inflamatoria intestinal</w:t>
            </w:r>
          </w:p>
        </w:tc>
      </w:tr>
      <w:tr w:rsidR="006C74F0" w:rsidRPr="002D741C" w14:paraId="6942EBB1" w14:textId="77777777" w:rsidTr="00C16E58">
        <w:trPr>
          <w:cantSplit/>
        </w:trPr>
        <w:tc>
          <w:tcPr>
            <w:tcW w:w="2235" w:type="dxa"/>
          </w:tcPr>
          <w:p w14:paraId="6E5BF46E" w14:textId="77777777" w:rsidR="006C74F0" w:rsidRPr="002D741C" w:rsidRDefault="006C74F0" w:rsidP="004374F7">
            <w:pPr>
              <w:tabs>
                <w:tab w:val="left" w:pos="567"/>
              </w:tabs>
              <w:spacing w:line="260" w:lineRule="exact"/>
              <w:rPr>
                <w:i/>
                <w:color w:val="000000"/>
                <w:sz w:val="22"/>
                <w:szCs w:val="22"/>
                <w:lang w:val="en-GB"/>
              </w:rPr>
            </w:pPr>
            <w:r w:rsidRPr="002D741C">
              <w:rPr>
                <w:i/>
                <w:color w:val="000000"/>
                <w:sz w:val="22"/>
                <w:szCs w:val="22"/>
                <w:lang w:val="en-GB"/>
              </w:rPr>
              <w:t>Frecuencia no conocida:</w:t>
            </w:r>
          </w:p>
        </w:tc>
        <w:tc>
          <w:tcPr>
            <w:tcW w:w="7087" w:type="dxa"/>
          </w:tcPr>
          <w:p w14:paraId="58BD17B2" w14:textId="77777777" w:rsidR="006C74F0" w:rsidRPr="002D741C" w:rsidRDefault="006C74F0" w:rsidP="004374F7">
            <w:pPr>
              <w:tabs>
                <w:tab w:val="left" w:pos="567"/>
              </w:tabs>
              <w:spacing w:line="260" w:lineRule="exact"/>
              <w:rPr>
                <w:color w:val="000000"/>
                <w:sz w:val="22"/>
                <w:szCs w:val="22"/>
                <w:lang w:val="es-ES"/>
              </w:rPr>
            </w:pPr>
            <w:r w:rsidRPr="002D741C">
              <w:rPr>
                <w:color w:val="000000"/>
                <w:sz w:val="22"/>
                <w:szCs w:val="22"/>
                <w:lang w:val="es-ES"/>
              </w:rPr>
              <w:t>Obstrucción ilíaca/intestinal</w:t>
            </w:r>
            <w:r w:rsidR="00A6343C" w:rsidRPr="002D741C">
              <w:rPr>
                <w:color w:val="000000"/>
                <w:sz w:val="22"/>
                <w:szCs w:val="22"/>
                <w:lang w:val="es-ES"/>
              </w:rPr>
              <w:t>*</w:t>
            </w:r>
            <w:r w:rsidRPr="002D741C">
              <w:rPr>
                <w:color w:val="000000"/>
                <w:sz w:val="22"/>
                <w:szCs w:val="22"/>
                <w:lang w:val="es-ES"/>
              </w:rPr>
              <w:t>, perforación gastrointestinal*, diverticulitis*, ectasia vascular antral gástrica (EVAG)</w:t>
            </w:r>
            <w:r w:rsidR="00CE2C88" w:rsidRPr="002D741C">
              <w:rPr>
                <w:color w:val="000000"/>
                <w:sz w:val="22"/>
                <w:szCs w:val="22"/>
                <w:lang w:val="es-ES"/>
              </w:rPr>
              <w:t>*</w:t>
            </w:r>
          </w:p>
        </w:tc>
      </w:tr>
      <w:tr w:rsidR="00363223" w:rsidRPr="002D741C" w14:paraId="357B194A" w14:textId="77777777" w:rsidTr="00C16E58">
        <w:trPr>
          <w:cantSplit/>
        </w:trPr>
        <w:tc>
          <w:tcPr>
            <w:tcW w:w="9322" w:type="dxa"/>
            <w:gridSpan w:val="2"/>
          </w:tcPr>
          <w:p w14:paraId="4758D1F2" w14:textId="77777777" w:rsidR="00363223" w:rsidRPr="002D741C" w:rsidRDefault="00363223" w:rsidP="00C16E58">
            <w:pPr>
              <w:keepNext/>
              <w:tabs>
                <w:tab w:val="left" w:pos="567"/>
              </w:tabs>
              <w:spacing w:line="260" w:lineRule="exact"/>
              <w:rPr>
                <w:b/>
                <w:bCs/>
                <w:noProof/>
                <w:color w:val="000000"/>
                <w:sz w:val="22"/>
                <w:lang w:val="es-ES"/>
              </w:rPr>
            </w:pPr>
            <w:r w:rsidRPr="002D741C">
              <w:rPr>
                <w:b/>
                <w:bCs/>
                <w:noProof/>
                <w:color w:val="000000"/>
                <w:sz w:val="22"/>
                <w:lang w:val="es-ES"/>
              </w:rPr>
              <w:t>Trastornos hepatobiliares</w:t>
            </w:r>
          </w:p>
        </w:tc>
      </w:tr>
      <w:tr w:rsidR="00363223" w:rsidRPr="002D741C" w14:paraId="6AE300B4" w14:textId="77777777" w:rsidTr="00C16E58">
        <w:trPr>
          <w:cantSplit/>
        </w:trPr>
        <w:tc>
          <w:tcPr>
            <w:tcW w:w="2235" w:type="dxa"/>
          </w:tcPr>
          <w:p w14:paraId="4E8606B2" w14:textId="77777777" w:rsidR="00363223" w:rsidRPr="002D741C" w:rsidRDefault="00363223" w:rsidP="00C16E58">
            <w:pPr>
              <w:keepNext/>
              <w:tabs>
                <w:tab w:val="left" w:pos="567"/>
              </w:tabs>
              <w:spacing w:line="260" w:lineRule="exact"/>
              <w:rPr>
                <w:bCs/>
                <w:i/>
                <w:noProof/>
                <w:color w:val="000000"/>
                <w:sz w:val="22"/>
                <w:lang w:val="es-ES"/>
              </w:rPr>
            </w:pPr>
            <w:r w:rsidRPr="002D741C">
              <w:rPr>
                <w:bCs/>
                <w:i/>
                <w:noProof/>
                <w:color w:val="000000"/>
                <w:sz w:val="22"/>
                <w:lang w:val="es-ES"/>
              </w:rPr>
              <w:t>Frecuentes:</w:t>
            </w:r>
          </w:p>
        </w:tc>
        <w:tc>
          <w:tcPr>
            <w:tcW w:w="7087" w:type="dxa"/>
          </w:tcPr>
          <w:p w14:paraId="06BBBA34" w14:textId="77777777" w:rsidR="00363223" w:rsidRPr="002D741C" w:rsidRDefault="00363223" w:rsidP="00C16E58">
            <w:pPr>
              <w:keepNext/>
              <w:tabs>
                <w:tab w:val="left" w:pos="567"/>
              </w:tabs>
              <w:spacing w:line="260" w:lineRule="exact"/>
              <w:rPr>
                <w:bCs/>
                <w:noProof/>
                <w:color w:val="000000"/>
                <w:sz w:val="22"/>
                <w:lang w:val="es-ES"/>
              </w:rPr>
            </w:pPr>
            <w:r w:rsidRPr="002D741C">
              <w:rPr>
                <w:bCs/>
                <w:noProof/>
                <w:color w:val="000000"/>
                <w:sz w:val="22"/>
                <w:lang w:val="es-ES"/>
              </w:rPr>
              <w:t>Aumento de enzimas hepáticos</w:t>
            </w:r>
          </w:p>
        </w:tc>
      </w:tr>
      <w:tr w:rsidR="00363223" w:rsidRPr="002D741C" w14:paraId="059562EF" w14:textId="77777777" w:rsidTr="00C16E58">
        <w:trPr>
          <w:cantSplit/>
        </w:trPr>
        <w:tc>
          <w:tcPr>
            <w:tcW w:w="2235" w:type="dxa"/>
          </w:tcPr>
          <w:p w14:paraId="219EF2DA" w14:textId="77777777" w:rsidR="00363223" w:rsidRPr="002D741C" w:rsidRDefault="00363223" w:rsidP="00C16E58">
            <w:pPr>
              <w:keepNext/>
              <w:tabs>
                <w:tab w:val="left" w:pos="567"/>
              </w:tabs>
              <w:spacing w:line="260" w:lineRule="exact"/>
              <w:rPr>
                <w:bCs/>
                <w:i/>
                <w:noProof/>
                <w:color w:val="000000"/>
                <w:sz w:val="22"/>
                <w:lang w:val="es-ES"/>
              </w:rPr>
            </w:pPr>
            <w:r w:rsidRPr="002D741C">
              <w:rPr>
                <w:bCs/>
                <w:i/>
                <w:noProof/>
                <w:color w:val="000000"/>
                <w:sz w:val="22"/>
                <w:lang w:val="es-ES"/>
              </w:rPr>
              <w:t>Poco frecuentes:</w:t>
            </w:r>
          </w:p>
        </w:tc>
        <w:tc>
          <w:tcPr>
            <w:tcW w:w="7087" w:type="dxa"/>
          </w:tcPr>
          <w:p w14:paraId="69D7599A" w14:textId="77777777" w:rsidR="00363223" w:rsidRPr="002D741C" w:rsidRDefault="00363223" w:rsidP="00C16E58">
            <w:pPr>
              <w:keepNext/>
              <w:tabs>
                <w:tab w:val="left" w:pos="567"/>
              </w:tabs>
              <w:spacing w:line="260" w:lineRule="exact"/>
              <w:rPr>
                <w:bCs/>
                <w:noProof/>
                <w:color w:val="000000"/>
                <w:sz w:val="22"/>
                <w:lang w:val="es-ES"/>
              </w:rPr>
            </w:pPr>
            <w:r w:rsidRPr="002D741C">
              <w:rPr>
                <w:bCs/>
                <w:noProof/>
                <w:color w:val="000000"/>
                <w:sz w:val="22"/>
                <w:lang w:val="es-ES"/>
              </w:rPr>
              <w:t>Hiperbilirrubinemia, hepatitis, ictericia</w:t>
            </w:r>
          </w:p>
        </w:tc>
      </w:tr>
      <w:tr w:rsidR="00363223" w:rsidRPr="002D741C" w14:paraId="0CD1F884" w14:textId="77777777" w:rsidTr="00C16E58">
        <w:trPr>
          <w:cantSplit/>
        </w:trPr>
        <w:tc>
          <w:tcPr>
            <w:tcW w:w="2235" w:type="dxa"/>
          </w:tcPr>
          <w:p w14:paraId="4F011336" w14:textId="77777777" w:rsidR="00363223" w:rsidRPr="002D741C" w:rsidRDefault="00363223" w:rsidP="004374F7">
            <w:pPr>
              <w:tabs>
                <w:tab w:val="left" w:pos="567"/>
              </w:tabs>
              <w:spacing w:line="260" w:lineRule="exact"/>
              <w:rPr>
                <w:bCs/>
                <w:i/>
                <w:noProof/>
                <w:color w:val="000000"/>
                <w:sz w:val="22"/>
                <w:lang w:val="es-ES"/>
              </w:rPr>
            </w:pPr>
            <w:r w:rsidRPr="002D741C">
              <w:rPr>
                <w:bCs/>
                <w:i/>
                <w:noProof/>
                <w:color w:val="000000"/>
                <w:sz w:val="22"/>
                <w:lang w:val="es-ES"/>
              </w:rPr>
              <w:t>Raras:</w:t>
            </w:r>
          </w:p>
        </w:tc>
        <w:tc>
          <w:tcPr>
            <w:tcW w:w="7087" w:type="dxa"/>
          </w:tcPr>
          <w:p w14:paraId="774AD4C8" w14:textId="77777777" w:rsidR="00363223" w:rsidRPr="002D741C" w:rsidRDefault="00363223" w:rsidP="007A7A30">
            <w:pPr>
              <w:tabs>
                <w:tab w:val="left" w:pos="567"/>
              </w:tabs>
              <w:spacing w:line="260" w:lineRule="exact"/>
              <w:rPr>
                <w:bCs/>
                <w:noProof/>
                <w:color w:val="000000"/>
                <w:sz w:val="22"/>
                <w:lang w:val="es-ES"/>
              </w:rPr>
            </w:pPr>
            <w:r w:rsidRPr="002D741C">
              <w:rPr>
                <w:bCs/>
                <w:noProof/>
                <w:color w:val="000000"/>
                <w:sz w:val="22"/>
                <w:lang w:val="es-ES"/>
              </w:rPr>
              <w:t xml:space="preserve">Insuficiencia </w:t>
            </w:r>
            <w:r w:rsidR="007A7A30" w:rsidRPr="002D741C">
              <w:rPr>
                <w:bCs/>
                <w:noProof/>
                <w:color w:val="000000"/>
                <w:sz w:val="22"/>
                <w:lang w:val="es-ES"/>
              </w:rPr>
              <w:t>hepática</w:t>
            </w:r>
            <w:r w:rsidR="007A7A30" w:rsidRPr="002D741C">
              <w:rPr>
                <w:bCs/>
                <w:noProof/>
                <w:color w:val="000000"/>
                <w:sz w:val="22"/>
                <w:szCs w:val="22"/>
                <w:vertAlign w:val="superscript"/>
                <w:lang w:val="es-ES"/>
              </w:rPr>
              <w:t>8</w:t>
            </w:r>
            <w:r w:rsidRPr="002D741C">
              <w:rPr>
                <w:bCs/>
                <w:noProof/>
                <w:color w:val="000000"/>
                <w:sz w:val="22"/>
                <w:szCs w:val="22"/>
                <w:lang w:val="es-ES"/>
              </w:rPr>
              <w:t>, necrosis hepática</w:t>
            </w:r>
            <w:r w:rsidRPr="002D741C">
              <w:rPr>
                <w:bCs/>
                <w:noProof/>
                <w:color w:val="000000"/>
                <w:sz w:val="22"/>
                <w:szCs w:val="22"/>
                <w:vertAlign w:val="superscript"/>
                <w:lang w:val="es-ES"/>
              </w:rPr>
              <w:t xml:space="preserve"> </w:t>
            </w:r>
          </w:p>
        </w:tc>
      </w:tr>
      <w:tr w:rsidR="00363223" w:rsidRPr="002D741C" w14:paraId="669563D2" w14:textId="77777777" w:rsidTr="00C16E58">
        <w:trPr>
          <w:cantSplit/>
        </w:trPr>
        <w:tc>
          <w:tcPr>
            <w:tcW w:w="9322" w:type="dxa"/>
            <w:gridSpan w:val="2"/>
          </w:tcPr>
          <w:p w14:paraId="6E379D2B" w14:textId="77777777" w:rsidR="00363223" w:rsidRPr="002D741C" w:rsidRDefault="00363223" w:rsidP="00C16E58">
            <w:pPr>
              <w:keepNext/>
              <w:tabs>
                <w:tab w:val="left" w:pos="567"/>
              </w:tabs>
              <w:spacing w:line="260" w:lineRule="exact"/>
              <w:rPr>
                <w:color w:val="000000"/>
                <w:sz w:val="22"/>
              </w:rPr>
            </w:pPr>
            <w:r w:rsidRPr="002D741C">
              <w:rPr>
                <w:b/>
                <w:bCs/>
                <w:noProof/>
                <w:color w:val="000000"/>
                <w:sz w:val="22"/>
                <w:lang w:val="es-ES"/>
              </w:rPr>
              <w:t>Trastornos de la piel y del tejido subcutáneo</w:t>
            </w:r>
          </w:p>
        </w:tc>
      </w:tr>
      <w:tr w:rsidR="00363223" w:rsidRPr="002D741C" w14:paraId="4A724B79" w14:textId="77777777" w:rsidTr="00C16E58">
        <w:trPr>
          <w:cantSplit/>
        </w:trPr>
        <w:tc>
          <w:tcPr>
            <w:tcW w:w="2235" w:type="dxa"/>
          </w:tcPr>
          <w:p w14:paraId="0C234A08" w14:textId="77777777" w:rsidR="00363223" w:rsidRPr="002D741C" w:rsidRDefault="00363223" w:rsidP="00C16E58">
            <w:pPr>
              <w:keepNext/>
              <w:tabs>
                <w:tab w:val="left" w:pos="567"/>
              </w:tabs>
              <w:spacing w:line="260" w:lineRule="exact"/>
              <w:rPr>
                <w:color w:val="000000"/>
                <w:sz w:val="22"/>
                <w:lang w:val="en-GB"/>
              </w:rPr>
            </w:pPr>
            <w:r w:rsidRPr="002D741C">
              <w:rPr>
                <w:i/>
                <w:color w:val="000000"/>
                <w:sz w:val="22"/>
                <w:szCs w:val="22"/>
                <w:lang w:val="en-GB"/>
              </w:rPr>
              <w:t>Muy frecuentes:</w:t>
            </w:r>
          </w:p>
        </w:tc>
        <w:tc>
          <w:tcPr>
            <w:tcW w:w="7087" w:type="dxa"/>
          </w:tcPr>
          <w:p w14:paraId="40DBC71C" w14:textId="77777777" w:rsidR="00363223" w:rsidRPr="002D741C" w:rsidRDefault="00363223" w:rsidP="00C16E58">
            <w:pPr>
              <w:keepNext/>
              <w:tabs>
                <w:tab w:val="left" w:pos="567"/>
              </w:tabs>
              <w:spacing w:line="260" w:lineRule="exact"/>
              <w:rPr>
                <w:color w:val="000000"/>
                <w:sz w:val="22"/>
              </w:rPr>
            </w:pPr>
            <w:r w:rsidRPr="002D741C">
              <w:rPr>
                <w:color w:val="000000"/>
                <w:sz w:val="22"/>
                <w:szCs w:val="22"/>
              </w:rPr>
              <w:t>Edema periorbital, dermatitis/eccema/erupción</w:t>
            </w:r>
          </w:p>
        </w:tc>
      </w:tr>
      <w:tr w:rsidR="00363223" w:rsidRPr="002D741C" w14:paraId="7DF4076E" w14:textId="77777777" w:rsidTr="00C16E58">
        <w:trPr>
          <w:cantSplit/>
        </w:trPr>
        <w:tc>
          <w:tcPr>
            <w:tcW w:w="2235" w:type="dxa"/>
          </w:tcPr>
          <w:p w14:paraId="1DC633AE" w14:textId="77777777" w:rsidR="00363223" w:rsidRPr="002D741C" w:rsidRDefault="00363223" w:rsidP="00C16E58">
            <w:pPr>
              <w:keepNext/>
              <w:tabs>
                <w:tab w:val="left" w:pos="567"/>
              </w:tabs>
              <w:spacing w:line="260" w:lineRule="exact"/>
              <w:rPr>
                <w:color w:val="000000"/>
                <w:sz w:val="22"/>
                <w:lang w:val="en-GB"/>
              </w:rPr>
            </w:pPr>
            <w:r w:rsidRPr="002D741C">
              <w:rPr>
                <w:i/>
                <w:color w:val="000000"/>
                <w:sz w:val="22"/>
                <w:szCs w:val="22"/>
                <w:lang w:val="en-GB"/>
              </w:rPr>
              <w:t>Frecuentes:</w:t>
            </w:r>
          </w:p>
        </w:tc>
        <w:tc>
          <w:tcPr>
            <w:tcW w:w="7087" w:type="dxa"/>
          </w:tcPr>
          <w:p w14:paraId="57B96211" w14:textId="77777777" w:rsidR="00363223" w:rsidRPr="002D741C" w:rsidRDefault="00363223" w:rsidP="00C16E58">
            <w:pPr>
              <w:keepNext/>
              <w:tabs>
                <w:tab w:val="left" w:pos="567"/>
              </w:tabs>
              <w:spacing w:line="260" w:lineRule="exact"/>
              <w:rPr>
                <w:color w:val="000000"/>
                <w:sz w:val="22"/>
              </w:rPr>
            </w:pPr>
            <w:r w:rsidRPr="002D741C">
              <w:rPr>
                <w:color w:val="000000"/>
                <w:sz w:val="22"/>
                <w:szCs w:val="22"/>
              </w:rPr>
              <w:t>Prurito, edema facial, sequedad de la piel, eritema, alopecia, sudoración nocturna, reacción de fotosensibilidad</w:t>
            </w:r>
          </w:p>
        </w:tc>
      </w:tr>
      <w:tr w:rsidR="00363223" w:rsidRPr="002D741C" w14:paraId="65C63F9F" w14:textId="77777777" w:rsidTr="00C16E58">
        <w:trPr>
          <w:cantSplit/>
        </w:trPr>
        <w:tc>
          <w:tcPr>
            <w:tcW w:w="2235" w:type="dxa"/>
          </w:tcPr>
          <w:p w14:paraId="15CDFE53" w14:textId="77777777" w:rsidR="00363223" w:rsidRPr="002D741C" w:rsidRDefault="00363223" w:rsidP="00C16E58">
            <w:pPr>
              <w:keepNext/>
              <w:tabs>
                <w:tab w:val="left" w:pos="567"/>
              </w:tabs>
              <w:spacing w:line="260" w:lineRule="exact"/>
              <w:rPr>
                <w:color w:val="000000"/>
                <w:sz w:val="22"/>
                <w:lang w:val="en-GB"/>
              </w:rPr>
            </w:pPr>
            <w:r w:rsidRPr="002D741C">
              <w:rPr>
                <w:i/>
                <w:color w:val="000000"/>
                <w:sz w:val="22"/>
                <w:szCs w:val="22"/>
                <w:lang w:val="en-GB"/>
              </w:rPr>
              <w:t>Poco frecuentes:</w:t>
            </w:r>
          </w:p>
        </w:tc>
        <w:tc>
          <w:tcPr>
            <w:tcW w:w="7087" w:type="dxa"/>
          </w:tcPr>
          <w:p w14:paraId="1AA27745" w14:textId="77777777" w:rsidR="00363223" w:rsidRPr="002D741C" w:rsidRDefault="00363223" w:rsidP="00C16E58">
            <w:pPr>
              <w:keepNext/>
              <w:tabs>
                <w:tab w:val="left" w:pos="567"/>
              </w:tabs>
              <w:spacing w:line="260" w:lineRule="exact"/>
              <w:rPr>
                <w:color w:val="000000"/>
                <w:sz w:val="22"/>
                <w:szCs w:val="22"/>
              </w:rPr>
            </w:pPr>
            <w:r w:rsidRPr="002D741C">
              <w:rPr>
                <w:color w:val="000000"/>
                <w:sz w:val="22"/>
                <w:szCs w:val="22"/>
              </w:rPr>
              <w:t>Erupción pustular, contusión, aumento de la sudoración, urticaria, equimosis, aumento de la tendencia a tener moratones, hipotricosis, hipopigmentación de la piel, dermatitis exfoliativa, onicoclasis, foliculitis, petequias, psoriasis, púrpura, hiperpigmentación de la piel, erupciones bullosas</w:t>
            </w:r>
          </w:p>
        </w:tc>
      </w:tr>
      <w:tr w:rsidR="00363223" w:rsidRPr="002D741C" w14:paraId="0A656F4D" w14:textId="77777777" w:rsidTr="00C16E58">
        <w:trPr>
          <w:cantSplit/>
        </w:trPr>
        <w:tc>
          <w:tcPr>
            <w:tcW w:w="2235" w:type="dxa"/>
          </w:tcPr>
          <w:p w14:paraId="0183A164" w14:textId="77777777" w:rsidR="00363223" w:rsidRPr="002D741C" w:rsidRDefault="00363223" w:rsidP="00C16E58">
            <w:pPr>
              <w:keepNext/>
              <w:tabs>
                <w:tab w:val="left" w:pos="567"/>
              </w:tabs>
              <w:spacing w:line="260" w:lineRule="exact"/>
              <w:rPr>
                <w:color w:val="000000"/>
                <w:sz w:val="22"/>
                <w:lang w:val="en-GB"/>
              </w:rPr>
            </w:pPr>
            <w:r w:rsidRPr="002D741C">
              <w:rPr>
                <w:i/>
                <w:color w:val="000000"/>
                <w:sz w:val="22"/>
                <w:szCs w:val="22"/>
                <w:lang w:val="en-GB"/>
              </w:rPr>
              <w:t>Raras:</w:t>
            </w:r>
          </w:p>
        </w:tc>
        <w:tc>
          <w:tcPr>
            <w:tcW w:w="7087" w:type="dxa"/>
          </w:tcPr>
          <w:p w14:paraId="31D318A6" w14:textId="77777777" w:rsidR="00363223" w:rsidRPr="00DF6C0D" w:rsidRDefault="00363223" w:rsidP="00C16E58">
            <w:pPr>
              <w:keepNext/>
              <w:tabs>
                <w:tab w:val="left" w:pos="567"/>
              </w:tabs>
              <w:spacing w:line="260" w:lineRule="exact"/>
              <w:rPr>
                <w:color w:val="000000"/>
                <w:sz w:val="22"/>
                <w:lang w:val="es-ES"/>
              </w:rPr>
            </w:pPr>
            <w:r w:rsidRPr="00DF6C0D">
              <w:rPr>
                <w:color w:val="000000"/>
                <w:sz w:val="22"/>
                <w:szCs w:val="22"/>
                <w:lang w:val="es-ES"/>
              </w:rPr>
              <w:t>Dermatosis neutrofílica febril aguda (síndrome de Sweet), decoloración de las uñas, edema angioneurótico, erupción vesicular, eritema multiforme, vasculitis leucocitoclástica, síndrome de Stevens-Johnson, exantema pustuloso generalizado agudo (AGEP)</w:t>
            </w:r>
          </w:p>
        </w:tc>
      </w:tr>
      <w:tr w:rsidR="006C74F0" w:rsidRPr="002D741C" w14:paraId="3DB8F4F3" w14:textId="77777777" w:rsidTr="00C16E58">
        <w:trPr>
          <w:cantSplit/>
        </w:trPr>
        <w:tc>
          <w:tcPr>
            <w:tcW w:w="2235" w:type="dxa"/>
          </w:tcPr>
          <w:p w14:paraId="706B9787" w14:textId="77777777" w:rsidR="006C74F0" w:rsidRPr="002D741C" w:rsidRDefault="006C74F0" w:rsidP="004374F7">
            <w:pPr>
              <w:tabs>
                <w:tab w:val="left" w:pos="567"/>
              </w:tabs>
              <w:spacing w:line="260" w:lineRule="exact"/>
              <w:rPr>
                <w:i/>
                <w:color w:val="000000"/>
                <w:sz w:val="22"/>
                <w:szCs w:val="22"/>
                <w:lang w:val="en-GB"/>
              </w:rPr>
            </w:pPr>
            <w:r w:rsidRPr="002D741C">
              <w:rPr>
                <w:i/>
                <w:color w:val="000000"/>
                <w:sz w:val="22"/>
                <w:szCs w:val="22"/>
                <w:lang w:val="en-GB"/>
              </w:rPr>
              <w:t>Frecuencia no conocida:</w:t>
            </w:r>
          </w:p>
        </w:tc>
        <w:tc>
          <w:tcPr>
            <w:tcW w:w="7087" w:type="dxa"/>
          </w:tcPr>
          <w:p w14:paraId="6AA1013A" w14:textId="77777777" w:rsidR="006C74F0" w:rsidRPr="002D741C" w:rsidRDefault="006C74F0" w:rsidP="004340FD">
            <w:pPr>
              <w:tabs>
                <w:tab w:val="left" w:pos="567"/>
              </w:tabs>
              <w:spacing w:line="260" w:lineRule="exact"/>
              <w:rPr>
                <w:color w:val="000000"/>
                <w:sz w:val="22"/>
                <w:szCs w:val="22"/>
                <w:lang w:val="es-ES"/>
              </w:rPr>
            </w:pPr>
            <w:r w:rsidRPr="002D741C">
              <w:rPr>
                <w:color w:val="000000"/>
                <w:sz w:val="22"/>
                <w:szCs w:val="22"/>
                <w:lang w:val="es-ES"/>
              </w:rPr>
              <w:t>Síndrome de eritrodise</w:t>
            </w:r>
            <w:r w:rsidR="004340FD" w:rsidRPr="002D741C">
              <w:rPr>
                <w:color w:val="000000"/>
                <w:sz w:val="22"/>
                <w:szCs w:val="22"/>
                <w:lang w:val="es-ES"/>
              </w:rPr>
              <w:t>ste</w:t>
            </w:r>
            <w:r w:rsidRPr="002D741C">
              <w:rPr>
                <w:color w:val="000000"/>
                <w:sz w:val="22"/>
                <w:szCs w:val="22"/>
                <w:lang w:val="es-ES"/>
              </w:rPr>
              <w:t>sia palmoplantar*, queratosis liquenoide*, liquen plano*, necrolisis epidérmica tóxica</w:t>
            </w:r>
            <w:r w:rsidR="00CE2C88" w:rsidRPr="002D741C">
              <w:rPr>
                <w:color w:val="000000"/>
                <w:sz w:val="22"/>
                <w:szCs w:val="22"/>
                <w:lang w:val="es-ES"/>
              </w:rPr>
              <w:t>*</w:t>
            </w:r>
            <w:r w:rsidRPr="002D741C">
              <w:rPr>
                <w:color w:val="000000"/>
                <w:sz w:val="22"/>
                <w:szCs w:val="22"/>
                <w:lang w:val="es-ES"/>
              </w:rPr>
              <w:t>, erupción por medicamento</w:t>
            </w:r>
            <w:r w:rsidR="004340FD" w:rsidRPr="002D741C">
              <w:rPr>
                <w:color w:val="000000"/>
                <w:sz w:val="22"/>
                <w:szCs w:val="22"/>
                <w:lang w:val="es-ES"/>
              </w:rPr>
              <w:t>s</w:t>
            </w:r>
            <w:r w:rsidRPr="002D741C">
              <w:rPr>
                <w:color w:val="000000"/>
                <w:sz w:val="22"/>
                <w:szCs w:val="22"/>
                <w:lang w:val="es-ES"/>
              </w:rPr>
              <w:t xml:space="preserve"> con eosinofilia y síntomas sistémicos (DRESS)*</w:t>
            </w:r>
            <w:r w:rsidR="00D57BD8" w:rsidRPr="002D741C">
              <w:rPr>
                <w:color w:val="000000"/>
                <w:sz w:val="22"/>
                <w:szCs w:val="22"/>
                <w:lang w:val="es-ES"/>
              </w:rPr>
              <w:t>, pseudoporfiria*</w:t>
            </w:r>
          </w:p>
        </w:tc>
      </w:tr>
      <w:tr w:rsidR="00363223" w:rsidRPr="002D741C" w14:paraId="56ECA0CA" w14:textId="77777777" w:rsidTr="00C16E58">
        <w:trPr>
          <w:cantSplit/>
        </w:trPr>
        <w:tc>
          <w:tcPr>
            <w:tcW w:w="9322" w:type="dxa"/>
            <w:gridSpan w:val="2"/>
          </w:tcPr>
          <w:p w14:paraId="7B99D0CF" w14:textId="77777777" w:rsidR="00363223" w:rsidRPr="002D741C" w:rsidRDefault="00363223" w:rsidP="00C16E58">
            <w:pPr>
              <w:keepNext/>
              <w:tabs>
                <w:tab w:val="left" w:pos="567"/>
              </w:tabs>
              <w:spacing w:line="260" w:lineRule="exact"/>
              <w:rPr>
                <w:color w:val="000000"/>
                <w:sz w:val="22"/>
                <w:szCs w:val="22"/>
              </w:rPr>
            </w:pPr>
            <w:r w:rsidRPr="002D741C">
              <w:rPr>
                <w:b/>
                <w:color w:val="000000"/>
                <w:sz w:val="22"/>
                <w:szCs w:val="22"/>
                <w:lang w:val="es-ES"/>
              </w:rPr>
              <w:lastRenderedPageBreak/>
              <w:t>Trastornos musculoesqueléticos y del tejido conjuntivo</w:t>
            </w:r>
          </w:p>
        </w:tc>
      </w:tr>
      <w:tr w:rsidR="00363223" w:rsidRPr="002D741C" w14:paraId="38FFA753" w14:textId="77777777" w:rsidTr="00C16E58">
        <w:trPr>
          <w:cantSplit/>
        </w:trPr>
        <w:tc>
          <w:tcPr>
            <w:tcW w:w="2235" w:type="dxa"/>
          </w:tcPr>
          <w:p w14:paraId="4EE14E82" w14:textId="77777777" w:rsidR="00363223" w:rsidRPr="002D741C" w:rsidRDefault="00363223" w:rsidP="00C16E58">
            <w:pPr>
              <w:keepNext/>
              <w:tabs>
                <w:tab w:val="left" w:pos="567"/>
              </w:tabs>
              <w:spacing w:line="260" w:lineRule="exact"/>
              <w:rPr>
                <w:color w:val="000000"/>
                <w:sz w:val="22"/>
                <w:szCs w:val="22"/>
              </w:rPr>
            </w:pPr>
            <w:r w:rsidRPr="002D741C">
              <w:rPr>
                <w:i/>
                <w:color w:val="000000"/>
                <w:sz w:val="22"/>
                <w:szCs w:val="22"/>
              </w:rPr>
              <w:t>Muy frecuentes:</w:t>
            </w:r>
          </w:p>
        </w:tc>
        <w:tc>
          <w:tcPr>
            <w:tcW w:w="7087" w:type="dxa"/>
          </w:tcPr>
          <w:p w14:paraId="348DA4FF" w14:textId="77777777" w:rsidR="00363223" w:rsidRPr="002D741C" w:rsidRDefault="00363223" w:rsidP="00C16E58">
            <w:pPr>
              <w:keepNext/>
              <w:tabs>
                <w:tab w:val="left" w:pos="567"/>
              </w:tabs>
              <w:spacing w:line="260" w:lineRule="exact"/>
              <w:rPr>
                <w:color w:val="000000"/>
                <w:sz w:val="22"/>
                <w:szCs w:val="22"/>
              </w:rPr>
            </w:pPr>
            <w:r w:rsidRPr="002D741C">
              <w:rPr>
                <w:color w:val="000000"/>
                <w:sz w:val="22"/>
                <w:szCs w:val="22"/>
              </w:rPr>
              <w:t>Espasmos y calambres musculares, dolor musculoesquelético incluyendo mialgia</w:t>
            </w:r>
            <w:r w:rsidR="005C69B3" w:rsidRPr="002D741C">
              <w:rPr>
                <w:color w:val="000000"/>
                <w:sz w:val="22"/>
                <w:szCs w:val="22"/>
                <w:vertAlign w:val="superscript"/>
              </w:rPr>
              <w:t>9</w:t>
            </w:r>
            <w:r w:rsidRPr="002D741C">
              <w:rPr>
                <w:color w:val="000000"/>
                <w:sz w:val="22"/>
                <w:szCs w:val="22"/>
              </w:rPr>
              <w:t>, artralgia, dolor óseo</w:t>
            </w:r>
            <w:r w:rsidR="005C69B3" w:rsidRPr="002D741C">
              <w:rPr>
                <w:color w:val="000000"/>
                <w:sz w:val="22"/>
                <w:szCs w:val="22"/>
                <w:vertAlign w:val="superscript"/>
              </w:rPr>
              <w:t>10</w:t>
            </w:r>
          </w:p>
        </w:tc>
      </w:tr>
      <w:tr w:rsidR="00363223" w:rsidRPr="002D741C" w14:paraId="718CA9AF" w14:textId="77777777" w:rsidTr="00C16E58">
        <w:trPr>
          <w:cantSplit/>
        </w:trPr>
        <w:tc>
          <w:tcPr>
            <w:tcW w:w="2235" w:type="dxa"/>
          </w:tcPr>
          <w:p w14:paraId="42C2E914" w14:textId="77777777" w:rsidR="00363223" w:rsidRPr="002D741C" w:rsidRDefault="00363223" w:rsidP="00C16E58">
            <w:pPr>
              <w:keepNext/>
              <w:tabs>
                <w:tab w:val="left" w:pos="567"/>
              </w:tabs>
              <w:spacing w:line="260" w:lineRule="exact"/>
              <w:rPr>
                <w:color w:val="000000"/>
                <w:sz w:val="22"/>
                <w:szCs w:val="22"/>
              </w:rPr>
            </w:pPr>
            <w:r w:rsidRPr="002D741C">
              <w:rPr>
                <w:i/>
                <w:color w:val="000000"/>
                <w:sz w:val="22"/>
                <w:szCs w:val="22"/>
              </w:rPr>
              <w:t>Frecuentes:</w:t>
            </w:r>
          </w:p>
        </w:tc>
        <w:tc>
          <w:tcPr>
            <w:tcW w:w="7087" w:type="dxa"/>
          </w:tcPr>
          <w:p w14:paraId="4A747A82" w14:textId="77777777" w:rsidR="00363223" w:rsidRPr="002D741C" w:rsidRDefault="00363223" w:rsidP="00C16E58">
            <w:pPr>
              <w:keepNext/>
              <w:tabs>
                <w:tab w:val="left" w:pos="567"/>
              </w:tabs>
              <w:spacing w:line="260" w:lineRule="exact"/>
              <w:rPr>
                <w:color w:val="000000"/>
                <w:sz w:val="22"/>
                <w:szCs w:val="22"/>
                <w:lang w:val="pt-PT"/>
              </w:rPr>
            </w:pPr>
            <w:r w:rsidRPr="002D741C">
              <w:rPr>
                <w:color w:val="000000"/>
                <w:sz w:val="22"/>
                <w:szCs w:val="22"/>
              </w:rPr>
              <w:t>Hinchazón de las articulaciones</w:t>
            </w:r>
          </w:p>
        </w:tc>
      </w:tr>
      <w:tr w:rsidR="00363223" w:rsidRPr="002D741C" w14:paraId="62E69DE6" w14:textId="77777777" w:rsidTr="00C16E58">
        <w:trPr>
          <w:cantSplit/>
        </w:trPr>
        <w:tc>
          <w:tcPr>
            <w:tcW w:w="2235" w:type="dxa"/>
          </w:tcPr>
          <w:p w14:paraId="3C56A452" w14:textId="77777777" w:rsidR="00363223" w:rsidRPr="002D741C" w:rsidRDefault="00363223" w:rsidP="00C16E58">
            <w:pPr>
              <w:keepNext/>
              <w:tabs>
                <w:tab w:val="left" w:pos="567"/>
              </w:tabs>
              <w:spacing w:line="260" w:lineRule="exact"/>
              <w:rPr>
                <w:color w:val="000000"/>
                <w:sz w:val="22"/>
                <w:szCs w:val="22"/>
              </w:rPr>
            </w:pPr>
            <w:r w:rsidRPr="002D741C">
              <w:rPr>
                <w:i/>
                <w:color w:val="000000"/>
                <w:sz w:val="22"/>
                <w:szCs w:val="22"/>
              </w:rPr>
              <w:t>Poco frecuentes:</w:t>
            </w:r>
          </w:p>
        </w:tc>
        <w:tc>
          <w:tcPr>
            <w:tcW w:w="7087" w:type="dxa"/>
          </w:tcPr>
          <w:p w14:paraId="62EAC078" w14:textId="77777777" w:rsidR="00363223" w:rsidRPr="002D741C" w:rsidRDefault="00363223" w:rsidP="00C16E58">
            <w:pPr>
              <w:keepNext/>
              <w:tabs>
                <w:tab w:val="left" w:pos="567"/>
              </w:tabs>
              <w:spacing w:line="260" w:lineRule="exact"/>
              <w:rPr>
                <w:color w:val="000000"/>
                <w:sz w:val="22"/>
                <w:szCs w:val="22"/>
              </w:rPr>
            </w:pPr>
            <w:r w:rsidRPr="002D741C">
              <w:rPr>
                <w:color w:val="000000"/>
                <w:sz w:val="22"/>
                <w:szCs w:val="22"/>
              </w:rPr>
              <w:t>Rigidez de articulaciones y músculos</w:t>
            </w:r>
          </w:p>
        </w:tc>
      </w:tr>
      <w:tr w:rsidR="00363223" w:rsidRPr="002D741C" w14:paraId="3C9945AE" w14:textId="77777777" w:rsidTr="00C16E58">
        <w:trPr>
          <w:cantSplit/>
        </w:trPr>
        <w:tc>
          <w:tcPr>
            <w:tcW w:w="2235" w:type="dxa"/>
          </w:tcPr>
          <w:p w14:paraId="44446662" w14:textId="77777777" w:rsidR="00363223" w:rsidRPr="002D741C" w:rsidRDefault="00363223" w:rsidP="00C16E58">
            <w:pPr>
              <w:keepNext/>
              <w:tabs>
                <w:tab w:val="left" w:pos="567"/>
              </w:tabs>
              <w:spacing w:line="260" w:lineRule="exact"/>
              <w:rPr>
                <w:color w:val="000000"/>
                <w:sz w:val="22"/>
                <w:szCs w:val="22"/>
              </w:rPr>
            </w:pPr>
            <w:r w:rsidRPr="002D741C">
              <w:rPr>
                <w:i/>
                <w:color w:val="000000"/>
                <w:sz w:val="22"/>
                <w:szCs w:val="22"/>
              </w:rPr>
              <w:t>Raras:</w:t>
            </w:r>
          </w:p>
        </w:tc>
        <w:tc>
          <w:tcPr>
            <w:tcW w:w="7087" w:type="dxa"/>
          </w:tcPr>
          <w:p w14:paraId="0F1891AD" w14:textId="77777777" w:rsidR="00363223" w:rsidRPr="002D741C" w:rsidRDefault="00363223" w:rsidP="00C16E58">
            <w:pPr>
              <w:keepNext/>
              <w:tabs>
                <w:tab w:val="left" w:pos="567"/>
              </w:tabs>
              <w:spacing w:line="260" w:lineRule="exact"/>
              <w:rPr>
                <w:color w:val="000000"/>
                <w:sz w:val="22"/>
                <w:szCs w:val="22"/>
                <w:lang w:val="pt-PT"/>
              </w:rPr>
            </w:pPr>
            <w:r w:rsidRPr="002D741C">
              <w:rPr>
                <w:bCs/>
                <w:color w:val="000000"/>
                <w:sz w:val="22"/>
                <w:szCs w:val="22"/>
              </w:rPr>
              <w:t>Debilidad muscular, artritis, rabdomiolisis/miopatía</w:t>
            </w:r>
          </w:p>
        </w:tc>
      </w:tr>
      <w:tr w:rsidR="006C74F0" w:rsidRPr="002D741C" w14:paraId="1895A18B" w14:textId="77777777" w:rsidTr="00C16E58">
        <w:trPr>
          <w:cantSplit/>
        </w:trPr>
        <w:tc>
          <w:tcPr>
            <w:tcW w:w="2235" w:type="dxa"/>
          </w:tcPr>
          <w:p w14:paraId="5F130804" w14:textId="77777777" w:rsidR="006C74F0" w:rsidRPr="002D741C" w:rsidRDefault="006C74F0" w:rsidP="004374F7">
            <w:pPr>
              <w:tabs>
                <w:tab w:val="left" w:pos="567"/>
              </w:tabs>
              <w:spacing w:line="260" w:lineRule="exact"/>
              <w:rPr>
                <w:i/>
                <w:color w:val="000000"/>
                <w:sz w:val="22"/>
                <w:szCs w:val="22"/>
              </w:rPr>
            </w:pPr>
            <w:r w:rsidRPr="002D741C">
              <w:rPr>
                <w:i/>
                <w:color w:val="000000"/>
                <w:sz w:val="22"/>
                <w:szCs w:val="22"/>
              </w:rPr>
              <w:t>Frecuencia no conocida:</w:t>
            </w:r>
          </w:p>
        </w:tc>
        <w:tc>
          <w:tcPr>
            <w:tcW w:w="7087" w:type="dxa"/>
          </w:tcPr>
          <w:p w14:paraId="78275931" w14:textId="77777777" w:rsidR="006C74F0" w:rsidRPr="002D741C" w:rsidRDefault="006C74F0" w:rsidP="004374F7">
            <w:pPr>
              <w:tabs>
                <w:tab w:val="left" w:pos="567"/>
              </w:tabs>
              <w:spacing w:line="260" w:lineRule="exact"/>
              <w:rPr>
                <w:bCs/>
                <w:color w:val="000000"/>
                <w:sz w:val="22"/>
                <w:szCs w:val="22"/>
              </w:rPr>
            </w:pPr>
            <w:r w:rsidRPr="002D741C">
              <w:rPr>
                <w:bCs/>
                <w:color w:val="000000"/>
                <w:sz w:val="22"/>
                <w:szCs w:val="22"/>
              </w:rPr>
              <w:t>Necrosis avascular/necrosis de cadera*, retraso en el crecimiento en niños*</w:t>
            </w:r>
          </w:p>
        </w:tc>
      </w:tr>
      <w:tr w:rsidR="00363223" w:rsidRPr="002D741C" w14:paraId="54C29621" w14:textId="77777777" w:rsidTr="00C16E58">
        <w:trPr>
          <w:cantSplit/>
        </w:trPr>
        <w:tc>
          <w:tcPr>
            <w:tcW w:w="9322" w:type="dxa"/>
            <w:gridSpan w:val="2"/>
          </w:tcPr>
          <w:p w14:paraId="3F6304F9" w14:textId="77777777" w:rsidR="00363223" w:rsidRPr="002D741C" w:rsidRDefault="00363223" w:rsidP="00C16E58">
            <w:pPr>
              <w:keepNext/>
              <w:tabs>
                <w:tab w:val="left" w:pos="567"/>
              </w:tabs>
              <w:spacing w:line="260" w:lineRule="exact"/>
              <w:rPr>
                <w:b/>
                <w:color w:val="000000"/>
                <w:sz w:val="22"/>
                <w:szCs w:val="22"/>
                <w:lang w:val="es-ES"/>
              </w:rPr>
            </w:pPr>
            <w:r w:rsidRPr="002D741C">
              <w:rPr>
                <w:b/>
                <w:color w:val="000000"/>
                <w:sz w:val="22"/>
                <w:szCs w:val="22"/>
                <w:lang w:val="es-ES"/>
              </w:rPr>
              <w:t>Trastornos renales y urinarios</w:t>
            </w:r>
          </w:p>
        </w:tc>
      </w:tr>
      <w:tr w:rsidR="00363223" w:rsidRPr="002D741C" w14:paraId="2ACB8CFC" w14:textId="77777777" w:rsidTr="00C16E58">
        <w:trPr>
          <w:cantSplit/>
        </w:trPr>
        <w:tc>
          <w:tcPr>
            <w:tcW w:w="2235" w:type="dxa"/>
          </w:tcPr>
          <w:p w14:paraId="48064961" w14:textId="77777777" w:rsidR="00363223" w:rsidRPr="002D741C" w:rsidRDefault="00363223" w:rsidP="00C16E58">
            <w:pPr>
              <w:keepNext/>
              <w:tabs>
                <w:tab w:val="left" w:pos="567"/>
              </w:tabs>
              <w:spacing w:line="260" w:lineRule="exact"/>
              <w:rPr>
                <w:i/>
                <w:color w:val="000000"/>
                <w:sz w:val="22"/>
                <w:szCs w:val="22"/>
                <w:lang w:val="es-ES"/>
              </w:rPr>
            </w:pPr>
            <w:r w:rsidRPr="002D741C">
              <w:rPr>
                <w:i/>
                <w:color w:val="000000"/>
                <w:sz w:val="22"/>
                <w:szCs w:val="22"/>
                <w:lang w:val="es-ES"/>
              </w:rPr>
              <w:t>Poco frecuentes:</w:t>
            </w:r>
          </w:p>
        </w:tc>
        <w:tc>
          <w:tcPr>
            <w:tcW w:w="7087" w:type="dxa"/>
          </w:tcPr>
          <w:p w14:paraId="3439DC77" w14:textId="77777777" w:rsidR="00363223" w:rsidRPr="002D741C" w:rsidRDefault="00363223" w:rsidP="00C16E58">
            <w:pPr>
              <w:keepNext/>
              <w:tabs>
                <w:tab w:val="left" w:pos="567"/>
              </w:tabs>
              <w:spacing w:line="260" w:lineRule="exact"/>
              <w:rPr>
                <w:color w:val="000000"/>
                <w:sz w:val="22"/>
                <w:szCs w:val="22"/>
                <w:lang w:val="es-ES"/>
              </w:rPr>
            </w:pPr>
            <w:r w:rsidRPr="002D741C">
              <w:rPr>
                <w:color w:val="000000"/>
                <w:sz w:val="22"/>
                <w:szCs w:val="22"/>
                <w:lang w:val="es-ES"/>
              </w:rPr>
              <w:t>Dolor renal, hematuria, insuficiencia renal aguda, aumento de frecuencia urinaria</w:t>
            </w:r>
          </w:p>
        </w:tc>
      </w:tr>
      <w:tr w:rsidR="00953613" w:rsidRPr="002D741C" w14:paraId="79186CD4" w14:textId="77777777" w:rsidTr="00C16E58">
        <w:trPr>
          <w:cantSplit/>
        </w:trPr>
        <w:tc>
          <w:tcPr>
            <w:tcW w:w="2235" w:type="dxa"/>
          </w:tcPr>
          <w:p w14:paraId="5DEC6B86" w14:textId="77777777" w:rsidR="00953613" w:rsidRPr="002D741C" w:rsidRDefault="00953613" w:rsidP="004374F7">
            <w:pPr>
              <w:tabs>
                <w:tab w:val="left" w:pos="567"/>
              </w:tabs>
              <w:spacing w:line="260" w:lineRule="exact"/>
              <w:rPr>
                <w:i/>
                <w:color w:val="000000"/>
                <w:sz w:val="22"/>
                <w:szCs w:val="22"/>
                <w:lang w:val="es-ES"/>
              </w:rPr>
            </w:pPr>
            <w:r w:rsidRPr="002D741C">
              <w:rPr>
                <w:i/>
                <w:color w:val="000000"/>
                <w:sz w:val="22"/>
                <w:szCs w:val="22"/>
                <w:lang w:val="es-ES"/>
              </w:rPr>
              <w:t>Frecuencia no conocida:</w:t>
            </w:r>
          </w:p>
        </w:tc>
        <w:tc>
          <w:tcPr>
            <w:tcW w:w="7087" w:type="dxa"/>
          </w:tcPr>
          <w:p w14:paraId="51E5D490" w14:textId="77777777" w:rsidR="00953613" w:rsidRPr="002D741C" w:rsidRDefault="00953613" w:rsidP="004374F7">
            <w:pPr>
              <w:tabs>
                <w:tab w:val="left" w:pos="567"/>
              </w:tabs>
              <w:spacing w:line="260" w:lineRule="exact"/>
              <w:rPr>
                <w:color w:val="000000"/>
                <w:sz w:val="22"/>
                <w:szCs w:val="22"/>
                <w:lang w:val="es-ES"/>
              </w:rPr>
            </w:pPr>
            <w:r w:rsidRPr="002D741C">
              <w:rPr>
                <w:color w:val="000000"/>
                <w:sz w:val="22"/>
                <w:szCs w:val="22"/>
                <w:lang w:val="es-ES"/>
              </w:rPr>
              <w:t>Insuficiencia renal crónica</w:t>
            </w:r>
          </w:p>
        </w:tc>
      </w:tr>
      <w:tr w:rsidR="00363223" w:rsidRPr="002D741C" w14:paraId="4EDE9A55" w14:textId="77777777" w:rsidTr="00C16E58">
        <w:trPr>
          <w:cantSplit/>
        </w:trPr>
        <w:tc>
          <w:tcPr>
            <w:tcW w:w="9322" w:type="dxa"/>
            <w:gridSpan w:val="2"/>
          </w:tcPr>
          <w:p w14:paraId="3913FD06" w14:textId="77777777" w:rsidR="00363223" w:rsidRPr="002D741C" w:rsidRDefault="00363223" w:rsidP="00C16E58">
            <w:pPr>
              <w:keepNext/>
              <w:tabs>
                <w:tab w:val="left" w:pos="567"/>
              </w:tabs>
              <w:spacing w:line="260" w:lineRule="exact"/>
              <w:rPr>
                <w:b/>
                <w:color w:val="000000"/>
                <w:sz w:val="22"/>
                <w:szCs w:val="22"/>
                <w:lang w:val="es-ES"/>
              </w:rPr>
            </w:pPr>
            <w:r w:rsidRPr="002D741C">
              <w:rPr>
                <w:b/>
                <w:color w:val="000000"/>
                <w:sz w:val="22"/>
                <w:szCs w:val="22"/>
                <w:lang w:val="es-ES"/>
              </w:rPr>
              <w:t>Trastornos del aparato reproductor y de la mama</w:t>
            </w:r>
          </w:p>
        </w:tc>
      </w:tr>
      <w:tr w:rsidR="00363223" w:rsidRPr="002D741C" w14:paraId="594408F4" w14:textId="77777777" w:rsidTr="00C16E58">
        <w:trPr>
          <w:cantSplit/>
        </w:trPr>
        <w:tc>
          <w:tcPr>
            <w:tcW w:w="2235" w:type="dxa"/>
          </w:tcPr>
          <w:p w14:paraId="4CD38FD6" w14:textId="77777777" w:rsidR="00363223" w:rsidRPr="002D741C" w:rsidRDefault="00363223" w:rsidP="00C16E58">
            <w:pPr>
              <w:keepNext/>
              <w:tabs>
                <w:tab w:val="left" w:pos="567"/>
              </w:tabs>
              <w:spacing w:line="260" w:lineRule="exact"/>
              <w:rPr>
                <w:i/>
                <w:color w:val="000000"/>
                <w:sz w:val="22"/>
                <w:szCs w:val="22"/>
                <w:lang w:val="es-ES"/>
              </w:rPr>
            </w:pPr>
            <w:r w:rsidRPr="002D741C">
              <w:rPr>
                <w:i/>
                <w:color w:val="000000"/>
                <w:sz w:val="22"/>
                <w:szCs w:val="22"/>
                <w:lang w:val="es-ES"/>
              </w:rPr>
              <w:t>Poco frecuentes:</w:t>
            </w:r>
          </w:p>
        </w:tc>
        <w:tc>
          <w:tcPr>
            <w:tcW w:w="7087" w:type="dxa"/>
          </w:tcPr>
          <w:p w14:paraId="6B41E03A" w14:textId="77777777" w:rsidR="00363223" w:rsidRPr="002D741C" w:rsidRDefault="00363223" w:rsidP="00C16E58">
            <w:pPr>
              <w:keepNext/>
              <w:tabs>
                <w:tab w:val="left" w:pos="567"/>
              </w:tabs>
              <w:spacing w:line="260" w:lineRule="exact"/>
              <w:rPr>
                <w:color w:val="000000"/>
                <w:sz w:val="22"/>
                <w:szCs w:val="22"/>
                <w:lang w:val="es-ES"/>
              </w:rPr>
            </w:pPr>
            <w:r w:rsidRPr="002D741C">
              <w:rPr>
                <w:color w:val="000000"/>
                <w:sz w:val="22"/>
                <w:szCs w:val="22"/>
                <w:lang w:val="es-ES"/>
              </w:rPr>
              <w:t>Ginecomastia, disfunción eréctil, menorragia, menstruación irregular, disfunción sexual, dolor en los pezones, aumento del tamaño de las mamas, edema de escroto</w:t>
            </w:r>
          </w:p>
        </w:tc>
      </w:tr>
      <w:tr w:rsidR="00363223" w:rsidRPr="002D741C" w14:paraId="589B7B76" w14:textId="77777777" w:rsidTr="00C16E58">
        <w:trPr>
          <w:cantSplit/>
        </w:trPr>
        <w:tc>
          <w:tcPr>
            <w:tcW w:w="2235" w:type="dxa"/>
          </w:tcPr>
          <w:p w14:paraId="22186A75" w14:textId="77777777" w:rsidR="00363223" w:rsidRPr="002D741C" w:rsidRDefault="00C16E58" w:rsidP="004374F7">
            <w:pPr>
              <w:tabs>
                <w:tab w:val="left" w:pos="567"/>
              </w:tabs>
              <w:spacing w:line="260" w:lineRule="exact"/>
              <w:rPr>
                <w:i/>
                <w:color w:val="000000"/>
                <w:sz w:val="22"/>
                <w:szCs w:val="22"/>
                <w:lang w:val="es-ES"/>
              </w:rPr>
            </w:pPr>
            <w:r>
              <w:rPr>
                <w:i/>
                <w:color w:val="000000"/>
                <w:sz w:val="22"/>
                <w:szCs w:val="22"/>
                <w:lang w:val="es-ES"/>
              </w:rPr>
              <w:t>Raras:</w:t>
            </w:r>
          </w:p>
        </w:tc>
        <w:tc>
          <w:tcPr>
            <w:tcW w:w="7087" w:type="dxa"/>
          </w:tcPr>
          <w:p w14:paraId="1DB8E0F9" w14:textId="77777777" w:rsidR="00363223" w:rsidRPr="002D741C" w:rsidRDefault="00363223" w:rsidP="004374F7">
            <w:pPr>
              <w:tabs>
                <w:tab w:val="left" w:pos="567"/>
              </w:tabs>
              <w:spacing w:line="260" w:lineRule="exact"/>
              <w:rPr>
                <w:color w:val="000000"/>
                <w:sz w:val="22"/>
                <w:szCs w:val="22"/>
                <w:lang w:val="es-ES"/>
              </w:rPr>
            </w:pPr>
            <w:r w:rsidRPr="002D741C">
              <w:rPr>
                <w:color w:val="000000"/>
                <w:sz w:val="22"/>
                <w:szCs w:val="22"/>
                <w:lang w:val="es-ES"/>
              </w:rPr>
              <w:t>Cuerpo lúteo hemorrágico/quiste de ovario hemorrágico</w:t>
            </w:r>
          </w:p>
        </w:tc>
      </w:tr>
      <w:tr w:rsidR="00363223" w:rsidRPr="002D741C" w14:paraId="1D4C5832" w14:textId="77777777" w:rsidTr="00C16E58">
        <w:trPr>
          <w:cantSplit/>
        </w:trPr>
        <w:tc>
          <w:tcPr>
            <w:tcW w:w="9322" w:type="dxa"/>
            <w:gridSpan w:val="2"/>
          </w:tcPr>
          <w:p w14:paraId="5FDC30E3" w14:textId="77777777" w:rsidR="00363223" w:rsidRPr="002D741C" w:rsidRDefault="00363223" w:rsidP="00C16E58">
            <w:pPr>
              <w:keepNext/>
              <w:tabs>
                <w:tab w:val="left" w:pos="567"/>
              </w:tabs>
              <w:spacing w:line="260" w:lineRule="exact"/>
              <w:rPr>
                <w:color w:val="000000"/>
                <w:sz w:val="22"/>
                <w:szCs w:val="22"/>
              </w:rPr>
            </w:pPr>
            <w:r w:rsidRPr="002D741C">
              <w:rPr>
                <w:b/>
                <w:color w:val="000000"/>
                <w:sz w:val="22"/>
                <w:szCs w:val="22"/>
                <w:lang w:val="es-ES"/>
              </w:rPr>
              <w:t>Trastornos generales y alteraciones en el lugar de administración</w:t>
            </w:r>
          </w:p>
        </w:tc>
      </w:tr>
      <w:tr w:rsidR="00363223" w:rsidRPr="002D741C" w14:paraId="6B7B0DE3" w14:textId="77777777" w:rsidTr="00C16E58">
        <w:trPr>
          <w:cantSplit/>
        </w:trPr>
        <w:tc>
          <w:tcPr>
            <w:tcW w:w="2235" w:type="dxa"/>
          </w:tcPr>
          <w:p w14:paraId="14E046F1" w14:textId="77777777" w:rsidR="00363223" w:rsidRPr="002D741C" w:rsidRDefault="00363223" w:rsidP="00C16E58">
            <w:pPr>
              <w:keepNext/>
              <w:tabs>
                <w:tab w:val="left" w:pos="567"/>
              </w:tabs>
              <w:spacing w:line="260" w:lineRule="exact"/>
              <w:rPr>
                <w:i/>
                <w:color w:val="000000"/>
                <w:sz w:val="22"/>
                <w:szCs w:val="22"/>
                <w:lang w:val="en-GB"/>
              </w:rPr>
            </w:pPr>
            <w:r w:rsidRPr="002D741C">
              <w:rPr>
                <w:i/>
                <w:color w:val="000000"/>
                <w:sz w:val="22"/>
                <w:szCs w:val="22"/>
                <w:lang w:val="en-GB"/>
              </w:rPr>
              <w:t>Muy frecuentes:</w:t>
            </w:r>
          </w:p>
        </w:tc>
        <w:tc>
          <w:tcPr>
            <w:tcW w:w="7087" w:type="dxa"/>
          </w:tcPr>
          <w:p w14:paraId="7B0E37AE" w14:textId="77777777" w:rsidR="00363223" w:rsidRPr="002D741C" w:rsidRDefault="00363223" w:rsidP="00C16E58">
            <w:pPr>
              <w:keepNext/>
              <w:tabs>
                <w:tab w:val="left" w:pos="567"/>
              </w:tabs>
              <w:spacing w:line="260" w:lineRule="exact"/>
              <w:rPr>
                <w:color w:val="000000"/>
                <w:sz w:val="22"/>
                <w:szCs w:val="22"/>
              </w:rPr>
            </w:pPr>
            <w:r w:rsidRPr="002D741C">
              <w:rPr>
                <w:color w:val="000000"/>
                <w:sz w:val="22"/>
                <w:szCs w:val="22"/>
              </w:rPr>
              <w:t xml:space="preserve">Retención de líquidos y edema, fatiga </w:t>
            </w:r>
          </w:p>
        </w:tc>
      </w:tr>
      <w:tr w:rsidR="00363223" w:rsidRPr="002D741C" w14:paraId="55220232" w14:textId="77777777" w:rsidTr="00C16E58">
        <w:trPr>
          <w:cantSplit/>
        </w:trPr>
        <w:tc>
          <w:tcPr>
            <w:tcW w:w="2235" w:type="dxa"/>
          </w:tcPr>
          <w:p w14:paraId="6AD0AB15" w14:textId="77777777" w:rsidR="00363223" w:rsidRPr="002D741C" w:rsidRDefault="00363223" w:rsidP="00C16E58">
            <w:pPr>
              <w:keepNext/>
              <w:tabs>
                <w:tab w:val="left" w:pos="567"/>
              </w:tabs>
              <w:spacing w:line="260" w:lineRule="exact"/>
              <w:rPr>
                <w:i/>
                <w:color w:val="000000"/>
                <w:sz w:val="22"/>
                <w:szCs w:val="22"/>
                <w:lang w:val="en-GB"/>
              </w:rPr>
            </w:pPr>
            <w:r w:rsidRPr="002D741C">
              <w:rPr>
                <w:i/>
                <w:color w:val="000000"/>
                <w:sz w:val="22"/>
                <w:szCs w:val="22"/>
                <w:lang w:val="en-GB"/>
              </w:rPr>
              <w:t>Frecuentes:</w:t>
            </w:r>
          </w:p>
        </w:tc>
        <w:tc>
          <w:tcPr>
            <w:tcW w:w="7087" w:type="dxa"/>
          </w:tcPr>
          <w:p w14:paraId="62403AF0" w14:textId="77777777" w:rsidR="00363223" w:rsidRPr="002D741C" w:rsidRDefault="00363223" w:rsidP="00C16E58">
            <w:pPr>
              <w:keepNext/>
              <w:tabs>
                <w:tab w:val="left" w:pos="567"/>
              </w:tabs>
              <w:spacing w:line="260" w:lineRule="exact"/>
              <w:rPr>
                <w:color w:val="000000"/>
                <w:sz w:val="22"/>
                <w:szCs w:val="22"/>
              </w:rPr>
            </w:pPr>
            <w:r w:rsidRPr="002D741C">
              <w:rPr>
                <w:color w:val="000000"/>
                <w:sz w:val="22"/>
                <w:szCs w:val="22"/>
              </w:rPr>
              <w:t>Debilidad, pirexia, anasarca, escalofríos, rigidez</w:t>
            </w:r>
          </w:p>
        </w:tc>
      </w:tr>
      <w:tr w:rsidR="00363223" w:rsidRPr="002D741C" w14:paraId="47FB7716" w14:textId="77777777" w:rsidTr="00C16E58">
        <w:trPr>
          <w:cantSplit/>
        </w:trPr>
        <w:tc>
          <w:tcPr>
            <w:tcW w:w="2235" w:type="dxa"/>
          </w:tcPr>
          <w:p w14:paraId="14BB1F6B" w14:textId="77777777" w:rsidR="00363223" w:rsidRPr="002D741C" w:rsidRDefault="00363223" w:rsidP="004374F7">
            <w:pPr>
              <w:tabs>
                <w:tab w:val="left" w:pos="567"/>
              </w:tabs>
              <w:spacing w:line="260" w:lineRule="exact"/>
              <w:rPr>
                <w:i/>
                <w:color w:val="000000"/>
                <w:sz w:val="22"/>
                <w:szCs w:val="22"/>
                <w:lang w:val="en-GB"/>
              </w:rPr>
            </w:pPr>
            <w:r w:rsidRPr="002D741C">
              <w:rPr>
                <w:i/>
                <w:color w:val="000000"/>
                <w:sz w:val="22"/>
                <w:szCs w:val="22"/>
                <w:lang w:val="en-GB"/>
              </w:rPr>
              <w:t>Poco frecuentes:</w:t>
            </w:r>
          </w:p>
        </w:tc>
        <w:tc>
          <w:tcPr>
            <w:tcW w:w="7087" w:type="dxa"/>
          </w:tcPr>
          <w:p w14:paraId="69B10AE2" w14:textId="77777777" w:rsidR="00363223" w:rsidRPr="002D741C" w:rsidRDefault="00363223" w:rsidP="004374F7">
            <w:pPr>
              <w:tabs>
                <w:tab w:val="left" w:pos="567"/>
              </w:tabs>
              <w:spacing w:line="260" w:lineRule="exact"/>
              <w:rPr>
                <w:color w:val="000000"/>
                <w:sz w:val="22"/>
                <w:szCs w:val="22"/>
              </w:rPr>
            </w:pPr>
            <w:r w:rsidRPr="002D741C">
              <w:rPr>
                <w:color w:val="000000"/>
                <w:sz w:val="22"/>
                <w:szCs w:val="22"/>
              </w:rPr>
              <w:t>Dolor en el pecho, malestar</w:t>
            </w:r>
          </w:p>
        </w:tc>
      </w:tr>
      <w:tr w:rsidR="00363223" w:rsidRPr="002D741C" w14:paraId="4C62FF90" w14:textId="77777777" w:rsidTr="00C16E58">
        <w:trPr>
          <w:cantSplit/>
        </w:trPr>
        <w:tc>
          <w:tcPr>
            <w:tcW w:w="9322" w:type="dxa"/>
            <w:gridSpan w:val="2"/>
          </w:tcPr>
          <w:p w14:paraId="151471EB" w14:textId="77777777" w:rsidR="00363223" w:rsidRPr="002D741C" w:rsidRDefault="00363223" w:rsidP="00C16E58">
            <w:pPr>
              <w:keepNext/>
              <w:tabs>
                <w:tab w:val="left" w:pos="567"/>
              </w:tabs>
              <w:spacing w:line="260" w:lineRule="exact"/>
              <w:rPr>
                <w:b/>
                <w:color w:val="000000"/>
                <w:sz w:val="22"/>
                <w:szCs w:val="22"/>
              </w:rPr>
            </w:pPr>
            <w:r w:rsidRPr="002D741C">
              <w:rPr>
                <w:b/>
                <w:color w:val="000000"/>
                <w:sz w:val="22"/>
                <w:szCs w:val="22"/>
              </w:rPr>
              <w:lastRenderedPageBreak/>
              <w:t>Exploraciones complementarias</w:t>
            </w:r>
          </w:p>
        </w:tc>
      </w:tr>
      <w:tr w:rsidR="00363223" w:rsidRPr="002D741C" w14:paraId="6D4CDFB9" w14:textId="77777777" w:rsidTr="00C16E58">
        <w:trPr>
          <w:cantSplit/>
        </w:trPr>
        <w:tc>
          <w:tcPr>
            <w:tcW w:w="2235" w:type="dxa"/>
          </w:tcPr>
          <w:p w14:paraId="0CF32430" w14:textId="77777777" w:rsidR="00363223" w:rsidRPr="002D741C" w:rsidRDefault="00363223" w:rsidP="00C16E58">
            <w:pPr>
              <w:keepNext/>
              <w:tabs>
                <w:tab w:val="left" w:pos="567"/>
              </w:tabs>
              <w:spacing w:line="260" w:lineRule="exact"/>
              <w:rPr>
                <w:i/>
                <w:color w:val="000000"/>
                <w:sz w:val="22"/>
                <w:szCs w:val="22"/>
                <w:lang w:val="en-GB"/>
              </w:rPr>
            </w:pPr>
            <w:r w:rsidRPr="002D741C">
              <w:rPr>
                <w:i/>
                <w:color w:val="000000"/>
                <w:sz w:val="22"/>
                <w:szCs w:val="22"/>
                <w:lang w:val="en-GB"/>
              </w:rPr>
              <w:t>Muy frecuentes:</w:t>
            </w:r>
          </w:p>
        </w:tc>
        <w:tc>
          <w:tcPr>
            <w:tcW w:w="7087" w:type="dxa"/>
          </w:tcPr>
          <w:p w14:paraId="66BFF5FD" w14:textId="77777777" w:rsidR="00363223" w:rsidRPr="002D741C" w:rsidRDefault="00363223" w:rsidP="00C16E58">
            <w:pPr>
              <w:keepNext/>
              <w:tabs>
                <w:tab w:val="left" w:pos="567"/>
              </w:tabs>
              <w:spacing w:line="260" w:lineRule="exact"/>
              <w:rPr>
                <w:color w:val="000000"/>
                <w:sz w:val="22"/>
                <w:szCs w:val="22"/>
              </w:rPr>
            </w:pPr>
            <w:r w:rsidRPr="002D741C">
              <w:rPr>
                <w:color w:val="000000"/>
                <w:sz w:val="22"/>
                <w:szCs w:val="22"/>
              </w:rPr>
              <w:t>Aumento de peso</w:t>
            </w:r>
          </w:p>
        </w:tc>
      </w:tr>
      <w:tr w:rsidR="00363223" w:rsidRPr="002D741C" w14:paraId="3FF99C16" w14:textId="77777777" w:rsidTr="00C16E58">
        <w:trPr>
          <w:cantSplit/>
        </w:trPr>
        <w:tc>
          <w:tcPr>
            <w:tcW w:w="2235" w:type="dxa"/>
          </w:tcPr>
          <w:p w14:paraId="392F9CDE" w14:textId="77777777" w:rsidR="00363223" w:rsidRPr="002D741C" w:rsidRDefault="00363223" w:rsidP="00C16E58">
            <w:pPr>
              <w:keepNext/>
              <w:tabs>
                <w:tab w:val="left" w:pos="567"/>
              </w:tabs>
              <w:spacing w:line="260" w:lineRule="exact"/>
              <w:rPr>
                <w:i/>
                <w:color w:val="000000"/>
                <w:sz w:val="22"/>
                <w:szCs w:val="22"/>
                <w:lang w:val="en-GB"/>
              </w:rPr>
            </w:pPr>
            <w:r w:rsidRPr="002D741C">
              <w:rPr>
                <w:i/>
                <w:color w:val="000000"/>
                <w:sz w:val="22"/>
                <w:szCs w:val="22"/>
                <w:lang w:val="en-GB"/>
              </w:rPr>
              <w:t>Frecuentes:</w:t>
            </w:r>
          </w:p>
        </w:tc>
        <w:tc>
          <w:tcPr>
            <w:tcW w:w="7087" w:type="dxa"/>
          </w:tcPr>
          <w:p w14:paraId="72A1B069" w14:textId="77777777" w:rsidR="00363223" w:rsidRPr="002D741C" w:rsidRDefault="00363223" w:rsidP="00C16E58">
            <w:pPr>
              <w:keepNext/>
              <w:tabs>
                <w:tab w:val="left" w:pos="567"/>
              </w:tabs>
              <w:spacing w:line="260" w:lineRule="exact"/>
              <w:rPr>
                <w:color w:val="000000"/>
                <w:sz w:val="22"/>
                <w:szCs w:val="22"/>
              </w:rPr>
            </w:pPr>
            <w:r w:rsidRPr="002D741C">
              <w:rPr>
                <w:color w:val="000000"/>
                <w:sz w:val="22"/>
                <w:szCs w:val="22"/>
              </w:rPr>
              <w:t>Pérdida de peso</w:t>
            </w:r>
          </w:p>
        </w:tc>
      </w:tr>
      <w:tr w:rsidR="00363223" w:rsidRPr="002D741C" w14:paraId="6EEAF91E" w14:textId="77777777" w:rsidTr="00C16E58">
        <w:trPr>
          <w:cantSplit/>
        </w:trPr>
        <w:tc>
          <w:tcPr>
            <w:tcW w:w="2235" w:type="dxa"/>
          </w:tcPr>
          <w:p w14:paraId="65E5E037" w14:textId="77777777" w:rsidR="00363223" w:rsidRPr="002D741C" w:rsidRDefault="00363223" w:rsidP="00C16E58">
            <w:pPr>
              <w:keepNext/>
              <w:tabs>
                <w:tab w:val="left" w:pos="567"/>
              </w:tabs>
              <w:spacing w:line="260" w:lineRule="exact"/>
              <w:rPr>
                <w:i/>
                <w:color w:val="000000"/>
                <w:sz w:val="22"/>
                <w:szCs w:val="22"/>
                <w:lang w:val="en-GB"/>
              </w:rPr>
            </w:pPr>
            <w:r w:rsidRPr="002D741C">
              <w:rPr>
                <w:i/>
                <w:color w:val="000000"/>
                <w:sz w:val="22"/>
                <w:szCs w:val="22"/>
                <w:lang w:val="en-GB"/>
              </w:rPr>
              <w:t>Poco frecuentes:</w:t>
            </w:r>
          </w:p>
        </w:tc>
        <w:tc>
          <w:tcPr>
            <w:tcW w:w="7087" w:type="dxa"/>
          </w:tcPr>
          <w:p w14:paraId="3ED79138" w14:textId="77777777" w:rsidR="00363223" w:rsidRPr="00DF6C0D" w:rsidRDefault="00363223" w:rsidP="00C16E58">
            <w:pPr>
              <w:keepNext/>
              <w:tabs>
                <w:tab w:val="left" w:pos="567"/>
              </w:tabs>
              <w:spacing w:line="260" w:lineRule="exact"/>
              <w:rPr>
                <w:color w:val="000000"/>
                <w:sz w:val="22"/>
                <w:szCs w:val="22"/>
                <w:lang w:val="es-ES"/>
              </w:rPr>
            </w:pPr>
            <w:r w:rsidRPr="00DF6C0D">
              <w:rPr>
                <w:color w:val="000000"/>
                <w:sz w:val="22"/>
                <w:szCs w:val="22"/>
                <w:lang w:val="es-ES"/>
              </w:rPr>
              <w:t>Aumento de la creatinina sérica, aumento de la creatinfosfoquinasa sérica, aumento de la lactatodeshidrogenasa sérica, aumento de la fosfatasa alcalina sérica</w:t>
            </w:r>
          </w:p>
        </w:tc>
      </w:tr>
      <w:tr w:rsidR="00363223" w:rsidRPr="002D741C" w14:paraId="79AFD13B" w14:textId="77777777" w:rsidTr="00C16E58">
        <w:trPr>
          <w:cantSplit/>
        </w:trPr>
        <w:tc>
          <w:tcPr>
            <w:tcW w:w="2235" w:type="dxa"/>
          </w:tcPr>
          <w:p w14:paraId="4763E3B1" w14:textId="77777777" w:rsidR="00363223" w:rsidRPr="002D741C" w:rsidRDefault="00363223" w:rsidP="00C16E58">
            <w:pPr>
              <w:keepNext/>
              <w:tabs>
                <w:tab w:val="left" w:pos="567"/>
              </w:tabs>
              <w:spacing w:line="260" w:lineRule="exact"/>
              <w:rPr>
                <w:i/>
                <w:color w:val="000000"/>
                <w:sz w:val="22"/>
                <w:szCs w:val="22"/>
                <w:lang w:val="en-GB"/>
              </w:rPr>
            </w:pPr>
            <w:r w:rsidRPr="002D741C">
              <w:rPr>
                <w:i/>
                <w:color w:val="000000"/>
                <w:sz w:val="22"/>
                <w:szCs w:val="22"/>
                <w:lang w:val="en-GB"/>
              </w:rPr>
              <w:t>Raras:</w:t>
            </w:r>
          </w:p>
        </w:tc>
        <w:tc>
          <w:tcPr>
            <w:tcW w:w="7087" w:type="dxa"/>
          </w:tcPr>
          <w:p w14:paraId="5E22D770" w14:textId="77777777" w:rsidR="00363223" w:rsidRPr="002D741C" w:rsidRDefault="00363223" w:rsidP="00C16E58">
            <w:pPr>
              <w:keepNext/>
              <w:tabs>
                <w:tab w:val="left" w:pos="567"/>
              </w:tabs>
              <w:spacing w:line="260" w:lineRule="exact"/>
              <w:rPr>
                <w:color w:val="000000"/>
                <w:sz w:val="22"/>
                <w:szCs w:val="22"/>
              </w:rPr>
            </w:pPr>
            <w:r w:rsidRPr="002D741C">
              <w:rPr>
                <w:color w:val="000000"/>
                <w:sz w:val="22"/>
                <w:szCs w:val="22"/>
              </w:rPr>
              <w:t>Aumento de amilasa sérica</w:t>
            </w:r>
          </w:p>
        </w:tc>
      </w:tr>
    </w:tbl>
    <w:p w14:paraId="68FAB3B3" w14:textId="77777777" w:rsidR="00363223" w:rsidRPr="002D741C" w:rsidRDefault="00363223" w:rsidP="00C16E58">
      <w:pPr>
        <w:pStyle w:val="Heading4"/>
        <w:widowControl w:val="0"/>
        <w:spacing w:line="240" w:lineRule="auto"/>
        <w:jc w:val="left"/>
        <w:rPr>
          <w:b w:val="0"/>
          <w:color w:val="000000"/>
          <w:szCs w:val="22"/>
        </w:rPr>
      </w:pPr>
    </w:p>
    <w:p w14:paraId="74CCD030" w14:textId="77777777" w:rsidR="006C74F0" w:rsidRPr="002D741C" w:rsidRDefault="006C74F0" w:rsidP="00C16E58">
      <w:pPr>
        <w:keepNext/>
        <w:keepLines/>
        <w:widowControl w:val="0"/>
        <w:tabs>
          <w:tab w:val="left" w:pos="-6804"/>
        </w:tabs>
        <w:ind w:left="567" w:hanging="567"/>
        <w:rPr>
          <w:color w:val="000000"/>
          <w:sz w:val="22"/>
          <w:szCs w:val="22"/>
        </w:rPr>
      </w:pPr>
      <w:r w:rsidRPr="002D741C">
        <w:rPr>
          <w:color w:val="000000"/>
          <w:sz w:val="22"/>
          <w:szCs w:val="22"/>
        </w:rPr>
        <w:t>*</w:t>
      </w:r>
      <w:r w:rsidRPr="002D741C">
        <w:rPr>
          <w:color w:val="000000"/>
          <w:sz w:val="22"/>
          <w:szCs w:val="22"/>
        </w:rPr>
        <w:tab/>
        <w:t xml:space="preserve">Estos tipos de reacciones se han notificado principalmente a partir de la experiencia postcomercialización con Glivec. Esto incluye notificaciones espontáneas así como acontecimientos adversos graves de los estudios en marcha, los programas de acceso expandido, </w:t>
      </w:r>
      <w:r w:rsidR="004340FD" w:rsidRPr="002D741C">
        <w:rPr>
          <w:color w:val="000000"/>
          <w:sz w:val="22"/>
          <w:szCs w:val="22"/>
        </w:rPr>
        <w:t xml:space="preserve">los </w:t>
      </w:r>
      <w:r w:rsidRPr="002D741C">
        <w:rPr>
          <w:color w:val="000000"/>
          <w:sz w:val="22"/>
          <w:szCs w:val="22"/>
        </w:rPr>
        <w:t>estudios de farmacología clínica y estudios exploratorios en indicaciones no autorizadas. Puesto que estas reacciones se notifican a partir de una población de tamaño incierto, no siempre es posible estimar de forma fiable su frecuencia o establecer una relaci</w:t>
      </w:r>
      <w:r w:rsidR="004340FD" w:rsidRPr="002D741C">
        <w:rPr>
          <w:color w:val="000000"/>
          <w:sz w:val="22"/>
          <w:szCs w:val="22"/>
        </w:rPr>
        <w:t>ón causal con</w:t>
      </w:r>
      <w:r w:rsidRPr="002D741C">
        <w:rPr>
          <w:color w:val="000000"/>
          <w:sz w:val="22"/>
          <w:szCs w:val="22"/>
        </w:rPr>
        <w:t xml:space="preserve"> la exposición a imatinib.</w:t>
      </w:r>
    </w:p>
    <w:p w14:paraId="705BAC6F" w14:textId="77777777" w:rsidR="004416C3" w:rsidRPr="002D741C" w:rsidRDefault="004169F6" w:rsidP="00C16E58">
      <w:pPr>
        <w:keepNext/>
        <w:keepLines/>
        <w:widowControl w:val="0"/>
        <w:ind w:left="567" w:hanging="567"/>
        <w:rPr>
          <w:color w:val="000000"/>
          <w:sz w:val="22"/>
          <w:szCs w:val="22"/>
        </w:rPr>
      </w:pPr>
      <w:r w:rsidRPr="002D741C">
        <w:rPr>
          <w:color w:val="000000"/>
          <w:sz w:val="22"/>
          <w:szCs w:val="22"/>
        </w:rPr>
        <w:t>1</w:t>
      </w:r>
      <w:r w:rsidRPr="002D741C">
        <w:rPr>
          <w:color w:val="000000"/>
          <w:sz w:val="22"/>
          <w:szCs w:val="22"/>
        </w:rPr>
        <w:tab/>
      </w:r>
      <w:r w:rsidR="004416C3" w:rsidRPr="002D741C">
        <w:rPr>
          <w:color w:val="000000"/>
          <w:sz w:val="22"/>
          <w:szCs w:val="22"/>
        </w:rPr>
        <w:t>La neumonía se notificó de forma más frecuente en pacientes con LMC transformada y en pacientes con G</w:t>
      </w:r>
      <w:smartTag w:uri="urn:schemas-microsoft-com:office:smarttags" w:element="PersonName">
        <w:r w:rsidR="004416C3" w:rsidRPr="002D741C">
          <w:rPr>
            <w:color w:val="000000"/>
            <w:sz w:val="22"/>
            <w:szCs w:val="22"/>
          </w:rPr>
          <w:t>IS</w:t>
        </w:r>
      </w:smartTag>
      <w:r w:rsidR="004416C3" w:rsidRPr="002D741C">
        <w:rPr>
          <w:color w:val="000000"/>
          <w:sz w:val="22"/>
          <w:szCs w:val="22"/>
        </w:rPr>
        <w:t>T.</w:t>
      </w:r>
    </w:p>
    <w:p w14:paraId="07F306DA" w14:textId="77777777" w:rsidR="004169F6" w:rsidRPr="002D741C" w:rsidRDefault="004169F6" w:rsidP="00C16E58">
      <w:pPr>
        <w:keepNext/>
        <w:keepLines/>
        <w:widowControl w:val="0"/>
        <w:ind w:left="567" w:hanging="567"/>
        <w:rPr>
          <w:color w:val="000000"/>
          <w:sz w:val="22"/>
          <w:szCs w:val="22"/>
        </w:rPr>
      </w:pPr>
      <w:r w:rsidRPr="002D741C">
        <w:rPr>
          <w:color w:val="000000"/>
          <w:sz w:val="22"/>
          <w:szCs w:val="22"/>
        </w:rPr>
        <w:t>2</w:t>
      </w:r>
      <w:r w:rsidRPr="002D741C">
        <w:rPr>
          <w:color w:val="000000"/>
          <w:sz w:val="22"/>
          <w:szCs w:val="22"/>
        </w:rPr>
        <w:tab/>
        <w:t xml:space="preserve">La cefalea fue </w:t>
      </w:r>
      <w:r w:rsidR="00B06510" w:rsidRPr="002D741C">
        <w:rPr>
          <w:color w:val="000000"/>
          <w:sz w:val="22"/>
          <w:szCs w:val="22"/>
        </w:rPr>
        <w:t xml:space="preserve">la </w:t>
      </w:r>
      <w:r w:rsidRPr="002D741C">
        <w:rPr>
          <w:color w:val="000000"/>
          <w:sz w:val="22"/>
          <w:szCs w:val="22"/>
        </w:rPr>
        <w:t>más frecuente en pacientes con G</w:t>
      </w:r>
      <w:smartTag w:uri="urn:schemas-microsoft-com:office:smarttags" w:element="PersonName">
        <w:r w:rsidRPr="002D741C">
          <w:rPr>
            <w:color w:val="000000"/>
            <w:sz w:val="22"/>
            <w:szCs w:val="22"/>
          </w:rPr>
          <w:t>IS</w:t>
        </w:r>
      </w:smartTag>
      <w:r w:rsidRPr="002D741C">
        <w:rPr>
          <w:color w:val="000000"/>
          <w:sz w:val="22"/>
          <w:szCs w:val="22"/>
        </w:rPr>
        <w:t>T.</w:t>
      </w:r>
    </w:p>
    <w:p w14:paraId="115A9BA9" w14:textId="77777777" w:rsidR="004416C3" w:rsidRPr="002D741C" w:rsidRDefault="004169F6" w:rsidP="00C16E58">
      <w:pPr>
        <w:keepNext/>
        <w:keepLines/>
        <w:widowControl w:val="0"/>
        <w:ind w:left="567" w:hanging="567"/>
        <w:rPr>
          <w:color w:val="000000"/>
          <w:sz w:val="22"/>
          <w:szCs w:val="22"/>
        </w:rPr>
      </w:pPr>
      <w:r w:rsidRPr="002D741C">
        <w:rPr>
          <w:color w:val="000000"/>
          <w:sz w:val="22"/>
          <w:szCs w:val="22"/>
        </w:rPr>
        <w:t>3</w:t>
      </w:r>
      <w:r w:rsidRPr="002D741C">
        <w:rPr>
          <w:color w:val="000000"/>
          <w:sz w:val="22"/>
          <w:szCs w:val="22"/>
        </w:rPr>
        <w:tab/>
      </w:r>
      <w:r w:rsidR="004416C3" w:rsidRPr="002D741C">
        <w:rPr>
          <w:color w:val="000000"/>
          <w:sz w:val="22"/>
          <w:szCs w:val="22"/>
        </w:rPr>
        <w:t>Basándose en los resultados por paciente-año, los trastornos cardiacos, incluyendo insuficiencia cardiaca congestiva, se observaron de forma más frecuente en pacientes con LMC transformada que en pacientes con LMC crónica.</w:t>
      </w:r>
    </w:p>
    <w:p w14:paraId="5C125A4A" w14:textId="77777777" w:rsidR="004416C3" w:rsidRPr="002D741C" w:rsidRDefault="004416C3" w:rsidP="00C16E58">
      <w:pPr>
        <w:keepNext/>
        <w:keepLines/>
        <w:widowControl w:val="0"/>
        <w:ind w:left="567" w:hanging="567"/>
        <w:rPr>
          <w:color w:val="000000"/>
          <w:sz w:val="22"/>
          <w:szCs w:val="22"/>
        </w:rPr>
      </w:pPr>
      <w:r w:rsidRPr="002D741C">
        <w:rPr>
          <w:color w:val="000000"/>
          <w:sz w:val="22"/>
          <w:szCs w:val="22"/>
        </w:rPr>
        <w:t>4</w:t>
      </w:r>
      <w:r w:rsidRPr="002D741C">
        <w:rPr>
          <w:color w:val="000000"/>
          <w:sz w:val="22"/>
          <w:szCs w:val="22"/>
        </w:rPr>
        <w:tab/>
        <w:t>Los sofocos fueron más frecuentes en pacientes con G</w:t>
      </w:r>
      <w:smartTag w:uri="urn:schemas-microsoft-com:office:smarttags" w:element="PersonName">
        <w:r w:rsidRPr="002D741C">
          <w:rPr>
            <w:color w:val="000000"/>
            <w:sz w:val="22"/>
            <w:szCs w:val="22"/>
          </w:rPr>
          <w:t>IS</w:t>
        </w:r>
      </w:smartTag>
      <w:r w:rsidRPr="002D741C">
        <w:rPr>
          <w:color w:val="000000"/>
          <w:sz w:val="22"/>
          <w:szCs w:val="22"/>
        </w:rPr>
        <w:t>T y los sangrados (hematoma, hemorragia) fueron más frecuentes en pacientes con G</w:t>
      </w:r>
      <w:smartTag w:uri="urn:schemas-microsoft-com:office:smarttags" w:element="PersonName">
        <w:r w:rsidRPr="002D741C">
          <w:rPr>
            <w:color w:val="000000"/>
            <w:sz w:val="22"/>
            <w:szCs w:val="22"/>
          </w:rPr>
          <w:t>IS</w:t>
        </w:r>
      </w:smartTag>
      <w:r w:rsidRPr="002D741C">
        <w:rPr>
          <w:color w:val="000000"/>
          <w:sz w:val="22"/>
          <w:szCs w:val="22"/>
        </w:rPr>
        <w:t>T y con LMC transformada (LMC-FA y LMC-CB).</w:t>
      </w:r>
    </w:p>
    <w:p w14:paraId="471EB60E" w14:textId="77777777" w:rsidR="004169F6" w:rsidRPr="002D741C" w:rsidRDefault="004416C3" w:rsidP="00C16E58">
      <w:pPr>
        <w:keepNext/>
        <w:keepLines/>
        <w:widowControl w:val="0"/>
        <w:ind w:left="567" w:hanging="567"/>
        <w:rPr>
          <w:color w:val="000000"/>
          <w:sz w:val="22"/>
          <w:szCs w:val="22"/>
        </w:rPr>
      </w:pPr>
      <w:r w:rsidRPr="002D741C">
        <w:rPr>
          <w:color w:val="000000"/>
          <w:sz w:val="22"/>
          <w:szCs w:val="22"/>
        </w:rPr>
        <w:t>5</w:t>
      </w:r>
      <w:r w:rsidRPr="002D741C">
        <w:rPr>
          <w:color w:val="000000"/>
          <w:sz w:val="22"/>
          <w:szCs w:val="22"/>
        </w:rPr>
        <w:tab/>
      </w:r>
      <w:r w:rsidR="004169F6" w:rsidRPr="002D741C">
        <w:rPr>
          <w:color w:val="000000"/>
          <w:sz w:val="22"/>
          <w:szCs w:val="22"/>
        </w:rPr>
        <w:t>El derrame pleural se notificó de forma más frecuente en pacientes con G</w:t>
      </w:r>
      <w:smartTag w:uri="urn:schemas-microsoft-com:office:smarttags" w:element="PersonName">
        <w:r w:rsidR="004169F6" w:rsidRPr="002D741C">
          <w:rPr>
            <w:color w:val="000000"/>
            <w:sz w:val="22"/>
            <w:szCs w:val="22"/>
          </w:rPr>
          <w:t>IS</w:t>
        </w:r>
      </w:smartTag>
      <w:r w:rsidR="004169F6" w:rsidRPr="002D741C">
        <w:rPr>
          <w:color w:val="000000"/>
          <w:sz w:val="22"/>
          <w:szCs w:val="22"/>
        </w:rPr>
        <w:t>T y en pacientes con LMC transformada (LMC-</w:t>
      </w:r>
      <w:r w:rsidR="00B06510" w:rsidRPr="002D741C">
        <w:rPr>
          <w:color w:val="000000"/>
          <w:sz w:val="22"/>
          <w:szCs w:val="22"/>
        </w:rPr>
        <w:t xml:space="preserve">fase </w:t>
      </w:r>
      <w:r w:rsidR="00A118D0" w:rsidRPr="002D741C">
        <w:rPr>
          <w:color w:val="000000"/>
          <w:sz w:val="22"/>
          <w:szCs w:val="22"/>
        </w:rPr>
        <w:t>acelerada</w:t>
      </w:r>
      <w:r w:rsidR="004169F6" w:rsidRPr="002D741C">
        <w:rPr>
          <w:color w:val="000000"/>
          <w:sz w:val="22"/>
          <w:szCs w:val="22"/>
        </w:rPr>
        <w:t xml:space="preserve"> y LMC-</w:t>
      </w:r>
      <w:r w:rsidR="00B06510" w:rsidRPr="002D741C">
        <w:rPr>
          <w:color w:val="000000"/>
          <w:sz w:val="22"/>
          <w:szCs w:val="22"/>
        </w:rPr>
        <w:t>crisis blástica</w:t>
      </w:r>
      <w:r w:rsidR="004169F6" w:rsidRPr="002D741C">
        <w:rPr>
          <w:color w:val="000000"/>
          <w:sz w:val="22"/>
          <w:szCs w:val="22"/>
        </w:rPr>
        <w:t>) que en pacientes con LMC crónica.</w:t>
      </w:r>
    </w:p>
    <w:p w14:paraId="003B0384" w14:textId="77777777" w:rsidR="004169F6" w:rsidRPr="002D741C" w:rsidRDefault="004416C3" w:rsidP="00C16E58">
      <w:pPr>
        <w:keepNext/>
        <w:keepLines/>
        <w:widowControl w:val="0"/>
        <w:ind w:left="567" w:hanging="567"/>
        <w:rPr>
          <w:color w:val="000000"/>
          <w:sz w:val="22"/>
          <w:szCs w:val="22"/>
        </w:rPr>
      </w:pPr>
      <w:r w:rsidRPr="002D741C">
        <w:rPr>
          <w:color w:val="000000"/>
          <w:sz w:val="22"/>
          <w:szCs w:val="22"/>
        </w:rPr>
        <w:t>6+7</w:t>
      </w:r>
      <w:r w:rsidR="004169F6" w:rsidRPr="002D741C">
        <w:rPr>
          <w:color w:val="000000"/>
          <w:sz w:val="22"/>
          <w:szCs w:val="22"/>
        </w:rPr>
        <w:tab/>
        <w:t>El dolor abdominal y la hemorragia gastrointestinal se observaron de forma más frecuente en pacientes con G</w:t>
      </w:r>
      <w:smartTag w:uri="urn:schemas-microsoft-com:office:smarttags" w:element="PersonName">
        <w:r w:rsidR="004169F6" w:rsidRPr="002D741C">
          <w:rPr>
            <w:color w:val="000000"/>
            <w:sz w:val="22"/>
            <w:szCs w:val="22"/>
          </w:rPr>
          <w:t>IS</w:t>
        </w:r>
      </w:smartTag>
      <w:r w:rsidR="004169F6" w:rsidRPr="002D741C">
        <w:rPr>
          <w:color w:val="000000"/>
          <w:sz w:val="22"/>
          <w:szCs w:val="22"/>
        </w:rPr>
        <w:t>T.</w:t>
      </w:r>
    </w:p>
    <w:p w14:paraId="73029CEB" w14:textId="77777777" w:rsidR="004416C3" w:rsidRPr="002D741C" w:rsidRDefault="004416C3" w:rsidP="00C16E58">
      <w:pPr>
        <w:keepNext/>
        <w:keepLines/>
        <w:widowControl w:val="0"/>
        <w:ind w:left="567" w:hanging="567"/>
        <w:rPr>
          <w:color w:val="000000"/>
          <w:sz w:val="22"/>
          <w:szCs w:val="22"/>
        </w:rPr>
      </w:pPr>
      <w:r w:rsidRPr="002D741C">
        <w:rPr>
          <w:color w:val="000000"/>
          <w:sz w:val="22"/>
          <w:szCs w:val="22"/>
        </w:rPr>
        <w:t>8</w:t>
      </w:r>
      <w:r w:rsidRPr="002D741C">
        <w:rPr>
          <w:color w:val="000000"/>
          <w:sz w:val="22"/>
          <w:szCs w:val="22"/>
        </w:rPr>
        <w:tab/>
        <w:t>Se han notificado algunos casos mortales de insuficiencia hepática y de necrosis hepática.</w:t>
      </w:r>
    </w:p>
    <w:p w14:paraId="464AC587" w14:textId="77777777" w:rsidR="005C69B3" w:rsidRPr="002D741C" w:rsidRDefault="005C69B3" w:rsidP="00C16E58">
      <w:pPr>
        <w:keepNext/>
        <w:keepLines/>
        <w:widowControl w:val="0"/>
        <w:ind w:left="567" w:hanging="567"/>
        <w:rPr>
          <w:color w:val="000000"/>
          <w:sz w:val="22"/>
          <w:szCs w:val="22"/>
        </w:rPr>
      </w:pPr>
      <w:r w:rsidRPr="002D741C">
        <w:rPr>
          <w:color w:val="000000"/>
          <w:sz w:val="22"/>
          <w:szCs w:val="22"/>
        </w:rPr>
        <w:t>9</w:t>
      </w:r>
      <w:r w:rsidRPr="002D741C">
        <w:rPr>
          <w:color w:val="000000"/>
          <w:sz w:val="22"/>
          <w:szCs w:val="22"/>
        </w:rPr>
        <w:tab/>
      </w:r>
      <w:r w:rsidR="00186C4D" w:rsidRPr="002D741C">
        <w:rPr>
          <w:color w:val="000000"/>
          <w:sz w:val="22"/>
          <w:szCs w:val="22"/>
        </w:rPr>
        <w:t>Dolor musculoesquelético durante el tratamiento con imatinib o después de su interrupción, observado tras la comercialización</w:t>
      </w:r>
      <w:r w:rsidRPr="002D741C">
        <w:rPr>
          <w:color w:val="000000"/>
          <w:sz w:val="22"/>
          <w:szCs w:val="22"/>
        </w:rPr>
        <w:t>.</w:t>
      </w:r>
    </w:p>
    <w:p w14:paraId="3D88B252" w14:textId="77777777" w:rsidR="004169F6" w:rsidRPr="002D741C" w:rsidRDefault="005C69B3" w:rsidP="00C16E58">
      <w:pPr>
        <w:keepNext/>
        <w:keepLines/>
        <w:widowControl w:val="0"/>
        <w:ind w:left="567" w:hanging="567"/>
        <w:rPr>
          <w:color w:val="000000"/>
          <w:sz w:val="22"/>
          <w:szCs w:val="22"/>
        </w:rPr>
      </w:pPr>
      <w:r w:rsidRPr="002D741C">
        <w:rPr>
          <w:color w:val="000000"/>
          <w:sz w:val="22"/>
          <w:szCs w:val="22"/>
        </w:rPr>
        <w:t>10</w:t>
      </w:r>
      <w:r w:rsidR="004169F6" w:rsidRPr="002D741C">
        <w:rPr>
          <w:color w:val="000000"/>
          <w:sz w:val="22"/>
          <w:szCs w:val="22"/>
        </w:rPr>
        <w:tab/>
        <w:t xml:space="preserve">El dolor musculoesquelético y los </w:t>
      </w:r>
      <w:r w:rsidR="00AB2465" w:rsidRPr="002D741C">
        <w:rPr>
          <w:color w:val="000000"/>
          <w:sz w:val="22"/>
          <w:szCs w:val="22"/>
        </w:rPr>
        <w:t>acontecimientos</w:t>
      </w:r>
      <w:r w:rsidR="004169F6" w:rsidRPr="002D741C">
        <w:rPr>
          <w:color w:val="000000"/>
          <w:sz w:val="22"/>
          <w:szCs w:val="22"/>
        </w:rPr>
        <w:t xml:space="preserve"> relacionados se observaron de forma más frecuente en pacientes con LMC que en pacientes con G</w:t>
      </w:r>
      <w:smartTag w:uri="urn:schemas-microsoft-com:office:smarttags" w:element="PersonName">
        <w:r w:rsidR="004169F6" w:rsidRPr="002D741C">
          <w:rPr>
            <w:color w:val="000000"/>
            <w:sz w:val="22"/>
            <w:szCs w:val="22"/>
          </w:rPr>
          <w:t>IS</w:t>
        </w:r>
      </w:smartTag>
      <w:r w:rsidR="004169F6" w:rsidRPr="002D741C">
        <w:rPr>
          <w:color w:val="000000"/>
          <w:sz w:val="22"/>
          <w:szCs w:val="22"/>
        </w:rPr>
        <w:t>T.</w:t>
      </w:r>
    </w:p>
    <w:p w14:paraId="402DCB4E" w14:textId="77777777" w:rsidR="006C74F0" w:rsidRPr="002D741C" w:rsidRDefault="006C74F0" w:rsidP="00C16E58">
      <w:pPr>
        <w:keepLines/>
        <w:widowControl w:val="0"/>
        <w:ind w:left="567" w:hanging="567"/>
        <w:rPr>
          <w:color w:val="000000"/>
          <w:sz w:val="22"/>
          <w:szCs w:val="22"/>
        </w:rPr>
      </w:pPr>
      <w:r w:rsidRPr="002D741C">
        <w:rPr>
          <w:color w:val="000000"/>
          <w:sz w:val="22"/>
          <w:szCs w:val="22"/>
        </w:rPr>
        <w:t>1</w:t>
      </w:r>
      <w:r w:rsidR="005C69B3" w:rsidRPr="002D741C">
        <w:rPr>
          <w:color w:val="000000"/>
          <w:sz w:val="22"/>
          <w:szCs w:val="22"/>
        </w:rPr>
        <w:t>1</w:t>
      </w:r>
      <w:r w:rsidRPr="002D741C">
        <w:rPr>
          <w:color w:val="000000"/>
          <w:sz w:val="22"/>
          <w:szCs w:val="22"/>
        </w:rPr>
        <w:tab/>
        <w:t>Se han notificado casos mortales en pacientes con enfermedad avanzada, infecciones graves, neutropenia grave y otras enfermedades concomitantes graves.</w:t>
      </w:r>
    </w:p>
    <w:p w14:paraId="37DD4F2C" w14:textId="77777777" w:rsidR="00A746DD" w:rsidRPr="002D741C" w:rsidRDefault="00A746DD" w:rsidP="00A746DD">
      <w:pPr>
        <w:rPr>
          <w:color w:val="000000"/>
          <w:sz w:val="22"/>
          <w:szCs w:val="22"/>
        </w:rPr>
      </w:pPr>
    </w:p>
    <w:p w14:paraId="40330AAC" w14:textId="77777777" w:rsidR="002626B2" w:rsidRPr="002D741C" w:rsidRDefault="002626B2" w:rsidP="00C16E58">
      <w:pPr>
        <w:pStyle w:val="EndnoteText"/>
        <w:keepNext/>
        <w:widowControl w:val="0"/>
        <w:tabs>
          <w:tab w:val="clear" w:pos="567"/>
        </w:tabs>
        <w:rPr>
          <w:color w:val="000000"/>
          <w:szCs w:val="22"/>
          <w:u w:val="single"/>
          <w:lang w:val="es-ES"/>
        </w:rPr>
      </w:pPr>
      <w:r w:rsidRPr="002D741C">
        <w:rPr>
          <w:color w:val="000000"/>
          <w:szCs w:val="22"/>
          <w:u w:val="single"/>
          <w:lang w:val="es-ES"/>
        </w:rPr>
        <w:t>Anormalidades en las pruebas de laboratorio</w:t>
      </w:r>
    </w:p>
    <w:p w14:paraId="012D5177" w14:textId="77777777" w:rsidR="002626B2" w:rsidRPr="002D741C" w:rsidRDefault="002626B2" w:rsidP="00C16E58">
      <w:pPr>
        <w:pStyle w:val="EndnoteText"/>
        <w:keepNext/>
        <w:widowControl w:val="0"/>
        <w:tabs>
          <w:tab w:val="clear" w:pos="567"/>
        </w:tabs>
        <w:rPr>
          <w:color w:val="000000"/>
          <w:szCs w:val="22"/>
          <w:lang w:val="es-ES"/>
        </w:rPr>
      </w:pPr>
      <w:r w:rsidRPr="002D741C">
        <w:rPr>
          <w:i/>
          <w:color w:val="000000"/>
          <w:szCs w:val="22"/>
          <w:lang w:val="es-ES"/>
        </w:rPr>
        <w:t>Hematología</w:t>
      </w:r>
    </w:p>
    <w:p w14:paraId="429AE1B3" w14:textId="77777777" w:rsidR="002626B2" w:rsidRPr="002D741C" w:rsidRDefault="002626B2" w:rsidP="00BC0BA1">
      <w:pPr>
        <w:pStyle w:val="EndnoteText"/>
        <w:widowControl w:val="0"/>
        <w:tabs>
          <w:tab w:val="clear" w:pos="567"/>
        </w:tabs>
        <w:rPr>
          <w:color w:val="000000"/>
          <w:szCs w:val="22"/>
          <w:lang w:val="es-ES"/>
        </w:rPr>
      </w:pPr>
      <w:r w:rsidRPr="002D741C">
        <w:rPr>
          <w:color w:val="000000"/>
          <w:szCs w:val="22"/>
          <w:lang w:val="es-ES"/>
        </w:rPr>
        <w:t xml:space="preserve">En todos los estudios en LMC se han observado citopenias, particularmente neutropenia y trombocitopenia, sugiriendo una mayor frecuencia a dosis elevadas </w:t>
      </w:r>
      <w:r w:rsidRPr="002D741C">
        <w:rPr>
          <w:color w:val="000000"/>
          <w:szCs w:val="22"/>
          <w:lang w:val="es-ES"/>
        </w:rPr>
        <w:sym w:font="Symbol" w:char="F0B3"/>
      </w:r>
      <w:r w:rsidR="00F11D96" w:rsidRPr="002D741C">
        <w:rPr>
          <w:color w:val="000000"/>
          <w:szCs w:val="22"/>
          <w:lang w:val="es-ES"/>
        </w:rPr>
        <w:t> </w:t>
      </w:r>
      <w:r w:rsidRPr="002D741C">
        <w:rPr>
          <w:color w:val="000000"/>
          <w:szCs w:val="22"/>
          <w:lang w:val="es-ES"/>
        </w:rPr>
        <w:t>750</w:t>
      </w:r>
      <w:r w:rsidR="006171A6" w:rsidRPr="002D741C">
        <w:rPr>
          <w:color w:val="000000"/>
          <w:szCs w:val="22"/>
          <w:lang w:val="es-ES"/>
        </w:rPr>
        <w:t> mg</w:t>
      </w:r>
      <w:r w:rsidRPr="002D741C">
        <w:rPr>
          <w:color w:val="000000"/>
          <w:szCs w:val="22"/>
          <w:lang w:val="es-ES"/>
        </w:rPr>
        <w:t xml:space="preserve"> (estudio de fase</w:t>
      </w:r>
      <w:r w:rsidR="00683B3D" w:rsidRPr="002D741C">
        <w:rPr>
          <w:color w:val="000000"/>
          <w:szCs w:val="22"/>
          <w:lang w:val="es-ES"/>
        </w:rPr>
        <w:t> </w:t>
      </w:r>
      <w:r w:rsidRPr="002D741C">
        <w:rPr>
          <w:color w:val="000000"/>
          <w:szCs w:val="22"/>
          <w:lang w:val="es-ES"/>
        </w:rPr>
        <w:t>I). Sin embargo, la presencia de citopenias fue también claramente dependiente de la fase de la enfermedad, la frecuencia de neutropenias (RAN &lt;</w:t>
      </w:r>
      <w:r w:rsidR="00F11D96" w:rsidRPr="002D741C">
        <w:rPr>
          <w:color w:val="000000"/>
          <w:szCs w:val="22"/>
          <w:lang w:val="es-ES"/>
        </w:rPr>
        <w:t> </w:t>
      </w:r>
      <w:r w:rsidRPr="002D741C">
        <w:rPr>
          <w:color w:val="000000"/>
          <w:szCs w:val="22"/>
          <w:lang w:val="es-ES"/>
        </w:rPr>
        <w:t>1,0</w:t>
      </w:r>
      <w:r w:rsidR="00F11D96" w:rsidRPr="002D741C">
        <w:rPr>
          <w:color w:val="000000"/>
          <w:szCs w:val="22"/>
          <w:lang w:val="es-ES"/>
        </w:rPr>
        <w:t> </w:t>
      </w:r>
      <w:r w:rsidRPr="002D741C">
        <w:rPr>
          <w:color w:val="000000"/>
          <w:szCs w:val="22"/>
          <w:lang w:val="es-ES"/>
        </w:rPr>
        <w:t>x</w:t>
      </w:r>
      <w:r w:rsidR="00F11D96" w:rsidRPr="002D741C">
        <w:rPr>
          <w:color w:val="000000"/>
          <w:szCs w:val="22"/>
          <w:lang w:val="es-ES"/>
        </w:rPr>
        <w:t> </w:t>
      </w:r>
      <w:r w:rsidRPr="002D741C">
        <w:rPr>
          <w:color w:val="000000"/>
          <w:szCs w:val="22"/>
          <w:lang w:val="es-ES"/>
        </w:rPr>
        <w:t>10</w:t>
      </w:r>
      <w:r w:rsidRPr="002D741C">
        <w:rPr>
          <w:color w:val="000000"/>
          <w:szCs w:val="22"/>
          <w:vertAlign w:val="superscript"/>
          <w:lang w:val="es-ES"/>
        </w:rPr>
        <w:t>9</w:t>
      </w:r>
      <w:r w:rsidRPr="002D741C">
        <w:rPr>
          <w:color w:val="000000"/>
          <w:szCs w:val="22"/>
          <w:lang w:val="es-ES"/>
        </w:rPr>
        <w:t>/l) y trombocitopenias (recuento de plaquetas &lt;</w:t>
      </w:r>
      <w:r w:rsidR="00F11D96" w:rsidRPr="002D741C">
        <w:rPr>
          <w:color w:val="000000"/>
          <w:szCs w:val="22"/>
          <w:lang w:val="es-ES"/>
        </w:rPr>
        <w:t> </w:t>
      </w:r>
      <w:r w:rsidRPr="002D741C">
        <w:rPr>
          <w:color w:val="000000"/>
          <w:szCs w:val="22"/>
          <w:lang w:val="es-ES"/>
        </w:rPr>
        <w:t>50</w:t>
      </w:r>
      <w:r w:rsidR="00F11D96" w:rsidRPr="002D741C">
        <w:rPr>
          <w:color w:val="000000"/>
          <w:szCs w:val="22"/>
          <w:lang w:val="es-ES"/>
        </w:rPr>
        <w:t> </w:t>
      </w:r>
      <w:r w:rsidRPr="002D741C">
        <w:rPr>
          <w:color w:val="000000"/>
          <w:szCs w:val="22"/>
          <w:lang w:val="es-ES"/>
        </w:rPr>
        <w:t>x</w:t>
      </w:r>
      <w:r w:rsidR="00F11D96" w:rsidRPr="002D741C">
        <w:rPr>
          <w:color w:val="000000"/>
          <w:szCs w:val="22"/>
          <w:lang w:val="es-ES"/>
        </w:rPr>
        <w:t> </w:t>
      </w:r>
      <w:r w:rsidRPr="002D741C">
        <w:rPr>
          <w:color w:val="000000"/>
          <w:szCs w:val="22"/>
          <w:lang w:val="es-ES"/>
        </w:rPr>
        <w:t>10</w:t>
      </w:r>
      <w:r w:rsidRPr="002D741C">
        <w:rPr>
          <w:color w:val="000000"/>
          <w:szCs w:val="22"/>
          <w:vertAlign w:val="superscript"/>
          <w:lang w:val="es-ES"/>
        </w:rPr>
        <w:t>9</w:t>
      </w:r>
      <w:r w:rsidRPr="002D741C">
        <w:rPr>
          <w:color w:val="000000"/>
          <w:szCs w:val="22"/>
          <w:lang w:val="es-ES"/>
        </w:rPr>
        <w:t>/l) de grado</w:t>
      </w:r>
      <w:r w:rsidR="00DF063A" w:rsidRPr="002D741C">
        <w:rPr>
          <w:color w:val="000000"/>
          <w:szCs w:val="22"/>
          <w:lang w:val="es-ES"/>
        </w:rPr>
        <w:t> </w:t>
      </w:r>
      <w:r w:rsidRPr="002D741C">
        <w:rPr>
          <w:color w:val="000000"/>
          <w:szCs w:val="22"/>
          <w:lang w:val="es-ES"/>
        </w:rPr>
        <w:t>3 ó 4, siendo entre 4 y 6</w:t>
      </w:r>
      <w:r w:rsidR="00DF063A" w:rsidRPr="002D741C">
        <w:rPr>
          <w:color w:val="000000"/>
          <w:szCs w:val="22"/>
          <w:lang w:val="es-ES"/>
        </w:rPr>
        <w:t> </w:t>
      </w:r>
      <w:r w:rsidRPr="002D741C">
        <w:rPr>
          <w:color w:val="000000"/>
          <w:szCs w:val="22"/>
          <w:lang w:val="es-ES"/>
        </w:rPr>
        <w:t>veces mayor en crisis blástica y en fase acelerada (5</w:t>
      </w:r>
      <w:r w:rsidR="00E5743D" w:rsidRPr="002D741C">
        <w:rPr>
          <w:color w:val="000000"/>
          <w:szCs w:val="22"/>
          <w:lang w:val="es-ES"/>
        </w:rPr>
        <w:t>9</w:t>
      </w:r>
      <w:r w:rsidR="00F11D96" w:rsidRPr="002D741C">
        <w:rPr>
          <w:color w:val="000000"/>
          <w:szCs w:val="22"/>
          <w:lang w:val="es-ES"/>
        </w:rPr>
        <w:t>–</w:t>
      </w:r>
      <w:r w:rsidRPr="002D741C">
        <w:rPr>
          <w:color w:val="000000"/>
          <w:szCs w:val="22"/>
          <w:lang w:val="es-ES"/>
        </w:rPr>
        <w:t>6</w:t>
      </w:r>
      <w:r w:rsidR="00E5743D" w:rsidRPr="002D741C">
        <w:rPr>
          <w:color w:val="000000"/>
          <w:szCs w:val="22"/>
          <w:lang w:val="es-ES"/>
        </w:rPr>
        <w:t>4</w:t>
      </w:r>
      <w:r w:rsidRPr="002D741C">
        <w:rPr>
          <w:color w:val="000000"/>
          <w:szCs w:val="22"/>
          <w:lang w:val="es-ES"/>
        </w:rPr>
        <w:t>% y 4</w:t>
      </w:r>
      <w:r w:rsidR="00E5743D" w:rsidRPr="002D741C">
        <w:rPr>
          <w:color w:val="000000"/>
          <w:szCs w:val="22"/>
          <w:lang w:val="es-ES"/>
        </w:rPr>
        <w:t>4</w:t>
      </w:r>
      <w:r w:rsidR="00F11D96" w:rsidRPr="002D741C">
        <w:rPr>
          <w:color w:val="000000"/>
          <w:szCs w:val="22"/>
          <w:lang w:val="es-ES"/>
        </w:rPr>
        <w:t>–</w:t>
      </w:r>
      <w:r w:rsidR="00E5743D" w:rsidRPr="002D741C">
        <w:rPr>
          <w:color w:val="000000"/>
          <w:szCs w:val="22"/>
          <w:lang w:val="es-ES"/>
        </w:rPr>
        <w:t>63</w:t>
      </w:r>
      <w:r w:rsidRPr="002D741C">
        <w:rPr>
          <w:color w:val="000000"/>
          <w:szCs w:val="22"/>
          <w:lang w:val="es-ES"/>
        </w:rPr>
        <w:t>% para neutropenia y trombocitopenia, respectivamente) comparado con pacientes con LMC en fase crónica de diagnóstico reciente (1</w:t>
      </w:r>
      <w:r w:rsidR="00BC0BA1" w:rsidRPr="002D741C">
        <w:rPr>
          <w:color w:val="000000"/>
          <w:szCs w:val="22"/>
          <w:lang w:val="es-ES"/>
        </w:rPr>
        <w:t>6,7</w:t>
      </w:r>
      <w:r w:rsidRPr="002D741C">
        <w:rPr>
          <w:color w:val="000000"/>
          <w:szCs w:val="22"/>
          <w:lang w:val="es-ES"/>
        </w:rPr>
        <w:t xml:space="preserve">% neutropenia y </w:t>
      </w:r>
      <w:r w:rsidR="00E5743D" w:rsidRPr="002D741C">
        <w:rPr>
          <w:color w:val="000000"/>
          <w:szCs w:val="22"/>
          <w:lang w:val="es-ES"/>
        </w:rPr>
        <w:t>8,</w:t>
      </w:r>
      <w:r w:rsidR="00BC0BA1" w:rsidRPr="002D741C">
        <w:rPr>
          <w:color w:val="000000"/>
          <w:szCs w:val="22"/>
          <w:lang w:val="es-ES"/>
        </w:rPr>
        <w:t>9</w:t>
      </w:r>
      <w:r w:rsidRPr="002D741C">
        <w:rPr>
          <w:color w:val="000000"/>
          <w:szCs w:val="22"/>
          <w:lang w:val="es-ES"/>
        </w:rPr>
        <w:t>% trombocitopenia). Se observó neutropenia (RAN &lt;</w:t>
      </w:r>
      <w:r w:rsidR="00F11D96" w:rsidRPr="002D741C">
        <w:rPr>
          <w:color w:val="000000"/>
          <w:szCs w:val="22"/>
          <w:lang w:val="es-ES"/>
        </w:rPr>
        <w:t> </w:t>
      </w:r>
      <w:r w:rsidRPr="002D741C">
        <w:rPr>
          <w:color w:val="000000"/>
          <w:szCs w:val="22"/>
          <w:lang w:val="es-ES"/>
        </w:rPr>
        <w:t>0,5</w:t>
      </w:r>
      <w:r w:rsidR="00F11D96" w:rsidRPr="002D741C">
        <w:rPr>
          <w:color w:val="000000"/>
          <w:szCs w:val="22"/>
          <w:lang w:val="es-ES"/>
        </w:rPr>
        <w:t> </w:t>
      </w:r>
      <w:r w:rsidRPr="002D741C">
        <w:rPr>
          <w:color w:val="000000"/>
          <w:szCs w:val="22"/>
          <w:lang w:val="es-ES"/>
        </w:rPr>
        <w:t>x</w:t>
      </w:r>
      <w:r w:rsidR="00F11D96" w:rsidRPr="002D741C">
        <w:rPr>
          <w:color w:val="000000"/>
          <w:szCs w:val="22"/>
          <w:lang w:val="es-ES"/>
        </w:rPr>
        <w:t> </w:t>
      </w:r>
      <w:r w:rsidRPr="002D741C">
        <w:rPr>
          <w:color w:val="000000"/>
          <w:szCs w:val="22"/>
          <w:lang w:val="es-ES"/>
        </w:rPr>
        <w:t>10</w:t>
      </w:r>
      <w:r w:rsidRPr="002D741C">
        <w:rPr>
          <w:color w:val="000000"/>
          <w:szCs w:val="22"/>
          <w:vertAlign w:val="superscript"/>
          <w:lang w:val="es-ES"/>
        </w:rPr>
        <w:t>9</w:t>
      </w:r>
      <w:r w:rsidRPr="002D741C">
        <w:rPr>
          <w:color w:val="000000"/>
          <w:szCs w:val="22"/>
          <w:lang w:val="es-ES"/>
        </w:rPr>
        <w:t>/l) y trombocitopenia (recuento de plaquetas &lt;</w:t>
      </w:r>
      <w:r w:rsidR="00F11D96" w:rsidRPr="002D741C">
        <w:rPr>
          <w:color w:val="000000"/>
          <w:szCs w:val="22"/>
          <w:lang w:val="es-ES"/>
        </w:rPr>
        <w:t> </w:t>
      </w:r>
      <w:r w:rsidRPr="002D741C">
        <w:rPr>
          <w:color w:val="000000"/>
          <w:szCs w:val="22"/>
          <w:lang w:val="es-ES"/>
        </w:rPr>
        <w:t>10</w:t>
      </w:r>
      <w:r w:rsidR="00F11D96" w:rsidRPr="002D741C">
        <w:rPr>
          <w:color w:val="000000"/>
          <w:szCs w:val="22"/>
          <w:lang w:val="es-ES"/>
        </w:rPr>
        <w:t> </w:t>
      </w:r>
      <w:r w:rsidRPr="002D741C">
        <w:rPr>
          <w:color w:val="000000"/>
          <w:szCs w:val="22"/>
          <w:lang w:val="es-ES"/>
        </w:rPr>
        <w:t>x</w:t>
      </w:r>
      <w:r w:rsidR="00F11D96" w:rsidRPr="002D741C">
        <w:rPr>
          <w:color w:val="000000"/>
          <w:szCs w:val="22"/>
          <w:lang w:val="es-ES"/>
        </w:rPr>
        <w:t> </w:t>
      </w:r>
      <w:r w:rsidRPr="002D741C">
        <w:rPr>
          <w:color w:val="000000"/>
          <w:szCs w:val="22"/>
          <w:lang w:val="es-ES"/>
        </w:rPr>
        <w:t>10</w:t>
      </w:r>
      <w:r w:rsidRPr="002D741C">
        <w:rPr>
          <w:color w:val="000000"/>
          <w:szCs w:val="22"/>
          <w:vertAlign w:val="superscript"/>
          <w:lang w:val="es-ES"/>
        </w:rPr>
        <w:t>9</w:t>
      </w:r>
      <w:r w:rsidRPr="002D741C">
        <w:rPr>
          <w:color w:val="000000"/>
          <w:szCs w:val="22"/>
          <w:lang w:val="es-ES"/>
        </w:rPr>
        <w:t>/l) de grado</w:t>
      </w:r>
      <w:r w:rsidR="00DF063A" w:rsidRPr="002D741C">
        <w:rPr>
          <w:color w:val="000000"/>
          <w:szCs w:val="22"/>
          <w:lang w:val="es-ES"/>
        </w:rPr>
        <w:t> </w:t>
      </w:r>
      <w:r w:rsidRPr="002D741C">
        <w:rPr>
          <w:color w:val="000000"/>
          <w:szCs w:val="22"/>
          <w:lang w:val="es-ES"/>
        </w:rPr>
        <w:t xml:space="preserve">4 en el </w:t>
      </w:r>
      <w:r w:rsidR="00E5743D" w:rsidRPr="002D741C">
        <w:rPr>
          <w:color w:val="000000"/>
          <w:szCs w:val="22"/>
          <w:lang w:val="es-ES"/>
        </w:rPr>
        <w:t>3</w:t>
      </w:r>
      <w:r w:rsidR="00BC0BA1" w:rsidRPr="002D741C">
        <w:rPr>
          <w:color w:val="000000"/>
          <w:szCs w:val="22"/>
          <w:lang w:val="es-ES"/>
        </w:rPr>
        <w:t>,6</w:t>
      </w:r>
      <w:r w:rsidRPr="002D741C">
        <w:rPr>
          <w:color w:val="000000"/>
          <w:szCs w:val="22"/>
          <w:lang w:val="es-ES"/>
        </w:rPr>
        <w:t xml:space="preserve">% y en menos del 1% respectivamente, de los pacientes con diagnóstico reciente de LMC en fase crónica. La mediana de la duración de los episodios de neutropenia y trombocitopenia normalmente fue de </w:t>
      </w:r>
      <w:smartTag w:uri="urn:schemas-microsoft-com:office:smarttags" w:element="metricconverter">
        <w:smartTagPr>
          <w:attr w:name="ProductID" w:val="2 a"/>
        </w:smartTagPr>
        <w:r w:rsidRPr="002D741C">
          <w:rPr>
            <w:color w:val="000000"/>
            <w:szCs w:val="22"/>
            <w:lang w:val="es-ES"/>
          </w:rPr>
          <w:t>2 a</w:t>
        </w:r>
      </w:smartTag>
      <w:r w:rsidRPr="002D741C">
        <w:rPr>
          <w:color w:val="000000"/>
          <w:szCs w:val="22"/>
          <w:lang w:val="es-ES"/>
        </w:rPr>
        <w:t xml:space="preserve"> 3</w:t>
      </w:r>
      <w:r w:rsidR="00DF063A" w:rsidRPr="002D741C">
        <w:rPr>
          <w:color w:val="000000"/>
          <w:szCs w:val="22"/>
          <w:lang w:val="es-ES"/>
        </w:rPr>
        <w:t> </w:t>
      </w:r>
      <w:r w:rsidRPr="002D741C">
        <w:rPr>
          <w:color w:val="000000"/>
          <w:szCs w:val="22"/>
          <w:lang w:val="es-ES"/>
        </w:rPr>
        <w:t xml:space="preserve">semanas y de </w:t>
      </w:r>
      <w:smartTag w:uri="urn:schemas-microsoft-com:office:smarttags" w:element="metricconverter">
        <w:smartTagPr>
          <w:attr w:name="ProductID" w:val="3 a"/>
        </w:smartTagPr>
        <w:r w:rsidRPr="002D741C">
          <w:rPr>
            <w:color w:val="000000"/>
            <w:szCs w:val="22"/>
            <w:lang w:val="es-ES"/>
          </w:rPr>
          <w:t>3 a</w:t>
        </w:r>
      </w:smartTag>
      <w:r w:rsidRPr="002D741C">
        <w:rPr>
          <w:color w:val="000000"/>
          <w:szCs w:val="22"/>
          <w:lang w:val="es-ES"/>
        </w:rPr>
        <w:t xml:space="preserve"> 4 semanas, respectivamente. Estos efectos normalmente pueden ser tratados con reducción de dosis o con interrupción del tratamiento con Glivec, pero en casos raros puede llevar al cese definitivo del tratamiento.</w:t>
      </w:r>
      <w:r w:rsidR="00C9215B" w:rsidRPr="002D741C">
        <w:rPr>
          <w:color w:val="000000"/>
          <w:szCs w:val="22"/>
          <w:lang w:val="es-ES"/>
        </w:rPr>
        <w:t xml:space="preserve"> En pacientes pediátricos con LMC, las toxicidades observadas de forma más frecuente fueron citopenias de grado 3 ó 4 incluyendo neutropenia, trombocitopenia y anemia. </w:t>
      </w:r>
      <w:r w:rsidR="00373165" w:rsidRPr="002D741C">
        <w:rPr>
          <w:color w:val="000000"/>
          <w:szCs w:val="22"/>
          <w:lang w:val="es-ES"/>
        </w:rPr>
        <w:t>É</w:t>
      </w:r>
      <w:r w:rsidR="00C9215B" w:rsidRPr="002D741C">
        <w:rPr>
          <w:color w:val="000000"/>
          <w:szCs w:val="22"/>
          <w:lang w:val="es-ES"/>
        </w:rPr>
        <w:t>stos generalmente ocurren durante los primeros meses de tratamiento.</w:t>
      </w:r>
    </w:p>
    <w:p w14:paraId="4AD174F5" w14:textId="77777777" w:rsidR="002626B2" w:rsidRPr="002D741C" w:rsidRDefault="002626B2" w:rsidP="001A2F33">
      <w:pPr>
        <w:pStyle w:val="EndnoteText"/>
        <w:widowControl w:val="0"/>
        <w:tabs>
          <w:tab w:val="clear" w:pos="567"/>
        </w:tabs>
        <w:rPr>
          <w:color w:val="000000"/>
          <w:szCs w:val="22"/>
          <w:lang w:val="es-ES"/>
        </w:rPr>
      </w:pPr>
    </w:p>
    <w:p w14:paraId="6080B3A4" w14:textId="77777777" w:rsidR="002626B2" w:rsidRPr="002D741C" w:rsidRDefault="00B0341F" w:rsidP="001A2F33">
      <w:pPr>
        <w:pStyle w:val="EndnoteText"/>
        <w:widowControl w:val="0"/>
        <w:tabs>
          <w:tab w:val="clear" w:pos="567"/>
        </w:tabs>
        <w:rPr>
          <w:color w:val="000000"/>
          <w:szCs w:val="22"/>
          <w:lang w:val="es-ES"/>
        </w:rPr>
      </w:pPr>
      <w:r w:rsidRPr="002D741C">
        <w:rPr>
          <w:color w:val="000000"/>
          <w:szCs w:val="22"/>
          <w:lang w:val="es-ES"/>
        </w:rPr>
        <w:t>En el estudio en pacientes con G</w:t>
      </w:r>
      <w:smartTag w:uri="urn:schemas-microsoft-com:office:smarttags" w:element="PersonName">
        <w:r w:rsidRPr="002D741C">
          <w:rPr>
            <w:color w:val="000000"/>
            <w:szCs w:val="22"/>
            <w:lang w:val="es-ES"/>
          </w:rPr>
          <w:t>IS</w:t>
        </w:r>
      </w:smartTag>
      <w:r w:rsidRPr="002D741C">
        <w:rPr>
          <w:color w:val="000000"/>
          <w:szCs w:val="22"/>
          <w:lang w:val="es-ES"/>
        </w:rPr>
        <w:t xml:space="preserve">T no resecable y/o metastásico se </w:t>
      </w:r>
      <w:r w:rsidR="006D1CDA" w:rsidRPr="002D741C">
        <w:rPr>
          <w:color w:val="000000"/>
          <w:szCs w:val="22"/>
          <w:lang w:val="es-ES"/>
        </w:rPr>
        <w:t>notificaron</w:t>
      </w:r>
      <w:r w:rsidR="002626B2" w:rsidRPr="002D741C">
        <w:rPr>
          <w:color w:val="000000"/>
          <w:szCs w:val="22"/>
          <w:lang w:val="es-ES"/>
        </w:rPr>
        <w:t xml:space="preserve"> anemias de grado</w:t>
      </w:r>
      <w:r w:rsidR="00DF063A" w:rsidRPr="002D741C">
        <w:rPr>
          <w:color w:val="000000"/>
          <w:szCs w:val="22"/>
          <w:lang w:val="es-ES"/>
        </w:rPr>
        <w:t> </w:t>
      </w:r>
      <w:r w:rsidR="002626B2" w:rsidRPr="002D741C">
        <w:rPr>
          <w:color w:val="000000"/>
          <w:szCs w:val="22"/>
          <w:lang w:val="es-ES"/>
        </w:rPr>
        <w:t xml:space="preserve">3 y 4 en el </w:t>
      </w:r>
      <w:r w:rsidR="00BD7039" w:rsidRPr="002D741C">
        <w:rPr>
          <w:color w:val="000000"/>
          <w:szCs w:val="22"/>
          <w:lang w:val="es-ES"/>
        </w:rPr>
        <w:t>5</w:t>
      </w:r>
      <w:r w:rsidR="002626B2" w:rsidRPr="002D741C">
        <w:rPr>
          <w:color w:val="000000"/>
          <w:szCs w:val="22"/>
          <w:lang w:val="es-ES"/>
        </w:rPr>
        <w:t xml:space="preserve">,4% y 0,7% de los pacientes, respectivamente, que pueden estar relacionadas con las </w:t>
      </w:r>
      <w:r w:rsidR="002626B2" w:rsidRPr="002D741C">
        <w:rPr>
          <w:color w:val="000000"/>
          <w:szCs w:val="22"/>
          <w:lang w:val="es-ES"/>
        </w:rPr>
        <w:lastRenderedPageBreak/>
        <w:t>hemorragias gastrointestinales o intratumorales al menos en alguno de estos casos. Se observó neutropenia de grado</w:t>
      </w:r>
      <w:r w:rsidR="00DF063A" w:rsidRPr="002D741C">
        <w:rPr>
          <w:color w:val="000000"/>
          <w:szCs w:val="22"/>
          <w:lang w:val="es-ES"/>
        </w:rPr>
        <w:t> </w:t>
      </w:r>
      <w:r w:rsidR="002626B2" w:rsidRPr="002D741C">
        <w:rPr>
          <w:color w:val="000000"/>
          <w:szCs w:val="22"/>
          <w:lang w:val="es-ES"/>
        </w:rPr>
        <w:t xml:space="preserve">3 y 4 en el </w:t>
      </w:r>
      <w:r w:rsidR="00BD7039" w:rsidRPr="002D741C">
        <w:rPr>
          <w:color w:val="000000"/>
          <w:szCs w:val="22"/>
          <w:lang w:val="es-ES"/>
        </w:rPr>
        <w:t>7,5</w:t>
      </w:r>
      <w:r w:rsidR="002626B2" w:rsidRPr="002D741C">
        <w:rPr>
          <w:color w:val="000000"/>
          <w:szCs w:val="22"/>
          <w:lang w:val="es-ES"/>
        </w:rPr>
        <w:t xml:space="preserve">% y </w:t>
      </w:r>
      <w:r w:rsidR="00BD7039" w:rsidRPr="002D741C">
        <w:rPr>
          <w:color w:val="000000"/>
          <w:szCs w:val="22"/>
          <w:lang w:val="es-ES"/>
        </w:rPr>
        <w:t>2,7</w:t>
      </w:r>
      <w:r w:rsidR="002626B2" w:rsidRPr="002D741C">
        <w:rPr>
          <w:color w:val="000000"/>
          <w:szCs w:val="22"/>
          <w:lang w:val="es-ES"/>
        </w:rPr>
        <w:t>% de los pacientes, respectivamente y trombocitopenia de grado</w:t>
      </w:r>
      <w:r w:rsidR="00DF063A" w:rsidRPr="002D741C">
        <w:rPr>
          <w:color w:val="000000"/>
          <w:szCs w:val="22"/>
          <w:lang w:val="es-ES"/>
        </w:rPr>
        <w:t> </w:t>
      </w:r>
      <w:r w:rsidR="002626B2" w:rsidRPr="002D741C">
        <w:rPr>
          <w:color w:val="000000"/>
          <w:szCs w:val="22"/>
          <w:lang w:val="es-ES"/>
        </w:rPr>
        <w:t>3 en el 0,7% de los pacientes. Ningún paciente desarrolló trombocitopenia de grado</w:t>
      </w:r>
      <w:r w:rsidR="00DF063A" w:rsidRPr="002D741C">
        <w:rPr>
          <w:color w:val="000000"/>
          <w:szCs w:val="22"/>
          <w:lang w:val="es-ES"/>
        </w:rPr>
        <w:t> </w:t>
      </w:r>
      <w:r w:rsidR="002626B2" w:rsidRPr="002D741C">
        <w:rPr>
          <w:color w:val="000000"/>
          <w:szCs w:val="22"/>
          <w:lang w:val="es-ES"/>
        </w:rPr>
        <w:t>4. El descenso de los leucocitos y recuento de neutrófilos tuvo lugar principalmente durante las primeras seis semanas de tratamiento, permaneciendo después los valores relativamente estables.</w:t>
      </w:r>
    </w:p>
    <w:p w14:paraId="44789636" w14:textId="77777777" w:rsidR="002626B2" w:rsidRPr="002D741C" w:rsidRDefault="002626B2" w:rsidP="001A2F33">
      <w:pPr>
        <w:pStyle w:val="EndnoteText"/>
        <w:widowControl w:val="0"/>
        <w:tabs>
          <w:tab w:val="clear" w:pos="567"/>
        </w:tabs>
        <w:rPr>
          <w:color w:val="000000"/>
          <w:szCs w:val="22"/>
          <w:lang w:val="es-ES"/>
        </w:rPr>
      </w:pPr>
    </w:p>
    <w:p w14:paraId="61276437" w14:textId="77777777" w:rsidR="002626B2" w:rsidRPr="002D741C" w:rsidRDefault="002626B2" w:rsidP="00C16E58">
      <w:pPr>
        <w:pStyle w:val="EndnoteText"/>
        <w:keepNext/>
        <w:widowControl w:val="0"/>
        <w:tabs>
          <w:tab w:val="clear" w:pos="567"/>
        </w:tabs>
        <w:rPr>
          <w:i/>
          <w:color w:val="000000"/>
          <w:szCs w:val="22"/>
          <w:lang w:val="es-ES"/>
        </w:rPr>
      </w:pPr>
      <w:r w:rsidRPr="002D741C">
        <w:rPr>
          <w:i/>
          <w:color w:val="000000"/>
          <w:szCs w:val="22"/>
          <w:lang w:val="es-ES"/>
        </w:rPr>
        <w:t>Bioquímica</w:t>
      </w:r>
    </w:p>
    <w:p w14:paraId="3F3C8093" w14:textId="77777777" w:rsidR="00D732A7" w:rsidRPr="002D741C" w:rsidRDefault="00BC0BA1" w:rsidP="0082098C">
      <w:pPr>
        <w:pStyle w:val="EndnoteText"/>
        <w:widowControl w:val="0"/>
        <w:tabs>
          <w:tab w:val="clear" w:pos="567"/>
        </w:tabs>
        <w:rPr>
          <w:color w:val="000000"/>
          <w:szCs w:val="22"/>
          <w:lang w:val="es-ES"/>
        </w:rPr>
      </w:pPr>
      <w:r w:rsidRPr="002D741C">
        <w:rPr>
          <w:color w:val="000000"/>
          <w:szCs w:val="22"/>
          <w:lang w:val="es-ES"/>
        </w:rPr>
        <w:t xml:space="preserve">Se observó un </w:t>
      </w:r>
      <w:r w:rsidR="00A373AD" w:rsidRPr="002D741C">
        <w:rPr>
          <w:color w:val="000000"/>
          <w:szCs w:val="22"/>
          <w:lang w:val="es-ES"/>
        </w:rPr>
        <w:t>aumento severo</w:t>
      </w:r>
      <w:r w:rsidR="00BD7039" w:rsidRPr="002D741C">
        <w:rPr>
          <w:color w:val="000000"/>
          <w:szCs w:val="22"/>
          <w:lang w:val="es-ES"/>
        </w:rPr>
        <w:t xml:space="preserve"> de las transaminasas </w:t>
      </w:r>
      <w:r w:rsidR="0082098C" w:rsidRPr="002D741C">
        <w:rPr>
          <w:color w:val="000000"/>
          <w:szCs w:val="22"/>
          <w:lang w:val="es-ES_tradnl"/>
        </w:rPr>
        <w:t>(&lt;</w:t>
      </w:r>
      <w:r w:rsidR="00490F9B" w:rsidRPr="002D741C">
        <w:rPr>
          <w:color w:val="000000"/>
          <w:szCs w:val="22"/>
          <w:lang w:val="es-ES_tradnl"/>
        </w:rPr>
        <w:t> </w:t>
      </w:r>
      <w:r w:rsidR="0082098C" w:rsidRPr="002D741C">
        <w:rPr>
          <w:color w:val="000000"/>
          <w:szCs w:val="22"/>
          <w:lang w:val="es-ES_tradnl"/>
        </w:rPr>
        <w:t xml:space="preserve">5%) </w:t>
      </w:r>
      <w:r w:rsidR="00BD7039" w:rsidRPr="002D741C">
        <w:rPr>
          <w:color w:val="000000"/>
          <w:szCs w:val="22"/>
          <w:lang w:val="es-ES"/>
        </w:rPr>
        <w:t>o de la bilirrubina</w:t>
      </w:r>
      <w:r w:rsidR="0082098C" w:rsidRPr="002D741C">
        <w:rPr>
          <w:color w:val="000000"/>
          <w:szCs w:val="22"/>
          <w:lang w:val="es-ES"/>
        </w:rPr>
        <w:t xml:space="preserve"> </w:t>
      </w:r>
      <w:r w:rsidR="0082098C" w:rsidRPr="002D741C">
        <w:rPr>
          <w:color w:val="000000"/>
          <w:szCs w:val="22"/>
          <w:lang w:val="es-ES_tradnl"/>
        </w:rPr>
        <w:t>(&lt;</w:t>
      </w:r>
      <w:r w:rsidR="00490F9B" w:rsidRPr="002D741C">
        <w:rPr>
          <w:color w:val="000000"/>
          <w:szCs w:val="22"/>
          <w:lang w:val="es-ES_tradnl"/>
        </w:rPr>
        <w:t> </w:t>
      </w:r>
      <w:r w:rsidR="0082098C" w:rsidRPr="002D741C">
        <w:rPr>
          <w:color w:val="000000"/>
          <w:szCs w:val="22"/>
          <w:lang w:val="es-ES_tradnl"/>
        </w:rPr>
        <w:t>1%)</w:t>
      </w:r>
      <w:r w:rsidR="00BD7039" w:rsidRPr="002D741C">
        <w:rPr>
          <w:color w:val="000000"/>
          <w:szCs w:val="22"/>
          <w:lang w:val="es-ES"/>
        </w:rPr>
        <w:t xml:space="preserve"> </w:t>
      </w:r>
      <w:r w:rsidR="0082098C" w:rsidRPr="002D741C">
        <w:rPr>
          <w:color w:val="000000"/>
          <w:szCs w:val="22"/>
          <w:lang w:val="es-ES"/>
        </w:rPr>
        <w:t xml:space="preserve">en </w:t>
      </w:r>
      <w:r w:rsidR="00BD7039" w:rsidRPr="002D741C">
        <w:rPr>
          <w:color w:val="000000"/>
          <w:szCs w:val="22"/>
          <w:lang w:val="es-ES"/>
        </w:rPr>
        <w:t xml:space="preserve">pacientes con LMC y normalmente se </w:t>
      </w:r>
      <w:r w:rsidR="00A373AD" w:rsidRPr="002D741C">
        <w:rPr>
          <w:color w:val="000000"/>
          <w:szCs w:val="22"/>
          <w:lang w:val="es-ES"/>
        </w:rPr>
        <w:t>controló</w:t>
      </w:r>
      <w:r w:rsidR="00BD7039" w:rsidRPr="002D741C">
        <w:rPr>
          <w:color w:val="000000"/>
          <w:szCs w:val="22"/>
          <w:lang w:val="es-ES"/>
        </w:rPr>
        <w:t xml:space="preserve"> con reducción de dosis o interrupción (la </w:t>
      </w:r>
      <w:r w:rsidR="00D732A7" w:rsidRPr="002D741C">
        <w:rPr>
          <w:color w:val="000000"/>
          <w:szCs w:val="22"/>
          <w:lang w:val="es-ES"/>
        </w:rPr>
        <w:t xml:space="preserve">mediana de </w:t>
      </w:r>
      <w:r w:rsidR="00BD7039" w:rsidRPr="002D741C">
        <w:rPr>
          <w:color w:val="000000"/>
          <w:szCs w:val="22"/>
          <w:lang w:val="es-ES"/>
        </w:rPr>
        <w:t xml:space="preserve">duración de estos episodios fue aproximadamente </w:t>
      </w:r>
      <w:r w:rsidR="00D732A7" w:rsidRPr="002D741C">
        <w:rPr>
          <w:color w:val="000000"/>
          <w:szCs w:val="22"/>
          <w:lang w:val="es-ES"/>
        </w:rPr>
        <w:t xml:space="preserve">de </w:t>
      </w:r>
      <w:r w:rsidR="00BD7039" w:rsidRPr="002D741C">
        <w:rPr>
          <w:color w:val="000000"/>
          <w:szCs w:val="22"/>
          <w:lang w:val="es-ES"/>
        </w:rPr>
        <w:t xml:space="preserve">una semana). </w:t>
      </w:r>
      <w:r w:rsidR="00D732A7" w:rsidRPr="002D741C">
        <w:rPr>
          <w:color w:val="000000"/>
          <w:szCs w:val="22"/>
          <w:lang w:val="es-ES"/>
        </w:rPr>
        <w:t xml:space="preserve">En menos del </w:t>
      </w:r>
      <w:r w:rsidR="00504057" w:rsidRPr="002D741C">
        <w:rPr>
          <w:color w:val="000000"/>
          <w:szCs w:val="22"/>
          <w:lang w:val="es-ES"/>
        </w:rPr>
        <w:t>1</w:t>
      </w:r>
      <w:r w:rsidR="00D732A7" w:rsidRPr="002D741C">
        <w:rPr>
          <w:color w:val="000000"/>
          <w:szCs w:val="22"/>
          <w:lang w:val="es-ES"/>
        </w:rPr>
        <w:t xml:space="preserve">% de los pacientes con LMC el tratamiento se interrumpió de forma permanente debido a la alteración de las pruebas </w:t>
      </w:r>
      <w:r w:rsidR="0037404E" w:rsidRPr="002D741C">
        <w:rPr>
          <w:color w:val="000000"/>
          <w:szCs w:val="22"/>
          <w:lang w:val="es-ES"/>
        </w:rPr>
        <w:t xml:space="preserve">hepáticas </w:t>
      </w:r>
      <w:r w:rsidR="00D732A7" w:rsidRPr="002D741C">
        <w:rPr>
          <w:color w:val="000000"/>
          <w:szCs w:val="22"/>
          <w:lang w:val="es-ES"/>
        </w:rPr>
        <w:t>de laboratorio. En pacientes con G</w:t>
      </w:r>
      <w:smartTag w:uri="urn:schemas-microsoft-com:office:smarttags" w:element="PersonName">
        <w:r w:rsidR="00D732A7" w:rsidRPr="002D741C">
          <w:rPr>
            <w:color w:val="000000"/>
            <w:szCs w:val="22"/>
            <w:lang w:val="es-ES"/>
          </w:rPr>
          <w:t>IS</w:t>
        </w:r>
      </w:smartTag>
      <w:r w:rsidR="00D732A7" w:rsidRPr="002D741C">
        <w:rPr>
          <w:color w:val="000000"/>
          <w:szCs w:val="22"/>
          <w:lang w:val="es-ES"/>
        </w:rPr>
        <w:t xml:space="preserve">T (estudio B2222) se observaron un 6,8% de </w:t>
      </w:r>
      <w:r w:rsidR="00A373AD" w:rsidRPr="002D741C">
        <w:rPr>
          <w:color w:val="000000"/>
          <w:szCs w:val="22"/>
          <w:lang w:val="es-ES"/>
        </w:rPr>
        <w:t>aumento</w:t>
      </w:r>
      <w:r w:rsidR="00D732A7" w:rsidRPr="002D741C">
        <w:rPr>
          <w:color w:val="000000"/>
          <w:szCs w:val="22"/>
          <w:lang w:val="es-ES"/>
        </w:rPr>
        <w:t xml:space="preserve"> de </w:t>
      </w:r>
      <w:smartTag w:uri="urn:schemas-microsoft-com:office:smarttags" w:element="stockticker">
        <w:r w:rsidR="00D732A7" w:rsidRPr="002D741C">
          <w:rPr>
            <w:color w:val="000000"/>
            <w:szCs w:val="22"/>
            <w:lang w:val="es-ES"/>
          </w:rPr>
          <w:t>A</w:t>
        </w:r>
        <w:smartTag w:uri="urn:schemas-microsoft-com:office:smarttags" w:element="PersonName">
          <w:r w:rsidR="00D732A7" w:rsidRPr="002D741C">
            <w:rPr>
              <w:color w:val="000000"/>
              <w:szCs w:val="22"/>
              <w:lang w:val="es-ES"/>
            </w:rPr>
            <w:t>LT</w:t>
          </w:r>
        </w:smartTag>
      </w:smartTag>
      <w:r w:rsidR="00D732A7" w:rsidRPr="002D741C">
        <w:rPr>
          <w:color w:val="000000"/>
          <w:szCs w:val="22"/>
          <w:lang w:val="es-ES"/>
        </w:rPr>
        <w:t xml:space="preserve"> (alanino aminotransferasa) de grado</w:t>
      </w:r>
      <w:r w:rsidR="00F75D2A" w:rsidRPr="002D741C">
        <w:rPr>
          <w:color w:val="000000"/>
          <w:szCs w:val="22"/>
          <w:lang w:val="es-ES"/>
        </w:rPr>
        <w:t> </w:t>
      </w:r>
      <w:r w:rsidR="00D732A7" w:rsidRPr="002D741C">
        <w:rPr>
          <w:color w:val="000000"/>
          <w:szCs w:val="22"/>
          <w:lang w:val="es-ES"/>
        </w:rPr>
        <w:t>3 ó 4</w:t>
      </w:r>
      <w:r w:rsidR="0037404E" w:rsidRPr="002D741C">
        <w:rPr>
          <w:color w:val="000000"/>
          <w:szCs w:val="22"/>
          <w:lang w:val="es-ES"/>
        </w:rPr>
        <w:t xml:space="preserve"> </w:t>
      </w:r>
      <w:r w:rsidR="00D732A7" w:rsidRPr="002D741C">
        <w:rPr>
          <w:color w:val="000000"/>
          <w:szCs w:val="22"/>
          <w:lang w:val="es-ES"/>
        </w:rPr>
        <w:t xml:space="preserve">y un 4,8% de </w:t>
      </w:r>
      <w:r w:rsidR="00A373AD" w:rsidRPr="002D741C">
        <w:rPr>
          <w:color w:val="000000"/>
          <w:szCs w:val="22"/>
          <w:lang w:val="es-ES"/>
        </w:rPr>
        <w:t>aumento</w:t>
      </w:r>
      <w:r w:rsidR="00D732A7" w:rsidRPr="002D741C">
        <w:rPr>
          <w:color w:val="000000"/>
          <w:szCs w:val="22"/>
          <w:lang w:val="es-ES"/>
        </w:rPr>
        <w:t xml:space="preserve"> de AST (aspartato aminotransferasa) de grado</w:t>
      </w:r>
      <w:r w:rsidR="00F75D2A" w:rsidRPr="002D741C">
        <w:rPr>
          <w:color w:val="000000"/>
          <w:szCs w:val="22"/>
          <w:lang w:val="es-ES"/>
        </w:rPr>
        <w:t> </w:t>
      </w:r>
      <w:r w:rsidR="00D732A7" w:rsidRPr="002D741C">
        <w:rPr>
          <w:color w:val="000000"/>
          <w:szCs w:val="22"/>
          <w:lang w:val="es-ES"/>
        </w:rPr>
        <w:t xml:space="preserve">3 </w:t>
      </w:r>
      <w:r w:rsidR="00A373AD" w:rsidRPr="002D741C">
        <w:rPr>
          <w:color w:val="000000"/>
          <w:szCs w:val="22"/>
          <w:lang w:val="es-ES"/>
        </w:rPr>
        <w:t xml:space="preserve">ó 4. El aumento </w:t>
      </w:r>
      <w:r w:rsidR="00D732A7" w:rsidRPr="002D741C">
        <w:rPr>
          <w:color w:val="000000"/>
          <w:szCs w:val="22"/>
          <w:lang w:val="es-ES"/>
        </w:rPr>
        <w:t>de la bilirrubina fue inferior al 3%.</w:t>
      </w:r>
    </w:p>
    <w:p w14:paraId="0F1D6524" w14:textId="77777777" w:rsidR="006D2015" w:rsidRPr="002D741C" w:rsidRDefault="006D2015" w:rsidP="00A373AD">
      <w:pPr>
        <w:pStyle w:val="EndnoteText"/>
        <w:widowControl w:val="0"/>
        <w:tabs>
          <w:tab w:val="clear" w:pos="567"/>
        </w:tabs>
        <w:rPr>
          <w:color w:val="000000"/>
          <w:szCs w:val="22"/>
          <w:lang w:val="es-ES"/>
        </w:rPr>
      </w:pPr>
    </w:p>
    <w:p w14:paraId="75BDD278" w14:textId="77777777" w:rsidR="006D2015" w:rsidRPr="002D741C" w:rsidRDefault="006D2015" w:rsidP="00A373AD">
      <w:pPr>
        <w:pStyle w:val="EndnoteText"/>
        <w:widowControl w:val="0"/>
        <w:tabs>
          <w:tab w:val="clear" w:pos="567"/>
        </w:tabs>
        <w:rPr>
          <w:color w:val="000000"/>
          <w:szCs w:val="22"/>
          <w:lang w:val="es-ES"/>
        </w:rPr>
      </w:pPr>
      <w:r w:rsidRPr="002D741C">
        <w:rPr>
          <w:color w:val="000000"/>
          <w:szCs w:val="22"/>
          <w:lang w:val="es-ES"/>
        </w:rPr>
        <w:t>Se han dado casos de hepatitis citolítica y colestásica y fallo hepático; en algunos de los cuales el desenlace fue fatal, incluyendo un paciente tratado con paracetamol a dosis alta.</w:t>
      </w:r>
    </w:p>
    <w:p w14:paraId="0E402EDF" w14:textId="77777777" w:rsidR="001A2F33" w:rsidRPr="002D741C" w:rsidRDefault="001A2F33" w:rsidP="00D732A7">
      <w:pPr>
        <w:pStyle w:val="EndnoteText"/>
        <w:widowControl w:val="0"/>
        <w:tabs>
          <w:tab w:val="clear" w:pos="567"/>
        </w:tabs>
        <w:rPr>
          <w:color w:val="000000"/>
          <w:szCs w:val="22"/>
          <w:lang w:val="es-ES"/>
        </w:rPr>
      </w:pPr>
    </w:p>
    <w:p w14:paraId="4F52DC6E" w14:textId="77777777" w:rsidR="00A64B6A" w:rsidRPr="002D741C" w:rsidRDefault="00A64B6A" w:rsidP="00FA7D21">
      <w:pPr>
        <w:pStyle w:val="EndnoteText"/>
        <w:keepNext/>
        <w:widowControl w:val="0"/>
        <w:rPr>
          <w:color w:val="000000"/>
          <w:szCs w:val="22"/>
          <w:u w:val="single"/>
          <w:lang w:val="es-ES"/>
        </w:rPr>
      </w:pPr>
      <w:r w:rsidRPr="002D741C">
        <w:rPr>
          <w:color w:val="000000"/>
          <w:szCs w:val="22"/>
          <w:u w:val="single"/>
          <w:lang w:val="es-ES"/>
        </w:rPr>
        <w:t>Descripción de las reacciones adversas seleccionadas</w:t>
      </w:r>
    </w:p>
    <w:p w14:paraId="38DF4360" w14:textId="77777777" w:rsidR="00A64B6A" w:rsidRPr="002D741C" w:rsidRDefault="00A64B6A" w:rsidP="00FA7D21">
      <w:pPr>
        <w:pStyle w:val="EndnoteText"/>
        <w:keepNext/>
        <w:widowControl w:val="0"/>
        <w:rPr>
          <w:i/>
          <w:color w:val="000000"/>
          <w:szCs w:val="22"/>
          <w:u w:val="single"/>
          <w:lang w:val="es-ES"/>
        </w:rPr>
      </w:pPr>
      <w:r w:rsidRPr="002D741C">
        <w:rPr>
          <w:i/>
          <w:color w:val="000000"/>
          <w:szCs w:val="22"/>
          <w:u w:val="single"/>
          <w:lang w:val="es-ES"/>
        </w:rPr>
        <w:t>Reactivación de la hepatitis B</w:t>
      </w:r>
    </w:p>
    <w:p w14:paraId="6828846D" w14:textId="77777777" w:rsidR="00A64B6A" w:rsidRPr="002D741C" w:rsidRDefault="00A64B6A" w:rsidP="00A64B6A">
      <w:pPr>
        <w:pStyle w:val="EndnoteText"/>
        <w:widowControl w:val="0"/>
        <w:rPr>
          <w:color w:val="000000"/>
          <w:szCs w:val="22"/>
          <w:lang w:val="es-ES"/>
        </w:rPr>
      </w:pPr>
      <w:r w:rsidRPr="002D741C">
        <w:rPr>
          <w:color w:val="000000"/>
          <w:szCs w:val="22"/>
          <w:lang w:val="es-ES"/>
        </w:rPr>
        <w:t>Se ha notificado reactivación de la hepatitis B en relación con los inhibidores de la tirosina quinasa</w:t>
      </w:r>
      <w:r w:rsidR="006D6FA8" w:rsidRPr="002D741C">
        <w:rPr>
          <w:color w:val="000000"/>
          <w:szCs w:val="22"/>
          <w:lang w:val="es-ES"/>
        </w:rPr>
        <w:t xml:space="preserve"> </w:t>
      </w:r>
      <w:r w:rsidRPr="002D741C">
        <w:rPr>
          <w:color w:val="000000"/>
          <w:szCs w:val="22"/>
          <w:lang w:val="es-ES"/>
        </w:rPr>
        <w:t>BCR-ABL. En algunos casos se ha producido insuficiencia hepática aguda o hepatitis fulminante que ha dado lugar a trasplante de hígado o a un desenlace mortal (ver sección</w:t>
      </w:r>
      <w:r w:rsidR="00FA7D21" w:rsidRPr="002D741C">
        <w:rPr>
          <w:color w:val="000000"/>
          <w:szCs w:val="22"/>
          <w:lang w:val="es-ES"/>
        </w:rPr>
        <w:t> </w:t>
      </w:r>
      <w:r w:rsidRPr="002D741C">
        <w:rPr>
          <w:color w:val="000000"/>
          <w:szCs w:val="22"/>
          <w:lang w:val="es-ES"/>
        </w:rPr>
        <w:t>4.4).</w:t>
      </w:r>
    </w:p>
    <w:p w14:paraId="756D3F88" w14:textId="77777777" w:rsidR="00A64B6A" w:rsidRPr="002D741C" w:rsidRDefault="00A64B6A" w:rsidP="00A64B6A">
      <w:pPr>
        <w:pStyle w:val="EndnoteText"/>
        <w:widowControl w:val="0"/>
        <w:tabs>
          <w:tab w:val="clear" w:pos="567"/>
        </w:tabs>
        <w:rPr>
          <w:color w:val="000000"/>
          <w:szCs w:val="22"/>
          <w:lang w:val="es-ES"/>
        </w:rPr>
      </w:pPr>
    </w:p>
    <w:p w14:paraId="7B2B40DC" w14:textId="77777777" w:rsidR="00630B0C" w:rsidRPr="002D741C" w:rsidRDefault="00630B0C" w:rsidP="00C16E58">
      <w:pPr>
        <w:pStyle w:val="EndnoteText"/>
        <w:keepNext/>
        <w:widowControl w:val="0"/>
        <w:tabs>
          <w:tab w:val="clear" w:pos="567"/>
        </w:tabs>
        <w:rPr>
          <w:color w:val="000000"/>
          <w:szCs w:val="22"/>
          <w:u w:val="single"/>
          <w:lang w:val="es-ES"/>
        </w:rPr>
      </w:pPr>
      <w:r w:rsidRPr="002D741C">
        <w:rPr>
          <w:color w:val="000000"/>
          <w:szCs w:val="22"/>
          <w:u w:val="single"/>
          <w:lang w:val="es-ES"/>
        </w:rPr>
        <w:t>Notificación de sospechas de reacciones adversas</w:t>
      </w:r>
    </w:p>
    <w:p w14:paraId="45642CE3" w14:textId="77777777" w:rsidR="00630B0C" w:rsidRPr="002D741C" w:rsidRDefault="00630B0C" w:rsidP="00D732A7">
      <w:pPr>
        <w:pStyle w:val="EndnoteText"/>
        <w:widowControl w:val="0"/>
        <w:tabs>
          <w:tab w:val="clear" w:pos="567"/>
        </w:tabs>
        <w:rPr>
          <w:color w:val="000000"/>
          <w:szCs w:val="22"/>
          <w:lang w:val="es-ES"/>
        </w:rPr>
      </w:pPr>
      <w:r w:rsidRPr="002D741C">
        <w:rPr>
          <w:color w:val="000000"/>
          <w:szCs w:val="22"/>
          <w:lang w:val="es-ES"/>
        </w:rPr>
        <w:t xml:space="preserve">Es importante notificar sospechas de reacciones adversas al medicamento tras su autorización. Ello permite una supervisión continuada de la relación beneficio/riesgo del medicamento. </w:t>
      </w:r>
      <w:r w:rsidR="00674DE5" w:rsidRPr="002D741C">
        <w:rPr>
          <w:snapToGrid/>
          <w:lang w:val="es-ES" w:eastAsia="es-ES" w:bidi="es-ES"/>
        </w:rPr>
        <w:t xml:space="preserve">Se invita a los profesionales sanitarios a notificar las sospechas de reacciones adversas a través del </w:t>
      </w:r>
      <w:r w:rsidR="00674DE5" w:rsidRPr="002D741C">
        <w:rPr>
          <w:snapToGrid/>
          <w:shd w:val="pct15" w:color="auto" w:fill="auto"/>
          <w:lang w:val="es-ES" w:eastAsia="es-ES" w:bidi="es-ES"/>
        </w:rPr>
        <w:t xml:space="preserve">sistema nacional de notificación incluido en el </w:t>
      </w:r>
      <w:hyperlink r:id="rId12">
        <w:r w:rsidR="00674DE5" w:rsidRPr="002D741C">
          <w:rPr>
            <w:snapToGrid/>
            <w:color w:val="0000FF"/>
            <w:u w:val="single"/>
            <w:shd w:val="pct15" w:color="auto" w:fill="auto"/>
            <w:lang w:val="es-ES" w:eastAsia="es-ES" w:bidi="es-ES"/>
          </w:rPr>
          <w:t>Apéndice V.</w:t>
        </w:r>
      </w:hyperlink>
    </w:p>
    <w:p w14:paraId="2F1AC8C6" w14:textId="77777777" w:rsidR="00630B0C" w:rsidRPr="002D741C" w:rsidRDefault="00630B0C" w:rsidP="00D732A7">
      <w:pPr>
        <w:pStyle w:val="EndnoteText"/>
        <w:widowControl w:val="0"/>
        <w:tabs>
          <w:tab w:val="clear" w:pos="567"/>
        </w:tabs>
        <w:rPr>
          <w:color w:val="000000"/>
          <w:szCs w:val="22"/>
          <w:lang w:val="es-ES"/>
        </w:rPr>
      </w:pPr>
    </w:p>
    <w:p w14:paraId="31951245" w14:textId="77777777" w:rsidR="002626B2" w:rsidRPr="002D741C" w:rsidRDefault="002626B2" w:rsidP="00C16E58">
      <w:pPr>
        <w:keepNext/>
        <w:widowControl w:val="0"/>
        <w:ind w:left="567" w:hanging="567"/>
        <w:rPr>
          <w:color w:val="000000"/>
          <w:sz w:val="22"/>
          <w:szCs w:val="22"/>
        </w:rPr>
      </w:pPr>
      <w:r w:rsidRPr="002D741C">
        <w:rPr>
          <w:b/>
          <w:color w:val="000000"/>
          <w:sz w:val="22"/>
          <w:szCs w:val="22"/>
        </w:rPr>
        <w:t>4.9</w:t>
      </w:r>
      <w:r w:rsidRPr="002D741C">
        <w:rPr>
          <w:b/>
          <w:color w:val="000000"/>
          <w:sz w:val="22"/>
          <w:szCs w:val="22"/>
        </w:rPr>
        <w:tab/>
        <w:t>Sobredosis</w:t>
      </w:r>
    </w:p>
    <w:p w14:paraId="3EEABFB4" w14:textId="77777777" w:rsidR="002626B2" w:rsidRPr="002D741C" w:rsidRDefault="002626B2" w:rsidP="00C16E58">
      <w:pPr>
        <w:keepNext/>
        <w:widowControl w:val="0"/>
        <w:rPr>
          <w:color w:val="000000"/>
          <w:sz w:val="22"/>
          <w:szCs w:val="22"/>
        </w:rPr>
      </w:pPr>
    </w:p>
    <w:p w14:paraId="4EC91FAD" w14:textId="77777777" w:rsidR="002626B2" w:rsidRPr="002D741C" w:rsidRDefault="002B2497" w:rsidP="00C16E58">
      <w:pPr>
        <w:keepNext/>
        <w:widowControl w:val="0"/>
        <w:rPr>
          <w:color w:val="000000"/>
          <w:sz w:val="22"/>
          <w:szCs w:val="22"/>
        </w:rPr>
      </w:pPr>
      <w:r w:rsidRPr="002D741C">
        <w:rPr>
          <w:color w:val="000000"/>
          <w:sz w:val="22"/>
          <w:szCs w:val="22"/>
        </w:rPr>
        <w:t xml:space="preserve">Se dispone de una experiencia limitada con dosis superiores a las dosis terapéuticas recomendadas. Se han notificado </w:t>
      </w:r>
      <w:r w:rsidR="004B64AC" w:rsidRPr="002D741C">
        <w:rPr>
          <w:color w:val="000000"/>
          <w:sz w:val="22"/>
          <w:szCs w:val="22"/>
        </w:rPr>
        <w:t xml:space="preserve">casos aislados de sobredosis con Glivec </w:t>
      </w:r>
      <w:r w:rsidR="00CB12BA" w:rsidRPr="002D741C">
        <w:rPr>
          <w:color w:val="000000"/>
          <w:sz w:val="22"/>
          <w:szCs w:val="22"/>
        </w:rPr>
        <w:t>de forma espontánea y en publicaciones</w:t>
      </w:r>
      <w:r w:rsidRPr="002D741C">
        <w:rPr>
          <w:color w:val="000000"/>
          <w:sz w:val="22"/>
          <w:szCs w:val="22"/>
        </w:rPr>
        <w:t xml:space="preserve">. En caso de sobredosis el paciente deberá estar bajo observación y </w:t>
      </w:r>
      <w:r w:rsidR="00CB12BA" w:rsidRPr="002D741C">
        <w:rPr>
          <w:color w:val="000000"/>
          <w:sz w:val="22"/>
          <w:szCs w:val="22"/>
        </w:rPr>
        <w:t xml:space="preserve">deberá administrarse </w:t>
      </w:r>
      <w:r w:rsidRPr="002D741C">
        <w:rPr>
          <w:color w:val="000000"/>
          <w:sz w:val="22"/>
          <w:szCs w:val="22"/>
        </w:rPr>
        <w:t xml:space="preserve">el tratamiento sintomático adecuado. Generalmente el resultado notificado en estos casos fue </w:t>
      </w:r>
      <w:r w:rsidR="001B2B90" w:rsidRPr="002D741C">
        <w:rPr>
          <w:color w:val="000000"/>
          <w:sz w:val="22"/>
          <w:szCs w:val="22"/>
          <w:lang w:val="es-ES"/>
        </w:rPr>
        <w:t>«</w:t>
      </w:r>
      <w:r w:rsidRPr="002D741C">
        <w:rPr>
          <w:color w:val="000000"/>
          <w:sz w:val="22"/>
          <w:szCs w:val="22"/>
        </w:rPr>
        <w:t>mejora</w:t>
      </w:r>
      <w:r w:rsidR="001B2B90" w:rsidRPr="002D741C">
        <w:rPr>
          <w:color w:val="000000"/>
          <w:sz w:val="22"/>
          <w:szCs w:val="22"/>
          <w:lang w:val="es-ES"/>
        </w:rPr>
        <w:t>»</w:t>
      </w:r>
      <w:r w:rsidRPr="002D741C">
        <w:rPr>
          <w:color w:val="000000"/>
          <w:sz w:val="22"/>
          <w:szCs w:val="22"/>
        </w:rPr>
        <w:t xml:space="preserve"> o </w:t>
      </w:r>
      <w:r w:rsidR="001B2B90" w:rsidRPr="002D741C">
        <w:rPr>
          <w:color w:val="000000"/>
          <w:sz w:val="22"/>
          <w:szCs w:val="22"/>
          <w:lang w:val="es-ES"/>
        </w:rPr>
        <w:t>«</w:t>
      </w:r>
      <w:r w:rsidRPr="002D741C">
        <w:rPr>
          <w:color w:val="000000"/>
          <w:sz w:val="22"/>
          <w:szCs w:val="22"/>
        </w:rPr>
        <w:t>recuperado</w:t>
      </w:r>
      <w:r w:rsidR="001B2B90" w:rsidRPr="002D741C">
        <w:rPr>
          <w:color w:val="000000"/>
          <w:sz w:val="22"/>
          <w:szCs w:val="22"/>
          <w:lang w:val="es-ES"/>
        </w:rPr>
        <w:t>»</w:t>
      </w:r>
      <w:r w:rsidRPr="002D741C">
        <w:rPr>
          <w:color w:val="000000"/>
          <w:sz w:val="22"/>
          <w:szCs w:val="22"/>
        </w:rPr>
        <w:t>. Los acontecimientos que se han notificado a diferentes intervalos de dosis son los siguientes:</w:t>
      </w:r>
    </w:p>
    <w:p w14:paraId="14D10E09" w14:textId="77777777" w:rsidR="002B2497" w:rsidRPr="002D741C" w:rsidRDefault="002B2497" w:rsidP="00C16E58">
      <w:pPr>
        <w:keepNext/>
        <w:widowControl w:val="0"/>
        <w:rPr>
          <w:color w:val="000000"/>
          <w:sz w:val="22"/>
          <w:szCs w:val="22"/>
        </w:rPr>
      </w:pPr>
    </w:p>
    <w:p w14:paraId="33142F1C" w14:textId="77777777" w:rsidR="002B2497" w:rsidRPr="002D741C" w:rsidRDefault="0044111D" w:rsidP="00C16E58">
      <w:pPr>
        <w:keepNext/>
        <w:widowControl w:val="0"/>
        <w:rPr>
          <w:i/>
          <w:color w:val="000000"/>
          <w:sz w:val="22"/>
          <w:szCs w:val="22"/>
        </w:rPr>
      </w:pPr>
      <w:r w:rsidRPr="002D741C">
        <w:rPr>
          <w:i/>
          <w:color w:val="000000"/>
          <w:sz w:val="22"/>
          <w:szCs w:val="22"/>
        </w:rPr>
        <w:t>Población adulta</w:t>
      </w:r>
    </w:p>
    <w:p w14:paraId="286015B9" w14:textId="77777777" w:rsidR="00CB12BA" w:rsidRPr="002D741C" w:rsidRDefault="00CB12BA" w:rsidP="002B2497">
      <w:pPr>
        <w:widowControl w:val="0"/>
        <w:rPr>
          <w:color w:val="000000"/>
          <w:sz w:val="22"/>
          <w:szCs w:val="22"/>
        </w:rPr>
      </w:pPr>
      <w:smartTag w:uri="urn:schemas-microsoft-com:office:smarttags" w:element="metricconverter">
        <w:smartTagPr>
          <w:attr w:name="ProductID" w:val="1200 a"/>
        </w:smartTagPr>
        <w:r w:rsidRPr="002D741C">
          <w:rPr>
            <w:color w:val="000000"/>
            <w:sz w:val="22"/>
            <w:szCs w:val="22"/>
          </w:rPr>
          <w:t>1200 a</w:t>
        </w:r>
      </w:smartTag>
      <w:r w:rsidRPr="002D741C">
        <w:rPr>
          <w:color w:val="000000"/>
          <w:sz w:val="22"/>
          <w:szCs w:val="22"/>
        </w:rPr>
        <w:t xml:space="preserve"> 1600 mg (duración variable entre 1 y 10 días): Náuseas, vómitos, di</w:t>
      </w:r>
      <w:r w:rsidR="004B64AC" w:rsidRPr="002D741C">
        <w:rPr>
          <w:color w:val="000000"/>
          <w:sz w:val="22"/>
          <w:szCs w:val="22"/>
        </w:rPr>
        <w:t>a</w:t>
      </w:r>
      <w:r w:rsidRPr="002D741C">
        <w:rPr>
          <w:color w:val="000000"/>
          <w:sz w:val="22"/>
          <w:szCs w:val="22"/>
        </w:rPr>
        <w:t>rrea, erupción, eritema, edema, hinchazón, fatiga, espasmos musculares, trombocitopenia, pancitopenia, dolor abdominal, cefalea, disminución del apetito.</w:t>
      </w:r>
    </w:p>
    <w:p w14:paraId="092E17CD" w14:textId="77777777" w:rsidR="00CB12BA" w:rsidRPr="002D741C" w:rsidRDefault="00CB12BA" w:rsidP="002B2497">
      <w:pPr>
        <w:widowControl w:val="0"/>
        <w:rPr>
          <w:color w:val="000000"/>
          <w:sz w:val="22"/>
          <w:szCs w:val="22"/>
        </w:rPr>
      </w:pPr>
      <w:smartTag w:uri="urn:schemas-microsoft-com:office:smarttags" w:element="metricconverter">
        <w:smartTagPr>
          <w:attr w:name="ProductID" w:val="1800 a"/>
        </w:smartTagPr>
        <w:r w:rsidRPr="002D741C">
          <w:rPr>
            <w:color w:val="000000"/>
            <w:sz w:val="22"/>
            <w:szCs w:val="22"/>
          </w:rPr>
          <w:t>1800 a</w:t>
        </w:r>
      </w:smartTag>
      <w:r w:rsidRPr="002D741C">
        <w:rPr>
          <w:color w:val="000000"/>
          <w:sz w:val="22"/>
          <w:szCs w:val="22"/>
        </w:rPr>
        <w:t xml:space="preserve"> 3200 mg (</w:t>
      </w:r>
      <w:r w:rsidR="00FB6EE0" w:rsidRPr="002D741C">
        <w:rPr>
          <w:color w:val="000000"/>
          <w:sz w:val="22"/>
          <w:szCs w:val="22"/>
        </w:rPr>
        <w:t>hasta 3200 mg diarios durante 6 días): Debilidad, mialgia, aumento de creatina fosfoquinasa, aumento de bilirrubina, dolor gastrointestinal.</w:t>
      </w:r>
    </w:p>
    <w:p w14:paraId="4853D2C9" w14:textId="77777777" w:rsidR="00FB6EE0" w:rsidRPr="002D741C" w:rsidRDefault="00FB6EE0" w:rsidP="002B2497">
      <w:pPr>
        <w:widowControl w:val="0"/>
        <w:rPr>
          <w:color w:val="000000"/>
          <w:sz w:val="22"/>
          <w:szCs w:val="22"/>
        </w:rPr>
      </w:pPr>
      <w:r w:rsidRPr="002D741C">
        <w:rPr>
          <w:color w:val="000000"/>
          <w:sz w:val="22"/>
          <w:szCs w:val="22"/>
        </w:rPr>
        <w:t>6400 mg (dosis única): Un caso notificado en la literatura de un paciente que presentó náuseas, vómitos, dolor abdominal, pirexia, hinchazón facial, disminución del recuento de neutrófilos, aumento de transaminasas.</w:t>
      </w:r>
    </w:p>
    <w:p w14:paraId="52CA5584" w14:textId="77777777" w:rsidR="00FB6EE0" w:rsidRPr="002D741C" w:rsidRDefault="00FB6EE0" w:rsidP="00FB6EE0">
      <w:pPr>
        <w:widowControl w:val="0"/>
        <w:rPr>
          <w:color w:val="000000"/>
          <w:sz w:val="22"/>
          <w:szCs w:val="22"/>
        </w:rPr>
      </w:pPr>
      <w:smartTag w:uri="urn:schemas-microsoft-com:office:smarttags" w:element="metricconverter">
        <w:smartTagPr>
          <w:attr w:name="ProductID" w:val="8 a"/>
        </w:smartTagPr>
        <w:r w:rsidRPr="002D741C">
          <w:rPr>
            <w:color w:val="000000"/>
            <w:sz w:val="22"/>
            <w:szCs w:val="22"/>
          </w:rPr>
          <w:t>8 a</w:t>
        </w:r>
      </w:smartTag>
      <w:r w:rsidRPr="002D741C">
        <w:rPr>
          <w:color w:val="000000"/>
          <w:sz w:val="22"/>
          <w:szCs w:val="22"/>
        </w:rPr>
        <w:t xml:space="preserve"> </w:t>
      </w:r>
      <w:smartTag w:uri="urn:schemas-microsoft-com:office:smarttags" w:element="metricconverter">
        <w:smartTagPr>
          <w:attr w:name="ProductID" w:val="10ﾠg"/>
        </w:smartTagPr>
        <w:r w:rsidRPr="002D741C">
          <w:rPr>
            <w:color w:val="000000"/>
            <w:sz w:val="22"/>
            <w:szCs w:val="22"/>
          </w:rPr>
          <w:t>10 g</w:t>
        </w:r>
      </w:smartTag>
      <w:r w:rsidRPr="002D741C">
        <w:rPr>
          <w:color w:val="000000"/>
          <w:sz w:val="22"/>
          <w:szCs w:val="22"/>
        </w:rPr>
        <w:t xml:space="preserve"> (dosis única): Se han notificado vómitos y dolor gastrointestinal.</w:t>
      </w:r>
    </w:p>
    <w:p w14:paraId="373F8364" w14:textId="77777777" w:rsidR="00FB6EE0" w:rsidRPr="002D741C" w:rsidRDefault="00FB6EE0" w:rsidP="00FB6EE0">
      <w:pPr>
        <w:widowControl w:val="0"/>
        <w:rPr>
          <w:color w:val="000000"/>
          <w:sz w:val="22"/>
          <w:szCs w:val="22"/>
        </w:rPr>
      </w:pPr>
    </w:p>
    <w:p w14:paraId="1AA07663" w14:textId="77777777" w:rsidR="00FB6EE0" w:rsidRPr="002D741C" w:rsidRDefault="0044111D" w:rsidP="00C16E58">
      <w:pPr>
        <w:keepNext/>
        <w:widowControl w:val="0"/>
        <w:rPr>
          <w:i/>
          <w:color w:val="000000"/>
          <w:sz w:val="22"/>
          <w:szCs w:val="22"/>
        </w:rPr>
      </w:pPr>
      <w:r w:rsidRPr="002D741C">
        <w:rPr>
          <w:i/>
          <w:color w:val="000000"/>
          <w:sz w:val="22"/>
          <w:szCs w:val="22"/>
        </w:rPr>
        <w:t>Población pediátrica</w:t>
      </w:r>
    </w:p>
    <w:p w14:paraId="18EA6C63" w14:textId="77777777" w:rsidR="00FB6EE0" w:rsidRPr="002D741C" w:rsidRDefault="00FB6EE0" w:rsidP="00FB6EE0">
      <w:pPr>
        <w:widowControl w:val="0"/>
        <w:rPr>
          <w:color w:val="000000"/>
          <w:sz w:val="22"/>
          <w:szCs w:val="22"/>
        </w:rPr>
      </w:pPr>
      <w:r w:rsidRPr="002D741C">
        <w:rPr>
          <w:color w:val="000000"/>
          <w:sz w:val="22"/>
          <w:szCs w:val="22"/>
        </w:rPr>
        <w:t>Un niño de 3 años se expuso a una dosis única de 400 mg, experimentando vómitos, diarrea y anorexia y otro niño de 3 años se expuso a una dosis única de 980 mg, experimentando una disminución de glóbulos blancos y diarrea.</w:t>
      </w:r>
    </w:p>
    <w:p w14:paraId="744CE32F" w14:textId="77777777" w:rsidR="002B2497" w:rsidRPr="002D741C" w:rsidRDefault="002B2497" w:rsidP="002B2497">
      <w:pPr>
        <w:widowControl w:val="0"/>
        <w:rPr>
          <w:color w:val="000000"/>
          <w:sz w:val="22"/>
          <w:szCs w:val="22"/>
        </w:rPr>
      </w:pPr>
    </w:p>
    <w:p w14:paraId="44B47E61" w14:textId="77777777" w:rsidR="00A97646" w:rsidRPr="002D741C" w:rsidRDefault="00A97646" w:rsidP="00A97646">
      <w:pPr>
        <w:widowControl w:val="0"/>
        <w:rPr>
          <w:color w:val="000000"/>
          <w:sz w:val="22"/>
          <w:szCs w:val="22"/>
        </w:rPr>
      </w:pPr>
      <w:r w:rsidRPr="002D741C">
        <w:rPr>
          <w:color w:val="000000"/>
          <w:sz w:val="22"/>
          <w:szCs w:val="22"/>
        </w:rPr>
        <w:t>En caso de sobredosis, el paciente deberá someterse a observación y recibir el tratamiento de soporte apropiado.</w:t>
      </w:r>
    </w:p>
    <w:p w14:paraId="5B613643" w14:textId="77777777" w:rsidR="002626B2" w:rsidRPr="002D741C" w:rsidRDefault="002626B2" w:rsidP="001A2F33">
      <w:pPr>
        <w:widowControl w:val="0"/>
        <w:rPr>
          <w:color w:val="000000"/>
          <w:sz w:val="22"/>
          <w:szCs w:val="22"/>
        </w:rPr>
      </w:pPr>
    </w:p>
    <w:p w14:paraId="3B6B9F2D" w14:textId="77777777" w:rsidR="002626B2" w:rsidRPr="002D741C" w:rsidRDefault="002626B2" w:rsidP="00C16E58">
      <w:pPr>
        <w:keepNext/>
        <w:widowControl w:val="0"/>
        <w:ind w:left="567" w:hanging="567"/>
        <w:rPr>
          <w:color w:val="000000"/>
          <w:sz w:val="22"/>
          <w:szCs w:val="22"/>
        </w:rPr>
      </w:pPr>
      <w:r w:rsidRPr="002D741C">
        <w:rPr>
          <w:b/>
          <w:color w:val="000000"/>
          <w:sz w:val="22"/>
          <w:szCs w:val="22"/>
        </w:rPr>
        <w:t>5.</w:t>
      </w:r>
      <w:r w:rsidRPr="002D741C">
        <w:rPr>
          <w:b/>
          <w:color w:val="000000"/>
          <w:sz w:val="22"/>
          <w:szCs w:val="22"/>
        </w:rPr>
        <w:tab/>
        <w:t>P</w:t>
      </w:r>
      <w:smartTag w:uri="urn:schemas-microsoft-com:office:smarttags" w:element="PersonName">
        <w:r w:rsidRPr="002D741C">
          <w:rPr>
            <w:b/>
            <w:color w:val="000000"/>
            <w:sz w:val="22"/>
            <w:szCs w:val="22"/>
          </w:rPr>
          <w:t>RO</w:t>
        </w:r>
      </w:smartTag>
      <w:r w:rsidRPr="002D741C">
        <w:rPr>
          <w:b/>
          <w:color w:val="000000"/>
          <w:sz w:val="22"/>
          <w:szCs w:val="22"/>
        </w:rPr>
        <w:t>PIEDA</w:t>
      </w:r>
      <w:smartTag w:uri="urn:schemas-microsoft-com:office:smarttags" w:element="PersonName">
        <w:r w:rsidRPr="002D741C">
          <w:rPr>
            <w:b/>
            <w:color w:val="000000"/>
            <w:sz w:val="22"/>
            <w:szCs w:val="22"/>
          </w:rPr>
          <w:t>DE</w:t>
        </w:r>
      </w:smartTag>
      <w:r w:rsidRPr="002D741C">
        <w:rPr>
          <w:b/>
          <w:color w:val="000000"/>
          <w:sz w:val="22"/>
          <w:szCs w:val="22"/>
        </w:rPr>
        <w:t>S FARMACOLÓGICAS</w:t>
      </w:r>
    </w:p>
    <w:p w14:paraId="2AC65E56" w14:textId="77777777" w:rsidR="002626B2" w:rsidRPr="002D741C" w:rsidRDefault="002626B2" w:rsidP="00C16E58">
      <w:pPr>
        <w:keepNext/>
        <w:widowControl w:val="0"/>
        <w:rPr>
          <w:color w:val="000000"/>
          <w:sz w:val="22"/>
          <w:szCs w:val="22"/>
        </w:rPr>
      </w:pPr>
    </w:p>
    <w:p w14:paraId="171DCCAE" w14:textId="77777777" w:rsidR="002626B2" w:rsidRPr="002D741C" w:rsidRDefault="002626B2" w:rsidP="00C16E58">
      <w:pPr>
        <w:keepNext/>
        <w:widowControl w:val="0"/>
        <w:ind w:left="567" w:hanging="567"/>
        <w:rPr>
          <w:color w:val="000000"/>
          <w:sz w:val="22"/>
          <w:szCs w:val="22"/>
        </w:rPr>
      </w:pPr>
      <w:r w:rsidRPr="002D741C">
        <w:rPr>
          <w:b/>
          <w:color w:val="000000"/>
          <w:sz w:val="22"/>
          <w:szCs w:val="22"/>
        </w:rPr>
        <w:t>5.1</w:t>
      </w:r>
      <w:r w:rsidRPr="002D741C">
        <w:rPr>
          <w:b/>
          <w:color w:val="000000"/>
          <w:sz w:val="22"/>
          <w:szCs w:val="22"/>
        </w:rPr>
        <w:tab/>
        <w:t>Propiedades farmacodinámicas</w:t>
      </w:r>
    </w:p>
    <w:p w14:paraId="6D41F4F7" w14:textId="77777777" w:rsidR="002626B2" w:rsidRPr="002D741C" w:rsidRDefault="002626B2" w:rsidP="00C16E58">
      <w:pPr>
        <w:pStyle w:val="EndnoteText"/>
        <w:keepNext/>
        <w:widowControl w:val="0"/>
        <w:tabs>
          <w:tab w:val="clear" w:pos="567"/>
        </w:tabs>
        <w:rPr>
          <w:color w:val="000000"/>
          <w:szCs w:val="22"/>
          <w:lang w:val="es-ES"/>
        </w:rPr>
      </w:pPr>
    </w:p>
    <w:p w14:paraId="165FAC0F" w14:textId="77777777" w:rsidR="002626B2" w:rsidRPr="002D741C" w:rsidRDefault="002626B2" w:rsidP="00C27D41">
      <w:pPr>
        <w:widowControl w:val="0"/>
        <w:rPr>
          <w:color w:val="000000"/>
          <w:sz w:val="22"/>
          <w:szCs w:val="22"/>
          <w:lang w:val="pt-BR"/>
        </w:rPr>
      </w:pPr>
      <w:r w:rsidRPr="002D741C">
        <w:rPr>
          <w:color w:val="000000"/>
          <w:sz w:val="22"/>
          <w:szCs w:val="22"/>
          <w:lang w:val="pt-BR"/>
        </w:rPr>
        <w:t>Grupo farmacoterapéutico: inhibidor de la proteína tirosina</w:t>
      </w:r>
      <w:r w:rsidR="00F23A77" w:rsidRPr="002D741C">
        <w:rPr>
          <w:color w:val="000000"/>
          <w:sz w:val="22"/>
          <w:szCs w:val="22"/>
          <w:lang w:val="pt-BR"/>
        </w:rPr>
        <w:t xml:space="preserve"> qu</w:t>
      </w:r>
      <w:r w:rsidRPr="002D741C">
        <w:rPr>
          <w:color w:val="000000"/>
          <w:sz w:val="22"/>
          <w:szCs w:val="22"/>
          <w:lang w:val="pt-BR"/>
        </w:rPr>
        <w:t xml:space="preserve">inasa, código ATC: </w:t>
      </w:r>
      <w:r w:rsidR="00C27D41" w:rsidRPr="002D741C">
        <w:rPr>
          <w:color w:val="000000"/>
          <w:sz w:val="22"/>
          <w:szCs w:val="22"/>
          <w:lang w:val="pt-BR"/>
        </w:rPr>
        <w:t>L01XE01</w:t>
      </w:r>
    </w:p>
    <w:p w14:paraId="6F586688" w14:textId="77777777" w:rsidR="00C77F32" w:rsidRPr="002D741C" w:rsidRDefault="00C77F32" w:rsidP="00C77F32">
      <w:pPr>
        <w:pStyle w:val="EndnoteText"/>
        <w:rPr>
          <w:color w:val="000000"/>
          <w:szCs w:val="22"/>
          <w:u w:val="single"/>
          <w:lang w:val="es-ES"/>
        </w:rPr>
      </w:pPr>
    </w:p>
    <w:p w14:paraId="2D625A41" w14:textId="77777777" w:rsidR="00C77F32" w:rsidRPr="002D741C" w:rsidRDefault="00C77F32" w:rsidP="00C16E58">
      <w:pPr>
        <w:pStyle w:val="EndnoteText"/>
        <w:keepNext/>
        <w:rPr>
          <w:color w:val="000000"/>
          <w:szCs w:val="22"/>
          <w:u w:val="single"/>
          <w:lang w:val="es-ES"/>
        </w:rPr>
      </w:pPr>
      <w:r w:rsidRPr="002D741C">
        <w:rPr>
          <w:color w:val="000000"/>
          <w:szCs w:val="22"/>
          <w:u w:val="single"/>
          <w:lang w:val="es-ES"/>
        </w:rPr>
        <w:t>Mecanismo de acción</w:t>
      </w:r>
    </w:p>
    <w:p w14:paraId="312D4A5A" w14:textId="77777777" w:rsidR="00C77F32" w:rsidRPr="002D741C" w:rsidRDefault="00C77F32" w:rsidP="00C77F32">
      <w:pPr>
        <w:pStyle w:val="EndnoteText"/>
        <w:rPr>
          <w:color w:val="000000"/>
          <w:szCs w:val="22"/>
          <w:lang w:val="es-ES"/>
        </w:rPr>
      </w:pPr>
      <w:r w:rsidRPr="002D741C">
        <w:rPr>
          <w:color w:val="000000"/>
          <w:szCs w:val="22"/>
          <w:lang w:val="es-ES"/>
        </w:rPr>
        <w:t>Imatinib es una molécula pequeña inhibidora de la proteína tirosina quinasa que inhibe de forma potente la actividad de la tirosina quinasa Bcr-Abl (TK), así como varios receptores TKs: Kit, el receptor para el factor de célula madre (SCF) codificado por el proto-oncogen c-Kit, los receptores del dominio discoidin (DDR1 y DDR2), el receptor del factor estimulante de colonias (CSF-1R) y los receptores alfa y beta del factor de crecimiento derivado de plaquetas (PDG</w:t>
      </w:r>
      <w:smartTag w:uri="urn:schemas-microsoft-com:office:smarttags" w:element="PersonName">
        <w:r w:rsidRPr="002D741C">
          <w:rPr>
            <w:color w:val="000000"/>
            <w:szCs w:val="22"/>
            <w:lang w:val="es-ES"/>
          </w:rPr>
          <w:t>FR</w:t>
        </w:r>
      </w:smartTag>
      <w:r w:rsidRPr="002D741C">
        <w:rPr>
          <w:color w:val="000000"/>
          <w:szCs w:val="22"/>
          <w:lang w:val="es-ES"/>
        </w:rPr>
        <w:t>-alfa y PDG</w:t>
      </w:r>
      <w:smartTag w:uri="urn:schemas-microsoft-com:office:smarttags" w:element="PersonName">
        <w:r w:rsidRPr="002D741C">
          <w:rPr>
            <w:color w:val="000000"/>
            <w:szCs w:val="22"/>
            <w:lang w:val="es-ES"/>
          </w:rPr>
          <w:t>FR</w:t>
        </w:r>
      </w:smartTag>
      <w:r w:rsidRPr="002D741C">
        <w:rPr>
          <w:color w:val="000000"/>
          <w:szCs w:val="22"/>
          <w:lang w:val="es-ES"/>
        </w:rPr>
        <w:t xml:space="preserve">-beta). Imatinib también puede inhibir los eventos celulares mediados por la activación de </w:t>
      </w:r>
      <w:r w:rsidR="004374E1" w:rsidRPr="002D741C">
        <w:rPr>
          <w:color w:val="000000"/>
          <w:szCs w:val="22"/>
          <w:lang w:val="es-ES"/>
        </w:rPr>
        <w:t>estos receptores</w:t>
      </w:r>
      <w:r w:rsidRPr="002D741C">
        <w:rPr>
          <w:color w:val="000000"/>
          <w:szCs w:val="22"/>
          <w:lang w:val="es-ES"/>
        </w:rPr>
        <w:t xml:space="preserve"> quinasas.</w:t>
      </w:r>
    </w:p>
    <w:p w14:paraId="318A3743" w14:textId="77777777" w:rsidR="002626B2" w:rsidRPr="002D741C" w:rsidRDefault="002626B2" w:rsidP="001A2F33">
      <w:pPr>
        <w:pStyle w:val="EndnoteText"/>
        <w:widowControl w:val="0"/>
        <w:tabs>
          <w:tab w:val="clear" w:pos="567"/>
        </w:tabs>
        <w:rPr>
          <w:color w:val="000000"/>
          <w:szCs w:val="22"/>
          <w:lang w:val="es-ES"/>
        </w:rPr>
      </w:pPr>
    </w:p>
    <w:p w14:paraId="1E76D3A4" w14:textId="77777777" w:rsidR="002E6DC5" w:rsidRPr="002D741C" w:rsidRDefault="002E6DC5" w:rsidP="00C16E58">
      <w:pPr>
        <w:pStyle w:val="EndnoteText"/>
        <w:keepNext/>
        <w:widowControl w:val="0"/>
        <w:tabs>
          <w:tab w:val="clear" w:pos="567"/>
        </w:tabs>
        <w:rPr>
          <w:color w:val="000000"/>
          <w:szCs w:val="22"/>
          <w:u w:val="single"/>
          <w:lang w:val="es-ES"/>
        </w:rPr>
      </w:pPr>
      <w:r w:rsidRPr="002D741C">
        <w:rPr>
          <w:color w:val="000000"/>
          <w:szCs w:val="22"/>
          <w:u w:val="single"/>
          <w:lang w:val="es-ES"/>
        </w:rPr>
        <w:t>Efectos farmacodinámicos</w:t>
      </w:r>
    </w:p>
    <w:p w14:paraId="4FA20D4C" w14:textId="77777777" w:rsidR="002626B2" w:rsidRPr="002D741C" w:rsidRDefault="002626B2" w:rsidP="001A2F33">
      <w:pPr>
        <w:pStyle w:val="EndnoteText"/>
        <w:widowControl w:val="0"/>
        <w:tabs>
          <w:tab w:val="clear" w:pos="567"/>
        </w:tabs>
        <w:rPr>
          <w:color w:val="000000"/>
          <w:szCs w:val="22"/>
          <w:lang w:val="es-ES"/>
        </w:rPr>
      </w:pPr>
      <w:r w:rsidRPr="002D741C">
        <w:rPr>
          <w:color w:val="000000"/>
          <w:szCs w:val="22"/>
          <w:lang w:val="es-ES"/>
        </w:rPr>
        <w:t xml:space="preserve">Imatinib es un inhibidor de la proteína tirosina-kinasa que inhibe de forma potente </w:t>
      </w:r>
      <w:smartTag w:uri="urn:schemas-microsoft-com:office:smarttags" w:element="PersonName">
        <w:smartTagPr>
          <w:attr w:name="ProductID" w:val="la Bcr-Abl"/>
        </w:smartTagPr>
        <w:r w:rsidRPr="002D741C">
          <w:rPr>
            <w:color w:val="000000"/>
            <w:szCs w:val="22"/>
            <w:lang w:val="es-ES"/>
          </w:rPr>
          <w:t>la Bcr-Abl</w:t>
        </w:r>
      </w:smartTag>
      <w:r w:rsidRPr="002D741C">
        <w:rPr>
          <w:color w:val="000000"/>
          <w:szCs w:val="22"/>
          <w:lang w:val="es-ES"/>
        </w:rPr>
        <w:t xml:space="preserve"> tirosina kinasa </w:t>
      </w:r>
      <w:r w:rsidRPr="002D741C">
        <w:rPr>
          <w:i/>
          <w:color w:val="000000"/>
          <w:szCs w:val="22"/>
          <w:lang w:val="es-ES"/>
        </w:rPr>
        <w:t>in vitro</w:t>
      </w:r>
      <w:r w:rsidRPr="002D741C">
        <w:rPr>
          <w:color w:val="000000"/>
          <w:szCs w:val="22"/>
          <w:lang w:val="es-ES"/>
        </w:rPr>
        <w:t xml:space="preserve">, a nivel celular e </w:t>
      </w:r>
      <w:r w:rsidRPr="002D741C">
        <w:rPr>
          <w:i/>
          <w:color w:val="000000"/>
          <w:szCs w:val="22"/>
          <w:lang w:val="es-ES"/>
        </w:rPr>
        <w:t>in vivo</w:t>
      </w:r>
      <w:r w:rsidRPr="002D741C">
        <w:rPr>
          <w:color w:val="000000"/>
          <w:szCs w:val="22"/>
          <w:lang w:val="es-ES"/>
        </w:rPr>
        <w:t xml:space="preserve">. El compuesto inhibe selectivamente la proliferación e induce la apoptosis en las líneas celulares Bcr-Abl positivo así como en las células leucémicas nuevas de </w:t>
      </w:r>
      <w:smartTag w:uri="urn:schemas-microsoft-com:office:smarttags" w:element="PersonName">
        <w:smartTagPr>
          <w:attr w:name="ProductID" w:val="la LMC"/>
        </w:smartTagPr>
        <w:r w:rsidRPr="002D741C">
          <w:rPr>
            <w:color w:val="000000"/>
            <w:szCs w:val="22"/>
            <w:lang w:val="es-ES"/>
          </w:rPr>
          <w:t>la LMC</w:t>
        </w:r>
      </w:smartTag>
      <w:r w:rsidRPr="002D741C">
        <w:rPr>
          <w:color w:val="000000"/>
          <w:szCs w:val="22"/>
          <w:lang w:val="es-ES"/>
        </w:rPr>
        <w:t xml:space="preserve"> cromosoma Filadelfia positivo y en pacientes con leucemia linfoblástica aguda (LLA).</w:t>
      </w:r>
    </w:p>
    <w:p w14:paraId="16E50AD5" w14:textId="77777777" w:rsidR="002626B2" w:rsidRPr="002D741C" w:rsidRDefault="002626B2" w:rsidP="001A2F33">
      <w:pPr>
        <w:pStyle w:val="EndnoteText"/>
        <w:widowControl w:val="0"/>
        <w:tabs>
          <w:tab w:val="clear" w:pos="567"/>
        </w:tabs>
        <w:rPr>
          <w:color w:val="000000"/>
          <w:szCs w:val="22"/>
          <w:lang w:val="es-ES"/>
        </w:rPr>
      </w:pPr>
    </w:p>
    <w:p w14:paraId="6BDD4845" w14:textId="77777777" w:rsidR="002626B2" w:rsidRPr="002D741C" w:rsidRDefault="002626B2" w:rsidP="001A2F33">
      <w:pPr>
        <w:pStyle w:val="EndnoteText"/>
        <w:widowControl w:val="0"/>
        <w:tabs>
          <w:tab w:val="clear" w:pos="567"/>
        </w:tabs>
        <w:rPr>
          <w:color w:val="000000"/>
          <w:szCs w:val="22"/>
          <w:lang w:val="es-ES"/>
        </w:rPr>
      </w:pPr>
      <w:r w:rsidRPr="002D741C">
        <w:rPr>
          <w:i/>
          <w:color w:val="000000"/>
          <w:szCs w:val="22"/>
          <w:lang w:val="es-ES"/>
        </w:rPr>
        <w:t>In vivo</w:t>
      </w:r>
      <w:r w:rsidRPr="002D741C">
        <w:rPr>
          <w:color w:val="000000"/>
          <w:szCs w:val="22"/>
          <w:lang w:val="es-ES"/>
        </w:rPr>
        <w:t xml:space="preserve"> el compuesto muestra actividad antitumoral como agente único en modelos animales utilizando células tumorales Bcr-Abl positivos.</w:t>
      </w:r>
    </w:p>
    <w:p w14:paraId="232A766E" w14:textId="77777777" w:rsidR="002626B2" w:rsidRPr="002D741C" w:rsidRDefault="002626B2" w:rsidP="001A2F33">
      <w:pPr>
        <w:pStyle w:val="EndnoteText"/>
        <w:widowControl w:val="0"/>
        <w:tabs>
          <w:tab w:val="clear" w:pos="567"/>
        </w:tabs>
        <w:rPr>
          <w:color w:val="000000"/>
          <w:szCs w:val="22"/>
          <w:lang w:val="es-ES"/>
        </w:rPr>
      </w:pPr>
    </w:p>
    <w:p w14:paraId="2F0E1B13" w14:textId="77777777" w:rsidR="002626B2" w:rsidRPr="002D741C" w:rsidRDefault="002626B2" w:rsidP="008B72B0">
      <w:pPr>
        <w:pStyle w:val="EndnoteText"/>
        <w:widowControl w:val="0"/>
        <w:tabs>
          <w:tab w:val="clear" w:pos="567"/>
        </w:tabs>
        <w:rPr>
          <w:color w:val="000000"/>
          <w:szCs w:val="22"/>
          <w:lang w:val="es-ES"/>
        </w:rPr>
      </w:pPr>
      <w:r w:rsidRPr="002D741C">
        <w:rPr>
          <w:color w:val="000000"/>
          <w:szCs w:val="22"/>
          <w:lang w:val="es-ES"/>
        </w:rPr>
        <w:t>Imatinib también es un inhibidor del receptor tirosina-kinasa para el factor de crecimiento derivado de plaquetas (</w:t>
      </w:r>
      <w:r w:rsidR="00FE6793" w:rsidRPr="002D741C">
        <w:rPr>
          <w:color w:val="000000"/>
          <w:szCs w:val="22"/>
          <w:lang w:val="es-ES"/>
        </w:rPr>
        <w:t>PDGF</w:t>
      </w:r>
      <w:r w:rsidRPr="002D741C">
        <w:rPr>
          <w:color w:val="000000"/>
          <w:szCs w:val="22"/>
          <w:lang w:val="es-ES"/>
        </w:rPr>
        <w:t xml:space="preserve">), </w:t>
      </w:r>
      <w:r w:rsidR="00FE6793" w:rsidRPr="002D741C">
        <w:rPr>
          <w:color w:val="000000"/>
          <w:szCs w:val="22"/>
          <w:lang w:val="es-ES"/>
        </w:rPr>
        <w:t>PDG</w:t>
      </w:r>
      <w:smartTag w:uri="urn:schemas-microsoft-com:office:smarttags" w:element="PersonName">
        <w:r w:rsidR="00FE6793" w:rsidRPr="002D741C">
          <w:rPr>
            <w:color w:val="000000"/>
            <w:szCs w:val="22"/>
            <w:lang w:val="es-ES"/>
          </w:rPr>
          <w:t>FR</w:t>
        </w:r>
      </w:smartTag>
      <w:r w:rsidRPr="002D741C">
        <w:rPr>
          <w:color w:val="000000"/>
          <w:szCs w:val="22"/>
          <w:lang w:val="es-ES"/>
        </w:rPr>
        <w:t xml:space="preserve"> y factor de células troncales (FCT), c-Kit e inhibe los procesos celulares mediados por </w:t>
      </w:r>
      <w:r w:rsidR="008B72B0" w:rsidRPr="002D741C">
        <w:rPr>
          <w:color w:val="000000"/>
          <w:szCs w:val="22"/>
          <w:lang w:val="es-ES"/>
        </w:rPr>
        <w:t>PDGF</w:t>
      </w:r>
      <w:r w:rsidRPr="002D741C">
        <w:rPr>
          <w:color w:val="000000"/>
          <w:szCs w:val="22"/>
          <w:lang w:val="es-ES"/>
        </w:rPr>
        <w:t xml:space="preserve">y FCT. </w:t>
      </w:r>
      <w:r w:rsidRPr="002D741C">
        <w:rPr>
          <w:i/>
          <w:color w:val="000000"/>
          <w:szCs w:val="22"/>
          <w:lang w:val="es-ES"/>
        </w:rPr>
        <w:t>In vitro</w:t>
      </w:r>
      <w:r w:rsidRPr="002D741C">
        <w:rPr>
          <w:color w:val="000000"/>
          <w:szCs w:val="22"/>
          <w:lang w:val="es-ES"/>
        </w:rPr>
        <w:t>, imatinib inhibe la proliferación e induce la apoptosis en las células de tumores del estroma gastrointestinal (G</w:t>
      </w:r>
      <w:smartTag w:uri="urn:schemas-microsoft-com:office:smarttags" w:element="PersonName">
        <w:r w:rsidRPr="002D741C">
          <w:rPr>
            <w:color w:val="000000"/>
            <w:szCs w:val="22"/>
            <w:lang w:val="es-ES"/>
          </w:rPr>
          <w:t>IS</w:t>
        </w:r>
      </w:smartTag>
      <w:r w:rsidRPr="002D741C">
        <w:rPr>
          <w:color w:val="000000"/>
          <w:szCs w:val="22"/>
          <w:lang w:val="es-ES"/>
        </w:rPr>
        <w:t xml:space="preserve">T), las cuales expresan una mutación </w:t>
      </w:r>
      <w:r w:rsidRPr="002D741C">
        <w:rPr>
          <w:i/>
          <w:color w:val="000000"/>
          <w:szCs w:val="22"/>
          <w:lang w:val="es-ES"/>
        </w:rPr>
        <w:t xml:space="preserve">kit </w:t>
      </w:r>
      <w:r w:rsidRPr="002D741C">
        <w:rPr>
          <w:color w:val="000000"/>
          <w:szCs w:val="22"/>
          <w:lang w:val="es-ES"/>
        </w:rPr>
        <w:t>activa.</w:t>
      </w:r>
      <w:r w:rsidR="008C48E3" w:rsidRPr="002D741C">
        <w:rPr>
          <w:color w:val="000000"/>
          <w:szCs w:val="22"/>
          <w:lang w:val="es-ES"/>
        </w:rPr>
        <w:t xml:space="preserve"> En la patogénesis </w:t>
      </w:r>
      <w:r w:rsidR="002A70F7" w:rsidRPr="002D741C">
        <w:rPr>
          <w:color w:val="000000"/>
          <w:szCs w:val="22"/>
          <w:lang w:val="es-ES"/>
        </w:rPr>
        <w:t xml:space="preserve">de </w:t>
      </w:r>
      <w:smartTag w:uri="urn:schemas-microsoft-com:office:smarttags" w:element="stockticker">
        <w:r w:rsidR="002A70F7" w:rsidRPr="002D741C">
          <w:rPr>
            <w:color w:val="000000"/>
            <w:szCs w:val="22"/>
            <w:lang w:val="es-ES"/>
          </w:rPr>
          <w:t>SMD</w:t>
        </w:r>
      </w:smartTag>
      <w:r w:rsidR="002A70F7" w:rsidRPr="002D741C">
        <w:rPr>
          <w:color w:val="000000"/>
          <w:szCs w:val="22"/>
          <w:lang w:val="es-ES"/>
        </w:rPr>
        <w:t>/</w:t>
      </w:r>
      <w:smartTag w:uri="urn:schemas-microsoft-com:office:smarttags" w:element="stockticker">
        <w:r w:rsidR="002A70F7" w:rsidRPr="002D741C">
          <w:rPr>
            <w:color w:val="000000"/>
            <w:szCs w:val="22"/>
            <w:lang w:val="es-ES"/>
          </w:rPr>
          <w:t>SMP</w:t>
        </w:r>
      </w:smartTag>
      <w:r w:rsidR="00A6642A" w:rsidRPr="002D741C">
        <w:rPr>
          <w:color w:val="000000"/>
          <w:szCs w:val="22"/>
          <w:lang w:val="es-ES"/>
        </w:rPr>
        <w:t>, SHE/LEC</w:t>
      </w:r>
      <w:r w:rsidR="002A70F7" w:rsidRPr="002D741C">
        <w:rPr>
          <w:color w:val="000000"/>
          <w:szCs w:val="22"/>
          <w:lang w:val="es-ES"/>
        </w:rPr>
        <w:t xml:space="preserve"> y </w:t>
      </w:r>
      <w:r w:rsidR="008C48E3" w:rsidRPr="002D741C">
        <w:rPr>
          <w:color w:val="000000"/>
          <w:szCs w:val="22"/>
          <w:lang w:val="es-ES"/>
        </w:rPr>
        <w:t xml:space="preserve">de DFSP se han implicado la activación constitutiva del receptor del </w:t>
      </w:r>
      <w:r w:rsidR="00FE6793" w:rsidRPr="002D741C">
        <w:rPr>
          <w:color w:val="000000"/>
          <w:szCs w:val="22"/>
          <w:lang w:val="es-ES"/>
        </w:rPr>
        <w:t xml:space="preserve">PDGF </w:t>
      </w:r>
      <w:r w:rsidR="008C48E3" w:rsidRPr="002D741C">
        <w:rPr>
          <w:color w:val="000000"/>
          <w:szCs w:val="22"/>
          <w:lang w:val="es-ES"/>
        </w:rPr>
        <w:t xml:space="preserve">o la proteina </w:t>
      </w:r>
      <w:r w:rsidR="00C701D5" w:rsidRPr="002D741C">
        <w:rPr>
          <w:color w:val="000000"/>
          <w:szCs w:val="22"/>
          <w:lang w:val="es-ES"/>
        </w:rPr>
        <w:t xml:space="preserve">Abl </w:t>
      </w:r>
      <w:r w:rsidR="008C48E3" w:rsidRPr="002D741C">
        <w:rPr>
          <w:color w:val="000000"/>
          <w:szCs w:val="22"/>
          <w:lang w:val="es-ES"/>
        </w:rPr>
        <w:t xml:space="preserve">tirosina quinasa como consecuencia de la fusión a diferentes proteinas o la producción constitutiva del </w:t>
      </w:r>
      <w:r w:rsidR="00FE6793" w:rsidRPr="002D741C">
        <w:rPr>
          <w:color w:val="000000"/>
          <w:szCs w:val="22"/>
          <w:lang w:val="es-ES"/>
        </w:rPr>
        <w:t>PDGF</w:t>
      </w:r>
      <w:r w:rsidR="008C48E3" w:rsidRPr="002D741C">
        <w:rPr>
          <w:color w:val="000000"/>
          <w:szCs w:val="22"/>
          <w:lang w:val="es-ES"/>
        </w:rPr>
        <w:t xml:space="preserve">. Imatinib inhibe la señal y la proliferación de células generada por una actividad no regulada del </w:t>
      </w:r>
      <w:r w:rsidR="00FE6793" w:rsidRPr="002D741C">
        <w:rPr>
          <w:color w:val="000000"/>
          <w:szCs w:val="22"/>
          <w:lang w:val="es-ES"/>
        </w:rPr>
        <w:t>PDG</w:t>
      </w:r>
      <w:smartTag w:uri="urn:schemas-microsoft-com:office:smarttags" w:element="PersonName">
        <w:r w:rsidR="00FE6793" w:rsidRPr="002D741C">
          <w:rPr>
            <w:color w:val="000000"/>
            <w:szCs w:val="22"/>
            <w:lang w:val="es-ES"/>
          </w:rPr>
          <w:t>FR</w:t>
        </w:r>
      </w:smartTag>
      <w:r w:rsidR="00FE6793" w:rsidRPr="002D741C">
        <w:rPr>
          <w:color w:val="000000"/>
          <w:szCs w:val="22"/>
          <w:lang w:val="es-ES"/>
        </w:rPr>
        <w:t xml:space="preserve"> </w:t>
      </w:r>
      <w:r w:rsidR="008C48E3" w:rsidRPr="002D741C">
        <w:rPr>
          <w:color w:val="000000"/>
          <w:szCs w:val="22"/>
          <w:lang w:val="es-ES"/>
        </w:rPr>
        <w:t>y la actividad quinasa del Abl.</w:t>
      </w:r>
    </w:p>
    <w:p w14:paraId="4B317BD2" w14:textId="77777777" w:rsidR="002626B2" w:rsidRPr="002D741C" w:rsidRDefault="002626B2" w:rsidP="001A2F33">
      <w:pPr>
        <w:pStyle w:val="EndnoteText"/>
        <w:widowControl w:val="0"/>
        <w:tabs>
          <w:tab w:val="clear" w:pos="567"/>
        </w:tabs>
        <w:rPr>
          <w:color w:val="000000"/>
          <w:szCs w:val="22"/>
          <w:lang w:val="es-ES"/>
        </w:rPr>
      </w:pPr>
    </w:p>
    <w:p w14:paraId="446811E9" w14:textId="77777777" w:rsidR="002626B2" w:rsidRPr="002D741C" w:rsidRDefault="002626B2" w:rsidP="00C16E58">
      <w:pPr>
        <w:pStyle w:val="EndnoteText"/>
        <w:keepNext/>
        <w:widowControl w:val="0"/>
        <w:tabs>
          <w:tab w:val="clear" w:pos="567"/>
        </w:tabs>
        <w:rPr>
          <w:color w:val="000000"/>
          <w:szCs w:val="22"/>
          <w:u w:val="single"/>
          <w:lang w:val="es-ES"/>
        </w:rPr>
      </w:pPr>
      <w:r w:rsidRPr="002D741C">
        <w:rPr>
          <w:color w:val="000000"/>
          <w:szCs w:val="22"/>
          <w:u w:val="single"/>
          <w:lang w:val="es-ES"/>
        </w:rPr>
        <w:t>Ensayos clínicos en leucemia mieloide crónica</w:t>
      </w:r>
    </w:p>
    <w:p w14:paraId="678403B0" w14:textId="77777777" w:rsidR="002626B2" w:rsidRPr="002D741C" w:rsidRDefault="002626B2" w:rsidP="00880F09">
      <w:pPr>
        <w:pStyle w:val="EndnoteText"/>
        <w:widowControl w:val="0"/>
        <w:tabs>
          <w:tab w:val="clear" w:pos="567"/>
        </w:tabs>
        <w:rPr>
          <w:color w:val="000000"/>
          <w:szCs w:val="22"/>
          <w:lang w:val="es-ES"/>
        </w:rPr>
      </w:pPr>
      <w:r w:rsidRPr="002D741C">
        <w:rPr>
          <w:color w:val="000000"/>
          <w:szCs w:val="22"/>
          <w:lang w:val="es-ES"/>
        </w:rPr>
        <w:t>La efectividad de Glivec se basa en las tasas de respuesta hematológica y citogenética globales</w:t>
      </w:r>
      <w:r w:rsidR="00504057" w:rsidRPr="002D741C">
        <w:rPr>
          <w:color w:val="000000"/>
          <w:szCs w:val="22"/>
          <w:lang w:val="es-ES"/>
        </w:rPr>
        <w:t xml:space="preserve"> y supervivencia </w:t>
      </w:r>
      <w:r w:rsidR="0035665D" w:rsidRPr="002D741C">
        <w:rPr>
          <w:color w:val="000000"/>
          <w:szCs w:val="22"/>
          <w:lang w:val="es-ES"/>
        </w:rPr>
        <w:t>libre de</w:t>
      </w:r>
      <w:r w:rsidR="00504057" w:rsidRPr="002D741C">
        <w:rPr>
          <w:color w:val="000000"/>
          <w:szCs w:val="22"/>
          <w:lang w:val="es-ES"/>
        </w:rPr>
        <w:t xml:space="preserve"> progresión</w:t>
      </w:r>
      <w:r w:rsidRPr="002D741C">
        <w:rPr>
          <w:color w:val="000000"/>
          <w:szCs w:val="22"/>
          <w:lang w:val="es-ES"/>
        </w:rPr>
        <w:t xml:space="preserve">. </w:t>
      </w:r>
      <w:r w:rsidR="00504057" w:rsidRPr="002D741C">
        <w:rPr>
          <w:color w:val="000000"/>
          <w:szCs w:val="22"/>
          <w:lang w:val="es-ES"/>
        </w:rPr>
        <w:t>Excepto en LMC en fase crónica, de diagnóstico reciente, n</w:t>
      </w:r>
      <w:r w:rsidRPr="002D741C">
        <w:rPr>
          <w:color w:val="000000"/>
          <w:szCs w:val="22"/>
          <w:lang w:val="es-ES"/>
        </w:rPr>
        <w:t>o existen ensayos controlados que demuestren el beneficio clínico, tales como mejora de los síntomas relacionados con la enfermedad o el aumento de la supervivencia.</w:t>
      </w:r>
    </w:p>
    <w:p w14:paraId="4E8E744B" w14:textId="77777777" w:rsidR="002626B2" w:rsidRPr="002D741C" w:rsidRDefault="002626B2" w:rsidP="001A2F33">
      <w:pPr>
        <w:pStyle w:val="EndnoteText"/>
        <w:widowControl w:val="0"/>
        <w:tabs>
          <w:tab w:val="clear" w:pos="567"/>
        </w:tabs>
        <w:rPr>
          <w:color w:val="000000"/>
          <w:szCs w:val="22"/>
          <w:lang w:val="es-ES"/>
        </w:rPr>
      </w:pPr>
    </w:p>
    <w:p w14:paraId="4A1036AA" w14:textId="77777777" w:rsidR="002626B2" w:rsidRPr="002D741C" w:rsidRDefault="002626B2" w:rsidP="001A2F33">
      <w:pPr>
        <w:pStyle w:val="EndnoteText"/>
        <w:widowControl w:val="0"/>
        <w:tabs>
          <w:tab w:val="clear" w:pos="567"/>
        </w:tabs>
        <w:rPr>
          <w:color w:val="000000"/>
          <w:szCs w:val="22"/>
          <w:lang w:val="es-ES"/>
        </w:rPr>
      </w:pPr>
      <w:r w:rsidRPr="002D741C">
        <w:rPr>
          <w:color w:val="000000"/>
          <w:szCs w:val="22"/>
          <w:lang w:val="es-ES"/>
        </w:rPr>
        <w:t>Tres grandes ensayos fase</w:t>
      </w:r>
      <w:r w:rsidR="00683B3D" w:rsidRPr="002D741C">
        <w:rPr>
          <w:color w:val="000000"/>
          <w:szCs w:val="22"/>
          <w:lang w:val="es-ES"/>
        </w:rPr>
        <w:t> </w:t>
      </w:r>
      <w:r w:rsidRPr="002D741C">
        <w:rPr>
          <w:color w:val="000000"/>
          <w:szCs w:val="22"/>
          <w:lang w:val="es-ES"/>
        </w:rPr>
        <w:t>II, internacionales, abiertos, no controlados se llevaron a cabo en pacientes con LMC cromosoma Filadelfia positivo (Ph +), en fase avanzada de la enfermedad, crisis blástica o fase acelerada, otras leucemias Ph + o con LMC en fase crónica en los que había fallado la terapia con interferón-alfa (IFN). Se ha realizado un gran ensayo internacional, abierto, multicéntrico, aleatorizado, fase</w:t>
      </w:r>
      <w:r w:rsidR="00683B3D" w:rsidRPr="002D741C">
        <w:rPr>
          <w:color w:val="000000"/>
          <w:szCs w:val="22"/>
          <w:lang w:val="es-ES"/>
        </w:rPr>
        <w:t> </w:t>
      </w:r>
      <w:smartTag w:uri="urn:schemas-microsoft-com:office:smarttags" w:element="stockticker">
        <w:r w:rsidRPr="002D741C">
          <w:rPr>
            <w:color w:val="000000"/>
            <w:szCs w:val="22"/>
            <w:lang w:val="es-ES"/>
          </w:rPr>
          <w:t>III</w:t>
        </w:r>
      </w:smartTag>
      <w:r w:rsidRPr="002D741C">
        <w:rPr>
          <w:color w:val="000000"/>
          <w:szCs w:val="22"/>
          <w:lang w:val="es-ES"/>
        </w:rPr>
        <w:t xml:space="preserve"> en pacientes con LMC Ph+ de diagnóstico reciente. Además, se han tratado niños en dos ensayos fase</w:t>
      </w:r>
      <w:r w:rsidR="00683B3D" w:rsidRPr="002D741C">
        <w:rPr>
          <w:color w:val="000000"/>
          <w:szCs w:val="22"/>
          <w:lang w:val="es-ES"/>
        </w:rPr>
        <w:t> </w:t>
      </w:r>
      <w:r w:rsidRPr="002D741C">
        <w:rPr>
          <w:color w:val="000000"/>
          <w:szCs w:val="22"/>
          <w:lang w:val="es-ES"/>
        </w:rPr>
        <w:t>I</w:t>
      </w:r>
      <w:r w:rsidR="00C9215B" w:rsidRPr="002D741C">
        <w:rPr>
          <w:color w:val="000000"/>
          <w:szCs w:val="22"/>
          <w:lang w:val="es-ES"/>
        </w:rPr>
        <w:t xml:space="preserve"> y un ensayo fase II</w:t>
      </w:r>
      <w:r w:rsidRPr="002D741C">
        <w:rPr>
          <w:color w:val="000000"/>
          <w:szCs w:val="22"/>
          <w:lang w:val="es-ES"/>
        </w:rPr>
        <w:t>.</w:t>
      </w:r>
    </w:p>
    <w:p w14:paraId="6B0DF44B" w14:textId="77777777" w:rsidR="002626B2" w:rsidRPr="002D741C" w:rsidRDefault="002626B2" w:rsidP="001A2F33">
      <w:pPr>
        <w:pStyle w:val="EndnoteText"/>
        <w:widowControl w:val="0"/>
        <w:tabs>
          <w:tab w:val="clear" w:pos="567"/>
        </w:tabs>
        <w:rPr>
          <w:color w:val="000000"/>
          <w:szCs w:val="22"/>
          <w:lang w:val="es-ES"/>
        </w:rPr>
      </w:pPr>
    </w:p>
    <w:p w14:paraId="1161C79A" w14:textId="77777777" w:rsidR="002626B2" w:rsidRPr="002D741C" w:rsidRDefault="002626B2" w:rsidP="001A2F33">
      <w:pPr>
        <w:pStyle w:val="EndnoteText"/>
        <w:widowControl w:val="0"/>
        <w:tabs>
          <w:tab w:val="clear" w:pos="567"/>
        </w:tabs>
        <w:rPr>
          <w:color w:val="000000"/>
          <w:szCs w:val="22"/>
          <w:lang w:val="es-ES"/>
        </w:rPr>
      </w:pPr>
      <w:r w:rsidRPr="002D741C">
        <w:rPr>
          <w:color w:val="000000"/>
          <w:szCs w:val="22"/>
          <w:lang w:val="es-ES"/>
        </w:rPr>
        <w:t>En todos los ensayos clínicos el 38</w:t>
      </w:r>
      <w:r w:rsidR="00F11D96" w:rsidRPr="002D741C">
        <w:rPr>
          <w:color w:val="000000"/>
          <w:szCs w:val="22"/>
          <w:lang w:val="es-ES"/>
        </w:rPr>
        <w:t>–</w:t>
      </w:r>
      <w:r w:rsidRPr="002D741C">
        <w:rPr>
          <w:color w:val="000000"/>
          <w:szCs w:val="22"/>
          <w:lang w:val="es-ES"/>
        </w:rPr>
        <w:t xml:space="preserve">40% de los pacientes eran </w:t>
      </w:r>
      <w:r w:rsidRPr="002D741C">
        <w:rPr>
          <w:color w:val="000000"/>
          <w:szCs w:val="22"/>
          <w:lang w:val="es-ES"/>
        </w:rPr>
        <w:sym w:font="Symbol" w:char="F0B3"/>
      </w:r>
      <w:r w:rsidR="00F11D96" w:rsidRPr="002D741C">
        <w:rPr>
          <w:color w:val="000000"/>
          <w:szCs w:val="22"/>
          <w:lang w:val="es-ES"/>
        </w:rPr>
        <w:t> </w:t>
      </w:r>
      <w:r w:rsidRPr="002D741C">
        <w:rPr>
          <w:color w:val="000000"/>
          <w:szCs w:val="22"/>
          <w:lang w:val="es-ES"/>
        </w:rPr>
        <w:t>60</w:t>
      </w:r>
      <w:r w:rsidR="00DF063A" w:rsidRPr="002D741C">
        <w:rPr>
          <w:color w:val="000000"/>
          <w:szCs w:val="22"/>
          <w:lang w:val="es-ES"/>
        </w:rPr>
        <w:t> </w:t>
      </w:r>
      <w:r w:rsidRPr="002D741C">
        <w:rPr>
          <w:color w:val="000000"/>
          <w:szCs w:val="22"/>
          <w:lang w:val="es-ES"/>
        </w:rPr>
        <w:t>años y el 10</w:t>
      </w:r>
      <w:r w:rsidR="00F11D96" w:rsidRPr="002D741C">
        <w:rPr>
          <w:color w:val="000000"/>
          <w:szCs w:val="22"/>
          <w:lang w:val="es-ES"/>
        </w:rPr>
        <w:t>–</w:t>
      </w:r>
      <w:r w:rsidRPr="002D741C">
        <w:rPr>
          <w:color w:val="000000"/>
          <w:szCs w:val="22"/>
          <w:lang w:val="es-ES"/>
        </w:rPr>
        <w:t xml:space="preserve">12% de los pacientes eran </w:t>
      </w:r>
      <w:r w:rsidRPr="002D741C">
        <w:rPr>
          <w:color w:val="000000"/>
          <w:szCs w:val="22"/>
          <w:lang w:val="es-ES"/>
        </w:rPr>
        <w:sym w:font="Symbol" w:char="F0B3"/>
      </w:r>
      <w:r w:rsidRPr="002D741C">
        <w:rPr>
          <w:color w:val="000000"/>
          <w:szCs w:val="22"/>
          <w:lang w:val="es-ES"/>
        </w:rPr>
        <w:t> 70</w:t>
      </w:r>
      <w:r w:rsidR="00DF063A" w:rsidRPr="002D741C">
        <w:rPr>
          <w:color w:val="000000"/>
          <w:szCs w:val="22"/>
          <w:lang w:val="es-ES"/>
        </w:rPr>
        <w:t> </w:t>
      </w:r>
      <w:r w:rsidRPr="002D741C">
        <w:rPr>
          <w:color w:val="000000"/>
          <w:szCs w:val="22"/>
          <w:lang w:val="es-ES"/>
        </w:rPr>
        <w:t>años.</w:t>
      </w:r>
    </w:p>
    <w:p w14:paraId="6F331737" w14:textId="77777777" w:rsidR="002626B2" w:rsidRPr="002D741C" w:rsidRDefault="002626B2" w:rsidP="001A2F33">
      <w:pPr>
        <w:pStyle w:val="EndnoteText"/>
        <w:widowControl w:val="0"/>
        <w:tabs>
          <w:tab w:val="clear" w:pos="567"/>
        </w:tabs>
        <w:rPr>
          <w:color w:val="000000"/>
          <w:szCs w:val="22"/>
          <w:lang w:val="es-ES"/>
        </w:rPr>
      </w:pPr>
    </w:p>
    <w:p w14:paraId="160E82A2" w14:textId="77777777" w:rsidR="002626B2" w:rsidRPr="002D741C" w:rsidRDefault="002626B2" w:rsidP="001A2F33">
      <w:pPr>
        <w:pStyle w:val="EndnoteText"/>
        <w:widowControl w:val="0"/>
        <w:tabs>
          <w:tab w:val="clear" w:pos="567"/>
        </w:tabs>
        <w:rPr>
          <w:color w:val="000000"/>
          <w:szCs w:val="22"/>
          <w:lang w:val="es-ES"/>
        </w:rPr>
      </w:pPr>
      <w:r w:rsidRPr="002D741C">
        <w:rPr>
          <w:i/>
          <w:color w:val="000000"/>
          <w:szCs w:val="22"/>
          <w:lang w:val="es-ES"/>
        </w:rPr>
        <w:t>Fase crónica, diagnóstico reciente:</w:t>
      </w:r>
      <w:r w:rsidRPr="002D741C">
        <w:rPr>
          <w:color w:val="000000"/>
          <w:szCs w:val="22"/>
          <w:lang w:val="es-ES"/>
        </w:rPr>
        <w:t xml:space="preserve"> Este ensayo fase</w:t>
      </w:r>
      <w:r w:rsidR="00683B3D" w:rsidRPr="002D741C">
        <w:rPr>
          <w:color w:val="000000"/>
          <w:szCs w:val="22"/>
          <w:lang w:val="es-ES"/>
        </w:rPr>
        <w:t> </w:t>
      </w:r>
      <w:smartTag w:uri="urn:schemas-microsoft-com:office:smarttags" w:element="stockticker">
        <w:r w:rsidRPr="002D741C">
          <w:rPr>
            <w:color w:val="000000"/>
            <w:szCs w:val="22"/>
            <w:lang w:val="es-ES"/>
          </w:rPr>
          <w:t>III</w:t>
        </w:r>
      </w:smartTag>
      <w:r w:rsidRPr="002D741C">
        <w:rPr>
          <w:color w:val="000000"/>
          <w:szCs w:val="22"/>
          <w:lang w:val="es-ES"/>
        </w:rPr>
        <w:t xml:space="preserve"> </w:t>
      </w:r>
      <w:r w:rsidR="00C9215B" w:rsidRPr="002D741C">
        <w:rPr>
          <w:color w:val="000000"/>
          <w:szCs w:val="22"/>
          <w:lang w:val="es-ES"/>
        </w:rPr>
        <w:t xml:space="preserve">en pacientes adultos </w:t>
      </w:r>
      <w:r w:rsidRPr="002D741C">
        <w:rPr>
          <w:color w:val="000000"/>
          <w:szCs w:val="22"/>
          <w:lang w:val="es-ES"/>
        </w:rPr>
        <w:t>comparó el tratamiento con Glivec como agente único frente a una combinación de interferón-alfa (IFN) junto con citarabina (Ara-C). Los pacientes que mostraron una ausencia de respuesta (ausencia de respuesta hematológica completa (RHC) a los 6</w:t>
      </w:r>
      <w:r w:rsidR="00DF063A" w:rsidRPr="002D741C">
        <w:rPr>
          <w:color w:val="000000"/>
          <w:szCs w:val="22"/>
          <w:lang w:val="es-ES"/>
        </w:rPr>
        <w:t> </w:t>
      </w:r>
      <w:r w:rsidRPr="002D741C">
        <w:rPr>
          <w:color w:val="000000"/>
          <w:szCs w:val="22"/>
          <w:lang w:val="es-ES"/>
        </w:rPr>
        <w:t>meses, aumento de recuento de leucocitos, ausencia de respuesta citogenética mayor (RCM) a los 24</w:t>
      </w:r>
      <w:r w:rsidR="00DF063A" w:rsidRPr="002D741C">
        <w:rPr>
          <w:color w:val="000000"/>
          <w:szCs w:val="22"/>
          <w:lang w:val="es-ES"/>
        </w:rPr>
        <w:t> </w:t>
      </w:r>
      <w:r w:rsidRPr="002D741C">
        <w:rPr>
          <w:color w:val="000000"/>
          <w:szCs w:val="22"/>
          <w:lang w:val="es-ES"/>
        </w:rPr>
        <w:t>meses), pérdida de respuesta (pérdida de RHC o RCM) o intolerancia grave al tratamiento pudieron cruzar al brazo de tratamiento alternativo. En el brazo de Glivec, los pacientes fueron tratados con 400</w:t>
      </w:r>
      <w:r w:rsidR="006171A6" w:rsidRPr="002D741C">
        <w:rPr>
          <w:color w:val="000000"/>
          <w:szCs w:val="22"/>
          <w:lang w:val="es-ES"/>
        </w:rPr>
        <w:t> mg</w:t>
      </w:r>
      <w:r w:rsidRPr="002D741C">
        <w:rPr>
          <w:color w:val="000000"/>
          <w:szCs w:val="22"/>
          <w:lang w:val="es-ES"/>
        </w:rPr>
        <w:t xml:space="preserve"> al día. En el brazo de IFN, los pacientes fueron tratados con una dosis </w:t>
      </w:r>
      <w:r w:rsidRPr="002D741C">
        <w:rPr>
          <w:color w:val="000000"/>
          <w:szCs w:val="22"/>
          <w:lang w:val="es-ES"/>
        </w:rPr>
        <w:lastRenderedPageBreak/>
        <w:t>diana de IFN de 5</w:t>
      </w:r>
      <w:r w:rsidR="00DF063A" w:rsidRPr="002D741C">
        <w:rPr>
          <w:color w:val="000000"/>
          <w:szCs w:val="22"/>
          <w:lang w:val="es-ES"/>
        </w:rPr>
        <w:t> </w:t>
      </w:r>
      <w:smartTag w:uri="urn:schemas-microsoft-com:office:smarttags" w:element="stockticker">
        <w:r w:rsidRPr="002D741C">
          <w:rPr>
            <w:color w:val="000000"/>
            <w:szCs w:val="22"/>
            <w:lang w:val="es-ES"/>
          </w:rPr>
          <w:t>MUI</w:t>
        </w:r>
      </w:smartTag>
      <w:r w:rsidRPr="002D741C">
        <w:rPr>
          <w:color w:val="000000"/>
          <w:szCs w:val="22"/>
          <w:lang w:val="es-ES"/>
        </w:rPr>
        <w:t>/m</w:t>
      </w:r>
      <w:r w:rsidRPr="002D741C">
        <w:rPr>
          <w:color w:val="000000"/>
          <w:szCs w:val="22"/>
          <w:vertAlign w:val="superscript"/>
          <w:lang w:val="es-ES"/>
        </w:rPr>
        <w:t>2</w:t>
      </w:r>
      <w:r w:rsidRPr="002D741C">
        <w:rPr>
          <w:color w:val="000000"/>
          <w:szCs w:val="22"/>
          <w:lang w:val="es-ES"/>
        </w:rPr>
        <w:t>/día subcutánea en combinación con Ara-C 20</w:t>
      </w:r>
      <w:r w:rsidR="006171A6" w:rsidRPr="002D741C">
        <w:rPr>
          <w:color w:val="000000"/>
          <w:szCs w:val="22"/>
          <w:lang w:val="es-ES"/>
        </w:rPr>
        <w:t> mg</w:t>
      </w:r>
      <w:r w:rsidRPr="002D741C">
        <w:rPr>
          <w:color w:val="000000"/>
          <w:szCs w:val="22"/>
          <w:lang w:val="es-ES"/>
        </w:rPr>
        <w:t>/m</w:t>
      </w:r>
      <w:r w:rsidRPr="002D741C">
        <w:rPr>
          <w:color w:val="000000"/>
          <w:szCs w:val="22"/>
          <w:vertAlign w:val="superscript"/>
          <w:lang w:val="es-ES"/>
        </w:rPr>
        <w:t>2</w:t>
      </w:r>
      <w:r w:rsidRPr="002D741C">
        <w:rPr>
          <w:color w:val="000000"/>
          <w:szCs w:val="22"/>
          <w:lang w:val="es-ES"/>
        </w:rPr>
        <w:t>/día subcutánea durante 10</w:t>
      </w:r>
      <w:r w:rsidR="00DF063A" w:rsidRPr="002D741C">
        <w:rPr>
          <w:color w:val="000000"/>
          <w:szCs w:val="22"/>
          <w:lang w:val="es-ES"/>
        </w:rPr>
        <w:t> </w:t>
      </w:r>
      <w:r w:rsidRPr="002D741C">
        <w:rPr>
          <w:color w:val="000000"/>
          <w:szCs w:val="22"/>
          <w:lang w:val="es-ES"/>
        </w:rPr>
        <w:t>días/mes.</w:t>
      </w:r>
    </w:p>
    <w:p w14:paraId="45B638D3" w14:textId="77777777" w:rsidR="002626B2" w:rsidRPr="002D741C" w:rsidRDefault="002626B2" w:rsidP="001A2F33">
      <w:pPr>
        <w:pStyle w:val="EndnoteText"/>
        <w:widowControl w:val="0"/>
        <w:tabs>
          <w:tab w:val="clear" w:pos="567"/>
        </w:tabs>
        <w:rPr>
          <w:color w:val="000000"/>
          <w:szCs w:val="22"/>
          <w:lang w:val="es-ES"/>
        </w:rPr>
      </w:pPr>
    </w:p>
    <w:p w14:paraId="7AAEC46D" w14:textId="77777777" w:rsidR="00504057" w:rsidRPr="002D741C" w:rsidRDefault="002626B2" w:rsidP="00FB6EE0">
      <w:pPr>
        <w:pStyle w:val="EndnoteText"/>
        <w:widowControl w:val="0"/>
        <w:tabs>
          <w:tab w:val="clear" w:pos="567"/>
        </w:tabs>
        <w:rPr>
          <w:color w:val="000000"/>
          <w:szCs w:val="22"/>
          <w:lang w:val="es-ES"/>
        </w:rPr>
      </w:pPr>
      <w:r w:rsidRPr="002D741C">
        <w:rPr>
          <w:color w:val="000000"/>
          <w:szCs w:val="22"/>
          <w:lang w:val="es-ES"/>
        </w:rPr>
        <w:t>Se aleatorizaron un total de 1</w:t>
      </w:r>
      <w:r w:rsidR="001453F7" w:rsidRPr="002D741C">
        <w:rPr>
          <w:color w:val="000000"/>
          <w:szCs w:val="22"/>
          <w:lang w:val="es-ES"/>
        </w:rPr>
        <w:t>.</w:t>
      </w:r>
      <w:r w:rsidRPr="002D741C">
        <w:rPr>
          <w:color w:val="000000"/>
          <w:szCs w:val="22"/>
          <w:lang w:val="es-ES"/>
        </w:rPr>
        <w:t>106</w:t>
      </w:r>
      <w:r w:rsidR="00DF063A" w:rsidRPr="002D741C">
        <w:rPr>
          <w:color w:val="000000"/>
          <w:szCs w:val="22"/>
          <w:lang w:val="es-ES"/>
        </w:rPr>
        <w:t> </w:t>
      </w:r>
      <w:r w:rsidRPr="002D741C">
        <w:rPr>
          <w:color w:val="000000"/>
          <w:szCs w:val="22"/>
          <w:lang w:val="es-ES"/>
        </w:rPr>
        <w:t>pacientes, 553 en cada brazo. Las características basales estaban bien equilibradas entre los dos brazos. La mediana de edad fue de 51</w:t>
      </w:r>
      <w:r w:rsidR="00DF063A" w:rsidRPr="002D741C">
        <w:rPr>
          <w:color w:val="000000"/>
          <w:szCs w:val="22"/>
          <w:lang w:val="es-ES"/>
        </w:rPr>
        <w:t> </w:t>
      </w:r>
      <w:r w:rsidRPr="002D741C">
        <w:rPr>
          <w:color w:val="000000"/>
          <w:szCs w:val="22"/>
          <w:lang w:val="es-ES"/>
        </w:rPr>
        <w:t>años (rango 18</w:t>
      </w:r>
      <w:r w:rsidR="00F11D96" w:rsidRPr="002D741C">
        <w:rPr>
          <w:color w:val="000000"/>
          <w:szCs w:val="22"/>
          <w:lang w:val="es-ES"/>
        </w:rPr>
        <w:t>–</w:t>
      </w:r>
      <w:r w:rsidRPr="002D741C">
        <w:rPr>
          <w:color w:val="000000"/>
          <w:szCs w:val="22"/>
          <w:lang w:val="es-ES"/>
        </w:rPr>
        <w:t>70</w:t>
      </w:r>
      <w:r w:rsidR="00DF063A" w:rsidRPr="002D741C">
        <w:rPr>
          <w:color w:val="000000"/>
          <w:szCs w:val="22"/>
          <w:lang w:val="es-ES"/>
        </w:rPr>
        <w:t> </w:t>
      </w:r>
      <w:r w:rsidRPr="002D741C">
        <w:rPr>
          <w:color w:val="000000"/>
          <w:szCs w:val="22"/>
          <w:lang w:val="es-ES"/>
        </w:rPr>
        <w:t>años), con un 21,9</w:t>
      </w:r>
      <w:r w:rsidR="00F11D96" w:rsidRPr="002D741C">
        <w:rPr>
          <w:color w:val="000000"/>
          <w:szCs w:val="22"/>
          <w:lang w:val="es-ES"/>
        </w:rPr>
        <w:t>%</w:t>
      </w:r>
      <w:r w:rsidRPr="002D741C">
        <w:rPr>
          <w:color w:val="000000"/>
          <w:szCs w:val="22"/>
          <w:lang w:val="es-ES"/>
        </w:rPr>
        <w:t xml:space="preserve"> de los pacientes </w:t>
      </w:r>
      <w:r w:rsidRPr="002D741C">
        <w:rPr>
          <w:color w:val="000000"/>
          <w:szCs w:val="22"/>
          <w:lang w:val="es-ES"/>
        </w:rPr>
        <w:sym w:font="Symbol" w:char="F0B3"/>
      </w:r>
      <w:r w:rsidR="00F11D96" w:rsidRPr="002D741C">
        <w:rPr>
          <w:color w:val="000000"/>
          <w:szCs w:val="22"/>
          <w:lang w:val="es-ES"/>
        </w:rPr>
        <w:t> </w:t>
      </w:r>
      <w:r w:rsidRPr="002D741C">
        <w:rPr>
          <w:color w:val="000000"/>
          <w:szCs w:val="22"/>
          <w:lang w:val="es-ES"/>
        </w:rPr>
        <w:t>60</w:t>
      </w:r>
      <w:r w:rsidR="00DF063A" w:rsidRPr="002D741C">
        <w:rPr>
          <w:color w:val="000000"/>
          <w:szCs w:val="22"/>
          <w:lang w:val="es-ES"/>
        </w:rPr>
        <w:t> </w:t>
      </w:r>
      <w:r w:rsidRPr="002D741C">
        <w:rPr>
          <w:color w:val="000000"/>
          <w:szCs w:val="22"/>
          <w:lang w:val="es-ES"/>
        </w:rPr>
        <w:t xml:space="preserve">años de edad. Hubo un 59% de hombres y un 41% de mujeres; los pacientes eran en un 89,9% caucasianos y en un 4,7% negros. </w:t>
      </w:r>
      <w:r w:rsidR="00FB6EE0" w:rsidRPr="002D741C">
        <w:rPr>
          <w:color w:val="000000"/>
          <w:szCs w:val="22"/>
          <w:lang w:val="es-ES"/>
        </w:rPr>
        <w:t xml:space="preserve">Siete </w:t>
      </w:r>
      <w:r w:rsidR="00504057" w:rsidRPr="002D741C">
        <w:rPr>
          <w:color w:val="000000"/>
          <w:szCs w:val="22"/>
          <w:lang w:val="es-ES"/>
        </w:rPr>
        <w:t xml:space="preserve">años después de la inclusión del último paciente, la mediana de duración del tratamiento de primera línea fue de </w:t>
      </w:r>
      <w:r w:rsidR="00FB6EE0" w:rsidRPr="002D741C">
        <w:rPr>
          <w:color w:val="000000"/>
          <w:szCs w:val="22"/>
          <w:lang w:val="es-ES"/>
        </w:rPr>
        <w:t xml:space="preserve">82 </w:t>
      </w:r>
      <w:r w:rsidR="00504057" w:rsidRPr="002D741C">
        <w:rPr>
          <w:color w:val="000000"/>
          <w:szCs w:val="22"/>
          <w:lang w:val="es-ES"/>
        </w:rPr>
        <w:t xml:space="preserve">y 8 meses en los brazos de Glivec e IFN, respectivamente. La mediana de duración del tratamiento con Glivec como segunda línea fue de </w:t>
      </w:r>
      <w:r w:rsidR="00FB6EE0" w:rsidRPr="002D741C">
        <w:rPr>
          <w:color w:val="000000"/>
          <w:szCs w:val="22"/>
          <w:lang w:val="es-ES"/>
        </w:rPr>
        <w:t>64 </w:t>
      </w:r>
      <w:r w:rsidR="00504057" w:rsidRPr="002D741C">
        <w:rPr>
          <w:color w:val="000000"/>
          <w:szCs w:val="22"/>
          <w:lang w:val="es-ES"/>
        </w:rPr>
        <w:t xml:space="preserve">meses. En total, en pacientes en tratamiento con Glivec en primera linea, la dosis diaria media administrada fue de </w:t>
      </w:r>
      <w:r w:rsidR="00FB6EE0" w:rsidRPr="002D741C">
        <w:rPr>
          <w:color w:val="000000"/>
          <w:szCs w:val="22"/>
          <w:lang w:val="es-ES_tradnl"/>
        </w:rPr>
        <w:t>406</w:t>
      </w:r>
      <w:r w:rsidR="00504057" w:rsidRPr="002D741C">
        <w:rPr>
          <w:color w:val="000000"/>
          <w:szCs w:val="22"/>
          <w:lang w:val="es-ES_tradnl"/>
        </w:rPr>
        <w:t> ± </w:t>
      </w:r>
      <w:r w:rsidR="00FB6EE0" w:rsidRPr="002D741C">
        <w:rPr>
          <w:color w:val="000000"/>
          <w:szCs w:val="22"/>
          <w:lang w:val="es-ES_tradnl"/>
        </w:rPr>
        <w:t>76 </w:t>
      </w:r>
      <w:r w:rsidR="00504057" w:rsidRPr="002D741C">
        <w:rPr>
          <w:color w:val="000000"/>
          <w:szCs w:val="22"/>
          <w:lang w:val="es-ES_tradnl"/>
        </w:rPr>
        <w:t>mg.</w:t>
      </w:r>
      <w:r w:rsidR="00504057" w:rsidRPr="002D741C">
        <w:rPr>
          <w:color w:val="000000"/>
          <w:szCs w:val="22"/>
          <w:lang w:val="es-ES"/>
        </w:rPr>
        <w:t xml:space="preserve"> </w:t>
      </w:r>
      <w:r w:rsidRPr="002D741C">
        <w:rPr>
          <w:color w:val="000000"/>
          <w:szCs w:val="22"/>
          <w:lang w:val="es-ES"/>
        </w:rPr>
        <w:t xml:space="preserve">El objetivo de eficacia primario del estudio es la supervivencia sin progresión. Se definió progresión como cualquiera de los acontecimientos siguientes: progresión a fase acelerada o crisis blástica, muerte, pérdida de RHC o RCM, o en pacientes que no alcanzaron un RHC un aumento de leucocitos a pesar de un manejo terapéutico apropiado. Los principales objetivos secundarios son una respuesta citogenética mayor, una respuesta hematológica, </w:t>
      </w:r>
      <w:r w:rsidR="00D732A7" w:rsidRPr="002D741C">
        <w:rPr>
          <w:color w:val="000000"/>
          <w:szCs w:val="22"/>
          <w:lang w:val="es-ES"/>
        </w:rPr>
        <w:t xml:space="preserve">una respuesta molecular (evaluación de </w:t>
      </w:r>
      <w:r w:rsidR="0037404E" w:rsidRPr="002D741C">
        <w:rPr>
          <w:color w:val="000000"/>
          <w:szCs w:val="22"/>
          <w:lang w:val="es-ES"/>
        </w:rPr>
        <w:t xml:space="preserve">la </w:t>
      </w:r>
      <w:r w:rsidR="00D732A7" w:rsidRPr="002D741C">
        <w:rPr>
          <w:color w:val="000000"/>
          <w:szCs w:val="22"/>
          <w:lang w:val="es-ES"/>
        </w:rPr>
        <w:t xml:space="preserve">enfermedad residual mínima) </w:t>
      </w:r>
      <w:r w:rsidRPr="002D741C">
        <w:rPr>
          <w:color w:val="000000"/>
          <w:szCs w:val="22"/>
          <w:lang w:val="es-ES"/>
        </w:rPr>
        <w:t xml:space="preserve">el tiempo hasta fase acelerada o crisis blástica y la supervivencia. Los datos de respuesta se muestran en </w:t>
      </w:r>
      <w:smartTag w:uri="urn:schemas-microsoft-com:office:smarttags" w:element="PersonName">
        <w:smartTagPr>
          <w:attr w:name="ProductID" w:val="la Tabla"/>
        </w:smartTagPr>
        <w:r w:rsidRPr="002D741C">
          <w:rPr>
            <w:color w:val="000000"/>
            <w:szCs w:val="22"/>
            <w:lang w:val="es-ES"/>
          </w:rPr>
          <w:t xml:space="preserve">la </w:t>
        </w:r>
        <w:r w:rsidR="00683B3D" w:rsidRPr="002D741C">
          <w:rPr>
            <w:color w:val="000000"/>
            <w:szCs w:val="22"/>
            <w:lang w:val="es-ES"/>
          </w:rPr>
          <w:t>T</w:t>
        </w:r>
        <w:r w:rsidRPr="002D741C">
          <w:rPr>
            <w:color w:val="000000"/>
            <w:szCs w:val="22"/>
            <w:lang w:val="es-ES"/>
          </w:rPr>
          <w:t>abla</w:t>
        </w:r>
      </w:smartTag>
      <w:r w:rsidR="00683B3D" w:rsidRPr="002D741C">
        <w:rPr>
          <w:color w:val="000000"/>
          <w:szCs w:val="22"/>
          <w:lang w:val="es-ES"/>
        </w:rPr>
        <w:t> </w:t>
      </w:r>
      <w:r w:rsidR="00A6343C" w:rsidRPr="002D741C">
        <w:rPr>
          <w:color w:val="000000"/>
          <w:szCs w:val="22"/>
          <w:lang w:val="es-ES"/>
        </w:rPr>
        <w:t>2</w:t>
      </w:r>
      <w:r w:rsidRPr="002D741C">
        <w:rPr>
          <w:color w:val="000000"/>
          <w:szCs w:val="22"/>
          <w:lang w:val="es-ES"/>
        </w:rPr>
        <w:t>.</w:t>
      </w:r>
    </w:p>
    <w:p w14:paraId="1DB27845" w14:textId="77777777" w:rsidR="00504057" w:rsidRPr="002D741C" w:rsidRDefault="00504057" w:rsidP="00504057">
      <w:pPr>
        <w:pStyle w:val="EndnoteText"/>
        <w:widowControl w:val="0"/>
        <w:tabs>
          <w:tab w:val="clear" w:pos="567"/>
        </w:tabs>
        <w:rPr>
          <w:color w:val="000000"/>
          <w:szCs w:val="22"/>
          <w:lang w:val="es-ES"/>
        </w:rPr>
      </w:pPr>
    </w:p>
    <w:p w14:paraId="62BCAD7B" w14:textId="77777777" w:rsidR="00504057" w:rsidRPr="002D741C" w:rsidRDefault="00504057" w:rsidP="00C16E58">
      <w:pPr>
        <w:pStyle w:val="EndnoteText"/>
        <w:keepNext/>
        <w:widowControl w:val="0"/>
        <w:tabs>
          <w:tab w:val="clear" w:pos="567"/>
          <w:tab w:val="left" w:pos="1134"/>
        </w:tabs>
        <w:rPr>
          <w:b/>
          <w:color w:val="000000"/>
          <w:szCs w:val="22"/>
          <w:lang w:val="es-ES_tradnl"/>
        </w:rPr>
      </w:pPr>
      <w:r w:rsidRPr="002D741C">
        <w:rPr>
          <w:b/>
          <w:color w:val="000000"/>
          <w:szCs w:val="22"/>
          <w:lang w:val="es-ES_tradnl"/>
        </w:rPr>
        <w:t>Tabla </w:t>
      </w:r>
      <w:r w:rsidR="00A6343C" w:rsidRPr="002D741C">
        <w:rPr>
          <w:b/>
          <w:color w:val="000000"/>
          <w:szCs w:val="22"/>
          <w:lang w:val="es-ES_tradnl"/>
        </w:rPr>
        <w:t>2</w:t>
      </w:r>
      <w:r w:rsidRPr="002D741C">
        <w:rPr>
          <w:b/>
          <w:color w:val="000000"/>
          <w:szCs w:val="22"/>
          <w:lang w:val="es-ES_tradnl"/>
        </w:rPr>
        <w:tab/>
        <w:t xml:space="preserve">Respuesta en el </w:t>
      </w:r>
      <w:r w:rsidR="0035665D" w:rsidRPr="002D741C">
        <w:rPr>
          <w:b/>
          <w:color w:val="000000"/>
          <w:szCs w:val="22"/>
          <w:lang w:val="es-ES_tradnl"/>
        </w:rPr>
        <w:t>ensayo en</w:t>
      </w:r>
      <w:r w:rsidRPr="002D741C">
        <w:rPr>
          <w:b/>
          <w:color w:val="000000"/>
          <w:szCs w:val="22"/>
          <w:lang w:val="es-ES_tradnl"/>
        </w:rPr>
        <w:t xml:space="preserve"> LMC de diagnóstico reciente (datos a </w:t>
      </w:r>
      <w:r w:rsidR="00C34D52" w:rsidRPr="002D741C">
        <w:rPr>
          <w:b/>
          <w:color w:val="000000"/>
          <w:szCs w:val="22"/>
          <w:lang w:val="es-ES_tradnl"/>
        </w:rPr>
        <w:t>84 </w:t>
      </w:r>
      <w:r w:rsidRPr="002D741C">
        <w:rPr>
          <w:b/>
          <w:color w:val="000000"/>
          <w:szCs w:val="22"/>
          <w:lang w:val="es-ES_tradnl"/>
        </w:rPr>
        <w:t>meses)</w:t>
      </w:r>
    </w:p>
    <w:p w14:paraId="7B582D48" w14:textId="77777777" w:rsidR="00504057" w:rsidRPr="002D741C" w:rsidRDefault="00504057" w:rsidP="00C16E58">
      <w:pPr>
        <w:pStyle w:val="EndnoteText"/>
        <w:keepNext/>
        <w:widowControl w:val="0"/>
        <w:rPr>
          <w:color w:val="000000"/>
          <w:szCs w:val="22"/>
          <w:lang w:val="es-ES_tradnl"/>
        </w:rPr>
      </w:pPr>
    </w:p>
    <w:tbl>
      <w:tblPr>
        <w:tblW w:w="0" w:type="auto"/>
        <w:tblBorders>
          <w:top w:val="single" w:sz="4" w:space="0" w:color="auto"/>
          <w:left w:val="single" w:sz="4" w:space="0" w:color="auto"/>
          <w:bottom w:val="single" w:sz="4" w:space="0" w:color="auto"/>
        </w:tblBorders>
        <w:tblLayout w:type="fixed"/>
        <w:tblLook w:val="0000" w:firstRow="0" w:lastRow="0" w:firstColumn="0" w:lastColumn="0" w:noHBand="0" w:noVBand="0"/>
      </w:tblPr>
      <w:tblGrid>
        <w:gridCol w:w="3794"/>
        <w:gridCol w:w="2693"/>
        <w:gridCol w:w="2718"/>
      </w:tblGrid>
      <w:tr w:rsidR="00504057" w:rsidRPr="002D741C" w14:paraId="4B6F216B" w14:textId="77777777" w:rsidTr="00C16E58">
        <w:trPr>
          <w:cantSplit/>
        </w:trPr>
        <w:tc>
          <w:tcPr>
            <w:tcW w:w="3794" w:type="dxa"/>
            <w:tcBorders>
              <w:top w:val="single" w:sz="4" w:space="0" w:color="auto"/>
              <w:left w:val="single" w:sz="4" w:space="0" w:color="auto"/>
              <w:bottom w:val="nil"/>
            </w:tcBorders>
          </w:tcPr>
          <w:p w14:paraId="00CE2F0D" w14:textId="77777777" w:rsidR="00504057" w:rsidRPr="002D741C" w:rsidRDefault="00504057" w:rsidP="00C16E58">
            <w:pPr>
              <w:pStyle w:val="Table"/>
              <w:keepLines w:val="0"/>
              <w:widowControl w:val="0"/>
              <w:spacing w:before="0" w:after="0"/>
              <w:rPr>
                <w:rFonts w:ascii="Times New Roman" w:hAnsi="Times New Roman"/>
                <w:color w:val="000000"/>
                <w:sz w:val="22"/>
                <w:szCs w:val="22"/>
                <w:lang w:val="es-ES_tradnl"/>
              </w:rPr>
            </w:pPr>
          </w:p>
        </w:tc>
        <w:tc>
          <w:tcPr>
            <w:tcW w:w="2693" w:type="dxa"/>
            <w:tcBorders>
              <w:top w:val="single" w:sz="4" w:space="0" w:color="auto"/>
              <w:bottom w:val="nil"/>
            </w:tcBorders>
          </w:tcPr>
          <w:p w14:paraId="00EFBDFF" w14:textId="77777777" w:rsidR="00504057" w:rsidRPr="002D741C" w:rsidRDefault="00504057" w:rsidP="00C16E58">
            <w:pPr>
              <w:pStyle w:val="Table"/>
              <w:keepLines w:val="0"/>
              <w:widowControl w:val="0"/>
              <w:spacing w:before="0" w:after="0"/>
              <w:jc w:val="center"/>
              <w:rPr>
                <w:rFonts w:ascii="Times New Roman" w:hAnsi="Times New Roman"/>
                <w:b/>
                <w:color w:val="000000"/>
                <w:sz w:val="22"/>
                <w:szCs w:val="22"/>
              </w:rPr>
            </w:pPr>
            <w:r w:rsidRPr="002D741C">
              <w:rPr>
                <w:rFonts w:ascii="Times New Roman" w:hAnsi="Times New Roman"/>
                <w:b/>
                <w:color w:val="000000"/>
                <w:sz w:val="22"/>
                <w:szCs w:val="22"/>
              </w:rPr>
              <w:t>Glivec</w:t>
            </w:r>
          </w:p>
        </w:tc>
        <w:tc>
          <w:tcPr>
            <w:tcW w:w="2718" w:type="dxa"/>
            <w:tcBorders>
              <w:top w:val="single" w:sz="4" w:space="0" w:color="auto"/>
              <w:bottom w:val="nil"/>
              <w:right w:val="single" w:sz="4" w:space="0" w:color="auto"/>
            </w:tcBorders>
          </w:tcPr>
          <w:p w14:paraId="0858A2ED" w14:textId="77777777" w:rsidR="00504057" w:rsidRPr="002D741C" w:rsidRDefault="00504057" w:rsidP="00C16E58">
            <w:pPr>
              <w:pStyle w:val="Table"/>
              <w:keepLines w:val="0"/>
              <w:widowControl w:val="0"/>
              <w:spacing w:before="0" w:after="0"/>
              <w:jc w:val="center"/>
              <w:rPr>
                <w:rFonts w:ascii="Times New Roman" w:hAnsi="Times New Roman"/>
                <w:b/>
                <w:color w:val="000000"/>
                <w:sz w:val="22"/>
                <w:szCs w:val="22"/>
              </w:rPr>
            </w:pPr>
            <w:r w:rsidRPr="002D741C">
              <w:rPr>
                <w:rFonts w:ascii="Times New Roman" w:hAnsi="Times New Roman"/>
                <w:b/>
                <w:color w:val="000000"/>
                <w:sz w:val="22"/>
                <w:szCs w:val="22"/>
              </w:rPr>
              <w:t>IFN+Ara-C</w:t>
            </w:r>
          </w:p>
        </w:tc>
      </w:tr>
      <w:tr w:rsidR="00504057" w:rsidRPr="002D741C" w14:paraId="71F2554A" w14:textId="77777777" w:rsidTr="00C16E58">
        <w:trPr>
          <w:cantSplit/>
        </w:trPr>
        <w:tc>
          <w:tcPr>
            <w:tcW w:w="3794" w:type="dxa"/>
            <w:tcBorders>
              <w:top w:val="nil"/>
              <w:left w:val="single" w:sz="4" w:space="0" w:color="auto"/>
              <w:bottom w:val="single" w:sz="4" w:space="0" w:color="auto"/>
            </w:tcBorders>
          </w:tcPr>
          <w:p w14:paraId="0161E3BB" w14:textId="77777777" w:rsidR="00504057" w:rsidRPr="002D741C" w:rsidRDefault="00504057" w:rsidP="00C16E58">
            <w:pPr>
              <w:pStyle w:val="Table"/>
              <w:keepLines w:val="0"/>
              <w:widowControl w:val="0"/>
              <w:spacing w:before="0" w:after="0"/>
              <w:rPr>
                <w:rFonts w:ascii="Times New Roman" w:hAnsi="Times New Roman"/>
                <w:b/>
                <w:color w:val="000000"/>
                <w:sz w:val="22"/>
                <w:szCs w:val="22"/>
              </w:rPr>
            </w:pPr>
            <w:r w:rsidRPr="002D741C">
              <w:rPr>
                <w:rFonts w:ascii="Times New Roman" w:hAnsi="Times New Roman"/>
                <w:b/>
                <w:color w:val="000000"/>
                <w:sz w:val="22"/>
                <w:szCs w:val="22"/>
              </w:rPr>
              <w:t>(Mejores tasas de respuesta)</w:t>
            </w:r>
          </w:p>
        </w:tc>
        <w:tc>
          <w:tcPr>
            <w:tcW w:w="2693" w:type="dxa"/>
            <w:tcBorders>
              <w:top w:val="nil"/>
              <w:bottom w:val="single" w:sz="4" w:space="0" w:color="auto"/>
            </w:tcBorders>
          </w:tcPr>
          <w:p w14:paraId="236A3FD9" w14:textId="77777777" w:rsidR="00504057" w:rsidRPr="002D741C" w:rsidRDefault="00504057" w:rsidP="00C16E58">
            <w:pPr>
              <w:pStyle w:val="Table"/>
              <w:keepLines w:val="0"/>
              <w:widowControl w:val="0"/>
              <w:spacing w:before="0" w:after="0"/>
              <w:jc w:val="center"/>
              <w:rPr>
                <w:rFonts w:ascii="Times New Roman" w:hAnsi="Times New Roman"/>
                <w:color w:val="000000"/>
                <w:sz w:val="22"/>
                <w:szCs w:val="22"/>
              </w:rPr>
            </w:pPr>
            <w:r w:rsidRPr="002D741C">
              <w:rPr>
                <w:rFonts w:ascii="Times New Roman" w:hAnsi="Times New Roman"/>
                <w:color w:val="000000"/>
                <w:sz w:val="22"/>
                <w:szCs w:val="22"/>
              </w:rPr>
              <w:t>n=553</w:t>
            </w:r>
          </w:p>
        </w:tc>
        <w:tc>
          <w:tcPr>
            <w:tcW w:w="2718" w:type="dxa"/>
            <w:tcBorders>
              <w:top w:val="nil"/>
              <w:bottom w:val="single" w:sz="4" w:space="0" w:color="auto"/>
              <w:right w:val="single" w:sz="4" w:space="0" w:color="auto"/>
            </w:tcBorders>
          </w:tcPr>
          <w:p w14:paraId="3E20232D" w14:textId="77777777" w:rsidR="00504057" w:rsidRPr="002D741C" w:rsidRDefault="00504057" w:rsidP="00C16E58">
            <w:pPr>
              <w:pStyle w:val="Table"/>
              <w:keepLines w:val="0"/>
              <w:widowControl w:val="0"/>
              <w:spacing w:before="0" w:after="0"/>
              <w:jc w:val="center"/>
              <w:rPr>
                <w:rFonts w:ascii="Times New Roman" w:hAnsi="Times New Roman"/>
                <w:color w:val="000000"/>
                <w:sz w:val="22"/>
                <w:szCs w:val="22"/>
              </w:rPr>
            </w:pPr>
            <w:r w:rsidRPr="002D741C">
              <w:rPr>
                <w:rFonts w:ascii="Times New Roman" w:hAnsi="Times New Roman"/>
                <w:color w:val="000000"/>
                <w:sz w:val="22"/>
                <w:szCs w:val="22"/>
              </w:rPr>
              <w:t>n=553</w:t>
            </w:r>
          </w:p>
        </w:tc>
      </w:tr>
      <w:tr w:rsidR="00504057" w:rsidRPr="002D741C" w14:paraId="5D6DB136" w14:textId="77777777" w:rsidTr="00C16E58">
        <w:trPr>
          <w:cantSplit/>
        </w:trPr>
        <w:tc>
          <w:tcPr>
            <w:tcW w:w="3794" w:type="dxa"/>
            <w:tcBorders>
              <w:top w:val="nil"/>
              <w:left w:val="single" w:sz="4" w:space="0" w:color="auto"/>
            </w:tcBorders>
          </w:tcPr>
          <w:p w14:paraId="78BEFB9B" w14:textId="77777777" w:rsidR="00504057" w:rsidRPr="002D741C" w:rsidRDefault="00504057" w:rsidP="00C16E58">
            <w:pPr>
              <w:pStyle w:val="Table"/>
              <w:keepLines w:val="0"/>
              <w:widowControl w:val="0"/>
              <w:spacing w:before="0" w:after="0"/>
              <w:rPr>
                <w:rFonts w:ascii="Times New Roman" w:hAnsi="Times New Roman"/>
                <w:b/>
                <w:color w:val="000000"/>
                <w:sz w:val="22"/>
                <w:szCs w:val="22"/>
              </w:rPr>
            </w:pPr>
            <w:r w:rsidRPr="002D741C">
              <w:rPr>
                <w:rFonts w:ascii="Times New Roman" w:hAnsi="Times New Roman"/>
                <w:b/>
                <w:color w:val="000000"/>
                <w:sz w:val="22"/>
                <w:szCs w:val="22"/>
              </w:rPr>
              <w:t>Respuesta hematológica</w:t>
            </w:r>
          </w:p>
        </w:tc>
        <w:tc>
          <w:tcPr>
            <w:tcW w:w="2693" w:type="dxa"/>
            <w:tcBorders>
              <w:top w:val="nil"/>
            </w:tcBorders>
          </w:tcPr>
          <w:p w14:paraId="51C74FBC" w14:textId="77777777" w:rsidR="00504057" w:rsidRPr="002D741C" w:rsidRDefault="00504057" w:rsidP="00C16E58">
            <w:pPr>
              <w:pStyle w:val="Table"/>
              <w:keepLines w:val="0"/>
              <w:widowControl w:val="0"/>
              <w:spacing w:before="0" w:after="0"/>
              <w:jc w:val="center"/>
              <w:rPr>
                <w:rFonts w:ascii="Times New Roman" w:hAnsi="Times New Roman"/>
                <w:b/>
                <w:color w:val="000000"/>
                <w:sz w:val="22"/>
                <w:szCs w:val="22"/>
              </w:rPr>
            </w:pPr>
          </w:p>
        </w:tc>
        <w:tc>
          <w:tcPr>
            <w:tcW w:w="2718" w:type="dxa"/>
            <w:tcBorders>
              <w:top w:val="nil"/>
              <w:right w:val="single" w:sz="4" w:space="0" w:color="auto"/>
            </w:tcBorders>
          </w:tcPr>
          <w:p w14:paraId="664AC4D3" w14:textId="77777777" w:rsidR="00504057" w:rsidRPr="002D741C" w:rsidRDefault="00504057" w:rsidP="00C16E58">
            <w:pPr>
              <w:pStyle w:val="Table"/>
              <w:keepLines w:val="0"/>
              <w:widowControl w:val="0"/>
              <w:spacing w:before="0" w:after="0"/>
              <w:jc w:val="center"/>
              <w:rPr>
                <w:rFonts w:ascii="Times New Roman" w:hAnsi="Times New Roman"/>
                <w:b/>
                <w:color w:val="000000"/>
                <w:sz w:val="22"/>
                <w:szCs w:val="22"/>
              </w:rPr>
            </w:pPr>
          </w:p>
        </w:tc>
      </w:tr>
      <w:tr w:rsidR="00504057" w:rsidRPr="002D741C" w14:paraId="4799D3E3" w14:textId="77777777" w:rsidTr="00C16E58">
        <w:trPr>
          <w:cantSplit/>
        </w:trPr>
        <w:tc>
          <w:tcPr>
            <w:tcW w:w="3794" w:type="dxa"/>
            <w:tcBorders>
              <w:top w:val="nil"/>
              <w:left w:val="single" w:sz="4" w:space="0" w:color="auto"/>
            </w:tcBorders>
          </w:tcPr>
          <w:p w14:paraId="5434474C" w14:textId="77777777" w:rsidR="00504057" w:rsidRPr="002D741C" w:rsidRDefault="008D312E" w:rsidP="00C16E58">
            <w:pPr>
              <w:pStyle w:val="Table"/>
              <w:keepLines w:val="0"/>
              <w:widowControl w:val="0"/>
              <w:spacing w:before="0" w:after="0"/>
              <w:rPr>
                <w:rFonts w:ascii="Times New Roman" w:hAnsi="Times New Roman"/>
                <w:color w:val="000000"/>
                <w:sz w:val="22"/>
                <w:szCs w:val="22"/>
              </w:rPr>
            </w:pPr>
            <w:r w:rsidRPr="002D741C">
              <w:rPr>
                <w:rFonts w:ascii="Times New Roman" w:hAnsi="Times New Roman"/>
                <w:color w:val="000000"/>
                <w:sz w:val="22"/>
                <w:szCs w:val="22"/>
              </w:rPr>
              <w:t xml:space="preserve">Tasa RHC </w:t>
            </w:r>
            <w:r w:rsidR="00504057" w:rsidRPr="002D741C">
              <w:rPr>
                <w:rFonts w:ascii="Times New Roman" w:hAnsi="Times New Roman"/>
                <w:color w:val="000000"/>
                <w:sz w:val="22"/>
                <w:szCs w:val="22"/>
              </w:rPr>
              <w:t>n (%)</w:t>
            </w:r>
          </w:p>
        </w:tc>
        <w:tc>
          <w:tcPr>
            <w:tcW w:w="2693" w:type="dxa"/>
            <w:tcBorders>
              <w:top w:val="nil"/>
            </w:tcBorders>
          </w:tcPr>
          <w:p w14:paraId="74A010EA" w14:textId="77777777" w:rsidR="00504057" w:rsidRPr="002D741C" w:rsidRDefault="00504057" w:rsidP="00C16E58">
            <w:pPr>
              <w:pStyle w:val="Table"/>
              <w:keepLines w:val="0"/>
              <w:widowControl w:val="0"/>
              <w:spacing w:before="0" w:after="0"/>
              <w:jc w:val="center"/>
              <w:rPr>
                <w:rFonts w:ascii="Times New Roman" w:hAnsi="Times New Roman"/>
                <w:color w:val="000000"/>
                <w:sz w:val="22"/>
                <w:szCs w:val="22"/>
              </w:rPr>
            </w:pPr>
            <w:r w:rsidRPr="002D741C">
              <w:rPr>
                <w:rFonts w:ascii="Times New Roman" w:hAnsi="Times New Roman"/>
                <w:color w:val="000000"/>
                <w:sz w:val="22"/>
                <w:szCs w:val="22"/>
                <w:lang w:val="en-GB"/>
              </w:rPr>
              <w:t>534 (96,6%)*</w:t>
            </w:r>
          </w:p>
        </w:tc>
        <w:tc>
          <w:tcPr>
            <w:tcW w:w="2718" w:type="dxa"/>
            <w:tcBorders>
              <w:top w:val="nil"/>
              <w:right w:val="single" w:sz="4" w:space="0" w:color="auto"/>
            </w:tcBorders>
          </w:tcPr>
          <w:p w14:paraId="3BB5C6D6" w14:textId="77777777" w:rsidR="00504057" w:rsidRPr="002D741C" w:rsidRDefault="00504057" w:rsidP="00C16E58">
            <w:pPr>
              <w:pStyle w:val="Table"/>
              <w:keepLines w:val="0"/>
              <w:widowControl w:val="0"/>
              <w:spacing w:before="0" w:after="0"/>
              <w:jc w:val="center"/>
              <w:rPr>
                <w:rFonts w:ascii="Times New Roman" w:hAnsi="Times New Roman"/>
                <w:color w:val="000000"/>
                <w:sz w:val="22"/>
                <w:szCs w:val="22"/>
              </w:rPr>
            </w:pPr>
            <w:r w:rsidRPr="002D741C">
              <w:rPr>
                <w:rFonts w:ascii="Times New Roman" w:hAnsi="Times New Roman"/>
                <w:color w:val="000000"/>
                <w:sz w:val="22"/>
                <w:szCs w:val="22"/>
                <w:lang w:val="en-GB"/>
              </w:rPr>
              <w:t>313 (56,6%)*</w:t>
            </w:r>
          </w:p>
        </w:tc>
      </w:tr>
      <w:tr w:rsidR="00504057" w:rsidRPr="002D741C" w14:paraId="78DCD42B" w14:textId="77777777" w:rsidTr="00C16E58">
        <w:trPr>
          <w:cantSplit/>
        </w:trPr>
        <w:tc>
          <w:tcPr>
            <w:tcW w:w="3794" w:type="dxa"/>
            <w:tcBorders>
              <w:left w:val="single" w:sz="4" w:space="0" w:color="auto"/>
            </w:tcBorders>
          </w:tcPr>
          <w:p w14:paraId="736284A0" w14:textId="77777777" w:rsidR="00504057" w:rsidRPr="002D741C" w:rsidRDefault="00504057" w:rsidP="00C16E58">
            <w:pPr>
              <w:pStyle w:val="Table"/>
              <w:keepLines w:val="0"/>
              <w:widowControl w:val="0"/>
              <w:spacing w:before="0" w:after="0"/>
              <w:rPr>
                <w:rFonts w:ascii="Times New Roman" w:hAnsi="Times New Roman"/>
                <w:color w:val="000000"/>
                <w:sz w:val="22"/>
                <w:szCs w:val="22"/>
              </w:rPr>
            </w:pPr>
            <w:r w:rsidRPr="002D741C">
              <w:rPr>
                <w:rFonts w:ascii="Times New Roman" w:hAnsi="Times New Roman"/>
                <w:color w:val="000000"/>
                <w:sz w:val="22"/>
                <w:szCs w:val="22"/>
              </w:rPr>
              <w:tab/>
              <w:t>[95% I</w:t>
            </w:r>
            <w:r w:rsidR="008D312E" w:rsidRPr="002D741C">
              <w:rPr>
                <w:rFonts w:ascii="Times New Roman" w:hAnsi="Times New Roman"/>
                <w:color w:val="000000"/>
                <w:sz w:val="22"/>
                <w:szCs w:val="22"/>
              </w:rPr>
              <w:t>C</w:t>
            </w:r>
            <w:r w:rsidRPr="002D741C">
              <w:rPr>
                <w:rFonts w:ascii="Times New Roman" w:hAnsi="Times New Roman"/>
                <w:color w:val="000000"/>
                <w:sz w:val="22"/>
                <w:szCs w:val="22"/>
              </w:rPr>
              <w:t>]</w:t>
            </w:r>
          </w:p>
        </w:tc>
        <w:tc>
          <w:tcPr>
            <w:tcW w:w="2693" w:type="dxa"/>
          </w:tcPr>
          <w:p w14:paraId="2586F42C" w14:textId="77777777" w:rsidR="00504057" w:rsidRPr="002D741C" w:rsidRDefault="00504057" w:rsidP="00C16E58">
            <w:pPr>
              <w:pStyle w:val="Table"/>
              <w:keepLines w:val="0"/>
              <w:widowControl w:val="0"/>
              <w:spacing w:before="0" w:after="0"/>
              <w:jc w:val="center"/>
              <w:rPr>
                <w:rFonts w:ascii="Times New Roman" w:hAnsi="Times New Roman"/>
                <w:color w:val="000000"/>
                <w:sz w:val="22"/>
                <w:szCs w:val="22"/>
              </w:rPr>
            </w:pPr>
            <w:r w:rsidRPr="002D741C">
              <w:rPr>
                <w:rFonts w:ascii="Times New Roman" w:hAnsi="Times New Roman"/>
                <w:color w:val="000000"/>
                <w:sz w:val="22"/>
                <w:szCs w:val="22"/>
                <w:lang w:val="en-GB"/>
              </w:rPr>
              <w:t>[94,7%, 97,9%]</w:t>
            </w:r>
          </w:p>
        </w:tc>
        <w:tc>
          <w:tcPr>
            <w:tcW w:w="2718" w:type="dxa"/>
            <w:tcBorders>
              <w:right w:val="single" w:sz="4" w:space="0" w:color="auto"/>
            </w:tcBorders>
          </w:tcPr>
          <w:p w14:paraId="4552142D" w14:textId="77777777" w:rsidR="00504057" w:rsidRPr="002D741C" w:rsidRDefault="00504057" w:rsidP="00C16E58">
            <w:pPr>
              <w:pStyle w:val="Table"/>
              <w:keepLines w:val="0"/>
              <w:widowControl w:val="0"/>
              <w:spacing w:before="0" w:after="0"/>
              <w:jc w:val="center"/>
              <w:rPr>
                <w:rFonts w:ascii="Times New Roman" w:hAnsi="Times New Roman"/>
                <w:color w:val="000000"/>
                <w:sz w:val="22"/>
                <w:szCs w:val="22"/>
              </w:rPr>
            </w:pPr>
            <w:r w:rsidRPr="002D741C">
              <w:rPr>
                <w:rFonts w:ascii="Times New Roman" w:hAnsi="Times New Roman"/>
                <w:color w:val="000000"/>
                <w:sz w:val="22"/>
                <w:szCs w:val="22"/>
                <w:lang w:val="en-GB"/>
              </w:rPr>
              <w:t>[52,4%, 60,8%]</w:t>
            </w:r>
          </w:p>
        </w:tc>
      </w:tr>
      <w:tr w:rsidR="00504057" w:rsidRPr="002D741C" w14:paraId="7047C74A" w14:textId="77777777" w:rsidTr="00C16E58">
        <w:trPr>
          <w:cantSplit/>
        </w:trPr>
        <w:tc>
          <w:tcPr>
            <w:tcW w:w="3794" w:type="dxa"/>
            <w:tcBorders>
              <w:left w:val="single" w:sz="4" w:space="0" w:color="auto"/>
            </w:tcBorders>
          </w:tcPr>
          <w:p w14:paraId="4AC45CF2" w14:textId="77777777" w:rsidR="00504057" w:rsidRPr="002D741C" w:rsidRDefault="00504057" w:rsidP="00C16E58">
            <w:pPr>
              <w:pStyle w:val="Table"/>
              <w:keepLines w:val="0"/>
              <w:widowControl w:val="0"/>
              <w:spacing w:before="0" w:after="0"/>
              <w:rPr>
                <w:rFonts w:ascii="Times New Roman" w:hAnsi="Times New Roman"/>
                <w:color w:val="000000"/>
                <w:sz w:val="22"/>
                <w:szCs w:val="22"/>
              </w:rPr>
            </w:pPr>
          </w:p>
        </w:tc>
        <w:tc>
          <w:tcPr>
            <w:tcW w:w="2693" w:type="dxa"/>
          </w:tcPr>
          <w:p w14:paraId="6A2E9C55" w14:textId="77777777" w:rsidR="00504057" w:rsidRPr="002D741C" w:rsidRDefault="00504057" w:rsidP="00C16E58">
            <w:pPr>
              <w:pStyle w:val="Table"/>
              <w:keepLines w:val="0"/>
              <w:widowControl w:val="0"/>
              <w:spacing w:before="0" w:after="0"/>
              <w:rPr>
                <w:rFonts w:ascii="Times New Roman" w:hAnsi="Times New Roman"/>
                <w:color w:val="000000"/>
                <w:sz w:val="22"/>
                <w:szCs w:val="22"/>
              </w:rPr>
            </w:pPr>
          </w:p>
        </w:tc>
        <w:tc>
          <w:tcPr>
            <w:tcW w:w="2718" w:type="dxa"/>
            <w:tcBorders>
              <w:right w:val="single" w:sz="4" w:space="0" w:color="auto"/>
            </w:tcBorders>
          </w:tcPr>
          <w:p w14:paraId="193062B7" w14:textId="77777777" w:rsidR="00504057" w:rsidRPr="002D741C" w:rsidRDefault="00504057" w:rsidP="00C16E58">
            <w:pPr>
              <w:pStyle w:val="Table"/>
              <w:keepLines w:val="0"/>
              <w:widowControl w:val="0"/>
              <w:spacing w:before="0" w:after="0"/>
              <w:rPr>
                <w:rFonts w:ascii="Times New Roman" w:hAnsi="Times New Roman"/>
                <w:color w:val="000000"/>
                <w:sz w:val="22"/>
                <w:szCs w:val="22"/>
              </w:rPr>
            </w:pPr>
          </w:p>
        </w:tc>
      </w:tr>
      <w:tr w:rsidR="00504057" w:rsidRPr="002D741C" w14:paraId="73AA7265" w14:textId="77777777" w:rsidTr="00C16E58">
        <w:trPr>
          <w:cantSplit/>
        </w:trPr>
        <w:tc>
          <w:tcPr>
            <w:tcW w:w="3794" w:type="dxa"/>
            <w:tcBorders>
              <w:left w:val="single" w:sz="4" w:space="0" w:color="auto"/>
            </w:tcBorders>
          </w:tcPr>
          <w:p w14:paraId="0CB566A9" w14:textId="77777777" w:rsidR="00504057" w:rsidRPr="002D741C" w:rsidRDefault="008D312E" w:rsidP="00C16E58">
            <w:pPr>
              <w:pStyle w:val="Table"/>
              <w:keepLines w:val="0"/>
              <w:widowControl w:val="0"/>
              <w:spacing w:before="0" w:after="0"/>
              <w:rPr>
                <w:rFonts w:ascii="Times New Roman" w:hAnsi="Times New Roman"/>
                <w:b/>
                <w:color w:val="000000"/>
                <w:sz w:val="22"/>
                <w:szCs w:val="22"/>
              </w:rPr>
            </w:pPr>
            <w:r w:rsidRPr="002D741C">
              <w:rPr>
                <w:rFonts w:ascii="Times New Roman" w:hAnsi="Times New Roman"/>
                <w:b/>
                <w:color w:val="000000"/>
                <w:sz w:val="22"/>
                <w:szCs w:val="22"/>
              </w:rPr>
              <w:t>Respuesta citogenética</w:t>
            </w:r>
          </w:p>
        </w:tc>
        <w:tc>
          <w:tcPr>
            <w:tcW w:w="2693" w:type="dxa"/>
          </w:tcPr>
          <w:p w14:paraId="26300FC7" w14:textId="77777777" w:rsidR="00504057" w:rsidRPr="002D741C" w:rsidRDefault="00504057" w:rsidP="00C16E58">
            <w:pPr>
              <w:pStyle w:val="Table"/>
              <w:keepLines w:val="0"/>
              <w:widowControl w:val="0"/>
              <w:spacing w:before="0" w:after="0"/>
              <w:rPr>
                <w:rFonts w:ascii="Times New Roman" w:hAnsi="Times New Roman"/>
                <w:b/>
                <w:color w:val="000000"/>
                <w:sz w:val="22"/>
                <w:szCs w:val="22"/>
              </w:rPr>
            </w:pPr>
          </w:p>
        </w:tc>
        <w:tc>
          <w:tcPr>
            <w:tcW w:w="2718" w:type="dxa"/>
            <w:tcBorders>
              <w:right w:val="single" w:sz="4" w:space="0" w:color="auto"/>
            </w:tcBorders>
          </w:tcPr>
          <w:p w14:paraId="1CDA097B" w14:textId="77777777" w:rsidR="00504057" w:rsidRPr="002D741C" w:rsidRDefault="00504057" w:rsidP="00C16E58">
            <w:pPr>
              <w:pStyle w:val="Table"/>
              <w:keepLines w:val="0"/>
              <w:widowControl w:val="0"/>
              <w:spacing w:before="0" w:after="0"/>
              <w:rPr>
                <w:rFonts w:ascii="Times New Roman" w:hAnsi="Times New Roman"/>
                <w:b/>
                <w:color w:val="000000"/>
                <w:sz w:val="22"/>
                <w:szCs w:val="22"/>
              </w:rPr>
            </w:pPr>
          </w:p>
        </w:tc>
      </w:tr>
      <w:tr w:rsidR="00504057" w:rsidRPr="002D741C" w14:paraId="51D51764" w14:textId="77777777" w:rsidTr="00C16E58">
        <w:trPr>
          <w:cantSplit/>
        </w:trPr>
        <w:tc>
          <w:tcPr>
            <w:tcW w:w="3794" w:type="dxa"/>
            <w:tcBorders>
              <w:left w:val="single" w:sz="4" w:space="0" w:color="auto"/>
            </w:tcBorders>
          </w:tcPr>
          <w:p w14:paraId="6CF38E2A" w14:textId="77777777" w:rsidR="00504057" w:rsidRPr="002D741C" w:rsidRDefault="008D312E" w:rsidP="00C16E58">
            <w:pPr>
              <w:pStyle w:val="Table"/>
              <w:keepLines w:val="0"/>
              <w:widowControl w:val="0"/>
              <w:spacing w:before="0" w:after="0"/>
              <w:rPr>
                <w:rFonts w:ascii="Times New Roman" w:hAnsi="Times New Roman"/>
                <w:color w:val="000000"/>
                <w:sz w:val="22"/>
                <w:szCs w:val="22"/>
              </w:rPr>
            </w:pPr>
            <w:r w:rsidRPr="002D741C">
              <w:rPr>
                <w:rFonts w:ascii="Times New Roman" w:hAnsi="Times New Roman"/>
                <w:color w:val="000000"/>
                <w:sz w:val="22"/>
                <w:szCs w:val="22"/>
              </w:rPr>
              <w:t>Respuesta mayor</w:t>
            </w:r>
            <w:r w:rsidR="00504057" w:rsidRPr="002D741C">
              <w:rPr>
                <w:rFonts w:ascii="Times New Roman" w:hAnsi="Times New Roman"/>
                <w:color w:val="000000"/>
                <w:sz w:val="22"/>
                <w:szCs w:val="22"/>
              </w:rPr>
              <w:t xml:space="preserve"> n (%)</w:t>
            </w:r>
          </w:p>
        </w:tc>
        <w:tc>
          <w:tcPr>
            <w:tcW w:w="2693" w:type="dxa"/>
          </w:tcPr>
          <w:p w14:paraId="56A1DCAA" w14:textId="77777777" w:rsidR="00504057" w:rsidRPr="002D741C" w:rsidRDefault="008D312E" w:rsidP="00C16E58">
            <w:pPr>
              <w:pStyle w:val="Table"/>
              <w:keepLines w:val="0"/>
              <w:widowControl w:val="0"/>
              <w:spacing w:before="0" w:after="0"/>
              <w:jc w:val="center"/>
              <w:rPr>
                <w:rFonts w:ascii="Times New Roman" w:hAnsi="Times New Roman"/>
                <w:color w:val="000000"/>
                <w:sz w:val="22"/>
                <w:szCs w:val="22"/>
              </w:rPr>
            </w:pPr>
            <w:r w:rsidRPr="002D741C">
              <w:rPr>
                <w:rFonts w:ascii="Times New Roman" w:hAnsi="Times New Roman"/>
                <w:color w:val="000000"/>
                <w:sz w:val="22"/>
                <w:szCs w:val="22"/>
                <w:lang w:val="en-GB"/>
              </w:rPr>
              <w:t>490 (88,</w:t>
            </w:r>
            <w:r w:rsidR="00504057" w:rsidRPr="002D741C">
              <w:rPr>
                <w:rFonts w:ascii="Times New Roman" w:hAnsi="Times New Roman"/>
                <w:color w:val="000000"/>
                <w:sz w:val="22"/>
                <w:szCs w:val="22"/>
                <w:lang w:val="en-GB"/>
              </w:rPr>
              <w:t>6%)*</w:t>
            </w:r>
          </w:p>
        </w:tc>
        <w:tc>
          <w:tcPr>
            <w:tcW w:w="2718" w:type="dxa"/>
            <w:tcBorders>
              <w:right w:val="single" w:sz="4" w:space="0" w:color="auto"/>
            </w:tcBorders>
          </w:tcPr>
          <w:p w14:paraId="1A9B45E5" w14:textId="77777777" w:rsidR="00504057" w:rsidRPr="002D741C" w:rsidRDefault="00504057" w:rsidP="00C16E58">
            <w:pPr>
              <w:pStyle w:val="Table"/>
              <w:keepLines w:val="0"/>
              <w:widowControl w:val="0"/>
              <w:spacing w:before="0" w:after="0"/>
              <w:jc w:val="center"/>
              <w:rPr>
                <w:rFonts w:ascii="Times New Roman" w:hAnsi="Times New Roman"/>
                <w:color w:val="000000"/>
                <w:sz w:val="22"/>
                <w:szCs w:val="22"/>
              </w:rPr>
            </w:pPr>
            <w:r w:rsidRPr="002D741C">
              <w:rPr>
                <w:rFonts w:ascii="Times New Roman" w:hAnsi="Times New Roman"/>
                <w:color w:val="000000"/>
                <w:sz w:val="22"/>
                <w:szCs w:val="22"/>
                <w:lang w:val="en-GB"/>
              </w:rPr>
              <w:t>129 (23</w:t>
            </w:r>
            <w:r w:rsidR="008D312E" w:rsidRPr="002D741C">
              <w:rPr>
                <w:rFonts w:ascii="Times New Roman" w:hAnsi="Times New Roman"/>
                <w:color w:val="000000"/>
                <w:sz w:val="22"/>
                <w:szCs w:val="22"/>
                <w:lang w:val="en-GB"/>
              </w:rPr>
              <w:t>,</w:t>
            </w:r>
            <w:r w:rsidRPr="002D741C">
              <w:rPr>
                <w:rFonts w:ascii="Times New Roman" w:hAnsi="Times New Roman"/>
                <w:color w:val="000000"/>
                <w:sz w:val="22"/>
                <w:szCs w:val="22"/>
                <w:lang w:val="en-GB"/>
              </w:rPr>
              <w:t>3%)*</w:t>
            </w:r>
          </w:p>
        </w:tc>
      </w:tr>
      <w:tr w:rsidR="00504057" w:rsidRPr="002D741C" w14:paraId="565625CA" w14:textId="77777777" w:rsidTr="00C16E58">
        <w:trPr>
          <w:cantSplit/>
        </w:trPr>
        <w:tc>
          <w:tcPr>
            <w:tcW w:w="3794" w:type="dxa"/>
            <w:tcBorders>
              <w:left w:val="single" w:sz="4" w:space="0" w:color="auto"/>
            </w:tcBorders>
          </w:tcPr>
          <w:p w14:paraId="76EF2FD1" w14:textId="77777777" w:rsidR="00504057" w:rsidRPr="002D741C" w:rsidRDefault="00504057" w:rsidP="00C16E58">
            <w:pPr>
              <w:pStyle w:val="Table"/>
              <w:keepLines w:val="0"/>
              <w:widowControl w:val="0"/>
              <w:spacing w:before="0" w:after="0"/>
              <w:rPr>
                <w:rFonts w:ascii="Times New Roman" w:hAnsi="Times New Roman"/>
                <w:color w:val="000000"/>
                <w:sz w:val="22"/>
                <w:szCs w:val="22"/>
              </w:rPr>
            </w:pPr>
            <w:r w:rsidRPr="002D741C">
              <w:rPr>
                <w:rFonts w:ascii="Times New Roman" w:hAnsi="Times New Roman"/>
                <w:color w:val="000000"/>
                <w:sz w:val="22"/>
                <w:szCs w:val="22"/>
              </w:rPr>
              <w:tab/>
              <w:t xml:space="preserve">[95% </w:t>
            </w:r>
            <w:r w:rsidR="008D312E" w:rsidRPr="002D741C">
              <w:rPr>
                <w:rFonts w:ascii="Times New Roman" w:hAnsi="Times New Roman"/>
                <w:color w:val="000000"/>
                <w:sz w:val="22"/>
                <w:szCs w:val="22"/>
              </w:rPr>
              <w:t>IC</w:t>
            </w:r>
            <w:r w:rsidRPr="002D741C">
              <w:rPr>
                <w:rFonts w:ascii="Times New Roman" w:hAnsi="Times New Roman"/>
                <w:color w:val="000000"/>
                <w:sz w:val="22"/>
                <w:szCs w:val="22"/>
              </w:rPr>
              <w:t>]</w:t>
            </w:r>
          </w:p>
        </w:tc>
        <w:tc>
          <w:tcPr>
            <w:tcW w:w="2693" w:type="dxa"/>
          </w:tcPr>
          <w:p w14:paraId="510A529F" w14:textId="77777777" w:rsidR="00504057" w:rsidRPr="002D741C" w:rsidRDefault="008D312E" w:rsidP="00C16E58">
            <w:pPr>
              <w:pStyle w:val="Table"/>
              <w:keepLines w:val="0"/>
              <w:widowControl w:val="0"/>
              <w:spacing w:before="0" w:after="0"/>
              <w:jc w:val="center"/>
              <w:rPr>
                <w:rFonts w:ascii="Times New Roman" w:hAnsi="Times New Roman"/>
                <w:color w:val="000000"/>
                <w:sz w:val="22"/>
                <w:szCs w:val="22"/>
              </w:rPr>
            </w:pPr>
            <w:r w:rsidRPr="002D741C">
              <w:rPr>
                <w:rFonts w:ascii="Times New Roman" w:hAnsi="Times New Roman"/>
                <w:color w:val="000000"/>
                <w:sz w:val="22"/>
                <w:szCs w:val="22"/>
                <w:lang w:val="en-GB"/>
              </w:rPr>
              <w:t>[85,</w:t>
            </w:r>
            <w:r w:rsidR="00504057" w:rsidRPr="002D741C">
              <w:rPr>
                <w:rFonts w:ascii="Times New Roman" w:hAnsi="Times New Roman"/>
                <w:color w:val="000000"/>
                <w:sz w:val="22"/>
                <w:szCs w:val="22"/>
                <w:lang w:val="en-GB"/>
              </w:rPr>
              <w:t>7%, 91</w:t>
            </w:r>
            <w:r w:rsidRPr="002D741C">
              <w:rPr>
                <w:rFonts w:ascii="Times New Roman" w:hAnsi="Times New Roman"/>
                <w:color w:val="000000"/>
                <w:sz w:val="22"/>
                <w:szCs w:val="22"/>
                <w:lang w:val="en-GB"/>
              </w:rPr>
              <w:t>,</w:t>
            </w:r>
            <w:r w:rsidR="00504057" w:rsidRPr="002D741C">
              <w:rPr>
                <w:rFonts w:ascii="Times New Roman" w:hAnsi="Times New Roman"/>
                <w:color w:val="000000"/>
                <w:sz w:val="22"/>
                <w:szCs w:val="22"/>
                <w:lang w:val="en-GB"/>
              </w:rPr>
              <w:t>1%]</w:t>
            </w:r>
          </w:p>
        </w:tc>
        <w:tc>
          <w:tcPr>
            <w:tcW w:w="2718" w:type="dxa"/>
            <w:tcBorders>
              <w:right w:val="single" w:sz="4" w:space="0" w:color="auto"/>
            </w:tcBorders>
          </w:tcPr>
          <w:p w14:paraId="1410749B" w14:textId="77777777" w:rsidR="00504057" w:rsidRPr="002D741C" w:rsidRDefault="008D312E" w:rsidP="00C16E58">
            <w:pPr>
              <w:pStyle w:val="Table"/>
              <w:keepLines w:val="0"/>
              <w:widowControl w:val="0"/>
              <w:spacing w:before="0" w:after="0"/>
              <w:jc w:val="center"/>
              <w:rPr>
                <w:rFonts w:ascii="Times New Roman" w:hAnsi="Times New Roman"/>
                <w:color w:val="000000"/>
                <w:sz w:val="22"/>
                <w:szCs w:val="22"/>
              </w:rPr>
            </w:pPr>
            <w:r w:rsidRPr="002D741C">
              <w:rPr>
                <w:rFonts w:ascii="Times New Roman" w:hAnsi="Times New Roman"/>
                <w:color w:val="000000"/>
                <w:sz w:val="22"/>
                <w:szCs w:val="22"/>
                <w:lang w:val="en-GB"/>
              </w:rPr>
              <w:t>[19,9%, 27,</w:t>
            </w:r>
            <w:r w:rsidR="00504057" w:rsidRPr="002D741C">
              <w:rPr>
                <w:rFonts w:ascii="Times New Roman" w:hAnsi="Times New Roman"/>
                <w:color w:val="000000"/>
                <w:sz w:val="22"/>
                <w:szCs w:val="22"/>
                <w:lang w:val="en-GB"/>
              </w:rPr>
              <w:t>1%]</w:t>
            </w:r>
          </w:p>
        </w:tc>
      </w:tr>
      <w:tr w:rsidR="00504057" w:rsidRPr="002D741C" w14:paraId="1D215252" w14:textId="77777777" w:rsidTr="00C16E58">
        <w:trPr>
          <w:cantSplit/>
        </w:trPr>
        <w:tc>
          <w:tcPr>
            <w:tcW w:w="3794" w:type="dxa"/>
            <w:tcBorders>
              <w:left w:val="single" w:sz="4" w:space="0" w:color="auto"/>
            </w:tcBorders>
          </w:tcPr>
          <w:p w14:paraId="41F49B29" w14:textId="77777777" w:rsidR="00504057" w:rsidRPr="002D741C" w:rsidRDefault="00504057" w:rsidP="00C16E58">
            <w:pPr>
              <w:pStyle w:val="Table"/>
              <w:keepLines w:val="0"/>
              <w:widowControl w:val="0"/>
              <w:spacing w:before="0" w:after="0"/>
              <w:rPr>
                <w:rFonts w:ascii="Times New Roman" w:hAnsi="Times New Roman"/>
                <w:color w:val="000000"/>
                <w:sz w:val="22"/>
                <w:szCs w:val="22"/>
              </w:rPr>
            </w:pPr>
            <w:r w:rsidRPr="002D741C">
              <w:rPr>
                <w:rFonts w:ascii="Times New Roman" w:hAnsi="Times New Roman"/>
                <w:color w:val="000000"/>
                <w:sz w:val="22"/>
                <w:szCs w:val="22"/>
              </w:rPr>
              <w:tab/>
            </w:r>
            <w:r w:rsidR="008D312E" w:rsidRPr="002D741C">
              <w:rPr>
                <w:rFonts w:ascii="Times New Roman" w:hAnsi="Times New Roman"/>
                <w:color w:val="000000"/>
                <w:sz w:val="22"/>
                <w:szCs w:val="22"/>
              </w:rPr>
              <w:t xml:space="preserve">RC completa </w:t>
            </w:r>
            <w:r w:rsidRPr="002D741C">
              <w:rPr>
                <w:rFonts w:ascii="Times New Roman" w:hAnsi="Times New Roman"/>
                <w:color w:val="000000"/>
                <w:sz w:val="22"/>
                <w:szCs w:val="22"/>
              </w:rPr>
              <w:t>n (%)</w:t>
            </w:r>
          </w:p>
        </w:tc>
        <w:tc>
          <w:tcPr>
            <w:tcW w:w="2693" w:type="dxa"/>
          </w:tcPr>
          <w:p w14:paraId="5FF1597F" w14:textId="77777777" w:rsidR="00504057" w:rsidRPr="002D741C" w:rsidRDefault="00C34D52" w:rsidP="00C16E58">
            <w:pPr>
              <w:pStyle w:val="Table"/>
              <w:keepLines w:val="0"/>
              <w:widowControl w:val="0"/>
              <w:spacing w:before="0" w:after="0"/>
              <w:jc w:val="center"/>
              <w:rPr>
                <w:rFonts w:ascii="Times New Roman" w:hAnsi="Times New Roman"/>
                <w:color w:val="000000"/>
                <w:sz w:val="22"/>
                <w:szCs w:val="22"/>
              </w:rPr>
            </w:pPr>
            <w:r w:rsidRPr="002D741C">
              <w:rPr>
                <w:rFonts w:ascii="Times New Roman" w:hAnsi="Times New Roman"/>
                <w:color w:val="000000"/>
                <w:sz w:val="22"/>
                <w:szCs w:val="22"/>
                <w:lang w:val="en-GB"/>
              </w:rPr>
              <w:t>456 (82,5%)*</w:t>
            </w:r>
          </w:p>
        </w:tc>
        <w:tc>
          <w:tcPr>
            <w:tcW w:w="2718" w:type="dxa"/>
            <w:tcBorders>
              <w:right w:val="single" w:sz="4" w:space="0" w:color="auto"/>
            </w:tcBorders>
          </w:tcPr>
          <w:p w14:paraId="490342AA" w14:textId="77777777" w:rsidR="00504057" w:rsidRPr="002D741C" w:rsidRDefault="008D312E" w:rsidP="00C16E58">
            <w:pPr>
              <w:pStyle w:val="Table"/>
              <w:keepLines w:val="0"/>
              <w:widowControl w:val="0"/>
              <w:spacing w:before="0" w:after="0"/>
              <w:jc w:val="center"/>
              <w:rPr>
                <w:rFonts w:ascii="Times New Roman" w:hAnsi="Times New Roman"/>
                <w:color w:val="000000"/>
                <w:sz w:val="22"/>
                <w:szCs w:val="22"/>
              </w:rPr>
            </w:pPr>
            <w:r w:rsidRPr="002D741C">
              <w:rPr>
                <w:rFonts w:ascii="Times New Roman" w:hAnsi="Times New Roman"/>
                <w:color w:val="000000"/>
                <w:sz w:val="22"/>
                <w:szCs w:val="22"/>
                <w:lang w:val="en-GB"/>
              </w:rPr>
              <w:t>64 (11,</w:t>
            </w:r>
            <w:r w:rsidR="00504057" w:rsidRPr="002D741C">
              <w:rPr>
                <w:rFonts w:ascii="Times New Roman" w:hAnsi="Times New Roman"/>
                <w:color w:val="000000"/>
                <w:sz w:val="22"/>
                <w:szCs w:val="22"/>
                <w:lang w:val="en-GB"/>
              </w:rPr>
              <w:t>6%)*</w:t>
            </w:r>
          </w:p>
        </w:tc>
      </w:tr>
      <w:tr w:rsidR="00504057" w:rsidRPr="002D741C" w14:paraId="47F237DB" w14:textId="77777777" w:rsidTr="00C16E58">
        <w:trPr>
          <w:cantSplit/>
        </w:trPr>
        <w:tc>
          <w:tcPr>
            <w:tcW w:w="3794" w:type="dxa"/>
            <w:tcBorders>
              <w:left w:val="single" w:sz="4" w:space="0" w:color="auto"/>
            </w:tcBorders>
          </w:tcPr>
          <w:p w14:paraId="225FD01C" w14:textId="77777777" w:rsidR="00504057" w:rsidRPr="002D741C" w:rsidRDefault="00504057" w:rsidP="00C16E58">
            <w:pPr>
              <w:pStyle w:val="Table"/>
              <w:keepLines w:val="0"/>
              <w:widowControl w:val="0"/>
              <w:spacing w:before="0" w:after="0"/>
              <w:rPr>
                <w:rFonts w:ascii="Times New Roman" w:hAnsi="Times New Roman"/>
                <w:color w:val="000000"/>
                <w:sz w:val="22"/>
                <w:szCs w:val="22"/>
              </w:rPr>
            </w:pPr>
            <w:r w:rsidRPr="002D741C">
              <w:rPr>
                <w:rFonts w:ascii="Times New Roman" w:hAnsi="Times New Roman"/>
                <w:color w:val="000000"/>
                <w:sz w:val="22"/>
                <w:szCs w:val="22"/>
              </w:rPr>
              <w:tab/>
            </w:r>
            <w:r w:rsidR="008D312E" w:rsidRPr="002D741C">
              <w:rPr>
                <w:rFonts w:ascii="Times New Roman" w:hAnsi="Times New Roman"/>
                <w:color w:val="000000"/>
                <w:sz w:val="22"/>
                <w:szCs w:val="22"/>
              </w:rPr>
              <w:t>RC parcial</w:t>
            </w:r>
            <w:r w:rsidRPr="002D741C">
              <w:rPr>
                <w:rFonts w:ascii="Times New Roman" w:hAnsi="Times New Roman"/>
                <w:color w:val="000000"/>
                <w:sz w:val="22"/>
                <w:szCs w:val="22"/>
              </w:rPr>
              <w:t xml:space="preserve"> n (%)</w:t>
            </w:r>
          </w:p>
        </w:tc>
        <w:tc>
          <w:tcPr>
            <w:tcW w:w="2693" w:type="dxa"/>
          </w:tcPr>
          <w:p w14:paraId="50BF7E1D" w14:textId="77777777" w:rsidR="00504057" w:rsidRPr="002D741C" w:rsidRDefault="00C34D52" w:rsidP="00C16E58">
            <w:pPr>
              <w:pStyle w:val="Table"/>
              <w:keepLines w:val="0"/>
              <w:widowControl w:val="0"/>
              <w:spacing w:before="0" w:after="0"/>
              <w:jc w:val="center"/>
              <w:rPr>
                <w:rFonts w:ascii="Times New Roman" w:hAnsi="Times New Roman"/>
                <w:color w:val="000000"/>
                <w:sz w:val="22"/>
                <w:szCs w:val="22"/>
              </w:rPr>
            </w:pPr>
            <w:r w:rsidRPr="002D741C">
              <w:rPr>
                <w:rFonts w:ascii="Times New Roman" w:hAnsi="Times New Roman"/>
                <w:color w:val="000000"/>
                <w:sz w:val="22"/>
                <w:szCs w:val="22"/>
                <w:lang w:val="en-GB"/>
              </w:rPr>
              <w:t>34 (6,1%)</w:t>
            </w:r>
          </w:p>
        </w:tc>
        <w:tc>
          <w:tcPr>
            <w:tcW w:w="2718" w:type="dxa"/>
            <w:tcBorders>
              <w:right w:val="single" w:sz="4" w:space="0" w:color="auto"/>
            </w:tcBorders>
          </w:tcPr>
          <w:p w14:paraId="5D56045C" w14:textId="77777777" w:rsidR="00504057" w:rsidRPr="002D741C" w:rsidRDefault="008D312E" w:rsidP="00C16E58">
            <w:pPr>
              <w:pStyle w:val="Table"/>
              <w:keepLines w:val="0"/>
              <w:widowControl w:val="0"/>
              <w:spacing w:before="0" w:after="0"/>
              <w:jc w:val="center"/>
              <w:rPr>
                <w:rFonts w:ascii="Times New Roman" w:hAnsi="Times New Roman"/>
                <w:color w:val="000000"/>
                <w:sz w:val="22"/>
                <w:szCs w:val="22"/>
              </w:rPr>
            </w:pPr>
            <w:r w:rsidRPr="002D741C">
              <w:rPr>
                <w:rFonts w:ascii="Times New Roman" w:hAnsi="Times New Roman"/>
                <w:color w:val="000000"/>
                <w:sz w:val="22"/>
                <w:szCs w:val="22"/>
                <w:lang w:val="en-GB"/>
              </w:rPr>
              <w:t>65 (11,</w:t>
            </w:r>
            <w:r w:rsidR="00504057" w:rsidRPr="002D741C">
              <w:rPr>
                <w:rFonts w:ascii="Times New Roman" w:hAnsi="Times New Roman"/>
                <w:color w:val="000000"/>
                <w:sz w:val="22"/>
                <w:szCs w:val="22"/>
                <w:lang w:val="en-GB"/>
              </w:rPr>
              <w:t>8%)</w:t>
            </w:r>
          </w:p>
        </w:tc>
      </w:tr>
      <w:tr w:rsidR="00504057" w:rsidRPr="002D741C" w14:paraId="598336E9" w14:textId="77777777" w:rsidTr="00C16E58">
        <w:trPr>
          <w:cantSplit/>
        </w:trPr>
        <w:tc>
          <w:tcPr>
            <w:tcW w:w="3794" w:type="dxa"/>
            <w:tcBorders>
              <w:left w:val="single" w:sz="4" w:space="0" w:color="auto"/>
              <w:bottom w:val="nil"/>
            </w:tcBorders>
          </w:tcPr>
          <w:p w14:paraId="32559EC2" w14:textId="77777777" w:rsidR="00504057" w:rsidRPr="002D741C" w:rsidRDefault="00504057" w:rsidP="00C16E58">
            <w:pPr>
              <w:pStyle w:val="Table"/>
              <w:keepLines w:val="0"/>
              <w:widowControl w:val="0"/>
              <w:spacing w:before="0" w:after="0"/>
              <w:rPr>
                <w:rFonts w:ascii="Times New Roman" w:hAnsi="Times New Roman"/>
                <w:color w:val="000000"/>
                <w:sz w:val="22"/>
                <w:szCs w:val="22"/>
              </w:rPr>
            </w:pPr>
          </w:p>
        </w:tc>
        <w:tc>
          <w:tcPr>
            <w:tcW w:w="2693" w:type="dxa"/>
            <w:tcBorders>
              <w:bottom w:val="nil"/>
            </w:tcBorders>
          </w:tcPr>
          <w:p w14:paraId="19B835EC" w14:textId="77777777" w:rsidR="00504057" w:rsidRPr="002D741C" w:rsidRDefault="00504057" w:rsidP="00C16E58">
            <w:pPr>
              <w:pStyle w:val="Table"/>
              <w:keepLines w:val="0"/>
              <w:widowControl w:val="0"/>
              <w:spacing w:before="0" w:after="0"/>
              <w:rPr>
                <w:rFonts w:ascii="Times New Roman" w:hAnsi="Times New Roman"/>
                <w:color w:val="000000"/>
                <w:sz w:val="22"/>
                <w:szCs w:val="22"/>
              </w:rPr>
            </w:pPr>
          </w:p>
        </w:tc>
        <w:tc>
          <w:tcPr>
            <w:tcW w:w="2718" w:type="dxa"/>
            <w:tcBorders>
              <w:bottom w:val="nil"/>
              <w:right w:val="single" w:sz="4" w:space="0" w:color="auto"/>
            </w:tcBorders>
          </w:tcPr>
          <w:p w14:paraId="4AF9501D" w14:textId="77777777" w:rsidR="00504057" w:rsidRPr="002D741C" w:rsidRDefault="00504057" w:rsidP="00C16E58">
            <w:pPr>
              <w:pStyle w:val="Table"/>
              <w:keepLines w:val="0"/>
              <w:widowControl w:val="0"/>
              <w:spacing w:before="0" w:after="0"/>
              <w:rPr>
                <w:rFonts w:ascii="Times New Roman" w:hAnsi="Times New Roman"/>
                <w:color w:val="000000"/>
                <w:sz w:val="22"/>
                <w:szCs w:val="22"/>
              </w:rPr>
            </w:pPr>
          </w:p>
        </w:tc>
      </w:tr>
      <w:tr w:rsidR="00504057" w:rsidRPr="002D741C" w14:paraId="0A11679F" w14:textId="77777777" w:rsidTr="00C16E58">
        <w:trPr>
          <w:cantSplit/>
        </w:trPr>
        <w:tc>
          <w:tcPr>
            <w:tcW w:w="3794" w:type="dxa"/>
            <w:tcBorders>
              <w:left w:val="single" w:sz="4" w:space="0" w:color="auto"/>
              <w:bottom w:val="nil"/>
            </w:tcBorders>
          </w:tcPr>
          <w:p w14:paraId="19DE6256" w14:textId="77777777" w:rsidR="00504057" w:rsidRPr="002D741C" w:rsidRDefault="008D312E" w:rsidP="00C16E58">
            <w:pPr>
              <w:pStyle w:val="Table"/>
              <w:keepLines w:val="0"/>
              <w:widowControl w:val="0"/>
              <w:spacing w:before="0" w:after="0"/>
              <w:rPr>
                <w:rFonts w:ascii="Times New Roman" w:hAnsi="Times New Roman"/>
                <w:color w:val="000000"/>
                <w:sz w:val="22"/>
                <w:szCs w:val="22"/>
              </w:rPr>
            </w:pPr>
            <w:r w:rsidRPr="002D741C">
              <w:rPr>
                <w:rFonts w:ascii="Times New Roman" w:hAnsi="Times New Roman"/>
                <w:b/>
                <w:color w:val="000000"/>
                <w:sz w:val="22"/>
                <w:szCs w:val="22"/>
              </w:rPr>
              <w:t>Respuesta molecular</w:t>
            </w:r>
            <w:r w:rsidR="007B3F15" w:rsidRPr="002D741C">
              <w:rPr>
                <w:rFonts w:ascii="Times New Roman" w:hAnsi="Times New Roman"/>
                <w:color w:val="000000"/>
                <w:sz w:val="22"/>
                <w:szCs w:val="22"/>
              </w:rPr>
              <w:t>**</w:t>
            </w:r>
          </w:p>
        </w:tc>
        <w:tc>
          <w:tcPr>
            <w:tcW w:w="2693" w:type="dxa"/>
            <w:tcBorders>
              <w:bottom w:val="nil"/>
            </w:tcBorders>
          </w:tcPr>
          <w:p w14:paraId="036F40FB" w14:textId="77777777" w:rsidR="00504057" w:rsidRPr="002D741C" w:rsidRDefault="00504057" w:rsidP="00C16E58">
            <w:pPr>
              <w:pStyle w:val="Table"/>
              <w:keepLines w:val="0"/>
              <w:widowControl w:val="0"/>
              <w:spacing w:before="0" w:after="0"/>
              <w:rPr>
                <w:rFonts w:ascii="Times New Roman" w:hAnsi="Times New Roman"/>
                <w:color w:val="000000"/>
                <w:sz w:val="22"/>
                <w:szCs w:val="22"/>
              </w:rPr>
            </w:pPr>
          </w:p>
        </w:tc>
        <w:tc>
          <w:tcPr>
            <w:tcW w:w="2718" w:type="dxa"/>
            <w:tcBorders>
              <w:bottom w:val="nil"/>
              <w:right w:val="single" w:sz="4" w:space="0" w:color="auto"/>
            </w:tcBorders>
          </w:tcPr>
          <w:p w14:paraId="5E1C9873" w14:textId="77777777" w:rsidR="00504057" w:rsidRPr="002D741C" w:rsidRDefault="00504057" w:rsidP="00C16E58">
            <w:pPr>
              <w:pStyle w:val="Table"/>
              <w:keepLines w:val="0"/>
              <w:widowControl w:val="0"/>
              <w:spacing w:before="0" w:after="0"/>
              <w:rPr>
                <w:rFonts w:ascii="Times New Roman" w:hAnsi="Times New Roman"/>
                <w:color w:val="000000"/>
                <w:sz w:val="22"/>
                <w:szCs w:val="22"/>
              </w:rPr>
            </w:pPr>
          </w:p>
        </w:tc>
      </w:tr>
      <w:tr w:rsidR="00504057" w:rsidRPr="002D741C" w14:paraId="1D732BCF" w14:textId="77777777" w:rsidTr="00C16E58">
        <w:trPr>
          <w:cantSplit/>
        </w:trPr>
        <w:tc>
          <w:tcPr>
            <w:tcW w:w="3794" w:type="dxa"/>
            <w:tcBorders>
              <w:left w:val="single" w:sz="4" w:space="0" w:color="auto"/>
              <w:bottom w:val="nil"/>
            </w:tcBorders>
          </w:tcPr>
          <w:p w14:paraId="58C0EB31" w14:textId="77777777" w:rsidR="00504057" w:rsidRPr="002D741C" w:rsidRDefault="008D312E" w:rsidP="00C16E58">
            <w:pPr>
              <w:pStyle w:val="Table"/>
              <w:keepLines w:val="0"/>
              <w:widowControl w:val="0"/>
              <w:spacing w:before="0" w:after="0"/>
              <w:rPr>
                <w:rFonts w:ascii="Times New Roman" w:hAnsi="Times New Roman"/>
                <w:color w:val="000000"/>
                <w:sz w:val="22"/>
                <w:szCs w:val="22"/>
              </w:rPr>
            </w:pPr>
            <w:r w:rsidRPr="002D741C">
              <w:rPr>
                <w:rFonts w:ascii="Times New Roman" w:hAnsi="Times New Roman"/>
                <w:color w:val="000000"/>
                <w:sz w:val="22"/>
                <w:szCs w:val="22"/>
                <w:lang w:val="en-GB"/>
              </w:rPr>
              <w:t>Respuesta mayor a 12 meses</w:t>
            </w:r>
            <w:r w:rsidR="00504057" w:rsidRPr="002D741C">
              <w:rPr>
                <w:rFonts w:ascii="Times New Roman" w:hAnsi="Times New Roman"/>
                <w:color w:val="000000"/>
                <w:sz w:val="22"/>
                <w:szCs w:val="22"/>
                <w:lang w:val="en-GB"/>
              </w:rPr>
              <w:t xml:space="preserve"> (%)</w:t>
            </w:r>
            <w:r w:rsidRPr="002D741C">
              <w:rPr>
                <w:rFonts w:ascii="Times New Roman" w:hAnsi="Times New Roman"/>
                <w:color w:val="000000"/>
                <w:sz w:val="22"/>
                <w:szCs w:val="22"/>
                <w:lang w:val="en-GB"/>
              </w:rPr>
              <w:t xml:space="preserve"> </w:t>
            </w:r>
          </w:p>
        </w:tc>
        <w:tc>
          <w:tcPr>
            <w:tcW w:w="2693" w:type="dxa"/>
            <w:tcBorders>
              <w:bottom w:val="nil"/>
            </w:tcBorders>
          </w:tcPr>
          <w:p w14:paraId="7C0BABFC" w14:textId="77777777" w:rsidR="00504057" w:rsidRPr="002D741C" w:rsidRDefault="00C34D52" w:rsidP="00C16E58">
            <w:pPr>
              <w:pStyle w:val="Table"/>
              <w:keepLines w:val="0"/>
              <w:widowControl w:val="0"/>
              <w:spacing w:before="0" w:after="0"/>
              <w:jc w:val="center"/>
              <w:rPr>
                <w:rFonts w:ascii="Times New Roman" w:hAnsi="Times New Roman"/>
                <w:color w:val="000000"/>
                <w:sz w:val="22"/>
                <w:szCs w:val="22"/>
              </w:rPr>
            </w:pPr>
            <w:r w:rsidRPr="002D741C">
              <w:rPr>
                <w:rFonts w:ascii="Times New Roman" w:hAnsi="Times New Roman"/>
                <w:sz w:val="22"/>
                <w:szCs w:val="22"/>
                <w:lang w:val="en-GB"/>
              </w:rPr>
              <w:t>153/305=50,2%</w:t>
            </w:r>
          </w:p>
        </w:tc>
        <w:tc>
          <w:tcPr>
            <w:tcW w:w="2718" w:type="dxa"/>
            <w:tcBorders>
              <w:bottom w:val="nil"/>
              <w:right w:val="single" w:sz="4" w:space="0" w:color="auto"/>
            </w:tcBorders>
          </w:tcPr>
          <w:p w14:paraId="66D1E60B" w14:textId="77777777" w:rsidR="00504057" w:rsidRPr="002D741C" w:rsidRDefault="00C34D52" w:rsidP="00C16E58">
            <w:pPr>
              <w:pStyle w:val="Table"/>
              <w:keepLines w:val="0"/>
              <w:widowControl w:val="0"/>
              <w:spacing w:before="0" w:after="0"/>
              <w:jc w:val="center"/>
              <w:rPr>
                <w:rFonts w:ascii="Times New Roman" w:hAnsi="Times New Roman"/>
                <w:color w:val="000000"/>
                <w:sz w:val="22"/>
                <w:szCs w:val="22"/>
              </w:rPr>
            </w:pPr>
            <w:r w:rsidRPr="002D741C">
              <w:rPr>
                <w:rFonts w:ascii="Times New Roman" w:hAnsi="Times New Roman"/>
                <w:color w:val="000000"/>
                <w:sz w:val="22"/>
                <w:szCs w:val="22"/>
                <w:lang w:val="en-GB"/>
              </w:rPr>
              <w:t>8/83=9,6%</w:t>
            </w:r>
          </w:p>
        </w:tc>
      </w:tr>
      <w:tr w:rsidR="00504057" w:rsidRPr="002D741C" w14:paraId="06E43803" w14:textId="77777777" w:rsidTr="00C16E58">
        <w:trPr>
          <w:cantSplit/>
        </w:trPr>
        <w:tc>
          <w:tcPr>
            <w:tcW w:w="3794" w:type="dxa"/>
            <w:tcBorders>
              <w:left w:val="single" w:sz="4" w:space="0" w:color="auto"/>
              <w:bottom w:val="nil"/>
            </w:tcBorders>
          </w:tcPr>
          <w:p w14:paraId="666468AF" w14:textId="77777777" w:rsidR="00504057" w:rsidRPr="002D741C" w:rsidRDefault="008D312E" w:rsidP="00C16E58">
            <w:pPr>
              <w:pStyle w:val="Table"/>
              <w:keepLines w:val="0"/>
              <w:widowControl w:val="0"/>
              <w:spacing w:before="0" w:after="0"/>
              <w:rPr>
                <w:rFonts w:ascii="Times New Roman" w:hAnsi="Times New Roman"/>
                <w:color w:val="000000"/>
                <w:sz w:val="22"/>
                <w:szCs w:val="22"/>
              </w:rPr>
            </w:pPr>
            <w:r w:rsidRPr="002D741C">
              <w:rPr>
                <w:rFonts w:ascii="Times New Roman" w:hAnsi="Times New Roman"/>
                <w:color w:val="000000"/>
                <w:sz w:val="22"/>
                <w:szCs w:val="22"/>
                <w:lang w:val="en-GB"/>
              </w:rPr>
              <w:t xml:space="preserve">Respuesta mayor a </w:t>
            </w:r>
            <w:r w:rsidR="00504057" w:rsidRPr="002D741C">
              <w:rPr>
                <w:rFonts w:ascii="Times New Roman" w:hAnsi="Times New Roman"/>
                <w:color w:val="000000"/>
                <w:sz w:val="22"/>
                <w:szCs w:val="22"/>
                <w:lang w:val="en-GB"/>
              </w:rPr>
              <w:t>24 </w:t>
            </w:r>
            <w:r w:rsidRPr="002D741C">
              <w:rPr>
                <w:rFonts w:ascii="Times New Roman" w:hAnsi="Times New Roman"/>
                <w:color w:val="000000"/>
                <w:sz w:val="22"/>
                <w:szCs w:val="22"/>
                <w:lang w:val="en-GB"/>
              </w:rPr>
              <w:t xml:space="preserve">meses </w:t>
            </w:r>
            <w:r w:rsidR="00504057" w:rsidRPr="002D741C">
              <w:rPr>
                <w:rFonts w:ascii="Times New Roman" w:hAnsi="Times New Roman"/>
                <w:color w:val="000000"/>
                <w:sz w:val="22"/>
                <w:szCs w:val="22"/>
                <w:lang w:val="en-GB"/>
              </w:rPr>
              <w:t>(%)</w:t>
            </w:r>
          </w:p>
        </w:tc>
        <w:tc>
          <w:tcPr>
            <w:tcW w:w="2693" w:type="dxa"/>
            <w:tcBorders>
              <w:bottom w:val="nil"/>
            </w:tcBorders>
          </w:tcPr>
          <w:p w14:paraId="3510DC2A" w14:textId="77777777" w:rsidR="00504057" w:rsidRPr="002D741C" w:rsidRDefault="00C34D52" w:rsidP="00C16E58">
            <w:pPr>
              <w:pStyle w:val="Table"/>
              <w:keepLines w:val="0"/>
              <w:widowControl w:val="0"/>
              <w:spacing w:before="0" w:after="0"/>
              <w:jc w:val="center"/>
              <w:rPr>
                <w:rFonts w:ascii="Times New Roman" w:hAnsi="Times New Roman"/>
                <w:color w:val="000000"/>
                <w:sz w:val="22"/>
                <w:szCs w:val="22"/>
              </w:rPr>
            </w:pPr>
            <w:r w:rsidRPr="002D741C">
              <w:rPr>
                <w:rFonts w:ascii="Times New Roman" w:hAnsi="Times New Roman"/>
                <w:sz w:val="22"/>
                <w:szCs w:val="22"/>
                <w:lang w:val="en-GB"/>
              </w:rPr>
              <w:t>73/104=70,2%</w:t>
            </w:r>
          </w:p>
        </w:tc>
        <w:tc>
          <w:tcPr>
            <w:tcW w:w="2718" w:type="dxa"/>
            <w:tcBorders>
              <w:bottom w:val="nil"/>
              <w:right w:val="single" w:sz="4" w:space="0" w:color="auto"/>
            </w:tcBorders>
          </w:tcPr>
          <w:p w14:paraId="62DB01E2" w14:textId="77777777" w:rsidR="00504057" w:rsidRPr="002D741C" w:rsidRDefault="00C34D52" w:rsidP="00C16E58">
            <w:pPr>
              <w:pStyle w:val="Table"/>
              <w:keepLines w:val="0"/>
              <w:widowControl w:val="0"/>
              <w:spacing w:before="0" w:after="0"/>
              <w:jc w:val="center"/>
              <w:rPr>
                <w:rFonts w:ascii="Times New Roman" w:hAnsi="Times New Roman"/>
                <w:color w:val="000000"/>
                <w:sz w:val="22"/>
                <w:szCs w:val="22"/>
              </w:rPr>
            </w:pPr>
            <w:r w:rsidRPr="002D741C">
              <w:rPr>
                <w:rFonts w:ascii="Times New Roman" w:hAnsi="Times New Roman"/>
                <w:sz w:val="22"/>
                <w:szCs w:val="22"/>
                <w:lang w:val="en-GB"/>
              </w:rPr>
              <w:t>3/12=25%</w:t>
            </w:r>
          </w:p>
        </w:tc>
      </w:tr>
      <w:tr w:rsidR="00C34D52" w:rsidRPr="002D741C" w14:paraId="51A2F703" w14:textId="77777777" w:rsidTr="00C16E58">
        <w:trPr>
          <w:cantSplit/>
        </w:trPr>
        <w:tc>
          <w:tcPr>
            <w:tcW w:w="3794" w:type="dxa"/>
            <w:tcBorders>
              <w:top w:val="nil"/>
              <w:left w:val="single" w:sz="4" w:space="0" w:color="auto"/>
              <w:bottom w:val="single" w:sz="4" w:space="0" w:color="auto"/>
              <w:right w:val="single" w:sz="4" w:space="0" w:color="auto"/>
            </w:tcBorders>
          </w:tcPr>
          <w:p w14:paraId="7C4576B2" w14:textId="77777777" w:rsidR="00C34D52" w:rsidRPr="002D741C" w:rsidRDefault="00C34D52" w:rsidP="00C16E58">
            <w:pPr>
              <w:pStyle w:val="Table"/>
              <w:keepLines w:val="0"/>
              <w:widowControl w:val="0"/>
              <w:spacing w:before="0" w:after="0"/>
              <w:rPr>
                <w:rFonts w:ascii="Times New Roman" w:hAnsi="Times New Roman"/>
                <w:color w:val="000000"/>
                <w:sz w:val="22"/>
                <w:szCs w:val="22"/>
                <w:lang w:val="es-ES"/>
              </w:rPr>
            </w:pPr>
            <w:r w:rsidRPr="002D741C">
              <w:rPr>
                <w:rFonts w:ascii="Times New Roman" w:hAnsi="Times New Roman"/>
                <w:color w:val="000000"/>
                <w:sz w:val="22"/>
                <w:szCs w:val="22"/>
                <w:lang w:val="es-ES"/>
              </w:rPr>
              <w:t>Respuesta mayor a 84 meses (%)</w:t>
            </w:r>
          </w:p>
        </w:tc>
        <w:tc>
          <w:tcPr>
            <w:tcW w:w="2693" w:type="dxa"/>
            <w:tcBorders>
              <w:top w:val="nil"/>
              <w:left w:val="single" w:sz="4" w:space="0" w:color="auto"/>
              <w:bottom w:val="single" w:sz="4" w:space="0" w:color="auto"/>
              <w:right w:val="single" w:sz="4" w:space="0" w:color="auto"/>
            </w:tcBorders>
          </w:tcPr>
          <w:p w14:paraId="0FE77FEE" w14:textId="77777777" w:rsidR="00C34D52" w:rsidRPr="002D741C" w:rsidRDefault="00C34D52" w:rsidP="00C16E58">
            <w:pPr>
              <w:pStyle w:val="Table"/>
              <w:keepLines w:val="0"/>
              <w:widowControl w:val="0"/>
              <w:spacing w:before="0" w:after="0"/>
              <w:jc w:val="center"/>
              <w:rPr>
                <w:rFonts w:ascii="Times New Roman" w:hAnsi="Times New Roman"/>
                <w:color w:val="000000"/>
                <w:sz w:val="22"/>
                <w:szCs w:val="22"/>
                <w:lang w:val="es-ES"/>
              </w:rPr>
            </w:pPr>
            <w:r w:rsidRPr="002D741C">
              <w:rPr>
                <w:rFonts w:ascii="Times New Roman" w:hAnsi="Times New Roman"/>
                <w:sz w:val="22"/>
                <w:szCs w:val="22"/>
                <w:lang w:val="en-GB"/>
              </w:rPr>
              <w:t>102/116=87,9%</w:t>
            </w:r>
          </w:p>
        </w:tc>
        <w:tc>
          <w:tcPr>
            <w:tcW w:w="2718" w:type="dxa"/>
            <w:tcBorders>
              <w:top w:val="nil"/>
              <w:left w:val="single" w:sz="4" w:space="0" w:color="auto"/>
              <w:bottom w:val="single" w:sz="4" w:space="0" w:color="auto"/>
              <w:right w:val="single" w:sz="4" w:space="0" w:color="auto"/>
            </w:tcBorders>
          </w:tcPr>
          <w:p w14:paraId="3F238B47" w14:textId="77777777" w:rsidR="00C34D52" w:rsidRPr="002D741C" w:rsidRDefault="00C34D52" w:rsidP="00C16E58">
            <w:pPr>
              <w:pStyle w:val="Table"/>
              <w:keepLines w:val="0"/>
              <w:widowControl w:val="0"/>
              <w:spacing w:before="0" w:after="0"/>
              <w:jc w:val="center"/>
              <w:rPr>
                <w:rFonts w:ascii="Times New Roman" w:hAnsi="Times New Roman"/>
                <w:color w:val="000000"/>
                <w:sz w:val="22"/>
                <w:szCs w:val="22"/>
                <w:lang w:val="es-ES"/>
              </w:rPr>
            </w:pPr>
            <w:r w:rsidRPr="002D741C">
              <w:rPr>
                <w:rFonts w:ascii="Times New Roman" w:hAnsi="Times New Roman"/>
                <w:sz w:val="22"/>
                <w:szCs w:val="22"/>
                <w:lang w:val="en-GB"/>
              </w:rPr>
              <w:t>3/4=75%</w:t>
            </w:r>
          </w:p>
        </w:tc>
      </w:tr>
      <w:tr w:rsidR="00504057" w:rsidRPr="002D741C" w14:paraId="2AF1CA13" w14:textId="77777777" w:rsidTr="00C16E58">
        <w:trPr>
          <w:cantSplit/>
        </w:trPr>
        <w:tc>
          <w:tcPr>
            <w:tcW w:w="9205" w:type="dxa"/>
            <w:gridSpan w:val="3"/>
            <w:tcBorders>
              <w:top w:val="single" w:sz="4" w:space="0" w:color="auto"/>
              <w:left w:val="single" w:sz="4" w:space="0" w:color="auto"/>
              <w:bottom w:val="single" w:sz="4" w:space="0" w:color="auto"/>
              <w:right w:val="single" w:sz="4" w:space="0" w:color="auto"/>
            </w:tcBorders>
          </w:tcPr>
          <w:p w14:paraId="73EB0E38" w14:textId="77777777" w:rsidR="008D312E" w:rsidRPr="002D741C" w:rsidRDefault="008D312E" w:rsidP="008D312E">
            <w:pPr>
              <w:pStyle w:val="Table"/>
              <w:keepNext w:val="0"/>
              <w:keepLines w:val="0"/>
              <w:widowControl w:val="0"/>
              <w:spacing w:before="0" w:after="0"/>
              <w:rPr>
                <w:rFonts w:ascii="Times New Roman" w:hAnsi="Times New Roman"/>
                <w:color w:val="000000"/>
                <w:sz w:val="22"/>
                <w:szCs w:val="22"/>
                <w:lang w:val="es-ES"/>
              </w:rPr>
            </w:pPr>
            <w:r w:rsidRPr="002D741C">
              <w:rPr>
                <w:rFonts w:ascii="Times New Roman" w:hAnsi="Times New Roman"/>
                <w:color w:val="000000"/>
                <w:sz w:val="22"/>
                <w:szCs w:val="22"/>
                <w:lang w:val="es-ES"/>
              </w:rPr>
              <w:t>* p&lt;0,001, Test exacto de Fischer</w:t>
            </w:r>
          </w:p>
          <w:p w14:paraId="1B8D7C46" w14:textId="77777777" w:rsidR="008D312E" w:rsidRPr="002D741C" w:rsidRDefault="008D312E" w:rsidP="00C34D52">
            <w:pPr>
              <w:pStyle w:val="Table"/>
              <w:keepNext w:val="0"/>
              <w:keepLines w:val="0"/>
              <w:widowControl w:val="0"/>
              <w:spacing w:before="0" w:after="0"/>
              <w:rPr>
                <w:rFonts w:ascii="Times New Roman" w:hAnsi="Times New Roman"/>
                <w:color w:val="000000"/>
                <w:sz w:val="22"/>
                <w:szCs w:val="22"/>
                <w:lang w:val="es-ES"/>
              </w:rPr>
            </w:pPr>
            <w:r w:rsidRPr="002D741C">
              <w:rPr>
                <w:rFonts w:ascii="Times New Roman" w:hAnsi="Times New Roman"/>
                <w:color w:val="000000"/>
                <w:sz w:val="22"/>
                <w:szCs w:val="22"/>
                <w:lang w:val="es-ES"/>
              </w:rPr>
              <w:t xml:space="preserve">** </w:t>
            </w:r>
            <w:r w:rsidR="00C34D52" w:rsidRPr="002D741C">
              <w:rPr>
                <w:rFonts w:ascii="Times New Roman" w:hAnsi="Times New Roman"/>
                <w:color w:val="000000"/>
                <w:sz w:val="22"/>
                <w:szCs w:val="22"/>
                <w:lang w:val="es-ES"/>
              </w:rPr>
              <w:t>los porcentajes de respuesta molecular se basan en las muestras disponibles</w:t>
            </w:r>
          </w:p>
          <w:p w14:paraId="1DE53BB5" w14:textId="77777777" w:rsidR="008D312E" w:rsidRPr="002D741C" w:rsidRDefault="008D312E" w:rsidP="008D312E">
            <w:pPr>
              <w:pStyle w:val="Table"/>
              <w:keepNext w:val="0"/>
              <w:keepLines w:val="0"/>
              <w:widowControl w:val="0"/>
              <w:spacing w:before="0" w:after="0"/>
              <w:rPr>
                <w:rFonts w:ascii="Times New Roman" w:hAnsi="Times New Roman"/>
                <w:b/>
                <w:color w:val="000000"/>
                <w:sz w:val="22"/>
                <w:szCs w:val="22"/>
                <w:lang w:val="es-ES"/>
              </w:rPr>
            </w:pPr>
            <w:r w:rsidRPr="002D741C">
              <w:rPr>
                <w:rFonts w:ascii="Times New Roman" w:hAnsi="Times New Roman"/>
                <w:b/>
                <w:color w:val="000000"/>
                <w:sz w:val="22"/>
                <w:szCs w:val="22"/>
                <w:lang w:val="es-ES"/>
              </w:rPr>
              <w:t xml:space="preserve">Criterios de respuesta hematológica (todas las respuestas deben confirmarse tras </w:t>
            </w:r>
            <w:r w:rsidRPr="002D741C">
              <w:rPr>
                <w:rFonts w:ascii="Times New Roman" w:hAnsi="Times New Roman"/>
                <w:b/>
                <w:color w:val="000000"/>
                <w:sz w:val="22"/>
                <w:szCs w:val="22"/>
                <w:lang w:val="es-ES"/>
              </w:rPr>
              <w:sym w:font="Symbol" w:char="F0B3"/>
            </w:r>
            <w:r w:rsidRPr="002D741C">
              <w:rPr>
                <w:rFonts w:ascii="Times New Roman" w:hAnsi="Times New Roman"/>
                <w:b/>
                <w:color w:val="000000"/>
                <w:sz w:val="22"/>
                <w:szCs w:val="22"/>
                <w:lang w:val="es-ES"/>
              </w:rPr>
              <w:t> 4 semanas):</w:t>
            </w:r>
          </w:p>
          <w:p w14:paraId="7E306405" w14:textId="77777777" w:rsidR="008D312E" w:rsidRPr="002D741C" w:rsidRDefault="008D312E" w:rsidP="008D312E">
            <w:pPr>
              <w:pStyle w:val="Table"/>
              <w:keepNext w:val="0"/>
              <w:keepLines w:val="0"/>
              <w:widowControl w:val="0"/>
              <w:spacing w:before="0" w:after="0"/>
              <w:rPr>
                <w:rFonts w:ascii="Times New Roman" w:hAnsi="Times New Roman"/>
                <w:color w:val="000000"/>
                <w:sz w:val="22"/>
                <w:szCs w:val="22"/>
                <w:lang w:val="es-ES"/>
              </w:rPr>
            </w:pPr>
            <w:r w:rsidRPr="002D741C">
              <w:rPr>
                <w:rFonts w:ascii="Times New Roman" w:hAnsi="Times New Roman"/>
                <w:color w:val="000000"/>
                <w:sz w:val="22"/>
                <w:szCs w:val="22"/>
                <w:lang w:val="es-ES"/>
              </w:rPr>
              <w:t>Leucocitos &lt; 10 x 10</w:t>
            </w:r>
            <w:r w:rsidRPr="002D741C">
              <w:rPr>
                <w:rFonts w:ascii="Times New Roman" w:hAnsi="Times New Roman"/>
                <w:color w:val="000000"/>
                <w:sz w:val="22"/>
                <w:szCs w:val="22"/>
                <w:vertAlign w:val="superscript"/>
                <w:lang w:val="es-ES"/>
              </w:rPr>
              <w:t>9</w:t>
            </w:r>
            <w:r w:rsidRPr="002D741C">
              <w:rPr>
                <w:rFonts w:ascii="Times New Roman" w:hAnsi="Times New Roman"/>
                <w:color w:val="000000"/>
                <w:sz w:val="22"/>
                <w:szCs w:val="22"/>
                <w:lang w:val="es-ES"/>
              </w:rPr>
              <w:t>/l, plaquetas &lt; 450 x 10</w:t>
            </w:r>
            <w:r w:rsidRPr="002D741C">
              <w:rPr>
                <w:rFonts w:ascii="Times New Roman" w:hAnsi="Times New Roman"/>
                <w:color w:val="000000"/>
                <w:sz w:val="22"/>
                <w:szCs w:val="22"/>
                <w:vertAlign w:val="superscript"/>
                <w:lang w:val="es-ES"/>
              </w:rPr>
              <w:t>9</w:t>
            </w:r>
            <w:r w:rsidRPr="002D741C">
              <w:rPr>
                <w:rFonts w:ascii="Times New Roman" w:hAnsi="Times New Roman"/>
                <w:color w:val="000000"/>
                <w:sz w:val="22"/>
                <w:szCs w:val="22"/>
                <w:lang w:val="es-ES"/>
              </w:rPr>
              <w:t>/l, mielocitos+metamielocitos &lt; 5% en sangre, sin blastos ni promielocitos en sangre, basófilos &lt; 20%, sin afectación extramedular</w:t>
            </w:r>
          </w:p>
          <w:p w14:paraId="217A08C8" w14:textId="77777777" w:rsidR="008D312E" w:rsidRPr="002D741C" w:rsidRDefault="008D312E" w:rsidP="008D312E">
            <w:pPr>
              <w:pStyle w:val="Table"/>
              <w:keepNext w:val="0"/>
              <w:keepLines w:val="0"/>
              <w:widowControl w:val="0"/>
              <w:spacing w:before="0" w:after="0"/>
              <w:rPr>
                <w:rFonts w:ascii="Times New Roman" w:hAnsi="Times New Roman"/>
                <w:color w:val="000000"/>
                <w:sz w:val="22"/>
                <w:szCs w:val="22"/>
                <w:lang w:val="es-ES"/>
              </w:rPr>
            </w:pPr>
            <w:r w:rsidRPr="002D741C">
              <w:rPr>
                <w:rFonts w:ascii="Times New Roman" w:hAnsi="Times New Roman"/>
                <w:b/>
                <w:color w:val="000000"/>
                <w:sz w:val="22"/>
                <w:szCs w:val="22"/>
                <w:lang w:val="es-ES"/>
              </w:rPr>
              <w:t xml:space="preserve">Criterios de respuesta citogenéticos: </w:t>
            </w:r>
            <w:r w:rsidRPr="002D741C">
              <w:rPr>
                <w:rFonts w:ascii="Times New Roman" w:hAnsi="Times New Roman"/>
                <w:color w:val="000000"/>
                <w:sz w:val="22"/>
                <w:szCs w:val="22"/>
                <w:lang w:val="es-ES"/>
              </w:rPr>
              <w:t>completo (0% Ph+ metafases), parcial (1–35%), menor (36–65%) o mínimo (66–95%). Una respuesta mayor (0–35%) combina respuestas parciales y completas.</w:t>
            </w:r>
          </w:p>
          <w:p w14:paraId="61AFA8F6" w14:textId="77777777" w:rsidR="00504057" w:rsidRPr="002D741C" w:rsidRDefault="008D312E" w:rsidP="008D312E">
            <w:pPr>
              <w:pStyle w:val="Table"/>
              <w:keepNext w:val="0"/>
              <w:keepLines w:val="0"/>
              <w:widowControl w:val="0"/>
              <w:spacing w:before="0" w:after="0"/>
              <w:rPr>
                <w:rFonts w:ascii="Times New Roman" w:hAnsi="Times New Roman"/>
                <w:color w:val="000000"/>
                <w:sz w:val="22"/>
                <w:szCs w:val="22"/>
                <w:lang w:val="es-ES_tradnl"/>
              </w:rPr>
            </w:pPr>
            <w:r w:rsidRPr="002D741C">
              <w:rPr>
                <w:rFonts w:ascii="Times New Roman" w:hAnsi="Times New Roman"/>
                <w:b/>
                <w:bCs/>
                <w:color w:val="000000"/>
                <w:sz w:val="22"/>
                <w:szCs w:val="22"/>
                <w:lang w:val="es-ES"/>
              </w:rPr>
              <w:t>Criterio de respuesta molecular mayor</w:t>
            </w:r>
            <w:r w:rsidRPr="002D741C">
              <w:rPr>
                <w:rFonts w:ascii="Times New Roman" w:hAnsi="Times New Roman"/>
                <w:color w:val="000000"/>
                <w:sz w:val="22"/>
                <w:szCs w:val="22"/>
                <w:lang w:val="es-ES"/>
              </w:rPr>
              <w:t xml:space="preserve">: en sangre periférica una reducción ≥ 3 logaritmos en la cantidad de tránscritos </w:t>
            </w:r>
            <w:smartTag w:uri="urn:schemas-microsoft-com:office:smarttags" w:element="stockticker">
              <w:r w:rsidRPr="002D741C">
                <w:rPr>
                  <w:rFonts w:ascii="Times New Roman" w:hAnsi="Times New Roman"/>
                  <w:color w:val="000000"/>
                  <w:sz w:val="22"/>
                  <w:szCs w:val="22"/>
                  <w:lang w:val="es-ES"/>
                </w:rPr>
                <w:t>BCR</w:t>
              </w:r>
            </w:smartTag>
            <w:r w:rsidRPr="002D741C">
              <w:rPr>
                <w:rFonts w:ascii="Times New Roman" w:hAnsi="Times New Roman"/>
                <w:color w:val="000000"/>
                <w:sz w:val="22"/>
                <w:szCs w:val="22"/>
                <w:lang w:val="es-ES"/>
              </w:rPr>
              <w:t>-</w:t>
            </w:r>
            <w:smartTag w:uri="urn:schemas-microsoft-com:office:smarttags" w:element="stockticker">
              <w:r w:rsidRPr="002D741C">
                <w:rPr>
                  <w:rFonts w:ascii="Times New Roman" w:hAnsi="Times New Roman"/>
                  <w:color w:val="000000"/>
                  <w:sz w:val="22"/>
                  <w:szCs w:val="22"/>
                  <w:lang w:val="es-ES"/>
                </w:rPr>
                <w:t>ABL</w:t>
              </w:r>
            </w:smartTag>
            <w:r w:rsidRPr="002D741C">
              <w:rPr>
                <w:rFonts w:ascii="Times New Roman" w:hAnsi="Times New Roman"/>
                <w:color w:val="000000"/>
                <w:sz w:val="22"/>
                <w:szCs w:val="22"/>
                <w:lang w:val="es-ES"/>
              </w:rPr>
              <w:t xml:space="preserve"> (medidos por </w:t>
            </w:r>
            <w:smartTag w:uri="urn:schemas-microsoft-com:office:smarttags" w:element="stockticker">
              <w:r w:rsidRPr="002D741C">
                <w:rPr>
                  <w:rFonts w:ascii="Times New Roman" w:hAnsi="Times New Roman"/>
                  <w:color w:val="000000"/>
                  <w:sz w:val="22"/>
                  <w:szCs w:val="22"/>
                  <w:lang w:val="es-ES"/>
                </w:rPr>
                <w:t>PCR</w:t>
              </w:r>
            </w:smartTag>
            <w:r w:rsidRPr="002D741C">
              <w:rPr>
                <w:rFonts w:ascii="Times New Roman" w:hAnsi="Times New Roman"/>
                <w:color w:val="000000"/>
                <w:sz w:val="22"/>
                <w:szCs w:val="22"/>
                <w:lang w:val="es-ES"/>
              </w:rPr>
              <w:t xml:space="preserve"> transcriptasa </w:t>
            </w:r>
            <w:r w:rsidR="00924CBF" w:rsidRPr="002D741C">
              <w:rPr>
                <w:rFonts w:ascii="Times New Roman" w:hAnsi="Times New Roman"/>
                <w:color w:val="000000"/>
                <w:sz w:val="22"/>
                <w:szCs w:val="22"/>
                <w:lang w:val="es-ES"/>
              </w:rPr>
              <w:t>in</w:t>
            </w:r>
            <w:r w:rsidRPr="002D741C">
              <w:rPr>
                <w:rFonts w:ascii="Times New Roman" w:hAnsi="Times New Roman"/>
                <w:color w:val="000000"/>
                <w:sz w:val="22"/>
                <w:szCs w:val="22"/>
                <w:lang w:val="es-ES"/>
              </w:rPr>
              <w:t>versa cuantitativa a tiempo real) respecto al basal estandarizado.</w:t>
            </w:r>
          </w:p>
        </w:tc>
      </w:tr>
    </w:tbl>
    <w:p w14:paraId="18E1F32D" w14:textId="77777777" w:rsidR="00AE5F0E" w:rsidRPr="002D741C" w:rsidRDefault="00AE5F0E" w:rsidP="00504057">
      <w:pPr>
        <w:pStyle w:val="EndnoteText"/>
        <w:widowControl w:val="0"/>
        <w:tabs>
          <w:tab w:val="clear" w:pos="567"/>
        </w:tabs>
        <w:rPr>
          <w:color w:val="000000"/>
          <w:szCs w:val="22"/>
          <w:lang w:val="es-ES_tradnl"/>
        </w:rPr>
      </w:pPr>
    </w:p>
    <w:p w14:paraId="2F3AC8A2" w14:textId="77777777" w:rsidR="00504057" w:rsidRPr="002D741C" w:rsidRDefault="008D312E" w:rsidP="00C34D52">
      <w:pPr>
        <w:pStyle w:val="EndnoteText"/>
        <w:widowControl w:val="0"/>
        <w:tabs>
          <w:tab w:val="clear" w:pos="567"/>
        </w:tabs>
        <w:rPr>
          <w:color w:val="000000"/>
          <w:szCs w:val="22"/>
          <w:lang w:val="es-ES_tradnl"/>
        </w:rPr>
      </w:pPr>
      <w:r w:rsidRPr="002D741C">
        <w:rPr>
          <w:color w:val="000000"/>
          <w:szCs w:val="22"/>
          <w:lang w:val="es-ES_tradnl"/>
        </w:rPr>
        <w:t xml:space="preserve">Se estimaron las tasas de respuesta hematológica, respuesta citogenética mayor y respuesta citogenética completa en el tratamiento de primera línea utilizando </w:t>
      </w:r>
      <w:r w:rsidR="00536177" w:rsidRPr="002D741C">
        <w:rPr>
          <w:color w:val="000000"/>
          <w:szCs w:val="22"/>
          <w:lang w:val="es-ES_tradnl"/>
        </w:rPr>
        <w:t>l</w:t>
      </w:r>
      <w:r w:rsidRPr="002D741C">
        <w:rPr>
          <w:color w:val="000000"/>
          <w:szCs w:val="22"/>
          <w:lang w:val="es-ES_tradnl"/>
        </w:rPr>
        <w:t xml:space="preserve">a aproximación de Kaplan-Meier, para lo cual se </w:t>
      </w:r>
      <w:r w:rsidR="0035665D" w:rsidRPr="002D741C">
        <w:rPr>
          <w:color w:val="000000"/>
          <w:szCs w:val="22"/>
          <w:lang w:val="es-ES_tradnl"/>
        </w:rPr>
        <w:t>censuraron</w:t>
      </w:r>
      <w:r w:rsidRPr="002D741C">
        <w:rPr>
          <w:color w:val="000000"/>
          <w:szCs w:val="22"/>
          <w:lang w:val="es-ES_tradnl"/>
        </w:rPr>
        <w:t xml:space="preserve"> las faltas de respuesta en la fecha del último examen. Utilizando esta aproximación, las tasas de respuesta acumulada estimadas para el tratamiento de primera línea con Glivec </w:t>
      </w:r>
      <w:r w:rsidR="0082098C" w:rsidRPr="002D741C">
        <w:rPr>
          <w:color w:val="000000"/>
          <w:szCs w:val="22"/>
          <w:lang w:val="es-ES_tradnl"/>
        </w:rPr>
        <w:t xml:space="preserve">mejoraron de 12 meses de tratamiento a </w:t>
      </w:r>
      <w:r w:rsidR="00C34D52" w:rsidRPr="002D741C">
        <w:rPr>
          <w:color w:val="000000"/>
          <w:szCs w:val="22"/>
          <w:lang w:val="es-ES_tradnl"/>
        </w:rPr>
        <w:t>84 </w:t>
      </w:r>
      <w:r w:rsidR="0082098C" w:rsidRPr="002D741C">
        <w:rPr>
          <w:color w:val="000000"/>
          <w:szCs w:val="22"/>
          <w:lang w:val="es-ES_tradnl"/>
        </w:rPr>
        <w:t xml:space="preserve">meses de tratamiento del siguiente modo: RHC de 96,4% a 98,4% y RCC de 69,5% a </w:t>
      </w:r>
      <w:r w:rsidR="00C34D52" w:rsidRPr="002D741C">
        <w:rPr>
          <w:color w:val="000000"/>
          <w:szCs w:val="22"/>
          <w:lang w:val="es-ES_tradnl"/>
        </w:rPr>
        <w:t>87,2</w:t>
      </w:r>
      <w:r w:rsidR="0082098C" w:rsidRPr="002D741C">
        <w:rPr>
          <w:color w:val="000000"/>
          <w:szCs w:val="22"/>
          <w:lang w:val="es-ES_tradnl"/>
        </w:rPr>
        <w:t>%, respectivamente</w:t>
      </w:r>
      <w:r w:rsidRPr="002D741C">
        <w:rPr>
          <w:color w:val="000000"/>
          <w:szCs w:val="22"/>
          <w:lang w:val="es-ES_tradnl"/>
        </w:rPr>
        <w:t>.</w:t>
      </w:r>
    </w:p>
    <w:p w14:paraId="7D2FCD08" w14:textId="77777777" w:rsidR="008D312E" w:rsidRPr="002D741C" w:rsidRDefault="008D312E" w:rsidP="00504057">
      <w:pPr>
        <w:pStyle w:val="EndnoteText"/>
        <w:widowControl w:val="0"/>
        <w:tabs>
          <w:tab w:val="clear" w:pos="567"/>
        </w:tabs>
        <w:rPr>
          <w:color w:val="000000"/>
          <w:szCs w:val="22"/>
          <w:lang w:val="es-ES_tradnl"/>
        </w:rPr>
      </w:pPr>
    </w:p>
    <w:p w14:paraId="2DD9B879" w14:textId="77777777" w:rsidR="00504057" w:rsidRPr="002D741C" w:rsidRDefault="005E363D" w:rsidP="00C34D52">
      <w:pPr>
        <w:pStyle w:val="EndnoteText"/>
        <w:widowControl w:val="0"/>
        <w:tabs>
          <w:tab w:val="clear" w:pos="567"/>
        </w:tabs>
        <w:rPr>
          <w:color w:val="000000"/>
          <w:szCs w:val="22"/>
          <w:lang w:val="es-ES_tradnl"/>
        </w:rPr>
      </w:pPr>
      <w:r w:rsidRPr="002D741C">
        <w:rPr>
          <w:color w:val="000000"/>
          <w:szCs w:val="22"/>
          <w:lang w:val="es-ES_tradnl"/>
        </w:rPr>
        <w:t xml:space="preserve">Tras </w:t>
      </w:r>
      <w:r w:rsidR="00C34D52" w:rsidRPr="002D741C">
        <w:rPr>
          <w:color w:val="000000"/>
          <w:szCs w:val="22"/>
          <w:lang w:val="es-ES_tradnl"/>
        </w:rPr>
        <w:t>7 </w:t>
      </w:r>
      <w:r w:rsidRPr="002D741C">
        <w:rPr>
          <w:color w:val="000000"/>
          <w:szCs w:val="22"/>
          <w:lang w:val="es-ES_tradnl"/>
        </w:rPr>
        <w:t xml:space="preserve">años de seguimiento, se observaron </w:t>
      </w:r>
      <w:r w:rsidR="00C34D52" w:rsidRPr="002D741C">
        <w:rPr>
          <w:color w:val="000000"/>
          <w:szCs w:val="22"/>
          <w:lang w:val="es-ES_tradnl"/>
        </w:rPr>
        <w:t>93 </w:t>
      </w:r>
      <w:r w:rsidRPr="002D741C">
        <w:rPr>
          <w:color w:val="000000"/>
          <w:szCs w:val="22"/>
          <w:lang w:val="es-ES_tradnl"/>
        </w:rPr>
        <w:t>(</w:t>
      </w:r>
      <w:r w:rsidR="00C34D52" w:rsidRPr="002D741C">
        <w:rPr>
          <w:color w:val="000000"/>
          <w:szCs w:val="22"/>
          <w:lang w:val="es-ES_tradnl"/>
        </w:rPr>
        <w:t>16,8</w:t>
      </w:r>
      <w:r w:rsidRPr="002D741C">
        <w:rPr>
          <w:color w:val="000000"/>
          <w:szCs w:val="22"/>
          <w:lang w:val="es-ES_tradnl"/>
        </w:rPr>
        <w:t xml:space="preserve">%) acontecimientos de progresión en el brazo de Glivec: </w:t>
      </w:r>
      <w:r w:rsidR="00017955" w:rsidRPr="002D741C">
        <w:rPr>
          <w:color w:val="000000"/>
          <w:szCs w:val="22"/>
          <w:lang w:val="es-ES_tradnl"/>
        </w:rPr>
        <w:t xml:space="preserve">en </w:t>
      </w:r>
      <w:r w:rsidR="00C34D52" w:rsidRPr="002D741C">
        <w:rPr>
          <w:color w:val="000000"/>
          <w:szCs w:val="22"/>
          <w:lang w:val="es-ES_tradnl"/>
        </w:rPr>
        <w:t>37 </w:t>
      </w:r>
      <w:r w:rsidRPr="002D741C">
        <w:rPr>
          <w:color w:val="000000"/>
          <w:szCs w:val="22"/>
          <w:lang w:val="es-ES_tradnl"/>
        </w:rPr>
        <w:t>(</w:t>
      </w:r>
      <w:r w:rsidR="00C34D52" w:rsidRPr="002D741C">
        <w:rPr>
          <w:color w:val="000000"/>
          <w:szCs w:val="22"/>
          <w:lang w:val="es-ES_tradnl"/>
        </w:rPr>
        <w:t>6,7</w:t>
      </w:r>
      <w:r w:rsidRPr="002D741C">
        <w:rPr>
          <w:color w:val="000000"/>
          <w:szCs w:val="22"/>
          <w:lang w:val="es-ES_tradnl"/>
        </w:rPr>
        <w:t xml:space="preserve">%) supuso una progresión a fase acelerada/crisis blástica, </w:t>
      </w:r>
      <w:r w:rsidR="00017955" w:rsidRPr="002D741C">
        <w:rPr>
          <w:color w:val="000000"/>
          <w:szCs w:val="22"/>
          <w:lang w:val="es-ES_tradnl"/>
        </w:rPr>
        <w:t xml:space="preserve">en </w:t>
      </w:r>
      <w:r w:rsidR="00C34D52" w:rsidRPr="002D741C">
        <w:rPr>
          <w:color w:val="000000"/>
          <w:szCs w:val="22"/>
          <w:lang w:val="es-ES_tradnl"/>
        </w:rPr>
        <w:t>31</w:t>
      </w:r>
      <w:r w:rsidRPr="002D741C">
        <w:rPr>
          <w:color w:val="000000"/>
          <w:szCs w:val="22"/>
          <w:lang w:val="es-ES_tradnl"/>
        </w:rPr>
        <w:t> (</w:t>
      </w:r>
      <w:r w:rsidR="00C34D52" w:rsidRPr="002D741C">
        <w:rPr>
          <w:color w:val="000000"/>
          <w:szCs w:val="22"/>
          <w:lang w:val="es-ES_tradnl"/>
        </w:rPr>
        <w:t>5,6</w:t>
      </w:r>
      <w:r w:rsidRPr="002D741C">
        <w:rPr>
          <w:color w:val="000000"/>
          <w:szCs w:val="22"/>
          <w:lang w:val="es-ES_tradnl"/>
        </w:rPr>
        <w:t xml:space="preserve">%) pérdida de RCM, </w:t>
      </w:r>
      <w:r w:rsidR="00017955" w:rsidRPr="002D741C">
        <w:rPr>
          <w:color w:val="000000"/>
          <w:szCs w:val="22"/>
          <w:lang w:val="es-ES_tradnl"/>
        </w:rPr>
        <w:t xml:space="preserve">en </w:t>
      </w:r>
      <w:r w:rsidR="00C34D52" w:rsidRPr="002D741C">
        <w:rPr>
          <w:color w:val="000000"/>
          <w:szCs w:val="22"/>
          <w:lang w:val="es-ES_tradnl"/>
        </w:rPr>
        <w:t>15 </w:t>
      </w:r>
      <w:r w:rsidRPr="002D741C">
        <w:rPr>
          <w:color w:val="000000"/>
          <w:szCs w:val="22"/>
          <w:lang w:val="es-ES_tradnl"/>
        </w:rPr>
        <w:t>(</w:t>
      </w:r>
      <w:r w:rsidR="00C34D52" w:rsidRPr="002D741C">
        <w:rPr>
          <w:color w:val="000000"/>
          <w:szCs w:val="22"/>
          <w:lang w:val="es-ES_tradnl"/>
        </w:rPr>
        <w:t>2,7</w:t>
      </w:r>
      <w:r w:rsidRPr="002D741C">
        <w:rPr>
          <w:color w:val="000000"/>
          <w:szCs w:val="22"/>
          <w:lang w:val="es-ES_tradnl"/>
        </w:rPr>
        <w:t xml:space="preserve">%) pérdida de RHC o aumento de leucocitos, y </w:t>
      </w:r>
      <w:r w:rsidR="00C34D52" w:rsidRPr="002D741C">
        <w:rPr>
          <w:color w:val="000000"/>
          <w:szCs w:val="22"/>
          <w:lang w:val="es-ES_tradnl"/>
        </w:rPr>
        <w:t>10 </w:t>
      </w:r>
      <w:r w:rsidRPr="002D741C">
        <w:rPr>
          <w:color w:val="000000"/>
          <w:szCs w:val="22"/>
          <w:lang w:val="es-ES_tradnl"/>
        </w:rPr>
        <w:t>(</w:t>
      </w:r>
      <w:r w:rsidR="00C34D52" w:rsidRPr="002D741C">
        <w:rPr>
          <w:color w:val="000000"/>
          <w:szCs w:val="22"/>
          <w:lang w:val="es-ES_tradnl"/>
        </w:rPr>
        <w:t>1,8</w:t>
      </w:r>
      <w:r w:rsidRPr="002D741C">
        <w:rPr>
          <w:color w:val="000000"/>
          <w:szCs w:val="22"/>
          <w:lang w:val="es-ES_tradnl"/>
        </w:rPr>
        <w:t xml:space="preserve">%) muertes no relacionadas </w:t>
      </w:r>
      <w:r w:rsidRPr="002D741C">
        <w:rPr>
          <w:color w:val="000000"/>
          <w:szCs w:val="22"/>
          <w:lang w:val="es-ES_tradnl"/>
        </w:rPr>
        <w:lastRenderedPageBreak/>
        <w:t xml:space="preserve">con </w:t>
      </w:r>
      <w:smartTag w:uri="urn:schemas-microsoft-com:office:smarttags" w:element="PersonName">
        <w:smartTagPr>
          <w:attr w:name="ProductID" w:val="la LMC. Por"/>
        </w:smartTagPr>
        <w:r w:rsidRPr="002D741C">
          <w:rPr>
            <w:color w:val="000000"/>
            <w:szCs w:val="22"/>
            <w:lang w:val="es-ES_tradnl"/>
          </w:rPr>
          <w:t>la LMC. Por</w:t>
        </w:r>
      </w:smartTag>
      <w:r w:rsidRPr="002D741C">
        <w:rPr>
          <w:color w:val="000000"/>
          <w:szCs w:val="22"/>
          <w:lang w:val="es-ES_tradnl"/>
        </w:rPr>
        <w:t xml:space="preserve"> otro lado, se observaron </w:t>
      </w:r>
      <w:r w:rsidR="00C34D52" w:rsidRPr="002D741C">
        <w:rPr>
          <w:color w:val="000000"/>
          <w:szCs w:val="22"/>
          <w:lang w:val="es-ES_tradnl"/>
        </w:rPr>
        <w:t>165 </w:t>
      </w:r>
      <w:r w:rsidRPr="002D741C">
        <w:rPr>
          <w:color w:val="000000"/>
          <w:szCs w:val="22"/>
          <w:lang w:val="es-ES_tradnl"/>
        </w:rPr>
        <w:t>(</w:t>
      </w:r>
      <w:r w:rsidR="00C34D52" w:rsidRPr="002D741C">
        <w:rPr>
          <w:color w:val="000000"/>
          <w:szCs w:val="22"/>
          <w:lang w:val="es-ES_tradnl"/>
        </w:rPr>
        <w:t>29,8</w:t>
      </w:r>
      <w:r w:rsidRPr="002D741C">
        <w:rPr>
          <w:color w:val="000000"/>
          <w:szCs w:val="22"/>
          <w:lang w:val="es-ES_tradnl"/>
        </w:rPr>
        <w:t xml:space="preserve">%) acontecimientos en el brazo de IFN+Ara-C, de los cuales </w:t>
      </w:r>
      <w:r w:rsidR="00C34D52" w:rsidRPr="002D741C">
        <w:rPr>
          <w:color w:val="000000"/>
          <w:szCs w:val="22"/>
          <w:lang w:val="es-ES_tradnl"/>
        </w:rPr>
        <w:t>130 </w:t>
      </w:r>
      <w:r w:rsidRPr="002D741C">
        <w:rPr>
          <w:color w:val="000000"/>
          <w:szCs w:val="22"/>
          <w:lang w:val="es-ES_tradnl"/>
        </w:rPr>
        <w:t>aparecieron</w:t>
      </w:r>
      <w:r w:rsidR="009132CE" w:rsidRPr="002D741C">
        <w:rPr>
          <w:color w:val="000000"/>
          <w:szCs w:val="22"/>
          <w:lang w:val="es-ES_tradnl"/>
        </w:rPr>
        <w:t xml:space="preserve"> durante el tratamiento de primera línea con IFN+Ara-C.</w:t>
      </w:r>
    </w:p>
    <w:p w14:paraId="1486CA82" w14:textId="77777777" w:rsidR="00D732A7" w:rsidRPr="002D741C" w:rsidRDefault="00D732A7" w:rsidP="00D732A7">
      <w:pPr>
        <w:pStyle w:val="EndnoteText"/>
        <w:widowControl w:val="0"/>
        <w:tabs>
          <w:tab w:val="clear" w:pos="567"/>
        </w:tabs>
        <w:rPr>
          <w:color w:val="000000"/>
          <w:szCs w:val="22"/>
          <w:lang w:val="es-ES"/>
        </w:rPr>
      </w:pPr>
    </w:p>
    <w:p w14:paraId="12139AD2" w14:textId="77777777" w:rsidR="002626B2" w:rsidRPr="002D741C" w:rsidRDefault="00880F09" w:rsidP="00D5001F">
      <w:pPr>
        <w:pStyle w:val="EndnoteText"/>
        <w:widowControl w:val="0"/>
        <w:tabs>
          <w:tab w:val="clear" w:pos="567"/>
        </w:tabs>
        <w:rPr>
          <w:color w:val="000000"/>
          <w:szCs w:val="22"/>
          <w:lang w:val="es-ES_tradnl"/>
        </w:rPr>
      </w:pPr>
      <w:r w:rsidRPr="002D741C">
        <w:rPr>
          <w:color w:val="000000"/>
          <w:szCs w:val="22"/>
          <w:lang w:val="es-ES"/>
        </w:rPr>
        <w:t>L</w:t>
      </w:r>
      <w:r w:rsidR="002626B2" w:rsidRPr="002D741C">
        <w:rPr>
          <w:color w:val="000000"/>
          <w:szCs w:val="22"/>
          <w:lang w:val="es-ES"/>
        </w:rPr>
        <w:t>a tasa estimada de pacientes sin progresión a</w:t>
      </w:r>
      <w:r w:rsidR="00777D3B" w:rsidRPr="002D741C">
        <w:rPr>
          <w:color w:val="000000"/>
          <w:szCs w:val="22"/>
          <w:lang w:val="es-ES"/>
        </w:rPr>
        <w:t xml:space="preserve"> </w:t>
      </w:r>
      <w:r w:rsidR="002626B2" w:rsidRPr="002D741C">
        <w:rPr>
          <w:color w:val="000000"/>
          <w:szCs w:val="22"/>
          <w:lang w:val="es-ES"/>
        </w:rPr>
        <w:t xml:space="preserve">fase acelerada o crisis blástica a los </w:t>
      </w:r>
      <w:r w:rsidR="00C34D52" w:rsidRPr="002D741C">
        <w:rPr>
          <w:color w:val="000000"/>
          <w:szCs w:val="22"/>
          <w:lang w:val="es-ES"/>
        </w:rPr>
        <w:t>84 </w:t>
      </w:r>
      <w:r w:rsidR="002626B2" w:rsidRPr="002D741C">
        <w:rPr>
          <w:color w:val="000000"/>
          <w:szCs w:val="22"/>
          <w:lang w:val="es-ES"/>
        </w:rPr>
        <w:t>meses fue significativamente superior en el brazo de Glivec en comparación con el brazo de IFN (</w:t>
      </w:r>
      <w:r w:rsidR="00D5001F" w:rsidRPr="002D741C">
        <w:rPr>
          <w:color w:val="000000"/>
          <w:szCs w:val="22"/>
          <w:lang w:val="es-ES"/>
        </w:rPr>
        <w:t>92,5</w:t>
      </w:r>
      <w:r w:rsidR="002626B2" w:rsidRPr="002D741C">
        <w:rPr>
          <w:color w:val="000000"/>
          <w:szCs w:val="22"/>
          <w:lang w:val="es-ES"/>
        </w:rPr>
        <w:t xml:space="preserve">% frente a </w:t>
      </w:r>
      <w:r w:rsidR="00D5001F" w:rsidRPr="002D741C">
        <w:rPr>
          <w:color w:val="000000"/>
          <w:szCs w:val="22"/>
          <w:lang w:val="es-ES"/>
        </w:rPr>
        <w:t>85,1</w:t>
      </w:r>
      <w:r w:rsidR="002626B2" w:rsidRPr="002D741C">
        <w:rPr>
          <w:color w:val="000000"/>
          <w:szCs w:val="22"/>
          <w:lang w:val="es-ES"/>
        </w:rPr>
        <w:t xml:space="preserve">%, p&lt;0,001). </w:t>
      </w:r>
      <w:r w:rsidRPr="002D741C">
        <w:rPr>
          <w:color w:val="000000"/>
          <w:szCs w:val="22"/>
          <w:lang w:val="es-ES"/>
        </w:rPr>
        <w:t xml:space="preserve">La tasa anual de progresión </w:t>
      </w:r>
      <w:r w:rsidR="007902C0" w:rsidRPr="002D741C">
        <w:rPr>
          <w:color w:val="000000"/>
          <w:szCs w:val="22"/>
          <w:lang w:val="es-ES"/>
        </w:rPr>
        <w:t xml:space="preserve">a fase acelerada o crisis blástica </w:t>
      </w:r>
      <w:r w:rsidRPr="002D741C">
        <w:rPr>
          <w:color w:val="000000"/>
          <w:szCs w:val="22"/>
          <w:lang w:val="es-ES"/>
        </w:rPr>
        <w:t>disminuyó con el tiempo de tratamiento</w:t>
      </w:r>
      <w:r w:rsidR="007902C0" w:rsidRPr="002D741C">
        <w:rPr>
          <w:color w:val="000000"/>
          <w:szCs w:val="22"/>
          <w:lang w:val="es-ES"/>
        </w:rPr>
        <w:t xml:space="preserve"> y fue </w:t>
      </w:r>
      <w:r w:rsidR="00203401" w:rsidRPr="002D741C">
        <w:rPr>
          <w:color w:val="000000"/>
          <w:szCs w:val="22"/>
          <w:lang w:val="es-ES"/>
        </w:rPr>
        <w:t>inferior</w:t>
      </w:r>
      <w:r w:rsidR="007902C0" w:rsidRPr="002D741C">
        <w:rPr>
          <w:color w:val="000000"/>
          <w:szCs w:val="22"/>
          <w:lang w:val="es-ES"/>
        </w:rPr>
        <w:t xml:space="preserve"> </w:t>
      </w:r>
      <w:r w:rsidR="00203401" w:rsidRPr="002D741C">
        <w:rPr>
          <w:color w:val="000000"/>
          <w:szCs w:val="22"/>
          <w:lang w:val="es-ES"/>
        </w:rPr>
        <w:t>a</w:t>
      </w:r>
      <w:r w:rsidR="007902C0" w:rsidRPr="002D741C">
        <w:rPr>
          <w:color w:val="000000"/>
          <w:szCs w:val="22"/>
          <w:lang w:val="es-ES"/>
        </w:rPr>
        <w:t>l 1% anual en el cuarto y quinto año</w:t>
      </w:r>
      <w:r w:rsidRPr="002D741C">
        <w:rPr>
          <w:color w:val="000000"/>
          <w:lang w:val="es-ES_tradnl"/>
        </w:rPr>
        <w:t xml:space="preserve">. </w:t>
      </w:r>
      <w:r w:rsidR="002626B2" w:rsidRPr="002D741C">
        <w:rPr>
          <w:color w:val="000000"/>
          <w:szCs w:val="22"/>
          <w:lang w:val="es-ES"/>
        </w:rPr>
        <w:t xml:space="preserve">La tasa estimada de supervivencia sin la enfermedad a los </w:t>
      </w:r>
      <w:r w:rsidR="00D5001F" w:rsidRPr="002D741C">
        <w:rPr>
          <w:color w:val="000000"/>
          <w:szCs w:val="22"/>
          <w:lang w:val="es-ES"/>
        </w:rPr>
        <w:t>84 </w:t>
      </w:r>
      <w:r w:rsidR="002626B2" w:rsidRPr="002D741C">
        <w:rPr>
          <w:color w:val="000000"/>
          <w:szCs w:val="22"/>
          <w:lang w:val="es-ES"/>
        </w:rPr>
        <w:t xml:space="preserve">meses fue del </w:t>
      </w:r>
      <w:r w:rsidR="00D5001F" w:rsidRPr="002D741C">
        <w:rPr>
          <w:color w:val="000000"/>
          <w:szCs w:val="22"/>
          <w:lang w:val="es-ES"/>
        </w:rPr>
        <w:t>81,2</w:t>
      </w:r>
      <w:r w:rsidR="002626B2" w:rsidRPr="002D741C">
        <w:rPr>
          <w:color w:val="000000"/>
          <w:szCs w:val="22"/>
          <w:lang w:val="es-ES"/>
        </w:rPr>
        <w:t xml:space="preserve">% en el brazo de Glivec y del </w:t>
      </w:r>
      <w:r w:rsidR="00D5001F" w:rsidRPr="002D741C">
        <w:rPr>
          <w:color w:val="000000"/>
          <w:szCs w:val="22"/>
          <w:lang w:val="es-ES"/>
        </w:rPr>
        <w:t>60,6</w:t>
      </w:r>
      <w:r w:rsidR="002626B2" w:rsidRPr="002D741C">
        <w:rPr>
          <w:color w:val="000000"/>
          <w:szCs w:val="22"/>
          <w:lang w:val="es-ES"/>
        </w:rPr>
        <w:t>% en el brazo control</w:t>
      </w:r>
      <w:r w:rsidRPr="002D741C">
        <w:rPr>
          <w:color w:val="000000"/>
          <w:szCs w:val="22"/>
          <w:lang w:val="es-ES"/>
        </w:rPr>
        <w:t xml:space="preserve"> </w:t>
      </w:r>
      <w:r w:rsidRPr="002D741C">
        <w:rPr>
          <w:color w:val="000000"/>
          <w:lang w:val="es-ES_tradnl"/>
        </w:rPr>
        <w:t>(p&lt;0</w:t>
      </w:r>
      <w:r w:rsidR="00AE5F0E" w:rsidRPr="002D741C">
        <w:rPr>
          <w:color w:val="000000"/>
          <w:lang w:val="es-ES_tradnl"/>
        </w:rPr>
        <w:t>,</w:t>
      </w:r>
      <w:r w:rsidRPr="002D741C">
        <w:rPr>
          <w:color w:val="000000"/>
          <w:lang w:val="es-ES_tradnl"/>
        </w:rPr>
        <w:t>001)</w:t>
      </w:r>
      <w:r w:rsidR="002626B2" w:rsidRPr="002D741C">
        <w:rPr>
          <w:color w:val="000000"/>
          <w:szCs w:val="22"/>
          <w:lang w:val="es-ES"/>
        </w:rPr>
        <w:t xml:space="preserve">. </w:t>
      </w:r>
      <w:r w:rsidR="00F157D6" w:rsidRPr="002D741C">
        <w:rPr>
          <w:color w:val="000000"/>
          <w:szCs w:val="22"/>
          <w:lang w:val="es-ES"/>
        </w:rPr>
        <w:t>La</w:t>
      </w:r>
      <w:r w:rsidR="00BC4B46" w:rsidRPr="002D741C">
        <w:rPr>
          <w:color w:val="000000"/>
          <w:szCs w:val="22"/>
          <w:lang w:val="es-ES"/>
        </w:rPr>
        <w:t>s</w:t>
      </w:r>
      <w:r w:rsidR="00F157D6" w:rsidRPr="002D741C">
        <w:rPr>
          <w:color w:val="000000"/>
          <w:szCs w:val="22"/>
          <w:lang w:val="es-ES"/>
        </w:rPr>
        <w:t xml:space="preserve"> tasa</w:t>
      </w:r>
      <w:r w:rsidR="00922E5A" w:rsidRPr="002D741C">
        <w:rPr>
          <w:color w:val="000000"/>
          <w:szCs w:val="22"/>
          <w:lang w:val="es-ES"/>
        </w:rPr>
        <w:t>s</w:t>
      </w:r>
      <w:r w:rsidR="00F157D6" w:rsidRPr="002D741C">
        <w:rPr>
          <w:color w:val="000000"/>
          <w:szCs w:val="22"/>
          <w:lang w:val="es-ES"/>
        </w:rPr>
        <w:t xml:space="preserve"> anual</w:t>
      </w:r>
      <w:r w:rsidR="00922E5A" w:rsidRPr="002D741C">
        <w:rPr>
          <w:color w:val="000000"/>
          <w:szCs w:val="22"/>
          <w:lang w:val="es-ES"/>
        </w:rPr>
        <w:t>es</w:t>
      </w:r>
      <w:r w:rsidR="00F157D6" w:rsidRPr="002D741C">
        <w:rPr>
          <w:color w:val="000000"/>
          <w:szCs w:val="22"/>
          <w:lang w:val="es-ES"/>
        </w:rPr>
        <w:t xml:space="preserve"> de progresi</w:t>
      </w:r>
      <w:r w:rsidR="00922E5A" w:rsidRPr="002D741C">
        <w:rPr>
          <w:color w:val="000000"/>
          <w:szCs w:val="22"/>
          <w:lang w:val="es-ES"/>
        </w:rPr>
        <w:t>ó</w:t>
      </w:r>
      <w:r w:rsidR="00F157D6" w:rsidRPr="002D741C">
        <w:rPr>
          <w:color w:val="000000"/>
          <w:szCs w:val="22"/>
          <w:lang w:val="es-ES"/>
        </w:rPr>
        <w:t xml:space="preserve">n </w:t>
      </w:r>
      <w:r w:rsidR="00203401" w:rsidRPr="002D741C">
        <w:rPr>
          <w:color w:val="000000"/>
          <w:szCs w:val="22"/>
          <w:lang w:val="es-ES"/>
        </w:rPr>
        <w:t>de cualquier tipo para Glivec también disminuyeron con el tiempo</w:t>
      </w:r>
      <w:r w:rsidR="00F157D6" w:rsidRPr="002D741C">
        <w:rPr>
          <w:color w:val="000000"/>
          <w:szCs w:val="22"/>
          <w:lang w:val="es-ES"/>
        </w:rPr>
        <w:t>.</w:t>
      </w:r>
    </w:p>
    <w:p w14:paraId="1527299B" w14:textId="77777777" w:rsidR="00C10D52" w:rsidRPr="002D741C" w:rsidRDefault="00C10D52" w:rsidP="00C10D52">
      <w:pPr>
        <w:pStyle w:val="EndnoteText"/>
        <w:widowControl w:val="0"/>
        <w:tabs>
          <w:tab w:val="clear" w:pos="567"/>
        </w:tabs>
        <w:rPr>
          <w:color w:val="000000"/>
          <w:szCs w:val="22"/>
          <w:lang w:val="es-ES_tradnl"/>
        </w:rPr>
      </w:pPr>
    </w:p>
    <w:p w14:paraId="1A73E572" w14:textId="77777777" w:rsidR="00C3116B" w:rsidRPr="002D741C" w:rsidRDefault="00880F09" w:rsidP="009D5783">
      <w:pPr>
        <w:pStyle w:val="EndnoteText"/>
        <w:rPr>
          <w:color w:val="000000"/>
          <w:lang w:val="es-ES_tradnl"/>
        </w:rPr>
      </w:pPr>
      <w:r w:rsidRPr="002D741C">
        <w:rPr>
          <w:color w:val="000000"/>
          <w:szCs w:val="22"/>
          <w:lang w:val="es-ES_tradnl"/>
        </w:rPr>
        <w:t xml:space="preserve">Un total de </w:t>
      </w:r>
      <w:r w:rsidR="00D5001F" w:rsidRPr="002D741C">
        <w:rPr>
          <w:color w:val="000000"/>
          <w:szCs w:val="22"/>
          <w:lang w:val="es-ES_tradnl"/>
        </w:rPr>
        <w:t>71 </w:t>
      </w:r>
      <w:r w:rsidRPr="002D741C">
        <w:rPr>
          <w:color w:val="000000"/>
          <w:szCs w:val="22"/>
          <w:lang w:val="es-ES_tradnl"/>
        </w:rPr>
        <w:t>(</w:t>
      </w:r>
      <w:r w:rsidR="00D5001F" w:rsidRPr="002D741C">
        <w:rPr>
          <w:color w:val="000000"/>
          <w:szCs w:val="22"/>
          <w:lang w:val="es-ES_tradnl"/>
        </w:rPr>
        <w:t>12,8</w:t>
      </w:r>
      <w:r w:rsidRPr="002D741C">
        <w:rPr>
          <w:color w:val="000000"/>
          <w:szCs w:val="22"/>
          <w:lang w:val="es-ES_tradnl"/>
        </w:rPr>
        <w:t xml:space="preserve">%) y </w:t>
      </w:r>
      <w:r w:rsidR="00D5001F" w:rsidRPr="002D741C">
        <w:rPr>
          <w:color w:val="000000"/>
          <w:szCs w:val="22"/>
          <w:lang w:val="es-ES_tradnl"/>
        </w:rPr>
        <w:t>85 </w:t>
      </w:r>
      <w:r w:rsidRPr="002D741C">
        <w:rPr>
          <w:color w:val="000000"/>
          <w:szCs w:val="22"/>
          <w:lang w:val="es-ES_tradnl"/>
        </w:rPr>
        <w:t>(</w:t>
      </w:r>
      <w:r w:rsidR="00D5001F" w:rsidRPr="002D741C">
        <w:rPr>
          <w:color w:val="000000"/>
          <w:szCs w:val="22"/>
          <w:lang w:val="es-ES_tradnl"/>
        </w:rPr>
        <w:t>15,4</w:t>
      </w:r>
      <w:r w:rsidRPr="002D741C">
        <w:rPr>
          <w:color w:val="000000"/>
          <w:szCs w:val="22"/>
          <w:lang w:val="es-ES_tradnl"/>
        </w:rPr>
        <w:t xml:space="preserve">%) pacientes murieron en los grupos de Glivec y de IFN+Ara-C, respectivamente. A los </w:t>
      </w:r>
      <w:r w:rsidR="00D5001F" w:rsidRPr="002D741C">
        <w:rPr>
          <w:color w:val="000000"/>
          <w:szCs w:val="22"/>
          <w:lang w:val="es-ES_tradnl"/>
        </w:rPr>
        <w:t>84 </w:t>
      </w:r>
      <w:r w:rsidRPr="002D741C">
        <w:rPr>
          <w:color w:val="000000"/>
          <w:szCs w:val="22"/>
          <w:lang w:val="es-ES_tradnl"/>
        </w:rPr>
        <w:t xml:space="preserve">meses, la supervivencia </w:t>
      </w:r>
      <w:r w:rsidR="00064105" w:rsidRPr="002D741C">
        <w:rPr>
          <w:color w:val="000000"/>
          <w:szCs w:val="22"/>
          <w:lang w:val="es-ES_tradnl"/>
        </w:rPr>
        <w:t>global</w:t>
      </w:r>
      <w:r w:rsidRPr="002D741C">
        <w:rPr>
          <w:color w:val="000000"/>
          <w:szCs w:val="22"/>
          <w:lang w:val="es-ES_tradnl"/>
        </w:rPr>
        <w:t xml:space="preserve"> estimada es de </w:t>
      </w:r>
      <w:r w:rsidR="00D5001F" w:rsidRPr="002D741C">
        <w:rPr>
          <w:color w:val="000000"/>
          <w:szCs w:val="22"/>
          <w:lang w:val="es-ES_tradnl"/>
        </w:rPr>
        <w:t>86,4</w:t>
      </w:r>
      <w:r w:rsidRPr="002D741C">
        <w:rPr>
          <w:color w:val="000000"/>
          <w:szCs w:val="22"/>
          <w:lang w:val="es-ES_tradnl"/>
        </w:rPr>
        <w:t>%</w:t>
      </w:r>
      <w:r w:rsidR="00EA1195" w:rsidRPr="002D741C">
        <w:rPr>
          <w:color w:val="000000"/>
          <w:szCs w:val="22"/>
          <w:lang w:val="es-ES_tradnl"/>
        </w:rPr>
        <w:t xml:space="preserve"> </w:t>
      </w:r>
      <w:r w:rsidRPr="002D741C">
        <w:rPr>
          <w:color w:val="000000"/>
          <w:lang w:val="es-ES_tradnl"/>
        </w:rPr>
        <w:t>(</w:t>
      </w:r>
      <w:r w:rsidR="00D5001F" w:rsidRPr="002D741C">
        <w:rPr>
          <w:color w:val="000000"/>
          <w:lang w:val="es-ES_tradnl"/>
        </w:rPr>
        <w:t>83,</w:t>
      </w:r>
      <w:r w:rsidR="00A123C6" w:rsidRPr="002D741C">
        <w:rPr>
          <w:color w:val="000000"/>
          <w:lang w:val="es-ES_tradnl"/>
        </w:rPr>
        <w:t xml:space="preserve"> </w:t>
      </w:r>
      <w:r w:rsidR="00D5001F" w:rsidRPr="002D741C">
        <w:rPr>
          <w:color w:val="000000"/>
          <w:lang w:val="es-ES_tradnl"/>
        </w:rPr>
        <w:t>90</w:t>
      </w:r>
      <w:r w:rsidRPr="002D741C">
        <w:rPr>
          <w:color w:val="000000"/>
          <w:lang w:val="es-ES_tradnl"/>
        </w:rPr>
        <w:t xml:space="preserve">) frente a </w:t>
      </w:r>
      <w:r w:rsidR="00D5001F" w:rsidRPr="002D741C">
        <w:rPr>
          <w:color w:val="000000"/>
          <w:lang w:val="es-ES_tradnl"/>
        </w:rPr>
        <w:t>83,3</w:t>
      </w:r>
      <w:r w:rsidRPr="002D741C">
        <w:rPr>
          <w:color w:val="000000"/>
          <w:lang w:val="es-ES_tradnl"/>
        </w:rPr>
        <w:t>% (</w:t>
      </w:r>
      <w:r w:rsidR="00D5001F" w:rsidRPr="002D741C">
        <w:rPr>
          <w:color w:val="000000"/>
          <w:lang w:val="es-ES_tradnl"/>
        </w:rPr>
        <w:t>80</w:t>
      </w:r>
      <w:r w:rsidRPr="002D741C">
        <w:rPr>
          <w:color w:val="000000"/>
          <w:lang w:val="es-ES_tradnl"/>
        </w:rPr>
        <w:t xml:space="preserve">, </w:t>
      </w:r>
      <w:r w:rsidR="009D5783" w:rsidRPr="002D741C">
        <w:rPr>
          <w:color w:val="000000"/>
          <w:lang w:val="es-ES_tradnl"/>
        </w:rPr>
        <w:t>87</w:t>
      </w:r>
      <w:r w:rsidRPr="002D741C">
        <w:rPr>
          <w:color w:val="000000"/>
          <w:lang w:val="es-ES_tradnl"/>
        </w:rPr>
        <w:t>) en los grupos</w:t>
      </w:r>
      <w:r w:rsidR="00064105" w:rsidRPr="002D741C">
        <w:rPr>
          <w:color w:val="000000"/>
          <w:lang w:val="es-ES_tradnl"/>
        </w:rPr>
        <w:t xml:space="preserve"> </w:t>
      </w:r>
      <w:r w:rsidR="00341D7A" w:rsidRPr="002D741C">
        <w:rPr>
          <w:color w:val="000000"/>
          <w:lang w:val="es-ES_tradnl"/>
        </w:rPr>
        <w:t>aleatori</w:t>
      </w:r>
      <w:r w:rsidR="00064105" w:rsidRPr="002D741C">
        <w:rPr>
          <w:color w:val="000000"/>
          <w:lang w:val="es-ES_tradnl"/>
        </w:rPr>
        <w:t>zados</w:t>
      </w:r>
      <w:r w:rsidRPr="002D741C">
        <w:rPr>
          <w:color w:val="000000"/>
          <w:lang w:val="es-ES_tradnl"/>
        </w:rPr>
        <w:t xml:space="preserve"> </w:t>
      </w:r>
      <w:r w:rsidR="00064105" w:rsidRPr="002D741C">
        <w:rPr>
          <w:color w:val="000000"/>
          <w:lang w:val="es-ES_tradnl"/>
        </w:rPr>
        <w:t>a</w:t>
      </w:r>
      <w:r w:rsidRPr="002D741C">
        <w:rPr>
          <w:color w:val="000000"/>
          <w:lang w:val="es-ES_tradnl"/>
        </w:rPr>
        <w:t xml:space="preserve"> Glivec y </w:t>
      </w:r>
      <w:r w:rsidR="00064105" w:rsidRPr="002D741C">
        <w:rPr>
          <w:color w:val="000000"/>
          <w:lang w:val="es-ES_tradnl"/>
        </w:rPr>
        <w:t>a</w:t>
      </w:r>
      <w:r w:rsidRPr="002D741C">
        <w:rPr>
          <w:color w:val="000000"/>
          <w:lang w:val="es-ES_tradnl"/>
        </w:rPr>
        <w:t xml:space="preserve"> IFN+Ara-C, respectivamente (p=0,</w:t>
      </w:r>
      <w:r w:rsidR="009D5783" w:rsidRPr="002D741C">
        <w:rPr>
          <w:color w:val="000000"/>
          <w:lang w:val="es-ES_tradnl"/>
        </w:rPr>
        <w:t>073</w:t>
      </w:r>
      <w:r w:rsidRPr="002D741C">
        <w:rPr>
          <w:color w:val="000000"/>
          <w:lang w:val="es-ES_tradnl"/>
        </w:rPr>
        <w:t>, test de log-rank). Est</w:t>
      </w:r>
      <w:r w:rsidR="00017955" w:rsidRPr="002D741C">
        <w:rPr>
          <w:color w:val="000000"/>
          <w:lang w:val="es-ES_tradnl"/>
        </w:rPr>
        <w:t>a</w:t>
      </w:r>
      <w:r w:rsidRPr="002D741C">
        <w:rPr>
          <w:color w:val="000000"/>
          <w:lang w:val="es-ES_tradnl"/>
        </w:rPr>
        <w:t xml:space="preserve"> </w:t>
      </w:r>
      <w:r w:rsidR="00017955" w:rsidRPr="002D741C">
        <w:rPr>
          <w:color w:val="000000"/>
          <w:lang w:val="es-ES_tradnl"/>
        </w:rPr>
        <w:t>variable principal</w:t>
      </w:r>
      <w:r w:rsidRPr="002D741C">
        <w:rPr>
          <w:color w:val="000000"/>
          <w:lang w:val="es-ES_tradnl"/>
        </w:rPr>
        <w:t xml:space="preserve"> de </w:t>
      </w:r>
      <w:r w:rsidR="00017955" w:rsidRPr="002D741C">
        <w:rPr>
          <w:color w:val="000000"/>
          <w:lang w:val="es-ES_tradnl"/>
        </w:rPr>
        <w:t>“</w:t>
      </w:r>
      <w:r w:rsidRPr="002D741C">
        <w:rPr>
          <w:color w:val="000000"/>
          <w:lang w:val="es-ES_tradnl"/>
        </w:rPr>
        <w:t>tiempo hasta el acontecimiento</w:t>
      </w:r>
      <w:r w:rsidR="00017955" w:rsidRPr="002D741C">
        <w:rPr>
          <w:color w:val="000000"/>
          <w:lang w:val="es-ES_tradnl"/>
        </w:rPr>
        <w:t>”</w:t>
      </w:r>
      <w:r w:rsidRPr="002D741C">
        <w:rPr>
          <w:color w:val="000000"/>
          <w:lang w:val="es-ES_tradnl"/>
        </w:rPr>
        <w:t xml:space="preserve"> está afectado de forma importante por la alta tasa de cruce de tratamiento de IFN+Ara-C a Glivec. </w:t>
      </w:r>
      <w:r w:rsidR="00B46B57" w:rsidRPr="002D741C">
        <w:rPr>
          <w:color w:val="000000"/>
          <w:lang w:val="es-ES_tradnl"/>
        </w:rPr>
        <w:t xml:space="preserve">El efecto del tratamiento con Glivec sobre la supervivencia en la fase crónica, en LMC de diagnóstico reciente ha sido más estudiada en un análisis retrospectivo de los datos de Glivec </w:t>
      </w:r>
      <w:r w:rsidR="00064105" w:rsidRPr="002D741C">
        <w:rPr>
          <w:color w:val="000000"/>
          <w:lang w:val="es-ES_tradnl"/>
        </w:rPr>
        <w:t>mencionados</w:t>
      </w:r>
      <w:r w:rsidR="00C3116B" w:rsidRPr="002D741C">
        <w:rPr>
          <w:color w:val="000000"/>
          <w:lang w:val="es-ES_tradnl"/>
        </w:rPr>
        <w:t xml:space="preserve"> anteriormente con los datos primarios de otro estudio Fase </w:t>
      </w:r>
      <w:smartTag w:uri="urn:schemas-microsoft-com:office:smarttags" w:element="stockticker">
        <w:r w:rsidR="00C3116B" w:rsidRPr="002D741C">
          <w:rPr>
            <w:color w:val="000000"/>
            <w:lang w:val="es-ES_tradnl"/>
          </w:rPr>
          <w:t>III</w:t>
        </w:r>
      </w:smartTag>
      <w:r w:rsidR="00C3116B" w:rsidRPr="002D741C">
        <w:rPr>
          <w:color w:val="000000"/>
          <w:lang w:val="es-ES_tradnl"/>
        </w:rPr>
        <w:t xml:space="preserve"> utilizando IFN+Ara-C (n=325) en una pauta idéntica. En este análisis retrospectivo, se demostró la superioridad de Glivec sobre IFN+Ara-C en la supervivencia global (p&lt;0,001); a los 42 </w:t>
      </w:r>
      <w:r w:rsidR="00064105" w:rsidRPr="002D741C">
        <w:rPr>
          <w:color w:val="000000"/>
          <w:lang w:val="es-ES_tradnl"/>
        </w:rPr>
        <w:t>meses</w:t>
      </w:r>
      <w:r w:rsidR="00C3116B" w:rsidRPr="002D741C">
        <w:rPr>
          <w:color w:val="000000"/>
          <w:lang w:val="es-ES_tradnl"/>
        </w:rPr>
        <w:t>, habían muerto 47 pacientes (8,5%) con Glivec y 63 pacientes (19,4%) con IFN+Ara-C.</w:t>
      </w:r>
    </w:p>
    <w:p w14:paraId="6B35FA7D" w14:textId="77777777" w:rsidR="00880F09" w:rsidRPr="002D741C" w:rsidRDefault="00880F09" w:rsidP="00C3116B">
      <w:pPr>
        <w:pStyle w:val="EndnoteText"/>
        <w:widowControl w:val="0"/>
        <w:tabs>
          <w:tab w:val="clear" w:pos="567"/>
        </w:tabs>
        <w:rPr>
          <w:color w:val="000000"/>
          <w:szCs w:val="22"/>
          <w:lang w:val="es-ES_tradnl"/>
        </w:rPr>
      </w:pPr>
    </w:p>
    <w:p w14:paraId="10D77078" w14:textId="77777777" w:rsidR="00370996" w:rsidRPr="002D741C" w:rsidRDefault="00C3116B" w:rsidP="0028748C">
      <w:pPr>
        <w:pStyle w:val="EndnoteText"/>
        <w:widowControl w:val="0"/>
        <w:tabs>
          <w:tab w:val="clear" w:pos="567"/>
        </w:tabs>
        <w:rPr>
          <w:color w:val="000000"/>
          <w:lang w:val="es-ES_tradnl"/>
        </w:rPr>
      </w:pPr>
      <w:r w:rsidRPr="002D741C">
        <w:rPr>
          <w:color w:val="000000"/>
          <w:szCs w:val="22"/>
          <w:lang w:val="es-ES_tradnl"/>
        </w:rPr>
        <w:t xml:space="preserve">El grado de respuesta citogenética </w:t>
      </w:r>
      <w:r w:rsidR="002014A5" w:rsidRPr="002D741C">
        <w:rPr>
          <w:color w:val="000000"/>
          <w:szCs w:val="22"/>
          <w:lang w:val="es-ES_tradnl"/>
        </w:rPr>
        <w:t xml:space="preserve">y respuesta molecular </w:t>
      </w:r>
      <w:r w:rsidRPr="002D741C">
        <w:rPr>
          <w:color w:val="000000"/>
          <w:szCs w:val="22"/>
          <w:lang w:val="es-ES_tradnl"/>
        </w:rPr>
        <w:t xml:space="preserve">tuvo un efecto claro sobre los resultados a largo plazo en pacientes con Glivec. Mientras un </w:t>
      </w:r>
      <w:r w:rsidR="009D5783" w:rsidRPr="002D741C">
        <w:rPr>
          <w:color w:val="000000"/>
          <w:szCs w:val="22"/>
          <w:lang w:val="es-ES_tradnl"/>
        </w:rPr>
        <w:t>96</w:t>
      </w:r>
      <w:r w:rsidRPr="002D741C">
        <w:rPr>
          <w:color w:val="000000"/>
          <w:szCs w:val="22"/>
          <w:lang w:val="es-ES_tradnl"/>
        </w:rPr>
        <w:t>% estimado de pacientes (93%) con RCC (RCP) a los 12 meses no mostraban progresión a fase acelerada/crisis blástica</w:t>
      </w:r>
      <w:r w:rsidR="00370996" w:rsidRPr="002D741C">
        <w:rPr>
          <w:color w:val="000000"/>
          <w:szCs w:val="22"/>
          <w:lang w:val="es-ES_tradnl"/>
        </w:rPr>
        <w:t xml:space="preserve"> </w:t>
      </w:r>
      <w:r w:rsidRPr="002D741C">
        <w:rPr>
          <w:color w:val="000000"/>
          <w:szCs w:val="22"/>
          <w:lang w:val="es-ES_tradnl"/>
        </w:rPr>
        <w:t xml:space="preserve">a los </w:t>
      </w:r>
      <w:r w:rsidR="009D5783" w:rsidRPr="002D741C">
        <w:rPr>
          <w:color w:val="000000"/>
          <w:szCs w:val="22"/>
          <w:lang w:val="es-ES_tradnl"/>
        </w:rPr>
        <w:t>84 </w:t>
      </w:r>
      <w:r w:rsidRPr="002D741C">
        <w:rPr>
          <w:color w:val="000000"/>
          <w:szCs w:val="22"/>
          <w:lang w:val="es-ES_tradnl"/>
        </w:rPr>
        <w:t>meses</w:t>
      </w:r>
      <w:r w:rsidR="00370996" w:rsidRPr="002D741C">
        <w:rPr>
          <w:color w:val="000000"/>
          <w:szCs w:val="22"/>
          <w:lang w:val="es-ES_tradnl"/>
        </w:rPr>
        <w:t>,</w:t>
      </w:r>
      <w:r w:rsidRPr="002D741C">
        <w:rPr>
          <w:color w:val="000000"/>
          <w:szCs w:val="22"/>
          <w:lang w:val="es-ES_tradnl"/>
        </w:rPr>
        <w:t xml:space="preserve"> sólo un 81% de pacientes sin RCM a los 12 meses estaban libres de progresión a LMC avanzada a los </w:t>
      </w:r>
      <w:r w:rsidR="009D5783" w:rsidRPr="002D741C">
        <w:rPr>
          <w:color w:val="000000"/>
          <w:szCs w:val="22"/>
          <w:lang w:val="es-ES_tradnl"/>
        </w:rPr>
        <w:t>84 </w:t>
      </w:r>
      <w:r w:rsidRPr="002D741C">
        <w:rPr>
          <w:color w:val="000000"/>
          <w:szCs w:val="22"/>
          <w:lang w:val="es-ES_tradnl"/>
        </w:rPr>
        <w:t xml:space="preserve">meses </w:t>
      </w:r>
      <w:r w:rsidRPr="002D741C">
        <w:rPr>
          <w:color w:val="000000"/>
          <w:lang w:val="es-ES_tradnl"/>
        </w:rPr>
        <w:t>(p&lt;0,001 global, p=0,2</w:t>
      </w:r>
      <w:r w:rsidR="009D5783" w:rsidRPr="002D741C">
        <w:rPr>
          <w:color w:val="000000"/>
          <w:lang w:val="es-ES_tradnl"/>
        </w:rPr>
        <w:t>5</w:t>
      </w:r>
      <w:r w:rsidRPr="002D741C">
        <w:rPr>
          <w:color w:val="000000"/>
          <w:lang w:val="es-ES_tradnl"/>
        </w:rPr>
        <w:t xml:space="preserve"> entre RCC y RCP). </w:t>
      </w:r>
      <w:r w:rsidR="002014A5" w:rsidRPr="002D741C">
        <w:rPr>
          <w:color w:val="000000"/>
          <w:lang w:val="es-ES_tradnl"/>
        </w:rPr>
        <w:t>Para pacientes con</w:t>
      </w:r>
      <w:r w:rsidR="00A97646" w:rsidRPr="002D741C">
        <w:rPr>
          <w:color w:val="000000"/>
          <w:lang w:val="es-ES_tradnl"/>
        </w:rPr>
        <w:t xml:space="preserve"> </w:t>
      </w:r>
      <w:r w:rsidR="002014A5" w:rsidRPr="002D741C">
        <w:rPr>
          <w:color w:val="000000"/>
          <w:lang w:val="es-ES_tradnl"/>
        </w:rPr>
        <w:t xml:space="preserve">reducción en </w:t>
      </w:r>
      <w:r w:rsidR="00370996" w:rsidRPr="002D741C">
        <w:rPr>
          <w:color w:val="000000"/>
          <w:szCs w:val="22"/>
          <w:lang w:val="es-ES_tradnl"/>
        </w:rPr>
        <w:t xml:space="preserve">los </w:t>
      </w:r>
      <w:r w:rsidR="00370996" w:rsidRPr="002D741C">
        <w:rPr>
          <w:color w:val="000000"/>
          <w:szCs w:val="22"/>
          <w:lang w:val="es-ES"/>
        </w:rPr>
        <w:t>tránscritos Bcr-Abl de al menos 3 log</w:t>
      </w:r>
      <w:r w:rsidR="002014A5" w:rsidRPr="002D741C">
        <w:rPr>
          <w:color w:val="000000"/>
          <w:szCs w:val="22"/>
          <w:lang w:val="es-ES"/>
        </w:rPr>
        <w:t>aritmos</w:t>
      </w:r>
      <w:r w:rsidR="00370996" w:rsidRPr="002D741C">
        <w:rPr>
          <w:color w:val="000000"/>
          <w:szCs w:val="22"/>
          <w:lang w:val="es-ES"/>
        </w:rPr>
        <w:t xml:space="preserve"> a 1</w:t>
      </w:r>
      <w:r w:rsidR="00064105" w:rsidRPr="002D741C">
        <w:rPr>
          <w:color w:val="000000"/>
          <w:szCs w:val="22"/>
          <w:lang w:val="es-ES"/>
        </w:rPr>
        <w:t>2</w:t>
      </w:r>
      <w:r w:rsidR="00370996" w:rsidRPr="002D741C">
        <w:rPr>
          <w:color w:val="000000"/>
          <w:szCs w:val="22"/>
          <w:lang w:val="es-ES"/>
        </w:rPr>
        <w:t xml:space="preserve"> meses, la probabilidad de permanecer </w:t>
      </w:r>
      <w:r w:rsidR="00064105" w:rsidRPr="002D741C">
        <w:rPr>
          <w:color w:val="000000"/>
          <w:szCs w:val="22"/>
          <w:lang w:val="es-ES"/>
        </w:rPr>
        <w:t>libre de</w:t>
      </w:r>
      <w:r w:rsidR="00370996" w:rsidRPr="002D741C">
        <w:rPr>
          <w:color w:val="000000"/>
          <w:szCs w:val="22"/>
          <w:lang w:val="es-ES"/>
        </w:rPr>
        <w:t xml:space="preserve"> progresión a </w:t>
      </w:r>
      <w:r w:rsidR="00370996" w:rsidRPr="002D741C">
        <w:rPr>
          <w:color w:val="000000"/>
          <w:lang w:val="es-ES_tradnl"/>
        </w:rPr>
        <w:t>la fase acelerada/crisis blástica</w:t>
      </w:r>
      <w:r w:rsidR="002014A5" w:rsidRPr="002D741C">
        <w:rPr>
          <w:color w:val="000000"/>
          <w:lang w:val="es-ES_tradnl"/>
        </w:rPr>
        <w:t xml:space="preserve"> fue de </w:t>
      </w:r>
      <w:r w:rsidR="009D5783" w:rsidRPr="002D741C">
        <w:rPr>
          <w:color w:val="000000"/>
          <w:lang w:val="es-ES_tradnl"/>
        </w:rPr>
        <w:t>99</w:t>
      </w:r>
      <w:r w:rsidR="002014A5" w:rsidRPr="002D741C">
        <w:rPr>
          <w:color w:val="000000"/>
          <w:lang w:val="es-ES_tradnl"/>
        </w:rPr>
        <w:t xml:space="preserve">% a los </w:t>
      </w:r>
      <w:r w:rsidR="009D5783" w:rsidRPr="002D741C">
        <w:rPr>
          <w:color w:val="000000"/>
          <w:lang w:val="es-ES_tradnl"/>
        </w:rPr>
        <w:t>84 </w:t>
      </w:r>
      <w:r w:rsidR="002014A5" w:rsidRPr="002D741C">
        <w:rPr>
          <w:color w:val="000000"/>
          <w:lang w:val="es-ES_tradnl"/>
        </w:rPr>
        <w:t>meses.</w:t>
      </w:r>
      <w:r w:rsidR="00BC4B46" w:rsidRPr="002D741C">
        <w:rPr>
          <w:color w:val="000000"/>
          <w:lang w:val="es-ES_tradnl"/>
        </w:rPr>
        <w:t xml:space="preserve"> </w:t>
      </w:r>
      <w:r w:rsidR="002014A5" w:rsidRPr="002D741C">
        <w:rPr>
          <w:color w:val="000000"/>
          <w:lang w:val="es-ES_tradnl"/>
        </w:rPr>
        <w:t>En base a un análisis a 18 meses se hallaron unos resultados similares</w:t>
      </w:r>
      <w:r w:rsidR="00370996" w:rsidRPr="002D741C">
        <w:rPr>
          <w:color w:val="000000"/>
          <w:lang w:val="es-ES_tradnl"/>
        </w:rPr>
        <w:t>.</w:t>
      </w:r>
    </w:p>
    <w:p w14:paraId="3402642A" w14:textId="77777777" w:rsidR="00370996" w:rsidRPr="002D741C" w:rsidRDefault="00370996" w:rsidP="00370996">
      <w:pPr>
        <w:pStyle w:val="EndnoteText"/>
        <w:widowControl w:val="0"/>
        <w:tabs>
          <w:tab w:val="clear" w:pos="567"/>
        </w:tabs>
        <w:rPr>
          <w:color w:val="000000"/>
          <w:szCs w:val="22"/>
          <w:lang w:val="es-ES_tradnl"/>
        </w:rPr>
      </w:pPr>
    </w:p>
    <w:p w14:paraId="5AC97E6A" w14:textId="77777777" w:rsidR="00C10D52" w:rsidRPr="002D741C" w:rsidRDefault="00F47982" w:rsidP="00F47982">
      <w:pPr>
        <w:pStyle w:val="EndnoteText"/>
        <w:widowControl w:val="0"/>
        <w:tabs>
          <w:tab w:val="clear" w:pos="567"/>
        </w:tabs>
        <w:rPr>
          <w:color w:val="000000"/>
          <w:szCs w:val="22"/>
          <w:lang w:val="es-ES"/>
        </w:rPr>
      </w:pPr>
      <w:r w:rsidRPr="002D741C">
        <w:rPr>
          <w:color w:val="000000"/>
          <w:szCs w:val="22"/>
          <w:lang w:val="es-ES_tradnl"/>
        </w:rPr>
        <w:t>En este estudio, se permitió</w:t>
      </w:r>
      <w:r w:rsidR="00C10D52" w:rsidRPr="002D741C">
        <w:rPr>
          <w:color w:val="000000"/>
          <w:szCs w:val="22"/>
          <w:lang w:val="es-ES_tradnl"/>
        </w:rPr>
        <w:t xml:space="preserve"> </w:t>
      </w:r>
      <w:r w:rsidRPr="002D741C">
        <w:rPr>
          <w:color w:val="000000"/>
          <w:szCs w:val="22"/>
          <w:lang w:val="es-ES_tradnl"/>
        </w:rPr>
        <w:t>la escalada</w:t>
      </w:r>
      <w:r w:rsidR="00C10D52" w:rsidRPr="002D741C">
        <w:rPr>
          <w:color w:val="000000"/>
          <w:szCs w:val="22"/>
          <w:lang w:val="es-ES_tradnl"/>
        </w:rPr>
        <w:t xml:space="preserve"> de dosis de 400 mg diarios a 600 mg diarios, y entonces de 600 mg diarios a 800 mg diarios. </w:t>
      </w:r>
      <w:r w:rsidR="00022A5E" w:rsidRPr="002D741C">
        <w:rPr>
          <w:color w:val="000000"/>
          <w:szCs w:val="22"/>
          <w:lang w:val="es-ES_tradnl"/>
        </w:rPr>
        <w:t>Después de 42</w:t>
      </w:r>
      <w:r w:rsidR="000901B2" w:rsidRPr="002D741C">
        <w:rPr>
          <w:color w:val="000000"/>
          <w:szCs w:val="22"/>
          <w:lang w:val="es-ES_tradnl"/>
        </w:rPr>
        <w:t> </w:t>
      </w:r>
      <w:r w:rsidR="00022A5E" w:rsidRPr="002D741C">
        <w:rPr>
          <w:color w:val="000000"/>
          <w:szCs w:val="22"/>
          <w:lang w:val="es-ES_tradnl"/>
        </w:rPr>
        <w:t>meses de seguimiento, 11</w:t>
      </w:r>
      <w:r w:rsidR="000901B2" w:rsidRPr="002D741C">
        <w:rPr>
          <w:color w:val="000000"/>
          <w:szCs w:val="22"/>
          <w:lang w:val="es-ES_tradnl"/>
        </w:rPr>
        <w:t> </w:t>
      </w:r>
      <w:r w:rsidR="00022A5E" w:rsidRPr="002D741C">
        <w:rPr>
          <w:color w:val="000000"/>
          <w:szCs w:val="22"/>
          <w:lang w:val="es-ES_tradnl"/>
        </w:rPr>
        <w:t>pacientes experimentaron una pérdida confirmada (en 4</w:t>
      </w:r>
      <w:r w:rsidR="000901B2" w:rsidRPr="002D741C">
        <w:rPr>
          <w:color w:val="000000"/>
          <w:szCs w:val="22"/>
          <w:lang w:val="es-ES_tradnl"/>
        </w:rPr>
        <w:t> </w:t>
      </w:r>
      <w:r w:rsidR="00022A5E" w:rsidRPr="002D741C">
        <w:rPr>
          <w:color w:val="000000"/>
          <w:szCs w:val="22"/>
          <w:lang w:val="es-ES_tradnl"/>
        </w:rPr>
        <w:t>semanas) de su respuesta citogenética. De estos 11</w:t>
      </w:r>
      <w:r w:rsidR="000901B2" w:rsidRPr="002D741C">
        <w:rPr>
          <w:color w:val="000000"/>
          <w:szCs w:val="22"/>
          <w:lang w:val="es-ES_tradnl"/>
        </w:rPr>
        <w:t> </w:t>
      </w:r>
      <w:r w:rsidR="00022A5E" w:rsidRPr="002D741C">
        <w:rPr>
          <w:color w:val="000000"/>
          <w:szCs w:val="22"/>
          <w:lang w:val="es-ES_tradnl"/>
        </w:rPr>
        <w:t>pacientes, 4</w:t>
      </w:r>
      <w:r w:rsidR="000901B2" w:rsidRPr="002D741C">
        <w:rPr>
          <w:color w:val="000000"/>
          <w:szCs w:val="22"/>
          <w:lang w:val="es-ES_tradnl"/>
        </w:rPr>
        <w:t> </w:t>
      </w:r>
      <w:r w:rsidR="00022A5E" w:rsidRPr="002D741C">
        <w:rPr>
          <w:color w:val="000000"/>
          <w:szCs w:val="22"/>
          <w:lang w:val="es-ES_tradnl"/>
        </w:rPr>
        <w:t xml:space="preserve">pacientes </w:t>
      </w:r>
      <w:r w:rsidRPr="002D741C">
        <w:rPr>
          <w:color w:val="000000"/>
          <w:szCs w:val="22"/>
          <w:lang w:val="es-ES_tradnl"/>
        </w:rPr>
        <w:t>a</w:t>
      </w:r>
      <w:r w:rsidR="00022A5E" w:rsidRPr="002D741C">
        <w:rPr>
          <w:color w:val="000000"/>
          <w:szCs w:val="22"/>
          <w:lang w:val="es-ES_tradnl"/>
        </w:rPr>
        <w:t>umentaron la dosis hasta 800</w:t>
      </w:r>
      <w:r w:rsidR="000901B2" w:rsidRPr="002D741C">
        <w:rPr>
          <w:color w:val="000000"/>
          <w:szCs w:val="22"/>
          <w:lang w:val="es-ES_tradnl"/>
        </w:rPr>
        <w:t> </w:t>
      </w:r>
      <w:r w:rsidR="00022A5E" w:rsidRPr="002D741C">
        <w:rPr>
          <w:color w:val="000000"/>
          <w:szCs w:val="22"/>
          <w:lang w:val="es-ES_tradnl"/>
        </w:rPr>
        <w:t>mg diarios, 2 de los cuales obtuvieron de nuevo una respuesta citogenética (1</w:t>
      </w:r>
      <w:r w:rsidR="000901B2" w:rsidRPr="002D741C">
        <w:rPr>
          <w:color w:val="000000"/>
          <w:szCs w:val="22"/>
          <w:lang w:val="es-ES_tradnl"/>
        </w:rPr>
        <w:t> </w:t>
      </w:r>
      <w:r w:rsidR="00022A5E" w:rsidRPr="002D741C">
        <w:rPr>
          <w:color w:val="000000"/>
          <w:szCs w:val="22"/>
          <w:lang w:val="es-ES_tradnl"/>
        </w:rPr>
        <w:t>parcial y 1</w:t>
      </w:r>
      <w:r w:rsidR="000901B2" w:rsidRPr="002D741C">
        <w:rPr>
          <w:color w:val="000000"/>
          <w:szCs w:val="22"/>
          <w:lang w:val="es-ES_tradnl"/>
        </w:rPr>
        <w:t> </w:t>
      </w:r>
      <w:r w:rsidR="00022A5E" w:rsidRPr="002D741C">
        <w:rPr>
          <w:color w:val="000000"/>
          <w:szCs w:val="22"/>
          <w:lang w:val="es-ES_tradnl"/>
        </w:rPr>
        <w:t>completa, esta última también consiguió una respuesta molecular)</w:t>
      </w:r>
      <w:r w:rsidR="004931CA" w:rsidRPr="002D741C">
        <w:rPr>
          <w:color w:val="000000"/>
          <w:szCs w:val="22"/>
          <w:lang w:val="es-ES_tradnl"/>
        </w:rPr>
        <w:t>, mientras que de los 7</w:t>
      </w:r>
      <w:r w:rsidR="000901B2" w:rsidRPr="002D741C">
        <w:rPr>
          <w:color w:val="000000"/>
          <w:szCs w:val="22"/>
          <w:lang w:val="es-ES_tradnl"/>
        </w:rPr>
        <w:t> </w:t>
      </w:r>
      <w:r w:rsidR="004931CA" w:rsidRPr="002D741C">
        <w:rPr>
          <w:color w:val="000000"/>
          <w:szCs w:val="22"/>
          <w:lang w:val="es-ES_tradnl"/>
        </w:rPr>
        <w:t>pacientes que no aumentaron la dosis, sólo uno obtuvo de nuevo una respu</w:t>
      </w:r>
      <w:r w:rsidR="0000170D" w:rsidRPr="002D741C">
        <w:rPr>
          <w:color w:val="000000"/>
          <w:szCs w:val="22"/>
          <w:lang w:val="es-ES_tradnl"/>
        </w:rPr>
        <w:t>e</w:t>
      </w:r>
      <w:r w:rsidR="004931CA" w:rsidRPr="002D741C">
        <w:rPr>
          <w:color w:val="000000"/>
          <w:szCs w:val="22"/>
          <w:lang w:val="es-ES_tradnl"/>
        </w:rPr>
        <w:t xml:space="preserve">sta citogenética completa. El porcentaje de algunas reacciones adversas fue </w:t>
      </w:r>
      <w:r w:rsidR="0037404E" w:rsidRPr="002D741C">
        <w:rPr>
          <w:color w:val="000000"/>
          <w:szCs w:val="22"/>
          <w:lang w:val="es-ES_tradnl"/>
        </w:rPr>
        <w:t>superior</w:t>
      </w:r>
      <w:r w:rsidR="004931CA" w:rsidRPr="002D741C">
        <w:rPr>
          <w:color w:val="000000"/>
          <w:szCs w:val="22"/>
          <w:lang w:val="es-ES_tradnl"/>
        </w:rPr>
        <w:t xml:space="preserve"> en los 40</w:t>
      </w:r>
      <w:r w:rsidR="000901B2" w:rsidRPr="002D741C">
        <w:rPr>
          <w:color w:val="000000"/>
          <w:szCs w:val="22"/>
          <w:lang w:val="es-ES_tradnl"/>
        </w:rPr>
        <w:t> </w:t>
      </w:r>
      <w:r w:rsidR="004931CA" w:rsidRPr="002D741C">
        <w:rPr>
          <w:color w:val="000000"/>
          <w:szCs w:val="22"/>
          <w:lang w:val="es-ES_tradnl"/>
        </w:rPr>
        <w:t>pacientes e</w:t>
      </w:r>
      <w:r w:rsidR="0037404E" w:rsidRPr="002D741C">
        <w:rPr>
          <w:color w:val="000000"/>
          <w:szCs w:val="22"/>
          <w:lang w:val="es-ES_tradnl"/>
        </w:rPr>
        <w:t>n los cuales la dosis se aumentó</w:t>
      </w:r>
      <w:r w:rsidR="004931CA" w:rsidRPr="002D741C">
        <w:rPr>
          <w:color w:val="000000"/>
          <w:szCs w:val="22"/>
          <w:lang w:val="es-ES_tradnl"/>
        </w:rPr>
        <w:t xml:space="preserve"> a 800 mg diarios comp</w:t>
      </w:r>
      <w:r w:rsidRPr="002D741C">
        <w:rPr>
          <w:color w:val="000000"/>
          <w:szCs w:val="22"/>
          <w:lang w:val="es-ES_tradnl"/>
        </w:rPr>
        <w:t>a</w:t>
      </w:r>
      <w:r w:rsidR="004931CA" w:rsidRPr="002D741C">
        <w:rPr>
          <w:color w:val="000000"/>
          <w:szCs w:val="22"/>
          <w:lang w:val="es-ES_tradnl"/>
        </w:rPr>
        <w:t xml:space="preserve">rado a la población de pacientes antes del aumento de dosis (n=551). Las reacciones adversas más frecuentes incluyeron hemorragias gastrointestinales, conjuntivitis y </w:t>
      </w:r>
      <w:r w:rsidRPr="002D741C">
        <w:rPr>
          <w:color w:val="000000"/>
          <w:szCs w:val="22"/>
          <w:lang w:val="es-ES_tradnl"/>
        </w:rPr>
        <w:t>aumento</w:t>
      </w:r>
      <w:r w:rsidR="004931CA" w:rsidRPr="002D741C">
        <w:rPr>
          <w:color w:val="000000"/>
          <w:szCs w:val="22"/>
          <w:lang w:val="es-ES_tradnl"/>
        </w:rPr>
        <w:t xml:space="preserve"> de transaminasas o bilirrubina. Se </w:t>
      </w:r>
      <w:r w:rsidR="0037404E" w:rsidRPr="002D741C">
        <w:rPr>
          <w:color w:val="000000"/>
          <w:szCs w:val="22"/>
          <w:lang w:val="es-ES_tradnl"/>
        </w:rPr>
        <w:t>notificaron</w:t>
      </w:r>
      <w:r w:rsidR="004931CA" w:rsidRPr="002D741C">
        <w:rPr>
          <w:color w:val="000000"/>
          <w:szCs w:val="22"/>
          <w:lang w:val="es-ES_tradnl"/>
        </w:rPr>
        <w:t xml:space="preserve"> otras reacciones adversas con una frecuencia menor o igual.</w:t>
      </w:r>
    </w:p>
    <w:p w14:paraId="7F039C91" w14:textId="77777777" w:rsidR="002626B2" w:rsidRPr="002D741C" w:rsidRDefault="002626B2" w:rsidP="001A2F33">
      <w:pPr>
        <w:pStyle w:val="EndnoteText"/>
        <w:widowControl w:val="0"/>
        <w:tabs>
          <w:tab w:val="clear" w:pos="567"/>
        </w:tabs>
        <w:rPr>
          <w:color w:val="000000"/>
          <w:szCs w:val="22"/>
          <w:lang w:val="es-ES"/>
        </w:rPr>
      </w:pPr>
    </w:p>
    <w:p w14:paraId="489A74BD" w14:textId="77777777" w:rsidR="002626B2" w:rsidRPr="002D741C" w:rsidRDefault="002626B2" w:rsidP="001A2F33">
      <w:pPr>
        <w:pStyle w:val="EndnoteText"/>
        <w:widowControl w:val="0"/>
        <w:tabs>
          <w:tab w:val="clear" w:pos="567"/>
        </w:tabs>
        <w:rPr>
          <w:color w:val="000000"/>
          <w:szCs w:val="22"/>
          <w:lang w:val="es-ES"/>
        </w:rPr>
      </w:pPr>
      <w:r w:rsidRPr="002D741C">
        <w:rPr>
          <w:i/>
          <w:color w:val="000000"/>
          <w:szCs w:val="22"/>
          <w:lang w:val="es-ES"/>
        </w:rPr>
        <w:t>Fase crónica, fallo del Interferón</w:t>
      </w:r>
      <w:r w:rsidRPr="002D741C">
        <w:rPr>
          <w:color w:val="000000"/>
          <w:szCs w:val="22"/>
          <w:lang w:val="es-ES"/>
        </w:rPr>
        <w:t>: 532</w:t>
      </w:r>
      <w:r w:rsidR="00DF063A" w:rsidRPr="002D741C">
        <w:rPr>
          <w:color w:val="000000"/>
          <w:szCs w:val="22"/>
          <w:lang w:val="es-ES"/>
        </w:rPr>
        <w:t> </w:t>
      </w:r>
      <w:r w:rsidRPr="002D741C">
        <w:rPr>
          <w:color w:val="000000"/>
          <w:szCs w:val="22"/>
          <w:lang w:val="es-ES"/>
        </w:rPr>
        <w:t xml:space="preserve">pacientes </w:t>
      </w:r>
      <w:r w:rsidR="00C9215B" w:rsidRPr="002D741C">
        <w:rPr>
          <w:color w:val="000000"/>
          <w:szCs w:val="22"/>
          <w:lang w:val="es-ES"/>
        </w:rPr>
        <w:t xml:space="preserve">adultos </w:t>
      </w:r>
      <w:r w:rsidRPr="002D741C">
        <w:rPr>
          <w:color w:val="000000"/>
          <w:szCs w:val="22"/>
          <w:lang w:val="es-ES"/>
        </w:rPr>
        <w:t>fueron tratados con una dosis inicial de 400</w:t>
      </w:r>
      <w:r w:rsidR="006171A6" w:rsidRPr="002D741C">
        <w:rPr>
          <w:color w:val="000000"/>
          <w:szCs w:val="22"/>
          <w:lang w:val="es-ES"/>
        </w:rPr>
        <w:t> mg</w:t>
      </w:r>
      <w:r w:rsidRPr="002D741C">
        <w:rPr>
          <w:color w:val="000000"/>
          <w:szCs w:val="22"/>
          <w:lang w:val="es-ES"/>
        </w:rPr>
        <w:t>. Los pacientes fueron distribuidos en tres categorías principales: fallo hematológico (29%), fallo citogenético (35%) o intolerancia al interferón (36%). Los pacientes habían recibido tratamiento previo con IFN durante una mediana de 14</w:t>
      </w:r>
      <w:r w:rsidR="00DF063A" w:rsidRPr="002D741C">
        <w:rPr>
          <w:color w:val="000000"/>
          <w:szCs w:val="22"/>
          <w:lang w:val="es-ES"/>
        </w:rPr>
        <w:t> </w:t>
      </w:r>
      <w:r w:rsidRPr="002D741C">
        <w:rPr>
          <w:color w:val="000000"/>
          <w:szCs w:val="22"/>
          <w:lang w:val="es-ES"/>
        </w:rPr>
        <w:t xml:space="preserve">meses a dosis de </w:t>
      </w:r>
      <w:r w:rsidRPr="002D741C">
        <w:rPr>
          <w:color w:val="000000"/>
          <w:szCs w:val="22"/>
          <w:lang w:val="es-ES"/>
        </w:rPr>
        <w:sym w:font="Symbol" w:char="F0B3"/>
      </w:r>
      <w:r w:rsidR="00F11D96" w:rsidRPr="002D741C">
        <w:rPr>
          <w:color w:val="000000"/>
          <w:szCs w:val="22"/>
          <w:lang w:val="es-ES"/>
        </w:rPr>
        <w:t> </w:t>
      </w:r>
      <w:r w:rsidRPr="002D741C">
        <w:rPr>
          <w:color w:val="000000"/>
          <w:szCs w:val="22"/>
          <w:lang w:val="es-ES"/>
        </w:rPr>
        <w:t>25</w:t>
      </w:r>
      <w:r w:rsidR="00F11D96" w:rsidRPr="002D741C">
        <w:rPr>
          <w:color w:val="000000"/>
          <w:szCs w:val="22"/>
          <w:lang w:val="es-ES"/>
        </w:rPr>
        <w:t> </w:t>
      </w:r>
      <w:r w:rsidRPr="002D741C">
        <w:rPr>
          <w:color w:val="000000"/>
          <w:szCs w:val="22"/>
          <w:lang w:val="es-ES"/>
        </w:rPr>
        <w:t>x</w:t>
      </w:r>
      <w:r w:rsidR="00F11D96" w:rsidRPr="002D741C">
        <w:rPr>
          <w:color w:val="000000"/>
          <w:szCs w:val="22"/>
          <w:lang w:val="es-ES"/>
        </w:rPr>
        <w:t> </w:t>
      </w:r>
      <w:r w:rsidRPr="002D741C">
        <w:rPr>
          <w:color w:val="000000"/>
          <w:szCs w:val="22"/>
          <w:lang w:val="es-ES"/>
        </w:rPr>
        <w:t>10</w:t>
      </w:r>
      <w:r w:rsidRPr="002D741C">
        <w:rPr>
          <w:color w:val="000000"/>
          <w:szCs w:val="22"/>
          <w:vertAlign w:val="superscript"/>
          <w:lang w:val="es-ES"/>
        </w:rPr>
        <w:t>6</w:t>
      </w:r>
      <w:r w:rsidRPr="002D741C">
        <w:rPr>
          <w:color w:val="000000"/>
          <w:szCs w:val="22"/>
          <w:lang w:val="es-ES"/>
        </w:rPr>
        <w:t xml:space="preserve"> UI/semana y todos estaban en una fase crónica tardía, con una mediana de tiempo desde el diagnóstico de 32</w:t>
      </w:r>
      <w:r w:rsidR="00DF063A" w:rsidRPr="002D741C">
        <w:rPr>
          <w:color w:val="000000"/>
          <w:szCs w:val="22"/>
          <w:lang w:val="es-ES"/>
        </w:rPr>
        <w:t> </w:t>
      </w:r>
      <w:r w:rsidRPr="002D741C">
        <w:rPr>
          <w:color w:val="000000"/>
          <w:szCs w:val="22"/>
          <w:lang w:val="es-ES"/>
        </w:rPr>
        <w:t>meses. La variable principal de eficacia del estudio fue la tasa de respuesta citogenética mayor (respuesta completa más parcial, 0–35% metafases Ph + en médula ósea).</w:t>
      </w:r>
    </w:p>
    <w:p w14:paraId="687D5F7C" w14:textId="77777777" w:rsidR="002626B2" w:rsidRPr="002D741C" w:rsidRDefault="002626B2" w:rsidP="001A2F33">
      <w:pPr>
        <w:pStyle w:val="EndnoteText"/>
        <w:widowControl w:val="0"/>
        <w:tabs>
          <w:tab w:val="clear" w:pos="567"/>
        </w:tabs>
        <w:rPr>
          <w:color w:val="000000"/>
          <w:szCs w:val="22"/>
          <w:lang w:val="es-ES"/>
        </w:rPr>
      </w:pPr>
    </w:p>
    <w:p w14:paraId="2CC4F64F" w14:textId="77777777" w:rsidR="002626B2" w:rsidRPr="002D741C" w:rsidRDefault="002626B2" w:rsidP="00287B47">
      <w:pPr>
        <w:pStyle w:val="EndnoteText"/>
        <w:widowControl w:val="0"/>
        <w:tabs>
          <w:tab w:val="clear" w:pos="567"/>
        </w:tabs>
        <w:rPr>
          <w:color w:val="000000"/>
          <w:szCs w:val="22"/>
          <w:lang w:val="es-ES"/>
        </w:rPr>
      </w:pPr>
      <w:r w:rsidRPr="002D741C">
        <w:rPr>
          <w:color w:val="000000"/>
          <w:szCs w:val="22"/>
          <w:lang w:val="es-ES"/>
        </w:rPr>
        <w:t>En este estudio el 6</w:t>
      </w:r>
      <w:r w:rsidR="00E477DE" w:rsidRPr="002D741C">
        <w:rPr>
          <w:color w:val="000000"/>
          <w:szCs w:val="22"/>
          <w:lang w:val="es-ES"/>
        </w:rPr>
        <w:t>5</w:t>
      </w:r>
      <w:r w:rsidRPr="002D741C">
        <w:rPr>
          <w:color w:val="000000"/>
          <w:szCs w:val="22"/>
          <w:lang w:val="es-ES"/>
        </w:rPr>
        <w:t xml:space="preserve">% de los pacientes alcanzaron una respuesta citogenética mayor que fue completa en el </w:t>
      </w:r>
      <w:r w:rsidR="00E477DE" w:rsidRPr="002D741C">
        <w:rPr>
          <w:color w:val="000000"/>
          <w:szCs w:val="22"/>
          <w:lang w:val="es-ES"/>
        </w:rPr>
        <w:t>53</w:t>
      </w:r>
      <w:r w:rsidRPr="002D741C">
        <w:rPr>
          <w:color w:val="000000"/>
          <w:szCs w:val="22"/>
          <w:lang w:val="es-ES"/>
        </w:rPr>
        <w:t xml:space="preserve">% (confirmado en el </w:t>
      </w:r>
      <w:r w:rsidR="00E477DE" w:rsidRPr="002D741C">
        <w:rPr>
          <w:color w:val="000000"/>
          <w:szCs w:val="22"/>
          <w:lang w:val="es-ES"/>
        </w:rPr>
        <w:t>43</w:t>
      </w:r>
      <w:r w:rsidRPr="002D741C">
        <w:rPr>
          <w:color w:val="000000"/>
          <w:szCs w:val="22"/>
          <w:lang w:val="es-ES"/>
        </w:rPr>
        <w:t>%) de los pacientes (Tabla</w:t>
      </w:r>
      <w:r w:rsidR="00683B3D" w:rsidRPr="002D741C">
        <w:rPr>
          <w:color w:val="000000"/>
          <w:szCs w:val="22"/>
          <w:lang w:val="es-ES"/>
        </w:rPr>
        <w:t> </w:t>
      </w:r>
      <w:r w:rsidR="00A6343C" w:rsidRPr="002D741C">
        <w:rPr>
          <w:color w:val="000000"/>
          <w:szCs w:val="22"/>
          <w:lang w:val="es-ES"/>
        </w:rPr>
        <w:t>3</w:t>
      </w:r>
      <w:r w:rsidRPr="002D741C">
        <w:rPr>
          <w:color w:val="000000"/>
          <w:szCs w:val="22"/>
          <w:lang w:val="es-ES"/>
        </w:rPr>
        <w:t>). En el 9</w:t>
      </w:r>
      <w:r w:rsidR="00E477DE" w:rsidRPr="002D741C">
        <w:rPr>
          <w:color w:val="000000"/>
          <w:szCs w:val="22"/>
          <w:lang w:val="es-ES"/>
        </w:rPr>
        <w:t>5</w:t>
      </w:r>
      <w:r w:rsidRPr="002D741C">
        <w:rPr>
          <w:color w:val="000000"/>
          <w:szCs w:val="22"/>
          <w:lang w:val="es-ES"/>
        </w:rPr>
        <w:t>% de los pacientes se</w:t>
      </w:r>
      <w:r w:rsidR="00777D3B" w:rsidRPr="002D741C">
        <w:rPr>
          <w:color w:val="000000"/>
          <w:szCs w:val="22"/>
          <w:lang w:val="es-ES"/>
        </w:rPr>
        <w:t xml:space="preserve"> </w:t>
      </w:r>
      <w:r w:rsidRPr="002D741C">
        <w:rPr>
          <w:color w:val="000000"/>
          <w:szCs w:val="22"/>
          <w:lang w:val="es-ES"/>
        </w:rPr>
        <w:t>consiguió una respuesta hematológica completa.</w:t>
      </w:r>
    </w:p>
    <w:p w14:paraId="1B29FB82" w14:textId="77777777" w:rsidR="002626B2" w:rsidRPr="002D741C" w:rsidRDefault="002626B2" w:rsidP="001A2F33">
      <w:pPr>
        <w:pStyle w:val="EndnoteText"/>
        <w:widowControl w:val="0"/>
        <w:tabs>
          <w:tab w:val="clear" w:pos="567"/>
        </w:tabs>
        <w:rPr>
          <w:color w:val="000000"/>
          <w:szCs w:val="22"/>
          <w:lang w:val="es-ES"/>
        </w:rPr>
      </w:pPr>
    </w:p>
    <w:p w14:paraId="34A276A8" w14:textId="77777777" w:rsidR="002626B2" w:rsidRPr="002D741C" w:rsidRDefault="002626B2" w:rsidP="001A2F33">
      <w:pPr>
        <w:pStyle w:val="EndnoteText"/>
        <w:widowControl w:val="0"/>
        <w:tabs>
          <w:tab w:val="clear" w:pos="567"/>
        </w:tabs>
        <w:rPr>
          <w:color w:val="000000"/>
          <w:szCs w:val="22"/>
          <w:lang w:val="es-ES"/>
        </w:rPr>
      </w:pPr>
      <w:r w:rsidRPr="002D741C">
        <w:rPr>
          <w:i/>
          <w:color w:val="000000"/>
          <w:szCs w:val="22"/>
          <w:lang w:val="es-ES"/>
        </w:rPr>
        <w:t>Fase acelerada</w:t>
      </w:r>
      <w:r w:rsidRPr="002D741C">
        <w:rPr>
          <w:color w:val="000000"/>
          <w:szCs w:val="22"/>
          <w:lang w:val="es-ES"/>
        </w:rPr>
        <w:t>: se incluyeron 235</w:t>
      </w:r>
      <w:r w:rsidR="00DF063A" w:rsidRPr="002D741C">
        <w:rPr>
          <w:color w:val="000000"/>
          <w:szCs w:val="22"/>
          <w:lang w:val="es-ES"/>
        </w:rPr>
        <w:t> </w:t>
      </w:r>
      <w:r w:rsidRPr="002D741C">
        <w:rPr>
          <w:color w:val="000000"/>
          <w:szCs w:val="22"/>
          <w:lang w:val="es-ES"/>
        </w:rPr>
        <w:t xml:space="preserve">pacientes </w:t>
      </w:r>
      <w:r w:rsidR="00C9215B" w:rsidRPr="002D741C">
        <w:rPr>
          <w:color w:val="000000"/>
          <w:szCs w:val="22"/>
          <w:lang w:val="es-ES"/>
        </w:rPr>
        <w:t xml:space="preserve">adultos </w:t>
      </w:r>
      <w:r w:rsidRPr="002D741C">
        <w:rPr>
          <w:color w:val="000000"/>
          <w:szCs w:val="22"/>
          <w:lang w:val="es-ES"/>
        </w:rPr>
        <w:t xml:space="preserve">con la enfermedad en fase acelerada. Los </w:t>
      </w:r>
      <w:r w:rsidRPr="002D741C">
        <w:rPr>
          <w:color w:val="000000"/>
          <w:szCs w:val="22"/>
          <w:lang w:val="es-ES"/>
        </w:rPr>
        <w:lastRenderedPageBreak/>
        <w:t>primeros 77 pacientes iniciaron el tratamiento con 400</w:t>
      </w:r>
      <w:r w:rsidR="006171A6" w:rsidRPr="002D741C">
        <w:rPr>
          <w:color w:val="000000"/>
          <w:szCs w:val="22"/>
          <w:lang w:val="es-ES"/>
        </w:rPr>
        <w:t> mg</w:t>
      </w:r>
      <w:r w:rsidRPr="002D741C">
        <w:rPr>
          <w:color w:val="000000"/>
          <w:szCs w:val="22"/>
          <w:lang w:val="es-ES"/>
        </w:rPr>
        <w:t>, se rectificó posteriormente el protocolo para permitir una mayor dosificación y los restantes 158</w:t>
      </w:r>
      <w:r w:rsidR="00DF063A" w:rsidRPr="002D741C">
        <w:rPr>
          <w:color w:val="000000"/>
          <w:szCs w:val="22"/>
          <w:lang w:val="es-ES"/>
        </w:rPr>
        <w:t> </w:t>
      </w:r>
      <w:r w:rsidRPr="002D741C">
        <w:rPr>
          <w:color w:val="000000"/>
          <w:szCs w:val="22"/>
          <w:lang w:val="es-ES"/>
        </w:rPr>
        <w:t>pacientes iniciaron el tratamiento con 600</w:t>
      </w:r>
      <w:r w:rsidR="006171A6" w:rsidRPr="002D741C">
        <w:rPr>
          <w:color w:val="000000"/>
          <w:szCs w:val="22"/>
          <w:lang w:val="es-ES"/>
        </w:rPr>
        <w:t> mg</w:t>
      </w:r>
      <w:r w:rsidRPr="002D741C">
        <w:rPr>
          <w:color w:val="000000"/>
          <w:szCs w:val="22"/>
          <w:lang w:val="es-ES"/>
        </w:rPr>
        <w:t>.</w:t>
      </w:r>
    </w:p>
    <w:p w14:paraId="57AEC8FF" w14:textId="77777777" w:rsidR="002626B2" w:rsidRPr="002D741C" w:rsidRDefault="002626B2" w:rsidP="001A2F33">
      <w:pPr>
        <w:pStyle w:val="EndnoteText"/>
        <w:widowControl w:val="0"/>
        <w:tabs>
          <w:tab w:val="clear" w:pos="567"/>
        </w:tabs>
        <w:rPr>
          <w:color w:val="000000"/>
          <w:szCs w:val="22"/>
          <w:lang w:val="es-ES"/>
        </w:rPr>
      </w:pPr>
    </w:p>
    <w:p w14:paraId="6761C0CA" w14:textId="77777777" w:rsidR="002626B2" w:rsidRPr="002D741C" w:rsidRDefault="002626B2" w:rsidP="0000170D">
      <w:pPr>
        <w:pStyle w:val="EndnoteText"/>
        <w:widowControl w:val="0"/>
        <w:tabs>
          <w:tab w:val="clear" w:pos="567"/>
        </w:tabs>
        <w:rPr>
          <w:color w:val="000000"/>
          <w:szCs w:val="22"/>
          <w:lang w:val="es-ES"/>
        </w:rPr>
      </w:pPr>
      <w:r w:rsidRPr="002D741C">
        <w:rPr>
          <w:color w:val="000000"/>
          <w:szCs w:val="22"/>
          <w:lang w:val="es-ES"/>
        </w:rPr>
        <w:t xml:space="preserve">La variable principal de eficacia fue la tasa de respuesta hematológica, informada como respuesta hematológica completa, no evidencia de leucemia (es decir, aclaramiento blástico desde médula ósea y sangre, pero sin una recuperación total de sangre periférica como en una respuesta completa) o retorno a la fase crónica de </w:t>
      </w:r>
      <w:smartTag w:uri="urn:schemas-microsoft-com:office:smarttags" w:element="PersonName">
        <w:smartTagPr>
          <w:attr w:name="ProductID" w:val="la LMC. Se"/>
        </w:smartTagPr>
        <w:r w:rsidRPr="002D741C">
          <w:rPr>
            <w:color w:val="000000"/>
            <w:szCs w:val="22"/>
            <w:lang w:val="es-ES"/>
          </w:rPr>
          <w:t>la LMC. Se</w:t>
        </w:r>
      </w:smartTag>
      <w:r w:rsidRPr="002D741C">
        <w:rPr>
          <w:color w:val="000000"/>
          <w:szCs w:val="22"/>
          <w:lang w:val="es-ES"/>
        </w:rPr>
        <w:t xml:space="preserve"> consiguió una respuesta hematológica confirmada en el </w:t>
      </w:r>
      <w:r w:rsidR="00E477DE" w:rsidRPr="002D741C">
        <w:rPr>
          <w:color w:val="000000"/>
          <w:szCs w:val="22"/>
          <w:lang w:val="es-ES"/>
        </w:rPr>
        <w:t>71,5</w:t>
      </w:r>
      <w:r w:rsidRPr="002D741C">
        <w:rPr>
          <w:color w:val="000000"/>
          <w:szCs w:val="22"/>
          <w:lang w:val="es-ES"/>
        </w:rPr>
        <w:t>% de los pacientes (Tabla</w:t>
      </w:r>
      <w:r w:rsidR="00683B3D" w:rsidRPr="002D741C">
        <w:rPr>
          <w:color w:val="000000"/>
          <w:szCs w:val="22"/>
          <w:lang w:val="es-ES"/>
        </w:rPr>
        <w:t> </w:t>
      </w:r>
      <w:r w:rsidR="00A6343C" w:rsidRPr="002D741C">
        <w:rPr>
          <w:color w:val="000000"/>
          <w:szCs w:val="22"/>
          <w:lang w:val="es-ES"/>
        </w:rPr>
        <w:t>3</w:t>
      </w:r>
      <w:r w:rsidRPr="002D741C">
        <w:rPr>
          <w:color w:val="000000"/>
          <w:szCs w:val="22"/>
          <w:lang w:val="es-ES"/>
        </w:rPr>
        <w:t xml:space="preserve">). De forma importante, el </w:t>
      </w:r>
      <w:r w:rsidR="00E477DE" w:rsidRPr="002D741C">
        <w:rPr>
          <w:color w:val="000000"/>
          <w:szCs w:val="22"/>
          <w:lang w:val="es-ES"/>
        </w:rPr>
        <w:t>27,7</w:t>
      </w:r>
      <w:r w:rsidRPr="002D741C">
        <w:rPr>
          <w:color w:val="000000"/>
          <w:szCs w:val="22"/>
          <w:lang w:val="es-ES"/>
        </w:rPr>
        <w:t>% de los pacientes también consiguieron una respuesta citogenética</w:t>
      </w:r>
      <w:r w:rsidR="00777D3B" w:rsidRPr="002D741C">
        <w:rPr>
          <w:color w:val="000000"/>
          <w:szCs w:val="22"/>
          <w:lang w:val="es-ES"/>
        </w:rPr>
        <w:t xml:space="preserve"> </w:t>
      </w:r>
      <w:r w:rsidRPr="002D741C">
        <w:rPr>
          <w:color w:val="000000"/>
          <w:szCs w:val="22"/>
          <w:lang w:val="es-ES"/>
        </w:rPr>
        <w:t xml:space="preserve">mayor, que fue completa en el </w:t>
      </w:r>
      <w:r w:rsidR="00E477DE" w:rsidRPr="002D741C">
        <w:rPr>
          <w:color w:val="000000"/>
          <w:szCs w:val="22"/>
          <w:lang w:val="es-ES"/>
        </w:rPr>
        <w:t>20,4</w:t>
      </w:r>
      <w:r w:rsidRPr="002D741C">
        <w:rPr>
          <w:color w:val="000000"/>
          <w:szCs w:val="22"/>
          <w:lang w:val="es-ES"/>
        </w:rPr>
        <w:t>% (confirmado en el 1</w:t>
      </w:r>
      <w:r w:rsidR="0000170D" w:rsidRPr="002D741C">
        <w:rPr>
          <w:color w:val="000000"/>
          <w:szCs w:val="22"/>
          <w:lang w:val="es-ES"/>
        </w:rPr>
        <w:t>6</w:t>
      </w:r>
      <w:r w:rsidRPr="002D741C">
        <w:rPr>
          <w:color w:val="000000"/>
          <w:szCs w:val="22"/>
          <w:lang w:val="es-ES"/>
        </w:rPr>
        <w:t>%) de los pacientes. Para los pacientes tratados con 600</w:t>
      </w:r>
      <w:r w:rsidR="006171A6" w:rsidRPr="002D741C">
        <w:rPr>
          <w:color w:val="000000"/>
          <w:szCs w:val="22"/>
          <w:lang w:val="es-ES"/>
        </w:rPr>
        <w:t> mg</w:t>
      </w:r>
      <w:r w:rsidRPr="002D741C">
        <w:rPr>
          <w:color w:val="000000"/>
          <w:szCs w:val="22"/>
          <w:lang w:val="es-ES"/>
        </w:rPr>
        <w:t xml:space="preserve">, la estimación </w:t>
      </w:r>
      <w:r w:rsidR="0000170D" w:rsidRPr="002D741C">
        <w:rPr>
          <w:color w:val="000000"/>
          <w:szCs w:val="22"/>
          <w:lang w:val="es-ES"/>
        </w:rPr>
        <w:t xml:space="preserve">actual para la mediana </w:t>
      </w:r>
      <w:r w:rsidRPr="002D741C">
        <w:rPr>
          <w:color w:val="000000"/>
          <w:szCs w:val="22"/>
          <w:lang w:val="es-ES"/>
        </w:rPr>
        <w:t>de la incidencia de supervivencia libre de progresión y la supervivencia global</w:t>
      </w:r>
      <w:r w:rsidR="0000170D" w:rsidRPr="002D741C">
        <w:rPr>
          <w:color w:val="000000"/>
          <w:szCs w:val="22"/>
          <w:lang w:val="es-ES"/>
        </w:rPr>
        <w:t xml:space="preserve"> fueron 22,9 y 42,5 meses</w:t>
      </w:r>
      <w:r w:rsidRPr="002D741C">
        <w:rPr>
          <w:color w:val="000000"/>
          <w:szCs w:val="22"/>
          <w:lang w:val="es-ES"/>
        </w:rPr>
        <w:t>, respectivamente.</w:t>
      </w:r>
    </w:p>
    <w:p w14:paraId="2C2E03A3" w14:textId="77777777" w:rsidR="002626B2" w:rsidRPr="002D741C" w:rsidRDefault="002626B2" w:rsidP="001A2F33">
      <w:pPr>
        <w:pStyle w:val="EndnoteText"/>
        <w:widowControl w:val="0"/>
        <w:tabs>
          <w:tab w:val="clear" w:pos="567"/>
        </w:tabs>
        <w:rPr>
          <w:color w:val="000000"/>
          <w:szCs w:val="22"/>
          <w:lang w:val="es-ES"/>
        </w:rPr>
      </w:pPr>
    </w:p>
    <w:p w14:paraId="7C4E6086" w14:textId="77777777" w:rsidR="002626B2" w:rsidRPr="002D741C" w:rsidRDefault="002626B2" w:rsidP="001A2F33">
      <w:pPr>
        <w:pStyle w:val="EndnoteText"/>
        <w:widowControl w:val="0"/>
        <w:tabs>
          <w:tab w:val="clear" w:pos="567"/>
        </w:tabs>
        <w:rPr>
          <w:color w:val="000000"/>
          <w:szCs w:val="22"/>
          <w:lang w:val="es-ES"/>
        </w:rPr>
      </w:pPr>
      <w:r w:rsidRPr="002D741C">
        <w:rPr>
          <w:i/>
          <w:color w:val="000000"/>
          <w:szCs w:val="22"/>
          <w:lang w:val="es-ES"/>
        </w:rPr>
        <w:t>Crisis mieloide blástica</w:t>
      </w:r>
      <w:r w:rsidRPr="002D741C">
        <w:rPr>
          <w:color w:val="000000"/>
          <w:szCs w:val="22"/>
          <w:lang w:val="es-ES"/>
        </w:rPr>
        <w:t>: se incluyeron 260</w:t>
      </w:r>
      <w:r w:rsidR="00DF063A" w:rsidRPr="002D741C">
        <w:rPr>
          <w:color w:val="000000"/>
          <w:szCs w:val="22"/>
          <w:lang w:val="es-ES"/>
        </w:rPr>
        <w:t> </w:t>
      </w:r>
      <w:r w:rsidRPr="002D741C">
        <w:rPr>
          <w:color w:val="000000"/>
          <w:szCs w:val="22"/>
          <w:lang w:val="es-ES"/>
        </w:rPr>
        <w:t>pacientes con crisis mieloide blástica. 95 (37%) habían recibido anteriormente quimioterapia para el tratamiento tanto de la fase acelerada como la crisis blástica (</w:t>
      </w:r>
      <w:r w:rsidR="00777D3B" w:rsidRPr="002D741C">
        <w:rPr>
          <w:color w:val="000000"/>
          <w:szCs w:val="22"/>
          <w:lang w:val="es-ES_tradnl"/>
        </w:rPr>
        <w:t>«</w:t>
      </w:r>
      <w:r w:rsidRPr="002D741C">
        <w:rPr>
          <w:color w:val="000000"/>
          <w:szCs w:val="22"/>
          <w:lang w:val="es-ES"/>
        </w:rPr>
        <w:t>pacientes pretratados</w:t>
      </w:r>
      <w:r w:rsidR="00777D3B" w:rsidRPr="002D741C">
        <w:rPr>
          <w:color w:val="000000"/>
          <w:szCs w:val="22"/>
          <w:lang w:val="es-ES_tradnl"/>
        </w:rPr>
        <w:t>»</w:t>
      </w:r>
      <w:r w:rsidRPr="002D741C">
        <w:rPr>
          <w:color w:val="000000"/>
          <w:szCs w:val="22"/>
          <w:lang w:val="es-ES"/>
        </w:rPr>
        <w:t>) mientras 165 (63%) no (</w:t>
      </w:r>
      <w:r w:rsidR="00777D3B" w:rsidRPr="002D741C">
        <w:rPr>
          <w:color w:val="000000"/>
          <w:szCs w:val="22"/>
          <w:lang w:val="es-ES_tradnl"/>
        </w:rPr>
        <w:t>«</w:t>
      </w:r>
      <w:r w:rsidRPr="002D741C">
        <w:rPr>
          <w:color w:val="000000"/>
          <w:szCs w:val="22"/>
          <w:lang w:val="es-ES"/>
        </w:rPr>
        <w:t>pacientes no tratados</w:t>
      </w:r>
      <w:r w:rsidR="00777D3B" w:rsidRPr="002D741C">
        <w:rPr>
          <w:color w:val="000000"/>
          <w:szCs w:val="22"/>
          <w:lang w:val="es-ES_tradnl"/>
        </w:rPr>
        <w:t>»</w:t>
      </w:r>
      <w:r w:rsidRPr="002D741C">
        <w:rPr>
          <w:color w:val="000000"/>
          <w:szCs w:val="22"/>
          <w:lang w:val="es-ES"/>
        </w:rPr>
        <w:t>). Los primeros 37</w:t>
      </w:r>
      <w:r w:rsidR="00DF063A" w:rsidRPr="002D741C">
        <w:rPr>
          <w:color w:val="000000"/>
          <w:szCs w:val="22"/>
          <w:lang w:val="es-ES"/>
        </w:rPr>
        <w:t> </w:t>
      </w:r>
      <w:r w:rsidRPr="002D741C">
        <w:rPr>
          <w:color w:val="000000"/>
          <w:szCs w:val="22"/>
          <w:lang w:val="es-ES"/>
        </w:rPr>
        <w:t>pacientes iniciaron el tratamiento con 400</w:t>
      </w:r>
      <w:r w:rsidR="006171A6" w:rsidRPr="002D741C">
        <w:rPr>
          <w:color w:val="000000"/>
          <w:szCs w:val="22"/>
          <w:lang w:val="es-ES"/>
        </w:rPr>
        <w:t> mg</w:t>
      </w:r>
      <w:r w:rsidRPr="002D741C">
        <w:rPr>
          <w:color w:val="000000"/>
          <w:szCs w:val="22"/>
          <w:lang w:val="es-ES"/>
        </w:rPr>
        <w:t>, se rectificó posteriormente el protocolo para permitir una mayor dosificación y los restantes 223</w:t>
      </w:r>
      <w:r w:rsidR="00DF063A" w:rsidRPr="002D741C">
        <w:rPr>
          <w:color w:val="000000"/>
          <w:szCs w:val="22"/>
          <w:lang w:val="es-ES"/>
        </w:rPr>
        <w:t> </w:t>
      </w:r>
      <w:r w:rsidRPr="002D741C">
        <w:rPr>
          <w:color w:val="000000"/>
          <w:szCs w:val="22"/>
          <w:lang w:val="es-ES"/>
        </w:rPr>
        <w:t>pacientes iniciaron el tratamiento con 600</w:t>
      </w:r>
      <w:r w:rsidR="006171A6" w:rsidRPr="002D741C">
        <w:rPr>
          <w:color w:val="000000"/>
          <w:szCs w:val="22"/>
          <w:lang w:val="es-ES"/>
        </w:rPr>
        <w:t> mg</w:t>
      </w:r>
      <w:r w:rsidRPr="002D741C">
        <w:rPr>
          <w:color w:val="000000"/>
          <w:szCs w:val="22"/>
          <w:lang w:val="es-ES"/>
        </w:rPr>
        <w:t>.</w:t>
      </w:r>
    </w:p>
    <w:p w14:paraId="65D9EC7D" w14:textId="77777777" w:rsidR="002626B2" w:rsidRPr="002D741C" w:rsidRDefault="002626B2" w:rsidP="001A2F33">
      <w:pPr>
        <w:pStyle w:val="EndnoteText"/>
        <w:widowControl w:val="0"/>
        <w:tabs>
          <w:tab w:val="clear" w:pos="567"/>
        </w:tabs>
        <w:rPr>
          <w:color w:val="000000"/>
          <w:szCs w:val="22"/>
          <w:lang w:val="es-ES"/>
        </w:rPr>
      </w:pPr>
    </w:p>
    <w:p w14:paraId="74526254" w14:textId="77777777" w:rsidR="002626B2" w:rsidRPr="002D741C" w:rsidRDefault="002626B2" w:rsidP="001A2F33">
      <w:pPr>
        <w:pStyle w:val="EndnoteText"/>
        <w:widowControl w:val="0"/>
        <w:tabs>
          <w:tab w:val="clear" w:pos="567"/>
        </w:tabs>
        <w:rPr>
          <w:color w:val="000000"/>
          <w:szCs w:val="22"/>
          <w:lang w:val="es-ES"/>
        </w:rPr>
      </w:pPr>
      <w:r w:rsidRPr="002D741C">
        <w:rPr>
          <w:color w:val="000000"/>
          <w:szCs w:val="22"/>
          <w:lang w:val="es-ES"/>
        </w:rPr>
        <w:t xml:space="preserve">La variable principal de eficacia fue la tasa de respuesta hematológica, informada tanto como respuesta hematológica completa, no evidencia de leucemia o vuelta a la fase crónica de </w:t>
      </w:r>
      <w:smartTag w:uri="urn:schemas-microsoft-com:office:smarttags" w:element="PersonName">
        <w:smartTagPr>
          <w:attr w:name="ProductID" w:val="la LMC"/>
        </w:smartTagPr>
        <w:r w:rsidRPr="002D741C">
          <w:rPr>
            <w:color w:val="000000"/>
            <w:szCs w:val="22"/>
            <w:lang w:val="es-ES"/>
          </w:rPr>
          <w:t>la LMC</w:t>
        </w:r>
      </w:smartTag>
      <w:r w:rsidRPr="002D741C">
        <w:rPr>
          <w:color w:val="000000"/>
          <w:szCs w:val="22"/>
          <w:lang w:val="es-ES"/>
        </w:rPr>
        <w:t xml:space="preserve"> utilizando el mismo criterio que para el estudio en fase acelerada. En este estudio, el 31% de los pacientes alcanzaron una respuesta hematológica (36% de los pacientes no tratados previamente y 22% de los pacientes previamente tratados). La tasa de respuesta también fue superior en los pacientes tratados con 600</w:t>
      </w:r>
      <w:r w:rsidR="006171A6" w:rsidRPr="002D741C">
        <w:rPr>
          <w:color w:val="000000"/>
          <w:szCs w:val="22"/>
          <w:lang w:val="es-ES"/>
        </w:rPr>
        <w:t> mg</w:t>
      </w:r>
      <w:r w:rsidRPr="002D741C">
        <w:rPr>
          <w:color w:val="000000"/>
          <w:szCs w:val="22"/>
          <w:lang w:val="es-ES"/>
        </w:rPr>
        <w:t xml:space="preserve"> (33%) en comparación con los pacientes tratados con 400</w:t>
      </w:r>
      <w:r w:rsidR="006171A6" w:rsidRPr="002D741C">
        <w:rPr>
          <w:color w:val="000000"/>
          <w:szCs w:val="22"/>
          <w:lang w:val="es-ES"/>
        </w:rPr>
        <w:t> mg</w:t>
      </w:r>
      <w:r w:rsidRPr="002D741C">
        <w:rPr>
          <w:color w:val="000000"/>
          <w:szCs w:val="22"/>
          <w:lang w:val="es-ES"/>
        </w:rPr>
        <w:t xml:space="preserve"> (16%, p=0,0220). La mediana estimada de supervivencia de los pacientes no tratados previamente y los tratados fue de 7,7 y 4,7</w:t>
      </w:r>
      <w:r w:rsidR="00DF063A" w:rsidRPr="002D741C">
        <w:rPr>
          <w:color w:val="000000"/>
          <w:szCs w:val="22"/>
          <w:lang w:val="es-ES"/>
        </w:rPr>
        <w:t> </w:t>
      </w:r>
      <w:r w:rsidRPr="002D741C">
        <w:rPr>
          <w:color w:val="000000"/>
          <w:szCs w:val="22"/>
          <w:lang w:val="es-ES"/>
        </w:rPr>
        <w:t>meses, respectivamente.</w:t>
      </w:r>
    </w:p>
    <w:p w14:paraId="17933870" w14:textId="77777777" w:rsidR="002626B2" w:rsidRPr="002D741C" w:rsidRDefault="002626B2" w:rsidP="001A2F33">
      <w:pPr>
        <w:pStyle w:val="EndnoteText"/>
        <w:widowControl w:val="0"/>
        <w:tabs>
          <w:tab w:val="clear" w:pos="567"/>
        </w:tabs>
        <w:rPr>
          <w:color w:val="000000"/>
          <w:szCs w:val="22"/>
          <w:lang w:val="es-ES"/>
        </w:rPr>
      </w:pPr>
    </w:p>
    <w:p w14:paraId="05E8E759" w14:textId="77777777" w:rsidR="002626B2" w:rsidRPr="002D741C" w:rsidRDefault="002626B2" w:rsidP="001A2F33">
      <w:pPr>
        <w:pStyle w:val="EndnoteText"/>
        <w:widowControl w:val="0"/>
        <w:tabs>
          <w:tab w:val="clear" w:pos="567"/>
        </w:tabs>
        <w:rPr>
          <w:color w:val="000000"/>
          <w:szCs w:val="22"/>
          <w:lang w:val="es-ES"/>
        </w:rPr>
      </w:pPr>
      <w:r w:rsidRPr="002D741C">
        <w:rPr>
          <w:i/>
          <w:color w:val="000000"/>
          <w:szCs w:val="22"/>
          <w:lang w:val="es-ES"/>
        </w:rPr>
        <w:t>Crisis linfoide blástica:</w:t>
      </w:r>
      <w:r w:rsidRPr="002D741C">
        <w:rPr>
          <w:color w:val="000000"/>
          <w:szCs w:val="22"/>
          <w:lang w:val="es-ES"/>
        </w:rPr>
        <w:t xml:space="preserve"> se incluyeron un número limitado de pacientes en los estudios de fase</w:t>
      </w:r>
      <w:r w:rsidR="00683B3D" w:rsidRPr="002D741C">
        <w:rPr>
          <w:color w:val="000000"/>
          <w:szCs w:val="22"/>
          <w:lang w:val="es-ES"/>
        </w:rPr>
        <w:t> </w:t>
      </w:r>
      <w:r w:rsidRPr="002D741C">
        <w:rPr>
          <w:color w:val="000000"/>
          <w:szCs w:val="22"/>
          <w:lang w:val="es-ES"/>
        </w:rPr>
        <w:t>I (n=10). La tasa de respuesta hematológica fue del 70% con una duración de 2</w:t>
      </w:r>
      <w:r w:rsidR="00F11D96" w:rsidRPr="002D741C">
        <w:rPr>
          <w:color w:val="000000"/>
          <w:szCs w:val="22"/>
          <w:lang w:val="es-ES"/>
        </w:rPr>
        <w:t>–</w:t>
      </w:r>
      <w:r w:rsidRPr="002D741C">
        <w:rPr>
          <w:color w:val="000000"/>
          <w:szCs w:val="22"/>
          <w:lang w:val="es-ES"/>
        </w:rPr>
        <w:t>3</w:t>
      </w:r>
      <w:r w:rsidR="00DF063A" w:rsidRPr="002D741C">
        <w:rPr>
          <w:color w:val="000000"/>
          <w:szCs w:val="22"/>
          <w:lang w:val="es-ES"/>
        </w:rPr>
        <w:t> </w:t>
      </w:r>
      <w:r w:rsidRPr="002D741C">
        <w:rPr>
          <w:color w:val="000000"/>
          <w:szCs w:val="22"/>
          <w:lang w:val="es-ES"/>
        </w:rPr>
        <w:t>meses.</w:t>
      </w:r>
    </w:p>
    <w:p w14:paraId="52FFFFD2" w14:textId="77777777" w:rsidR="002626B2" w:rsidRPr="002D741C" w:rsidRDefault="002626B2" w:rsidP="001A2F33">
      <w:pPr>
        <w:pStyle w:val="EndnoteText"/>
        <w:widowControl w:val="0"/>
        <w:tabs>
          <w:tab w:val="clear" w:pos="567"/>
        </w:tabs>
        <w:rPr>
          <w:color w:val="000000"/>
          <w:szCs w:val="22"/>
          <w:lang w:val="es-ES"/>
        </w:rPr>
      </w:pPr>
    </w:p>
    <w:p w14:paraId="420607DC" w14:textId="77777777" w:rsidR="00F11D96" w:rsidRPr="002D741C" w:rsidRDefault="002626B2" w:rsidP="00C16E58">
      <w:pPr>
        <w:pStyle w:val="EndnoteText"/>
        <w:keepNext/>
        <w:widowControl w:val="0"/>
        <w:tabs>
          <w:tab w:val="clear" w:pos="567"/>
          <w:tab w:val="left" w:pos="1134"/>
        </w:tabs>
        <w:rPr>
          <w:b/>
          <w:color w:val="000000"/>
          <w:szCs w:val="22"/>
          <w:lang w:val="es-ES"/>
        </w:rPr>
      </w:pPr>
      <w:r w:rsidRPr="002D741C">
        <w:rPr>
          <w:b/>
          <w:color w:val="000000"/>
          <w:szCs w:val="22"/>
          <w:lang w:val="es-ES"/>
        </w:rPr>
        <w:lastRenderedPageBreak/>
        <w:t>Tabla</w:t>
      </w:r>
      <w:r w:rsidR="00683B3D" w:rsidRPr="002D741C">
        <w:rPr>
          <w:b/>
          <w:color w:val="000000"/>
          <w:szCs w:val="22"/>
          <w:lang w:val="es-ES"/>
        </w:rPr>
        <w:t> </w:t>
      </w:r>
      <w:r w:rsidR="00A6343C" w:rsidRPr="002D741C">
        <w:rPr>
          <w:b/>
          <w:color w:val="000000"/>
          <w:szCs w:val="22"/>
          <w:lang w:val="es-ES"/>
        </w:rPr>
        <w:t>3</w:t>
      </w:r>
      <w:r w:rsidRPr="002D741C">
        <w:rPr>
          <w:b/>
          <w:color w:val="000000"/>
          <w:szCs w:val="22"/>
          <w:lang w:val="es-ES"/>
        </w:rPr>
        <w:tab/>
        <w:t>Respuesta en los ensayos LMC</w:t>
      </w:r>
      <w:r w:rsidR="00C9215B" w:rsidRPr="002D741C">
        <w:rPr>
          <w:b/>
          <w:color w:val="000000"/>
          <w:szCs w:val="22"/>
          <w:lang w:val="es-ES"/>
        </w:rPr>
        <w:t xml:space="preserve"> en adultos</w:t>
      </w:r>
    </w:p>
    <w:p w14:paraId="7C686453" w14:textId="77777777" w:rsidR="002626B2" w:rsidRPr="002D741C" w:rsidRDefault="002626B2" w:rsidP="00C16E58">
      <w:pPr>
        <w:pStyle w:val="EndnoteText"/>
        <w:keepNext/>
        <w:widowControl w:val="0"/>
        <w:tabs>
          <w:tab w:val="clear" w:pos="567"/>
        </w:tabs>
        <w:rPr>
          <w:color w:val="000000"/>
          <w:szCs w:val="22"/>
          <w:lang w:val="es-ES"/>
        </w:rPr>
      </w:pPr>
    </w:p>
    <w:tbl>
      <w:tblPr>
        <w:tblW w:w="921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04"/>
        <w:gridCol w:w="2254"/>
        <w:gridCol w:w="2253"/>
        <w:gridCol w:w="2103"/>
      </w:tblGrid>
      <w:tr w:rsidR="0003378F" w:rsidRPr="002D741C" w14:paraId="675F24C5" w14:textId="77777777" w:rsidTr="00C16E58">
        <w:trPr>
          <w:cantSplit/>
        </w:trPr>
        <w:tc>
          <w:tcPr>
            <w:tcW w:w="2604" w:type="dxa"/>
          </w:tcPr>
          <w:p w14:paraId="4BDDC973" w14:textId="77777777" w:rsidR="002626B2" w:rsidRPr="002D741C" w:rsidRDefault="002626B2" w:rsidP="00C16E58">
            <w:pPr>
              <w:pStyle w:val="EndnoteText"/>
              <w:keepNext/>
              <w:widowControl w:val="0"/>
              <w:tabs>
                <w:tab w:val="clear" w:pos="567"/>
              </w:tabs>
              <w:rPr>
                <w:color w:val="000000"/>
                <w:szCs w:val="22"/>
                <w:lang w:val="es-ES"/>
              </w:rPr>
            </w:pPr>
          </w:p>
        </w:tc>
        <w:tc>
          <w:tcPr>
            <w:tcW w:w="2254" w:type="dxa"/>
          </w:tcPr>
          <w:p w14:paraId="16862004" w14:textId="77777777" w:rsidR="002626B2" w:rsidRPr="002D741C" w:rsidRDefault="002626B2" w:rsidP="00C16E58">
            <w:pPr>
              <w:pStyle w:val="EndnoteText"/>
              <w:keepNext/>
              <w:widowControl w:val="0"/>
              <w:tabs>
                <w:tab w:val="clear" w:pos="567"/>
              </w:tabs>
              <w:jc w:val="center"/>
              <w:rPr>
                <w:color w:val="000000"/>
                <w:szCs w:val="22"/>
                <w:lang w:val="es-ES"/>
              </w:rPr>
            </w:pPr>
            <w:r w:rsidRPr="002D741C">
              <w:rPr>
                <w:color w:val="000000"/>
                <w:szCs w:val="22"/>
                <w:lang w:val="es-ES"/>
              </w:rPr>
              <w:t>Estudio 0110</w:t>
            </w:r>
          </w:p>
          <w:p w14:paraId="3286E7C3" w14:textId="77777777" w:rsidR="0000170D" w:rsidRPr="002D741C" w:rsidRDefault="005729DF" w:rsidP="00C16E58">
            <w:pPr>
              <w:pStyle w:val="EndnoteText"/>
              <w:keepNext/>
              <w:widowControl w:val="0"/>
              <w:tabs>
                <w:tab w:val="clear" w:pos="567"/>
              </w:tabs>
              <w:jc w:val="center"/>
              <w:rPr>
                <w:color w:val="000000"/>
                <w:szCs w:val="22"/>
                <w:lang w:val="es-ES"/>
              </w:rPr>
            </w:pPr>
            <w:r w:rsidRPr="002D741C">
              <w:rPr>
                <w:color w:val="000000"/>
                <w:szCs w:val="22"/>
                <w:lang w:val="es-ES"/>
              </w:rPr>
              <w:t>Datos a los 37 </w:t>
            </w:r>
            <w:r w:rsidR="0000170D" w:rsidRPr="002D741C">
              <w:rPr>
                <w:color w:val="000000"/>
                <w:szCs w:val="22"/>
                <w:lang w:val="es-ES"/>
              </w:rPr>
              <w:t>meses</w:t>
            </w:r>
          </w:p>
          <w:p w14:paraId="7C75E10E" w14:textId="77777777" w:rsidR="002626B2" w:rsidRPr="002D741C" w:rsidRDefault="002626B2" w:rsidP="00C16E58">
            <w:pPr>
              <w:pStyle w:val="EndnoteText"/>
              <w:keepNext/>
              <w:widowControl w:val="0"/>
              <w:tabs>
                <w:tab w:val="clear" w:pos="567"/>
              </w:tabs>
              <w:jc w:val="center"/>
              <w:rPr>
                <w:color w:val="000000"/>
                <w:szCs w:val="22"/>
                <w:lang w:val="es-ES"/>
              </w:rPr>
            </w:pPr>
            <w:r w:rsidRPr="002D741C">
              <w:rPr>
                <w:color w:val="000000"/>
                <w:szCs w:val="22"/>
                <w:lang w:val="es-ES"/>
              </w:rPr>
              <w:t>Fase crónica, fallo IFN (n=532)</w:t>
            </w:r>
          </w:p>
        </w:tc>
        <w:tc>
          <w:tcPr>
            <w:tcW w:w="2253" w:type="dxa"/>
          </w:tcPr>
          <w:p w14:paraId="5147BF49" w14:textId="77777777" w:rsidR="002626B2" w:rsidRPr="002D741C" w:rsidRDefault="002626B2" w:rsidP="00C16E58">
            <w:pPr>
              <w:pStyle w:val="EndnoteText"/>
              <w:keepNext/>
              <w:widowControl w:val="0"/>
              <w:tabs>
                <w:tab w:val="clear" w:pos="567"/>
              </w:tabs>
              <w:jc w:val="center"/>
              <w:rPr>
                <w:color w:val="000000"/>
                <w:szCs w:val="22"/>
                <w:lang w:val="es-ES"/>
              </w:rPr>
            </w:pPr>
            <w:r w:rsidRPr="002D741C">
              <w:rPr>
                <w:color w:val="000000"/>
                <w:szCs w:val="22"/>
                <w:lang w:val="es-ES"/>
              </w:rPr>
              <w:t>Estudio 0109</w:t>
            </w:r>
          </w:p>
          <w:p w14:paraId="48822E42" w14:textId="77777777" w:rsidR="0000170D" w:rsidRPr="002D741C" w:rsidRDefault="005729DF" w:rsidP="00C16E58">
            <w:pPr>
              <w:pStyle w:val="EndnoteText"/>
              <w:keepNext/>
              <w:widowControl w:val="0"/>
              <w:tabs>
                <w:tab w:val="clear" w:pos="567"/>
              </w:tabs>
              <w:jc w:val="center"/>
              <w:rPr>
                <w:color w:val="000000"/>
                <w:szCs w:val="22"/>
                <w:lang w:val="es-ES"/>
              </w:rPr>
            </w:pPr>
            <w:r w:rsidRPr="002D741C">
              <w:rPr>
                <w:color w:val="000000"/>
                <w:szCs w:val="22"/>
                <w:lang w:val="es-ES"/>
              </w:rPr>
              <w:t>Datos a los 40,5 </w:t>
            </w:r>
            <w:r w:rsidR="0000170D" w:rsidRPr="002D741C">
              <w:rPr>
                <w:color w:val="000000"/>
                <w:szCs w:val="22"/>
                <w:lang w:val="es-ES"/>
              </w:rPr>
              <w:t>meses</w:t>
            </w:r>
          </w:p>
          <w:p w14:paraId="4535728B" w14:textId="77777777" w:rsidR="002626B2" w:rsidRPr="002D741C" w:rsidRDefault="002626B2" w:rsidP="00C16E58">
            <w:pPr>
              <w:pStyle w:val="EndnoteText"/>
              <w:keepNext/>
              <w:widowControl w:val="0"/>
              <w:tabs>
                <w:tab w:val="clear" w:pos="567"/>
              </w:tabs>
              <w:jc w:val="center"/>
              <w:rPr>
                <w:color w:val="000000"/>
                <w:szCs w:val="22"/>
                <w:lang w:val="es-ES"/>
              </w:rPr>
            </w:pPr>
            <w:r w:rsidRPr="002D741C">
              <w:rPr>
                <w:color w:val="000000"/>
                <w:szCs w:val="22"/>
                <w:lang w:val="es-ES"/>
              </w:rPr>
              <w:t>Fase acelerada</w:t>
            </w:r>
          </w:p>
          <w:p w14:paraId="2E780CCC" w14:textId="77777777" w:rsidR="002626B2" w:rsidRPr="002D741C" w:rsidRDefault="002626B2" w:rsidP="00C16E58">
            <w:pPr>
              <w:pStyle w:val="EndnoteText"/>
              <w:keepNext/>
              <w:widowControl w:val="0"/>
              <w:tabs>
                <w:tab w:val="clear" w:pos="567"/>
              </w:tabs>
              <w:jc w:val="center"/>
              <w:rPr>
                <w:color w:val="000000"/>
                <w:szCs w:val="22"/>
                <w:lang w:val="es-ES"/>
              </w:rPr>
            </w:pPr>
            <w:r w:rsidRPr="002D741C">
              <w:rPr>
                <w:color w:val="000000"/>
                <w:szCs w:val="22"/>
                <w:lang w:val="es-ES"/>
              </w:rPr>
              <w:t>(n=235)</w:t>
            </w:r>
          </w:p>
        </w:tc>
        <w:tc>
          <w:tcPr>
            <w:tcW w:w="2103" w:type="dxa"/>
          </w:tcPr>
          <w:p w14:paraId="4E8FC0D4" w14:textId="77777777" w:rsidR="002626B2" w:rsidRPr="002D741C" w:rsidRDefault="002626B2" w:rsidP="00C16E58">
            <w:pPr>
              <w:pStyle w:val="EndnoteText"/>
              <w:keepNext/>
              <w:widowControl w:val="0"/>
              <w:tabs>
                <w:tab w:val="clear" w:pos="567"/>
              </w:tabs>
              <w:jc w:val="center"/>
              <w:rPr>
                <w:color w:val="000000"/>
                <w:szCs w:val="22"/>
                <w:lang w:val="es-ES"/>
              </w:rPr>
            </w:pPr>
            <w:r w:rsidRPr="002D741C">
              <w:rPr>
                <w:color w:val="000000"/>
                <w:szCs w:val="22"/>
                <w:lang w:val="es-ES"/>
              </w:rPr>
              <w:t>Estudio 0102</w:t>
            </w:r>
          </w:p>
          <w:p w14:paraId="7BE5733B" w14:textId="77777777" w:rsidR="0000170D" w:rsidRPr="002D741C" w:rsidRDefault="005729DF" w:rsidP="00C16E58">
            <w:pPr>
              <w:pStyle w:val="EndnoteText"/>
              <w:keepNext/>
              <w:widowControl w:val="0"/>
              <w:tabs>
                <w:tab w:val="clear" w:pos="567"/>
              </w:tabs>
              <w:jc w:val="center"/>
              <w:rPr>
                <w:color w:val="000000"/>
                <w:szCs w:val="22"/>
                <w:lang w:val="es-ES"/>
              </w:rPr>
            </w:pPr>
            <w:r w:rsidRPr="002D741C">
              <w:rPr>
                <w:color w:val="000000"/>
                <w:szCs w:val="22"/>
                <w:lang w:val="es-ES"/>
              </w:rPr>
              <w:t>Datos a los 38 </w:t>
            </w:r>
            <w:r w:rsidR="0000170D" w:rsidRPr="002D741C">
              <w:rPr>
                <w:color w:val="000000"/>
                <w:szCs w:val="22"/>
                <w:lang w:val="es-ES"/>
              </w:rPr>
              <w:t>meses</w:t>
            </w:r>
          </w:p>
          <w:p w14:paraId="2C82A60E" w14:textId="77777777" w:rsidR="002626B2" w:rsidRPr="002D741C" w:rsidRDefault="002626B2" w:rsidP="00C16E58">
            <w:pPr>
              <w:pStyle w:val="EndnoteText"/>
              <w:keepNext/>
              <w:widowControl w:val="0"/>
              <w:tabs>
                <w:tab w:val="clear" w:pos="567"/>
              </w:tabs>
              <w:jc w:val="center"/>
              <w:rPr>
                <w:color w:val="000000"/>
                <w:szCs w:val="22"/>
                <w:lang w:val="es-ES"/>
              </w:rPr>
            </w:pPr>
            <w:r w:rsidRPr="002D741C">
              <w:rPr>
                <w:color w:val="000000"/>
                <w:szCs w:val="22"/>
                <w:lang w:val="es-ES"/>
              </w:rPr>
              <w:t>Crisis mieloide blástica</w:t>
            </w:r>
          </w:p>
          <w:p w14:paraId="2B29383C" w14:textId="77777777" w:rsidR="002626B2" w:rsidRPr="002D741C" w:rsidRDefault="002626B2" w:rsidP="00C16E58">
            <w:pPr>
              <w:pStyle w:val="EndnoteText"/>
              <w:keepNext/>
              <w:widowControl w:val="0"/>
              <w:tabs>
                <w:tab w:val="clear" w:pos="567"/>
              </w:tabs>
              <w:jc w:val="center"/>
              <w:rPr>
                <w:color w:val="000000"/>
                <w:szCs w:val="22"/>
                <w:lang w:val="es-ES"/>
              </w:rPr>
            </w:pPr>
            <w:r w:rsidRPr="002D741C">
              <w:rPr>
                <w:color w:val="000000"/>
                <w:szCs w:val="22"/>
                <w:lang w:val="es-ES"/>
              </w:rPr>
              <w:t>(n=260)</w:t>
            </w:r>
          </w:p>
        </w:tc>
      </w:tr>
      <w:tr w:rsidR="008002FE" w:rsidRPr="002D741C" w14:paraId="41601462" w14:textId="77777777" w:rsidTr="00C16E58">
        <w:trPr>
          <w:cantSplit/>
        </w:trPr>
        <w:tc>
          <w:tcPr>
            <w:tcW w:w="2604" w:type="dxa"/>
          </w:tcPr>
          <w:p w14:paraId="481284A4" w14:textId="77777777" w:rsidR="008002FE" w:rsidRPr="002D741C" w:rsidRDefault="008002FE" w:rsidP="00C16E58">
            <w:pPr>
              <w:pStyle w:val="EndnoteText"/>
              <w:keepNext/>
              <w:widowControl w:val="0"/>
              <w:tabs>
                <w:tab w:val="clear" w:pos="567"/>
              </w:tabs>
              <w:jc w:val="center"/>
              <w:rPr>
                <w:color w:val="000000"/>
                <w:szCs w:val="22"/>
                <w:lang w:val="es-ES"/>
              </w:rPr>
            </w:pPr>
          </w:p>
        </w:tc>
        <w:tc>
          <w:tcPr>
            <w:tcW w:w="6610" w:type="dxa"/>
            <w:gridSpan w:val="3"/>
          </w:tcPr>
          <w:p w14:paraId="097750B6" w14:textId="77777777" w:rsidR="008002FE" w:rsidRPr="002D741C" w:rsidRDefault="008002FE" w:rsidP="00C16E58">
            <w:pPr>
              <w:pStyle w:val="EndnoteText"/>
              <w:keepNext/>
              <w:widowControl w:val="0"/>
              <w:tabs>
                <w:tab w:val="clear" w:pos="567"/>
              </w:tabs>
              <w:jc w:val="center"/>
              <w:rPr>
                <w:color w:val="000000"/>
                <w:szCs w:val="22"/>
                <w:lang w:val="es-ES"/>
              </w:rPr>
            </w:pPr>
            <w:r w:rsidRPr="002D741C">
              <w:rPr>
                <w:color w:val="000000"/>
                <w:szCs w:val="22"/>
                <w:lang w:val="es-ES"/>
              </w:rPr>
              <w:t xml:space="preserve">% de pacientes (IC </w:t>
            </w:r>
            <w:r w:rsidRPr="002D741C">
              <w:rPr>
                <w:color w:val="000000"/>
                <w:szCs w:val="22"/>
                <w:vertAlign w:val="subscript"/>
                <w:lang w:val="es-ES"/>
              </w:rPr>
              <w:t>95%</w:t>
            </w:r>
            <w:r w:rsidRPr="002D741C">
              <w:rPr>
                <w:color w:val="000000"/>
                <w:szCs w:val="22"/>
                <w:lang w:val="es-ES"/>
              </w:rPr>
              <w:t>)</w:t>
            </w:r>
          </w:p>
        </w:tc>
      </w:tr>
      <w:tr w:rsidR="0003378F" w:rsidRPr="002D741C" w14:paraId="63B1537E" w14:textId="77777777" w:rsidTr="00C16E58">
        <w:trPr>
          <w:cantSplit/>
        </w:trPr>
        <w:tc>
          <w:tcPr>
            <w:tcW w:w="2604" w:type="dxa"/>
          </w:tcPr>
          <w:p w14:paraId="1DFACB45" w14:textId="77777777" w:rsidR="002626B2" w:rsidRPr="002D741C" w:rsidRDefault="002626B2" w:rsidP="00C16E58">
            <w:pPr>
              <w:pStyle w:val="EndnoteText"/>
              <w:keepNext/>
              <w:widowControl w:val="0"/>
              <w:tabs>
                <w:tab w:val="clear" w:pos="567"/>
              </w:tabs>
              <w:rPr>
                <w:color w:val="000000"/>
                <w:szCs w:val="22"/>
                <w:lang w:val="es-ES"/>
              </w:rPr>
            </w:pPr>
            <w:r w:rsidRPr="002D741C">
              <w:rPr>
                <w:color w:val="000000"/>
                <w:szCs w:val="22"/>
                <w:lang w:val="es-ES"/>
              </w:rPr>
              <w:t>Respuesta hematológica</w:t>
            </w:r>
            <w:r w:rsidRPr="002D741C">
              <w:rPr>
                <w:color w:val="000000"/>
                <w:szCs w:val="22"/>
                <w:vertAlign w:val="superscript"/>
                <w:lang w:val="es-ES"/>
              </w:rPr>
              <w:t>1</w:t>
            </w:r>
          </w:p>
          <w:p w14:paraId="3954DD79" w14:textId="77777777" w:rsidR="002626B2" w:rsidRPr="002D741C" w:rsidRDefault="002626B2" w:rsidP="00C16E58">
            <w:pPr>
              <w:pStyle w:val="EndnoteText"/>
              <w:keepNext/>
              <w:widowControl w:val="0"/>
              <w:tabs>
                <w:tab w:val="clear" w:pos="567"/>
                <w:tab w:val="left" w:pos="176"/>
              </w:tabs>
              <w:ind w:left="176" w:hanging="176"/>
              <w:rPr>
                <w:color w:val="000000"/>
                <w:szCs w:val="22"/>
                <w:lang w:val="es-ES"/>
              </w:rPr>
            </w:pPr>
            <w:r w:rsidRPr="002D741C">
              <w:rPr>
                <w:color w:val="000000"/>
                <w:szCs w:val="22"/>
                <w:lang w:val="es-ES"/>
              </w:rPr>
              <w:tab/>
              <w:t>Respuesta hematológica completa (RHC)</w:t>
            </w:r>
          </w:p>
          <w:p w14:paraId="07C148C5" w14:textId="77777777" w:rsidR="002626B2" w:rsidRPr="002D741C" w:rsidRDefault="002626B2" w:rsidP="00C16E58">
            <w:pPr>
              <w:pStyle w:val="EndnoteText"/>
              <w:keepNext/>
              <w:widowControl w:val="0"/>
              <w:tabs>
                <w:tab w:val="clear" w:pos="567"/>
                <w:tab w:val="left" w:pos="176"/>
              </w:tabs>
              <w:rPr>
                <w:color w:val="000000"/>
                <w:szCs w:val="22"/>
                <w:lang w:val="es-ES"/>
              </w:rPr>
            </w:pPr>
            <w:r w:rsidRPr="002D741C">
              <w:rPr>
                <w:color w:val="000000"/>
                <w:szCs w:val="22"/>
                <w:lang w:val="es-ES"/>
              </w:rPr>
              <w:tab/>
              <w:t>Sin evidencia de leucemia (N</w:t>
            </w:r>
            <w:smartTag w:uri="urn:schemas-microsoft-com:office:smarttags" w:element="PersonName">
              <w:r w:rsidRPr="002D741C">
                <w:rPr>
                  <w:color w:val="000000"/>
                  <w:szCs w:val="22"/>
                  <w:lang w:val="es-ES"/>
                </w:rPr>
                <w:t>EL</w:t>
              </w:r>
            </w:smartTag>
            <w:r w:rsidRPr="002D741C">
              <w:rPr>
                <w:color w:val="000000"/>
                <w:szCs w:val="22"/>
                <w:lang w:val="es-ES"/>
              </w:rPr>
              <w:t>)</w:t>
            </w:r>
          </w:p>
          <w:p w14:paraId="1D1170EE" w14:textId="77777777" w:rsidR="002626B2" w:rsidRPr="002D741C" w:rsidRDefault="002626B2" w:rsidP="00C16E58">
            <w:pPr>
              <w:pStyle w:val="EndnoteText"/>
              <w:keepNext/>
              <w:widowControl w:val="0"/>
              <w:tabs>
                <w:tab w:val="clear" w:pos="567"/>
                <w:tab w:val="left" w:pos="176"/>
              </w:tabs>
              <w:rPr>
                <w:color w:val="000000"/>
                <w:szCs w:val="22"/>
                <w:lang w:val="es-ES"/>
              </w:rPr>
            </w:pPr>
            <w:r w:rsidRPr="002D741C">
              <w:rPr>
                <w:color w:val="000000"/>
                <w:szCs w:val="22"/>
                <w:lang w:val="es-ES"/>
              </w:rPr>
              <w:tab/>
              <w:t>Retorno a la fase crónica (RFC)</w:t>
            </w:r>
          </w:p>
        </w:tc>
        <w:tc>
          <w:tcPr>
            <w:tcW w:w="2254" w:type="dxa"/>
          </w:tcPr>
          <w:p w14:paraId="41261940" w14:textId="77777777" w:rsidR="0000170D" w:rsidRPr="002D741C" w:rsidRDefault="005729DF" w:rsidP="00C16E58">
            <w:pPr>
              <w:pStyle w:val="EndnoteText"/>
              <w:keepNext/>
              <w:widowControl w:val="0"/>
              <w:tabs>
                <w:tab w:val="clear" w:pos="567"/>
              </w:tabs>
              <w:jc w:val="center"/>
              <w:rPr>
                <w:color w:val="000000"/>
                <w:szCs w:val="22"/>
                <w:lang w:val="es-ES"/>
              </w:rPr>
            </w:pPr>
            <w:r w:rsidRPr="002D741C">
              <w:rPr>
                <w:color w:val="000000"/>
                <w:szCs w:val="22"/>
              </w:rPr>
              <w:t>95% (92,3–96,</w:t>
            </w:r>
            <w:r w:rsidR="0000170D" w:rsidRPr="002D741C">
              <w:rPr>
                <w:color w:val="000000"/>
                <w:szCs w:val="22"/>
              </w:rPr>
              <w:t>3)</w:t>
            </w:r>
          </w:p>
          <w:p w14:paraId="6DA38E54" w14:textId="77777777" w:rsidR="002626B2" w:rsidRPr="002D741C" w:rsidRDefault="0000170D" w:rsidP="00C16E58">
            <w:pPr>
              <w:pStyle w:val="EndnoteText"/>
              <w:keepNext/>
              <w:widowControl w:val="0"/>
              <w:tabs>
                <w:tab w:val="clear" w:pos="567"/>
              </w:tabs>
              <w:jc w:val="center"/>
              <w:rPr>
                <w:color w:val="000000"/>
                <w:szCs w:val="22"/>
                <w:lang w:val="es-ES"/>
              </w:rPr>
            </w:pPr>
            <w:r w:rsidRPr="002D741C">
              <w:rPr>
                <w:color w:val="000000"/>
                <w:szCs w:val="22"/>
              </w:rPr>
              <w:t>95%</w:t>
            </w:r>
          </w:p>
          <w:p w14:paraId="369823CD" w14:textId="77777777" w:rsidR="0000170D" w:rsidRPr="002D741C" w:rsidRDefault="0000170D" w:rsidP="00C16E58">
            <w:pPr>
              <w:pStyle w:val="EndnoteText"/>
              <w:keepNext/>
              <w:widowControl w:val="0"/>
              <w:tabs>
                <w:tab w:val="clear" w:pos="567"/>
              </w:tabs>
              <w:jc w:val="center"/>
              <w:rPr>
                <w:color w:val="000000"/>
                <w:szCs w:val="22"/>
                <w:lang w:val="es-ES"/>
              </w:rPr>
            </w:pPr>
          </w:p>
          <w:p w14:paraId="05A24FE9" w14:textId="77777777" w:rsidR="002626B2" w:rsidRPr="002D741C" w:rsidRDefault="002626B2" w:rsidP="00C16E58">
            <w:pPr>
              <w:pStyle w:val="EndnoteText"/>
              <w:keepNext/>
              <w:widowControl w:val="0"/>
              <w:tabs>
                <w:tab w:val="clear" w:pos="567"/>
              </w:tabs>
              <w:jc w:val="center"/>
              <w:rPr>
                <w:color w:val="000000"/>
                <w:szCs w:val="22"/>
                <w:lang w:val="es-ES"/>
              </w:rPr>
            </w:pPr>
            <w:r w:rsidRPr="002D741C">
              <w:rPr>
                <w:color w:val="000000"/>
                <w:szCs w:val="22"/>
                <w:lang w:val="es-ES"/>
              </w:rPr>
              <w:t>No aplicable</w:t>
            </w:r>
          </w:p>
          <w:p w14:paraId="3EE0485B" w14:textId="77777777" w:rsidR="002626B2" w:rsidRPr="002D741C" w:rsidRDefault="002626B2" w:rsidP="00C16E58">
            <w:pPr>
              <w:pStyle w:val="EndnoteText"/>
              <w:keepNext/>
              <w:widowControl w:val="0"/>
              <w:tabs>
                <w:tab w:val="clear" w:pos="567"/>
              </w:tabs>
              <w:jc w:val="center"/>
              <w:rPr>
                <w:color w:val="000000"/>
                <w:szCs w:val="22"/>
                <w:lang w:val="es-ES"/>
              </w:rPr>
            </w:pPr>
            <w:r w:rsidRPr="002D741C">
              <w:rPr>
                <w:color w:val="000000"/>
                <w:szCs w:val="22"/>
                <w:lang w:val="es-ES"/>
              </w:rPr>
              <w:t>No aplicable</w:t>
            </w:r>
          </w:p>
        </w:tc>
        <w:tc>
          <w:tcPr>
            <w:tcW w:w="2253" w:type="dxa"/>
          </w:tcPr>
          <w:p w14:paraId="3D449311" w14:textId="77777777" w:rsidR="0000170D" w:rsidRPr="002D741C" w:rsidRDefault="005729DF" w:rsidP="00C16E58">
            <w:pPr>
              <w:pStyle w:val="EndnoteText"/>
              <w:keepNext/>
              <w:widowControl w:val="0"/>
              <w:tabs>
                <w:tab w:val="clear" w:pos="567"/>
              </w:tabs>
              <w:jc w:val="center"/>
              <w:rPr>
                <w:color w:val="000000"/>
                <w:szCs w:val="22"/>
                <w:lang w:val="es-ES"/>
              </w:rPr>
            </w:pPr>
            <w:r w:rsidRPr="002D741C">
              <w:rPr>
                <w:color w:val="000000"/>
                <w:szCs w:val="22"/>
              </w:rPr>
              <w:t>71% (65,3–77,</w:t>
            </w:r>
            <w:r w:rsidR="0000170D" w:rsidRPr="002D741C">
              <w:rPr>
                <w:color w:val="000000"/>
                <w:szCs w:val="22"/>
              </w:rPr>
              <w:t>2)</w:t>
            </w:r>
          </w:p>
          <w:p w14:paraId="0ACABC02" w14:textId="77777777" w:rsidR="002626B2" w:rsidRPr="002D741C" w:rsidRDefault="0000170D" w:rsidP="00C16E58">
            <w:pPr>
              <w:pStyle w:val="EndnoteText"/>
              <w:keepNext/>
              <w:widowControl w:val="0"/>
              <w:tabs>
                <w:tab w:val="clear" w:pos="567"/>
              </w:tabs>
              <w:jc w:val="center"/>
              <w:rPr>
                <w:color w:val="000000"/>
                <w:szCs w:val="22"/>
                <w:lang w:val="es-ES"/>
              </w:rPr>
            </w:pPr>
            <w:r w:rsidRPr="002D741C">
              <w:rPr>
                <w:color w:val="000000"/>
                <w:szCs w:val="22"/>
              </w:rPr>
              <w:t>42%</w:t>
            </w:r>
          </w:p>
          <w:p w14:paraId="1E9B617C" w14:textId="77777777" w:rsidR="0000170D" w:rsidRPr="002D741C" w:rsidRDefault="0000170D" w:rsidP="00C16E58">
            <w:pPr>
              <w:pStyle w:val="EndnoteText"/>
              <w:keepNext/>
              <w:widowControl w:val="0"/>
              <w:tabs>
                <w:tab w:val="clear" w:pos="567"/>
              </w:tabs>
              <w:jc w:val="center"/>
              <w:rPr>
                <w:color w:val="000000"/>
                <w:szCs w:val="22"/>
                <w:lang w:val="es-ES"/>
              </w:rPr>
            </w:pPr>
          </w:p>
          <w:p w14:paraId="49F793D5" w14:textId="77777777" w:rsidR="002626B2" w:rsidRPr="002D741C" w:rsidRDefault="002626B2" w:rsidP="00C16E58">
            <w:pPr>
              <w:pStyle w:val="EndnoteText"/>
              <w:keepNext/>
              <w:widowControl w:val="0"/>
              <w:tabs>
                <w:tab w:val="clear" w:pos="567"/>
              </w:tabs>
              <w:jc w:val="center"/>
              <w:rPr>
                <w:color w:val="000000"/>
                <w:szCs w:val="22"/>
                <w:lang w:val="es-ES"/>
              </w:rPr>
            </w:pPr>
            <w:r w:rsidRPr="002D741C">
              <w:rPr>
                <w:color w:val="000000"/>
                <w:szCs w:val="22"/>
                <w:lang w:val="es-ES"/>
              </w:rPr>
              <w:t>12%</w:t>
            </w:r>
          </w:p>
          <w:p w14:paraId="39EF3EA7" w14:textId="77777777" w:rsidR="002626B2" w:rsidRPr="002D741C" w:rsidRDefault="005729DF" w:rsidP="00C16E58">
            <w:pPr>
              <w:pStyle w:val="EndnoteText"/>
              <w:keepNext/>
              <w:widowControl w:val="0"/>
              <w:tabs>
                <w:tab w:val="clear" w:pos="567"/>
              </w:tabs>
              <w:jc w:val="center"/>
              <w:rPr>
                <w:color w:val="000000"/>
                <w:szCs w:val="22"/>
                <w:lang w:val="es-ES"/>
              </w:rPr>
            </w:pPr>
            <w:r w:rsidRPr="002D741C">
              <w:rPr>
                <w:color w:val="000000"/>
                <w:szCs w:val="22"/>
                <w:lang w:val="es-ES"/>
              </w:rPr>
              <w:t>17</w:t>
            </w:r>
            <w:r w:rsidR="002626B2" w:rsidRPr="002D741C">
              <w:rPr>
                <w:color w:val="000000"/>
                <w:szCs w:val="22"/>
                <w:lang w:val="es-ES"/>
              </w:rPr>
              <w:t>%</w:t>
            </w:r>
          </w:p>
        </w:tc>
        <w:tc>
          <w:tcPr>
            <w:tcW w:w="2103" w:type="dxa"/>
          </w:tcPr>
          <w:p w14:paraId="2A435234" w14:textId="77777777" w:rsidR="002626B2" w:rsidRPr="002D741C" w:rsidRDefault="005729DF" w:rsidP="00C16E58">
            <w:pPr>
              <w:pStyle w:val="EndnoteText"/>
              <w:keepNext/>
              <w:widowControl w:val="0"/>
              <w:tabs>
                <w:tab w:val="clear" w:pos="567"/>
              </w:tabs>
              <w:jc w:val="center"/>
              <w:rPr>
                <w:color w:val="000000"/>
                <w:szCs w:val="22"/>
                <w:lang w:val="es-ES"/>
              </w:rPr>
            </w:pPr>
            <w:r w:rsidRPr="002D741C">
              <w:rPr>
                <w:color w:val="000000"/>
                <w:szCs w:val="22"/>
              </w:rPr>
              <w:t>31% (25,2–36,</w:t>
            </w:r>
            <w:r w:rsidR="0000170D" w:rsidRPr="002D741C">
              <w:rPr>
                <w:color w:val="000000"/>
                <w:szCs w:val="22"/>
              </w:rPr>
              <w:t>8)</w:t>
            </w:r>
          </w:p>
          <w:p w14:paraId="73B55DF1" w14:textId="77777777" w:rsidR="002626B2" w:rsidRPr="002D741C" w:rsidRDefault="0000170D" w:rsidP="00C16E58">
            <w:pPr>
              <w:pStyle w:val="EndnoteText"/>
              <w:keepNext/>
              <w:widowControl w:val="0"/>
              <w:tabs>
                <w:tab w:val="clear" w:pos="567"/>
              </w:tabs>
              <w:jc w:val="center"/>
              <w:rPr>
                <w:color w:val="000000"/>
                <w:szCs w:val="22"/>
                <w:lang w:val="es-ES"/>
              </w:rPr>
            </w:pPr>
            <w:r w:rsidRPr="002D741C">
              <w:rPr>
                <w:color w:val="000000"/>
                <w:szCs w:val="22"/>
              </w:rPr>
              <w:t>8%</w:t>
            </w:r>
          </w:p>
          <w:p w14:paraId="0FE1EA94" w14:textId="77777777" w:rsidR="0000170D" w:rsidRPr="002D741C" w:rsidRDefault="0000170D" w:rsidP="00C16E58">
            <w:pPr>
              <w:pStyle w:val="EndnoteText"/>
              <w:keepNext/>
              <w:widowControl w:val="0"/>
              <w:tabs>
                <w:tab w:val="clear" w:pos="567"/>
              </w:tabs>
              <w:jc w:val="center"/>
              <w:rPr>
                <w:color w:val="000000"/>
                <w:szCs w:val="22"/>
                <w:lang w:val="es-ES"/>
              </w:rPr>
            </w:pPr>
          </w:p>
          <w:p w14:paraId="68F0E556" w14:textId="77777777" w:rsidR="002626B2" w:rsidRPr="002D741C" w:rsidRDefault="002626B2" w:rsidP="00C16E58">
            <w:pPr>
              <w:pStyle w:val="EndnoteText"/>
              <w:keepNext/>
              <w:widowControl w:val="0"/>
              <w:tabs>
                <w:tab w:val="clear" w:pos="567"/>
              </w:tabs>
              <w:jc w:val="center"/>
              <w:rPr>
                <w:color w:val="000000"/>
                <w:szCs w:val="22"/>
                <w:lang w:val="es-ES"/>
              </w:rPr>
            </w:pPr>
            <w:r w:rsidRPr="002D741C">
              <w:rPr>
                <w:color w:val="000000"/>
                <w:szCs w:val="22"/>
                <w:lang w:val="es-ES"/>
              </w:rPr>
              <w:t>5%</w:t>
            </w:r>
          </w:p>
          <w:p w14:paraId="7C9B0F92" w14:textId="77777777" w:rsidR="002626B2" w:rsidRPr="002D741C" w:rsidRDefault="002626B2" w:rsidP="00C16E58">
            <w:pPr>
              <w:pStyle w:val="EndnoteText"/>
              <w:keepNext/>
              <w:widowControl w:val="0"/>
              <w:tabs>
                <w:tab w:val="clear" w:pos="567"/>
              </w:tabs>
              <w:jc w:val="center"/>
              <w:rPr>
                <w:color w:val="000000"/>
                <w:szCs w:val="22"/>
                <w:lang w:val="es-ES"/>
              </w:rPr>
            </w:pPr>
            <w:r w:rsidRPr="002D741C">
              <w:rPr>
                <w:color w:val="000000"/>
                <w:szCs w:val="22"/>
                <w:lang w:val="es-ES"/>
              </w:rPr>
              <w:t>18%</w:t>
            </w:r>
          </w:p>
        </w:tc>
      </w:tr>
      <w:tr w:rsidR="0003378F" w:rsidRPr="002D741C" w14:paraId="5E044F1C" w14:textId="77777777" w:rsidTr="00C16E58">
        <w:trPr>
          <w:cantSplit/>
        </w:trPr>
        <w:tc>
          <w:tcPr>
            <w:tcW w:w="2604" w:type="dxa"/>
          </w:tcPr>
          <w:p w14:paraId="24DCE191" w14:textId="77777777" w:rsidR="002626B2" w:rsidRPr="002D741C" w:rsidRDefault="002626B2" w:rsidP="00C16E58">
            <w:pPr>
              <w:pStyle w:val="EndnoteText"/>
              <w:keepNext/>
              <w:widowControl w:val="0"/>
              <w:tabs>
                <w:tab w:val="clear" w:pos="567"/>
              </w:tabs>
              <w:rPr>
                <w:color w:val="000000"/>
                <w:szCs w:val="22"/>
                <w:lang w:val="es-ES"/>
              </w:rPr>
            </w:pPr>
            <w:r w:rsidRPr="002D741C">
              <w:rPr>
                <w:color w:val="000000"/>
                <w:szCs w:val="22"/>
                <w:lang w:val="es-ES"/>
              </w:rPr>
              <w:t>Respuesta citogenética mayor</w:t>
            </w:r>
            <w:r w:rsidRPr="002D741C">
              <w:rPr>
                <w:color w:val="000000"/>
                <w:szCs w:val="22"/>
                <w:vertAlign w:val="superscript"/>
                <w:lang w:val="es-ES"/>
              </w:rPr>
              <w:t>2</w:t>
            </w:r>
          </w:p>
          <w:p w14:paraId="48C63484" w14:textId="77777777" w:rsidR="002626B2" w:rsidRPr="002D741C" w:rsidRDefault="002626B2" w:rsidP="00C16E58">
            <w:pPr>
              <w:pStyle w:val="EndnoteText"/>
              <w:keepNext/>
              <w:widowControl w:val="0"/>
              <w:tabs>
                <w:tab w:val="clear" w:pos="567"/>
                <w:tab w:val="left" w:pos="176"/>
              </w:tabs>
              <w:rPr>
                <w:color w:val="000000"/>
                <w:szCs w:val="22"/>
                <w:lang w:val="es-ES"/>
              </w:rPr>
            </w:pPr>
            <w:r w:rsidRPr="002D741C">
              <w:rPr>
                <w:color w:val="000000"/>
                <w:szCs w:val="22"/>
                <w:lang w:val="es-ES"/>
              </w:rPr>
              <w:tab/>
              <w:t>Completa</w:t>
            </w:r>
          </w:p>
          <w:p w14:paraId="76D998AC" w14:textId="77777777" w:rsidR="002626B2" w:rsidRPr="002D741C" w:rsidRDefault="002626B2" w:rsidP="00C16E58">
            <w:pPr>
              <w:pStyle w:val="EndnoteText"/>
              <w:keepNext/>
              <w:widowControl w:val="0"/>
              <w:tabs>
                <w:tab w:val="clear" w:pos="567"/>
                <w:tab w:val="left" w:pos="176"/>
              </w:tabs>
              <w:ind w:left="176"/>
              <w:rPr>
                <w:color w:val="000000"/>
                <w:szCs w:val="22"/>
                <w:lang w:val="es-ES"/>
              </w:rPr>
            </w:pPr>
            <w:r w:rsidRPr="002D741C">
              <w:rPr>
                <w:color w:val="000000"/>
                <w:szCs w:val="22"/>
                <w:lang w:val="es-ES"/>
              </w:rPr>
              <w:t>(Confirmada</w:t>
            </w:r>
            <w:r w:rsidRPr="002D741C">
              <w:rPr>
                <w:color w:val="000000"/>
                <w:szCs w:val="22"/>
                <w:vertAlign w:val="superscript"/>
                <w:lang w:val="es-ES"/>
              </w:rPr>
              <w:t>3</w:t>
            </w:r>
            <w:r w:rsidRPr="002D741C">
              <w:rPr>
                <w:color w:val="000000"/>
                <w:szCs w:val="22"/>
                <w:lang w:val="es-ES"/>
              </w:rPr>
              <w:t>) [95% IC]</w:t>
            </w:r>
          </w:p>
          <w:p w14:paraId="14C2EDD5" w14:textId="77777777" w:rsidR="002626B2" w:rsidRPr="002D741C" w:rsidRDefault="002626B2" w:rsidP="00C16E58">
            <w:pPr>
              <w:pStyle w:val="EndnoteText"/>
              <w:keepNext/>
              <w:widowControl w:val="0"/>
              <w:tabs>
                <w:tab w:val="clear" w:pos="567"/>
                <w:tab w:val="left" w:pos="176"/>
              </w:tabs>
              <w:rPr>
                <w:color w:val="000000"/>
                <w:szCs w:val="22"/>
                <w:lang w:val="es-ES"/>
              </w:rPr>
            </w:pPr>
            <w:r w:rsidRPr="002D741C">
              <w:rPr>
                <w:color w:val="000000"/>
                <w:szCs w:val="22"/>
                <w:lang w:val="es-ES"/>
              </w:rPr>
              <w:tab/>
              <w:t>Parcial</w:t>
            </w:r>
          </w:p>
        </w:tc>
        <w:tc>
          <w:tcPr>
            <w:tcW w:w="2254" w:type="dxa"/>
          </w:tcPr>
          <w:p w14:paraId="152AB4DC" w14:textId="77777777" w:rsidR="0000170D" w:rsidRPr="002D741C" w:rsidRDefault="005729DF" w:rsidP="00C16E58">
            <w:pPr>
              <w:pStyle w:val="EndnoteText"/>
              <w:keepNext/>
              <w:widowControl w:val="0"/>
              <w:tabs>
                <w:tab w:val="clear" w:pos="567"/>
              </w:tabs>
              <w:jc w:val="center"/>
              <w:rPr>
                <w:color w:val="000000"/>
                <w:szCs w:val="22"/>
                <w:lang w:val="es-ES"/>
              </w:rPr>
            </w:pPr>
            <w:r w:rsidRPr="002D741C">
              <w:rPr>
                <w:color w:val="000000"/>
                <w:szCs w:val="22"/>
              </w:rPr>
              <w:t>65% (61,2–69,</w:t>
            </w:r>
            <w:r w:rsidR="0000170D" w:rsidRPr="002D741C">
              <w:rPr>
                <w:color w:val="000000"/>
                <w:szCs w:val="22"/>
              </w:rPr>
              <w:t>5)</w:t>
            </w:r>
          </w:p>
          <w:p w14:paraId="22692368" w14:textId="77777777" w:rsidR="002626B2" w:rsidRPr="002D741C" w:rsidRDefault="0000170D" w:rsidP="00C16E58">
            <w:pPr>
              <w:pStyle w:val="EndnoteText"/>
              <w:keepNext/>
              <w:widowControl w:val="0"/>
              <w:tabs>
                <w:tab w:val="clear" w:pos="567"/>
              </w:tabs>
              <w:jc w:val="center"/>
              <w:rPr>
                <w:color w:val="000000"/>
                <w:szCs w:val="22"/>
                <w:lang w:val="es-ES"/>
              </w:rPr>
            </w:pPr>
            <w:r w:rsidRPr="002D741C">
              <w:rPr>
                <w:color w:val="000000"/>
                <w:szCs w:val="22"/>
              </w:rPr>
              <w:t>53%</w:t>
            </w:r>
          </w:p>
          <w:p w14:paraId="36800B33" w14:textId="77777777" w:rsidR="0000170D" w:rsidRPr="002D741C" w:rsidRDefault="0000170D" w:rsidP="00C16E58">
            <w:pPr>
              <w:pStyle w:val="EndnoteText"/>
              <w:keepNext/>
              <w:widowControl w:val="0"/>
              <w:tabs>
                <w:tab w:val="clear" w:pos="567"/>
              </w:tabs>
              <w:jc w:val="center"/>
              <w:rPr>
                <w:bCs/>
                <w:color w:val="000000"/>
                <w:szCs w:val="22"/>
                <w:lang w:val="es-ES"/>
              </w:rPr>
            </w:pPr>
            <w:r w:rsidRPr="002D741C">
              <w:rPr>
                <w:bCs/>
                <w:color w:val="000000"/>
                <w:szCs w:val="22"/>
              </w:rPr>
              <w:t>(43%) [3</w:t>
            </w:r>
            <w:r w:rsidR="00341C12" w:rsidRPr="002D741C">
              <w:rPr>
                <w:bCs/>
                <w:color w:val="000000"/>
                <w:szCs w:val="22"/>
              </w:rPr>
              <w:t>8,6–47,</w:t>
            </w:r>
            <w:r w:rsidRPr="002D741C">
              <w:rPr>
                <w:bCs/>
                <w:color w:val="000000"/>
                <w:szCs w:val="22"/>
              </w:rPr>
              <w:t>2]</w:t>
            </w:r>
          </w:p>
          <w:p w14:paraId="693A62C4" w14:textId="77777777" w:rsidR="002626B2" w:rsidRPr="002D741C" w:rsidRDefault="00205E61" w:rsidP="00C16E58">
            <w:pPr>
              <w:pStyle w:val="EndnoteText"/>
              <w:keepNext/>
              <w:widowControl w:val="0"/>
              <w:tabs>
                <w:tab w:val="clear" w:pos="567"/>
              </w:tabs>
              <w:jc w:val="center"/>
              <w:rPr>
                <w:color w:val="000000"/>
                <w:szCs w:val="22"/>
                <w:lang w:val="es-ES"/>
              </w:rPr>
            </w:pPr>
            <w:r w:rsidRPr="002D741C">
              <w:rPr>
                <w:color w:val="000000"/>
                <w:szCs w:val="22"/>
                <w:lang w:val="es-ES"/>
              </w:rPr>
              <w:t>12</w:t>
            </w:r>
            <w:r w:rsidR="002626B2" w:rsidRPr="002D741C">
              <w:rPr>
                <w:color w:val="000000"/>
                <w:szCs w:val="22"/>
                <w:lang w:val="es-ES"/>
              </w:rPr>
              <w:t>%</w:t>
            </w:r>
          </w:p>
        </w:tc>
        <w:tc>
          <w:tcPr>
            <w:tcW w:w="2253" w:type="dxa"/>
          </w:tcPr>
          <w:p w14:paraId="7FEBDEBA" w14:textId="77777777" w:rsidR="002626B2" w:rsidRPr="002D741C" w:rsidRDefault="00341C12" w:rsidP="00C16E58">
            <w:pPr>
              <w:pStyle w:val="EndnoteText"/>
              <w:keepNext/>
              <w:widowControl w:val="0"/>
              <w:tabs>
                <w:tab w:val="clear" w:pos="567"/>
              </w:tabs>
              <w:jc w:val="center"/>
              <w:rPr>
                <w:color w:val="000000"/>
                <w:szCs w:val="22"/>
                <w:lang w:val="es-ES"/>
              </w:rPr>
            </w:pPr>
            <w:r w:rsidRPr="002D741C">
              <w:rPr>
                <w:color w:val="000000"/>
                <w:szCs w:val="22"/>
              </w:rPr>
              <w:t>28% (22,0–33,</w:t>
            </w:r>
            <w:r w:rsidR="00205E61" w:rsidRPr="002D741C">
              <w:rPr>
                <w:color w:val="000000"/>
                <w:szCs w:val="22"/>
              </w:rPr>
              <w:t>9)</w:t>
            </w:r>
          </w:p>
          <w:p w14:paraId="16CC8A7F" w14:textId="77777777" w:rsidR="00205E61" w:rsidRPr="002D741C" w:rsidRDefault="00205E61" w:rsidP="00C16E58">
            <w:pPr>
              <w:pStyle w:val="EndnoteText"/>
              <w:keepNext/>
              <w:widowControl w:val="0"/>
              <w:tabs>
                <w:tab w:val="clear" w:pos="567"/>
              </w:tabs>
              <w:jc w:val="center"/>
              <w:rPr>
                <w:color w:val="000000"/>
                <w:szCs w:val="22"/>
                <w:lang w:val="es-ES"/>
              </w:rPr>
            </w:pPr>
            <w:r w:rsidRPr="002D741C">
              <w:rPr>
                <w:color w:val="000000"/>
                <w:szCs w:val="22"/>
              </w:rPr>
              <w:t>20%</w:t>
            </w:r>
          </w:p>
          <w:p w14:paraId="3FE9E69B" w14:textId="77777777" w:rsidR="00341C12" w:rsidRPr="002D741C" w:rsidRDefault="00341C12" w:rsidP="00C16E58">
            <w:pPr>
              <w:pStyle w:val="EndnoteText"/>
              <w:keepNext/>
              <w:widowControl w:val="0"/>
              <w:tabs>
                <w:tab w:val="clear" w:pos="567"/>
              </w:tabs>
              <w:jc w:val="center"/>
              <w:rPr>
                <w:bCs/>
                <w:color w:val="000000"/>
                <w:szCs w:val="22"/>
                <w:lang w:val="es-ES"/>
              </w:rPr>
            </w:pPr>
            <w:r w:rsidRPr="002D741C">
              <w:rPr>
                <w:bCs/>
                <w:color w:val="000000"/>
                <w:szCs w:val="22"/>
              </w:rPr>
              <w:t>(16%) [11,3–21,0]</w:t>
            </w:r>
          </w:p>
          <w:p w14:paraId="0B409231" w14:textId="77777777" w:rsidR="002626B2" w:rsidRPr="002D741C" w:rsidRDefault="002626B2" w:rsidP="00C16E58">
            <w:pPr>
              <w:pStyle w:val="EndnoteText"/>
              <w:keepNext/>
              <w:widowControl w:val="0"/>
              <w:tabs>
                <w:tab w:val="clear" w:pos="567"/>
              </w:tabs>
              <w:jc w:val="center"/>
              <w:rPr>
                <w:color w:val="000000"/>
                <w:szCs w:val="22"/>
                <w:lang w:val="es-ES"/>
              </w:rPr>
            </w:pPr>
            <w:r w:rsidRPr="002D741C">
              <w:rPr>
                <w:color w:val="000000"/>
                <w:szCs w:val="22"/>
                <w:lang w:val="es-ES"/>
              </w:rPr>
              <w:t>7%</w:t>
            </w:r>
          </w:p>
        </w:tc>
        <w:tc>
          <w:tcPr>
            <w:tcW w:w="2103" w:type="dxa"/>
          </w:tcPr>
          <w:p w14:paraId="47351906" w14:textId="77777777" w:rsidR="002626B2" w:rsidRPr="002D741C" w:rsidRDefault="002626B2" w:rsidP="00C16E58">
            <w:pPr>
              <w:pStyle w:val="EndnoteText"/>
              <w:keepNext/>
              <w:widowControl w:val="0"/>
              <w:tabs>
                <w:tab w:val="clear" w:pos="567"/>
              </w:tabs>
              <w:jc w:val="center"/>
              <w:rPr>
                <w:color w:val="000000"/>
                <w:szCs w:val="22"/>
                <w:lang w:val="es-ES"/>
              </w:rPr>
            </w:pPr>
            <w:r w:rsidRPr="002D741C">
              <w:rPr>
                <w:color w:val="000000"/>
                <w:szCs w:val="22"/>
                <w:lang w:val="es-ES"/>
              </w:rPr>
              <w:t>15% (11,2</w:t>
            </w:r>
            <w:r w:rsidR="00F11D96" w:rsidRPr="002D741C">
              <w:rPr>
                <w:color w:val="000000"/>
                <w:szCs w:val="22"/>
                <w:lang w:val="es-ES"/>
              </w:rPr>
              <w:t>–</w:t>
            </w:r>
            <w:r w:rsidRPr="002D741C">
              <w:rPr>
                <w:color w:val="000000"/>
                <w:szCs w:val="22"/>
                <w:lang w:val="es-ES"/>
              </w:rPr>
              <w:t>20,4)</w:t>
            </w:r>
          </w:p>
          <w:p w14:paraId="5B0DCFFF" w14:textId="77777777" w:rsidR="002626B2" w:rsidRPr="002D741C" w:rsidRDefault="002626B2" w:rsidP="00C16E58">
            <w:pPr>
              <w:pStyle w:val="EndnoteText"/>
              <w:keepNext/>
              <w:widowControl w:val="0"/>
              <w:tabs>
                <w:tab w:val="clear" w:pos="567"/>
              </w:tabs>
              <w:jc w:val="center"/>
              <w:rPr>
                <w:color w:val="000000"/>
                <w:szCs w:val="22"/>
                <w:lang w:val="es-ES"/>
              </w:rPr>
            </w:pPr>
            <w:r w:rsidRPr="002D741C">
              <w:rPr>
                <w:color w:val="000000"/>
                <w:szCs w:val="22"/>
                <w:lang w:val="es-ES"/>
              </w:rPr>
              <w:t>7%</w:t>
            </w:r>
          </w:p>
          <w:p w14:paraId="3BF15B27" w14:textId="77777777" w:rsidR="00341C12" w:rsidRPr="002D741C" w:rsidRDefault="00341C12" w:rsidP="00C16E58">
            <w:pPr>
              <w:pStyle w:val="EndnoteText"/>
              <w:keepNext/>
              <w:widowControl w:val="0"/>
              <w:tabs>
                <w:tab w:val="clear" w:pos="567"/>
              </w:tabs>
              <w:jc w:val="center"/>
              <w:rPr>
                <w:color w:val="000000"/>
                <w:szCs w:val="22"/>
                <w:lang w:val="es-ES"/>
              </w:rPr>
            </w:pPr>
            <w:r w:rsidRPr="002D741C">
              <w:rPr>
                <w:bCs/>
                <w:color w:val="000000"/>
                <w:szCs w:val="22"/>
              </w:rPr>
              <w:t>(2%) [0,6–4,4</w:t>
            </w:r>
            <w:r w:rsidRPr="002D741C">
              <w:rPr>
                <w:b/>
                <w:color w:val="000000"/>
                <w:szCs w:val="22"/>
              </w:rPr>
              <w:t>]</w:t>
            </w:r>
          </w:p>
          <w:p w14:paraId="3542C820" w14:textId="77777777" w:rsidR="002626B2" w:rsidRPr="002D741C" w:rsidRDefault="002626B2" w:rsidP="00C16E58">
            <w:pPr>
              <w:pStyle w:val="EndnoteText"/>
              <w:keepNext/>
              <w:widowControl w:val="0"/>
              <w:tabs>
                <w:tab w:val="clear" w:pos="567"/>
              </w:tabs>
              <w:jc w:val="center"/>
              <w:rPr>
                <w:color w:val="000000"/>
                <w:szCs w:val="22"/>
                <w:lang w:val="es-ES"/>
              </w:rPr>
            </w:pPr>
            <w:r w:rsidRPr="002D741C">
              <w:rPr>
                <w:color w:val="000000"/>
                <w:szCs w:val="22"/>
                <w:lang w:val="es-ES"/>
              </w:rPr>
              <w:t>8%</w:t>
            </w:r>
          </w:p>
        </w:tc>
      </w:tr>
      <w:tr w:rsidR="002626B2" w:rsidRPr="002D741C" w14:paraId="3643E80E" w14:textId="77777777" w:rsidTr="00C16E58">
        <w:trPr>
          <w:cantSplit/>
        </w:trPr>
        <w:tc>
          <w:tcPr>
            <w:tcW w:w="9214" w:type="dxa"/>
            <w:gridSpan w:val="4"/>
          </w:tcPr>
          <w:p w14:paraId="665BDD0E" w14:textId="77777777" w:rsidR="002626B2" w:rsidRPr="002D741C" w:rsidRDefault="002626B2" w:rsidP="001A2F33">
            <w:pPr>
              <w:pStyle w:val="EndnoteText"/>
              <w:widowControl w:val="0"/>
              <w:tabs>
                <w:tab w:val="clear" w:pos="567"/>
              </w:tabs>
              <w:rPr>
                <w:color w:val="000000"/>
                <w:szCs w:val="22"/>
                <w:lang w:val="es-ES"/>
              </w:rPr>
            </w:pPr>
            <w:r w:rsidRPr="002D741C">
              <w:rPr>
                <w:color w:val="000000"/>
                <w:szCs w:val="22"/>
                <w:vertAlign w:val="superscript"/>
                <w:lang w:val="es-ES"/>
              </w:rPr>
              <w:t>1</w:t>
            </w:r>
            <w:r w:rsidRPr="002D741C">
              <w:rPr>
                <w:b/>
                <w:color w:val="000000"/>
                <w:szCs w:val="22"/>
                <w:lang w:val="es-ES"/>
              </w:rPr>
              <w:t xml:space="preserve">Criterio de respuesta hematológica (todas las respuestas confirmadas tras </w:t>
            </w:r>
            <w:r w:rsidRPr="002D741C">
              <w:rPr>
                <w:color w:val="000000"/>
                <w:szCs w:val="22"/>
                <w:lang w:val="es-ES"/>
              </w:rPr>
              <w:sym w:font="Symbol" w:char="F0B3"/>
            </w:r>
            <w:r w:rsidR="00F11D96" w:rsidRPr="002D741C">
              <w:rPr>
                <w:b/>
                <w:color w:val="000000"/>
                <w:szCs w:val="22"/>
                <w:lang w:val="es-ES"/>
              </w:rPr>
              <w:t> </w:t>
            </w:r>
            <w:r w:rsidRPr="002D741C">
              <w:rPr>
                <w:b/>
                <w:color w:val="000000"/>
                <w:szCs w:val="22"/>
                <w:lang w:val="es-ES"/>
              </w:rPr>
              <w:t>4</w:t>
            </w:r>
            <w:r w:rsidR="00F11D96" w:rsidRPr="002D741C">
              <w:rPr>
                <w:b/>
                <w:color w:val="000000"/>
                <w:szCs w:val="22"/>
                <w:lang w:val="es-ES"/>
              </w:rPr>
              <w:t> </w:t>
            </w:r>
            <w:r w:rsidRPr="002D741C">
              <w:rPr>
                <w:b/>
                <w:color w:val="000000"/>
                <w:szCs w:val="22"/>
                <w:lang w:val="es-ES"/>
              </w:rPr>
              <w:t>semanas):</w:t>
            </w:r>
          </w:p>
          <w:p w14:paraId="6D3C53E6" w14:textId="77777777" w:rsidR="002626B2" w:rsidRPr="002D741C" w:rsidRDefault="002626B2" w:rsidP="00EB7D4D">
            <w:pPr>
              <w:pStyle w:val="EndnoteText"/>
              <w:widowControl w:val="0"/>
              <w:tabs>
                <w:tab w:val="clear" w:pos="567"/>
              </w:tabs>
              <w:ind w:left="601" w:hanging="601"/>
              <w:rPr>
                <w:color w:val="000000"/>
                <w:szCs w:val="22"/>
                <w:lang w:val="es-ES"/>
              </w:rPr>
            </w:pPr>
            <w:r w:rsidRPr="002D741C">
              <w:rPr>
                <w:color w:val="000000"/>
                <w:szCs w:val="22"/>
                <w:lang w:val="es-ES"/>
              </w:rPr>
              <w:t>RHC:</w:t>
            </w:r>
            <w:r w:rsidRPr="002D741C">
              <w:rPr>
                <w:color w:val="000000"/>
                <w:szCs w:val="22"/>
                <w:lang w:val="es-ES"/>
              </w:rPr>
              <w:tab/>
              <w:t>Estudio 0110 [Recuento de leucocitos &lt;</w:t>
            </w:r>
            <w:r w:rsidR="00F11D96" w:rsidRPr="002D741C">
              <w:rPr>
                <w:color w:val="000000"/>
                <w:szCs w:val="22"/>
                <w:lang w:val="es-ES"/>
              </w:rPr>
              <w:t> </w:t>
            </w:r>
            <w:r w:rsidRPr="002D741C">
              <w:rPr>
                <w:color w:val="000000"/>
                <w:szCs w:val="22"/>
                <w:lang w:val="es-ES"/>
              </w:rPr>
              <w:t>10</w:t>
            </w:r>
            <w:r w:rsidR="00F11D96" w:rsidRPr="002D741C">
              <w:rPr>
                <w:color w:val="000000"/>
                <w:szCs w:val="22"/>
                <w:lang w:val="es-ES"/>
              </w:rPr>
              <w:t> </w:t>
            </w:r>
            <w:r w:rsidRPr="002D741C">
              <w:rPr>
                <w:color w:val="000000"/>
                <w:szCs w:val="22"/>
                <w:lang w:val="es-ES"/>
              </w:rPr>
              <w:t>x</w:t>
            </w:r>
            <w:r w:rsidR="00F11D96" w:rsidRPr="002D741C">
              <w:rPr>
                <w:color w:val="000000"/>
                <w:szCs w:val="22"/>
                <w:lang w:val="es-ES"/>
              </w:rPr>
              <w:t> </w:t>
            </w:r>
            <w:r w:rsidRPr="002D741C">
              <w:rPr>
                <w:color w:val="000000"/>
                <w:szCs w:val="22"/>
                <w:lang w:val="es-ES"/>
              </w:rPr>
              <w:t>10</w:t>
            </w:r>
            <w:r w:rsidRPr="002D741C">
              <w:rPr>
                <w:color w:val="000000"/>
                <w:szCs w:val="22"/>
                <w:vertAlign w:val="superscript"/>
                <w:lang w:val="es-ES"/>
              </w:rPr>
              <w:t>9</w:t>
            </w:r>
            <w:r w:rsidRPr="002D741C">
              <w:rPr>
                <w:color w:val="000000"/>
                <w:szCs w:val="22"/>
                <w:lang w:val="es-ES"/>
              </w:rPr>
              <w:t>/l, plaquetas &lt;</w:t>
            </w:r>
            <w:r w:rsidR="00F11D96" w:rsidRPr="002D741C">
              <w:rPr>
                <w:color w:val="000000"/>
                <w:szCs w:val="22"/>
                <w:lang w:val="es-ES"/>
              </w:rPr>
              <w:t> </w:t>
            </w:r>
            <w:r w:rsidRPr="002D741C">
              <w:rPr>
                <w:color w:val="000000"/>
                <w:szCs w:val="22"/>
                <w:lang w:val="es-ES"/>
              </w:rPr>
              <w:t>450</w:t>
            </w:r>
            <w:r w:rsidR="00F11D96" w:rsidRPr="002D741C">
              <w:rPr>
                <w:color w:val="000000"/>
                <w:szCs w:val="22"/>
                <w:lang w:val="es-ES"/>
              </w:rPr>
              <w:t> </w:t>
            </w:r>
            <w:r w:rsidRPr="002D741C">
              <w:rPr>
                <w:color w:val="000000"/>
                <w:szCs w:val="22"/>
                <w:lang w:val="es-ES"/>
              </w:rPr>
              <w:t>x</w:t>
            </w:r>
            <w:r w:rsidR="00F11D96" w:rsidRPr="002D741C">
              <w:rPr>
                <w:color w:val="000000"/>
                <w:szCs w:val="22"/>
                <w:lang w:val="es-ES"/>
              </w:rPr>
              <w:t> </w:t>
            </w:r>
            <w:r w:rsidRPr="002D741C">
              <w:rPr>
                <w:color w:val="000000"/>
                <w:szCs w:val="22"/>
                <w:lang w:val="es-ES"/>
              </w:rPr>
              <w:t>10</w:t>
            </w:r>
            <w:r w:rsidRPr="002D741C">
              <w:rPr>
                <w:color w:val="000000"/>
                <w:szCs w:val="22"/>
                <w:vertAlign w:val="superscript"/>
                <w:lang w:val="es-ES"/>
              </w:rPr>
              <w:t>9</w:t>
            </w:r>
            <w:r w:rsidRPr="002D741C">
              <w:rPr>
                <w:color w:val="000000"/>
                <w:szCs w:val="22"/>
                <w:lang w:val="es-ES"/>
              </w:rPr>
              <w:t>/l, mielocitos+metamielocitos en sangre &lt;</w:t>
            </w:r>
            <w:r w:rsidR="00F11D96" w:rsidRPr="002D741C">
              <w:rPr>
                <w:color w:val="000000"/>
                <w:szCs w:val="22"/>
                <w:lang w:val="es-ES"/>
              </w:rPr>
              <w:t> </w:t>
            </w:r>
            <w:r w:rsidRPr="002D741C">
              <w:rPr>
                <w:color w:val="000000"/>
                <w:szCs w:val="22"/>
                <w:lang w:val="es-ES"/>
              </w:rPr>
              <w:t xml:space="preserve">5%, sin blastos ni promielocitos en sangre, basófilos &lt; 20%, sin implicación extramedular] y los estudios 0102 y 0109 [RAN </w:t>
            </w:r>
            <w:r w:rsidRPr="002D741C">
              <w:rPr>
                <w:color w:val="000000"/>
                <w:szCs w:val="22"/>
                <w:lang w:val="es-ES"/>
              </w:rPr>
              <w:sym w:font="Symbol" w:char="F0B3"/>
            </w:r>
            <w:r w:rsidR="00F11D96" w:rsidRPr="002D741C">
              <w:rPr>
                <w:color w:val="000000"/>
                <w:szCs w:val="22"/>
                <w:lang w:val="es-ES"/>
              </w:rPr>
              <w:t> </w:t>
            </w:r>
            <w:r w:rsidRPr="002D741C">
              <w:rPr>
                <w:color w:val="000000"/>
                <w:szCs w:val="22"/>
                <w:lang w:val="es-ES"/>
              </w:rPr>
              <w:t>1,5</w:t>
            </w:r>
            <w:r w:rsidR="00F11D96" w:rsidRPr="002D741C">
              <w:rPr>
                <w:color w:val="000000"/>
                <w:szCs w:val="22"/>
                <w:lang w:val="es-ES"/>
              </w:rPr>
              <w:t> </w:t>
            </w:r>
            <w:r w:rsidRPr="002D741C">
              <w:rPr>
                <w:color w:val="000000"/>
                <w:szCs w:val="22"/>
                <w:lang w:val="es-ES"/>
              </w:rPr>
              <w:t>x</w:t>
            </w:r>
            <w:r w:rsidR="00F11D96" w:rsidRPr="002D741C">
              <w:rPr>
                <w:color w:val="000000"/>
                <w:szCs w:val="22"/>
                <w:lang w:val="es-ES"/>
              </w:rPr>
              <w:t> </w:t>
            </w:r>
            <w:r w:rsidRPr="002D741C">
              <w:rPr>
                <w:color w:val="000000"/>
                <w:szCs w:val="22"/>
                <w:lang w:val="es-ES"/>
              </w:rPr>
              <w:t>10</w:t>
            </w:r>
            <w:r w:rsidRPr="002D741C">
              <w:rPr>
                <w:color w:val="000000"/>
                <w:szCs w:val="22"/>
                <w:vertAlign w:val="superscript"/>
                <w:lang w:val="es-ES"/>
              </w:rPr>
              <w:t>9</w:t>
            </w:r>
            <w:r w:rsidRPr="002D741C">
              <w:rPr>
                <w:color w:val="000000"/>
                <w:szCs w:val="22"/>
                <w:lang w:val="es-ES"/>
              </w:rPr>
              <w:t xml:space="preserve">/l, plaquetas </w:t>
            </w:r>
            <w:r w:rsidRPr="002D741C">
              <w:rPr>
                <w:color w:val="000000"/>
                <w:szCs w:val="22"/>
                <w:lang w:val="es-ES"/>
              </w:rPr>
              <w:sym w:font="Symbol" w:char="F0B3"/>
            </w:r>
            <w:r w:rsidRPr="002D741C">
              <w:rPr>
                <w:color w:val="000000"/>
                <w:szCs w:val="22"/>
                <w:lang w:val="es-ES"/>
              </w:rPr>
              <w:t> 100</w:t>
            </w:r>
            <w:r w:rsidR="00F11D96" w:rsidRPr="002D741C">
              <w:rPr>
                <w:color w:val="000000"/>
                <w:szCs w:val="22"/>
                <w:lang w:val="es-ES"/>
              </w:rPr>
              <w:t> </w:t>
            </w:r>
            <w:r w:rsidRPr="002D741C">
              <w:rPr>
                <w:color w:val="000000"/>
                <w:szCs w:val="22"/>
                <w:lang w:val="es-ES"/>
              </w:rPr>
              <w:t>x</w:t>
            </w:r>
            <w:r w:rsidR="00F11D96" w:rsidRPr="002D741C">
              <w:rPr>
                <w:color w:val="000000"/>
                <w:szCs w:val="22"/>
                <w:lang w:val="es-ES"/>
              </w:rPr>
              <w:t> </w:t>
            </w:r>
            <w:r w:rsidRPr="002D741C">
              <w:rPr>
                <w:color w:val="000000"/>
                <w:szCs w:val="22"/>
                <w:lang w:val="es-ES"/>
              </w:rPr>
              <w:t>10</w:t>
            </w:r>
            <w:r w:rsidRPr="002D741C">
              <w:rPr>
                <w:color w:val="000000"/>
                <w:szCs w:val="22"/>
                <w:vertAlign w:val="superscript"/>
                <w:lang w:val="es-ES"/>
              </w:rPr>
              <w:t>9</w:t>
            </w:r>
            <w:r w:rsidRPr="002D741C">
              <w:rPr>
                <w:color w:val="000000"/>
                <w:szCs w:val="22"/>
                <w:lang w:val="es-ES"/>
              </w:rPr>
              <w:t>/l, sin blastos en sangre, blastos en la médula ósea &lt;</w:t>
            </w:r>
            <w:r w:rsidR="00F11D96" w:rsidRPr="002D741C">
              <w:rPr>
                <w:color w:val="000000"/>
                <w:szCs w:val="22"/>
                <w:lang w:val="es-ES"/>
              </w:rPr>
              <w:t> </w:t>
            </w:r>
            <w:r w:rsidRPr="002D741C">
              <w:rPr>
                <w:color w:val="000000"/>
                <w:szCs w:val="22"/>
                <w:lang w:val="es-ES"/>
              </w:rPr>
              <w:t>5% y sin enfermedad extramedular]</w:t>
            </w:r>
          </w:p>
          <w:p w14:paraId="3E6B9B63" w14:textId="77777777" w:rsidR="002626B2" w:rsidRPr="002D741C" w:rsidRDefault="002626B2" w:rsidP="00EB7D4D">
            <w:pPr>
              <w:pStyle w:val="EndnoteText"/>
              <w:widowControl w:val="0"/>
              <w:tabs>
                <w:tab w:val="clear" w:pos="567"/>
              </w:tabs>
              <w:ind w:left="601" w:hanging="601"/>
              <w:rPr>
                <w:color w:val="000000"/>
                <w:szCs w:val="22"/>
                <w:lang w:val="es-ES"/>
              </w:rPr>
            </w:pPr>
            <w:r w:rsidRPr="002D741C">
              <w:rPr>
                <w:color w:val="000000"/>
                <w:szCs w:val="22"/>
                <w:lang w:val="es-ES"/>
              </w:rPr>
              <w:t>N</w:t>
            </w:r>
            <w:smartTag w:uri="urn:schemas-microsoft-com:office:smarttags" w:element="PersonName">
              <w:r w:rsidRPr="002D741C">
                <w:rPr>
                  <w:color w:val="000000"/>
                  <w:szCs w:val="22"/>
                  <w:lang w:val="es-ES"/>
                </w:rPr>
                <w:t>EL</w:t>
              </w:r>
            </w:smartTag>
            <w:r w:rsidRPr="002D741C">
              <w:rPr>
                <w:color w:val="000000"/>
                <w:szCs w:val="22"/>
                <w:lang w:val="es-ES"/>
              </w:rPr>
              <w:t>:</w:t>
            </w:r>
            <w:r w:rsidRPr="002D741C">
              <w:rPr>
                <w:color w:val="000000"/>
                <w:szCs w:val="22"/>
                <w:lang w:val="es-ES"/>
              </w:rPr>
              <w:tab/>
              <w:t xml:space="preserve">Mismo criterio que para RHC pero RAN </w:t>
            </w:r>
            <w:r w:rsidRPr="002D741C">
              <w:rPr>
                <w:color w:val="000000"/>
                <w:szCs w:val="22"/>
                <w:lang w:val="es-ES"/>
              </w:rPr>
              <w:sym w:font="Symbol" w:char="F0B3"/>
            </w:r>
            <w:r w:rsidR="00F11D96" w:rsidRPr="002D741C">
              <w:rPr>
                <w:color w:val="000000"/>
                <w:szCs w:val="22"/>
                <w:lang w:val="es-ES"/>
              </w:rPr>
              <w:t> </w:t>
            </w:r>
            <w:r w:rsidRPr="002D741C">
              <w:rPr>
                <w:color w:val="000000"/>
                <w:szCs w:val="22"/>
                <w:lang w:val="es-ES"/>
              </w:rPr>
              <w:t>1</w:t>
            </w:r>
            <w:r w:rsidR="00F11D96" w:rsidRPr="002D741C">
              <w:rPr>
                <w:color w:val="000000"/>
                <w:szCs w:val="22"/>
                <w:lang w:val="es-ES"/>
              </w:rPr>
              <w:t> </w:t>
            </w:r>
            <w:r w:rsidRPr="002D741C">
              <w:rPr>
                <w:color w:val="000000"/>
                <w:szCs w:val="22"/>
                <w:lang w:val="es-ES"/>
              </w:rPr>
              <w:t>x</w:t>
            </w:r>
            <w:r w:rsidR="00F11D96" w:rsidRPr="002D741C">
              <w:rPr>
                <w:color w:val="000000"/>
                <w:szCs w:val="22"/>
                <w:lang w:val="es-ES"/>
              </w:rPr>
              <w:t> </w:t>
            </w:r>
            <w:r w:rsidRPr="002D741C">
              <w:rPr>
                <w:color w:val="000000"/>
                <w:szCs w:val="22"/>
                <w:lang w:val="es-ES"/>
              </w:rPr>
              <w:t>10</w:t>
            </w:r>
            <w:r w:rsidRPr="002D741C">
              <w:rPr>
                <w:color w:val="000000"/>
                <w:szCs w:val="22"/>
                <w:vertAlign w:val="superscript"/>
                <w:lang w:val="es-ES"/>
              </w:rPr>
              <w:t>9</w:t>
            </w:r>
            <w:r w:rsidRPr="002D741C">
              <w:rPr>
                <w:color w:val="000000"/>
                <w:szCs w:val="22"/>
                <w:lang w:val="es-ES"/>
              </w:rPr>
              <w:t xml:space="preserve">/l y plaquetas </w:t>
            </w:r>
            <w:r w:rsidRPr="002D741C">
              <w:rPr>
                <w:color w:val="000000"/>
                <w:szCs w:val="22"/>
                <w:lang w:val="es-ES"/>
              </w:rPr>
              <w:sym w:font="Symbol" w:char="F0B3"/>
            </w:r>
            <w:r w:rsidR="00F11D96" w:rsidRPr="002D741C">
              <w:rPr>
                <w:color w:val="000000"/>
                <w:szCs w:val="22"/>
                <w:lang w:val="es-ES"/>
              </w:rPr>
              <w:t> </w:t>
            </w:r>
            <w:r w:rsidRPr="002D741C">
              <w:rPr>
                <w:color w:val="000000"/>
                <w:szCs w:val="22"/>
                <w:lang w:val="es-ES"/>
              </w:rPr>
              <w:t>20</w:t>
            </w:r>
            <w:r w:rsidR="00F11D96" w:rsidRPr="002D741C">
              <w:rPr>
                <w:color w:val="000000"/>
                <w:szCs w:val="22"/>
                <w:lang w:val="es-ES"/>
              </w:rPr>
              <w:t> </w:t>
            </w:r>
            <w:r w:rsidRPr="002D741C">
              <w:rPr>
                <w:color w:val="000000"/>
                <w:szCs w:val="22"/>
                <w:lang w:val="es-ES"/>
              </w:rPr>
              <w:t>x</w:t>
            </w:r>
            <w:r w:rsidR="00F11D96" w:rsidRPr="002D741C">
              <w:rPr>
                <w:color w:val="000000"/>
                <w:szCs w:val="22"/>
                <w:lang w:val="es-ES"/>
              </w:rPr>
              <w:t> </w:t>
            </w:r>
            <w:r w:rsidRPr="002D741C">
              <w:rPr>
                <w:color w:val="000000"/>
                <w:szCs w:val="22"/>
                <w:lang w:val="es-ES"/>
              </w:rPr>
              <w:t>10</w:t>
            </w:r>
            <w:r w:rsidRPr="002D741C">
              <w:rPr>
                <w:color w:val="000000"/>
                <w:szCs w:val="22"/>
                <w:vertAlign w:val="superscript"/>
                <w:lang w:val="es-ES"/>
              </w:rPr>
              <w:t>9</w:t>
            </w:r>
            <w:r w:rsidRPr="002D741C">
              <w:rPr>
                <w:color w:val="000000"/>
                <w:szCs w:val="22"/>
                <w:lang w:val="es-ES"/>
              </w:rPr>
              <w:t>/l (solo 0102 y 0109)</w:t>
            </w:r>
          </w:p>
          <w:p w14:paraId="4134F01E" w14:textId="77777777" w:rsidR="002626B2" w:rsidRPr="002D741C" w:rsidRDefault="002626B2" w:rsidP="00EB7D4D">
            <w:pPr>
              <w:pStyle w:val="EndnoteText"/>
              <w:widowControl w:val="0"/>
              <w:tabs>
                <w:tab w:val="clear" w:pos="567"/>
              </w:tabs>
              <w:ind w:left="601" w:hanging="601"/>
              <w:rPr>
                <w:color w:val="000000"/>
                <w:szCs w:val="22"/>
                <w:lang w:val="es-ES"/>
              </w:rPr>
            </w:pPr>
            <w:r w:rsidRPr="002D741C">
              <w:rPr>
                <w:color w:val="000000"/>
                <w:szCs w:val="22"/>
                <w:lang w:val="es-ES"/>
              </w:rPr>
              <w:t>RFC:</w:t>
            </w:r>
            <w:r w:rsidRPr="002D741C">
              <w:rPr>
                <w:color w:val="000000"/>
                <w:szCs w:val="22"/>
                <w:lang w:val="es-ES"/>
              </w:rPr>
              <w:tab/>
              <w:t>&lt;</w:t>
            </w:r>
            <w:r w:rsidR="00F11D96" w:rsidRPr="002D741C">
              <w:rPr>
                <w:color w:val="000000"/>
                <w:szCs w:val="22"/>
                <w:lang w:val="es-ES"/>
              </w:rPr>
              <w:t> </w:t>
            </w:r>
            <w:r w:rsidRPr="002D741C">
              <w:rPr>
                <w:color w:val="000000"/>
                <w:szCs w:val="22"/>
                <w:lang w:val="es-ES"/>
              </w:rPr>
              <w:t>15% de blastos en médula ósea y sangre periférica, &lt;</w:t>
            </w:r>
            <w:r w:rsidR="00F11D96" w:rsidRPr="002D741C">
              <w:rPr>
                <w:color w:val="000000"/>
                <w:szCs w:val="22"/>
                <w:lang w:val="es-ES"/>
              </w:rPr>
              <w:t> </w:t>
            </w:r>
            <w:r w:rsidRPr="002D741C">
              <w:rPr>
                <w:color w:val="000000"/>
                <w:szCs w:val="22"/>
                <w:lang w:val="es-ES"/>
              </w:rPr>
              <w:t>30% blastos + promielocitos en médula ósea y sangre periférica, &lt;</w:t>
            </w:r>
            <w:r w:rsidR="00F11D96" w:rsidRPr="002D741C">
              <w:rPr>
                <w:color w:val="000000"/>
                <w:szCs w:val="22"/>
                <w:lang w:val="es-ES"/>
              </w:rPr>
              <w:t> </w:t>
            </w:r>
            <w:r w:rsidRPr="002D741C">
              <w:rPr>
                <w:color w:val="000000"/>
                <w:szCs w:val="22"/>
                <w:lang w:val="es-ES"/>
              </w:rPr>
              <w:t>20% basófilos en sangre periférica, sin enfermedad extramedular aparte del bazo e hígado (solo para 0102 y 0109).</w:t>
            </w:r>
          </w:p>
          <w:p w14:paraId="26EC8FDC" w14:textId="77777777" w:rsidR="002626B2" w:rsidRPr="002D741C" w:rsidRDefault="002626B2" w:rsidP="001A2F33">
            <w:pPr>
              <w:pStyle w:val="EndnoteText"/>
              <w:widowControl w:val="0"/>
              <w:tabs>
                <w:tab w:val="clear" w:pos="567"/>
              </w:tabs>
              <w:ind w:left="885" w:hanging="885"/>
              <w:rPr>
                <w:color w:val="000000"/>
                <w:szCs w:val="22"/>
                <w:lang w:val="pt-BR"/>
              </w:rPr>
            </w:pPr>
            <w:r w:rsidRPr="002D741C">
              <w:rPr>
                <w:color w:val="000000"/>
                <w:szCs w:val="22"/>
                <w:lang w:val="pt-BR"/>
              </w:rPr>
              <w:t>MO = médula ósea, SP = sangre periférica</w:t>
            </w:r>
          </w:p>
          <w:p w14:paraId="5C57A00B" w14:textId="77777777" w:rsidR="002626B2" w:rsidRPr="002D741C" w:rsidRDefault="002626B2" w:rsidP="001A2F33">
            <w:pPr>
              <w:pStyle w:val="EndnoteText"/>
              <w:widowControl w:val="0"/>
              <w:tabs>
                <w:tab w:val="clear" w:pos="567"/>
              </w:tabs>
              <w:ind w:left="885" w:hanging="885"/>
              <w:rPr>
                <w:b/>
                <w:color w:val="000000"/>
                <w:szCs w:val="22"/>
                <w:lang w:val="es-ES"/>
              </w:rPr>
            </w:pPr>
            <w:r w:rsidRPr="002D741C">
              <w:rPr>
                <w:color w:val="000000"/>
                <w:szCs w:val="22"/>
                <w:vertAlign w:val="superscript"/>
                <w:lang w:val="es-ES"/>
              </w:rPr>
              <w:t>2</w:t>
            </w:r>
            <w:r w:rsidRPr="002D741C">
              <w:rPr>
                <w:b/>
                <w:color w:val="000000"/>
                <w:szCs w:val="22"/>
                <w:lang w:val="es-ES"/>
              </w:rPr>
              <w:t>Criterio de respuesta citogenética:</w:t>
            </w:r>
          </w:p>
          <w:p w14:paraId="28A3BDE2" w14:textId="77777777" w:rsidR="002626B2" w:rsidRPr="002D741C" w:rsidRDefault="002626B2" w:rsidP="001A2F33">
            <w:pPr>
              <w:pStyle w:val="EndnoteText"/>
              <w:widowControl w:val="0"/>
              <w:tabs>
                <w:tab w:val="clear" w:pos="567"/>
              </w:tabs>
              <w:rPr>
                <w:color w:val="000000"/>
                <w:szCs w:val="22"/>
                <w:lang w:val="es-ES"/>
              </w:rPr>
            </w:pPr>
            <w:r w:rsidRPr="002D741C">
              <w:rPr>
                <w:color w:val="000000"/>
                <w:szCs w:val="22"/>
                <w:lang w:val="es-ES"/>
              </w:rPr>
              <w:t>Una respuesta mayor combina ambas, la respuesta completa y la parcial: completa (0% de metafases Ph +), parcial (1</w:t>
            </w:r>
            <w:r w:rsidR="00F11D96" w:rsidRPr="002D741C">
              <w:rPr>
                <w:color w:val="000000"/>
                <w:szCs w:val="22"/>
                <w:lang w:val="es-ES"/>
              </w:rPr>
              <w:t>–</w:t>
            </w:r>
            <w:r w:rsidRPr="002D741C">
              <w:rPr>
                <w:color w:val="000000"/>
                <w:szCs w:val="22"/>
                <w:lang w:val="es-ES"/>
              </w:rPr>
              <w:t>35%)</w:t>
            </w:r>
          </w:p>
          <w:p w14:paraId="2CB8528E" w14:textId="77777777" w:rsidR="002626B2" w:rsidRPr="002D741C" w:rsidRDefault="002626B2" w:rsidP="001A2F33">
            <w:pPr>
              <w:pStyle w:val="EndnoteText"/>
              <w:widowControl w:val="0"/>
              <w:tabs>
                <w:tab w:val="clear" w:pos="567"/>
              </w:tabs>
              <w:rPr>
                <w:color w:val="000000"/>
                <w:szCs w:val="22"/>
                <w:lang w:val="es-ES"/>
              </w:rPr>
            </w:pPr>
            <w:r w:rsidRPr="002D741C">
              <w:rPr>
                <w:color w:val="000000"/>
                <w:szCs w:val="22"/>
                <w:vertAlign w:val="superscript"/>
                <w:lang w:val="es-ES"/>
              </w:rPr>
              <w:t>3</w:t>
            </w:r>
            <w:r w:rsidRPr="002D741C">
              <w:rPr>
                <w:color w:val="000000"/>
                <w:szCs w:val="22"/>
                <w:lang w:val="es-ES"/>
              </w:rPr>
              <w:t>Respuesta citogenética completa confirmada mediante una segunda evaluación citogenética de la médula ósea realizada al menos un mes después del estudio inicial de la médula ósea.</w:t>
            </w:r>
          </w:p>
        </w:tc>
      </w:tr>
    </w:tbl>
    <w:p w14:paraId="662A2C16" w14:textId="77777777" w:rsidR="002626B2" w:rsidRPr="002D741C" w:rsidRDefault="002626B2" w:rsidP="001A2F33">
      <w:pPr>
        <w:pStyle w:val="EndnoteText"/>
        <w:widowControl w:val="0"/>
        <w:tabs>
          <w:tab w:val="clear" w:pos="567"/>
        </w:tabs>
        <w:rPr>
          <w:color w:val="000000"/>
          <w:szCs w:val="22"/>
          <w:lang w:val="es-ES"/>
        </w:rPr>
      </w:pPr>
    </w:p>
    <w:p w14:paraId="7AEA415F" w14:textId="77777777" w:rsidR="00C9215B" w:rsidRPr="002D741C" w:rsidRDefault="00C9215B" w:rsidP="00C9215B">
      <w:pPr>
        <w:pStyle w:val="EndnoteText"/>
        <w:widowControl w:val="0"/>
        <w:tabs>
          <w:tab w:val="clear" w:pos="567"/>
        </w:tabs>
        <w:rPr>
          <w:color w:val="000000"/>
          <w:szCs w:val="22"/>
          <w:lang w:val="es-ES"/>
        </w:rPr>
      </w:pPr>
      <w:r w:rsidRPr="002D741C">
        <w:rPr>
          <w:i/>
          <w:color w:val="000000"/>
          <w:szCs w:val="22"/>
          <w:lang w:val="es-ES"/>
        </w:rPr>
        <w:t>Pacientes pediátricos:</w:t>
      </w:r>
      <w:r w:rsidRPr="002D741C">
        <w:rPr>
          <w:color w:val="000000"/>
          <w:szCs w:val="22"/>
          <w:lang w:val="es-ES"/>
        </w:rPr>
        <w:t xml:space="preserve"> Un total de 26 pacientes pediátricos de menos de 18 años de edad con LMC en fase crónica (n=11) o LMC en crisis blástica o leucemias agudas Ph+ (n=15) participaron en un ensayo de fase I de escalada de dosis. Se trataba de una población de pacientes fuertemente pretratados, ya que el 46% había recibido </w:t>
      </w:r>
      <w:smartTag w:uri="urn:schemas-microsoft-com:office:smarttags" w:element="stockticker">
        <w:r w:rsidRPr="002D741C">
          <w:rPr>
            <w:color w:val="000000"/>
            <w:szCs w:val="22"/>
            <w:lang w:val="es-ES"/>
          </w:rPr>
          <w:t>TMO</w:t>
        </w:r>
      </w:smartTag>
      <w:r w:rsidRPr="002D741C">
        <w:rPr>
          <w:color w:val="000000"/>
          <w:szCs w:val="22"/>
          <w:lang w:val="es-ES"/>
        </w:rPr>
        <w:t xml:space="preserve"> previo y el 73% una poliquimioterapia previa. Se trató a los pacientes con dosis de Glivec de 260 mg/m</w:t>
      </w:r>
      <w:r w:rsidRPr="002D741C">
        <w:rPr>
          <w:color w:val="000000"/>
          <w:szCs w:val="22"/>
          <w:vertAlign w:val="superscript"/>
          <w:lang w:val="es-ES"/>
        </w:rPr>
        <w:t>2</w:t>
      </w:r>
      <w:r w:rsidRPr="002D741C">
        <w:rPr>
          <w:color w:val="000000"/>
          <w:szCs w:val="22"/>
          <w:lang w:val="es-ES"/>
        </w:rPr>
        <w:t>/día (n=5), 340 mg/m</w:t>
      </w:r>
      <w:r w:rsidRPr="002D741C">
        <w:rPr>
          <w:color w:val="000000"/>
          <w:szCs w:val="22"/>
          <w:vertAlign w:val="superscript"/>
          <w:lang w:val="es-ES"/>
        </w:rPr>
        <w:t>2</w:t>
      </w:r>
      <w:r w:rsidRPr="002D741C">
        <w:rPr>
          <w:color w:val="000000"/>
          <w:szCs w:val="22"/>
          <w:lang w:val="es-ES"/>
        </w:rPr>
        <w:t>/día (n=9), 440 mg/m</w:t>
      </w:r>
      <w:r w:rsidRPr="002D741C">
        <w:rPr>
          <w:color w:val="000000"/>
          <w:szCs w:val="22"/>
          <w:vertAlign w:val="superscript"/>
          <w:lang w:val="es-ES"/>
        </w:rPr>
        <w:t>2</w:t>
      </w:r>
      <w:r w:rsidRPr="002D741C">
        <w:rPr>
          <w:color w:val="000000"/>
          <w:szCs w:val="22"/>
          <w:lang w:val="es-ES"/>
        </w:rPr>
        <w:t>/día (n=7) y 570 mg/m</w:t>
      </w:r>
      <w:r w:rsidRPr="002D741C">
        <w:rPr>
          <w:color w:val="000000"/>
          <w:szCs w:val="22"/>
          <w:vertAlign w:val="superscript"/>
          <w:lang w:val="es-ES"/>
        </w:rPr>
        <w:t>2</w:t>
      </w:r>
      <w:r w:rsidRPr="002D741C">
        <w:rPr>
          <w:color w:val="000000"/>
          <w:szCs w:val="22"/>
          <w:lang w:val="es-ES"/>
        </w:rPr>
        <w:t>/día (n=5). De los 9 pacientes con LMC en fase crónica y datos citogenéticos disponibles, 4 (44%) y 3 (33%) alcanzaron una respuesta citogenética completa y parcial, respectivamente, para una tasa de RCM del 77%.</w:t>
      </w:r>
    </w:p>
    <w:p w14:paraId="07DAE39C" w14:textId="77777777" w:rsidR="00C9215B" w:rsidRPr="002D741C" w:rsidRDefault="00C9215B" w:rsidP="00C9215B">
      <w:pPr>
        <w:pStyle w:val="EndnoteText"/>
        <w:widowControl w:val="0"/>
        <w:tabs>
          <w:tab w:val="clear" w:pos="567"/>
        </w:tabs>
        <w:rPr>
          <w:color w:val="000000"/>
          <w:szCs w:val="22"/>
          <w:lang w:val="es-ES"/>
        </w:rPr>
      </w:pPr>
    </w:p>
    <w:p w14:paraId="735A8227" w14:textId="77777777" w:rsidR="00C9215B" w:rsidRPr="002D741C" w:rsidRDefault="00C9215B" w:rsidP="00C9215B">
      <w:pPr>
        <w:pStyle w:val="EndnoteText"/>
        <w:widowControl w:val="0"/>
        <w:tabs>
          <w:tab w:val="clear" w:pos="567"/>
        </w:tabs>
        <w:rPr>
          <w:color w:val="000000"/>
          <w:szCs w:val="22"/>
          <w:lang w:val="es-ES_tradnl"/>
        </w:rPr>
      </w:pPr>
      <w:r w:rsidRPr="002D741C">
        <w:rPr>
          <w:color w:val="000000"/>
          <w:szCs w:val="22"/>
          <w:lang w:val="es-ES"/>
        </w:rPr>
        <w:t xml:space="preserve">Un total de 51 pacientes pediátricos con LMC </w:t>
      </w:r>
      <w:r w:rsidR="00C701D5" w:rsidRPr="002D741C">
        <w:rPr>
          <w:color w:val="000000"/>
          <w:szCs w:val="22"/>
          <w:lang w:val="es-ES"/>
        </w:rPr>
        <w:t xml:space="preserve">en fase crónica, </w:t>
      </w:r>
      <w:r w:rsidRPr="002D741C">
        <w:rPr>
          <w:color w:val="000000"/>
          <w:szCs w:val="22"/>
          <w:lang w:val="es-ES"/>
        </w:rPr>
        <w:t>no tratada</w:t>
      </w:r>
      <w:r w:rsidR="00C701D5" w:rsidRPr="002D741C">
        <w:rPr>
          <w:color w:val="000000"/>
          <w:szCs w:val="22"/>
          <w:lang w:val="es-ES"/>
        </w:rPr>
        <w:t xml:space="preserve"> y</w:t>
      </w:r>
      <w:r w:rsidRPr="002D741C">
        <w:rPr>
          <w:color w:val="000000"/>
          <w:szCs w:val="22"/>
          <w:lang w:val="es-ES"/>
        </w:rPr>
        <w:t xml:space="preserve"> de diagnóstico reciente participaron en un ensayo de fase II de un único brazo, multicéntrico y abierto. Los pacientes fueron tratados con Glivec a dosis de 340 </w:t>
      </w:r>
      <w:r w:rsidRPr="002D741C">
        <w:rPr>
          <w:color w:val="000000"/>
          <w:szCs w:val="22"/>
          <w:lang w:val="es-ES_tradnl"/>
        </w:rPr>
        <w:t>mg/m</w:t>
      </w:r>
      <w:r w:rsidRPr="002D741C">
        <w:rPr>
          <w:color w:val="000000"/>
          <w:szCs w:val="22"/>
          <w:vertAlign w:val="superscript"/>
          <w:lang w:val="es-ES_tradnl"/>
        </w:rPr>
        <w:t>2</w:t>
      </w:r>
      <w:r w:rsidRPr="002D741C">
        <w:rPr>
          <w:color w:val="000000"/>
          <w:szCs w:val="22"/>
          <w:lang w:val="es-ES_tradnl"/>
        </w:rPr>
        <w:t>/día, sin interrupciones en ausencia de toxicidad limita</w:t>
      </w:r>
      <w:r w:rsidR="00FA037F" w:rsidRPr="002D741C">
        <w:rPr>
          <w:color w:val="000000"/>
          <w:szCs w:val="22"/>
          <w:lang w:val="es-ES_tradnl"/>
        </w:rPr>
        <w:t>da por</w:t>
      </w:r>
      <w:r w:rsidRPr="002D741C">
        <w:rPr>
          <w:color w:val="000000"/>
          <w:szCs w:val="22"/>
          <w:lang w:val="es-ES_tradnl"/>
        </w:rPr>
        <w:t xml:space="preserve"> la dosis. El tratamiento con Glivec induce una respuesta rápida en los pacientes pediátricos con LMC de diagnóstico reciente con una RHC del 78% después de 8 semanas de tratamiento. La alta proporción de RHC </w:t>
      </w:r>
      <w:r w:rsidR="00FA037F" w:rsidRPr="002D741C">
        <w:rPr>
          <w:color w:val="000000"/>
          <w:szCs w:val="22"/>
          <w:lang w:val="es-ES_tradnl"/>
        </w:rPr>
        <w:t>se</w:t>
      </w:r>
      <w:r w:rsidRPr="002D741C">
        <w:rPr>
          <w:color w:val="000000"/>
          <w:szCs w:val="22"/>
          <w:lang w:val="es-ES_tradnl"/>
        </w:rPr>
        <w:t xml:space="preserve"> acompañada </w:t>
      </w:r>
      <w:r w:rsidR="00FA037F" w:rsidRPr="002D741C">
        <w:rPr>
          <w:color w:val="000000"/>
          <w:szCs w:val="22"/>
          <w:lang w:val="es-ES_tradnl"/>
        </w:rPr>
        <w:t>d</w:t>
      </w:r>
      <w:r w:rsidRPr="002D741C">
        <w:rPr>
          <w:color w:val="000000"/>
          <w:szCs w:val="22"/>
          <w:lang w:val="es-ES_tradnl"/>
        </w:rPr>
        <w:t xml:space="preserve">el desarrollo de una respuesta citogenética completa (RCC) del 65%, que es comparable a los resultados observados en adultos. Además, se observó una respuesta citogenética parcial (RCP) del 16% para una RCM del 81%. La mayoría de pacientes que alcanzaron una RCC desarrollaron </w:t>
      </w:r>
      <w:smartTag w:uri="urn:schemas-microsoft-com:office:smarttags" w:element="PersonName">
        <w:smartTagPr>
          <w:attr w:name="ProductID" w:val="la RCC"/>
        </w:smartTagPr>
        <w:r w:rsidRPr="002D741C">
          <w:rPr>
            <w:color w:val="000000"/>
            <w:szCs w:val="22"/>
            <w:lang w:val="es-ES_tradnl"/>
          </w:rPr>
          <w:t>la RCC</w:t>
        </w:r>
      </w:smartTag>
      <w:r w:rsidRPr="002D741C">
        <w:rPr>
          <w:color w:val="000000"/>
          <w:szCs w:val="22"/>
          <w:lang w:val="es-ES_tradnl"/>
        </w:rPr>
        <w:t xml:space="preserve"> entre los meses 3 y 10 con una mediana de tiempo hasta la respuesta basada en la estimación de Kaplan-Meier de 5,6 meses.</w:t>
      </w:r>
    </w:p>
    <w:p w14:paraId="724011FE" w14:textId="77777777" w:rsidR="0044111D" w:rsidRPr="002D741C" w:rsidRDefault="0044111D" w:rsidP="00C9215B">
      <w:pPr>
        <w:pStyle w:val="EndnoteText"/>
        <w:widowControl w:val="0"/>
        <w:tabs>
          <w:tab w:val="clear" w:pos="567"/>
        </w:tabs>
        <w:rPr>
          <w:color w:val="000000"/>
          <w:szCs w:val="22"/>
          <w:lang w:val="es-ES_tradnl"/>
        </w:rPr>
      </w:pPr>
    </w:p>
    <w:p w14:paraId="1EFF38FB" w14:textId="77777777" w:rsidR="0044111D" w:rsidRPr="002D741C" w:rsidRDefault="0044111D" w:rsidP="00C9215B">
      <w:pPr>
        <w:pStyle w:val="EndnoteText"/>
        <w:widowControl w:val="0"/>
        <w:tabs>
          <w:tab w:val="clear" w:pos="567"/>
        </w:tabs>
        <w:rPr>
          <w:color w:val="000000"/>
          <w:szCs w:val="22"/>
          <w:lang w:val="es-ES_tradnl"/>
        </w:rPr>
      </w:pPr>
      <w:smartTag w:uri="urn:schemas-microsoft-com:office:smarttags" w:element="PersonName">
        <w:smartTagPr>
          <w:attr w:name="ProductID" w:val="la ￼￼￼￼Agencia Europea"/>
        </w:smartTagPr>
        <w:r w:rsidRPr="002D741C">
          <w:rPr>
            <w:color w:val="000000"/>
            <w:szCs w:val="22"/>
            <w:lang w:val="es-ES_tradnl"/>
          </w:rPr>
          <w:t>La Agencia Europea</w:t>
        </w:r>
      </w:smartTag>
      <w:r w:rsidRPr="002D741C">
        <w:rPr>
          <w:color w:val="000000"/>
          <w:szCs w:val="22"/>
          <w:lang w:val="es-ES_tradnl"/>
        </w:rPr>
        <w:t xml:space="preserve"> de Medicamentos ha eximido al titular de la obligación de presentar los resultados de los ensayos realizados con Glivec en los diferentes grupos de población pediátrica en leucemia mieloide crónica cromosoma Philadelphia positivo (translocación bcr-abl) (ver sección 4.2 para consultar la información sobre el uso en población pediátrica).</w:t>
      </w:r>
    </w:p>
    <w:p w14:paraId="4039CAD4" w14:textId="77777777" w:rsidR="008C48E3" w:rsidRPr="002D741C" w:rsidRDefault="008C48E3" w:rsidP="008C48E3">
      <w:pPr>
        <w:pStyle w:val="EndnoteText"/>
        <w:widowControl w:val="0"/>
        <w:tabs>
          <w:tab w:val="clear" w:pos="567"/>
        </w:tabs>
        <w:rPr>
          <w:color w:val="000000"/>
          <w:szCs w:val="22"/>
          <w:u w:val="single"/>
          <w:lang w:val="es-ES"/>
        </w:rPr>
      </w:pPr>
    </w:p>
    <w:p w14:paraId="0426F219" w14:textId="77777777" w:rsidR="008C48E3" w:rsidRPr="002D741C" w:rsidRDefault="008C48E3" w:rsidP="00C16E58">
      <w:pPr>
        <w:pStyle w:val="EndnoteText"/>
        <w:keepNext/>
        <w:widowControl w:val="0"/>
        <w:tabs>
          <w:tab w:val="clear" w:pos="567"/>
        </w:tabs>
        <w:rPr>
          <w:color w:val="000000"/>
          <w:szCs w:val="22"/>
          <w:u w:val="single"/>
          <w:lang w:val="es-ES"/>
        </w:rPr>
      </w:pPr>
      <w:r w:rsidRPr="002D741C">
        <w:rPr>
          <w:color w:val="000000"/>
          <w:szCs w:val="22"/>
          <w:u w:val="single"/>
          <w:lang w:val="es-ES"/>
        </w:rPr>
        <w:t>Ensayos clínicos en LLA Ph+</w:t>
      </w:r>
    </w:p>
    <w:p w14:paraId="65225CB5" w14:textId="77777777" w:rsidR="008C48E3" w:rsidRPr="002D741C" w:rsidRDefault="008C48E3" w:rsidP="00287B47">
      <w:pPr>
        <w:pStyle w:val="EndnoteText"/>
        <w:widowControl w:val="0"/>
        <w:tabs>
          <w:tab w:val="clear" w:pos="567"/>
        </w:tabs>
        <w:rPr>
          <w:color w:val="000000"/>
          <w:szCs w:val="22"/>
          <w:lang w:val="es-ES"/>
        </w:rPr>
      </w:pPr>
      <w:r w:rsidRPr="002D741C">
        <w:rPr>
          <w:i/>
          <w:iCs/>
          <w:color w:val="000000"/>
          <w:szCs w:val="22"/>
          <w:lang w:val="es-ES"/>
        </w:rPr>
        <w:t>LLA Ph+</w:t>
      </w:r>
      <w:r w:rsidR="00C701D5" w:rsidRPr="002D741C">
        <w:rPr>
          <w:i/>
          <w:iCs/>
          <w:color w:val="000000"/>
          <w:szCs w:val="22"/>
          <w:lang w:val="es-ES"/>
        </w:rPr>
        <w:t xml:space="preserve"> de</w:t>
      </w:r>
      <w:r w:rsidRPr="002D741C">
        <w:rPr>
          <w:i/>
          <w:iCs/>
          <w:color w:val="000000"/>
          <w:szCs w:val="22"/>
          <w:lang w:val="es-ES"/>
        </w:rPr>
        <w:t xml:space="preserve"> diagnóstico reciente: </w:t>
      </w:r>
      <w:r w:rsidRPr="002D741C">
        <w:rPr>
          <w:color w:val="000000"/>
          <w:szCs w:val="22"/>
          <w:lang w:val="es-ES"/>
        </w:rPr>
        <w:t>En un ensayo controlado (A</w:t>
      </w:r>
      <w:smartTag w:uri="urn:schemas-microsoft-com:office:smarttags" w:element="PersonName">
        <w:r w:rsidRPr="002D741C">
          <w:rPr>
            <w:color w:val="000000"/>
            <w:szCs w:val="22"/>
            <w:lang w:val="es-ES"/>
          </w:rPr>
          <w:t>DE</w:t>
        </w:r>
      </w:smartTag>
      <w:r w:rsidRPr="002D741C">
        <w:rPr>
          <w:color w:val="000000"/>
          <w:szCs w:val="22"/>
          <w:lang w:val="es-ES"/>
        </w:rPr>
        <w:t>10) de imatinib frente a quimioterapia de inducción en 55 pacientes de diagnóstico reciente de 55 ó más años de edad, imatinib utilizado como agente único indujo una tasa de respuesta hematológica completa significativamente mayor que la quimioterapia (96,3% frente a 50%; p=0,0001). Cuando se administró tratamiento de rescate con imatinib a pacientes que no respondieron o con respuesta baja a la quimioterapia, se observó que 9 (81,8%) de 11 pacientes alcanzaron una respuesta hematológica completa. Este efecto clínico se asoció con una reducción mayor en los tránscritos bcr-abl en los pacientes tratados con imatinib que en el brazo de quimioterapia después de 2 semanas de tratamiento (p=0,02). Todos los pacientes recibieron imatinib y quimioterapia de consolidación (ver Tabla </w:t>
      </w:r>
      <w:r w:rsidR="00A6343C" w:rsidRPr="002D741C">
        <w:rPr>
          <w:color w:val="000000"/>
          <w:szCs w:val="22"/>
          <w:lang w:val="es-ES"/>
        </w:rPr>
        <w:t>4</w:t>
      </w:r>
      <w:r w:rsidRPr="002D741C">
        <w:rPr>
          <w:color w:val="000000"/>
          <w:szCs w:val="22"/>
          <w:lang w:val="es-ES"/>
        </w:rPr>
        <w:t>) tras la inducción y los niveles de tránscritos bcr-abl fueron idénticos en los dos brazos a las 8 semanas. Tal como se esperaba en base al diseño del estudio, no se observó diferencia en la duración de la remisión, en la supervivencia libre de enfermedad o en la supervivencia global, aunque los pacientes con respuesta molecular completa y manteniendo una enfermedad mínima residual mostraron un mejor resultado en términos de duración en la remisión (p=0,01) y supervivencia libre de enfermedad (p=0,02).</w:t>
      </w:r>
    </w:p>
    <w:p w14:paraId="724B6B5C" w14:textId="77777777" w:rsidR="008C48E3" w:rsidRPr="002D741C" w:rsidRDefault="008C48E3" w:rsidP="008C48E3">
      <w:pPr>
        <w:pStyle w:val="EndnoteText"/>
        <w:widowControl w:val="0"/>
        <w:tabs>
          <w:tab w:val="clear" w:pos="567"/>
        </w:tabs>
        <w:rPr>
          <w:color w:val="000000"/>
          <w:szCs w:val="22"/>
          <w:lang w:val="es-ES"/>
        </w:rPr>
      </w:pPr>
    </w:p>
    <w:p w14:paraId="52629FEF" w14:textId="77777777" w:rsidR="008C48E3" w:rsidRPr="002D741C" w:rsidRDefault="008C48E3" w:rsidP="00BC4B46">
      <w:pPr>
        <w:pStyle w:val="EndnoteText"/>
        <w:widowControl w:val="0"/>
        <w:tabs>
          <w:tab w:val="clear" w:pos="567"/>
        </w:tabs>
        <w:rPr>
          <w:color w:val="000000"/>
          <w:szCs w:val="22"/>
          <w:lang w:val="es-ES"/>
        </w:rPr>
      </w:pPr>
      <w:r w:rsidRPr="002D741C">
        <w:rPr>
          <w:color w:val="000000"/>
          <w:szCs w:val="22"/>
          <w:lang w:val="es-ES"/>
        </w:rPr>
        <w:t>Los resultados observados en una población de 211 pacientes con LLA Ph+ de diagnóstico reciente en cuatro ensayos clínicos no controlados (AAU02, A</w:t>
      </w:r>
      <w:smartTag w:uri="urn:schemas-microsoft-com:office:smarttags" w:element="PersonName">
        <w:r w:rsidRPr="002D741C">
          <w:rPr>
            <w:color w:val="000000"/>
            <w:szCs w:val="22"/>
            <w:lang w:val="es-ES"/>
          </w:rPr>
          <w:t>DE</w:t>
        </w:r>
      </w:smartTag>
      <w:r w:rsidRPr="002D741C">
        <w:rPr>
          <w:color w:val="000000"/>
          <w:szCs w:val="22"/>
          <w:lang w:val="es-ES"/>
        </w:rPr>
        <w:t>04, AJP01 y AUS01) son consistentes con los resultados descritos anteriormente. Imatinib en combinación con quimioterapia de inducción (ver Tabla </w:t>
      </w:r>
      <w:r w:rsidR="00A6343C" w:rsidRPr="002D741C">
        <w:rPr>
          <w:color w:val="000000"/>
          <w:szCs w:val="22"/>
          <w:lang w:val="es-ES"/>
        </w:rPr>
        <w:t>4</w:t>
      </w:r>
      <w:r w:rsidRPr="002D741C">
        <w:rPr>
          <w:color w:val="000000"/>
          <w:szCs w:val="22"/>
          <w:lang w:val="es-ES"/>
        </w:rPr>
        <w:t>) mostró una tasa de respuesta hematológica completa del 93% (147 de 158 pacientes evaluables) y una tasa de respuesta citogenética mayor del 90% (19 de 21 pacientes evaluables). La tasa de respuesta molecular completa fue del 48% (49 de 102 pacientes evaluables). La supervivencia libre de enfermedad (</w:t>
      </w:r>
      <w:smartTag w:uri="urn:schemas-microsoft-com:office:smarttags" w:element="stockticker">
        <w:r w:rsidRPr="002D741C">
          <w:rPr>
            <w:color w:val="000000"/>
            <w:szCs w:val="22"/>
            <w:lang w:val="es-ES"/>
          </w:rPr>
          <w:t>SLE</w:t>
        </w:r>
      </w:smartTag>
      <w:r w:rsidRPr="002D741C">
        <w:rPr>
          <w:color w:val="000000"/>
          <w:szCs w:val="22"/>
          <w:lang w:val="es-ES"/>
        </w:rPr>
        <w:t>) y la supervivencia global (SG) excedieron constantemente 1 año y fueron superiores al control histórico (</w:t>
      </w:r>
      <w:smartTag w:uri="urn:schemas-microsoft-com:office:smarttags" w:element="stockticker">
        <w:r w:rsidRPr="002D741C">
          <w:rPr>
            <w:color w:val="000000"/>
            <w:szCs w:val="22"/>
            <w:lang w:val="es-ES_tradnl"/>
          </w:rPr>
          <w:t>DFS</w:t>
        </w:r>
      </w:smartTag>
      <w:r w:rsidRPr="002D741C">
        <w:rPr>
          <w:color w:val="000000"/>
          <w:szCs w:val="22"/>
          <w:lang w:val="es-ES_tradnl"/>
        </w:rPr>
        <w:t xml:space="preserve"> p&lt;0,001; OS p&lt;0,0001) en dos estudios (AJP01 </w:t>
      </w:r>
      <w:r w:rsidR="00BC4B46" w:rsidRPr="002D741C">
        <w:rPr>
          <w:color w:val="000000"/>
          <w:szCs w:val="22"/>
          <w:lang w:val="es-ES_tradnl"/>
        </w:rPr>
        <w:t xml:space="preserve">y </w:t>
      </w:r>
      <w:r w:rsidRPr="002D741C">
        <w:rPr>
          <w:color w:val="000000"/>
          <w:szCs w:val="22"/>
          <w:lang w:val="es-ES_tradnl"/>
        </w:rPr>
        <w:t>AUS01).</w:t>
      </w:r>
    </w:p>
    <w:p w14:paraId="2C9E62E0" w14:textId="77777777" w:rsidR="00C9215B" w:rsidRPr="002D741C" w:rsidRDefault="00C9215B" w:rsidP="00C9215B">
      <w:pPr>
        <w:pStyle w:val="EndnoteText"/>
        <w:widowControl w:val="0"/>
        <w:tabs>
          <w:tab w:val="clear" w:pos="567"/>
        </w:tabs>
        <w:rPr>
          <w:color w:val="000000"/>
          <w:szCs w:val="22"/>
          <w:lang w:val="es-ES_tradnl"/>
        </w:rPr>
      </w:pPr>
    </w:p>
    <w:p w14:paraId="5343F70D" w14:textId="77777777" w:rsidR="008C48E3" w:rsidRPr="002D741C" w:rsidRDefault="008C48E3" w:rsidP="00C16E58">
      <w:pPr>
        <w:pStyle w:val="EndnoteText"/>
        <w:keepNext/>
        <w:widowControl w:val="0"/>
        <w:tabs>
          <w:tab w:val="clear" w:pos="567"/>
        </w:tabs>
        <w:ind w:left="1134" w:hanging="1134"/>
        <w:rPr>
          <w:b/>
          <w:bCs/>
          <w:color w:val="000000"/>
          <w:szCs w:val="22"/>
          <w:lang w:val="es-ES"/>
        </w:rPr>
      </w:pPr>
      <w:r w:rsidRPr="002D741C">
        <w:rPr>
          <w:b/>
          <w:bCs/>
          <w:color w:val="000000"/>
          <w:szCs w:val="22"/>
          <w:lang w:val="es-ES"/>
        </w:rPr>
        <w:t>Tabla </w:t>
      </w:r>
      <w:r w:rsidR="00A6343C" w:rsidRPr="002D741C">
        <w:rPr>
          <w:b/>
          <w:bCs/>
          <w:color w:val="000000"/>
          <w:szCs w:val="22"/>
          <w:lang w:val="es-ES"/>
        </w:rPr>
        <w:t>4</w:t>
      </w:r>
      <w:r w:rsidRPr="002D741C">
        <w:rPr>
          <w:b/>
          <w:bCs/>
          <w:color w:val="000000"/>
          <w:szCs w:val="22"/>
          <w:lang w:val="es-ES"/>
        </w:rPr>
        <w:tab/>
        <w:t>R</w:t>
      </w:r>
      <w:r w:rsidR="00FF428F" w:rsidRPr="002D741C">
        <w:rPr>
          <w:b/>
          <w:bCs/>
          <w:color w:val="000000"/>
          <w:szCs w:val="22"/>
          <w:lang w:val="es-ES"/>
        </w:rPr>
        <w:t>é</w:t>
      </w:r>
      <w:r w:rsidRPr="002D741C">
        <w:rPr>
          <w:b/>
          <w:bCs/>
          <w:color w:val="000000"/>
          <w:szCs w:val="22"/>
          <w:lang w:val="es-ES"/>
        </w:rPr>
        <w:t>gimen de quimioterapia usado en combinación con imatinib</w:t>
      </w:r>
    </w:p>
    <w:p w14:paraId="71699918" w14:textId="77777777" w:rsidR="008C48E3" w:rsidRPr="002D741C" w:rsidRDefault="008C48E3" w:rsidP="00C16E58">
      <w:pPr>
        <w:pStyle w:val="EndnoteText"/>
        <w:keepNext/>
        <w:widowControl w:val="0"/>
        <w:tabs>
          <w:tab w:val="clear" w:pos="567"/>
        </w:tabs>
        <w:rPr>
          <w:color w:val="000000"/>
          <w:szCs w:val="22"/>
          <w:lang w:val="es-ES"/>
        </w:rPr>
      </w:pPr>
    </w:p>
    <w:tbl>
      <w:tblPr>
        <w:tblW w:w="9094" w:type="dxa"/>
        <w:tblInd w:w="228" w:type="dxa"/>
        <w:tblBorders>
          <w:top w:val="single" w:sz="4" w:space="0" w:color="auto"/>
          <w:bottom w:val="single" w:sz="4" w:space="0" w:color="auto"/>
        </w:tblBorders>
        <w:tblLayout w:type="fixed"/>
        <w:tblLook w:val="0000" w:firstRow="0" w:lastRow="0" w:firstColumn="0" w:lastColumn="0" w:noHBand="0" w:noVBand="0"/>
      </w:tblPr>
      <w:tblGrid>
        <w:gridCol w:w="2432"/>
        <w:gridCol w:w="2652"/>
        <w:gridCol w:w="1080"/>
        <w:gridCol w:w="1380"/>
        <w:gridCol w:w="1550"/>
      </w:tblGrid>
      <w:tr w:rsidR="008C48E3" w:rsidRPr="002D741C" w14:paraId="7E96B0EE" w14:textId="77777777" w:rsidTr="00C16E58">
        <w:trPr>
          <w:cantSplit/>
        </w:trPr>
        <w:tc>
          <w:tcPr>
            <w:tcW w:w="2432" w:type="dxa"/>
            <w:tcBorders>
              <w:top w:val="single" w:sz="4" w:space="0" w:color="auto"/>
              <w:left w:val="single" w:sz="4" w:space="0" w:color="auto"/>
              <w:bottom w:val="single" w:sz="4" w:space="0" w:color="auto"/>
            </w:tcBorders>
            <w:shd w:val="clear" w:color="auto" w:fill="auto"/>
          </w:tcPr>
          <w:p w14:paraId="7B2312B8" w14:textId="77777777" w:rsidR="008C48E3" w:rsidRPr="002D741C" w:rsidRDefault="008C48E3" w:rsidP="00C16E58">
            <w:pPr>
              <w:pStyle w:val="Table"/>
              <w:keepLines w:val="0"/>
              <w:widowControl w:val="0"/>
              <w:rPr>
                <w:rFonts w:ascii="Times New Roman" w:hAnsi="Times New Roman"/>
                <w:color w:val="000000"/>
                <w:sz w:val="22"/>
                <w:szCs w:val="22"/>
              </w:rPr>
            </w:pPr>
            <w:r w:rsidRPr="002D741C">
              <w:rPr>
                <w:rFonts w:ascii="Times New Roman" w:hAnsi="Times New Roman"/>
                <w:b/>
                <w:color w:val="000000"/>
                <w:sz w:val="22"/>
                <w:szCs w:val="22"/>
              </w:rPr>
              <w:t>Estudio A</w:t>
            </w:r>
            <w:smartTag w:uri="urn:schemas-microsoft-com:office:smarttags" w:element="PersonName">
              <w:r w:rsidRPr="002D741C">
                <w:rPr>
                  <w:rFonts w:ascii="Times New Roman" w:hAnsi="Times New Roman"/>
                  <w:b/>
                  <w:color w:val="000000"/>
                  <w:sz w:val="22"/>
                  <w:szCs w:val="22"/>
                </w:rPr>
                <w:t>DE</w:t>
              </w:r>
            </w:smartTag>
            <w:r w:rsidRPr="002D741C">
              <w:rPr>
                <w:rFonts w:ascii="Times New Roman" w:hAnsi="Times New Roman"/>
                <w:b/>
                <w:color w:val="000000"/>
                <w:sz w:val="22"/>
                <w:szCs w:val="22"/>
              </w:rPr>
              <w:t>10</w:t>
            </w:r>
          </w:p>
        </w:tc>
        <w:tc>
          <w:tcPr>
            <w:tcW w:w="6662" w:type="dxa"/>
            <w:gridSpan w:val="4"/>
            <w:tcBorders>
              <w:top w:val="single" w:sz="4" w:space="0" w:color="auto"/>
              <w:bottom w:val="single" w:sz="4" w:space="0" w:color="auto"/>
              <w:right w:val="single" w:sz="4" w:space="0" w:color="auto"/>
            </w:tcBorders>
            <w:shd w:val="clear" w:color="auto" w:fill="auto"/>
          </w:tcPr>
          <w:p w14:paraId="0B92175B" w14:textId="77777777" w:rsidR="008C48E3" w:rsidRPr="002D741C" w:rsidRDefault="008C48E3" w:rsidP="00C16E58">
            <w:pPr>
              <w:pStyle w:val="Table"/>
              <w:keepLines w:val="0"/>
              <w:widowControl w:val="0"/>
              <w:rPr>
                <w:rFonts w:ascii="Times New Roman" w:hAnsi="Times New Roman"/>
                <w:color w:val="000000"/>
                <w:sz w:val="22"/>
                <w:szCs w:val="22"/>
              </w:rPr>
            </w:pPr>
          </w:p>
        </w:tc>
      </w:tr>
      <w:tr w:rsidR="008C48E3" w:rsidRPr="002D741C" w14:paraId="5F09DFE1" w14:textId="77777777" w:rsidTr="00C16E58">
        <w:trPr>
          <w:cantSplit/>
        </w:trPr>
        <w:tc>
          <w:tcPr>
            <w:tcW w:w="2432" w:type="dxa"/>
            <w:tcBorders>
              <w:top w:val="single" w:sz="4" w:space="0" w:color="auto"/>
              <w:left w:val="single" w:sz="4" w:space="0" w:color="auto"/>
              <w:bottom w:val="single" w:sz="4" w:space="0" w:color="auto"/>
            </w:tcBorders>
            <w:shd w:val="clear" w:color="auto" w:fill="auto"/>
          </w:tcPr>
          <w:p w14:paraId="760EA779" w14:textId="77777777" w:rsidR="008C48E3" w:rsidRPr="002D741C" w:rsidRDefault="008C48E3" w:rsidP="00C16E58">
            <w:pPr>
              <w:pStyle w:val="Table"/>
              <w:keepLines w:val="0"/>
              <w:widowControl w:val="0"/>
              <w:rPr>
                <w:rFonts w:ascii="Times New Roman" w:hAnsi="Times New Roman"/>
                <w:color w:val="000000"/>
                <w:sz w:val="22"/>
                <w:szCs w:val="22"/>
              </w:rPr>
            </w:pPr>
            <w:r w:rsidRPr="002D741C">
              <w:rPr>
                <w:rFonts w:ascii="Times New Roman" w:hAnsi="Times New Roman"/>
                <w:color w:val="000000"/>
                <w:sz w:val="22"/>
                <w:szCs w:val="22"/>
              </w:rPr>
              <w:t>Prefase</w:t>
            </w:r>
          </w:p>
        </w:tc>
        <w:tc>
          <w:tcPr>
            <w:tcW w:w="6662" w:type="dxa"/>
            <w:gridSpan w:val="4"/>
            <w:tcBorders>
              <w:top w:val="single" w:sz="4" w:space="0" w:color="auto"/>
              <w:bottom w:val="single" w:sz="4" w:space="0" w:color="auto"/>
              <w:right w:val="single" w:sz="4" w:space="0" w:color="auto"/>
            </w:tcBorders>
            <w:shd w:val="clear" w:color="auto" w:fill="auto"/>
          </w:tcPr>
          <w:p w14:paraId="2B3BC777" w14:textId="77777777" w:rsidR="006048F9" w:rsidRPr="002D741C" w:rsidRDefault="008C48E3" w:rsidP="00C16E58">
            <w:pPr>
              <w:pStyle w:val="Table"/>
              <w:keepLines w:val="0"/>
              <w:widowControl w:val="0"/>
              <w:rPr>
                <w:rFonts w:ascii="Times New Roman" w:hAnsi="Times New Roman"/>
                <w:color w:val="000000"/>
                <w:sz w:val="22"/>
                <w:szCs w:val="22"/>
                <w:lang w:val="es-ES_tradnl"/>
              </w:rPr>
            </w:pPr>
            <w:smartTag w:uri="urn:schemas-microsoft-com:office:smarttags" w:element="PersonName">
              <w:r w:rsidRPr="002D741C">
                <w:rPr>
                  <w:rFonts w:ascii="Times New Roman" w:hAnsi="Times New Roman"/>
                  <w:color w:val="000000"/>
                  <w:sz w:val="22"/>
                  <w:szCs w:val="22"/>
                  <w:lang w:val="es-ES_tradnl"/>
                </w:rPr>
                <w:t>DE</w:t>
              </w:r>
            </w:smartTag>
            <w:r w:rsidRPr="002D741C">
              <w:rPr>
                <w:rFonts w:ascii="Times New Roman" w:hAnsi="Times New Roman"/>
                <w:color w:val="000000"/>
                <w:sz w:val="22"/>
                <w:szCs w:val="22"/>
                <w:lang w:val="es-ES_tradnl"/>
              </w:rPr>
              <w:t>X 10 mg/m</w:t>
            </w:r>
            <w:r w:rsidRPr="002D741C">
              <w:rPr>
                <w:rFonts w:ascii="Times New Roman" w:hAnsi="Times New Roman"/>
                <w:color w:val="000000"/>
                <w:sz w:val="22"/>
                <w:szCs w:val="22"/>
                <w:vertAlign w:val="superscript"/>
                <w:lang w:val="es-ES_tradnl"/>
              </w:rPr>
              <w:t>2</w:t>
            </w:r>
            <w:r w:rsidRPr="002D741C">
              <w:rPr>
                <w:rFonts w:ascii="Times New Roman" w:hAnsi="Times New Roman"/>
                <w:color w:val="000000"/>
                <w:sz w:val="22"/>
                <w:szCs w:val="22"/>
                <w:lang w:val="es-ES_tradnl"/>
              </w:rPr>
              <w:t xml:space="preserve"> oral, días 1-5;</w:t>
            </w:r>
          </w:p>
          <w:p w14:paraId="2F5FF979" w14:textId="77777777" w:rsidR="006048F9" w:rsidRPr="002D741C" w:rsidRDefault="008C48E3" w:rsidP="00C16E58">
            <w:pPr>
              <w:pStyle w:val="Table"/>
              <w:keepLines w:val="0"/>
              <w:widowControl w:val="0"/>
              <w:rPr>
                <w:rFonts w:ascii="Times New Roman" w:hAnsi="Times New Roman"/>
                <w:color w:val="000000"/>
                <w:sz w:val="22"/>
                <w:szCs w:val="22"/>
                <w:lang w:val="es-ES_tradnl"/>
              </w:rPr>
            </w:pPr>
            <w:r w:rsidRPr="002D741C">
              <w:rPr>
                <w:rFonts w:ascii="Times New Roman" w:hAnsi="Times New Roman"/>
                <w:color w:val="000000"/>
                <w:sz w:val="22"/>
                <w:szCs w:val="22"/>
                <w:lang w:val="es-ES_tradnl"/>
              </w:rPr>
              <w:t>CP 200 mg/m</w:t>
            </w:r>
            <w:r w:rsidRPr="002D741C">
              <w:rPr>
                <w:rFonts w:ascii="Times New Roman" w:hAnsi="Times New Roman"/>
                <w:color w:val="000000"/>
                <w:sz w:val="22"/>
                <w:szCs w:val="22"/>
                <w:vertAlign w:val="superscript"/>
                <w:lang w:val="es-ES_tradnl"/>
              </w:rPr>
              <w:t>2</w:t>
            </w:r>
            <w:r w:rsidRPr="002D741C">
              <w:rPr>
                <w:rFonts w:ascii="Times New Roman" w:hAnsi="Times New Roman"/>
                <w:color w:val="000000"/>
                <w:sz w:val="22"/>
                <w:szCs w:val="22"/>
                <w:lang w:val="es-ES_tradnl"/>
              </w:rPr>
              <w:t xml:space="preserve"> i.v., días 3, 4, 5;</w:t>
            </w:r>
          </w:p>
          <w:p w14:paraId="0FF25740" w14:textId="77777777" w:rsidR="008C48E3" w:rsidRPr="002D741C" w:rsidRDefault="008C48E3" w:rsidP="00C16E58">
            <w:pPr>
              <w:pStyle w:val="Table"/>
              <w:keepLines w:val="0"/>
              <w:widowControl w:val="0"/>
              <w:rPr>
                <w:rFonts w:ascii="Times New Roman" w:hAnsi="Times New Roman"/>
                <w:color w:val="000000"/>
                <w:sz w:val="22"/>
                <w:szCs w:val="22"/>
                <w:lang w:val="es-ES_tradnl"/>
              </w:rPr>
            </w:pPr>
            <w:smartTag w:uri="urn:schemas-microsoft-com:office:smarttags" w:element="stockticker">
              <w:smartTag w:uri="urn:schemas-microsoft-com:office:smarttags" w:element="PersonName">
                <w:r w:rsidRPr="002D741C">
                  <w:rPr>
                    <w:rFonts w:ascii="Times New Roman" w:hAnsi="Times New Roman"/>
                    <w:color w:val="000000"/>
                    <w:sz w:val="22"/>
                    <w:szCs w:val="22"/>
                    <w:lang w:val="es-ES_tradnl"/>
                  </w:rPr>
                  <w:t>MT</w:t>
                </w:r>
              </w:smartTag>
              <w:r w:rsidRPr="002D741C">
                <w:rPr>
                  <w:rFonts w:ascii="Times New Roman" w:hAnsi="Times New Roman"/>
                  <w:color w:val="000000"/>
                  <w:sz w:val="22"/>
                  <w:szCs w:val="22"/>
                  <w:lang w:val="es-ES_tradnl"/>
                </w:rPr>
                <w:t>X</w:t>
              </w:r>
            </w:smartTag>
            <w:r w:rsidRPr="002D741C">
              <w:rPr>
                <w:rFonts w:ascii="Times New Roman" w:hAnsi="Times New Roman"/>
                <w:color w:val="000000"/>
                <w:sz w:val="22"/>
                <w:szCs w:val="22"/>
                <w:lang w:val="es-ES_tradnl"/>
              </w:rPr>
              <w:t xml:space="preserve"> 12 mg intratecal, día 1</w:t>
            </w:r>
          </w:p>
        </w:tc>
      </w:tr>
      <w:tr w:rsidR="008C48E3" w:rsidRPr="002D741C" w14:paraId="6A24258D" w14:textId="77777777" w:rsidTr="00C16E58">
        <w:trPr>
          <w:cantSplit/>
        </w:trPr>
        <w:tc>
          <w:tcPr>
            <w:tcW w:w="2432" w:type="dxa"/>
            <w:tcBorders>
              <w:top w:val="single" w:sz="4" w:space="0" w:color="auto"/>
              <w:left w:val="single" w:sz="4" w:space="0" w:color="auto"/>
              <w:bottom w:val="single" w:sz="4" w:space="0" w:color="auto"/>
            </w:tcBorders>
            <w:shd w:val="clear" w:color="auto" w:fill="auto"/>
          </w:tcPr>
          <w:p w14:paraId="18DEAC55" w14:textId="77777777" w:rsidR="008C48E3" w:rsidRPr="002D741C" w:rsidRDefault="008C48E3" w:rsidP="00C16E58">
            <w:pPr>
              <w:pStyle w:val="Table"/>
              <w:keepLines w:val="0"/>
              <w:widowControl w:val="0"/>
              <w:rPr>
                <w:rFonts w:ascii="Times New Roman" w:hAnsi="Times New Roman"/>
                <w:color w:val="000000"/>
                <w:sz w:val="22"/>
                <w:szCs w:val="22"/>
              </w:rPr>
            </w:pPr>
            <w:r w:rsidRPr="002D741C">
              <w:rPr>
                <w:rFonts w:ascii="Times New Roman" w:hAnsi="Times New Roman"/>
                <w:color w:val="000000"/>
                <w:sz w:val="22"/>
                <w:szCs w:val="22"/>
              </w:rPr>
              <w:t>Inducción a la remisión</w:t>
            </w:r>
          </w:p>
        </w:tc>
        <w:tc>
          <w:tcPr>
            <w:tcW w:w="6662" w:type="dxa"/>
            <w:gridSpan w:val="4"/>
            <w:tcBorders>
              <w:top w:val="single" w:sz="4" w:space="0" w:color="auto"/>
              <w:bottom w:val="single" w:sz="4" w:space="0" w:color="auto"/>
              <w:right w:val="single" w:sz="4" w:space="0" w:color="auto"/>
            </w:tcBorders>
            <w:shd w:val="clear" w:color="auto" w:fill="auto"/>
          </w:tcPr>
          <w:p w14:paraId="3185FA71" w14:textId="77777777" w:rsidR="006048F9" w:rsidRPr="002D741C" w:rsidRDefault="008C48E3" w:rsidP="00C16E58">
            <w:pPr>
              <w:pStyle w:val="Table"/>
              <w:keepLines w:val="0"/>
              <w:widowControl w:val="0"/>
              <w:rPr>
                <w:rFonts w:ascii="Times New Roman" w:hAnsi="Times New Roman"/>
                <w:color w:val="000000"/>
                <w:sz w:val="22"/>
                <w:szCs w:val="22"/>
                <w:lang w:val="es-ES"/>
              </w:rPr>
            </w:pPr>
            <w:smartTag w:uri="urn:schemas-microsoft-com:office:smarttags" w:element="PersonName">
              <w:r w:rsidRPr="002D741C">
                <w:rPr>
                  <w:rFonts w:ascii="Times New Roman" w:hAnsi="Times New Roman"/>
                  <w:color w:val="000000"/>
                  <w:sz w:val="22"/>
                  <w:szCs w:val="22"/>
                  <w:lang w:val="es-ES"/>
                </w:rPr>
                <w:t>DE</w:t>
              </w:r>
            </w:smartTag>
            <w:r w:rsidRPr="002D741C">
              <w:rPr>
                <w:rFonts w:ascii="Times New Roman" w:hAnsi="Times New Roman"/>
                <w:color w:val="000000"/>
                <w:sz w:val="22"/>
                <w:szCs w:val="22"/>
                <w:lang w:val="es-ES"/>
              </w:rPr>
              <w:t>X 10 mg/m</w:t>
            </w:r>
            <w:r w:rsidRPr="002D741C">
              <w:rPr>
                <w:rFonts w:ascii="Times New Roman" w:hAnsi="Times New Roman"/>
                <w:color w:val="000000"/>
                <w:sz w:val="22"/>
                <w:szCs w:val="22"/>
                <w:vertAlign w:val="superscript"/>
                <w:lang w:val="es-ES"/>
              </w:rPr>
              <w:t>2</w:t>
            </w:r>
            <w:r w:rsidRPr="002D741C">
              <w:rPr>
                <w:rFonts w:ascii="Times New Roman" w:hAnsi="Times New Roman"/>
                <w:color w:val="000000"/>
                <w:sz w:val="22"/>
                <w:szCs w:val="22"/>
                <w:lang w:val="es-ES"/>
              </w:rPr>
              <w:t xml:space="preserve"> oral, días 6-7, 13-16;</w:t>
            </w:r>
          </w:p>
          <w:p w14:paraId="7BE5986A" w14:textId="77777777" w:rsidR="006048F9" w:rsidRPr="002D741C" w:rsidRDefault="008C48E3" w:rsidP="00C16E58">
            <w:pPr>
              <w:pStyle w:val="Table"/>
              <w:keepLines w:val="0"/>
              <w:widowControl w:val="0"/>
              <w:rPr>
                <w:rFonts w:ascii="Times New Roman" w:hAnsi="Times New Roman"/>
                <w:color w:val="000000"/>
                <w:sz w:val="22"/>
                <w:szCs w:val="22"/>
                <w:lang w:val="es-ES"/>
              </w:rPr>
            </w:pPr>
            <w:smartTag w:uri="urn:schemas-microsoft-com:office:smarttags" w:element="stockticker">
              <w:r w:rsidRPr="002D741C">
                <w:rPr>
                  <w:rFonts w:ascii="Times New Roman" w:hAnsi="Times New Roman"/>
                  <w:color w:val="000000"/>
                  <w:sz w:val="22"/>
                  <w:szCs w:val="22"/>
                  <w:lang w:val="es-ES"/>
                </w:rPr>
                <w:t>VCR</w:t>
              </w:r>
            </w:smartTag>
            <w:r w:rsidRPr="002D741C">
              <w:rPr>
                <w:rFonts w:ascii="Times New Roman" w:hAnsi="Times New Roman"/>
                <w:color w:val="000000"/>
                <w:sz w:val="22"/>
                <w:szCs w:val="22"/>
                <w:lang w:val="es-ES"/>
              </w:rPr>
              <w:t xml:space="preserve"> 1 mg i.v., días 7, 14;</w:t>
            </w:r>
          </w:p>
          <w:p w14:paraId="321512C5" w14:textId="77777777" w:rsidR="006048F9" w:rsidRPr="002D741C" w:rsidRDefault="008C48E3" w:rsidP="00C16E58">
            <w:pPr>
              <w:pStyle w:val="Table"/>
              <w:keepLines w:val="0"/>
              <w:widowControl w:val="0"/>
              <w:rPr>
                <w:rFonts w:ascii="Times New Roman" w:hAnsi="Times New Roman"/>
                <w:color w:val="000000"/>
                <w:sz w:val="22"/>
                <w:szCs w:val="22"/>
                <w:lang w:val="es-ES"/>
              </w:rPr>
            </w:pPr>
            <w:smartTag w:uri="urn:schemas-microsoft-com:office:smarttags" w:element="stockticker">
              <w:r w:rsidRPr="002D741C">
                <w:rPr>
                  <w:rFonts w:ascii="Times New Roman" w:hAnsi="Times New Roman"/>
                  <w:color w:val="000000"/>
                  <w:sz w:val="22"/>
                  <w:szCs w:val="22"/>
                  <w:lang w:val="es-ES"/>
                </w:rPr>
                <w:t>IDA</w:t>
              </w:r>
            </w:smartTag>
            <w:r w:rsidRPr="002D741C">
              <w:rPr>
                <w:rFonts w:ascii="Times New Roman" w:hAnsi="Times New Roman"/>
                <w:color w:val="000000"/>
                <w:sz w:val="22"/>
                <w:szCs w:val="22"/>
                <w:lang w:val="es-ES"/>
              </w:rPr>
              <w:t xml:space="preserve"> 8 mg/m</w:t>
            </w:r>
            <w:r w:rsidRPr="002D741C">
              <w:rPr>
                <w:rFonts w:ascii="Times New Roman" w:hAnsi="Times New Roman"/>
                <w:color w:val="000000"/>
                <w:sz w:val="22"/>
                <w:szCs w:val="22"/>
                <w:vertAlign w:val="superscript"/>
                <w:lang w:val="es-ES"/>
              </w:rPr>
              <w:t>2</w:t>
            </w:r>
            <w:r w:rsidRPr="002D741C">
              <w:rPr>
                <w:rFonts w:ascii="Times New Roman" w:hAnsi="Times New Roman"/>
                <w:color w:val="000000"/>
                <w:sz w:val="22"/>
                <w:szCs w:val="22"/>
                <w:lang w:val="es-ES"/>
              </w:rPr>
              <w:t xml:space="preserve"> i.v. (0,5 h), días 7, 8, 14, 15;</w:t>
            </w:r>
          </w:p>
          <w:p w14:paraId="6D7DD792" w14:textId="77777777" w:rsidR="006048F9" w:rsidRPr="002D741C" w:rsidRDefault="008C48E3" w:rsidP="00C16E58">
            <w:pPr>
              <w:pStyle w:val="Table"/>
              <w:keepLines w:val="0"/>
              <w:widowControl w:val="0"/>
              <w:rPr>
                <w:rFonts w:ascii="Times New Roman" w:hAnsi="Times New Roman"/>
                <w:color w:val="000000"/>
                <w:sz w:val="22"/>
                <w:szCs w:val="22"/>
                <w:lang w:val="es-ES"/>
              </w:rPr>
            </w:pPr>
            <w:r w:rsidRPr="002D741C">
              <w:rPr>
                <w:rFonts w:ascii="Times New Roman" w:hAnsi="Times New Roman"/>
                <w:color w:val="000000"/>
                <w:sz w:val="22"/>
                <w:szCs w:val="22"/>
                <w:lang w:val="es-ES"/>
              </w:rPr>
              <w:t>CP 500 mg/m</w:t>
            </w:r>
            <w:r w:rsidRPr="002D741C">
              <w:rPr>
                <w:rFonts w:ascii="Times New Roman" w:hAnsi="Times New Roman"/>
                <w:color w:val="000000"/>
                <w:sz w:val="22"/>
                <w:szCs w:val="22"/>
                <w:vertAlign w:val="superscript"/>
                <w:lang w:val="es-ES"/>
              </w:rPr>
              <w:t>2</w:t>
            </w:r>
            <w:r w:rsidRPr="002D741C">
              <w:rPr>
                <w:rFonts w:ascii="Times New Roman" w:hAnsi="Times New Roman"/>
                <w:color w:val="000000"/>
                <w:sz w:val="22"/>
                <w:szCs w:val="22"/>
                <w:lang w:val="es-ES"/>
              </w:rPr>
              <w:t xml:space="preserve"> i.v.(1 h) día 1;</w:t>
            </w:r>
          </w:p>
          <w:p w14:paraId="0FC3EB3C" w14:textId="77777777" w:rsidR="008C48E3" w:rsidRPr="002D741C" w:rsidRDefault="008C48E3" w:rsidP="00C16E58">
            <w:pPr>
              <w:pStyle w:val="Table"/>
              <w:keepLines w:val="0"/>
              <w:widowControl w:val="0"/>
              <w:rPr>
                <w:rFonts w:ascii="Times New Roman" w:hAnsi="Times New Roman"/>
                <w:color w:val="000000"/>
                <w:sz w:val="22"/>
                <w:szCs w:val="22"/>
                <w:lang w:val="es-ES"/>
              </w:rPr>
            </w:pPr>
            <w:r w:rsidRPr="002D741C">
              <w:rPr>
                <w:rFonts w:ascii="Times New Roman" w:hAnsi="Times New Roman"/>
                <w:color w:val="000000"/>
                <w:sz w:val="22"/>
                <w:szCs w:val="22"/>
                <w:lang w:val="es-ES"/>
              </w:rPr>
              <w:t>Ara-C 60 mg/m</w:t>
            </w:r>
            <w:r w:rsidRPr="002D741C">
              <w:rPr>
                <w:rFonts w:ascii="Times New Roman" w:hAnsi="Times New Roman"/>
                <w:color w:val="000000"/>
                <w:sz w:val="22"/>
                <w:szCs w:val="22"/>
                <w:vertAlign w:val="superscript"/>
                <w:lang w:val="es-ES"/>
              </w:rPr>
              <w:t>2</w:t>
            </w:r>
            <w:r w:rsidRPr="002D741C">
              <w:rPr>
                <w:rFonts w:ascii="Times New Roman" w:hAnsi="Times New Roman"/>
                <w:color w:val="000000"/>
                <w:sz w:val="22"/>
                <w:szCs w:val="22"/>
                <w:lang w:val="es-ES"/>
              </w:rPr>
              <w:t xml:space="preserve"> i.v., días 22-25, 29-32</w:t>
            </w:r>
          </w:p>
        </w:tc>
      </w:tr>
      <w:tr w:rsidR="008C48E3" w:rsidRPr="002D741C" w14:paraId="6080AEA4" w14:textId="77777777" w:rsidTr="00C16E58">
        <w:trPr>
          <w:cantSplit/>
        </w:trPr>
        <w:tc>
          <w:tcPr>
            <w:tcW w:w="2432" w:type="dxa"/>
            <w:tcBorders>
              <w:top w:val="single" w:sz="4" w:space="0" w:color="auto"/>
              <w:left w:val="single" w:sz="4" w:space="0" w:color="auto"/>
              <w:bottom w:val="single" w:sz="4" w:space="0" w:color="auto"/>
            </w:tcBorders>
            <w:shd w:val="clear" w:color="auto" w:fill="auto"/>
          </w:tcPr>
          <w:p w14:paraId="07C17A60" w14:textId="77777777" w:rsidR="008C48E3" w:rsidRPr="002D741C" w:rsidRDefault="008C48E3" w:rsidP="00C16E58">
            <w:pPr>
              <w:pStyle w:val="Table"/>
              <w:keepLines w:val="0"/>
              <w:widowControl w:val="0"/>
              <w:rPr>
                <w:rFonts w:ascii="Times New Roman" w:hAnsi="Times New Roman"/>
                <w:color w:val="000000"/>
                <w:sz w:val="22"/>
                <w:szCs w:val="22"/>
                <w:lang w:val="es-ES_tradnl"/>
              </w:rPr>
            </w:pPr>
            <w:r w:rsidRPr="002D741C">
              <w:rPr>
                <w:rFonts w:ascii="Times New Roman" w:hAnsi="Times New Roman"/>
                <w:color w:val="000000"/>
                <w:sz w:val="22"/>
                <w:szCs w:val="22"/>
                <w:lang w:val="es-ES_tradnl"/>
              </w:rPr>
              <w:t xml:space="preserve">Terapia de consolidación I, </w:t>
            </w:r>
            <w:smartTag w:uri="urn:schemas-microsoft-com:office:smarttags" w:element="stockticker">
              <w:r w:rsidRPr="002D741C">
                <w:rPr>
                  <w:rFonts w:ascii="Times New Roman" w:hAnsi="Times New Roman"/>
                  <w:color w:val="000000"/>
                  <w:sz w:val="22"/>
                  <w:szCs w:val="22"/>
                  <w:lang w:val="es-ES_tradnl"/>
                </w:rPr>
                <w:t>III</w:t>
              </w:r>
            </w:smartTag>
            <w:r w:rsidRPr="002D741C">
              <w:rPr>
                <w:rFonts w:ascii="Times New Roman" w:hAnsi="Times New Roman"/>
                <w:color w:val="000000"/>
                <w:sz w:val="22"/>
                <w:szCs w:val="22"/>
                <w:lang w:val="es-ES_tradnl"/>
              </w:rPr>
              <w:t>, V</w:t>
            </w:r>
          </w:p>
        </w:tc>
        <w:tc>
          <w:tcPr>
            <w:tcW w:w="6662" w:type="dxa"/>
            <w:gridSpan w:val="4"/>
            <w:tcBorders>
              <w:top w:val="single" w:sz="4" w:space="0" w:color="auto"/>
              <w:bottom w:val="single" w:sz="4" w:space="0" w:color="auto"/>
              <w:right w:val="single" w:sz="4" w:space="0" w:color="auto"/>
            </w:tcBorders>
            <w:shd w:val="clear" w:color="auto" w:fill="auto"/>
          </w:tcPr>
          <w:p w14:paraId="24807AC9" w14:textId="77777777" w:rsidR="006048F9" w:rsidRPr="002D741C" w:rsidRDefault="008C48E3" w:rsidP="00C16E58">
            <w:pPr>
              <w:pStyle w:val="Table"/>
              <w:keepLines w:val="0"/>
              <w:widowControl w:val="0"/>
              <w:rPr>
                <w:rFonts w:ascii="Times New Roman" w:hAnsi="Times New Roman"/>
                <w:color w:val="000000"/>
                <w:sz w:val="22"/>
                <w:szCs w:val="22"/>
                <w:lang w:val="es-ES_tradnl"/>
              </w:rPr>
            </w:pPr>
            <w:smartTag w:uri="urn:schemas-microsoft-com:office:smarttags" w:element="stockticker">
              <w:smartTag w:uri="urn:schemas-microsoft-com:office:smarttags" w:element="PersonName">
                <w:r w:rsidRPr="002D741C">
                  <w:rPr>
                    <w:rFonts w:ascii="Times New Roman" w:hAnsi="Times New Roman"/>
                    <w:color w:val="000000"/>
                    <w:sz w:val="22"/>
                    <w:szCs w:val="22"/>
                    <w:lang w:val="es-ES_tradnl"/>
                  </w:rPr>
                  <w:t>MT</w:t>
                </w:r>
              </w:smartTag>
              <w:r w:rsidRPr="002D741C">
                <w:rPr>
                  <w:rFonts w:ascii="Times New Roman" w:hAnsi="Times New Roman"/>
                  <w:color w:val="000000"/>
                  <w:sz w:val="22"/>
                  <w:szCs w:val="22"/>
                  <w:lang w:val="es-ES_tradnl"/>
                </w:rPr>
                <w:t>X</w:t>
              </w:r>
            </w:smartTag>
            <w:r w:rsidRPr="002D741C">
              <w:rPr>
                <w:rFonts w:ascii="Times New Roman" w:hAnsi="Times New Roman"/>
                <w:color w:val="000000"/>
                <w:sz w:val="22"/>
                <w:szCs w:val="22"/>
                <w:lang w:val="es-ES_tradnl"/>
              </w:rPr>
              <w:t xml:space="preserve"> 500 mg/m</w:t>
            </w:r>
            <w:r w:rsidRPr="002D741C">
              <w:rPr>
                <w:rFonts w:ascii="Times New Roman" w:hAnsi="Times New Roman"/>
                <w:color w:val="000000"/>
                <w:sz w:val="22"/>
                <w:szCs w:val="22"/>
                <w:vertAlign w:val="superscript"/>
                <w:lang w:val="es-ES_tradnl"/>
              </w:rPr>
              <w:t>2</w:t>
            </w:r>
            <w:r w:rsidRPr="002D741C">
              <w:rPr>
                <w:rFonts w:ascii="Times New Roman" w:hAnsi="Times New Roman"/>
                <w:color w:val="000000"/>
                <w:sz w:val="22"/>
                <w:szCs w:val="22"/>
                <w:lang w:val="es-ES_tradnl"/>
              </w:rPr>
              <w:t xml:space="preserve"> i.v. (24 h), días 1, 15;</w:t>
            </w:r>
          </w:p>
          <w:p w14:paraId="6FF3368D" w14:textId="77777777" w:rsidR="008C48E3" w:rsidRPr="002D741C" w:rsidRDefault="008C48E3" w:rsidP="00C16E58">
            <w:pPr>
              <w:pStyle w:val="Table"/>
              <w:keepLines w:val="0"/>
              <w:widowControl w:val="0"/>
              <w:rPr>
                <w:rFonts w:ascii="Times New Roman" w:hAnsi="Times New Roman"/>
                <w:color w:val="000000"/>
                <w:sz w:val="22"/>
                <w:szCs w:val="22"/>
                <w:lang w:val="es-ES_tradnl"/>
              </w:rPr>
            </w:pPr>
            <w:r w:rsidRPr="002D741C">
              <w:rPr>
                <w:rFonts w:ascii="Times New Roman" w:hAnsi="Times New Roman"/>
                <w:color w:val="000000"/>
                <w:sz w:val="22"/>
                <w:szCs w:val="22"/>
                <w:lang w:val="es-ES_tradnl"/>
              </w:rPr>
              <w:t>6-MP 25 mg/m</w:t>
            </w:r>
            <w:r w:rsidRPr="002D741C">
              <w:rPr>
                <w:rFonts w:ascii="Times New Roman" w:hAnsi="Times New Roman"/>
                <w:color w:val="000000"/>
                <w:sz w:val="22"/>
                <w:szCs w:val="22"/>
                <w:vertAlign w:val="superscript"/>
                <w:lang w:val="es-ES_tradnl"/>
              </w:rPr>
              <w:t>2</w:t>
            </w:r>
            <w:r w:rsidRPr="002D741C">
              <w:rPr>
                <w:rFonts w:ascii="Times New Roman" w:hAnsi="Times New Roman"/>
                <w:color w:val="000000"/>
                <w:sz w:val="22"/>
                <w:szCs w:val="22"/>
                <w:lang w:val="es-ES_tradnl"/>
              </w:rPr>
              <w:t xml:space="preserve"> oral, días 1-20</w:t>
            </w:r>
          </w:p>
        </w:tc>
      </w:tr>
      <w:tr w:rsidR="008C48E3" w:rsidRPr="002D741C" w14:paraId="49254F3C" w14:textId="77777777" w:rsidTr="00C16E58">
        <w:trPr>
          <w:cantSplit/>
        </w:trPr>
        <w:tc>
          <w:tcPr>
            <w:tcW w:w="2432" w:type="dxa"/>
            <w:tcBorders>
              <w:top w:val="single" w:sz="4" w:space="0" w:color="auto"/>
              <w:left w:val="single" w:sz="4" w:space="0" w:color="auto"/>
              <w:bottom w:val="single" w:sz="4" w:space="0" w:color="auto"/>
            </w:tcBorders>
            <w:shd w:val="clear" w:color="auto" w:fill="auto"/>
          </w:tcPr>
          <w:p w14:paraId="43B8A750" w14:textId="77777777" w:rsidR="008C48E3" w:rsidRPr="002D741C" w:rsidRDefault="008C48E3" w:rsidP="00C16E58">
            <w:pPr>
              <w:pStyle w:val="Table"/>
              <w:keepNext w:val="0"/>
              <w:keepLines w:val="0"/>
              <w:widowControl w:val="0"/>
              <w:rPr>
                <w:rFonts w:ascii="Times New Roman" w:hAnsi="Times New Roman"/>
                <w:color w:val="000000"/>
                <w:sz w:val="22"/>
                <w:szCs w:val="22"/>
                <w:lang w:val="es-ES_tradnl"/>
              </w:rPr>
            </w:pPr>
            <w:r w:rsidRPr="002D741C">
              <w:rPr>
                <w:rFonts w:ascii="Times New Roman" w:hAnsi="Times New Roman"/>
                <w:color w:val="000000"/>
                <w:sz w:val="22"/>
                <w:szCs w:val="22"/>
                <w:lang w:val="es-ES_tradnl"/>
              </w:rPr>
              <w:t>Terapia de consolidación II, IV</w:t>
            </w:r>
          </w:p>
        </w:tc>
        <w:tc>
          <w:tcPr>
            <w:tcW w:w="6662" w:type="dxa"/>
            <w:gridSpan w:val="4"/>
            <w:tcBorders>
              <w:top w:val="single" w:sz="4" w:space="0" w:color="auto"/>
              <w:bottom w:val="single" w:sz="4" w:space="0" w:color="auto"/>
              <w:right w:val="single" w:sz="4" w:space="0" w:color="auto"/>
            </w:tcBorders>
            <w:shd w:val="clear" w:color="auto" w:fill="auto"/>
          </w:tcPr>
          <w:p w14:paraId="1DF78AD2" w14:textId="77777777" w:rsidR="006048F9" w:rsidRPr="002D741C" w:rsidRDefault="008C48E3" w:rsidP="00C16E58">
            <w:pPr>
              <w:pStyle w:val="Table"/>
              <w:keepNext w:val="0"/>
              <w:keepLines w:val="0"/>
              <w:widowControl w:val="0"/>
              <w:rPr>
                <w:rFonts w:ascii="Times New Roman" w:hAnsi="Times New Roman"/>
                <w:color w:val="000000"/>
                <w:sz w:val="22"/>
                <w:szCs w:val="22"/>
                <w:lang w:val="es-ES_tradnl"/>
              </w:rPr>
            </w:pPr>
            <w:r w:rsidRPr="002D741C">
              <w:rPr>
                <w:rFonts w:ascii="Times New Roman" w:hAnsi="Times New Roman"/>
                <w:color w:val="000000"/>
                <w:sz w:val="22"/>
                <w:szCs w:val="22"/>
                <w:lang w:val="es-ES_tradnl"/>
              </w:rPr>
              <w:t>Ara-C 75 mg/m</w:t>
            </w:r>
            <w:r w:rsidRPr="002D741C">
              <w:rPr>
                <w:rFonts w:ascii="Times New Roman" w:hAnsi="Times New Roman"/>
                <w:color w:val="000000"/>
                <w:sz w:val="22"/>
                <w:szCs w:val="22"/>
                <w:vertAlign w:val="superscript"/>
                <w:lang w:val="es-ES_tradnl"/>
              </w:rPr>
              <w:t>2</w:t>
            </w:r>
            <w:r w:rsidRPr="002D741C">
              <w:rPr>
                <w:rFonts w:ascii="Times New Roman" w:hAnsi="Times New Roman"/>
                <w:color w:val="000000"/>
                <w:sz w:val="22"/>
                <w:szCs w:val="22"/>
                <w:lang w:val="es-ES_tradnl"/>
              </w:rPr>
              <w:t xml:space="preserve"> i.v. (1 h), días 1-5;</w:t>
            </w:r>
          </w:p>
          <w:p w14:paraId="3C955D33" w14:textId="77777777" w:rsidR="008C48E3" w:rsidRPr="002D741C" w:rsidRDefault="008C48E3" w:rsidP="00C16E58">
            <w:pPr>
              <w:pStyle w:val="Table"/>
              <w:keepNext w:val="0"/>
              <w:keepLines w:val="0"/>
              <w:widowControl w:val="0"/>
              <w:rPr>
                <w:rFonts w:ascii="Times New Roman" w:hAnsi="Times New Roman"/>
                <w:color w:val="000000"/>
                <w:sz w:val="22"/>
                <w:szCs w:val="22"/>
                <w:lang w:val="es-ES_tradnl"/>
              </w:rPr>
            </w:pPr>
            <w:r w:rsidRPr="002D741C">
              <w:rPr>
                <w:rFonts w:ascii="Times New Roman" w:hAnsi="Times New Roman"/>
                <w:color w:val="000000"/>
                <w:sz w:val="22"/>
                <w:szCs w:val="22"/>
                <w:lang w:val="es-ES_tradnl"/>
              </w:rPr>
              <w:t>VM26 60 mg/m</w:t>
            </w:r>
            <w:r w:rsidRPr="002D741C">
              <w:rPr>
                <w:rFonts w:ascii="Times New Roman" w:hAnsi="Times New Roman"/>
                <w:color w:val="000000"/>
                <w:sz w:val="22"/>
                <w:szCs w:val="22"/>
                <w:vertAlign w:val="superscript"/>
                <w:lang w:val="es-ES_tradnl"/>
              </w:rPr>
              <w:t>2</w:t>
            </w:r>
            <w:r w:rsidRPr="002D741C">
              <w:rPr>
                <w:rFonts w:ascii="Times New Roman" w:hAnsi="Times New Roman"/>
                <w:color w:val="000000"/>
                <w:sz w:val="22"/>
                <w:szCs w:val="22"/>
                <w:lang w:val="es-ES_tradnl"/>
              </w:rPr>
              <w:t xml:space="preserve"> i.v. (1 h), días 1-5</w:t>
            </w:r>
          </w:p>
        </w:tc>
      </w:tr>
      <w:tr w:rsidR="008C48E3" w:rsidRPr="002D741C" w14:paraId="11CC30B9" w14:textId="77777777" w:rsidTr="00C16E58">
        <w:trPr>
          <w:cantSplit/>
        </w:trPr>
        <w:tc>
          <w:tcPr>
            <w:tcW w:w="2432" w:type="dxa"/>
            <w:tcBorders>
              <w:top w:val="single" w:sz="4" w:space="0" w:color="auto"/>
              <w:left w:val="single" w:sz="4" w:space="0" w:color="auto"/>
              <w:bottom w:val="single" w:sz="4" w:space="0" w:color="auto"/>
            </w:tcBorders>
            <w:shd w:val="clear" w:color="auto" w:fill="auto"/>
          </w:tcPr>
          <w:p w14:paraId="375D853E" w14:textId="77777777" w:rsidR="008C48E3" w:rsidRPr="002D741C" w:rsidRDefault="008C48E3" w:rsidP="00C16E58">
            <w:pPr>
              <w:pStyle w:val="Table"/>
              <w:keepLines w:val="0"/>
              <w:widowControl w:val="0"/>
              <w:rPr>
                <w:rFonts w:ascii="Times New Roman" w:hAnsi="Times New Roman"/>
                <w:b/>
                <w:color w:val="000000"/>
                <w:sz w:val="22"/>
                <w:szCs w:val="22"/>
              </w:rPr>
            </w:pPr>
            <w:r w:rsidRPr="002D741C">
              <w:rPr>
                <w:rFonts w:ascii="Times New Roman" w:hAnsi="Times New Roman"/>
                <w:b/>
                <w:color w:val="000000"/>
                <w:sz w:val="22"/>
                <w:szCs w:val="22"/>
              </w:rPr>
              <w:lastRenderedPageBreak/>
              <w:t>Estudio AAU02</w:t>
            </w:r>
          </w:p>
        </w:tc>
        <w:tc>
          <w:tcPr>
            <w:tcW w:w="2652" w:type="dxa"/>
            <w:tcBorders>
              <w:top w:val="single" w:sz="4" w:space="0" w:color="auto"/>
              <w:bottom w:val="single" w:sz="4" w:space="0" w:color="auto"/>
            </w:tcBorders>
            <w:shd w:val="clear" w:color="auto" w:fill="auto"/>
          </w:tcPr>
          <w:p w14:paraId="19CD6A33" w14:textId="77777777" w:rsidR="008C48E3" w:rsidRPr="002D741C" w:rsidRDefault="008C48E3" w:rsidP="00C16E58">
            <w:pPr>
              <w:pStyle w:val="Table"/>
              <w:keepLines w:val="0"/>
              <w:widowControl w:val="0"/>
              <w:rPr>
                <w:rFonts w:ascii="Times New Roman" w:hAnsi="Times New Roman"/>
                <w:color w:val="000000"/>
                <w:sz w:val="22"/>
                <w:szCs w:val="22"/>
              </w:rPr>
            </w:pPr>
          </w:p>
        </w:tc>
        <w:tc>
          <w:tcPr>
            <w:tcW w:w="1080" w:type="dxa"/>
            <w:tcBorders>
              <w:top w:val="single" w:sz="4" w:space="0" w:color="auto"/>
              <w:bottom w:val="single" w:sz="4" w:space="0" w:color="auto"/>
            </w:tcBorders>
          </w:tcPr>
          <w:p w14:paraId="786FF5B9" w14:textId="77777777" w:rsidR="008C48E3" w:rsidRPr="002D741C" w:rsidRDefault="008C48E3" w:rsidP="00C16E58">
            <w:pPr>
              <w:pStyle w:val="Table"/>
              <w:keepLines w:val="0"/>
              <w:widowControl w:val="0"/>
              <w:rPr>
                <w:rFonts w:ascii="Times New Roman" w:hAnsi="Times New Roman"/>
                <w:color w:val="000000"/>
                <w:sz w:val="22"/>
                <w:szCs w:val="22"/>
              </w:rPr>
            </w:pPr>
          </w:p>
        </w:tc>
        <w:tc>
          <w:tcPr>
            <w:tcW w:w="1380" w:type="dxa"/>
            <w:tcBorders>
              <w:top w:val="single" w:sz="4" w:space="0" w:color="auto"/>
              <w:bottom w:val="single" w:sz="4" w:space="0" w:color="auto"/>
            </w:tcBorders>
          </w:tcPr>
          <w:p w14:paraId="7A32BA2E" w14:textId="77777777" w:rsidR="008C48E3" w:rsidRPr="002D741C" w:rsidRDefault="008C48E3" w:rsidP="00C16E58">
            <w:pPr>
              <w:pStyle w:val="Table"/>
              <w:keepLines w:val="0"/>
              <w:widowControl w:val="0"/>
              <w:rPr>
                <w:rFonts w:ascii="Times New Roman" w:hAnsi="Times New Roman"/>
                <w:color w:val="000000"/>
                <w:sz w:val="22"/>
                <w:szCs w:val="22"/>
              </w:rPr>
            </w:pPr>
          </w:p>
        </w:tc>
        <w:tc>
          <w:tcPr>
            <w:tcW w:w="1550" w:type="dxa"/>
            <w:tcBorders>
              <w:top w:val="single" w:sz="4" w:space="0" w:color="auto"/>
              <w:bottom w:val="single" w:sz="4" w:space="0" w:color="auto"/>
              <w:right w:val="single" w:sz="4" w:space="0" w:color="auto"/>
            </w:tcBorders>
          </w:tcPr>
          <w:p w14:paraId="071D8035" w14:textId="77777777" w:rsidR="008C48E3" w:rsidRPr="002D741C" w:rsidRDefault="008C48E3" w:rsidP="00C16E58">
            <w:pPr>
              <w:pStyle w:val="Table"/>
              <w:keepLines w:val="0"/>
              <w:widowControl w:val="0"/>
              <w:rPr>
                <w:rFonts w:ascii="Times New Roman" w:hAnsi="Times New Roman"/>
                <w:color w:val="000000"/>
                <w:sz w:val="22"/>
                <w:szCs w:val="22"/>
              </w:rPr>
            </w:pPr>
          </w:p>
        </w:tc>
      </w:tr>
      <w:tr w:rsidR="008C48E3" w:rsidRPr="002D741C" w14:paraId="3B6C6184" w14:textId="77777777" w:rsidTr="00C16E58">
        <w:trPr>
          <w:cantSplit/>
        </w:trPr>
        <w:tc>
          <w:tcPr>
            <w:tcW w:w="2432" w:type="dxa"/>
            <w:tcBorders>
              <w:top w:val="single" w:sz="4" w:space="0" w:color="auto"/>
              <w:left w:val="single" w:sz="4" w:space="0" w:color="auto"/>
              <w:bottom w:val="single" w:sz="4" w:space="0" w:color="auto"/>
            </w:tcBorders>
            <w:shd w:val="clear" w:color="auto" w:fill="auto"/>
          </w:tcPr>
          <w:p w14:paraId="6175D6E9" w14:textId="77777777" w:rsidR="008C48E3" w:rsidRPr="002D741C" w:rsidRDefault="008C48E3" w:rsidP="00C16E58">
            <w:pPr>
              <w:pStyle w:val="Table"/>
              <w:keepLines w:val="0"/>
              <w:widowControl w:val="0"/>
              <w:rPr>
                <w:rFonts w:ascii="Times New Roman" w:hAnsi="Times New Roman"/>
                <w:color w:val="000000"/>
                <w:sz w:val="22"/>
                <w:szCs w:val="22"/>
                <w:lang w:val="es-ES_tradnl"/>
              </w:rPr>
            </w:pPr>
            <w:r w:rsidRPr="002D741C">
              <w:rPr>
                <w:rFonts w:ascii="Times New Roman" w:hAnsi="Times New Roman"/>
                <w:color w:val="000000"/>
                <w:sz w:val="22"/>
                <w:szCs w:val="22"/>
                <w:lang w:val="es-ES_tradnl"/>
              </w:rPr>
              <w:t xml:space="preserve">Terapia de inducción (LLA Ph+ </w:t>
            </w:r>
            <w:r w:rsidRPr="002D741C">
              <w:rPr>
                <w:rFonts w:ascii="Times New Roman" w:hAnsi="Times New Roman"/>
                <w:i/>
                <w:color w:val="000000"/>
                <w:sz w:val="22"/>
                <w:szCs w:val="22"/>
                <w:lang w:val="es-ES_tradnl"/>
              </w:rPr>
              <w:t>de novo</w:t>
            </w:r>
            <w:r w:rsidRPr="002D741C">
              <w:rPr>
                <w:rFonts w:ascii="Times New Roman" w:hAnsi="Times New Roman"/>
                <w:color w:val="000000"/>
                <w:sz w:val="22"/>
                <w:szCs w:val="22"/>
                <w:lang w:val="es-ES_tradnl"/>
              </w:rPr>
              <w:t>)</w:t>
            </w:r>
          </w:p>
        </w:tc>
        <w:tc>
          <w:tcPr>
            <w:tcW w:w="6662" w:type="dxa"/>
            <w:gridSpan w:val="4"/>
            <w:tcBorders>
              <w:top w:val="single" w:sz="4" w:space="0" w:color="auto"/>
              <w:bottom w:val="single" w:sz="4" w:space="0" w:color="auto"/>
              <w:right w:val="single" w:sz="4" w:space="0" w:color="auto"/>
            </w:tcBorders>
            <w:shd w:val="clear" w:color="auto" w:fill="auto"/>
          </w:tcPr>
          <w:p w14:paraId="00C2A135" w14:textId="77777777" w:rsidR="006048F9" w:rsidRPr="002D741C" w:rsidRDefault="008C48E3" w:rsidP="00C16E58">
            <w:pPr>
              <w:pStyle w:val="Table"/>
              <w:keepLines w:val="0"/>
              <w:widowControl w:val="0"/>
              <w:rPr>
                <w:rFonts w:ascii="Times New Roman" w:hAnsi="Times New Roman"/>
                <w:color w:val="000000"/>
                <w:sz w:val="22"/>
                <w:szCs w:val="22"/>
                <w:lang w:val="es-ES_tradnl"/>
              </w:rPr>
            </w:pPr>
            <w:r w:rsidRPr="002D741C">
              <w:rPr>
                <w:rFonts w:ascii="Times New Roman" w:hAnsi="Times New Roman"/>
                <w:color w:val="000000"/>
                <w:sz w:val="22"/>
                <w:szCs w:val="22"/>
                <w:lang w:val="es-ES_tradnl"/>
              </w:rPr>
              <w:t>Daunorubicina 30 mg/m</w:t>
            </w:r>
            <w:r w:rsidRPr="002D741C">
              <w:rPr>
                <w:rFonts w:ascii="Times New Roman" w:hAnsi="Times New Roman"/>
                <w:color w:val="000000"/>
                <w:sz w:val="22"/>
                <w:szCs w:val="22"/>
                <w:vertAlign w:val="superscript"/>
                <w:lang w:val="es-ES_tradnl"/>
              </w:rPr>
              <w:t>2</w:t>
            </w:r>
            <w:r w:rsidRPr="002D741C">
              <w:rPr>
                <w:rFonts w:ascii="Times New Roman" w:hAnsi="Times New Roman"/>
                <w:color w:val="000000"/>
                <w:sz w:val="22"/>
                <w:szCs w:val="22"/>
                <w:lang w:val="es-ES_tradnl"/>
              </w:rPr>
              <w:t xml:space="preserve"> i.v., días 1-3, 15-16;</w:t>
            </w:r>
          </w:p>
          <w:p w14:paraId="45AF2BB2" w14:textId="77777777" w:rsidR="006048F9" w:rsidRPr="002D741C" w:rsidRDefault="008C48E3" w:rsidP="00C16E58">
            <w:pPr>
              <w:pStyle w:val="Table"/>
              <w:keepLines w:val="0"/>
              <w:widowControl w:val="0"/>
              <w:rPr>
                <w:rFonts w:ascii="Times New Roman" w:hAnsi="Times New Roman"/>
                <w:color w:val="000000"/>
                <w:sz w:val="22"/>
                <w:szCs w:val="22"/>
                <w:lang w:val="es-ES_tradnl"/>
              </w:rPr>
            </w:pPr>
            <w:smartTag w:uri="urn:schemas-microsoft-com:office:smarttags" w:element="stockticker">
              <w:r w:rsidRPr="002D741C">
                <w:rPr>
                  <w:rFonts w:ascii="Times New Roman" w:hAnsi="Times New Roman"/>
                  <w:color w:val="000000"/>
                  <w:sz w:val="22"/>
                  <w:szCs w:val="22"/>
                  <w:lang w:val="es-ES_tradnl"/>
                </w:rPr>
                <w:t>VCR</w:t>
              </w:r>
            </w:smartTag>
            <w:r w:rsidRPr="002D741C">
              <w:rPr>
                <w:rFonts w:ascii="Times New Roman" w:hAnsi="Times New Roman"/>
                <w:color w:val="000000"/>
                <w:sz w:val="22"/>
                <w:szCs w:val="22"/>
                <w:lang w:val="es-ES_tradnl"/>
              </w:rPr>
              <w:t xml:space="preserve"> 2 mg dosis total i.v., días 1, 8, 15, 22;</w:t>
            </w:r>
          </w:p>
          <w:p w14:paraId="6C2C2367" w14:textId="77777777" w:rsidR="006048F9" w:rsidRPr="002D741C" w:rsidRDefault="008C48E3" w:rsidP="00C16E58">
            <w:pPr>
              <w:pStyle w:val="Table"/>
              <w:keepLines w:val="0"/>
              <w:widowControl w:val="0"/>
              <w:rPr>
                <w:rFonts w:ascii="Times New Roman" w:hAnsi="Times New Roman"/>
                <w:color w:val="000000"/>
                <w:sz w:val="22"/>
                <w:szCs w:val="22"/>
                <w:lang w:val="es-ES_tradnl"/>
              </w:rPr>
            </w:pPr>
            <w:r w:rsidRPr="002D741C">
              <w:rPr>
                <w:rFonts w:ascii="Times New Roman" w:hAnsi="Times New Roman"/>
                <w:color w:val="000000"/>
                <w:sz w:val="22"/>
                <w:szCs w:val="22"/>
                <w:lang w:val="es-ES_tradnl"/>
              </w:rPr>
              <w:t>CP 750 mg/m</w:t>
            </w:r>
            <w:r w:rsidRPr="002D741C">
              <w:rPr>
                <w:rFonts w:ascii="Times New Roman" w:hAnsi="Times New Roman"/>
                <w:color w:val="000000"/>
                <w:sz w:val="22"/>
                <w:szCs w:val="22"/>
                <w:vertAlign w:val="superscript"/>
                <w:lang w:val="es-ES_tradnl"/>
              </w:rPr>
              <w:t>2</w:t>
            </w:r>
            <w:r w:rsidRPr="002D741C">
              <w:rPr>
                <w:rFonts w:ascii="Times New Roman" w:hAnsi="Times New Roman"/>
                <w:color w:val="000000"/>
                <w:sz w:val="22"/>
                <w:szCs w:val="22"/>
                <w:lang w:val="es-ES_tradnl"/>
              </w:rPr>
              <w:t xml:space="preserve"> i.v., días 1, 8;</w:t>
            </w:r>
          </w:p>
          <w:p w14:paraId="7457269E" w14:textId="77777777" w:rsidR="006048F9" w:rsidRPr="002D741C" w:rsidRDefault="006048F9" w:rsidP="00C16E58">
            <w:pPr>
              <w:pStyle w:val="Table"/>
              <w:keepLines w:val="0"/>
              <w:widowControl w:val="0"/>
              <w:rPr>
                <w:rFonts w:ascii="Times New Roman" w:hAnsi="Times New Roman"/>
                <w:color w:val="000000"/>
                <w:sz w:val="22"/>
                <w:szCs w:val="22"/>
                <w:lang w:val="es-ES_tradnl"/>
              </w:rPr>
            </w:pPr>
            <w:r w:rsidRPr="002D741C">
              <w:rPr>
                <w:rFonts w:ascii="Times New Roman" w:hAnsi="Times New Roman"/>
                <w:color w:val="000000"/>
                <w:sz w:val="22"/>
                <w:szCs w:val="22"/>
                <w:lang w:val="es-ES_tradnl"/>
              </w:rPr>
              <w:t>P</w:t>
            </w:r>
            <w:r w:rsidR="008C48E3" w:rsidRPr="002D741C">
              <w:rPr>
                <w:rFonts w:ascii="Times New Roman" w:hAnsi="Times New Roman"/>
                <w:color w:val="000000"/>
                <w:sz w:val="22"/>
                <w:szCs w:val="22"/>
                <w:lang w:val="es-ES_tradnl"/>
              </w:rPr>
              <w:t>rednisona 60 mg/m</w:t>
            </w:r>
            <w:r w:rsidR="008C48E3" w:rsidRPr="002D741C">
              <w:rPr>
                <w:rFonts w:ascii="Times New Roman" w:hAnsi="Times New Roman"/>
                <w:color w:val="000000"/>
                <w:sz w:val="22"/>
                <w:szCs w:val="22"/>
                <w:vertAlign w:val="superscript"/>
                <w:lang w:val="es-ES_tradnl"/>
              </w:rPr>
              <w:t>2</w:t>
            </w:r>
            <w:r w:rsidR="008C48E3" w:rsidRPr="002D741C">
              <w:rPr>
                <w:rFonts w:ascii="Times New Roman" w:hAnsi="Times New Roman"/>
                <w:color w:val="000000"/>
                <w:sz w:val="22"/>
                <w:szCs w:val="22"/>
                <w:lang w:val="es-ES_tradnl"/>
              </w:rPr>
              <w:t xml:space="preserve"> oral, días 1-7, 15-21;</w:t>
            </w:r>
          </w:p>
          <w:p w14:paraId="4E717382" w14:textId="77777777" w:rsidR="006048F9" w:rsidRPr="002D741C" w:rsidRDefault="008C48E3" w:rsidP="00C16E58">
            <w:pPr>
              <w:pStyle w:val="Table"/>
              <w:keepLines w:val="0"/>
              <w:widowControl w:val="0"/>
              <w:rPr>
                <w:rFonts w:ascii="Times New Roman" w:hAnsi="Times New Roman"/>
                <w:color w:val="000000"/>
                <w:sz w:val="22"/>
                <w:szCs w:val="22"/>
                <w:lang w:val="es-ES_tradnl"/>
              </w:rPr>
            </w:pPr>
            <w:smartTag w:uri="urn:schemas-microsoft-com:office:smarttags" w:element="stockticker">
              <w:r w:rsidRPr="002D741C">
                <w:rPr>
                  <w:rFonts w:ascii="Times New Roman" w:hAnsi="Times New Roman"/>
                  <w:color w:val="000000"/>
                  <w:sz w:val="22"/>
                  <w:szCs w:val="22"/>
                  <w:lang w:val="es-ES_tradnl"/>
                </w:rPr>
                <w:t>IDA</w:t>
              </w:r>
            </w:smartTag>
            <w:r w:rsidRPr="002D741C">
              <w:rPr>
                <w:rFonts w:ascii="Times New Roman" w:hAnsi="Times New Roman"/>
                <w:color w:val="000000"/>
                <w:sz w:val="22"/>
                <w:szCs w:val="22"/>
                <w:lang w:val="es-ES_tradnl"/>
              </w:rPr>
              <w:t xml:space="preserve"> 9 mg/m</w:t>
            </w:r>
            <w:r w:rsidRPr="002D741C">
              <w:rPr>
                <w:rFonts w:ascii="Times New Roman" w:hAnsi="Times New Roman"/>
                <w:color w:val="000000"/>
                <w:sz w:val="22"/>
                <w:szCs w:val="22"/>
                <w:vertAlign w:val="superscript"/>
                <w:lang w:val="es-ES_tradnl"/>
              </w:rPr>
              <w:t>2</w:t>
            </w:r>
            <w:r w:rsidRPr="002D741C">
              <w:rPr>
                <w:rFonts w:ascii="Times New Roman" w:hAnsi="Times New Roman"/>
                <w:color w:val="000000"/>
                <w:sz w:val="22"/>
                <w:szCs w:val="22"/>
                <w:lang w:val="es-ES_tradnl"/>
              </w:rPr>
              <w:t xml:space="preserve"> oral, días 1-28;</w:t>
            </w:r>
          </w:p>
          <w:p w14:paraId="716922A8" w14:textId="77777777" w:rsidR="006048F9" w:rsidRPr="002D741C" w:rsidRDefault="008C48E3" w:rsidP="00C16E58">
            <w:pPr>
              <w:pStyle w:val="Table"/>
              <w:keepLines w:val="0"/>
              <w:widowControl w:val="0"/>
              <w:rPr>
                <w:rFonts w:ascii="Times New Roman" w:hAnsi="Times New Roman"/>
                <w:color w:val="000000"/>
                <w:sz w:val="22"/>
                <w:szCs w:val="22"/>
                <w:lang w:val="es-ES_tradnl"/>
              </w:rPr>
            </w:pPr>
            <w:smartTag w:uri="urn:schemas-microsoft-com:office:smarttags" w:element="stockticker">
              <w:smartTag w:uri="urn:schemas-microsoft-com:office:smarttags" w:element="PersonName">
                <w:r w:rsidRPr="002D741C">
                  <w:rPr>
                    <w:rFonts w:ascii="Times New Roman" w:hAnsi="Times New Roman"/>
                    <w:color w:val="000000"/>
                    <w:sz w:val="22"/>
                    <w:szCs w:val="22"/>
                    <w:lang w:val="es-ES_tradnl"/>
                  </w:rPr>
                  <w:t>MT</w:t>
                </w:r>
              </w:smartTag>
              <w:r w:rsidRPr="002D741C">
                <w:rPr>
                  <w:rFonts w:ascii="Times New Roman" w:hAnsi="Times New Roman"/>
                  <w:color w:val="000000"/>
                  <w:sz w:val="22"/>
                  <w:szCs w:val="22"/>
                  <w:lang w:val="es-ES_tradnl"/>
                </w:rPr>
                <w:t>X</w:t>
              </w:r>
            </w:smartTag>
            <w:r w:rsidRPr="002D741C">
              <w:rPr>
                <w:rFonts w:ascii="Times New Roman" w:hAnsi="Times New Roman"/>
                <w:color w:val="000000"/>
                <w:sz w:val="22"/>
                <w:szCs w:val="22"/>
                <w:lang w:val="es-ES_tradnl"/>
              </w:rPr>
              <w:t xml:space="preserve"> 15 mg intratecal, días 1, 8, 15, 22;</w:t>
            </w:r>
          </w:p>
          <w:p w14:paraId="69637E77" w14:textId="77777777" w:rsidR="006048F9" w:rsidRPr="002D741C" w:rsidRDefault="008C48E3" w:rsidP="00C16E58">
            <w:pPr>
              <w:pStyle w:val="Table"/>
              <w:keepLines w:val="0"/>
              <w:widowControl w:val="0"/>
              <w:rPr>
                <w:rFonts w:ascii="Times New Roman" w:hAnsi="Times New Roman"/>
                <w:color w:val="000000"/>
                <w:sz w:val="22"/>
                <w:szCs w:val="22"/>
                <w:lang w:val="es-ES_tradnl"/>
              </w:rPr>
            </w:pPr>
            <w:r w:rsidRPr="002D741C">
              <w:rPr>
                <w:rFonts w:ascii="Times New Roman" w:hAnsi="Times New Roman"/>
                <w:color w:val="000000"/>
                <w:sz w:val="22"/>
                <w:szCs w:val="22"/>
                <w:lang w:val="es-ES_tradnl"/>
              </w:rPr>
              <w:t xml:space="preserve">Ara-C 40 mg intratecal, </w:t>
            </w:r>
            <w:r w:rsidR="00BC4B46" w:rsidRPr="002D741C">
              <w:rPr>
                <w:rFonts w:ascii="Times New Roman" w:hAnsi="Times New Roman"/>
                <w:color w:val="000000"/>
                <w:sz w:val="22"/>
                <w:szCs w:val="22"/>
                <w:lang w:val="es-ES_tradnl"/>
              </w:rPr>
              <w:t>días </w:t>
            </w:r>
            <w:r w:rsidRPr="002D741C">
              <w:rPr>
                <w:rFonts w:ascii="Times New Roman" w:hAnsi="Times New Roman"/>
                <w:color w:val="000000"/>
                <w:sz w:val="22"/>
                <w:szCs w:val="22"/>
                <w:lang w:val="es-ES_tradnl"/>
              </w:rPr>
              <w:t>1, 8, 15, 22;</w:t>
            </w:r>
          </w:p>
          <w:p w14:paraId="28F789C0" w14:textId="77777777" w:rsidR="008C48E3" w:rsidRPr="002D741C" w:rsidRDefault="006048F9" w:rsidP="00C16E58">
            <w:pPr>
              <w:pStyle w:val="Table"/>
              <w:keepLines w:val="0"/>
              <w:widowControl w:val="0"/>
              <w:rPr>
                <w:rFonts w:ascii="Times New Roman" w:hAnsi="Times New Roman"/>
                <w:color w:val="000000"/>
                <w:sz w:val="22"/>
                <w:szCs w:val="22"/>
                <w:lang w:val="es-ES_tradnl"/>
              </w:rPr>
            </w:pPr>
            <w:r w:rsidRPr="002D741C">
              <w:rPr>
                <w:rFonts w:ascii="Times New Roman" w:hAnsi="Times New Roman"/>
                <w:color w:val="000000"/>
                <w:sz w:val="22"/>
                <w:szCs w:val="22"/>
                <w:lang w:val="es-ES_tradnl"/>
              </w:rPr>
              <w:t>M</w:t>
            </w:r>
            <w:r w:rsidR="008C48E3" w:rsidRPr="002D741C">
              <w:rPr>
                <w:rFonts w:ascii="Times New Roman" w:hAnsi="Times New Roman"/>
                <w:color w:val="000000"/>
                <w:sz w:val="22"/>
                <w:szCs w:val="22"/>
                <w:lang w:val="es-ES_tradnl"/>
              </w:rPr>
              <w:t>etilprednisolona 40 mg intratecal, días 1, 8, 15, 22</w:t>
            </w:r>
          </w:p>
        </w:tc>
      </w:tr>
      <w:tr w:rsidR="008C48E3" w:rsidRPr="002D741C" w14:paraId="6B43C4A8" w14:textId="77777777" w:rsidTr="00C16E58">
        <w:trPr>
          <w:cantSplit/>
        </w:trPr>
        <w:tc>
          <w:tcPr>
            <w:tcW w:w="2432" w:type="dxa"/>
            <w:tcBorders>
              <w:top w:val="single" w:sz="4" w:space="0" w:color="auto"/>
              <w:left w:val="single" w:sz="4" w:space="0" w:color="auto"/>
              <w:bottom w:val="single" w:sz="4" w:space="0" w:color="auto"/>
            </w:tcBorders>
            <w:shd w:val="clear" w:color="auto" w:fill="auto"/>
          </w:tcPr>
          <w:p w14:paraId="47E5EBD4" w14:textId="77777777" w:rsidR="008C48E3" w:rsidRPr="002D741C" w:rsidRDefault="008C48E3" w:rsidP="00C16E58">
            <w:pPr>
              <w:pStyle w:val="Table"/>
              <w:keepNext w:val="0"/>
              <w:keepLines w:val="0"/>
              <w:widowControl w:val="0"/>
              <w:rPr>
                <w:rFonts w:ascii="Times New Roman" w:hAnsi="Times New Roman"/>
                <w:color w:val="000000"/>
                <w:sz w:val="22"/>
                <w:szCs w:val="22"/>
                <w:lang w:val="es-ES_tradnl"/>
              </w:rPr>
            </w:pPr>
            <w:r w:rsidRPr="002D741C">
              <w:rPr>
                <w:rFonts w:ascii="Times New Roman" w:hAnsi="Times New Roman"/>
                <w:color w:val="000000"/>
                <w:sz w:val="22"/>
                <w:szCs w:val="22"/>
                <w:lang w:val="es-ES_tradnl"/>
              </w:rPr>
              <w:t xml:space="preserve">Consolidación (LLA Ph+ </w:t>
            </w:r>
            <w:r w:rsidRPr="002D741C">
              <w:rPr>
                <w:rFonts w:ascii="Times New Roman" w:hAnsi="Times New Roman"/>
                <w:i/>
                <w:color w:val="000000"/>
                <w:sz w:val="22"/>
                <w:szCs w:val="22"/>
                <w:lang w:val="es-ES_tradnl"/>
              </w:rPr>
              <w:t>de novo</w:t>
            </w:r>
            <w:r w:rsidRPr="002D741C">
              <w:rPr>
                <w:rFonts w:ascii="Times New Roman" w:hAnsi="Times New Roman"/>
                <w:color w:val="000000"/>
                <w:sz w:val="22"/>
                <w:szCs w:val="22"/>
                <w:lang w:val="es-ES_tradnl"/>
              </w:rPr>
              <w:t xml:space="preserve"> )</w:t>
            </w:r>
          </w:p>
        </w:tc>
        <w:tc>
          <w:tcPr>
            <w:tcW w:w="6662" w:type="dxa"/>
            <w:gridSpan w:val="4"/>
            <w:tcBorders>
              <w:top w:val="single" w:sz="4" w:space="0" w:color="auto"/>
              <w:bottom w:val="single" w:sz="4" w:space="0" w:color="auto"/>
              <w:right w:val="single" w:sz="4" w:space="0" w:color="auto"/>
            </w:tcBorders>
            <w:shd w:val="clear" w:color="auto" w:fill="auto"/>
          </w:tcPr>
          <w:p w14:paraId="5A950CEA" w14:textId="77777777" w:rsidR="006048F9" w:rsidRPr="002D741C" w:rsidRDefault="008C48E3" w:rsidP="00C16E58">
            <w:pPr>
              <w:pStyle w:val="Table"/>
              <w:keepNext w:val="0"/>
              <w:keepLines w:val="0"/>
              <w:widowControl w:val="0"/>
              <w:rPr>
                <w:rFonts w:ascii="Times New Roman" w:hAnsi="Times New Roman"/>
                <w:color w:val="000000"/>
                <w:sz w:val="22"/>
                <w:szCs w:val="22"/>
                <w:lang w:val="es-ES_tradnl"/>
              </w:rPr>
            </w:pPr>
            <w:r w:rsidRPr="002D741C">
              <w:rPr>
                <w:rFonts w:ascii="Times New Roman" w:hAnsi="Times New Roman"/>
                <w:color w:val="000000"/>
                <w:sz w:val="22"/>
                <w:szCs w:val="22"/>
                <w:lang w:val="es-ES_tradnl"/>
              </w:rPr>
              <w:t>Ara-C 1.000 mg/m</w:t>
            </w:r>
            <w:r w:rsidRPr="002D741C">
              <w:rPr>
                <w:rFonts w:ascii="Times New Roman" w:hAnsi="Times New Roman"/>
                <w:color w:val="000000"/>
                <w:sz w:val="22"/>
                <w:szCs w:val="22"/>
                <w:vertAlign w:val="superscript"/>
                <w:lang w:val="es-ES_tradnl"/>
              </w:rPr>
              <w:t>2</w:t>
            </w:r>
            <w:r w:rsidRPr="002D741C">
              <w:rPr>
                <w:rFonts w:ascii="Times New Roman" w:hAnsi="Times New Roman"/>
                <w:color w:val="000000"/>
                <w:sz w:val="22"/>
                <w:szCs w:val="22"/>
                <w:lang w:val="es-ES_tradnl"/>
              </w:rPr>
              <w:t>/12 h i.v.(3 h), días 1-4;</w:t>
            </w:r>
          </w:p>
          <w:p w14:paraId="231D523D" w14:textId="77777777" w:rsidR="006048F9" w:rsidRPr="002D741C" w:rsidRDefault="006048F9" w:rsidP="00C16E58">
            <w:pPr>
              <w:pStyle w:val="Table"/>
              <w:keepNext w:val="0"/>
              <w:keepLines w:val="0"/>
              <w:widowControl w:val="0"/>
              <w:rPr>
                <w:rFonts w:ascii="Times New Roman" w:hAnsi="Times New Roman"/>
                <w:color w:val="000000"/>
                <w:sz w:val="22"/>
                <w:szCs w:val="22"/>
                <w:lang w:val="es-ES_tradnl"/>
              </w:rPr>
            </w:pPr>
            <w:r w:rsidRPr="002D741C">
              <w:rPr>
                <w:rFonts w:ascii="Times New Roman" w:hAnsi="Times New Roman"/>
                <w:color w:val="000000"/>
                <w:sz w:val="22"/>
                <w:szCs w:val="22"/>
                <w:lang w:val="es-ES_tradnl"/>
              </w:rPr>
              <w:t>M</w:t>
            </w:r>
            <w:r w:rsidR="008C48E3" w:rsidRPr="002D741C">
              <w:rPr>
                <w:rFonts w:ascii="Times New Roman" w:hAnsi="Times New Roman"/>
                <w:color w:val="000000"/>
                <w:sz w:val="22"/>
                <w:szCs w:val="22"/>
                <w:lang w:val="es-ES_tradnl"/>
              </w:rPr>
              <w:t>itoxantrona 10 mg/m</w:t>
            </w:r>
            <w:r w:rsidR="008C48E3" w:rsidRPr="002D741C">
              <w:rPr>
                <w:rFonts w:ascii="Times New Roman" w:hAnsi="Times New Roman"/>
                <w:color w:val="000000"/>
                <w:sz w:val="22"/>
                <w:szCs w:val="22"/>
                <w:vertAlign w:val="superscript"/>
                <w:lang w:val="es-ES_tradnl"/>
              </w:rPr>
              <w:t>2</w:t>
            </w:r>
            <w:r w:rsidR="008C48E3" w:rsidRPr="002D741C">
              <w:rPr>
                <w:rFonts w:ascii="Times New Roman" w:hAnsi="Times New Roman"/>
                <w:color w:val="000000"/>
                <w:sz w:val="22"/>
                <w:szCs w:val="22"/>
                <w:lang w:val="es-ES_tradnl"/>
              </w:rPr>
              <w:t xml:space="preserve"> i.v. días 3-5;</w:t>
            </w:r>
          </w:p>
          <w:p w14:paraId="36E8B0D9" w14:textId="77777777" w:rsidR="006048F9" w:rsidRPr="002D741C" w:rsidRDefault="008C48E3" w:rsidP="00C16E58">
            <w:pPr>
              <w:pStyle w:val="Table"/>
              <w:keepNext w:val="0"/>
              <w:keepLines w:val="0"/>
              <w:widowControl w:val="0"/>
              <w:rPr>
                <w:rFonts w:ascii="Times New Roman" w:hAnsi="Times New Roman"/>
                <w:color w:val="000000"/>
                <w:sz w:val="22"/>
                <w:szCs w:val="22"/>
                <w:lang w:val="es-ES_tradnl"/>
              </w:rPr>
            </w:pPr>
            <w:smartTag w:uri="urn:schemas-microsoft-com:office:smarttags" w:element="stockticker">
              <w:smartTag w:uri="urn:schemas-microsoft-com:office:smarttags" w:element="PersonName">
                <w:r w:rsidRPr="002D741C">
                  <w:rPr>
                    <w:rFonts w:ascii="Times New Roman" w:hAnsi="Times New Roman"/>
                    <w:color w:val="000000"/>
                    <w:sz w:val="22"/>
                    <w:szCs w:val="22"/>
                    <w:lang w:val="es-ES_tradnl"/>
                  </w:rPr>
                  <w:t>MT</w:t>
                </w:r>
              </w:smartTag>
              <w:r w:rsidRPr="002D741C">
                <w:rPr>
                  <w:rFonts w:ascii="Times New Roman" w:hAnsi="Times New Roman"/>
                  <w:color w:val="000000"/>
                  <w:sz w:val="22"/>
                  <w:szCs w:val="22"/>
                  <w:lang w:val="es-ES_tradnl"/>
                </w:rPr>
                <w:t>X</w:t>
              </w:r>
            </w:smartTag>
            <w:r w:rsidRPr="002D741C">
              <w:rPr>
                <w:rFonts w:ascii="Times New Roman" w:hAnsi="Times New Roman"/>
                <w:color w:val="000000"/>
                <w:sz w:val="22"/>
                <w:szCs w:val="22"/>
                <w:lang w:val="es-ES_tradnl"/>
              </w:rPr>
              <w:t xml:space="preserve"> 15 mg intratecal, día 1;</w:t>
            </w:r>
          </w:p>
          <w:p w14:paraId="17D541A3" w14:textId="77777777" w:rsidR="008C48E3" w:rsidRPr="002D741C" w:rsidRDefault="006048F9" w:rsidP="00C16E58">
            <w:pPr>
              <w:pStyle w:val="Table"/>
              <w:keepNext w:val="0"/>
              <w:keepLines w:val="0"/>
              <w:widowControl w:val="0"/>
              <w:rPr>
                <w:rFonts w:ascii="Times New Roman" w:hAnsi="Times New Roman"/>
                <w:color w:val="000000"/>
                <w:sz w:val="22"/>
                <w:szCs w:val="22"/>
                <w:lang w:val="es-ES_tradnl"/>
              </w:rPr>
            </w:pPr>
            <w:r w:rsidRPr="002D741C">
              <w:rPr>
                <w:rFonts w:ascii="Times New Roman" w:hAnsi="Times New Roman"/>
                <w:color w:val="000000"/>
                <w:sz w:val="22"/>
                <w:szCs w:val="22"/>
                <w:lang w:val="es-ES_tradnl"/>
              </w:rPr>
              <w:t>M</w:t>
            </w:r>
            <w:r w:rsidR="008C48E3" w:rsidRPr="002D741C">
              <w:rPr>
                <w:rFonts w:ascii="Times New Roman" w:hAnsi="Times New Roman"/>
                <w:color w:val="000000"/>
                <w:sz w:val="22"/>
                <w:szCs w:val="22"/>
                <w:lang w:val="es-ES_tradnl"/>
              </w:rPr>
              <w:t>etilprednisolona 40 mg intratecal, día 1</w:t>
            </w:r>
          </w:p>
        </w:tc>
      </w:tr>
      <w:tr w:rsidR="008C48E3" w:rsidRPr="002D741C" w14:paraId="1A212C5F" w14:textId="77777777" w:rsidTr="00C16E58">
        <w:trPr>
          <w:cantSplit/>
        </w:trPr>
        <w:tc>
          <w:tcPr>
            <w:tcW w:w="5084" w:type="dxa"/>
            <w:gridSpan w:val="2"/>
            <w:tcBorders>
              <w:top w:val="single" w:sz="4" w:space="0" w:color="auto"/>
              <w:left w:val="single" w:sz="4" w:space="0" w:color="auto"/>
              <w:bottom w:val="single" w:sz="4" w:space="0" w:color="auto"/>
            </w:tcBorders>
            <w:shd w:val="clear" w:color="auto" w:fill="auto"/>
          </w:tcPr>
          <w:p w14:paraId="21DC54F3" w14:textId="77777777" w:rsidR="008C48E3" w:rsidRPr="002D741C" w:rsidRDefault="008C48E3" w:rsidP="00C16E58">
            <w:pPr>
              <w:pStyle w:val="Table"/>
              <w:keepLines w:val="0"/>
              <w:widowControl w:val="0"/>
              <w:rPr>
                <w:rFonts w:ascii="Times New Roman" w:hAnsi="Times New Roman"/>
                <w:b/>
                <w:color w:val="000000"/>
                <w:sz w:val="22"/>
                <w:szCs w:val="22"/>
              </w:rPr>
            </w:pPr>
            <w:r w:rsidRPr="002D741C">
              <w:rPr>
                <w:rFonts w:ascii="Times New Roman" w:hAnsi="Times New Roman"/>
                <w:b/>
                <w:color w:val="000000"/>
                <w:sz w:val="22"/>
                <w:szCs w:val="22"/>
              </w:rPr>
              <w:t>Estudio A</w:t>
            </w:r>
            <w:smartTag w:uri="urn:schemas-microsoft-com:office:smarttags" w:element="PersonName">
              <w:r w:rsidRPr="002D741C">
                <w:rPr>
                  <w:rFonts w:ascii="Times New Roman" w:hAnsi="Times New Roman"/>
                  <w:b/>
                  <w:color w:val="000000"/>
                  <w:sz w:val="22"/>
                  <w:szCs w:val="22"/>
                </w:rPr>
                <w:t>DE</w:t>
              </w:r>
            </w:smartTag>
            <w:r w:rsidRPr="002D741C">
              <w:rPr>
                <w:rFonts w:ascii="Times New Roman" w:hAnsi="Times New Roman"/>
                <w:b/>
                <w:color w:val="000000"/>
                <w:sz w:val="22"/>
                <w:szCs w:val="22"/>
              </w:rPr>
              <w:t>04</w:t>
            </w:r>
          </w:p>
        </w:tc>
        <w:tc>
          <w:tcPr>
            <w:tcW w:w="1080" w:type="dxa"/>
            <w:tcBorders>
              <w:top w:val="single" w:sz="4" w:space="0" w:color="auto"/>
              <w:bottom w:val="single" w:sz="4" w:space="0" w:color="auto"/>
            </w:tcBorders>
          </w:tcPr>
          <w:p w14:paraId="1CB3A1C1" w14:textId="77777777" w:rsidR="008C48E3" w:rsidRPr="002D741C" w:rsidRDefault="008C48E3" w:rsidP="00C16E58">
            <w:pPr>
              <w:pStyle w:val="Table"/>
              <w:keepLines w:val="0"/>
              <w:widowControl w:val="0"/>
              <w:rPr>
                <w:rFonts w:ascii="Times New Roman" w:hAnsi="Times New Roman"/>
                <w:color w:val="000000"/>
                <w:sz w:val="22"/>
                <w:szCs w:val="22"/>
              </w:rPr>
            </w:pPr>
          </w:p>
        </w:tc>
        <w:tc>
          <w:tcPr>
            <w:tcW w:w="1380" w:type="dxa"/>
            <w:tcBorders>
              <w:top w:val="single" w:sz="4" w:space="0" w:color="auto"/>
              <w:bottom w:val="single" w:sz="4" w:space="0" w:color="auto"/>
            </w:tcBorders>
          </w:tcPr>
          <w:p w14:paraId="32513AC9" w14:textId="77777777" w:rsidR="008C48E3" w:rsidRPr="002D741C" w:rsidRDefault="008C48E3" w:rsidP="00C16E58">
            <w:pPr>
              <w:pStyle w:val="Table"/>
              <w:keepLines w:val="0"/>
              <w:widowControl w:val="0"/>
              <w:rPr>
                <w:rFonts w:ascii="Times New Roman" w:hAnsi="Times New Roman"/>
                <w:color w:val="000000"/>
                <w:sz w:val="22"/>
                <w:szCs w:val="22"/>
              </w:rPr>
            </w:pPr>
          </w:p>
        </w:tc>
        <w:tc>
          <w:tcPr>
            <w:tcW w:w="1550" w:type="dxa"/>
            <w:tcBorders>
              <w:top w:val="single" w:sz="4" w:space="0" w:color="auto"/>
              <w:bottom w:val="single" w:sz="4" w:space="0" w:color="auto"/>
              <w:right w:val="single" w:sz="4" w:space="0" w:color="auto"/>
            </w:tcBorders>
          </w:tcPr>
          <w:p w14:paraId="71490A68" w14:textId="77777777" w:rsidR="008C48E3" w:rsidRPr="002D741C" w:rsidRDefault="008C48E3" w:rsidP="00C16E58">
            <w:pPr>
              <w:pStyle w:val="Table"/>
              <w:keepLines w:val="0"/>
              <w:widowControl w:val="0"/>
              <w:rPr>
                <w:rFonts w:ascii="Times New Roman" w:hAnsi="Times New Roman"/>
                <w:color w:val="000000"/>
                <w:sz w:val="22"/>
                <w:szCs w:val="22"/>
              </w:rPr>
            </w:pPr>
          </w:p>
        </w:tc>
      </w:tr>
      <w:tr w:rsidR="008C48E3" w:rsidRPr="002D741C" w14:paraId="269756CE" w14:textId="77777777" w:rsidTr="00C16E58">
        <w:trPr>
          <w:cantSplit/>
        </w:trPr>
        <w:tc>
          <w:tcPr>
            <w:tcW w:w="2432" w:type="dxa"/>
            <w:tcBorders>
              <w:top w:val="single" w:sz="4" w:space="0" w:color="auto"/>
              <w:left w:val="single" w:sz="4" w:space="0" w:color="auto"/>
              <w:bottom w:val="single" w:sz="4" w:space="0" w:color="auto"/>
            </w:tcBorders>
            <w:shd w:val="clear" w:color="auto" w:fill="auto"/>
          </w:tcPr>
          <w:p w14:paraId="05B00445" w14:textId="77777777" w:rsidR="008C48E3" w:rsidRPr="002D741C" w:rsidRDefault="008C48E3" w:rsidP="00C16E58">
            <w:pPr>
              <w:pStyle w:val="Table"/>
              <w:keepLines w:val="0"/>
              <w:widowControl w:val="0"/>
              <w:rPr>
                <w:rFonts w:ascii="Times New Roman" w:hAnsi="Times New Roman"/>
                <w:color w:val="000000"/>
                <w:sz w:val="22"/>
                <w:szCs w:val="22"/>
              </w:rPr>
            </w:pPr>
            <w:r w:rsidRPr="002D741C">
              <w:rPr>
                <w:rFonts w:ascii="Times New Roman" w:hAnsi="Times New Roman"/>
                <w:color w:val="000000"/>
                <w:sz w:val="22"/>
                <w:szCs w:val="22"/>
              </w:rPr>
              <w:t>Prefase</w:t>
            </w:r>
          </w:p>
        </w:tc>
        <w:tc>
          <w:tcPr>
            <w:tcW w:w="6662" w:type="dxa"/>
            <w:gridSpan w:val="4"/>
            <w:tcBorders>
              <w:top w:val="single" w:sz="4" w:space="0" w:color="auto"/>
              <w:bottom w:val="single" w:sz="4" w:space="0" w:color="auto"/>
              <w:right w:val="single" w:sz="4" w:space="0" w:color="auto"/>
            </w:tcBorders>
            <w:shd w:val="clear" w:color="auto" w:fill="auto"/>
          </w:tcPr>
          <w:p w14:paraId="4CA070AE" w14:textId="77777777" w:rsidR="006048F9" w:rsidRPr="002D741C" w:rsidRDefault="008C48E3" w:rsidP="00C16E58">
            <w:pPr>
              <w:pStyle w:val="Table"/>
              <w:keepLines w:val="0"/>
              <w:widowControl w:val="0"/>
              <w:rPr>
                <w:rFonts w:ascii="Times New Roman" w:hAnsi="Times New Roman"/>
                <w:color w:val="000000"/>
                <w:sz w:val="22"/>
                <w:szCs w:val="22"/>
                <w:lang w:val="es-ES_tradnl"/>
              </w:rPr>
            </w:pPr>
            <w:smartTag w:uri="urn:schemas-microsoft-com:office:smarttags" w:element="PersonName">
              <w:r w:rsidRPr="002D741C">
                <w:rPr>
                  <w:rFonts w:ascii="Times New Roman" w:hAnsi="Times New Roman"/>
                  <w:color w:val="000000"/>
                  <w:sz w:val="22"/>
                  <w:szCs w:val="22"/>
                  <w:lang w:val="es-ES_tradnl"/>
                </w:rPr>
                <w:t>DE</w:t>
              </w:r>
            </w:smartTag>
            <w:r w:rsidRPr="002D741C">
              <w:rPr>
                <w:rFonts w:ascii="Times New Roman" w:hAnsi="Times New Roman"/>
                <w:color w:val="000000"/>
                <w:sz w:val="22"/>
                <w:szCs w:val="22"/>
                <w:lang w:val="es-ES_tradnl"/>
              </w:rPr>
              <w:t>X 10 mg/m</w:t>
            </w:r>
            <w:r w:rsidRPr="002D741C">
              <w:rPr>
                <w:rFonts w:ascii="Times New Roman" w:hAnsi="Times New Roman"/>
                <w:color w:val="000000"/>
                <w:sz w:val="22"/>
                <w:szCs w:val="22"/>
                <w:vertAlign w:val="superscript"/>
                <w:lang w:val="es-ES_tradnl"/>
              </w:rPr>
              <w:t>2</w:t>
            </w:r>
            <w:r w:rsidRPr="002D741C">
              <w:rPr>
                <w:rFonts w:ascii="Times New Roman" w:hAnsi="Times New Roman"/>
                <w:color w:val="000000"/>
                <w:sz w:val="22"/>
                <w:szCs w:val="22"/>
                <w:lang w:val="es-ES_tradnl"/>
              </w:rPr>
              <w:t xml:space="preserve"> oral, días 1-5;</w:t>
            </w:r>
          </w:p>
          <w:p w14:paraId="420FA418" w14:textId="77777777" w:rsidR="006048F9" w:rsidRPr="002D741C" w:rsidRDefault="008C48E3" w:rsidP="00C16E58">
            <w:pPr>
              <w:pStyle w:val="Table"/>
              <w:keepLines w:val="0"/>
              <w:widowControl w:val="0"/>
              <w:rPr>
                <w:rFonts w:ascii="Times New Roman" w:hAnsi="Times New Roman"/>
                <w:color w:val="000000"/>
                <w:sz w:val="22"/>
                <w:szCs w:val="22"/>
                <w:lang w:val="es-ES_tradnl"/>
              </w:rPr>
            </w:pPr>
            <w:r w:rsidRPr="002D741C">
              <w:rPr>
                <w:rFonts w:ascii="Times New Roman" w:hAnsi="Times New Roman"/>
                <w:color w:val="000000"/>
                <w:sz w:val="22"/>
                <w:szCs w:val="22"/>
                <w:lang w:val="es-ES_tradnl"/>
              </w:rPr>
              <w:t>CP 200 mg/m</w:t>
            </w:r>
            <w:r w:rsidRPr="002D741C">
              <w:rPr>
                <w:rFonts w:ascii="Times New Roman" w:hAnsi="Times New Roman"/>
                <w:color w:val="000000"/>
                <w:sz w:val="22"/>
                <w:szCs w:val="22"/>
                <w:vertAlign w:val="superscript"/>
                <w:lang w:val="es-ES_tradnl"/>
              </w:rPr>
              <w:t>2</w:t>
            </w:r>
            <w:r w:rsidRPr="002D741C">
              <w:rPr>
                <w:rFonts w:ascii="Times New Roman" w:hAnsi="Times New Roman"/>
                <w:color w:val="000000"/>
                <w:sz w:val="22"/>
                <w:szCs w:val="22"/>
                <w:lang w:val="es-ES_tradnl"/>
              </w:rPr>
              <w:t xml:space="preserve"> i.v., días 3-5;</w:t>
            </w:r>
          </w:p>
          <w:p w14:paraId="6D17013C" w14:textId="77777777" w:rsidR="008C48E3" w:rsidRPr="002D741C" w:rsidRDefault="008C48E3" w:rsidP="00C16E58">
            <w:pPr>
              <w:pStyle w:val="Table"/>
              <w:keepLines w:val="0"/>
              <w:widowControl w:val="0"/>
              <w:rPr>
                <w:rFonts w:ascii="Times New Roman" w:hAnsi="Times New Roman"/>
                <w:color w:val="000000"/>
                <w:sz w:val="22"/>
                <w:szCs w:val="22"/>
                <w:lang w:val="es-ES_tradnl"/>
              </w:rPr>
            </w:pPr>
            <w:smartTag w:uri="urn:schemas-microsoft-com:office:smarttags" w:element="stockticker">
              <w:smartTag w:uri="urn:schemas-microsoft-com:office:smarttags" w:element="PersonName">
                <w:r w:rsidRPr="002D741C">
                  <w:rPr>
                    <w:rFonts w:ascii="Times New Roman" w:hAnsi="Times New Roman"/>
                    <w:color w:val="000000"/>
                    <w:sz w:val="22"/>
                    <w:szCs w:val="22"/>
                    <w:lang w:val="es-ES_tradnl"/>
                  </w:rPr>
                  <w:t>MT</w:t>
                </w:r>
              </w:smartTag>
              <w:r w:rsidRPr="002D741C">
                <w:rPr>
                  <w:rFonts w:ascii="Times New Roman" w:hAnsi="Times New Roman"/>
                  <w:color w:val="000000"/>
                  <w:sz w:val="22"/>
                  <w:szCs w:val="22"/>
                  <w:lang w:val="es-ES_tradnl"/>
                </w:rPr>
                <w:t>X</w:t>
              </w:r>
            </w:smartTag>
            <w:r w:rsidRPr="002D741C">
              <w:rPr>
                <w:rFonts w:ascii="Times New Roman" w:hAnsi="Times New Roman"/>
                <w:color w:val="000000"/>
                <w:sz w:val="22"/>
                <w:szCs w:val="22"/>
                <w:lang w:val="es-ES_tradnl"/>
              </w:rPr>
              <w:t xml:space="preserve"> 15 mg intratecal, día 1</w:t>
            </w:r>
          </w:p>
        </w:tc>
      </w:tr>
      <w:tr w:rsidR="008C48E3" w:rsidRPr="002D741C" w14:paraId="4891689D" w14:textId="77777777" w:rsidTr="00C16E58">
        <w:trPr>
          <w:cantSplit/>
        </w:trPr>
        <w:tc>
          <w:tcPr>
            <w:tcW w:w="2432" w:type="dxa"/>
            <w:tcBorders>
              <w:top w:val="single" w:sz="4" w:space="0" w:color="auto"/>
              <w:left w:val="single" w:sz="4" w:space="0" w:color="auto"/>
              <w:bottom w:val="single" w:sz="4" w:space="0" w:color="auto"/>
            </w:tcBorders>
            <w:shd w:val="clear" w:color="auto" w:fill="auto"/>
          </w:tcPr>
          <w:p w14:paraId="16E9E7FE" w14:textId="77777777" w:rsidR="008C48E3" w:rsidRPr="002D741C" w:rsidRDefault="008C48E3" w:rsidP="00C16E58">
            <w:pPr>
              <w:pStyle w:val="Table"/>
              <w:keepLines w:val="0"/>
              <w:widowControl w:val="0"/>
              <w:rPr>
                <w:rFonts w:ascii="Times New Roman" w:hAnsi="Times New Roman"/>
                <w:color w:val="000000"/>
                <w:sz w:val="22"/>
                <w:szCs w:val="22"/>
              </w:rPr>
            </w:pPr>
            <w:r w:rsidRPr="002D741C">
              <w:rPr>
                <w:rFonts w:ascii="Times New Roman" w:hAnsi="Times New Roman"/>
                <w:color w:val="000000"/>
                <w:sz w:val="22"/>
                <w:szCs w:val="22"/>
              </w:rPr>
              <w:t>Terapia de inducción I</w:t>
            </w:r>
          </w:p>
        </w:tc>
        <w:tc>
          <w:tcPr>
            <w:tcW w:w="6662" w:type="dxa"/>
            <w:gridSpan w:val="4"/>
            <w:tcBorders>
              <w:top w:val="single" w:sz="4" w:space="0" w:color="auto"/>
              <w:bottom w:val="single" w:sz="4" w:space="0" w:color="auto"/>
              <w:right w:val="single" w:sz="4" w:space="0" w:color="auto"/>
            </w:tcBorders>
            <w:shd w:val="clear" w:color="auto" w:fill="auto"/>
          </w:tcPr>
          <w:p w14:paraId="2675B5DF" w14:textId="77777777" w:rsidR="006048F9" w:rsidRPr="002D741C" w:rsidRDefault="008C48E3" w:rsidP="00C16E58">
            <w:pPr>
              <w:pStyle w:val="Table"/>
              <w:keepLines w:val="0"/>
              <w:widowControl w:val="0"/>
              <w:rPr>
                <w:rFonts w:ascii="Times New Roman" w:hAnsi="Times New Roman"/>
                <w:color w:val="000000"/>
                <w:sz w:val="22"/>
                <w:szCs w:val="22"/>
                <w:lang w:val="es-ES_tradnl"/>
              </w:rPr>
            </w:pPr>
            <w:smartTag w:uri="urn:schemas-microsoft-com:office:smarttags" w:element="PersonName">
              <w:r w:rsidRPr="002D741C">
                <w:rPr>
                  <w:rFonts w:ascii="Times New Roman" w:hAnsi="Times New Roman"/>
                  <w:color w:val="000000"/>
                  <w:sz w:val="22"/>
                  <w:szCs w:val="22"/>
                  <w:lang w:val="es-ES_tradnl"/>
                </w:rPr>
                <w:t>DE</w:t>
              </w:r>
            </w:smartTag>
            <w:r w:rsidRPr="002D741C">
              <w:rPr>
                <w:rFonts w:ascii="Times New Roman" w:hAnsi="Times New Roman"/>
                <w:color w:val="000000"/>
                <w:sz w:val="22"/>
                <w:szCs w:val="22"/>
                <w:lang w:val="es-ES_tradnl"/>
              </w:rPr>
              <w:t>X 10 mg/m</w:t>
            </w:r>
            <w:r w:rsidRPr="002D741C">
              <w:rPr>
                <w:rFonts w:ascii="Times New Roman" w:hAnsi="Times New Roman"/>
                <w:color w:val="000000"/>
                <w:sz w:val="22"/>
                <w:szCs w:val="22"/>
                <w:vertAlign w:val="superscript"/>
                <w:lang w:val="es-ES_tradnl"/>
              </w:rPr>
              <w:t>2</w:t>
            </w:r>
            <w:r w:rsidRPr="002D741C">
              <w:rPr>
                <w:rFonts w:ascii="Times New Roman" w:hAnsi="Times New Roman"/>
                <w:color w:val="000000"/>
                <w:sz w:val="22"/>
                <w:szCs w:val="22"/>
                <w:lang w:val="es-ES_tradnl"/>
              </w:rPr>
              <w:t xml:space="preserve"> oral, días 1-5;</w:t>
            </w:r>
          </w:p>
          <w:p w14:paraId="0CCEE124" w14:textId="77777777" w:rsidR="006048F9" w:rsidRPr="002D741C" w:rsidRDefault="008C48E3" w:rsidP="00C16E58">
            <w:pPr>
              <w:pStyle w:val="Table"/>
              <w:keepLines w:val="0"/>
              <w:widowControl w:val="0"/>
              <w:rPr>
                <w:rFonts w:ascii="Times New Roman" w:hAnsi="Times New Roman"/>
                <w:color w:val="000000"/>
                <w:sz w:val="22"/>
                <w:szCs w:val="22"/>
                <w:lang w:val="es-ES_tradnl"/>
              </w:rPr>
            </w:pPr>
            <w:smartTag w:uri="urn:schemas-microsoft-com:office:smarttags" w:element="stockticker">
              <w:r w:rsidRPr="002D741C">
                <w:rPr>
                  <w:rFonts w:ascii="Times New Roman" w:hAnsi="Times New Roman"/>
                  <w:color w:val="000000"/>
                  <w:sz w:val="22"/>
                  <w:szCs w:val="22"/>
                  <w:lang w:val="es-ES_tradnl"/>
                </w:rPr>
                <w:t>VCR</w:t>
              </w:r>
            </w:smartTag>
            <w:r w:rsidRPr="002D741C">
              <w:rPr>
                <w:rFonts w:ascii="Times New Roman" w:hAnsi="Times New Roman"/>
                <w:color w:val="000000"/>
                <w:sz w:val="22"/>
                <w:szCs w:val="22"/>
                <w:lang w:val="es-ES_tradnl"/>
              </w:rPr>
              <w:t xml:space="preserve"> 2 mg i.v., días 6, 13, 20; </w:t>
            </w:r>
          </w:p>
          <w:p w14:paraId="779FCD3C" w14:textId="77777777" w:rsidR="008C48E3" w:rsidRPr="002D741C" w:rsidRDefault="006048F9" w:rsidP="00C16E58">
            <w:pPr>
              <w:pStyle w:val="Table"/>
              <w:keepLines w:val="0"/>
              <w:widowControl w:val="0"/>
              <w:rPr>
                <w:rFonts w:ascii="Times New Roman" w:hAnsi="Times New Roman"/>
                <w:color w:val="000000"/>
                <w:sz w:val="22"/>
                <w:szCs w:val="22"/>
                <w:lang w:val="es-ES_tradnl"/>
              </w:rPr>
            </w:pPr>
            <w:r w:rsidRPr="002D741C">
              <w:rPr>
                <w:rFonts w:ascii="Times New Roman" w:hAnsi="Times New Roman"/>
                <w:color w:val="000000"/>
                <w:sz w:val="22"/>
                <w:szCs w:val="22"/>
                <w:lang w:val="es-ES_tradnl"/>
              </w:rPr>
              <w:t>D</w:t>
            </w:r>
            <w:r w:rsidR="008C48E3" w:rsidRPr="002D741C">
              <w:rPr>
                <w:rFonts w:ascii="Times New Roman" w:hAnsi="Times New Roman"/>
                <w:color w:val="000000"/>
                <w:sz w:val="22"/>
                <w:szCs w:val="22"/>
                <w:lang w:val="es-ES_tradnl"/>
              </w:rPr>
              <w:t>aunorubicina 45 mg/m</w:t>
            </w:r>
            <w:r w:rsidR="008C48E3" w:rsidRPr="002D741C">
              <w:rPr>
                <w:rFonts w:ascii="Times New Roman" w:hAnsi="Times New Roman"/>
                <w:color w:val="000000"/>
                <w:sz w:val="22"/>
                <w:szCs w:val="22"/>
                <w:vertAlign w:val="superscript"/>
                <w:lang w:val="es-ES_tradnl"/>
              </w:rPr>
              <w:t>2</w:t>
            </w:r>
            <w:r w:rsidR="008C48E3" w:rsidRPr="002D741C">
              <w:rPr>
                <w:rFonts w:ascii="Times New Roman" w:hAnsi="Times New Roman"/>
                <w:color w:val="000000"/>
                <w:sz w:val="22"/>
                <w:szCs w:val="22"/>
                <w:lang w:val="es-ES_tradnl"/>
              </w:rPr>
              <w:t xml:space="preserve"> i.v., días 6-7, 13-14</w:t>
            </w:r>
          </w:p>
        </w:tc>
      </w:tr>
      <w:tr w:rsidR="008C48E3" w:rsidRPr="002D741C" w14:paraId="7B59C955" w14:textId="77777777" w:rsidTr="00C16E58">
        <w:trPr>
          <w:cantSplit/>
        </w:trPr>
        <w:tc>
          <w:tcPr>
            <w:tcW w:w="2432" w:type="dxa"/>
            <w:tcBorders>
              <w:top w:val="single" w:sz="4" w:space="0" w:color="auto"/>
              <w:left w:val="single" w:sz="4" w:space="0" w:color="auto"/>
              <w:bottom w:val="single" w:sz="4" w:space="0" w:color="auto"/>
            </w:tcBorders>
            <w:shd w:val="clear" w:color="auto" w:fill="auto"/>
          </w:tcPr>
          <w:p w14:paraId="0D672595" w14:textId="77777777" w:rsidR="008C48E3" w:rsidRPr="002D741C" w:rsidRDefault="008C48E3" w:rsidP="00C16E58">
            <w:pPr>
              <w:pStyle w:val="Table"/>
              <w:keepLines w:val="0"/>
              <w:widowControl w:val="0"/>
              <w:rPr>
                <w:rFonts w:ascii="Times New Roman" w:hAnsi="Times New Roman"/>
                <w:color w:val="000000"/>
                <w:sz w:val="22"/>
                <w:szCs w:val="22"/>
              </w:rPr>
            </w:pPr>
            <w:r w:rsidRPr="002D741C">
              <w:rPr>
                <w:rFonts w:ascii="Times New Roman" w:hAnsi="Times New Roman"/>
                <w:color w:val="000000"/>
                <w:sz w:val="22"/>
                <w:szCs w:val="22"/>
                <w:lang w:val="es-ES_tradnl"/>
              </w:rPr>
              <w:t>Terapia de inducción</w:t>
            </w:r>
            <w:r w:rsidRPr="002D741C">
              <w:rPr>
                <w:rFonts w:ascii="Times New Roman" w:hAnsi="Times New Roman"/>
                <w:color w:val="000000"/>
                <w:sz w:val="22"/>
                <w:szCs w:val="22"/>
              </w:rPr>
              <w:t xml:space="preserve"> II</w:t>
            </w:r>
          </w:p>
        </w:tc>
        <w:tc>
          <w:tcPr>
            <w:tcW w:w="6662" w:type="dxa"/>
            <w:gridSpan w:val="4"/>
            <w:tcBorders>
              <w:top w:val="single" w:sz="4" w:space="0" w:color="auto"/>
              <w:bottom w:val="single" w:sz="4" w:space="0" w:color="auto"/>
              <w:right w:val="single" w:sz="4" w:space="0" w:color="auto"/>
            </w:tcBorders>
            <w:shd w:val="clear" w:color="auto" w:fill="auto"/>
          </w:tcPr>
          <w:p w14:paraId="491970BD" w14:textId="77777777" w:rsidR="006048F9" w:rsidRPr="002D741C" w:rsidRDefault="008C48E3" w:rsidP="00C16E58">
            <w:pPr>
              <w:pStyle w:val="Table"/>
              <w:keepLines w:val="0"/>
              <w:widowControl w:val="0"/>
              <w:rPr>
                <w:rFonts w:ascii="Times New Roman" w:hAnsi="Times New Roman"/>
                <w:color w:val="000000"/>
                <w:sz w:val="22"/>
                <w:szCs w:val="22"/>
                <w:lang w:val="es-ES_tradnl"/>
              </w:rPr>
            </w:pPr>
            <w:r w:rsidRPr="002D741C">
              <w:rPr>
                <w:rFonts w:ascii="Times New Roman" w:hAnsi="Times New Roman"/>
                <w:color w:val="000000"/>
                <w:sz w:val="22"/>
                <w:szCs w:val="22"/>
                <w:lang w:val="es-ES_tradnl"/>
              </w:rPr>
              <w:t>CP 1 g/m</w:t>
            </w:r>
            <w:r w:rsidRPr="002D741C">
              <w:rPr>
                <w:rFonts w:ascii="Times New Roman" w:hAnsi="Times New Roman"/>
                <w:color w:val="000000"/>
                <w:sz w:val="22"/>
                <w:szCs w:val="22"/>
                <w:vertAlign w:val="superscript"/>
                <w:lang w:val="es-ES_tradnl"/>
              </w:rPr>
              <w:t>2</w:t>
            </w:r>
            <w:r w:rsidRPr="002D741C">
              <w:rPr>
                <w:rFonts w:ascii="Times New Roman" w:hAnsi="Times New Roman"/>
                <w:color w:val="000000"/>
                <w:sz w:val="22"/>
                <w:szCs w:val="22"/>
                <w:lang w:val="es-ES_tradnl"/>
              </w:rPr>
              <w:t xml:space="preserve"> i.v. (1 h), días 26, 46;</w:t>
            </w:r>
          </w:p>
          <w:p w14:paraId="7006D18F" w14:textId="77777777" w:rsidR="006048F9" w:rsidRPr="002D741C" w:rsidRDefault="008C48E3" w:rsidP="00C16E58">
            <w:pPr>
              <w:pStyle w:val="Table"/>
              <w:keepLines w:val="0"/>
              <w:widowControl w:val="0"/>
              <w:rPr>
                <w:rFonts w:ascii="Times New Roman" w:hAnsi="Times New Roman"/>
                <w:color w:val="000000"/>
                <w:sz w:val="22"/>
                <w:szCs w:val="22"/>
                <w:lang w:val="es-ES_tradnl"/>
              </w:rPr>
            </w:pPr>
            <w:r w:rsidRPr="002D741C">
              <w:rPr>
                <w:rFonts w:ascii="Times New Roman" w:hAnsi="Times New Roman"/>
                <w:color w:val="000000"/>
                <w:sz w:val="22"/>
                <w:szCs w:val="22"/>
                <w:lang w:val="es-ES_tradnl"/>
              </w:rPr>
              <w:t>Ara-C 75 mg/m</w:t>
            </w:r>
            <w:r w:rsidRPr="002D741C">
              <w:rPr>
                <w:rFonts w:ascii="Times New Roman" w:hAnsi="Times New Roman"/>
                <w:color w:val="000000"/>
                <w:sz w:val="22"/>
                <w:szCs w:val="22"/>
                <w:vertAlign w:val="superscript"/>
                <w:lang w:val="es-ES_tradnl"/>
              </w:rPr>
              <w:t>2</w:t>
            </w:r>
            <w:r w:rsidRPr="002D741C">
              <w:rPr>
                <w:rFonts w:ascii="Times New Roman" w:hAnsi="Times New Roman"/>
                <w:color w:val="000000"/>
                <w:sz w:val="22"/>
                <w:szCs w:val="22"/>
                <w:lang w:val="es-ES_tradnl"/>
              </w:rPr>
              <w:t xml:space="preserve"> i.v. (1 h), días 28-31, 35-38, 42-45;</w:t>
            </w:r>
          </w:p>
          <w:p w14:paraId="50A23F0D" w14:textId="77777777" w:rsidR="008C48E3" w:rsidRPr="002D741C" w:rsidRDefault="008C48E3" w:rsidP="00C16E58">
            <w:pPr>
              <w:pStyle w:val="Table"/>
              <w:keepLines w:val="0"/>
              <w:widowControl w:val="0"/>
              <w:rPr>
                <w:rFonts w:ascii="Times New Roman" w:hAnsi="Times New Roman"/>
                <w:color w:val="000000"/>
                <w:sz w:val="22"/>
                <w:szCs w:val="22"/>
                <w:lang w:val="es-ES_tradnl"/>
              </w:rPr>
            </w:pPr>
            <w:r w:rsidRPr="002D741C">
              <w:rPr>
                <w:rFonts w:ascii="Times New Roman" w:hAnsi="Times New Roman"/>
                <w:color w:val="000000"/>
                <w:sz w:val="22"/>
                <w:szCs w:val="22"/>
                <w:lang w:val="es-ES_tradnl"/>
              </w:rPr>
              <w:t>6-MP 60 mg/m</w:t>
            </w:r>
            <w:r w:rsidRPr="002D741C">
              <w:rPr>
                <w:rFonts w:ascii="Times New Roman" w:hAnsi="Times New Roman"/>
                <w:color w:val="000000"/>
                <w:sz w:val="22"/>
                <w:szCs w:val="22"/>
                <w:vertAlign w:val="superscript"/>
                <w:lang w:val="es-ES_tradnl"/>
              </w:rPr>
              <w:t>2</w:t>
            </w:r>
            <w:r w:rsidRPr="002D741C">
              <w:rPr>
                <w:rFonts w:ascii="Times New Roman" w:hAnsi="Times New Roman"/>
                <w:color w:val="000000"/>
                <w:sz w:val="22"/>
                <w:szCs w:val="22"/>
                <w:lang w:val="es-ES_tradnl"/>
              </w:rPr>
              <w:t xml:space="preserve"> oral, días 26-46</w:t>
            </w:r>
          </w:p>
        </w:tc>
      </w:tr>
      <w:tr w:rsidR="008C48E3" w:rsidRPr="002D741C" w14:paraId="6B55E794" w14:textId="77777777" w:rsidTr="00C16E58">
        <w:trPr>
          <w:cantSplit/>
        </w:trPr>
        <w:tc>
          <w:tcPr>
            <w:tcW w:w="2432" w:type="dxa"/>
            <w:tcBorders>
              <w:top w:val="nil"/>
              <w:left w:val="single" w:sz="4" w:space="0" w:color="auto"/>
              <w:bottom w:val="single" w:sz="4" w:space="0" w:color="auto"/>
            </w:tcBorders>
            <w:shd w:val="clear" w:color="auto" w:fill="auto"/>
          </w:tcPr>
          <w:p w14:paraId="3E8DCC7F" w14:textId="77777777" w:rsidR="008C48E3" w:rsidRPr="002D741C" w:rsidRDefault="008C48E3" w:rsidP="00C16E58">
            <w:pPr>
              <w:pStyle w:val="Table"/>
              <w:keepNext w:val="0"/>
              <w:keepLines w:val="0"/>
              <w:widowControl w:val="0"/>
              <w:rPr>
                <w:rFonts w:ascii="Times New Roman" w:hAnsi="Times New Roman"/>
                <w:color w:val="000000"/>
                <w:sz w:val="22"/>
                <w:szCs w:val="22"/>
              </w:rPr>
            </w:pPr>
            <w:r w:rsidRPr="002D741C">
              <w:rPr>
                <w:rFonts w:ascii="Times New Roman" w:hAnsi="Times New Roman"/>
                <w:color w:val="000000"/>
                <w:sz w:val="22"/>
                <w:szCs w:val="22"/>
                <w:lang w:val="es-ES_tradnl"/>
              </w:rPr>
              <w:t>Terapia de consolidación</w:t>
            </w:r>
          </w:p>
        </w:tc>
        <w:tc>
          <w:tcPr>
            <w:tcW w:w="6662" w:type="dxa"/>
            <w:gridSpan w:val="4"/>
            <w:tcBorders>
              <w:top w:val="nil"/>
              <w:bottom w:val="single" w:sz="4" w:space="0" w:color="auto"/>
              <w:right w:val="single" w:sz="4" w:space="0" w:color="auto"/>
            </w:tcBorders>
            <w:shd w:val="clear" w:color="auto" w:fill="auto"/>
          </w:tcPr>
          <w:p w14:paraId="60EAFF79" w14:textId="77777777" w:rsidR="006048F9" w:rsidRPr="002D741C" w:rsidRDefault="008C48E3" w:rsidP="00C16E58">
            <w:pPr>
              <w:pStyle w:val="Table"/>
              <w:keepNext w:val="0"/>
              <w:keepLines w:val="0"/>
              <w:widowControl w:val="0"/>
              <w:rPr>
                <w:rFonts w:ascii="Times New Roman" w:hAnsi="Times New Roman"/>
                <w:color w:val="000000"/>
                <w:sz w:val="22"/>
                <w:szCs w:val="22"/>
                <w:lang w:val="es-ES"/>
              </w:rPr>
            </w:pPr>
            <w:smartTag w:uri="urn:schemas-microsoft-com:office:smarttags" w:element="PersonName">
              <w:r w:rsidRPr="002D741C">
                <w:rPr>
                  <w:rFonts w:ascii="Times New Roman" w:hAnsi="Times New Roman"/>
                  <w:color w:val="000000"/>
                  <w:sz w:val="22"/>
                  <w:szCs w:val="22"/>
                  <w:lang w:val="es-ES"/>
                </w:rPr>
                <w:t>DE</w:t>
              </w:r>
            </w:smartTag>
            <w:r w:rsidRPr="002D741C">
              <w:rPr>
                <w:rFonts w:ascii="Times New Roman" w:hAnsi="Times New Roman"/>
                <w:color w:val="000000"/>
                <w:sz w:val="22"/>
                <w:szCs w:val="22"/>
                <w:lang w:val="es-ES"/>
              </w:rPr>
              <w:t>X 10 mg/m</w:t>
            </w:r>
            <w:r w:rsidRPr="002D741C">
              <w:rPr>
                <w:rFonts w:ascii="Times New Roman" w:hAnsi="Times New Roman"/>
                <w:color w:val="000000"/>
                <w:sz w:val="22"/>
                <w:szCs w:val="22"/>
                <w:vertAlign w:val="superscript"/>
                <w:lang w:val="es-ES"/>
              </w:rPr>
              <w:t>2</w:t>
            </w:r>
            <w:r w:rsidRPr="002D741C">
              <w:rPr>
                <w:rFonts w:ascii="Times New Roman" w:hAnsi="Times New Roman"/>
                <w:color w:val="000000"/>
                <w:sz w:val="22"/>
                <w:szCs w:val="22"/>
                <w:lang w:val="es-ES"/>
              </w:rPr>
              <w:t xml:space="preserve"> oral, días 1-5;</w:t>
            </w:r>
          </w:p>
          <w:p w14:paraId="3257AEE8" w14:textId="77777777" w:rsidR="006048F9" w:rsidRPr="002D741C" w:rsidRDefault="006048F9" w:rsidP="00C16E58">
            <w:pPr>
              <w:pStyle w:val="Table"/>
              <w:keepNext w:val="0"/>
              <w:keepLines w:val="0"/>
              <w:widowControl w:val="0"/>
              <w:rPr>
                <w:rFonts w:ascii="Times New Roman" w:hAnsi="Times New Roman"/>
                <w:color w:val="000000"/>
                <w:sz w:val="22"/>
                <w:szCs w:val="22"/>
                <w:lang w:val="es-ES"/>
              </w:rPr>
            </w:pPr>
            <w:r w:rsidRPr="002D741C">
              <w:rPr>
                <w:rFonts w:ascii="Times New Roman" w:hAnsi="Times New Roman"/>
                <w:color w:val="000000"/>
                <w:sz w:val="22"/>
                <w:szCs w:val="22"/>
                <w:lang w:val="es-ES"/>
              </w:rPr>
              <w:t>V</w:t>
            </w:r>
            <w:r w:rsidR="008C48E3" w:rsidRPr="002D741C">
              <w:rPr>
                <w:rFonts w:ascii="Times New Roman" w:hAnsi="Times New Roman"/>
                <w:color w:val="000000"/>
                <w:sz w:val="22"/>
                <w:szCs w:val="22"/>
                <w:lang w:val="es-ES"/>
              </w:rPr>
              <w:t>indesina 3 mg/m</w:t>
            </w:r>
            <w:r w:rsidR="008C48E3" w:rsidRPr="002D741C">
              <w:rPr>
                <w:rFonts w:ascii="Times New Roman" w:hAnsi="Times New Roman"/>
                <w:color w:val="000000"/>
                <w:sz w:val="22"/>
                <w:szCs w:val="22"/>
                <w:vertAlign w:val="superscript"/>
                <w:lang w:val="es-ES"/>
              </w:rPr>
              <w:t>2</w:t>
            </w:r>
            <w:r w:rsidR="008C48E3" w:rsidRPr="002D741C">
              <w:rPr>
                <w:rFonts w:ascii="Times New Roman" w:hAnsi="Times New Roman"/>
                <w:color w:val="000000"/>
                <w:sz w:val="22"/>
                <w:szCs w:val="22"/>
                <w:lang w:val="es-ES"/>
              </w:rPr>
              <w:t xml:space="preserve"> i.v., día 1;</w:t>
            </w:r>
          </w:p>
          <w:p w14:paraId="68DDCDF9" w14:textId="77777777" w:rsidR="00BE581E" w:rsidRPr="002D741C" w:rsidRDefault="008C48E3" w:rsidP="00C16E58">
            <w:pPr>
              <w:pStyle w:val="Table"/>
              <w:keepNext w:val="0"/>
              <w:keepLines w:val="0"/>
              <w:widowControl w:val="0"/>
              <w:rPr>
                <w:rFonts w:ascii="Times New Roman" w:hAnsi="Times New Roman"/>
                <w:color w:val="000000"/>
                <w:sz w:val="22"/>
                <w:szCs w:val="22"/>
                <w:lang w:val="es-ES"/>
              </w:rPr>
            </w:pPr>
            <w:smartTag w:uri="urn:schemas-microsoft-com:office:smarttags" w:element="stockticker">
              <w:smartTag w:uri="urn:schemas-microsoft-com:office:smarttags" w:element="PersonName">
                <w:r w:rsidRPr="002D741C">
                  <w:rPr>
                    <w:rFonts w:ascii="Times New Roman" w:hAnsi="Times New Roman"/>
                    <w:color w:val="000000"/>
                    <w:sz w:val="22"/>
                    <w:szCs w:val="22"/>
                    <w:lang w:val="es-ES"/>
                  </w:rPr>
                  <w:t>MT</w:t>
                </w:r>
              </w:smartTag>
              <w:r w:rsidRPr="002D741C">
                <w:rPr>
                  <w:rFonts w:ascii="Times New Roman" w:hAnsi="Times New Roman"/>
                  <w:color w:val="000000"/>
                  <w:sz w:val="22"/>
                  <w:szCs w:val="22"/>
                  <w:lang w:val="es-ES"/>
                </w:rPr>
                <w:t>X</w:t>
              </w:r>
            </w:smartTag>
            <w:r w:rsidRPr="002D741C">
              <w:rPr>
                <w:rFonts w:ascii="Times New Roman" w:hAnsi="Times New Roman"/>
                <w:color w:val="000000"/>
                <w:sz w:val="22"/>
                <w:szCs w:val="22"/>
                <w:lang w:val="es-ES"/>
              </w:rPr>
              <w:t xml:space="preserve"> 1,5 g/m</w:t>
            </w:r>
            <w:r w:rsidRPr="002D741C">
              <w:rPr>
                <w:rFonts w:ascii="Times New Roman" w:hAnsi="Times New Roman"/>
                <w:color w:val="000000"/>
                <w:sz w:val="22"/>
                <w:szCs w:val="22"/>
                <w:vertAlign w:val="superscript"/>
                <w:lang w:val="es-ES"/>
              </w:rPr>
              <w:t>2</w:t>
            </w:r>
            <w:r w:rsidRPr="002D741C">
              <w:rPr>
                <w:rFonts w:ascii="Times New Roman" w:hAnsi="Times New Roman"/>
                <w:color w:val="000000"/>
                <w:sz w:val="22"/>
                <w:szCs w:val="22"/>
                <w:lang w:val="es-ES"/>
              </w:rPr>
              <w:t xml:space="preserve"> i.v. (24 h), día 1;</w:t>
            </w:r>
          </w:p>
          <w:p w14:paraId="2033C58A" w14:textId="77777777" w:rsidR="00BE581E" w:rsidRPr="002D741C" w:rsidRDefault="00BE581E" w:rsidP="00C16E58">
            <w:pPr>
              <w:pStyle w:val="Table"/>
              <w:keepNext w:val="0"/>
              <w:keepLines w:val="0"/>
              <w:widowControl w:val="0"/>
              <w:rPr>
                <w:rFonts w:ascii="Times New Roman" w:hAnsi="Times New Roman"/>
                <w:color w:val="000000"/>
                <w:sz w:val="22"/>
                <w:szCs w:val="22"/>
                <w:lang w:val="es-ES"/>
              </w:rPr>
            </w:pPr>
            <w:r w:rsidRPr="002D741C">
              <w:rPr>
                <w:rFonts w:ascii="Times New Roman" w:hAnsi="Times New Roman"/>
                <w:color w:val="000000"/>
                <w:sz w:val="22"/>
                <w:szCs w:val="22"/>
                <w:lang w:val="es-ES"/>
              </w:rPr>
              <w:t>E</w:t>
            </w:r>
            <w:r w:rsidR="008C48E3" w:rsidRPr="002D741C">
              <w:rPr>
                <w:rFonts w:ascii="Times New Roman" w:hAnsi="Times New Roman"/>
                <w:color w:val="000000"/>
                <w:sz w:val="22"/>
                <w:szCs w:val="22"/>
                <w:lang w:val="es-ES"/>
              </w:rPr>
              <w:t>topósido 250 mg/m</w:t>
            </w:r>
            <w:r w:rsidR="008C48E3" w:rsidRPr="002D741C">
              <w:rPr>
                <w:rFonts w:ascii="Times New Roman" w:hAnsi="Times New Roman"/>
                <w:color w:val="000000"/>
                <w:sz w:val="22"/>
                <w:szCs w:val="22"/>
                <w:vertAlign w:val="superscript"/>
                <w:lang w:val="es-ES"/>
              </w:rPr>
              <w:t>2</w:t>
            </w:r>
            <w:r w:rsidR="008C48E3" w:rsidRPr="002D741C">
              <w:rPr>
                <w:rFonts w:ascii="Times New Roman" w:hAnsi="Times New Roman"/>
                <w:color w:val="000000"/>
                <w:sz w:val="22"/>
                <w:szCs w:val="22"/>
                <w:lang w:val="es-ES"/>
              </w:rPr>
              <w:t xml:space="preserve"> i.v. (1 h) días 4-5;</w:t>
            </w:r>
          </w:p>
          <w:p w14:paraId="7D2E112D" w14:textId="77777777" w:rsidR="008C48E3" w:rsidRPr="002D741C" w:rsidRDefault="008C48E3" w:rsidP="00C16E58">
            <w:pPr>
              <w:pStyle w:val="Table"/>
              <w:keepNext w:val="0"/>
              <w:keepLines w:val="0"/>
              <w:widowControl w:val="0"/>
              <w:rPr>
                <w:rFonts w:ascii="Times New Roman" w:hAnsi="Times New Roman"/>
                <w:color w:val="000000"/>
                <w:sz w:val="22"/>
                <w:szCs w:val="22"/>
                <w:lang w:val="es-ES"/>
              </w:rPr>
            </w:pPr>
            <w:r w:rsidRPr="002D741C">
              <w:rPr>
                <w:rFonts w:ascii="Times New Roman" w:hAnsi="Times New Roman"/>
                <w:color w:val="000000"/>
                <w:sz w:val="22"/>
                <w:szCs w:val="22"/>
                <w:lang w:val="es-ES"/>
              </w:rPr>
              <w:t>Ara-C 2x 2 g/m</w:t>
            </w:r>
            <w:r w:rsidRPr="002D741C">
              <w:rPr>
                <w:rFonts w:ascii="Times New Roman" w:hAnsi="Times New Roman"/>
                <w:color w:val="000000"/>
                <w:sz w:val="22"/>
                <w:szCs w:val="22"/>
                <w:vertAlign w:val="superscript"/>
                <w:lang w:val="es-ES"/>
              </w:rPr>
              <w:t>2</w:t>
            </w:r>
            <w:r w:rsidRPr="002D741C">
              <w:rPr>
                <w:rFonts w:ascii="Times New Roman" w:hAnsi="Times New Roman"/>
                <w:color w:val="000000"/>
                <w:sz w:val="22"/>
                <w:szCs w:val="22"/>
                <w:lang w:val="es-ES"/>
              </w:rPr>
              <w:t xml:space="preserve"> i.v. (3 h, cada 12 h), día 5</w:t>
            </w:r>
          </w:p>
        </w:tc>
      </w:tr>
      <w:tr w:rsidR="008C48E3" w:rsidRPr="002D741C" w14:paraId="4EFF0DE1" w14:textId="77777777" w:rsidTr="00C16E58">
        <w:trPr>
          <w:cantSplit/>
        </w:trPr>
        <w:tc>
          <w:tcPr>
            <w:tcW w:w="2432" w:type="dxa"/>
            <w:tcBorders>
              <w:top w:val="nil"/>
              <w:left w:val="single" w:sz="4" w:space="0" w:color="auto"/>
              <w:bottom w:val="single" w:sz="4" w:space="0" w:color="auto"/>
            </w:tcBorders>
            <w:shd w:val="clear" w:color="auto" w:fill="auto"/>
          </w:tcPr>
          <w:p w14:paraId="59A1F8E6" w14:textId="77777777" w:rsidR="008C48E3" w:rsidRPr="002D741C" w:rsidRDefault="008C48E3" w:rsidP="00C16E58">
            <w:pPr>
              <w:pStyle w:val="Table"/>
              <w:keepLines w:val="0"/>
              <w:widowControl w:val="0"/>
              <w:rPr>
                <w:rFonts w:ascii="Times New Roman" w:hAnsi="Times New Roman"/>
                <w:b/>
                <w:color w:val="000000"/>
                <w:sz w:val="22"/>
                <w:szCs w:val="22"/>
              </w:rPr>
            </w:pPr>
            <w:r w:rsidRPr="002D741C">
              <w:rPr>
                <w:rFonts w:ascii="Times New Roman" w:hAnsi="Times New Roman"/>
                <w:b/>
                <w:color w:val="000000"/>
                <w:sz w:val="22"/>
                <w:szCs w:val="22"/>
              </w:rPr>
              <w:t>Estudio AJP01</w:t>
            </w:r>
          </w:p>
        </w:tc>
        <w:tc>
          <w:tcPr>
            <w:tcW w:w="2652" w:type="dxa"/>
            <w:tcBorders>
              <w:top w:val="nil"/>
              <w:bottom w:val="single" w:sz="4" w:space="0" w:color="auto"/>
            </w:tcBorders>
            <w:shd w:val="clear" w:color="auto" w:fill="auto"/>
          </w:tcPr>
          <w:p w14:paraId="35D66B31" w14:textId="77777777" w:rsidR="008C48E3" w:rsidRPr="002D741C" w:rsidRDefault="008C48E3" w:rsidP="00C16E58">
            <w:pPr>
              <w:pStyle w:val="Table"/>
              <w:keepLines w:val="0"/>
              <w:widowControl w:val="0"/>
              <w:rPr>
                <w:rFonts w:ascii="Times New Roman" w:hAnsi="Times New Roman"/>
                <w:color w:val="000000"/>
                <w:sz w:val="22"/>
                <w:szCs w:val="22"/>
              </w:rPr>
            </w:pPr>
          </w:p>
        </w:tc>
        <w:tc>
          <w:tcPr>
            <w:tcW w:w="1080" w:type="dxa"/>
            <w:tcBorders>
              <w:top w:val="nil"/>
              <w:bottom w:val="single" w:sz="4" w:space="0" w:color="auto"/>
            </w:tcBorders>
          </w:tcPr>
          <w:p w14:paraId="7DDB1642" w14:textId="77777777" w:rsidR="008C48E3" w:rsidRPr="002D741C" w:rsidRDefault="008C48E3" w:rsidP="00C16E58">
            <w:pPr>
              <w:pStyle w:val="Table"/>
              <w:keepLines w:val="0"/>
              <w:widowControl w:val="0"/>
              <w:rPr>
                <w:rFonts w:ascii="Times New Roman" w:hAnsi="Times New Roman"/>
                <w:color w:val="000000"/>
                <w:sz w:val="22"/>
                <w:szCs w:val="22"/>
              </w:rPr>
            </w:pPr>
          </w:p>
        </w:tc>
        <w:tc>
          <w:tcPr>
            <w:tcW w:w="1380" w:type="dxa"/>
            <w:tcBorders>
              <w:top w:val="nil"/>
              <w:bottom w:val="single" w:sz="4" w:space="0" w:color="auto"/>
            </w:tcBorders>
          </w:tcPr>
          <w:p w14:paraId="58F1CB8D" w14:textId="77777777" w:rsidR="008C48E3" w:rsidRPr="002D741C" w:rsidRDefault="008C48E3" w:rsidP="00C16E58">
            <w:pPr>
              <w:pStyle w:val="Table"/>
              <w:keepLines w:val="0"/>
              <w:widowControl w:val="0"/>
              <w:rPr>
                <w:rFonts w:ascii="Times New Roman" w:hAnsi="Times New Roman"/>
                <w:color w:val="000000"/>
                <w:sz w:val="22"/>
                <w:szCs w:val="22"/>
              </w:rPr>
            </w:pPr>
          </w:p>
        </w:tc>
        <w:tc>
          <w:tcPr>
            <w:tcW w:w="1550" w:type="dxa"/>
            <w:tcBorders>
              <w:top w:val="nil"/>
              <w:bottom w:val="single" w:sz="4" w:space="0" w:color="auto"/>
              <w:right w:val="single" w:sz="4" w:space="0" w:color="auto"/>
            </w:tcBorders>
          </w:tcPr>
          <w:p w14:paraId="4F1AB783" w14:textId="77777777" w:rsidR="008C48E3" w:rsidRPr="002D741C" w:rsidRDefault="008C48E3" w:rsidP="00C16E58">
            <w:pPr>
              <w:pStyle w:val="Table"/>
              <w:keepLines w:val="0"/>
              <w:widowControl w:val="0"/>
              <w:rPr>
                <w:rFonts w:ascii="Times New Roman" w:hAnsi="Times New Roman"/>
                <w:color w:val="000000"/>
                <w:sz w:val="22"/>
                <w:szCs w:val="22"/>
              </w:rPr>
            </w:pPr>
          </w:p>
        </w:tc>
      </w:tr>
      <w:tr w:rsidR="008C48E3" w:rsidRPr="002D741C" w14:paraId="24BDD33A" w14:textId="77777777" w:rsidTr="00C16E58">
        <w:trPr>
          <w:cantSplit/>
        </w:trPr>
        <w:tc>
          <w:tcPr>
            <w:tcW w:w="2432" w:type="dxa"/>
            <w:tcBorders>
              <w:top w:val="nil"/>
              <w:left w:val="single" w:sz="4" w:space="0" w:color="auto"/>
              <w:bottom w:val="single" w:sz="4" w:space="0" w:color="auto"/>
            </w:tcBorders>
            <w:shd w:val="clear" w:color="auto" w:fill="auto"/>
          </w:tcPr>
          <w:p w14:paraId="29C46328" w14:textId="77777777" w:rsidR="008C48E3" w:rsidRPr="002D741C" w:rsidRDefault="008C48E3" w:rsidP="00C16E58">
            <w:pPr>
              <w:pStyle w:val="Table"/>
              <w:keepLines w:val="0"/>
              <w:widowControl w:val="0"/>
              <w:jc w:val="both"/>
              <w:rPr>
                <w:rFonts w:ascii="Times New Roman" w:hAnsi="Times New Roman"/>
                <w:color w:val="000000"/>
                <w:sz w:val="22"/>
                <w:szCs w:val="22"/>
              </w:rPr>
            </w:pPr>
            <w:r w:rsidRPr="002D741C">
              <w:rPr>
                <w:rFonts w:ascii="Times New Roman" w:hAnsi="Times New Roman"/>
                <w:color w:val="000000"/>
                <w:sz w:val="22"/>
                <w:szCs w:val="22"/>
              </w:rPr>
              <w:t>Terapia de inducción</w:t>
            </w:r>
          </w:p>
        </w:tc>
        <w:tc>
          <w:tcPr>
            <w:tcW w:w="6662" w:type="dxa"/>
            <w:gridSpan w:val="4"/>
            <w:tcBorders>
              <w:top w:val="nil"/>
              <w:bottom w:val="single" w:sz="4" w:space="0" w:color="auto"/>
              <w:right w:val="single" w:sz="4" w:space="0" w:color="auto"/>
            </w:tcBorders>
            <w:shd w:val="clear" w:color="auto" w:fill="auto"/>
          </w:tcPr>
          <w:p w14:paraId="6E1CB704" w14:textId="77777777" w:rsidR="00BE581E" w:rsidRPr="002D741C" w:rsidRDefault="008C48E3" w:rsidP="00C16E58">
            <w:pPr>
              <w:pStyle w:val="Table"/>
              <w:keepLines w:val="0"/>
              <w:widowControl w:val="0"/>
              <w:rPr>
                <w:rFonts w:ascii="Times New Roman" w:hAnsi="Times New Roman"/>
                <w:color w:val="000000"/>
                <w:sz w:val="22"/>
                <w:szCs w:val="22"/>
                <w:lang w:val="es-ES_tradnl"/>
              </w:rPr>
            </w:pPr>
            <w:r w:rsidRPr="002D741C">
              <w:rPr>
                <w:rFonts w:ascii="Times New Roman" w:hAnsi="Times New Roman"/>
                <w:color w:val="000000"/>
                <w:sz w:val="22"/>
                <w:szCs w:val="22"/>
                <w:lang w:val="es-ES_tradnl"/>
              </w:rPr>
              <w:t>CP 1,2 g/m</w:t>
            </w:r>
            <w:r w:rsidRPr="002D741C">
              <w:rPr>
                <w:rFonts w:ascii="Times New Roman" w:hAnsi="Times New Roman"/>
                <w:color w:val="000000"/>
                <w:sz w:val="22"/>
                <w:szCs w:val="22"/>
                <w:vertAlign w:val="superscript"/>
                <w:lang w:val="es-ES_tradnl"/>
              </w:rPr>
              <w:t>2</w:t>
            </w:r>
            <w:r w:rsidRPr="002D741C">
              <w:rPr>
                <w:rFonts w:ascii="Times New Roman" w:hAnsi="Times New Roman"/>
                <w:color w:val="000000"/>
                <w:sz w:val="22"/>
                <w:szCs w:val="22"/>
                <w:lang w:val="es-ES_tradnl"/>
              </w:rPr>
              <w:t xml:space="preserve"> i.v. (3 h), día 1;</w:t>
            </w:r>
          </w:p>
          <w:p w14:paraId="5EA60B37" w14:textId="77777777" w:rsidR="00BE581E" w:rsidRPr="002D741C" w:rsidRDefault="00BE581E" w:rsidP="00C16E58">
            <w:pPr>
              <w:pStyle w:val="Table"/>
              <w:keepLines w:val="0"/>
              <w:widowControl w:val="0"/>
              <w:rPr>
                <w:rFonts w:ascii="Times New Roman" w:hAnsi="Times New Roman"/>
                <w:color w:val="000000"/>
                <w:sz w:val="22"/>
                <w:szCs w:val="22"/>
                <w:lang w:val="es-ES_tradnl"/>
              </w:rPr>
            </w:pPr>
            <w:r w:rsidRPr="002D741C">
              <w:rPr>
                <w:rFonts w:ascii="Times New Roman" w:hAnsi="Times New Roman"/>
                <w:color w:val="000000"/>
                <w:sz w:val="22"/>
                <w:szCs w:val="22"/>
                <w:lang w:val="es-ES_tradnl"/>
              </w:rPr>
              <w:t>D</w:t>
            </w:r>
            <w:r w:rsidR="008C48E3" w:rsidRPr="002D741C">
              <w:rPr>
                <w:rFonts w:ascii="Times New Roman" w:hAnsi="Times New Roman"/>
                <w:color w:val="000000"/>
                <w:sz w:val="22"/>
                <w:szCs w:val="22"/>
                <w:lang w:val="es-ES_tradnl"/>
              </w:rPr>
              <w:t>aunorubicina 60 mg/m</w:t>
            </w:r>
            <w:r w:rsidR="008C48E3" w:rsidRPr="002D741C">
              <w:rPr>
                <w:rFonts w:ascii="Times New Roman" w:hAnsi="Times New Roman"/>
                <w:color w:val="000000"/>
                <w:sz w:val="22"/>
                <w:szCs w:val="22"/>
                <w:vertAlign w:val="superscript"/>
                <w:lang w:val="es-ES_tradnl"/>
              </w:rPr>
              <w:t>2</w:t>
            </w:r>
            <w:r w:rsidR="008C48E3" w:rsidRPr="002D741C">
              <w:rPr>
                <w:rFonts w:ascii="Times New Roman" w:hAnsi="Times New Roman"/>
                <w:color w:val="000000"/>
                <w:sz w:val="22"/>
                <w:szCs w:val="22"/>
                <w:lang w:val="es-ES_tradnl"/>
              </w:rPr>
              <w:t xml:space="preserve"> i.v. (1 h), días 1-3;</w:t>
            </w:r>
          </w:p>
          <w:p w14:paraId="23091313" w14:textId="77777777" w:rsidR="00BE581E" w:rsidRPr="002D741C" w:rsidRDefault="00BE581E" w:rsidP="00C16E58">
            <w:pPr>
              <w:pStyle w:val="Table"/>
              <w:keepLines w:val="0"/>
              <w:widowControl w:val="0"/>
              <w:rPr>
                <w:rFonts w:ascii="Times New Roman" w:hAnsi="Times New Roman"/>
                <w:color w:val="000000"/>
                <w:sz w:val="22"/>
                <w:szCs w:val="22"/>
                <w:lang w:val="es-ES_tradnl"/>
              </w:rPr>
            </w:pPr>
            <w:r w:rsidRPr="002D741C">
              <w:rPr>
                <w:rFonts w:ascii="Times New Roman" w:hAnsi="Times New Roman"/>
                <w:color w:val="000000"/>
                <w:sz w:val="22"/>
                <w:szCs w:val="22"/>
                <w:lang w:val="es-ES_tradnl"/>
              </w:rPr>
              <w:t>V</w:t>
            </w:r>
            <w:r w:rsidR="008C48E3" w:rsidRPr="002D741C">
              <w:rPr>
                <w:rFonts w:ascii="Times New Roman" w:hAnsi="Times New Roman"/>
                <w:color w:val="000000"/>
                <w:sz w:val="22"/>
                <w:szCs w:val="22"/>
                <w:lang w:val="es-ES_tradnl"/>
              </w:rPr>
              <w:t>incristina 1,3 mg/m</w:t>
            </w:r>
            <w:r w:rsidR="008C48E3" w:rsidRPr="002D741C">
              <w:rPr>
                <w:rFonts w:ascii="Times New Roman" w:hAnsi="Times New Roman"/>
                <w:color w:val="000000"/>
                <w:sz w:val="22"/>
                <w:szCs w:val="22"/>
                <w:vertAlign w:val="superscript"/>
                <w:lang w:val="es-ES_tradnl"/>
              </w:rPr>
              <w:t>2</w:t>
            </w:r>
            <w:r w:rsidR="008C48E3" w:rsidRPr="002D741C">
              <w:rPr>
                <w:rFonts w:ascii="Times New Roman" w:hAnsi="Times New Roman"/>
                <w:color w:val="000000"/>
                <w:sz w:val="22"/>
                <w:szCs w:val="22"/>
                <w:lang w:val="es-ES_tradnl"/>
              </w:rPr>
              <w:t xml:space="preserve"> i.v., días 1, 8, 15, 21;</w:t>
            </w:r>
          </w:p>
          <w:p w14:paraId="2E2D8E6E" w14:textId="77777777" w:rsidR="008C48E3" w:rsidRPr="002D741C" w:rsidRDefault="00BE581E" w:rsidP="00C16E58">
            <w:pPr>
              <w:pStyle w:val="Table"/>
              <w:keepLines w:val="0"/>
              <w:widowControl w:val="0"/>
              <w:rPr>
                <w:rFonts w:ascii="Times New Roman" w:hAnsi="Times New Roman"/>
                <w:color w:val="000000"/>
                <w:sz w:val="22"/>
                <w:szCs w:val="22"/>
                <w:lang w:val="es-ES_tradnl"/>
              </w:rPr>
            </w:pPr>
            <w:r w:rsidRPr="002D741C">
              <w:rPr>
                <w:rFonts w:ascii="Times New Roman" w:hAnsi="Times New Roman"/>
                <w:color w:val="000000"/>
                <w:sz w:val="22"/>
                <w:szCs w:val="22"/>
                <w:lang w:val="es-ES_tradnl"/>
              </w:rPr>
              <w:t>P</w:t>
            </w:r>
            <w:r w:rsidR="008C48E3" w:rsidRPr="002D741C">
              <w:rPr>
                <w:rFonts w:ascii="Times New Roman" w:hAnsi="Times New Roman"/>
                <w:color w:val="000000"/>
                <w:sz w:val="22"/>
                <w:szCs w:val="22"/>
                <w:lang w:val="es-ES_tradnl"/>
              </w:rPr>
              <w:t>rednisolona 60 mg/m</w:t>
            </w:r>
            <w:r w:rsidR="008C48E3" w:rsidRPr="002D741C">
              <w:rPr>
                <w:rFonts w:ascii="Times New Roman" w:hAnsi="Times New Roman"/>
                <w:color w:val="000000"/>
                <w:sz w:val="22"/>
                <w:szCs w:val="22"/>
                <w:vertAlign w:val="superscript"/>
                <w:lang w:val="es-ES_tradnl"/>
              </w:rPr>
              <w:t>2</w:t>
            </w:r>
            <w:r w:rsidR="008C48E3" w:rsidRPr="002D741C">
              <w:rPr>
                <w:rFonts w:ascii="Times New Roman" w:hAnsi="Times New Roman"/>
                <w:color w:val="000000"/>
                <w:sz w:val="22"/>
                <w:szCs w:val="22"/>
                <w:lang w:val="es-ES_tradnl"/>
              </w:rPr>
              <w:t>/día oral</w:t>
            </w:r>
          </w:p>
        </w:tc>
      </w:tr>
      <w:tr w:rsidR="008C48E3" w:rsidRPr="002D741C" w14:paraId="2A4B3C19" w14:textId="77777777" w:rsidTr="00C16E58">
        <w:trPr>
          <w:cantSplit/>
        </w:trPr>
        <w:tc>
          <w:tcPr>
            <w:tcW w:w="2432" w:type="dxa"/>
            <w:tcBorders>
              <w:top w:val="single" w:sz="4" w:space="0" w:color="auto"/>
              <w:left w:val="single" w:sz="4" w:space="0" w:color="auto"/>
              <w:bottom w:val="single" w:sz="4" w:space="0" w:color="auto"/>
            </w:tcBorders>
            <w:shd w:val="clear" w:color="auto" w:fill="auto"/>
          </w:tcPr>
          <w:p w14:paraId="215D1391" w14:textId="77777777" w:rsidR="008C48E3" w:rsidRPr="002D741C" w:rsidRDefault="008C48E3" w:rsidP="00C16E58">
            <w:pPr>
              <w:pStyle w:val="Table"/>
              <w:keepLines w:val="0"/>
              <w:widowControl w:val="0"/>
              <w:tabs>
                <w:tab w:val="left" w:pos="0"/>
              </w:tabs>
              <w:rPr>
                <w:rFonts w:ascii="Times New Roman" w:hAnsi="Times New Roman"/>
                <w:color w:val="000000"/>
                <w:sz w:val="22"/>
                <w:szCs w:val="22"/>
              </w:rPr>
            </w:pPr>
            <w:r w:rsidRPr="002D741C">
              <w:rPr>
                <w:rFonts w:ascii="Times New Roman" w:hAnsi="Times New Roman"/>
                <w:color w:val="000000"/>
                <w:sz w:val="22"/>
                <w:szCs w:val="22"/>
                <w:lang w:val="es-ES_tradnl"/>
              </w:rPr>
              <w:t>Terapia de consolidación</w:t>
            </w:r>
          </w:p>
        </w:tc>
        <w:tc>
          <w:tcPr>
            <w:tcW w:w="6662" w:type="dxa"/>
            <w:gridSpan w:val="4"/>
            <w:tcBorders>
              <w:top w:val="single" w:sz="4" w:space="0" w:color="auto"/>
              <w:bottom w:val="single" w:sz="4" w:space="0" w:color="auto"/>
              <w:right w:val="single" w:sz="4" w:space="0" w:color="auto"/>
            </w:tcBorders>
            <w:shd w:val="clear" w:color="auto" w:fill="auto"/>
          </w:tcPr>
          <w:p w14:paraId="0AC45DB2" w14:textId="77777777" w:rsidR="008C48E3" w:rsidRPr="002D741C" w:rsidRDefault="008C48E3" w:rsidP="00C16E58">
            <w:pPr>
              <w:pStyle w:val="Table"/>
              <w:keepLines w:val="0"/>
              <w:widowControl w:val="0"/>
              <w:rPr>
                <w:rFonts w:ascii="Times New Roman" w:hAnsi="Times New Roman"/>
                <w:color w:val="000000"/>
                <w:sz w:val="22"/>
                <w:szCs w:val="22"/>
                <w:lang w:val="es-ES_tradnl"/>
              </w:rPr>
            </w:pPr>
            <w:r w:rsidRPr="002D741C">
              <w:rPr>
                <w:rFonts w:ascii="Times New Roman" w:hAnsi="Times New Roman"/>
                <w:color w:val="000000"/>
                <w:sz w:val="22"/>
                <w:szCs w:val="22"/>
                <w:lang w:val="es-ES_tradnl"/>
              </w:rPr>
              <w:t xml:space="preserve">Ciclo de quimioterapia alternando altas dosis de quimioterapia con </w:t>
            </w:r>
            <w:smartTag w:uri="urn:schemas-microsoft-com:office:smarttags" w:element="stockticker">
              <w:smartTag w:uri="urn:schemas-microsoft-com:office:smarttags" w:element="PersonName">
                <w:r w:rsidRPr="002D741C">
                  <w:rPr>
                    <w:rFonts w:ascii="Times New Roman" w:hAnsi="Times New Roman"/>
                    <w:color w:val="000000"/>
                    <w:sz w:val="22"/>
                    <w:szCs w:val="22"/>
                    <w:lang w:val="es-ES_tradnl"/>
                  </w:rPr>
                  <w:t>MT</w:t>
                </w:r>
              </w:smartTag>
              <w:r w:rsidRPr="002D741C">
                <w:rPr>
                  <w:rFonts w:ascii="Times New Roman" w:hAnsi="Times New Roman"/>
                  <w:color w:val="000000"/>
                  <w:sz w:val="22"/>
                  <w:szCs w:val="22"/>
                  <w:lang w:val="es-ES_tradnl"/>
                </w:rPr>
                <w:t>X</w:t>
              </w:r>
            </w:smartTag>
            <w:r w:rsidRPr="002D741C">
              <w:rPr>
                <w:rFonts w:ascii="Times New Roman" w:hAnsi="Times New Roman"/>
                <w:color w:val="000000"/>
                <w:sz w:val="22"/>
                <w:szCs w:val="22"/>
                <w:lang w:val="es-ES_tradnl"/>
              </w:rPr>
              <w:t xml:space="preserve"> 1 g/m</w:t>
            </w:r>
            <w:r w:rsidRPr="002D741C">
              <w:rPr>
                <w:rFonts w:ascii="Times New Roman" w:hAnsi="Times New Roman"/>
                <w:color w:val="000000"/>
                <w:sz w:val="22"/>
                <w:szCs w:val="22"/>
                <w:vertAlign w:val="superscript"/>
                <w:lang w:val="es-ES_tradnl"/>
              </w:rPr>
              <w:t>2</w:t>
            </w:r>
            <w:r w:rsidRPr="002D741C">
              <w:rPr>
                <w:rFonts w:ascii="Times New Roman" w:hAnsi="Times New Roman"/>
                <w:color w:val="000000"/>
                <w:sz w:val="22"/>
                <w:szCs w:val="22"/>
                <w:lang w:val="es-ES_tradnl"/>
              </w:rPr>
              <w:t xml:space="preserve"> i.v. (24 h), día 1, y Ara-C 2 g/m</w:t>
            </w:r>
            <w:r w:rsidRPr="002D741C">
              <w:rPr>
                <w:rFonts w:ascii="Times New Roman" w:hAnsi="Times New Roman"/>
                <w:color w:val="000000"/>
                <w:sz w:val="22"/>
                <w:szCs w:val="22"/>
                <w:vertAlign w:val="superscript"/>
                <w:lang w:val="es-ES_tradnl"/>
              </w:rPr>
              <w:t>2</w:t>
            </w:r>
            <w:r w:rsidRPr="002D741C">
              <w:rPr>
                <w:rFonts w:ascii="Times New Roman" w:hAnsi="Times New Roman"/>
                <w:color w:val="000000"/>
                <w:sz w:val="22"/>
                <w:szCs w:val="22"/>
                <w:lang w:val="es-ES_tradnl"/>
              </w:rPr>
              <w:t xml:space="preserve"> i.v. (cada 12 h), días 2-3, durante 4 ciclos</w:t>
            </w:r>
          </w:p>
        </w:tc>
      </w:tr>
      <w:tr w:rsidR="008C48E3" w:rsidRPr="002D741C" w14:paraId="08B33973" w14:textId="77777777" w:rsidTr="00C16E58">
        <w:trPr>
          <w:cantSplit/>
        </w:trPr>
        <w:tc>
          <w:tcPr>
            <w:tcW w:w="2432" w:type="dxa"/>
            <w:tcBorders>
              <w:top w:val="single" w:sz="4" w:space="0" w:color="auto"/>
              <w:left w:val="single" w:sz="4" w:space="0" w:color="auto"/>
              <w:bottom w:val="single" w:sz="4" w:space="0" w:color="auto"/>
            </w:tcBorders>
            <w:shd w:val="clear" w:color="auto" w:fill="auto"/>
          </w:tcPr>
          <w:p w14:paraId="234D5B08" w14:textId="77777777" w:rsidR="008C48E3" w:rsidRPr="002D741C" w:rsidRDefault="008C48E3" w:rsidP="00C16E58">
            <w:pPr>
              <w:pStyle w:val="Table"/>
              <w:keepNext w:val="0"/>
              <w:keepLines w:val="0"/>
              <w:widowControl w:val="0"/>
              <w:tabs>
                <w:tab w:val="left" w:pos="0"/>
              </w:tabs>
              <w:rPr>
                <w:rFonts w:ascii="Times New Roman" w:hAnsi="Times New Roman"/>
                <w:color w:val="000000"/>
                <w:sz w:val="22"/>
                <w:szCs w:val="22"/>
              </w:rPr>
            </w:pPr>
            <w:r w:rsidRPr="002D741C">
              <w:rPr>
                <w:rFonts w:ascii="Times New Roman" w:hAnsi="Times New Roman"/>
                <w:color w:val="000000"/>
                <w:sz w:val="22"/>
                <w:szCs w:val="22"/>
              </w:rPr>
              <w:t>Mantenimiento</w:t>
            </w:r>
          </w:p>
        </w:tc>
        <w:tc>
          <w:tcPr>
            <w:tcW w:w="6662" w:type="dxa"/>
            <w:gridSpan w:val="4"/>
            <w:tcBorders>
              <w:top w:val="single" w:sz="4" w:space="0" w:color="auto"/>
              <w:bottom w:val="single" w:sz="4" w:space="0" w:color="auto"/>
              <w:right w:val="single" w:sz="4" w:space="0" w:color="auto"/>
            </w:tcBorders>
            <w:shd w:val="clear" w:color="auto" w:fill="auto"/>
          </w:tcPr>
          <w:p w14:paraId="69AA147A" w14:textId="77777777" w:rsidR="00BE581E" w:rsidRPr="002D741C" w:rsidRDefault="008C48E3" w:rsidP="00C16E58">
            <w:pPr>
              <w:pStyle w:val="Table"/>
              <w:keepNext w:val="0"/>
              <w:keepLines w:val="0"/>
              <w:widowControl w:val="0"/>
              <w:rPr>
                <w:rFonts w:ascii="Times New Roman" w:hAnsi="Times New Roman"/>
                <w:color w:val="000000"/>
                <w:sz w:val="22"/>
                <w:szCs w:val="22"/>
                <w:lang w:val="es-ES_tradnl"/>
              </w:rPr>
            </w:pPr>
            <w:smartTag w:uri="urn:schemas-microsoft-com:office:smarttags" w:element="stockticker">
              <w:r w:rsidRPr="002D741C">
                <w:rPr>
                  <w:rFonts w:ascii="Times New Roman" w:hAnsi="Times New Roman"/>
                  <w:color w:val="000000"/>
                  <w:sz w:val="22"/>
                  <w:szCs w:val="22"/>
                  <w:lang w:val="es-ES_tradnl"/>
                </w:rPr>
                <w:t>VCR</w:t>
              </w:r>
            </w:smartTag>
            <w:r w:rsidRPr="002D741C">
              <w:rPr>
                <w:rFonts w:ascii="Times New Roman" w:hAnsi="Times New Roman"/>
                <w:color w:val="000000"/>
                <w:sz w:val="22"/>
                <w:szCs w:val="22"/>
                <w:lang w:val="es-ES_tradnl"/>
              </w:rPr>
              <w:t xml:space="preserve"> 1,3 g/m</w:t>
            </w:r>
            <w:r w:rsidRPr="002D741C">
              <w:rPr>
                <w:rFonts w:ascii="Times New Roman" w:hAnsi="Times New Roman"/>
                <w:color w:val="000000"/>
                <w:sz w:val="22"/>
                <w:szCs w:val="22"/>
                <w:vertAlign w:val="superscript"/>
                <w:lang w:val="es-ES_tradnl"/>
              </w:rPr>
              <w:t>2</w:t>
            </w:r>
            <w:r w:rsidRPr="002D741C">
              <w:rPr>
                <w:rFonts w:ascii="Times New Roman" w:hAnsi="Times New Roman"/>
                <w:color w:val="000000"/>
                <w:sz w:val="22"/>
                <w:szCs w:val="22"/>
                <w:lang w:val="es-ES_tradnl"/>
              </w:rPr>
              <w:t xml:space="preserve"> i.v., día 1;</w:t>
            </w:r>
          </w:p>
          <w:p w14:paraId="3CE06C9B" w14:textId="77777777" w:rsidR="008C48E3" w:rsidRPr="002D741C" w:rsidRDefault="00BE581E" w:rsidP="00C16E58">
            <w:pPr>
              <w:pStyle w:val="Table"/>
              <w:keepNext w:val="0"/>
              <w:keepLines w:val="0"/>
              <w:widowControl w:val="0"/>
              <w:rPr>
                <w:rFonts w:ascii="Times New Roman" w:hAnsi="Times New Roman"/>
                <w:color w:val="000000"/>
                <w:sz w:val="22"/>
                <w:szCs w:val="22"/>
                <w:lang w:val="es-ES_tradnl"/>
              </w:rPr>
            </w:pPr>
            <w:r w:rsidRPr="002D741C">
              <w:rPr>
                <w:rFonts w:ascii="Times New Roman" w:hAnsi="Times New Roman"/>
                <w:color w:val="000000"/>
                <w:sz w:val="22"/>
                <w:szCs w:val="22"/>
                <w:lang w:val="es-ES_tradnl"/>
              </w:rPr>
              <w:t>P</w:t>
            </w:r>
            <w:r w:rsidR="008C48E3" w:rsidRPr="002D741C">
              <w:rPr>
                <w:rFonts w:ascii="Times New Roman" w:hAnsi="Times New Roman"/>
                <w:color w:val="000000"/>
                <w:sz w:val="22"/>
                <w:szCs w:val="22"/>
                <w:lang w:val="es-ES_tradnl"/>
              </w:rPr>
              <w:t>rednisolona 60 mg/m</w:t>
            </w:r>
            <w:r w:rsidR="008C48E3" w:rsidRPr="002D741C">
              <w:rPr>
                <w:rFonts w:ascii="Times New Roman" w:hAnsi="Times New Roman"/>
                <w:color w:val="000000"/>
                <w:sz w:val="22"/>
                <w:szCs w:val="22"/>
                <w:vertAlign w:val="superscript"/>
                <w:lang w:val="es-ES_tradnl"/>
              </w:rPr>
              <w:t>2</w:t>
            </w:r>
            <w:r w:rsidR="008C48E3" w:rsidRPr="002D741C">
              <w:rPr>
                <w:rFonts w:ascii="Times New Roman" w:hAnsi="Times New Roman"/>
                <w:color w:val="000000"/>
                <w:sz w:val="22"/>
                <w:szCs w:val="22"/>
                <w:lang w:val="es-ES_tradnl"/>
              </w:rPr>
              <w:t xml:space="preserve"> oral, días 1-5</w:t>
            </w:r>
          </w:p>
        </w:tc>
      </w:tr>
      <w:tr w:rsidR="008C48E3" w:rsidRPr="002D741C" w14:paraId="0903DF89" w14:textId="77777777" w:rsidTr="00C16E58">
        <w:trPr>
          <w:cantSplit/>
        </w:trPr>
        <w:tc>
          <w:tcPr>
            <w:tcW w:w="5084" w:type="dxa"/>
            <w:gridSpan w:val="2"/>
            <w:tcBorders>
              <w:top w:val="single" w:sz="4" w:space="0" w:color="auto"/>
              <w:left w:val="single" w:sz="4" w:space="0" w:color="auto"/>
              <w:bottom w:val="single" w:sz="4" w:space="0" w:color="auto"/>
            </w:tcBorders>
            <w:shd w:val="clear" w:color="auto" w:fill="auto"/>
          </w:tcPr>
          <w:p w14:paraId="5EAF9AA9" w14:textId="77777777" w:rsidR="008C48E3" w:rsidRPr="002D741C" w:rsidRDefault="008C48E3" w:rsidP="00C16E58">
            <w:pPr>
              <w:pStyle w:val="Table"/>
              <w:keepLines w:val="0"/>
              <w:widowControl w:val="0"/>
              <w:rPr>
                <w:rFonts w:ascii="Times New Roman" w:hAnsi="Times New Roman"/>
                <w:color w:val="000000"/>
                <w:sz w:val="22"/>
                <w:szCs w:val="22"/>
                <w:lang w:val="es-ES_tradnl"/>
              </w:rPr>
            </w:pPr>
            <w:r w:rsidRPr="002D741C">
              <w:rPr>
                <w:rFonts w:ascii="Times New Roman" w:hAnsi="Times New Roman"/>
                <w:b/>
                <w:color w:val="000000"/>
                <w:sz w:val="22"/>
                <w:szCs w:val="22"/>
                <w:lang w:val="es-ES_tradnl"/>
              </w:rPr>
              <w:lastRenderedPageBreak/>
              <w:t>Estudio AUS01</w:t>
            </w:r>
          </w:p>
        </w:tc>
        <w:tc>
          <w:tcPr>
            <w:tcW w:w="1080" w:type="dxa"/>
            <w:tcBorders>
              <w:top w:val="single" w:sz="4" w:space="0" w:color="auto"/>
              <w:bottom w:val="single" w:sz="4" w:space="0" w:color="auto"/>
            </w:tcBorders>
          </w:tcPr>
          <w:p w14:paraId="11CD33D8" w14:textId="77777777" w:rsidR="008C48E3" w:rsidRPr="002D741C" w:rsidRDefault="008C48E3" w:rsidP="00C16E58">
            <w:pPr>
              <w:pStyle w:val="Table"/>
              <w:keepLines w:val="0"/>
              <w:widowControl w:val="0"/>
              <w:rPr>
                <w:rFonts w:ascii="Times New Roman" w:hAnsi="Times New Roman"/>
                <w:color w:val="000000"/>
                <w:sz w:val="22"/>
                <w:szCs w:val="22"/>
                <w:lang w:val="es-ES_tradnl"/>
              </w:rPr>
            </w:pPr>
          </w:p>
        </w:tc>
        <w:tc>
          <w:tcPr>
            <w:tcW w:w="1380" w:type="dxa"/>
            <w:tcBorders>
              <w:top w:val="single" w:sz="4" w:space="0" w:color="auto"/>
              <w:bottom w:val="single" w:sz="4" w:space="0" w:color="auto"/>
            </w:tcBorders>
          </w:tcPr>
          <w:p w14:paraId="084A8EE8" w14:textId="77777777" w:rsidR="008C48E3" w:rsidRPr="002D741C" w:rsidRDefault="008C48E3" w:rsidP="00C16E58">
            <w:pPr>
              <w:pStyle w:val="Table"/>
              <w:keepLines w:val="0"/>
              <w:widowControl w:val="0"/>
              <w:rPr>
                <w:rFonts w:ascii="Times New Roman" w:hAnsi="Times New Roman"/>
                <w:color w:val="000000"/>
                <w:sz w:val="22"/>
                <w:szCs w:val="22"/>
                <w:lang w:val="es-ES_tradnl"/>
              </w:rPr>
            </w:pPr>
          </w:p>
        </w:tc>
        <w:tc>
          <w:tcPr>
            <w:tcW w:w="1550" w:type="dxa"/>
            <w:tcBorders>
              <w:top w:val="single" w:sz="4" w:space="0" w:color="auto"/>
              <w:bottom w:val="single" w:sz="4" w:space="0" w:color="auto"/>
              <w:right w:val="single" w:sz="4" w:space="0" w:color="auto"/>
            </w:tcBorders>
          </w:tcPr>
          <w:p w14:paraId="2F591EEB" w14:textId="77777777" w:rsidR="008C48E3" w:rsidRPr="002D741C" w:rsidRDefault="008C48E3" w:rsidP="00C16E58">
            <w:pPr>
              <w:pStyle w:val="Table"/>
              <w:keepLines w:val="0"/>
              <w:widowControl w:val="0"/>
              <w:rPr>
                <w:rFonts w:ascii="Times New Roman" w:hAnsi="Times New Roman"/>
                <w:color w:val="000000"/>
                <w:sz w:val="22"/>
                <w:szCs w:val="22"/>
                <w:lang w:val="es-ES_tradnl"/>
              </w:rPr>
            </w:pPr>
          </w:p>
        </w:tc>
      </w:tr>
      <w:tr w:rsidR="008C48E3" w:rsidRPr="002D741C" w14:paraId="6C534D73" w14:textId="77777777" w:rsidTr="00C16E58">
        <w:trPr>
          <w:cantSplit/>
        </w:trPr>
        <w:tc>
          <w:tcPr>
            <w:tcW w:w="2432" w:type="dxa"/>
            <w:tcBorders>
              <w:top w:val="single" w:sz="4" w:space="0" w:color="auto"/>
              <w:left w:val="single" w:sz="4" w:space="0" w:color="auto"/>
              <w:bottom w:val="single" w:sz="4" w:space="0" w:color="auto"/>
            </w:tcBorders>
            <w:shd w:val="clear" w:color="auto" w:fill="auto"/>
          </w:tcPr>
          <w:p w14:paraId="74A34D27" w14:textId="77777777" w:rsidR="008C48E3" w:rsidRPr="002D741C" w:rsidRDefault="008C48E3" w:rsidP="00C16E58">
            <w:pPr>
              <w:pStyle w:val="Table"/>
              <w:keepLines w:val="0"/>
              <w:widowControl w:val="0"/>
              <w:rPr>
                <w:rFonts w:ascii="Times New Roman" w:hAnsi="Times New Roman"/>
                <w:color w:val="000000"/>
                <w:sz w:val="22"/>
                <w:szCs w:val="22"/>
                <w:lang w:val="es-ES_tradnl"/>
              </w:rPr>
            </w:pPr>
            <w:r w:rsidRPr="002D741C">
              <w:rPr>
                <w:rFonts w:ascii="Times New Roman" w:hAnsi="Times New Roman"/>
                <w:color w:val="000000"/>
                <w:sz w:val="22"/>
                <w:szCs w:val="22"/>
                <w:lang w:val="es-ES_tradnl"/>
              </w:rPr>
              <w:t>Terapia de inducción-consolidación</w:t>
            </w:r>
          </w:p>
        </w:tc>
        <w:tc>
          <w:tcPr>
            <w:tcW w:w="6662" w:type="dxa"/>
            <w:gridSpan w:val="4"/>
            <w:tcBorders>
              <w:top w:val="single" w:sz="4" w:space="0" w:color="auto"/>
              <w:bottom w:val="single" w:sz="4" w:space="0" w:color="auto"/>
              <w:right w:val="single" w:sz="4" w:space="0" w:color="auto"/>
            </w:tcBorders>
            <w:shd w:val="clear" w:color="auto" w:fill="auto"/>
          </w:tcPr>
          <w:p w14:paraId="37D3CED3" w14:textId="77777777" w:rsidR="00BE581E" w:rsidRPr="002D741C" w:rsidRDefault="008C48E3" w:rsidP="00C16E58">
            <w:pPr>
              <w:pStyle w:val="Table"/>
              <w:keepLines w:val="0"/>
              <w:widowControl w:val="0"/>
              <w:rPr>
                <w:rFonts w:ascii="Times New Roman" w:hAnsi="Times New Roman"/>
                <w:color w:val="000000"/>
                <w:sz w:val="22"/>
                <w:szCs w:val="22"/>
                <w:lang w:val="es-ES_tradnl"/>
              </w:rPr>
            </w:pPr>
            <w:r w:rsidRPr="002D741C">
              <w:rPr>
                <w:rFonts w:ascii="Times New Roman" w:hAnsi="Times New Roman"/>
                <w:color w:val="000000"/>
                <w:sz w:val="22"/>
                <w:szCs w:val="22"/>
                <w:lang w:val="es-ES_tradnl"/>
              </w:rPr>
              <w:t>R</w:t>
            </w:r>
            <w:r w:rsidR="00AA49CC" w:rsidRPr="002D741C">
              <w:rPr>
                <w:rFonts w:ascii="Times New Roman" w:hAnsi="Times New Roman"/>
                <w:color w:val="000000"/>
                <w:sz w:val="22"/>
                <w:szCs w:val="22"/>
                <w:lang w:val="es-ES_tradnl"/>
              </w:rPr>
              <w:t>é</w:t>
            </w:r>
            <w:r w:rsidRPr="002D741C">
              <w:rPr>
                <w:rFonts w:ascii="Times New Roman" w:hAnsi="Times New Roman"/>
                <w:color w:val="000000"/>
                <w:sz w:val="22"/>
                <w:szCs w:val="22"/>
                <w:lang w:val="es-ES_tradnl"/>
              </w:rPr>
              <w:t>gimen hiper-CVAD: CP 300 mg/m</w:t>
            </w:r>
            <w:r w:rsidRPr="002D741C">
              <w:rPr>
                <w:rFonts w:ascii="Times New Roman" w:hAnsi="Times New Roman"/>
                <w:color w:val="000000"/>
                <w:sz w:val="22"/>
                <w:szCs w:val="22"/>
                <w:vertAlign w:val="superscript"/>
                <w:lang w:val="es-ES_tradnl"/>
              </w:rPr>
              <w:t>2</w:t>
            </w:r>
            <w:r w:rsidRPr="002D741C">
              <w:rPr>
                <w:rFonts w:ascii="Times New Roman" w:hAnsi="Times New Roman"/>
                <w:color w:val="000000"/>
                <w:sz w:val="22"/>
                <w:szCs w:val="22"/>
                <w:lang w:val="es-ES_tradnl"/>
              </w:rPr>
              <w:t xml:space="preserve"> i.v. (3 h, cada 12 h), días 1-3; </w:t>
            </w:r>
            <w:r w:rsidR="00BE581E" w:rsidRPr="002D741C">
              <w:rPr>
                <w:rFonts w:ascii="Times New Roman" w:hAnsi="Times New Roman"/>
                <w:color w:val="000000"/>
                <w:sz w:val="22"/>
                <w:szCs w:val="22"/>
                <w:lang w:val="es-ES_tradnl"/>
              </w:rPr>
              <w:t>V</w:t>
            </w:r>
            <w:r w:rsidRPr="002D741C">
              <w:rPr>
                <w:rFonts w:ascii="Times New Roman" w:hAnsi="Times New Roman"/>
                <w:color w:val="000000"/>
                <w:sz w:val="22"/>
                <w:szCs w:val="22"/>
                <w:lang w:val="es-ES_tradnl"/>
              </w:rPr>
              <w:t>incristina 2 mg i.v., días 4, 11;</w:t>
            </w:r>
          </w:p>
          <w:p w14:paraId="53B23FA8" w14:textId="77777777" w:rsidR="00BE581E" w:rsidRPr="002D741C" w:rsidRDefault="00BE581E" w:rsidP="00C16E58">
            <w:pPr>
              <w:pStyle w:val="Table"/>
              <w:keepLines w:val="0"/>
              <w:widowControl w:val="0"/>
              <w:rPr>
                <w:rFonts w:ascii="Times New Roman" w:hAnsi="Times New Roman"/>
                <w:color w:val="000000"/>
                <w:sz w:val="22"/>
                <w:szCs w:val="22"/>
                <w:lang w:val="es-ES_tradnl"/>
              </w:rPr>
            </w:pPr>
            <w:r w:rsidRPr="002D741C">
              <w:rPr>
                <w:rFonts w:ascii="Times New Roman" w:hAnsi="Times New Roman"/>
                <w:color w:val="000000"/>
                <w:sz w:val="22"/>
                <w:szCs w:val="22"/>
                <w:lang w:val="es-ES_tradnl"/>
              </w:rPr>
              <w:t>D</w:t>
            </w:r>
            <w:r w:rsidR="008C48E3" w:rsidRPr="002D741C">
              <w:rPr>
                <w:rFonts w:ascii="Times New Roman" w:hAnsi="Times New Roman"/>
                <w:color w:val="000000"/>
                <w:sz w:val="22"/>
                <w:szCs w:val="22"/>
                <w:lang w:val="es-ES_tradnl"/>
              </w:rPr>
              <w:t>oxorubicina 50 mg/m</w:t>
            </w:r>
            <w:r w:rsidR="008C48E3" w:rsidRPr="002D741C">
              <w:rPr>
                <w:rFonts w:ascii="Times New Roman" w:hAnsi="Times New Roman"/>
                <w:color w:val="000000"/>
                <w:sz w:val="22"/>
                <w:szCs w:val="22"/>
                <w:vertAlign w:val="superscript"/>
                <w:lang w:val="es-ES_tradnl"/>
              </w:rPr>
              <w:t>2</w:t>
            </w:r>
            <w:r w:rsidR="008C48E3" w:rsidRPr="002D741C">
              <w:rPr>
                <w:rFonts w:ascii="Times New Roman" w:hAnsi="Times New Roman"/>
                <w:color w:val="000000"/>
                <w:sz w:val="22"/>
                <w:szCs w:val="22"/>
                <w:lang w:val="es-ES_tradnl"/>
              </w:rPr>
              <w:t xml:space="preserve"> i.v. (24 h), día 4;</w:t>
            </w:r>
          </w:p>
          <w:p w14:paraId="7840E30C" w14:textId="77777777" w:rsidR="008C48E3" w:rsidRPr="002D741C" w:rsidRDefault="008C48E3" w:rsidP="00C16E58">
            <w:pPr>
              <w:pStyle w:val="Table"/>
              <w:keepLines w:val="0"/>
              <w:widowControl w:val="0"/>
              <w:rPr>
                <w:rFonts w:ascii="Times New Roman" w:hAnsi="Times New Roman"/>
                <w:color w:val="000000"/>
                <w:sz w:val="22"/>
                <w:szCs w:val="22"/>
                <w:lang w:val="es-ES_tradnl"/>
              </w:rPr>
            </w:pPr>
            <w:smartTag w:uri="urn:schemas-microsoft-com:office:smarttags" w:element="PersonName">
              <w:r w:rsidRPr="002D741C">
                <w:rPr>
                  <w:rFonts w:ascii="Times New Roman" w:hAnsi="Times New Roman"/>
                  <w:color w:val="000000"/>
                  <w:sz w:val="22"/>
                  <w:szCs w:val="22"/>
                  <w:lang w:val="es-ES_tradnl"/>
                </w:rPr>
                <w:t>DE</w:t>
              </w:r>
            </w:smartTag>
            <w:r w:rsidRPr="002D741C">
              <w:rPr>
                <w:rFonts w:ascii="Times New Roman" w:hAnsi="Times New Roman"/>
                <w:color w:val="000000"/>
                <w:sz w:val="22"/>
                <w:szCs w:val="22"/>
                <w:lang w:val="es-ES_tradnl"/>
              </w:rPr>
              <w:t xml:space="preserve">X 40 mg/día los días 1-4 y 11-14, alternado con </w:t>
            </w:r>
            <w:smartTag w:uri="urn:schemas-microsoft-com:office:smarttags" w:element="stockticker">
              <w:smartTag w:uri="urn:schemas-microsoft-com:office:smarttags" w:element="PersonName">
                <w:r w:rsidRPr="002D741C">
                  <w:rPr>
                    <w:rFonts w:ascii="Times New Roman" w:hAnsi="Times New Roman"/>
                    <w:color w:val="000000"/>
                    <w:sz w:val="22"/>
                    <w:szCs w:val="22"/>
                    <w:lang w:val="es-ES_tradnl"/>
                  </w:rPr>
                  <w:t>MT</w:t>
                </w:r>
              </w:smartTag>
              <w:r w:rsidRPr="002D741C">
                <w:rPr>
                  <w:rFonts w:ascii="Times New Roman" w:hAnsi="Times New Roman"/>
                  <w:color w:val="000000"/>
                  <w:sz w:val="22"/>
                  <w:szCs w:val="22"/>
                  <w:lang w:val="es-ES_tradnl"/>
                </w:rPr>
                <w:t>X</w:t>
              </w:r>
            </w:smartTag>
            <w:r w:rsidRPr="002D741C">
              <w:rPr>
                <w:rFonts w:ascii="Times New Roman" w:hAnsi="Times New Roman"/>
                <w:color w:val="000000"/>
                <w:sz w:val="22"/>
                <w:szCs w:val="22"/>
                <w:lang w:val="es-ES_tradnl"/>
              </w:rPr>
              <w:t xml:space="preserve"> 1 g/m</w:t>
            </w:r>
            <w:r w:rsidRPr="002D741C">
              <w:rPr>
                <w:rFonts w:ascii="Times New Roman" w:hAnsi="Times New Roman"/>
                <w:color w:val="000000"/>
                <w:sz w:val="22"/>
                <w:szCs w:val="22"/>
                <w:vertAlign w:val="superscript"/>
                <w:lang w:val="es-ES_tradnl"/>
              </w:rPr>
              <w:t>2</w:t>
            </w:r>
            <w:r w:rsidRPr="002D741C">
              <w:rPr>
                <w:rFonts w:ascii="Times New Roman" w:hAnsi="Times New Roman"/>
                <w:color w:val="000000"/>
                <w:sz w:val="22"/>
                <w:szCs w:val="22"/>
                <w:lang w:val="es-ES_tradnl"/>
              </w:rPr>
              <w:t xml:space="preserve"> i.v. (24 h), día 1, Ara-C 1 g/m</w:t>
            </w:r>
            <w:r w:rsidRPr="002D741C">
              <w:rPr>
                <w:rFonts w:ascii="Times New Roman" w:hAnsi="Times New Roman"/>
                <w:color w:val="000000"/>
                <w:sz w:val="22"/>
                <w:szCs w:val="22"/>
                <w:vertAlign w:val="superscript"/>
                <w:lang w:val="es-ES_tradnl"/>
              </w:rPr>
              <w:t>2</w:t>
            </w:r>
            <w:r w:rsidRPr="002D741C">
              <w:rPr>
                <w:rFonts w:ascii="Times New Roman" w:hAnsi="Times New Roman"/>
                <w:color w:val="000000"/>
                <w:sz w:val="22"/>
                <w:szCs w:val="22"/>
                <w:lang w:val="es-ES_tradnl"/>
              </w:rPr>
              <w:t xml:space="preserve"> i.v. (2 h, cada 12 h), días 2-3 (8 ciclos en total)</w:t>
            </w:r>
          </w:p>
        </w:tc>
      </w:tr>
      <w:tr w:rsidR="008C48E3" w:rsidRPr="002D741C" w14:paraId="26FF2E36" w14:textId="77777777" w:rsidTr="00C16E58">
        <w:trPr>
          <w:cantSplit/>
        </w:trPr>
        <w:tc>
          <w:tcPr>
            <w:tcW w:w="2432" w:type="dxa"/>
            <w:tcBorders>
              <w:top w:val="single" w:sz="4" w:space="0" w:color="auto"/>
              <w:left w:val="single" w:sz="4" w:space="0" w:color="auto"/>
              <w:bottom w:val="single" w:sz="4" w:space="0" w:color="auto"/>
            </w:tcBorders>
            <w:shd w:val="clear" w:color="auto" w:fill="auto"/>
          </w:tcPr>
          <w:p w14:paraId="52CF2BFD" w14:textId="77777777" w:rsidR="008C48E3" w:rsidRPr="002D741C" w:rsidRDefault="008C48E3" w:rsidP="00C16E58">
            <w:pPr>
              <w:pStyle w:val="Table"/>
              <w:keepLines w:val="0"/>
              <w:widowControl w:val="0"/>
              <w:rPr>
                <w:rFonts w:ascii="Times New Roman" w:hAnsi="Times New Roman"/>
                <w:color w:val="000000"/>
                <w:sz w:val="22"/>
                <w:szCs w:val="22"/>
                <w:lang w:val="es-ES"/>
              </w:rPr>
            </w:pPr>
            <w:r w:rsidRPr="002D741C">
              <w:rPr>
                <w:rFonts w:ascii="Times New Roman" w:hAnsi="Times New Roman"/>
                <w:color w:val="000000"/>
                <w:sz w:val="22"/>
                <w:szCs w:val="22"/>
                <w:lang w:val="es-ES"/>
              </w:rPr>
              <w:t>Mantenimiento</w:t>
            </w:r>
          </w:p>
        </w:tc>
        <w:tc>
          <w:tcPr>
            <w:tcW w:w="6662" w:type="dxa"/>
            <w:gridSpan w:val="4"/>
            <w:tcBorders>
              <w:top w:val="single" w:sz="4" w:space="0" w:color="auto"/>
              <w:bottom w:val="single" w:sz="4" w:space="0" w:color="auto"/>
              <w:right w:val="single" w:sz="4" w:space="0" w:color="auto"/>
            </w:tcBorders>
            <w:shd w:val="clear" w:color="auto" w:fill="auto"/>
          </w:tcPr>
          <w:p w14:paraId="70D76272" w14:textId="77777777" w:rsidR="00BE581E" w:rsidRPr="002D741C" w:rsidRDefault="008C48E3" w:rsidP="00C16E58">
            <w:pPr>
              <w:pStyle w:val="Table"/>
              <w:keepLines w:val="0"/>
              <w:widowControl w:val="0"/>
              <w:rPr>
                <w:rFonts w:ascii="Times New Roman" w:hAnsi="Times New Roman"/>
                <w:color w:val="000000"/>
                <w:sz w:val="22"/>
                <w:szCs w:val="22"/>
                <w:lang w:val="es-ES_tradnl"/>
              </w:rPr>
            </w:pPr>
            <w:smartTag w:uri="urn:schemas-microsoft-com:office:smarttags" w:element="stockticker">
              <w:r w:rsidRPr="002D741C">
                <w:rPr>
                  <w:rFonts w:ascii="Times New Roman" w:hAnsi="Times New Roman"/>
                  <w:color w:val="000000"/>
                  <w:sz w:val="22"/>
                  <w:szCs w:val="22"/>
                  <w:lang w:val="es-ES_tradnl"/>
                </w:rPr>
                <w:t>VCR</w:t>
              </w:r>
            </w:smartTag>
            <w:r w:rsidRPr="002D741C">
              <w:rPr>
                <w:rFonts w:ascii="Times New Roman" w:hAnsi="Times New Roman"/>
                <w:color w:val="000000"/>
                <w:sz w:val="22"/>
                <w:szCs w:val="22"/>
                <w:lang w:val="es-ES_tradnl"/>
              </w:rPr>
              <w:t xml:space="preserve"> 2 mg i.v. mensualmente durante 13 meses;</w:t>
            </w:r>
          </w:p>
          <w:p w14:paraId="11E8B1F1" w14:textId="77777777" w:rsidR="008C48E3" w:rsidRPr="002D741C" w:rsidRDefault="00BE581E" w:rsidP="00C16E58">
            <w:pPr>
              <w:pStyle w:val="Table"/>
              <w:keepLines w:val="0"/>
              <w:widowControl w:val="0"/>
              <w:rPr>
                <w:rFonts w:ascii="Times New Roman" w:hAnsi="Times New Roman"/>
                <w:color w:val="000000"/>
                <w:sz w:val="22"/>
                <w:szCs w:val="22"/>
                <w:lang w:val="es-ES_tradnl"/>
              </w:rPr>
            </w:pPr>
            <w:r w:rsidRPr="002D741C">
              <w:rPr>
                <w:rFonts w:ascii="Times New Roman" w:hAnsi="Times New Roman"/>
                <w:color w:val="000000"/>
                <w:sz w:val="22"/>
                <w:szCs w:val="22"/>
                <w:lang w:val="es-ES_tradnl"/>
              </w:rPr>
              <w:t>P</w:t>
            </w:r>
            <w:r w:rsidR="008C48E3" w:rsidRPr="002D741C">
              <w:rPr>
                <w:rFonts w:ascii="Times New Roman" w:hAnsi="Times New Roman"/>
                <w:color w:val="000000"/>
                <w:sz w:val="22"/>
                <w:szCs w:val="22"/>
                <w:lang w:val="es-ES_tradnl"/>
              </w:rPr>
              <w:t>rednisolona 200 mg oral, 5 días al mes durante 13 meses</w:t>
            </w:r>
          </w:p>
        </w:tc>
      </w:tr>
      <w:tr w:rsidR="008C48E3" w:rsidRPr="002D741C" w14:paraId="62F0A3C0" w14:textId="77777777" w:rsidTr="00C16E58">
        <w:trPr>
          <w:cantSplit/>
        </w:trPr>
        <w:tc>
          <w:tcPr>
            <w:tcW w:w="9094" w:type="dxa"/>
            <w:gridSpan w:val="5"/>
            <w:tcBorders>
              <w:top w:val="single" w:sz="4" w:space="0" w:color="auto"/>
              <w:left w:val="single" w:sz="4" w:space="0" w:color="auto"/>
              <w:bottom w:val="single" w:sz="4" w:space="0" w:color="auto"/>
              <w:right w:val="single" w:sz="4" w:space="0" w:color="auto"/>
            </w:tcBorders>
            <w:shd w:val="clear" w:color="auto" w:fill="auto"/>
          </w:tcPr>
          <w:p w14:paraId="269CA848" w14:textId="77777777" w:rsidR="008C48E3" w:rsidRPr="002D741C" w:rsidRDefault="008C48E3" w:rsidP="00C16E58">
            <w:pPr>
              <w:pStyle w:val="Table"/>
              <w:keepLines w:val="0"/>
              <w:widowControl w:val="0"/>
              <w:rPr>
                <w:rFonts w:ascii="Times New Roman" w:hAnsi="Times New Roman"/>
                <w:color w:val="000000"/>
                <w:sz w:val="22"/>
                <w:szCs w:val="22"/>
                <w:lang w:val="es-ES_tradnl"/>
              </w:rPr>
            </w:pPr>
            <w:r w:rsidRPr="002D741C">
              <w:rPr>
                <w:rFonts w:ascii="Times New Roman" w:hAnsi="Times New Roman"/>
                <w:color w:val="000000"/>
                <w:sz w:val="22"/>
                <w:szCs w:val="22"/>
                <w:lang w:val="es-ES_tradnl"/>
              </w:rPr>
              <w:t>Todos los regimenes de tratamiento incluyen la administración de esteroides para la profilaxis de SNC.</w:t>
            </w:r>
          </w:p>
        </w:tc>
      </w:tr>
      <w:tr w:rsidR="008C48E3" w:rsidRPr="002D741C" w14:paraId="1FC65B1E" w14:textId="77777777" w:rsidTr="00C16E58">
        <w:trPr>
          <w:cantSplit/>
        </w:trPr>
        <w:tc>
          <w:tcPr>
            <w:tcW w:w="9094" w:type="dxa"/>
            <w:gridSpan w:val="5"/>
            <w:tcBorders>
              <w:top w:val="single" w:sz="4" w:space="0" w:color="auto"/>
              <w:left w:val="single" w:sz="4" w:space="0" w:color="auto"/>
              <w:bottom w:val="single" w:sz="4" w:space="0" w:color="auto"/>
              <w:right w:val="single" w:sz="4" w:space="0" w:color="auto"/>
            </w:tcBorders>
            <w:shd w:val="clear" w:color="auto" w:fill="auto"/>
          </w:tcPr>
          <w:p w14:paraId="44C6F589" w14:textId="77777777" w:rsidR="008C48E3" w:rsidRPr="002D741C" w:rsidRDefault="008C48E3" w:rsidP="008C48E3">
            <w:pPr>
              <w:pStyle w:val="Table"/>
              <w:keepNext w:val="0"/>
              <w:widowControl w:val="0"/>
              <w:rPr>
                <w:rFonts w:ascii="Times New Roman" w:hAnsi="Times New Roman"/>
                <w:color w:val="000000"/>
                <w:sz w:val="22"/>
                <w:szCs w:val="22"/>
                <w:lang w:val="es-ES_tradnl"/>
              </w:rPr>
            </w:pPr>
            <w:r w:rsidRPr="002D741C">
              <w:rPr>
                <w:rFonts w:ascii="Times New Roman" w:hAnsi="Times New Roman"/>
                <w:color w:val="000000"/>
                <w:sz w:val="22"/>
                <w:szCs w:val="22"/>
                <w:lang w:val="es-ES_tradnl"/>
              </w:rPr>
              <w:t xml:space="preserve">Ara-C: citosina arabinósido; CP: ciclofosfamida; </w:t>
            </w:r>
            <w:smartTag w:uri="urn:schemas-microsoft-com:office:smarttags" w:element="PersonName">
              <w:r w:rsidRPr="002D741C">
                <w:rPr>
                  <w:rFonts w:ascii="Times New Roman" w:hAnsi="Times New Roman"/>
                  <w:color w:val="000000"/>
                  <w:sz w:val="22"/>
                  <w:szCs w:val="22"/>
                  <w:lang w:val="es-ES_tradnl"/>
                </w:rPr>
                <w:t>DE</w:t>
              </w:r>
            </w:smartTag>
            <w:r w:rsidRPr="002D741C">
              <w:rPr>
                <w:rFonts w:ascii="Times New Roman" w:hAnsi="Times New Roman"/>
                <w:color w:val="000000"/>
                <w:sz w:val="22"/>
                <w:szCs w:val="22"/>
                <w:lang w:val="es-ES_tradnl"/>
              </w:rPr>
              <w:t xml:space="preserve">X: dexametasona; </w:t>
            </w:r>
            <w:smartTag w:uri="urn:schemas-microsoft-com:office:smarttags" w:element="stockticker">
              <w:smartTag w:uri="urn:schemas-microsoft-com:office:smarttags" w:element="PersonName">
                <w:r w:rsidRPr="002D741C">
                  <w:rPr>
                    <w:rFonts w:ascii="Times New Roman" w:hAnsi="Times New Roman"/>
                    <w:color w:val="000000"/>
                    <w:sz w:val="22"/>
                    <w:szCs w:val="22"/>
                    <w:lang w:val="es-ES_tradnl"/>
                  </w:rPr>
                  <w:t>MT</w:t>
                </w:r>
              </w:smartTag>
              <w:r w:rsidRPr="002D741C">
                <w:rPr>
                  <w:rFonts w:ascii="Times New Roman" w:hAnsi="Times New Roman"/>
                  <w:color w:val="000000"/>
                  <w:sz w:val="22"/>
                  <w:szCs w:val="22"/>
                  <w:lang w:val="es-ES_tradnl"/>
                </w:rPr>
                <w:t>X</w:t>
              </w:r>
            </w:smartTag>
            <w:r w:rsidRPr="002D741C">
              <w:rPr>
                <w:rFonts w:ascii="Times New Roman" w:hAnsi="Times New Roman"/>
                <w:color w:val="000000"/>
                <w:sz w:val="22"/>
                <w:szCs w:val="22"/>
                <w:lang w:val="es-ES_tradnl"/>
              </w:rPr>
              <w:t xml:space="preserve">: metotrexato; 6-MP: 6-mercaptopurina; VM26: tenipósido; </w:t>
            </w:r>
            <w:smartTag w:uri="urn:schemas-microsoft-com:office:smarttags" w:element="stockticker">
              <w:r w:rsidRPr="002D741C">
                <w:rPr>
                  <w:rFonts w:ascii="Times New Roman" w:hAnsi="Times New Roman"/>
                  <w:color w:val="000000"/>
                  <w:sz w:val="22"/>
                  <w:szCs w:val="22"/>
                  <w:lang w:val="es-ES_tradnl"/>
                </w:rPr>
                <w:t>VCR</w:t>
              </w:r>
            </w:smartTag>
            <w:r w:rsidRPr="002D741C">
              <w:rPr>
                <w:rFonts w:ascii="Times New Roman" w:hAnsi="Times New Roman"/>
                <w:color w:val="000000"/>
                <w:sz w:val="22"/>
                <w:szCs w:val="22"/>
                <w:lang w:val="es-ES_tradnl"/>
              </w:rPr>
              <w:t xml:space="preserve">: vincristina; </w:t>
            </w:r>
            <w:smartTag w:uri="urn:schemas-microsoft-com:office:smarttags" w:element="stockticker">
              <w:r w:rsidRPr="002D741C">
                <w:rPr>
                  <w:rFonts w:ascii="Times New Roman" w:hAnsi="Times New Roman"/>
                  <w:color w:val="000000"/>
                  <w:sz w:val="22"/>
                  <w:szCs w:val="22"/>
                  <w:lang w:val="es-ES_tradnl"/>
                </w:rPr>
                <w:t>IDA</w:t>
              </w:r>
            </w:smartTag>
            <w:r w:rsidRPr="002D741C">
              <w:rPr>
                <w:rFonts w:ascii="Times New Roman" w:hAnsi="Times New Roman"/>
                <w:color w:val="000000"/>
                <w:sz w:val="22"/>
                <w:szCs w:val="22"/>
                <w:lang w:val="es-ES_tradnl"/>
              </w:rPr>
              <w:t>: idarubicina; i.v.: intravenoso</w:t>
            </w:r>
          </w:p>
        </w:tc>
      </w:tr>
    </w:tbl>
    <w:p w14:paraId="17A25947" w14:textId="77777777" w:rsidR="008C48E3" w:rsidRPr="002D741C" w:rsidRDefault="008C48E3" w:rsidP="008C48E3">
      <w:pPr>
        <w:pStyle w:val="EndnoteText"/>
        <w:widowControl w:val="0"/>
        <w:tabs>
          <w:tab w:val="clear" w:pos="567"/>
        </w:tabs>
        <w:rPr>
          <w:color w:val="000000"/>
          <w:szCs w:val="22"/>
          <w:lang w:val="es-ES_tradnl"/>
        </w:rPr>
      </w:pPr>
    </w:p>
    <w:p w14:paraId="4A47C84B" w14:textId="77777777" w:rsidR="003B0A17" w:rsidRPr="002D741C" w:rsidRDefault="00BF6C20" w:rsidP="008C48E3">
      <w:pPr>
        <w:pStyle w:val="EndnoteText"/>
        <w:widowControl w:val="0"/>
        <w:tabs>
          <w:tab w:val="clear" w:pos="567"/>
        </w:tabs>
        <w:rPr>
          <w:iCs/>
          <w:color w:val="000000"/>
          <w:szCs w:val="22"/>
          <w:lang w:val="es-ES"/>
        </w:rPr>
      </w:pPr>
      <w:r w:rsidRPr="002D741C">
        <w:rPr>
          <w:i/>
          <w:iCs/>
          <w:color w:val="000000"/>
          <w:szCs w:val="22"/>
          <w:lang w:val="es-ES"/>
        </w:rPr>
        <w:t>Pacientes pediátricos:</w:t>
      </w:r>
      <w:r w:rsidRPr="002D741C">
        <w:rPr>
          <w:iCs/>
          <w:color w:val="000000"/>
          <w:szCs w:val="22"/>
          <w:lang w:val="es-ES"/>
        </w:rPr>
        <w:t xml:space="preserve"> En el ensayo I2301 se incluyeron un total de 93 pacientes pediátricos, adolescentes y pacientes adultos jóvenes (de </w:t>
      </w:r>
      <w:smartTag w:uri="urn:schemas-microsoft-com:office:smarttags" w:element="metricconverter">
        <w:smartTagPr>
          <w:attr w:name="ProductID" w:val="1 a"/>
        </w:smartTagPr>
        <w:r w:rsidRPr="002D741C">
          <w:rPr>
            <w:iCs/>
            <w:color w:val="000000"/>
            <w:szCs w:val="22"/>
            <w:lang w:val="es-ES"/>
          </w:rPr>
          <w:t>1 a</w:t>
        </w:r>
      </w:smartTag>
      <w:r w:rsidRPr="002D741C">
        <w:rPr>
          <w:iCs/>
          <w:color w:val="000000"/>
          <w:szCs w:val="22"/>
          <w:lang w:val="es-ES"/>
        </w:rPr>
        <w:t xml:space="preserve"> 22 años de edad) con LLA Ph+ en un ensayo </w:t>
      </w:r>
      <w:r w:rsidR="00227A0F" w:rsidRPr="002D741C">
        <w:rPr>
          <w:iCs/>
          <w:color w:val="000000"/>
          <w:szCs w:val="22"/>
          <w:lang w:val="es-ES"/>
        </w:rPr>
        <w:t>f</w:t>
      </w:r>
      <w:r w:rsidRPr="002D741C">
        <w:rPr>
          <w:iCs/>
          <w:color w:val="000000"/>
          <w:szCs w:val="22"/>
          <w:lang w:val="es-ES"/>
        </w:rPr>
        <w:t xml:space="preserve">ase III no aleatorizado, de cohorte secuencial, multicéntrico, abierto, </w:t>
      </w:r>
      <w:r w:rsidR="004E6A51" w:rsidRPr="002D741C">
        <w:rPr>
          <w:iCs/>
          <w:color w:val="000000"/>
          <w:szCs w:val="22"/>
          <w:lang w:val="es-ES"/>
        </w:rPr>
        <w:t>y se trataron con Glivec (340 mg/m</w:t>
      </w:r>
      <w:r w:rsidR="004E6A51" w:rsidRPr="002D741C">
        <w:rPr>
          <w:iCs/>
          <w:color w:val="000000"/>
          <w:szCs w:val="22"/>
          <w:vertAlign w:val="superscript"/>
          <w:lang w:val="es-ES"/>
        </w:rPr>
        <w:t>2</w:t>
      </w:r>
      <w:r w:rsidR="004E6A51" w:rsidRPr="002D741C">
        <w:rPr>
          <w:iCs/>
          <w:color w:val="000000"/>
          <w:szCs w:val="22"/>
          <w:lang w:val="es-ES"/>
        </w:rPr>
        <w:t>/día) en combinación con quimioterapia intensiva tras el tratamiento de inducción. Glivec se administró intermitentemente en las cohortes 1</w:t>
      </w:r>
      <w:r w:rsidR="003C3463" w:rsidRPr="002D741C">
        <w:rPr>
          <w:iCs/>
          <w:color w:val="000000"/>
          <w:szCs w:val="22"/>
          <w:lang w:val="es-ES"/>
        </w:rPr>
        <w:noBreakHyphen/>
      </w:r>
      <w:r w:rsidR="004E6A51" w:rsidRPr="002D741C">
        <w:rPr>
          <w:iCs/>
          <w:color w:val="000000"/>
          <w:szCs w:val="22"/>
          <w:lang w:val="es-ES"/>
        </w:rPr>
        <w:t xml:space="preserve">5, con una duración creciente y un inicio más temprano de Glivec de cohorte en cohorte; la cohorte 1 recibió la menor intensidad y la cohorte 5 recibió la mayor intensidad de Glivec (la duración más larga en días con el tratamiento continuo diario con Glivec durante los primeros cursos de tratamiento con quimioterapia). La exposición diaria continua a Glivec de forma temprana en el curso de tratamiento en combinación con quimioterapia en la cohorte 5 – </w:t>
      </w:r>
      <w:r w:rsidR="00633DCE" w:rsidRPr="002D741C">
        <w:rPr>
          <w:iCs/>
          <w:color w:val="000000"/>
          <w:szCs w:val="22"/>
          <w:lang w:val="es-ES"/>
        </w:rPr>
        <w:t xml:space="preserve">los </w:t>
      </w:r>
      <w:r w:rsidR="004E6A51" w:rsidRPr="002D741C">
        <w:rPr>
          <w:iCs/>
          <w:color w:val="000000"/>
          <w:szCs w:val="22"/>
          <w:lang w:val="es-ES"/>
        </w:rPr>
        <w:t xml:space="preserve">pacientes </w:t>
      </w:r>
      <w:r w:rsidR="00633DCE" w:rsidRPr="002D741C">
        <w:rPr>
          <w:iCs/>
          <w:color w:val="000000"/>
          <w:szCs w:val="22"/>
          <w:lang w:val="es-ES"/>
        </w:rPr>
        <w:t>(n=50) mejoraron</w:t>
      </w:r>
      <w:r w:rsidR="004E6A51" w:rsidRPr="002D741C">
        <w:rPr>
          <w:iCs/>
          <w:color w:val="000000"/>
          <w:szCs w:val="22"/>
          <w:lang w:val="es-ES"/>
        </w:rPr>
        <w:t xml:space="preserve"> la supervivencia libre de eventos (SLE) a los 4 años comparado con los controles históricos (n=120), que recibieron la quimioterapia estándar sin Glivec (69,6% frente a 31,6% respectivamente). </w:t>
      </w:r>
      <w:smartTag w:uri="urn:schemas-microsoft-com:office:smarttags" w:element="PersonName">
        <w:smartTagPr>
          <w:attr w:name="ProductID" w:val="La SG"/>
        </w:smartTagPr>
        <w:r w:rsidR="004E6A51" w:rsidRPr="002D741C">
          <w:rPr>
            <w:iCs/>
            <w:color w:val="000000"/>
            <w:szCs w:val="22"/>
            <w:lang w:val="es-ES"/>
          </w:rPr>
          <w:t>La SG</w:t>
        </w:r>
      </w:smartTag>
      <w:r w:rsidR="004E6A51" w:rsidRPr="002D741C">
        <w:rPr>
          <w:iCs/>
          <w:color w:val="000000"/>
          <w:szCs w:val="22"/>
          <w:lang w:val="es-ES"/>
        </w:rPr>
        <w:t xml:space="preserve"> estimada a los 4-años en la cohorte 5- pacientes fue de 83,6% comp</w:t>
      </w:r>
      <w:r w:rsidR="00633DCE" w:rsidRPr="002D741C">
        <w:rPr>
          <w:iCs/>
          <w:color w:val="000000"/>
          <w:szCs w:val="22"/>
          <w:lang w:val="es-ES"/>
        </w:rPr>
        <w:t>a</w:t>
      </w:r>
      <w:r w:rsidR="004E6A51" w:rsidRPr="002D741C">
        <w:rPr>
          <w:iCs/>
          <w:color w:val="000000"/>
          <w:szCs w:val="22"/>
          <w:lang w:val="es-ES"/>
        </w:rPr>
        <w:t xml:space="preserve">rado con 44,8% en los controles históricos. 20 pacientes de los 50 (40%) en la cohorte 5 </w:t>
      </w:r>
      <w:r w:rsidR="003B0A17" w:rsidRPr="002D741C">
        <w:rPr>
          <w:iCs/>
          <w:color w:val="000000"/>
          <w:szCs w:val="22"/>
          <w:lang w:val="es-ES"/>
        </w:rPr>
        <w:t>recibieron un trasplante de células hematopoyéticas.</w:t>
      </w:r>
    </w:p>
    <w:p w14:paraId="3EDBB45F" w14:textId="77777777" w:rsidR="003B0A17" w:rsidRPr="002D741C" w:rsidRDefault="003B0A17" w:rsidP="008C48E3">
      <w:pPr>
        <w:pStyle w:val="EndnoteText"/>
        <w:widowControl w:val="0"/>
        <w:tabs>
          <w:tab w:val="clear" w:pos="567"/>
        </w:tabs>
        <w:rPr>
          <w:iCs/>
          <w:color w:val="000000"/>
          <w:szCs w:val="22"/>
          <w:lang w:val="es-ES"/>
        </w:rPr>
      </w:pPr>
    </w:p>
    <w:p w14:paraId="0DA37329" w14:textId="77777777" w:rsidR="003B0A17" w:rsidRPr="002D741C" w:rsidRDefault="00633DCE" w:rsidP="00C16E58">
      <w:pPr>
        <w:pStyle w:val="EndnoteText"/>
        <w:keepNext/>
        <w:widowControl w:val="0"/>
        <w:tabs>
          <w:tab w:val="clear" w:pos="567"/>
          <w:tab w:val="left" w:pos="1134"/>
        </w:tabs>
        <w:rPr>
          <w:b/>
          <w:iCs/>
          <w:color w:val="000000"/>
          <w:szCs w:val="22"/>
          <w:lang w:val="es-ES"/>
        </w:rPr>
      </w:pPr>
      <w:r w:rsidRPr="002D741C">
        <w:rPr>
          <w:b/>
          <w:iCs/>
          <w:color w:val="000000"/>
          <w:szCs w:val="22"/>
          <w:lang w:val="es-ES"/>
        </w:rPr>
        <w:t>Tabla </w:t>
      </w:r>
      <w:r w:rsidR="00A6343C" w:rsidRPr="002D741C">
        <w:rPr>
          <w:b/>
          <w:iCs/>
          <w:color w:val="000000"/>
          <w:szCs w:val="22"/>
          <w:lang w:val="es-ES"/>
        </w:rPr>
        <w:t>5</w:t>
      </w:r>
      <w:r w:rsidRPr="002D741C">
        <w:rPr>
          <w:b/>
          <w:iCs/>
          <w:color w:val="000000"/>
          <w:szCs w:val="22"/>
          <w:lang w:val="es-ES"/>
        </w:rPr>
        <w:tab/>
        <w:t>Ré</w:t>
      </w:r>
      <w:r w:rsidR="003B0A17" w:rsidRPr="002D741C">
        <w:rPr>
          <w:b/>
          <w:iCs/>
          <w:color w:val="000000"/>
          <w:szCs w:val="22"/>
          <w:lang w:val="es-ES"/>
        </w:rPr>
        <w:t>gimen de quimioterapia utilizado en combinación con imatinib en el estudio I2301</w:t>
      </w:r>
    </w:p>
    <w:p w14:paraId="5285ACC8" w14:textId="77777777" w:rsidR="003B0A17" w:rsidRPr="002D741C" w:rsidRDefault="003B0A17" w:rsidP="00C16E58">
      <w:pPr>
        <w:pStyle w:val="EndnoteText"/>
        <w:keepNext/>
        <w:widowControl w:val="0"/>
        <w:tabs>
          <w:tab w:val="clear" w:pos="567"/>
          <w:tab w:val="left" w:pos="1134"/>
        </w:tabs>
        <w:rPr>
          <w:iCs/>
          <w:color w:val="000000"/>
          <w:szCs w:val="22"/>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27"/>
        <w:gridCol w:w="6734"/>
      </w:tblGrid>
      <w:tr w:rsidR="003B0A17" w:rsidRPr="002D741C" w14:paraId="53D109AE" w14:textId="77777777" w:rsidTr="00C16E58">
        <w:trPr>
          <w:cantSplit/>
        </w:trPr>
        <w:tc>
          <w:tcPr>
            <w:tcW w:w="2358" w:type="dxa"/>
            <w:shd w:val="clear" w:color="auto" w:fill="auto"/>
          </w:tcPr>
          <w:p w14:paraId="6D425A08" w14:textId="77777777" w:rsidR="003B0A17" w:rsidRPr="002D741C" w:rsidRDefault="00633DCE" w:rsidP="003B0A17">
            <w:pPr>
              <w:pStyle w:val="EndnoteText"/>
              <w:widowControl w:val="0"/>
              <w:rPr>
                <w:color w:val="000000"/>
                <w:lang w:val="es-ES"/>
              </w:rPr>
            </w:pPr>
            <w:r w:rsidRPr="002D741C">
              <w:rPr>
                <w:color w:val="000000"/>
                <w:lang w:val="es-ES"/>
              </w:rPr>
              <w:t>Bloque 1 de c</w:t>
            </w:r>
            <w:r w:rsidR="003B0A17" w:rsidRPr="002D741C">
              <w:rPr>
                <w:color w:val="000000"/>
                <w:lang w:val="es-ES"/>
              </w:rPr>
              <w:t>onsolidación</w:t>
            </w:r>
          </w:p>
          <w:p w14:paraId="2584DBE5" w14:textId="77777777" w:rsidR="003B0A17" w:rsidRPr="002D741C" w:rsidRDefault="003B0A17" w:rsidP="003B0A17">
            <w:pPr>
              <w:pStyle w:val="EndnoteText"/>
              <w:widowControl w:val="0"/>
              <w:rPr>
                <w:color w:val="000000"/>
                <w:lang w:val="es-ES"/>
              </w:rPr>
            </w:pPr>
            <w:r w:rsidRPr="002D741C">
              <w:rPr>
                <w:color w:val="000000"/>
                <w:lang w:val="es-ES"/>
              </w:rPr>
              <w:t>(3 semanas)</w:t>
            </w:r>
          </w:p>
        </w:tc>
        <w:tc>
          <w:tcPr>
            <w:tcW w:w="6929" w:type="dxa"/>
            <w:shd w:val="clear" w:color="auto" w:fill="auto"/>
          </w:tcPr>
          <w:p w14:paraId="74F4A4BF" w14:textId="77777777" w:rsidR="003B0A17" w:rsidRPr="002D741C" w:rsidRDefault="003B0A17" w:rsidP="003B0A17">
            <w:pPr>
              <w:pStyle w:val="EndnoteText"/>
              <w:widowControl w:val="0"/>
              <w:rPr>
                <w:color w:val="000000"/>
                <w:lang w:val="es-ES"/>
              </w:rPr>
            </w:pPr>
            <w:r w:rsidRPr="002D741C">
              <w:rPr>
                <w:color w:val="000000"/>
                <w:lang w:val="es-ES"/>
              </w:rPr>
              <w:t>VP-16 (100 mg/m</w:t>
            </w:r>
            <w:r w:rsidRPr="002D741C">
              <w:rPr>
                <w:color w:val="000000"/>
                <w:vertAlign w:val="superscript"/>
                <w:lang w:val="es-ES"/>
              </w:rPr>
              <w:t>2</w:t>
            </w:r>
            <w:r w:rsidRPr="002D741C">
              <w:rPr>
                <w:color w:val="000000"/>
                <w:lang w:val="es-ES"/>
              </w:rPr>
              <w:t>/día, IV): días 1</w:t>
            </w:r>
            <w:r w:rsidRPr="002D741C">
              <w:rPr>
                <w:color w:val="000000"/>
                <w:lang w:val="es-ES"/>
              </w:rPr>
              <w:noBreakHyphen/>
              <w:t>5</w:t>
            </w:r>
          </w:p>
          <w:p w14:paraId="68613B4E" w14:textId="77777777" w:rsidR="003B0A17" w:rsidRPr="002D741C" w:rsidRDefault="003B0A17" w:rsidP="003B0A17">
            <w:pPr>
              <w:pStyle w:val="EndnoteText"/>
              <w:widowControl w:val="0"/>
              <w:rPr>
                <w:color w:val="000000"/>
                <w:lang w:val="es-ES"/>
              </w:rPr>
            </w:pPr>
            <w:r w:rsidRPr="002D741C">
              <w:rPr>
                <w:color w:val="000000"/>
                <w:lang w:val="es-ES"/>
              </w:rPr>
              <w:t>Ifosfamida (1,8 g/m</w:t>
            </w:r>
            <w:r w:rsidRPr="002D741C">
              <w:rPr>
                <w:color w:val="000000"/>
                <w:vertAlign w:val="superscript"/>
                <w:lang w:val="es-ES"/>
              </w:rPr>
              <w:t>2</w:t>
            </w:r>
            <w:r w:rsidRPr="002D741C">
              <w:rPr>
                <w:color w:val="000000"/>
                <w:lang w:val="es-ES"/>
              </w:rPr>
              <w:t>/día, IV): días 1</w:t>
            </w:r>
            <w:r w:rsidRPr="002D741C">
              <w:rPr>
                <w:color w:val="000000"/>
                <w:lang w:val="es-ES"/>
              </w:rPr>
              <w:noBreakHyphen/>
              <w:t>5</w:t>
            </w:r>
          </w:p>
          <w:p w14:paraId="752D0C5B" w14:textId="77777777" w:rsidR="003B0A17" w:rsidRPr="002D741C" w:rsidRDefault="003B0A17" w:rsidP="003B0A17">
            <w:pPr>
              <w:pStyle w:val="EndnoteText"/>
              <w:widowControl w:val="0"/>
              <w:rPr>
                <w:color w:val="000000"/>
                <w:lang w:val="es-ES"/>
              </w:rPr>
            </w:pPr>
            <w:r w:rsidRPr="002D741C">
              <w:rPr>
                <w:color w:val="000000"/>
                <w:lang w:val="es-ES"/>
              </w:rPr>
              <w:t>MESNA (360 mg/m</w:t>
            </w:r>
            <w:r w:rsidRPr="002D741C">
              <w:rPr>
                <w:color w:val="000000"/>
                <w:vertAlign w:val="superscript"/>
                <w:lang w:val="es-ES"/>
              </w:rPr>
              <w:t>2</w:t>
            </w:r>
            <w:r w:rsidRPr="002D741C">
              <w:rPr>
                <w:color w:val="000000"/>
                <w:lang w:val="es-ES"/>
              </w:rPr>
              <w:t>/dosis q3h, x 8 dosis/día, IV): días 1</w:t>
            </w:r>
            <w:r w:rsidRPr="002D741C">
              <w:rPr>
                <w:color w:val="000000"/>
                <w:lang w:val="es-ES"/>
              </w:rPr>
              <w:noBreakHyphen/>
              <w:t>5</w:t>
            </w:r>
          </w:p>
          <w:p w14:paraId="5C3FE3E9" w14:textId="77777777" w:rsidR="003B0A17" w:rsidRPr="002D741C" w:rsidRDefault="003B0A17" w:rsidP="003B0A17">
            <w:pPr>
              <w:pStyle w:val="EndnoteText"/>
              <w:widowControl w:val="0"/>
              <w:rPr>
                <w:color w:val="000000"/>
                <w:lang w:val="es-ES"/>
              </w:rPr>
            </w:pPr>
            <w:r w:rsidRPr="002D741C">
              <w:rPr>
                <w:color w:val="000000"/>
                <w:lang w:val="es-ES"/>
              </w:rPr>
              <w:t>G-CSF (5 </w:t>
            </w:r>
            <w:r w:rsidRPr="002D741C">
              <w:rPr>
                <w:color w:val="000000"/>
              </w:rPr>
              <w:t>μ</w:t>
            </w:r>
            <w:r w:rsidRPr="002D741C">
              <w:rPr>
                <w:color w:val="000000"/>
                <w:lang w:val="es-ES"/>
              </w:rPr>
              <w:t>g/kg, SC): días 6</w:t>
            </w:r>
            <w:r w:rsidRPr="002D741C">
              <w:rPr>
                <w:color w:val="000000"/>
                <w:lang w:val="es-ES"/>
              </w:rPr>
              <w:noBreakHyphen/>
              <w:t>15 o hasta RAN &gt; 1500 post nadir</w:t>
            </w:r>
          </w:p>
          <w:p w14:paraId="1A174E5E" w14:textId="77777777" w:rsidR="003B0A17" w:rsidRPr="002D741C" w:rsidRDefault="003B0A17" w:rsidP="003B0A17">
            <w:pPr>
              <w:pStyle w:val="EndnoteText"/>
              <w:widowControl w:val="0"/>
              <w:rPr>
                <w:color w:val="000000"/>
                <w:lang w:val="es-ES"/>
              </w:rPr>
            </w:pPr>
            <w:smartTag w:uri="urn:schemas-microsoft-com:office:smarttags" w:element="PersonName">
              <w:r w:rsidRPr="002D741C">
                <w:rPr>
                  <w:color w:val="000000"/>
                  <w:lang w:val="es-ES"/>
                </w:rPr>
                <w:t>IT</w:t>
              </w:r>
            </w:smartTag>
            <w:r w:rsidRPr="002D741C">
              <w:rPr>
                <w:color w:val="000000"/>
                <w:lang w:val="es-ES"/>
              </w:rPr>
              <w:t xml:space="preserve"> Metotrexato (ajustado por edad): día 1 SOLO</w:t>
            </w:r>
          </w:p>
          <w:p w14:paraId="0B263522" w14:textId="77777777" w:rsidR="003B0A17" w:rsidRPr="002D741C" w:rsidRDefault="003B0A17" w:rsidP="003B0A17">
            <w:pPr>
              <w:pStyle w:val="EndnoteText"/>
              <w:widowControl w:val="0"/>
              <w:rPr>
                <w:color w:val="000000"/>
                <w:lang w:val="es-ES"/>
              </w:rPr>
            </w:pPr>
            <w:r w:rsidRPr="002D741C">
              <w:rPr>
                <w:color w:val="000000"/>
                <w:lang w:val="es-ES"/>
              </w:rPr>
              <w:t xml:space="preserve">Triple terapia </w:t>
            </w:r>
            <w:smartTag w:uri="urn:schemas-microsoft-com:office:smarttags" w:element="PersonName">
              <w:r w:rsidRPr="002D741C">
                <w:rPr>
                  <w:color w:val="000000"/>
                  <w:lang w:val="es-ES"/>
                </w:rPr>
                <w:t>IT</w:t>
              </w:r>
            </w:smartTag>
            <w:r w:rsidRPr="002D741C">
              <w:rPr>
                <w:color w:val="000000"/>
                <w:lang w:val="es-ES"/>
              </w:rPr>
              <w:t xml:space="preserve"> (ajustada por edad): día 8, 15</w:t>
            </w:r>
          </w:p>
        </w:tc>
      </w:tr>
      <w:tr w:rsidR="003B0A17" w:rsidRPr="002D741C" w14:paraId="29CD023F" w14:textId="77777777" w:rsidTr="00C16E58">
        <w:trPr>
          <w:cantSplit/>
        </w:trPr>
        <w:tc>
          <w:tcPr>
            <w:tcW w:w="2358" w:type="dxa"/>
            <w:shd w:val="clear" w:color="auto" w:fill="auto"/>
          </w:tcPr>
          <w:p w14:paraId="156D381F" w14:textId="77777777" w:rsidR="003B0A17" w:rsidRPr="002D741C" w:rsidRDefault="00633DCE" w:rsidP="003B0A17">
            <w:pPr>
              <w:pStyle w:val="EndnoteText"/>
              <w:widowControl w:val="0"/>
              <w:rPr>
                <w:color w:val="000000"/>
              </w:rPr>
            </w:pPr>
            <w:r w:rsidRPr="002D741C">
              <w:rPr>
                <w:color w:val="000000"/>
              </w:rPr>
              <w:t>Bloque 2 de c</w:t>
            </w:r>
            <w:r w:rsidR="003B0A17" w:rsidRPr="002D741C">
              <w:rPr>
                <w:color w:val="000000"/>
              </w:rPr>
              <w:t>onsolidación</w:t>
            </w:r>
          </w:p>
          <w:p w14:paraId="1A0EC3EC" w14:textId="77777777" w:rsidR="003B0A17" w:rsidRPr="002D741C" w:rsidRDefault="003B0A17" w:rsidP="003B0A17">
            <w:pPr>
              <w:pStyle w:val="EndnoteText"/>
              <w:widowControl w:val="0"/>
              <w:rPr>
                <w:color w:val="000000"/>
              </w:rPr>
            </w:pPr>
            <w:r w:rsidRPr="002D741C">
              <w:rPr>
                <w:color w:val="000000"/>
              </w:rPr>
              <w:t>(3 semanas)</w:t>
            </w:r>
          </w:p>
        </w:tc>
        <w:tc>
          <w:tcPr>
            <w:tcW w:w="6929" w:type="dxa"/>
            <w:shd w:val="clear" w:color="auto" w:fill="auto"/>
          </w:tcPr>
          <w:p w14:paraId="437EF33A" w14:textId="77777777" w:rsidR="003B0A17" w:rsidRPr="002D741C" w:rsidRDefault="003B0A17" w:rsidP="003B0A17">
            <w:pPr>
              <w:pStyle w:val="EndnoteText"/>
              <w:widowControl w:val="0"/>
              <w:rPr>
                <w:color w:val="000000"/>
                <w:lang w:val="es-ES"/>
              </w:rPr>
            </w:pPr>
            <w:r w:rsidRPr="002D741C">
              <w:rPr>
                <w:color w:val="000000"/>
                <w:lang w:val="es-ES"/>
              </w:rPr>
              <w:t>Metotrexato (5 g/m</w:t>
            </w:r>
            <w:r w:rsidRPr="002D741C">
              <w:rPr>
                <w:color w:val="000000"/>
                <w:vertAlign w:val="superscript"/>
                <w:lang w:val="es-ES"/>
              </w:rPr>
              <w:t>2</w:t>
            </w:r>
            <w:r w:rsidRPr="002D741C">
              <w:rPr>
                <w:color w:val="000000"/>
                <w:lang w:val="es-ES"/>
              </w:rPr>
              <w:t xml:space="preserve"> durante 24 horas, IV): día 1</w:t>
            </w:r>
          </w:p>
          <w:p w14:paraId="7845BE46" w14:textId="77777777" w:rsidR="003B0A17" w:rsidRPr="002D741C" w:rsidRDefault="003B0A17" w:rsidP="003B0A17">
            <w:pPr>
              <w:pStyle w:val="EndnoteText"/>
              <w:widowControl w:val="0"/>
              <w:rPr>
                <w:color w:val="000000"/>
                <w:lang w:val="es-ES"/>
              </w:rPr>
            </w:pPr>
            <w:r w:rsidRPr="002D741C">
              <w:rPr>
                <w:color w:val="000000"/>
                <w:lang w:val="es-ES"/>
              </w:rPr>
              <w:t>Leucovorin</w:t>
            </w:r>
            <w:r w:rsidR="00633DCE" w:rsidRPr="002D741C">
              <w:rPr>
                <w:color w:val="000000"/>
                <w:lang w:val="es-ES"/>
              </w:rPr>
              <w:t>a</w:t>
            </w:r>
            <w:r w:rsidRPr="002D741C">
              <w:rPr>
                <w:color w:val="000000"/>
                <w:lang w:val="es-ES"/>
              </w:rPr>
              <w:t xml:space="preserve"> (75 mg/m</w:t>
            </w:r>
            <w:r w:rsidRPr="002D741C">
              <w:rPr>
                <w:color w:val="000000"/>
                <w:vertAlign w:val="superscript"/>
                <w:lang w:val="es-ES"/>
              </w:rPr>
              <w:t>2</w:t>
            </w:r>
            <w:r w:rsidRPr="002D741C">
              <w:rPr>
                <w:color w:val="000000"/>
                <w:lang w:val="es-ES"/>
              </w:rPr>
              <w:t xml:space="preserve"> a </w:t>
            </w:r>
            <w:r w:rsidR="00633DCE" w:rsidRPr="002D741C">
              <w:rPr>
                <w:color w:val="000000"/>
                <w:lang w:val="es-ES"/>
              </w:rPr>
              <w:t xml:space="preserve">la </w:t>
            </w:r>
            <w:r w:rsidRPr="002D741C">
              <w:rPr>
                <w:color w:val="000000"/>
                <w:lang w:val="es-ES"/>
              </w:rPr>
              <w:t>hora 36, IV; 15 mg/m</w:t>
            </w:r>
            <w:r w:rsidRPr="002D741C">
              <w:rPr>
                <w:color w:val="000000"/>
                <w:vertAlign w:val="superscript"/>
                <w:lang w:val="es-ES"/>
              </w:rPr>
              <w:t>2</w:t>
            </w:r>
            <w:r w:rsidRPr="002D741C">
              <w:rPr>
                <w:color w:val="000000"/>
                <w:lang w:val="es-ES"/>
              </w:rPr>
              <w:t xml:space="preserve"> IV o PO q6h x 6 dosis)iii: Días 2 </w:t>
            </w:r>
            <w:r w:rsidR="00104E27" w:rsidRPr="002D741C">
              <w:rPr>
                <w:color w:val="000000"/>
                <w:lang w:val="es-ES"/>
              </w:rPr>
              <w:t>y</w:t>
            </w:r>
            <w:r w:rsidRPr="002D741C">
              <w:rPr>
                <w:color w:val="000000"/>
                <w:lang w:val="es-ES"/>
              </w:rPr>
              <w:t xml:space="preserve"> 3</w:t>
            </w:r>
          </w:p>
          <w:p w14:paraId="26A18B34" w14:textId="77777777" w:rsidR="003B0A17" w:rsidRPr="002D741C" w:rsidRDefault="003B0A17" w:rsidP="003B0A17">
            <w:pPr>
              <w:pStyle w:val="EndnoteText"/>
              <w:widowControl w:val="0"/>
              <w:rPr>
                <w:color w:val="000000"/>
                <w:lang w:val="es-ES"/>
              </w:rPr>
            </w:pPr>
            <w:r w:rsidRPr="002D741C">
              <w:rPr>
                <w:color w:val="000000"/>
                <w:lang w:val="es-ES"/>
              </w:rPr>
              <w:t xml:space="preserve">Triple </w:t>
            </w:r>
            <w:r w:rsidR="00104E27" w:rsidRPr="002D741C">
              <w:rPr>
                <w:color w:val="000000"/>
                <w:lang w:val="es-ES"/>
              </w:rPr>
              <w:t xml:space="preserve">terapia </w:t>
            </w:r>
            <w:smartTag w:uri="urn:schemas-microsoft-com:office:smarttags" w:element="PersonName">
              <w:r w:rsidRPr="002D741C">
                <w:rPr>
                  <w:color w:val="000000"/>
                  <w:lang w:val="es-ES"/>
                </w:rPr>
                <w:t>IT</w:t>
              </w:r>
            </w:smartTag>
            <w:r w:rsidRPr="002D741C">
              <w:rPr>
                <w:color w:val="000000"/>
                <w:lang w:val="es-ES"/>
              </w:rPr>
              <w:t xml:space="preserve"> (</w:t>
            </w:r>
            <w:r w:rsidR="00104E27" w:rsidRPr="002D741C">
              <w:rPr>
                <w:color w:val="000000"/>
                <w:lang w:val="es-ES"/>
              </w:rPr>
              <w:t>ajustada por edad)</w:t>
            </w:r>
            <w:r w:rsidRPr="002D741C">
              <w:rPr>
                <w:color w:val="000000"/>
                <w:lang w:val="es-ES"/>
              </w:rPr>
              <w:t>: d</w:t>
            </w:r>
            <w:r w:rsidR="00104E27" w:rsidRPr="002D741C">
              <w:rPr>
                <w:color w:val="000000"/>
                <w:lang w:val="es-ES"/>
              </w:rPr>
              <w:t>ía</w:t>
            </w:r>
            <w:r w:rsidRPr="002D741C">
              <w:rPr>
                <w:color w:val="000000"/>
                <w:lang w:val="es-ES"/>
              </w:rPr>
              <w:t> 1</w:t>
            </w:r>
          </w:p>
          <w:p w14:paraId="1E660277" w14:textId="77777777" w:rsidR="003B0A17" w:rsidRPr="002D741C" w:rsidRDefault="003B0A17" w:rsidP="003B0A17">
            <w:pPr>
              <w:pStyle w:val="EndnoteText"/>
              <w:widowControl w:val="0"/>
              <w:rPr>
                <w:color w:val="000000"/>
                <w:lang w:val="es-ES"/>
              </w:rPr>
            </w:pPr>
            <w:r w:rsidRPr="002D741C">
              <w:rPr>
                <w:color w:val="000000"/>
                <w:lang w:val="es-ES"/>
              </w:rPr>
              <w:t>ARA-C (3 g/m</w:t>
            </w:r>
            <w:r w:rsidRPr="002D741C">
              <w:rPr>
                <w:color w:val="000000"/>
                <w:vertAlign w:val="superscript"/>
                <w:lang w:val="es-ES"/>
              </w:rPr>
              <w:t>2</w:t>
            </w:r>
            <w:r w:rsidRPr="002D741C">
              <w:rPr>
                <w:color w:val="000000"/>
                <w:lang w:val="es-ES"/>
              </w:rPr>
              <w:t>/dos</w:t>
            </w:r>
            <w:r w:rsidR="00104E27" w:rsidRPr="002D741C">
              <w:rPr>
                <w:color w:val="000000"/>
                <w:lang w:val="es-ES"/>
              </w:rPr>
              <w:t>is q 12 h x 4, IV): días</w:t>
            </w:r>
            <w:r w:rsidRPr="002D741C">
              <w:rPr>
                <w:color w:val="000000"/>
                <w:lang w:val="es-ES"/>
              </w:rPr>
              <w:t xml:space="preserve"> 2 </w:t>
            </w:r>
            <w:r w:rsidR="00104E27" w:rsidRPr="002D741C">
              <w:rPr>
                <w:color w:val="000000"/>
                <w:lang w:val="es-ES"/>
              </w:rPr>
              <w:t>y</w:t>
            </w:r>
            <w:r w:rsidRPr="002D741C">
              <w:rPr>
                <w:color w:val="000000"/>
                <w:lang w:val="es-ES"/>
              </w:rPr>
              <w:t xml:space="preserve"> 3</w:t>
            </w:r>
          </w:p>
          <w:p w14:paraId="4A794807" w14:textId="77777777" w:rsidR="003B0A17" w:rsidRPr="002D741C" w:rsidRDefault="003B0A17" w:rsidP="00104E27">
            <w:pPr>
              <w:pStyle w:val="EndnoteText"/>
              <w:widowControl w:val="0"/>
              <w:rPr>
                <w:color w:val="000000"/>
                <w:lang w:val="es-ES"/>
              </w:rPr>
            </w:pPr>
            <w:r w:rsidRPr="002D741C">
              <w:rPr>
                <w:color w:val="000000"/>
                <w:lang w:val="es-ES"/>
              </w:rPr>
              <w:t>G-CSF (5 </w:t>
            </w:r>
            <w:r w:rsidRPr="002D741C">
              <w:rPr>
                <w:color w:val="000000"/>
              </w:rPr>
              <w:t>μ</w:t>
            </w:r>
            <w:r w:rsidRPr="002D741C">
              <w:rPr>
                <w:color w:val="000000"/>
                <w:lang w:val="es-ES"/>
              </w:rPr>
              <w:t>g/kg, SC): d</w:t>
            </w:r>
            <w:r w:rsidR="00104E27" w:rsidRPr="002D741C">
              <w:rPr>
                <w:color w:val="000000"/>
                <w:lang w:val="es-ES"/>
              </w:rPr>
              <w:t>ías</w:t>
            </w:r>
            <w:r w:rsidRPr="002D741C">
              <w:rPr>
                <w:color w:val="000000"/>
                <w:lang w:val="es-ES"/>
              </w:rPr>
              <w:t xml:space="preserve"> 4-13 </w:t>
            </w:r>
            <w:r w:rsidR="00104E27" w:rsidRPr="002D741C">
              <w:rPr>
                <w:color w:val="000000"/>
                <w:lang w:val="es-ES"/>
              </w:rPr>
              <w:t>o hasta</w:t>
            </w:r>
            <w:r w:rsidRPr="002D741C">
              <w:rPr>
                <w:color w:val="000000"/>
                <w:lang w:val="es-ES"/>
              </w:rPr>
              <w:t xml:space="preserve"> </w:t>
            </w:r>
            <w:r w:rsidR="00104E27" w:rsidRPr="002D741C">
              <w:rPr>
                <w:color w:val="000000"/>
                <w:lang w:val="es-ES"/>
              </w:rPr>
              <w:t>RAN</w:t>
            </w:r>
            <w:r w:rsidRPr="002D741C">
              <w:rPr>
                <w:color w:val="000000"/>
                <w:lang w:val="es-ES"/>
              </w:rPr>
              <w:t>&gt; 1500 post nadir</w:t>
            </w:r>
          </w:p>
        </w:tc>
      </w:tr>
      <w:tr w:rsidR="003B0A17" w:rsidRPr="002D741C" w14:paraId="7368F3FA" w14:textId="77777777" w:rsidTr="00C16E58">
        <w:trPr>
          <w:cantSplit/>
        </w:trPr>
        <w:tc>
          <w:tcPr>
            <w:tcW w:w="2358" w:type="dxa"/>
            <w:shd w:val="clear" w:color="auto" w:fill="auto"/>
          </w:tcPr>
          <w:p w14:paraId="38DBEC3A" w14:textId="77777777" w:rsidR="003B0A17" w:rsidRPr="002D741C" w:rsidRDefault="00633DCE" w:rsidP="003B0A17">
            <w:pPr>
              <w:pStyle w:val="EndnoteText"/>
              <w:widowControl w:val="0"/>
              <w:rPr>
                <w:color w:val="000000"/>
              </w:rPr>
            </w:pPr>
            <w:r w:rsidRPr="002D741C">
              <w:rPr>
                <w:color w:val="000000"/>
              </w:rPr>
              <w:t>Bloque 1 de r</w:t>
            </w:r>
            <w:r w:rsidR="003B0A17" w:rsidRPr="002D741C">
              <w:rPr>
                <w:color w:val="000000"/>
              </w:rPr>
              <w:t>einduc</w:t>
            </w:r>
            <w:r w:rsidR="00104E27" w:rsidRPr="002D741C">
              <w:rPr>
                <w:color w:val="000000"/>
              </w:rPr>
              <w:t>ción</w:t>
            </w:r>
          </w:p>
          <w:p w14:paraId="68022F88" w14:textId="77777777" w:rsidR="003B0A17" w:rsidRPr="002D741C" w:rsidRDefault="003B0A17" w:rsidP="00104E27">
            <w:pPr>
              <w:pStyle w:val="EndnoteText"/>
              <w:widowControl w:val="0"/>
              <w:rPr>
                <w:color w:val="000000"/>
              </w:rPr>
            </w:pPr>
            <w:r w:rsidRPr="002D741C">
              <w:rPr>
                <w:color w:val="000000"/>
              </w:rPr>
              <w:t>(3 </w:t>
            </w:r>
            <w:r w:rsidR="00104E27" w:rsidRPr="002D741C">
              <w:rPr>
                <w:color w:val="000000"/>
              </w:rPr>
              <w:t>semanas</w:t>
            </w:r>
            <w:r w:rsidRPr="002D741C">
              <w:rPr>
                <w:color w:val="000000"/>
              </w:rPr>
              <w:t>)</w:t>
            </w:r>
          </w:p>
        </w:tc>
        <w:tc>
          <w:tcPr>
            <w:tcW w:w="6929" w:type="dxa"/>
            <w:shd w:val="clear" w:color="auto" w:fill="auto"/>
          </w:tcPr>
          <w:p w14:paraId="36E652AB" w14:textId="77777777" w:rsidR="003B0A17" w:rsidRPr="002D741C" w:rsidRDefault="003B0A17" w:rsidP="003B0A17">
            <w:pPr>
              <w:pStyle w:val="EndnoteText"/>
              <w:widowControl w:val="0"/>
              <w:rPr>
                <w:color w:val="000000"/>
                <w:lang w:val="es-ES"/>
              </w:rPr>
            </w:pPr>
            <w:r w:rsidRPr="002D741C">
              <w:rPr>
                <w:color w:val="000000"/>
                <w:lang w:val="es-ES"/>
              </w:rPr>
              <w:t>VCR (1</w:t>
            </w:r>
            <w:r w:rsidR="00104E27" w:rsidRPr="002D741C">
              <w:rPr>
                <w:color w:val="000000"/>
                <w:lang w:val="es-ES"/>
              </w:rPr>
              <w:t>,</w:t>
            </w:r>
            <w:r w:rsidRPr="002D741C">
              <w:rPr>
                <w:color w:val="000000"/>
                <w:lang w:val="es-ES"/>
              </w:rPr>
              <w:t>5 mg/m</w:t>
            </w:r>
            <w:r w:rsidRPr="002D741C">
              <w:rPr>
                <w:color w:val="000000"/>
                <w:vertAlign w:val="superscript"/>
                <w:lang w:val="es-ES"/>
              </w:rPr>
              <w:t>2</w:t>
            </w:r>
            <w:r w:rsidR="00104E27" w:rsidRPr="002D741C">
              <w:rPr>
                <w:color w:val="000000"/>
                <w:lang w:val="es-ES"/>
              </w:rPr>
              <w:t>/día</w:t>
            </w:r>
            <w:r w:rsidRPr="002D741C">
              <w:rPr>
                <w:color w:val="000000"/>
                <w:lang w:val="es-ES"/>
              </w:rPr>
              <w:t>, IV): d</w:t>
            </w:r>
            <w:r w:rsidR="00104E27" w:rsidRPr="002D741C">
              <w:rPr>
                <w:color w:val="000000"/>
                <w:lang w:val="es-ES"/>
              </w:rPr>
              <w:t>ías</w:t>
            </w:r>
            <w:r w:rsidRPr="002D741C">
              <w:rPr>
                <w:color w:val="000000"/>
                <w:lang w:val="es-ES"/>
              </w:rPr>
              <w:t xml:space="preserve"> 1, 8, </w:t>
            </w:r>
            <w:r w:rsidR="00104E27" w:rsidRPr="002D741C">
              <w:rPr>
                <w:color w:val="000000"/>
                <w:lang w:val="es-ES"/>
              </w:rPr>
              <w:t xml:space="preserve">y </w:t>
            </w:r>
            <w:r w:rsidRPr="002D741C">
              <w:rPr>
                <w:color w:val="000000"/>
                <w:lang w:val="es-ES"/>
              </w:rPr>
              <w:t>15</w:t>
            </w:r>
          </w:p>
          <w:p w14:paraId="3CFE30EE" w14:textId="77777777" w:rsidR="003B0A17" w:rsidRPr="002D741C" w:rsidRDefault="003B0A17" w:rsidP="003B0A17">
            <w:pPr>
              <w:pStyle w:val="EndnoteText"/>
              <w:widowControl w:val="0"/>
              <w:rPr>
                <w:color w:val="000000"/>
                <w:lang w:val="es-ES"/>
              </w:rPr>
            </w:pPr>
            <w:r w:rsidRPr="002D741C">
              <w:rPr>
                <w:color w:val="000000"/>
                <w:lang w:val="es-ES"/>
              </w:rPr>
              <w:t>DAUN (45 mg/m</w:t>
            </w:r>
            <w:r w:rsidRPr="002D741C">
              <w:rPr>
                <w:color w:val="000000"/>
                <w:vertAlign w:val="superscript"/>
                <w:lang w:val="es-ES"/>
              </w:rPr>
              <w:t>2</w:t>
            </w:r>
            <w:r w:rsidRPr="002D741C">
              <w:rPr>
                <w:color w:val="000000"/>
                <w:lang w:val="es-ES"/>
              </w:rPr>
              <w:t>/d</w:t>
            </w:r>
            <w:r w:rsidR="00104E27" w:rsidRPr="002D741C">
              <w:rPr>
                <w:color w:val="000000"/>
                <w:lang w:val="es-ES"/>
              </w:rPr>
              <w:t>ía</w:t>
            </w:r>
            <w:r w:rsidRPr="002D741C">
              <w:rPr>
                <w:color w:val="000000"/>
                <w:lang w:val="es-ES"/>
              </w:rPr>
              <w:t xml:space="preserve"> bolus, IV): d</w:t>
            </w:r>
            <w:r w:rsidR="00104E27" w:rsidRPr="002D741C">
              <w:rPr>
                <w:color w:val="000000"/>
                <w:lang w:val="es-ES"/>
              </w:rPr>
              <w:t>ías</w:t>
            </w:r>
            <w:r w:rsidRPr="002D741C">
              <w:rPr>
                <w:color w:val="000000"/>
                <w:lang w:val="es-ES"/>
              </w:rPr>
              <w:t xml:space="preserve"> 1 </w:t>
            </w:r>
            <w:r w:rsidR="00104E27" w:rsidRPr="002D741C">
              <w:rPr>
                <w:color w:val="000000"/>
                <w:lang w:val="es-ES"/>
              </w:rPr>
              <w:t xml:space="preserve">y </w:t>
            </w:r>
            <w:r w:rsidRPr="002D741C">
              <w:rPr>
                <w:color w:val="000000"/>
                <w:lang w:val="es-ES"/>
              </w:rPr>
              <w:t>2</w:t>
            </w:r>
          </w:p>
          <w:p w14:paraId="7EA7E6E2" w14:textId="77777777" w:rsidR="003B0A17" w:rsidRPr="002D741C" w:rsidRDefault="003B0A17" w:rsidP="003B0A17">
            <w:pPr>
              <w:pStyle w:val="EndnoteText"/>
              <w:widowControl w:val="0"/>
              <w:rPr>
                <w:color w:val="000000"/>
                <w:lang w:val="es-ES"/>
              </w:rPr>
            </w:pPr>
            <w:r w:rsidRPr="002D741C">
              <w:rPr>
                <w:color w:val="000000"/>
                <w:lang w:val="es-ES"/>
              </w:rPr>
              <w:t>CPM (250 mg/m</w:t>
            </w:r>
            <w:r w:rsidRPr="002D741C">
              <w:rPr>
                <w:color w:val="000000"/>
                <w:vertAlign w:val="superscript"/>
                <w:lang w:val="es-ES"/>
              </w:rPr>
              <w:t>2</w:t>
            </w:r>
            <w:r w:rsidR="00104E27" w:rsidRPr="002D741C">
              <w:rPr>
                <w:color w:val="000000"/>
                <w:lang w:val="es-ES"/>
              </w:rPr>
              <w:t>/dosis q12h x 4 dosi</w:t>
            </w:r>
            <w:r w:rsidRPr="002D741C">
              <w:rPr>
                <w:color w:val="000000"/>
                <w:lang w:val="es-ES"/>
              </w:rPr>
              <w:t>s, IV): d</w:t>
            </w:r>
            <w:r w:rsidR="00104E27" w:rsidRPr="002D741C">
              <w:rPr>
                <w:color w:val="000000"/>
                <w:lang w:val="es-ES"/>
              </w:rPr>
              <w:t>ías</w:t>
            </w:r>
            <w:r w:rsidRPr="002D741C">
              <w:rPr>
                <w:color w:val="000000"/>
                <w:lang w:val="es-ES"/>
              </w:rPr>
              <w:t xml:space="preserve"> 3 </w:t>
            </w:r>
            <w:r w:rsidR="00633DCE" w:rsidRPr="002D741C">
              <w:rPr>
                <w:color w:val="000000"/>
                <w:lang w:val="es-ES"/>
              </w:rPr>
              <w:t xml:space="preserve">y </w:t>
            </w:r>
            <w:r w:rsidRPr="002D741C">
              <w:rPr>
                <w:color w:val="000000"/>
                <w:lang w:val="es-ES"/>
              </w:rPr>
              <w:t>4</w:t>
            </w:r>
          </w:p>
          <w:p w14:paraId="0A5176CC" w14:textId="77777777" w:rsidR="003B0A17" w:rsidRPr="002D741C" w:rsidRDefault="003B0A17" w:rsidP="003B0A17">
            <w:pPr>
              <w:pStyle w:val="EndnoteText"/>
              <w:widowControl w:val="0"/>
              <w:rPr>
                <w:color w:val="000000"/>
                <w:lang w:val="de-DE"/>
              </w:rPr>
            </w:pPr>
            <w:r w:rsidRPr="002D741C">
              <w:rPr>
                <w:color w:val="000000"/>
                <w:lang w:val="de-DE"/>
              </w:rPr>
              <w:t>PEG-ASP (2500 </w:t>
            </w:r>
            <w:r w:rsidR="00633DCE" w:rsidRPr="002D741C">
              <w:rPr>
                <w:color w:val="000000"/>
                <w:lang w:val="de-DE"/>
              </w:rPr>
              <w:t>UI</w:t>
            </w:r>
            <w:r w:rsidRPr="002D741C">
              <w:rPr>
                <w:color w:val="000000"/>
                <w:lang w:val="de-DE"/>
              </w:rPr>
              <w:t>/m</w:t>
            </w:r>
            <w:r w:rsidRPr="002D741C">
              <w:rPr>
                <w:color w:val="000000"/>
                <w:vertAlign w:val="superscript"/>
                <w:lang w:val="de-DE"/>
              </w:rPr>
              <w:t>2</w:t>
            </w:r>
            <w:r w:rsidRPr="002D741C">
              <w:rPr>
                <w:color w:val="000000"/>
                <w:lang w:val="de-DE"/>
              </w:rPr>
              <w:t>, IM): d</w:t>
            </w:r>
            <w:r w:rsidR="00104E27" w:rsidRPr="002D741C">
              <w:rPr>
                <w:color w:val="000000"/>
                <w:lang w:val="de-DE"/>
              </w:rPr>
              <w:t>ía</w:t>
            </w:r>
            <w:r w:rsidRPr="002D741C">
              <w:rPr>
                <w:color w:val="000000"/>
                <w:lang w:val="de-DE"/>
              </w:rPr>
              <w:t> 4</w:t>
            </w:r>
          </w:p>
          <w:p w14:paraId="72472BF9" w14:textId="77777777" w:rsidR="003B0A17" w:rsidRPr="002D741C" w:rsidRDefault="003B0A17" w:rsidP="003B0A17">
            <w:pPr>
              <w:pStyle w:val="EndnoteText"/>
              <w:widowControl w:val="0"/>
              <w:rPr>
                <w:color w:val="000000"/>
                <w:lang w:val="es-ES"/>
              </w:rPr>
            </w:pPr>
            <w:r w:rsidRPr="002D741C">
              <w:rPr>
                <w:color w:val="000000"/>
                <w:lang w:val="es-ES"/>
              </w:rPr>
              <w:t>G-CSF (5 </w:t>
            </w:r>
            <w:r w:rsidRPr="002D741C">
              <w:rPr>
                <w:color w:val="000000"/>
              </w:rPr>
              <w:t>μ</w:t>
            </w:r>
            <w:r w:rsidRPr="002D741C">
              <w:rPr>
                <w:color w:val="000000"/>
                <w:lang w:val="es-ES"/>
              </w:rPr>
              <w:t>g/kg, SC): d</w:t>
            </w:r>
            <w:r w:rsidR="00104E27" w:rsidRPr="002D741C">
              <w:rPr>
                <w:color w:val="000000"/>
                <w:lang w:val="es-ES"/>
              </w:rPr>
              <w:t>ías</w:t>
            </w:r>
            <w:r w:rsidRPr="002D741C">
              <w:rPr>
                <w:color w:val="000000"/>
                <w:lang w:val="es-ES"/>
              </w:rPr>
              <w:t> 5</w:t>
            </w:r>
            <w:r w:rsidRPr="002D741C">
              <w:rPr>
                <w:color w:val="000000"/>
                <w:lang w:val="es-ES"/>
              </w:rPr>
              <w:noBreakHyphen/>
              <w:t xml:space="preserve">14 </w:t>
            </w:r>
            <w:r w:rsidR="00104E27" w:rsidRPr="002D741C">
              <w:rPr>
                <w:color w:val="000000"/>
                <w:lang w:val="es-ES"/>
              </w:rPr>
              <w:t xml:space="preserve">o hasta RAN </w:t>
            </w:r>
            <w:r w:rsidRPr="002D741C">
              <w:rPr>
                <w:color w:val="000000"/>
                <w:lang w:val="es-ES"/>
              </w:rPr>
              <w:t>&gt; 1500 post nadir</w:t>
            </w:r>
          </w:p>
          <w:p w14:paraId="2F6EF4AE" w14:textId="77777777" w:rsidR="003B0A17" w:rsidRPr="002D741C" w:rsidRDefault="003B0A17" w:rsidP="003B0A17">
            <w:pPr>
              <w:pStyle w:val="EndnoteText"/>
              <w:widowControl w:val="0"/>
              <w:rPr>
                <w:color w:val="000000"/>
                <w:lang w:val="es-ES"/>
              </w:rPr>
            </w:pPr>
            <w:r w:rsidRPr="002D741C">
              <w:rPr>
                <w:color w:val="000000"/>
                <w:lang w:val="es-ES"/>
              </w:rPr>
              <w:t xml:space="preserve">Triple </w:t>
            </w:r>
            <w:r w:rsidR="00104E27" w:rsidRPr="002D741C">
              <w:rPr>
                <w:color w:val="000000"/>
                <w:lang w:val="es-ES"/>
              </w:rPr>
              <w:t xml:space="preserve">terapia </w:t>
            </w:r>
            <w:smartTag w:uri="urn:schemas-microsoft-com:office:smarttags" w:element="PersonName">
              <w:r w:rsidRPr="002D741C">
                <w:rPr>
                  <w:color w:val="000000"/>
                  <w:lang w:val="es-ES"/>
                </w:rPr>
                <w:t>IT</w:t>
              </w:r>
            </w:smartTag>
            <w:r w:rsidRPr="002D741C">
              <w:rPr>
                <w:color w:val="000000"/>
                <w:lang w:val="es-ES"/>
              </w:rPr>
              <w:t xml:space="preserve"> (</w:t>
            </w:r>
            <w:r w:rsidR="00104E27" w:rsidRPr="002D741C">
              <w:rPr>
                <w:color w:val="000000"/>
                <w:lang w:val="es-ES"/>
              </w:rPr>
              <w:t>ajustada por edad</w:t>
            </w:r>
            <w:r w:rsidRPr="002D741C">
              <w:rPr>
                <w:color w:val="000000"/>
                <w:lang w:val="es-ES"/>
              </w:rPr>
              <w:t>): d</w:t>
            </w:r>
            <w:r w:rsidR="00104E27" w:rsidRPr="002D741C">
              <w:rPr>
                <w:color w:val="000000"/>
                <w:lang w:val="es-ES"/>
              </w:rPr>
              <w:t>ías</w:t>
            </w:r>
            <w:r w:rsidRPr="002D741C">
              <w:rPr>
                <w:color w:val="000000"/>
                <w:lang w:val="es-ES"/>
              </w:rPr>
              <w:t xml:space="preserve"> 1 </w:t>
            </w:r>
            <w:r w:rsidR="00104E27" w:rsidRPr="002D741C">
              <w:rPr>
                <w:color w:val="000000"/>
                <w:lang w:val="es-ES"/>
              </w:rPr>
              <w:t xml:space="preserve">y </w:t>
            </w:r>
            <w:r w:rsidRPr="002D741C">
              <w:rPr>
                <w:color w:val="000000"/>
                <w:lang w:val="es-ES"/>
              </w:rPr>
              <w:t>15</w:t>
            </w:r>
          </w:p>
          <w:p w14:paraId="4EAD8F8D" w14:textId="77777777" w:rsidR="003B0A17" w:rsidRPr="002D741C" w:rsidRDefault="003B0A17" w:rsidP="00104E27">
            <w:pPr>
              <w:pStyle w:val="EndnoteText"/>
              <w:widowControl w:val="0"/>
              <w:rPr>
                <w:color w:val="000000"/>
                <w:lang w:val="es-ES"/>
              </w:rPr>
            </w:pPr>
            <w:smartTag w:uri="urn:schemas-microsoft-com:office:smarttags" w:element="PersonName">
              <w:r w:rsidRPr="002D741C">
                <w:rPr>
                  <w:color w:val="000000"/>
                  <w:lang w:val="es-ES"/>
                </w:rPr>
                <w:t>DE</w:t>
              </w:r>
            </w:smartTag>
            <w:r w:rsidRPr="002D741C">
              <w:rPr>
                <w:color w:val="000000"/>
                <w:lang w:val="es-ES"/>
              </w:rPr>
              <w:t>X (6 mg/m</w:t>
            </w:r>
            <w:r w:rsidRPr="002D741C">
              <w:rPr>
                <w:color w:val="000000"/>
                <w:vertAlign w:val="superscript"/>
                <w:lang w:val="es-ES"/>
              </w:rPr>
              <w:t>2</w:t>
            </w:r>
            <w:r w:rsidRPr="002D741C">
              <w:rPr>
                <w:color w:val="000000"/>
                <w:lang w:val="es-ES"/>
              </w:rPr>
              <w:t>/d</w:t>
            </w:r>
            <w:r w:rsidR="00104E27" w:rsidRPr="002D741C">
              <w:rPr>
                <w:color w:val="000000"/>
                <w:lang w:val="es-ES"/>
              </w:rPr>
              <w:t>ía</w:t>
            </w:r>
            <w:r w:rsidRPr="002D741C">
              <w:rPr>
                <w:color w:val="000000"/>
                <w:lang w:val="es-ES"/>
              </w:rPr>
              <w:t>, PO): d</w:t>
            </w:r>
            <w:r w:rsidR="00104E27" w:rsidRPr="002D741C">
              <w:rPr>
                <w:color w:val="000000"/>
                <w:lang w:val="es-ES"/>
              </w:rPr>
              <w:t>ías</w:t>
            </w:r>
            <w:r w:rsidRPr="002D741C">
              <w:rPr>
                <w:color w:val="000000"/>
                <w:lang w:val="es-ES"/>
              </w:rPr>
              <w:t> 1</w:t>
            </w:r>
            <w:r w:rsidRPr="002D741C">
              <w:rPr>
                <w:color w:val="000000"/>
                <w:lang w:val="es-ES"/>
              </w:rPr>
              <w:noBreakHyphen/>
              <w:t xml:space="preserve">7 </w:t>
            </w:r>
            <w:r w:rsidR="00104E27" w:rsidRPr="002D741C">
              <w:rPr>
                <w:color w:val="000000"/>
                <w:lang w:val="es-ES"/>
              </w:rPr>
              <w:t>y</w:t>
            </w:r>
            <w:r w:rsidRPr="002D741C">
              <w:rPr>
                <w:color w:val="000000"/>
                <w:lang w:val="es-ES"/>
              </w:rPr>
              <w:t xml:space="preserve"> 15</w:t>
            </w:r>
            <w:r w:rsidRPr="002D741C">
              <w:rPr>
                <w:color w:val="000000"/>
                <w:lang w:val="es-ES"/>
              </w:rPr>
              <w:noBreakHyphen/>
              <w:t>21</w:t>
            </w:r>
          </w:p>
        </w:tc>
      </w:tr>
      <w:tr w:rsidR="003B0A17" w:rsidRPr="008D0368" w14:paraId="20A57415" w14:textId="77777777" w:rsidTr="00C16E58">
        <w:trPr>
          <w:cantSplit/>
        </w:trPr>
        <w:tc>
          <w:tcPr>
            <w:tcW w:w="2358" w:type="dxa"/>
            <w:shd w:val="clear" w:color="auto" w:fill="auto"/>
          </w:tcPr>
          <w:p w14:paraId="1C64C345" w14:textId="77777777" w:rsidR="003B0A17" w:rsidRPr="002D741C" w:rsidRDefault="00633DCE" w:rsidP="003B0A17">
            <w:pPr>
              <w:pStyle w:val="EndnoteText"/>
              <w:widowControl w:val="0"/>
              <w:rPr>
                <w:color w:val="000000"/>
              </w:rPr>
            </w:pPr>
            <w:r w:rsidRPr="002D741C">
              <w:rPr>
                <w:color w:val="000000"/>
              </w:rPr>
              <w:lastRenderedPageBreak/>
              <w:t>Bloque 1 de i</w:t>
            </w:r>
            <w:r w:rsidR="003B0A17" w:rsidRPr="002D741C">
              <w:rPr>
                <w:color w:val="000000"/>
              </w:rPr>
              <w:t>ntensifica</w:t>
            </w:r>
            <w:r w:rsidR="00104E27" w:rsidRPr="002D741C">
              <w:rPr>
                <w:color w:val="000000"/>
              </w:rPr>
              <w:t>ción</w:t>
            </w:r>
            <w:r w:rsidR="003B0A17" w:rsidRPr="002D741C">
              <w:rPr>
                <w:color w:val="000000"/>
              </w:rPr>
              <w:t xml:space="preserve"> </w:t>
            </w:r>
          </w:p>
          <w:p w14:paraId="60A3F4DF" w14:textId="77777777" w:rsidR="003B0A17" w:rsidRPr="002D741C" w:rsidRDefault="003B0A17" w:rsidP="00104E27">
            <w:pPr>
              <w:pStyle w:val="EndnoteText"/>
              <w:widowControl w:val="0"/>
              <w:rPr>
                <w:color w:val="000000"/>
              </w:rPr>
            </w:pPr>
            <w:r w:rsidRPr="002D741C">
              <w:rPr>
                <w:color w:val="000000"/>
              </w:rPr>
              <w:t>(9 </w:t>
            </w:r>
            <w:r w:rsidR="00104E27" w:rsidRPr="002D741C">
              <w:rPr>
                <w:color w:val="000000"/>
              </w:rPr>
              <w:t>semanas</w:t>
            </w:r>
            <w:r w:rsidRPr="002D741C">
              <w:rPr>
                <w:color w:val="000000"/>
              </w:rPr>
              <w:t>)</w:t>
            </w:r>
          </w:p>
        </w:tc>
        <w:tc>
          <w:tcPr>
            <w:tcW w:w="6929" w:type="dxa"/>
            <w:shd w:val="clear" w:color="auto" w:fill="auto"/>
          </w:tcPr>
          <w:p w14:paraId="0CF601CE" w14:textId="77777777" w:rsidR="003B0A17" w:rsidRPr="002D741C" w:rsidRDefault="00104E27" w:rsidP="003B0A17">
            <w:pPr>
              <w:pStyle w:val="EndnoteText"/>
              <w:widowControl w:val="0"/>
              <w:rPr>
                <w:color w:val="000000"/>
                <w:lang w:val="es-ES"/>
              </w:rPr>
            </w:pPr>
            <w:r w:rsidRPr="002D741C">
              <w:rPr>
                <w:color w:val="000000"/>
                <w:lang w:val="es-ES"/>
              </w:rPr>
              <w:t>Met</w:t>
            </w:r>
            <w:r w:rsidR="003B0A17" w:rsidRPr="002D741C">
              <w:rPr>
                <w:color w:val="000000"/>
                <w:lang w:val="es-ES"/>
              </w:rPr>
              <w:t>otrexat</w:t>
            </w:r>
            <w:r w:rsidRPr="002D741C">
              <w:rPr>
                <w:color w:val="000000"/>
                <w:lang w:val="es-ES"/>
              </w:rPr>
              <w:t>o</w:t>
            </w:r>
            <w:r w:rsidR="003B0A17" w:rsidRPr="002D741C">
              <w:rPr>
                <w:color w:val="000000"/>
                <w:lang w:val="es-ES"/>
              </w:rPr>
              <w:t xml:space="preserve"> (5 g/m</w:t>
            </w:r>
            <w:r w:rsidR="003B0A17" w:rsidRPr="002D741C">
              <w:rPr>
                <w:color w:val="000000"/>
                <w:vertAlign w:val="superscript"/>
                <w:lang w:val="es-ES"/>
              </w:rPr>
              <w:t>2</w:t>
            </w:r>
            <w:r w:rsidR="003B0A17" w:rsidRPr="002D741C">
              <w:rPr>
                <w:color w:val="000000"/>
                <w:lang w:val="es-ES"/>
              </w:rPr>
              <w:t xml:space="preserve"> </w:t>
            </w:r>
            <w:r w:rsidRPr="002D741C">
              <w:rPr>
                <w:color w:val="000000"/>
                <w:lang w:val="es-ES"/>
              </w:rPr>
              <w:t>durante</w:t>
            </w:r>
            <w:r w:rsidR="003B0A17" w:rsidRPr="002D741C">
              <w:rPr>
                <w:color w:val="000000"/>
                <w:lang w:val="es-ES"/>
              </w:rPr>
              <w:t xml:space="preserve"> 24 ho</w:t>
            </w:r>
            <w:r w:rsidRPr="002D741C">
              <w:rPr>
                <w:color w:val="000000"/>
                <w:lang w:val="es-ES"/>
              </w:rPr>
              <w:t>ras</w:t>
            </w:r>
            <w:r w:rsidR="003B0A17" w:rsidRPr="002D741C">
              <w:rPr>
                <w:color w:val="000000"/>
                <w:lang w:val="es-ES"/>
              </w:rPr>
              <w:t>, IV): d</w:t>
            </w:r>
            <w:r w:rsidRPr="002D741C">
              <w:rPr>
                <w:color w:val="000000"/>
                <w:lang w:val="es-ES"/>
              </w:rPr>
              <w:t>ías</w:t>
            </w:r>
            <w:r w:rsidR="003B0A17" w:rsidRPr="002D741C">
              <w:rPr>
                <w:color w:val="000000"/>
                <w:lang w:val="es-ES"/>
              </w:rPr>
              <w:t xml:space="preserve"> 1 </w:t>
            </w:r>
            <w:r w:rsidRPr="002D741C">
              <w:rPr>
                <w:color w:val="000000"/>
                <w:lang w:val="es-ES"/>
              </w:rPr>
              <w:t>y</w:t>
            </w:r>
            <w:r w:rsidR="003B0A17" w:rsidRPr="002D741C">
              <w:rPr>
                <w:color w:val="000000"/>
                <w:lang w:val="es-ES"/>
              </w:rPr>
              <w:t xml:space="preserve"> 15</w:t>
            </w:r>
          </w:p>
          <w:p w14:paraId="54AFF9CD" w14:textId="77777777" w:rsidR="003B0A17" w:rsidRPr="002D741C" w:rsidRDefault="003B0A17" w:rsidP="003B0A17">
            <w:pPr>
              <w:pStyle w:val="EndnoteText"/>
              <w:widowControl w:val="0"/>
              <w:rPr>
                <w:color w:val="000000"/>
                <w:lang w:val="es-ES"/>
              </w:rPr>
            </w:pPr>
            <w:r w:rsidRPr="002D741C">
              <w:rPr>
                <w:color w:val="000000"/>
                <w:lang w:val="es-ES"/>
              </w:rPr>
              <w:t>Leucovorin</w:t>
            </w:r>
            <w:r w:rsidR="00633DCE" w:rsidRPr="002D741C">
              <w:rPr>
                <w:color w:val="000000"/>
                <w:lang w:val="es-ES"/>
              </w:rPr>
              <w:t>a</w:t>
            </w:r>
            <w:r w:rsidRPr="002D741C">
              <w:rPr>
                <w:color w:val="000000"/>
                <w:lang w:val="es-ES"/>
              </w:rPr>
              <w:t xml:space="preserve"> (75 mg/m</w:t>
            </w:r>
            <w:r w:rsidRPr="002D741C">
              <w:rPr>
                <w:color w:val="000000"/>
                <w:vertAlign w:val="superscript"/>
                <w:lang w:val="es-ES"/>
              </w:rPr>
              <w:t>2</w:t>
            </w:r>
            <w:r w:rsidRPr="002D741C">
              <w:rPr>
                <w:color w:val="000000"/>
                <w:lang w:val="es-ES"/>
              </w:rPr>
              <w:t xml:space="preserve"> </w:t>
            </w:r>
            <w:r w:rsidR="00104E27" w:rsidRPr="002D741C">
              <w:rPr>
                <w:color w:val="000000"/>
                <w:lang w:val="es-ES"/>
              </w:rPr>
              <w:t>a la hora</w:t>
            </w:r>
            <w:r w:rsidRPr="002D741C">
              <w:rPr>
                <w:color w:val="000000"/>
                <w:lang w:val="es-ES"/>
              </w:rPr>
              <w:t> 36, IV; 15 mg/m</w:t>
            </w:r>
            <w:r w:rsidRPr="002D741C">
              <w:rPr>
                <w:color w:val="000000"/>
                <w:vertAlign w:val="superscript"/>
                <w:lang w:val="es-ES"/>
              </w:rPr>
              <w:t>2</w:t>
            </w:r>
            <w:r w:rsidR="00104E27" w:rsidRPr="002D741C">
              <w:rPr>
                <w:color w:val="000000"/>
                <w:lang w:val="es-ES"/>
              </w:rPr>
              <w:t xml:space="preserve"> IV o PO q6h x 6 dosis)iii: Días</w:t>
            </w:r>
            <w:r w:rsidRPr="002D741C">
              <w:rPr>
                <w:color w:val="000000"/>
                <w:lang w:val="es-ES"/>
              </w:rPr>
              <w:t xml:space="preserve"> 2, 3, 16, </w:t>
            </w:r>
            <w:r w:rsidR="00104E27" w:rsidRPr="002D741C">
              <w:rPr>
                <w:color w:val="000000"/>
                <w:lang w:val="es-ES"/>
              </w:rPr>
              <w:t>y</w:t>
            </w:r>
            <w:r w:rsidRPr="002D741C">
              <w:rPr>
                <w:color w:val="000000"/>
                <w:lang w:val="es-ES"/>
              </w:rPr>
              <w:t xml:space="preserve"> 17</w:t>
            </w:r>
          </w:p>
          <w:p w14:paraId="7E0F0FA0" w14:textId="77777777" w:rsidR="003B0A17" w:rsidRPr="002D741C" w:rsidRDefault="003B0A17" w:rsidP="003B0A17">
            <w:pPr>
              <w:pStyle w:val="EndnoteText"/>
              <w:widowControl w:val="0"/>
              <w:rPr>
                <w:color w:val="000000"/>
                <w:lang w:val="es-ES"/>
              </w:rPr>
            </w:pPr>
            <w:r w:rsidRPr="002D741C">
              <w:rPr>
                <w:color w:val="000000"/>
                <w:lang w:val="es-ES"/>
              </w:rPr>
              <w:t xml:space="preserve">Triple </w:t>
            </w:r>
            <w:r w:rsidR="00104E27" w:rsidRPr="002D741C">
              <w:rPr>
                <w:color w:val="000000"/>
                <w:lang w:val="es-ES"/>
              </w:rPr>
              <w:t xml:space="preserve">terapia </w:t>
            </w:r>
            <w:smartTag w:uri="urn:schemas-microsoft-com:office:smarttags" w:element="PersonName">
              <w:r w:rsidRPr="002D741C">
                <w:rPr>
                  <w:color w:val="000000"/>
                  <w:lang w:val="es-ES"/>
                </w:rPr>
                <w:t>IT</w:t>
              </w:r>
            </w:smartTag>
            <w:r w:rsidRPr="002D741C">
              <w:rPr>
                <w:color w:val="000000"/>
                <w:lang w:val="es-ES"/>
              </w:rPr>
              <w:t xml:space="preserve"> (</w:t>
            </w:r>
            <w:r w:rsidR="00104E27" w:rsidRPr="002D741C">
              <w:rPr>
                <w:color w:val="000000"/>
                <w:lang w:val="es-ES"/>
              </w:rPr>
              <w:t>ajustada por edad</w:t>
            </w:r>
            <w:r w:rsidRPr="002D741C">
              <w:rPr>
                <w:color w:val="000000"/>
                <w:lang w:val="es-ES"/>
              </w:rPr>
              <w:t>): d</w:t>
            </w:r>
            <w:r w:rsidR="00104E27" w:rsidRPr="002D741C">
              <w:rPr>
                <w:color w:val="000000"/>
                <w:lang w:val="es-ES"/>
              </w:rPr>
              <w:t>ías</w:t>
            </w:r>
            <w:r w:rsidRPr="002D741C">
              <w:rPr>
                <w:color w:val="000000"/>
                <w:lang w:val="es-ES"/>
              </w:rPr>
              <w:t xml:space="preserve"> 1 </w:t>
            </w:r>
            <w:r w:rsidR="00104E27" w:rsidRPr="002D741C">
              <w:rPr>
                <w:color w:val="000000"/>
                <w:lang w:val="es-ES"/>
              </w:rPr>
              <w:t>y</w:t>
            </w:r>
            <w:r w:rsidRPr="002D741C">
              <w:rPr>
                <w:color w:val="000000"/>
                <w:lang w:val="es-ES"/>
              </w:rPr>
              <w:t xml:space="preserve"> 22</w:t>
            </w:r>
          </w:p>
          <w:p w14:paraId="22D76B62" w14:textId="77777777" w:rsidR="003B0A17" w:rsidRPr="002D741C" w:rsidRDefault="003B0A17" w:rsidP="003B0A17">
            <w:pPr>
              <w:pStyle w:val="EndnoteText"/>
              <w:widowControl w:val="0"/>
              <w:rPr>
                <w:color w:val="000000"/>
                <w:lang w:val="es-ES"/>
              </w:rPr>
            </w:pPr>
            <w:r w:rsidRPr="002D741C">
              <w:rPr>
                <w:color w:val="000000"/>
                <w:lang w:val="es-ES"/>
              </w:rPr>
              <w:t>VP-16 (100 mg/m</w:t>
            </w:r>
            <w:r w:rsidRPr="002D741C">
              <w:rPr>
                <w:color w:val="000000"/>
                <w:vertAlign w:val="superscript"/>
                <w:lang w:val="es-ES"/>
              </w:rPr>
              <w:t>2</w:t>
            </w:r>
            <w:r w:rsidRPr="002D741C">
              <w:rPr>
                <w:color w:val="000000"/>
                <w:lang w:val="es-ES"/>
              </w:rPr>
              <w:t>/d</w:t>
            </w:r>
            <w:r w:rsidR="00104E27" w:rsidRPr="002D741C">
              <w:rPr>
                <w:color w:val="000000"/>
                <w:lang w:val="es-ES"/>
              </w:rPr>
              <w:t>ía</w:t>
            </w:r>
            <w:r w:rsidRPr="002D741C">
              <w:rPr>
                <w:color w:val="000000"/>
                <w:lang w:val="es-ES"/>
              </w:rPr>
              <w:t>, IV): d</w:t>
            </w:r>
            <w:r w:rsidR="00104E27" w:rsidRPr="002D741C">
              <w:rPr>
                <w:color w:val="000000"/>
                <w:lang w:val="es-ES"/>
              </w:rPr>
              <w:t>ías</w:t>
            </w:r>
            <w:r w:rsidRPr="002D741C">
              <w:rPr>
                <w:color w:val="000000"/>
                <w:lang w:val="es-ES"/>
              </w:rPr>
              <w:t> 22</w:t>
            </w:r>
            <w:r w:rsidRPr="002D741C">
              <w:rPr>
                <w:color w:val="000000"/>
                <w:lang w:val="es-ES"/>
              </w:rPr>
              <w:noBreakHyphen/>
              <w:t>26</w:t>
            </w:r>
          </w:p>
          <w:p w14:paraId="3D3F44A0" w14:textId="77777777" w:rsidR="003B0A17" w:rsidRPr="002D741C" w:rsidRDefault="003B0A17" w:rsidP="003B0A17">
            <w:pPr>
              <w:pStyle w:val="EndnoteText"/>
              <w:widowControl w:val="0"/>
              <w:rPr>
                <w:color w:val="000000"/>
                <w:lang w:val="es-ES"/>
              </w:rPr>
            </w:pPr>
            <w:r w:rsidRPr="002D741C">
              <w:rPr>
                <w:color w:val="000000"/>
                <w:lang w:val="es-ES"/>
              </w:rPr>
              <w:t>CPM (300 mg/m</w:t>
            </w:r>
            <w:r w:rsidRPr="002D741C">
              <w:rPr>
                <w:color w:val="000000"/>
                <w:vertAlign w:val="superscript"/>
                <w:lang w:val="es-ES"/>
              </w:rPr>
              <w:t>2</w:t>
            </w:r>
            <w:r w:rsidRPr="002D741C">
              <w:rPr>
                <w:color w:val="000000"/>
                <w:lang w:val="es-ES"/>
              </w:rPr>
              <w:t>/d</w:t>
            </w:r>
            <w:r w:rsidR="00104E27" w:rsidRPr="002D741C">
              <w:rPr>
                <w:color w:val="000000"/>
                <w:lang w:val="es-ES"/>
              </w:rPr>
              <w:t>ía</w:t>
            </w:r>
            <w:r w:rsidRPr="002D741C">
              <w:rPr>
                <w:color w:val="000000"/>
                <w:lang w:val="es-ES"/>
              </w:rPr>
              <w:t>, IV): d</w:t>
            </w:r>
            <w:r w:rsidR="00104E27" w:rsidRPr="002D741C">
              <w:rPr>
                <w:color w:val="000000"/>
                <w:lang w:val="es-ES"/>
              </w:rPr>
              <w:t>ías</w:t>
            </w:r>
            <w:r w:rsidRPr="002D741C">
              <w:rPr>
                <w:color w:val="000000"/>
                <w:lang w:val="es-ES"/>
              </w:rPr>
              <w:t> 22</w:t>
            </w:r>
            <w:r w:rsidRPr="002D741C">
              <w:rPr>
                <w:color w:val="000000"/>
                <w:lang w:val="es-ES"/>
              </w:rPr>
              <w:noBreakHyphen/>
              <w:t>26</w:t>
            </w:r>
          </w:p>
          <w:p w14:paraId="3F38868A" w14:textId="77777777" w:rsidR="003B0A17" w:rsidRPr="002D741C" w:rsidRDefault="003B0A17" w:rsidP="003B0A17">
            <w:pPr>
              <w:pStyle w:val="EndnoteText"/>
              <w:widowControl w:val="0"/>
              <w:rPr>
                <w:color w:val="000000"/>
                <w:lang w:val="es-ES"/>
              </w:rPr>
            </w:pPr>
            <w:r w:rsidRPr="002D741C">
              <w:rPr>
                <w:color w:val="000000"/>
                <w:lang w:val="es-ES"/>
              </w:rPr>
              <w:t>MESNA (150 mg/m</w:t>
            </w:r>
            <w:r w:rsidRPr="002D741C">
              <w:rPr>
                <w:color w:val="000000"/>
                <w:vertAlign w:val="superscript"/>
                <w:lang w:val="es-ES"/>
              </w:rPr>
              <w:t>2</w:t>
            </w:r>
            <w:r w:rsidR="00104E27" w:rsidRPr="002D741C">
              <w:rPr>
                <w:color w:val="000000"/>
                <w:lang w:val="es-ES"/>
              </w:rPr>
              <w:t>/día, IV): día</w:t>
            </w:r>
            <w:r w:rsidRPr="002D741C">
              <w:rPr>
                <w:color w:val="000000"/>
                <w:lang w:val="es-ES"/>
              </w:rPr>
              <w:t>s 22</w:t>
            </w:r>
            <w:r w:rsidRPr="002D741C">
              <w:rPr>
                <w:color w:val="000000"/>
                <w:lang w:val="es-ES"/>
              </w:rPr>
              <w:noBreakHyphen/>
              <w:t>26</w:t>
            </w:r>
          </w:p>
          <w:p w14:paraId="768E42DB" w14:textId="77777777" w:rsidR="003B0A17" w:rsidRPr="002D741C" w:rsidRDefault="00104E27" w:rsidP="003B0A17">
            <w:pPr>
              <w:pStyle w:val="EndnoteText"/>
              <w:widowControl w:val="0"/>
              <w:rPr>
                <w:color w:val="000000"/>
                <w:lang w:val="es-ES"/>
              </w:rPr>
            </w:pPr>
            <w:r w:rsidRPr="002D741C">
              <w:rPr>
                <w:color w:val="000000"/>
                <w:lang w:val="es-ES"/>
              </w:rPr>
              <w:t>G-CSF (5 </w:t>
            </w:r>
            <w:r w:rsidRPr="002D741C">
              <w:rPr>
                <w:color w:val="000000"/>
              </w:rPr>
              <w:t>μ</w:t>
            </w:r>
            <w:r w:rsidRPr="002D741C">
              <w:rPr>
                <w:color w:val="000000"/>
                <w:lang w:val="es-ES"/>
              </w:rPr>
              <w:t>g/kg, SC): día</w:t>
            </w:r>
            <w:r w:rsidR="003B0A17" w:rsidRPr="002D741C">
              <w:rPr>
                <w:color w:val="000000"/>
                <w:lang w:val="es-ES"/>
              </w:rPr>
              <w:t xml:space="preserve">s 27-36 </w:t>
            </w:r>
            <w:r w:rsidRPr="002D741C">
              <w:rPr>
                <w:color w:val="000000"/>
                <w:lang w:val="es-ES"/>
              </w:rPr>
              <w:t xml:space="preserve">o hasta RAN </w:t>
            </w:r>
            <w:r w:rsidR="003B0A17" w:rsidRPr="002D741C">
              <w:rPr>
                <w:color w:val="000000"/>
                <w:lang w:val="es-ES"/>
              </w:rPr>
              <w:t>&gt; 1500 post nadir</w:t>
            </w:r>
          </w:p>
          <w:p w14:paraId="4AA7CCE2" w14:textId="77777777" w:rsidR="003B0A17" w:rsidRPr="002D741C" w:rsidRDefault="003B0A17" w:rsidP="003B0A17">
            <w:pPr>
              <w:pStyle w:val="EndnoteText"/>
              <w:widowControl w:val="0"/>
              <w:rPr>
                <w:color w:val="000000"/>
                <w:lang w:val="es-ES"/>
              </w:rPr>
            </w:pPr>
            <w:r w:rsidRPr="002D741C">
              <w:rPr>
                <w:color w:val="000000"/>
                <w:lang w:val="es-ES"/>
              </w:rPr>
              <w:t>ARA-C (3 g/m</w:t>
            </w:r>
            <w:r w:rsidRPr="002D741C">
              <w:rPr>
                <w:color w:val="000000"/>
                <w:vertAlign w:val="superscript"/>
                <w:lang w:val="es-ES"/>
              </w:rPr>
              <w:t>2</w:t>
            </w:r>
            <w:r w:rsidRPr="002D741C">
              <w:rPr>
                <w:color w:val="000000"/>
                <w:lang w:val="es-ES"/>
              </w:rPr>
              <w:t>, q12h, IV): d</w:t>
            </w:r>
            <w:r w:rsidR="00104E27" w:rsidRPr="002D741C">
              <w:rPr>
                <w:color w:val="000000"/>
                <w:lang w:val="es-ES"/>
              </w:rPr>
              <w:t>ías</w:t>
            </w:r>
            <w:r w:rsidRPr="002D741C">
              <w:rPr>
                <w:color w:val="000000"/>
                <w:lang w:val="es-ES"/>
              </w:rPr>
              <w:t> 43, 44</w:t>
            </w:r>
          </w:p>
          <w:p w14:paraId="226BE7B9" w14:textId="77777777" w:rsidR="003B0A17" w:rsidRPr="002D741C" w:rsidRDefault="003B0A17" w:rsidP="00633DCE">
            <w:pPr>
              <w:pStyle w:val="EndnoteText"/>
              <w:widowControl w:val="0"/>
              <w:rPr>
                <w:color w:val="000000"/>
                <w:lang w:val="de-DE"/>
              </w:rPr>
            </w:pPr>
            <w:r w:rsidRPr="002D741C">
              <w:rPr>
                <w:color w:val="000000"/>
                <w:lang w:val="de-DE"/>
              </w:rPr>
              <w:t>L-ASP (6000 </w:t>
            </w:r>
            <w:r w:rsidR="00633DCE" w:rsidRPr="002D741C">
              <w:rPr>
                <w:color w:val="000000"/>
                <w:lang w:val="de-DE"/>
              </w:rPr>
              <w:t>UI</w:t>
            </w:r>
            <w:r w:rsidRPr="002D741C">
              <w:rPr>
                <w:color w:val="000000"/>
                <w:lang w:val="de-DE"/>
              </w:rPr>
              <w:t>/m</w:t>
            </w:r>
            <w:r w:rsidRPr="002D741C">
              <w:rPr>
                <w:color w:val="000000"/>
                <w:vertAlign w:val="superscript"/>
                <w:lang w:val="de-DE"/>
              </w:rPr>
              <w:t>2</w:t>
            </w:r>
            <w:r w:rsidRPr="002D741C">
              <w:rPr>
                <w:color w:val="000000"/>
                <w:lang w:val="de-DE"/>
              </w:rPr>
              <w:t>, IM): d</w:t>
            </w:r>
            <w:r w:rsidR="00104E27" w:rsidRPr="002D741C">
              <w:rPr>
                <w:color w:val="000000"/>
                <w:lang w:val="de-DE"/>
              </w:rPr>
              <w:t>ía</w:t>
            </w:r>
            <w:r w:rsidRPr="002D741C">
              <w:rPr>
                <w:color w:val="000000"/>
                <w:lang w:val="de-DE"/>
              </w:rPr>
              <w:t> 44</w:t>
            </w:r>
          </w:p>
        </w:tc>
      </w:tr>
      <w:tr w:rsidR="003B0A17" w:rsidRPr="002D741C" w14:paraId="5ABCDB66" w14:textId="77777777" w:rsidTr="00C16E58">
        <w:trPr>
          <w:cantSplit/>
        </w:trPr>
        <w:tc>
          <w:tcPr>
            <w:tcW w:w="2358" w:type="dxa"/>
            <w:shd w:val="clear" w:color="auto" w:fill="auto"/>
          </w:tcPr>
          <w:p w14:paraId="0663153C" w14:textId="77777777" w:rsidR="003B0A17" w:rsidRPr="002D741C" w:rsidRDefault="00633DCE" w:rsidP="003B0A17">
            <w:pPr>
              <w:pStyle w:val="EndnoteText"/>
              <w:widowControl w:val="0"/>
              <w:rPr>
                <w:color w:val="000000"/>
              </w:rPr>
            </w:pPr>
            <w:r w:rsidRPr="002D741C">
              <w:rPr>
                <w:color w:val="000000"/>
              </w:rPr>
              <w:t>Bloque 2 de r</w:t>
            </w:r>
            <w:r w:rsidR="003B0A17" w:rsidRPr="002D741C">
              <w:rPr>
                <w:color w:val="000000"/>
              </w:rPr>
              <w:t>einduc</w:t>
            </w:r>
            <w:r w:rsidR="00104E27" w:rsidRPr="002D741C">
              <w:rPr>
                <w:color w:val="000000"/>
              </w:rPr>
              <w:t>ción</w:t>
            </w:r>
          </w:p>
          <w:p w14:paraId="22325CD7" w14:textId="77777777" w:rsidR="003B0A17" w:rsidRPr="002D741C" w:rsidRDefault="003B0A17" w:rsidP="00104E27">
            <w:pPr>
              <w:pStyle w:val="EndnoteText"/>
              <w:widowControl w:val="0"/>
              <w:rPr>
                <w:color w:val="000000"/>
              </w:rPr>
            </w:pPr>
            <w:r w:rsidRPr="002D741C">
              <w:rPr>
                <w:color w:val="000000"/>
              </w:rPr>
              <w:t>(3 </w:t>
            </w:r>
            <w:r w:rsidR="00104E27" w:rsidRPr="002D741C">
              <w:rPr>
                <w:color w:val="000000"/>
              </w:rPr>
              <w:t>semanas</w:t>
            </w:r>
            <w:r w:rsidRPr="002D741C">
              <w:rPr>
                <w:color w:val="000000"/>
              </w:rPr>
              <w:t>)</w:t>
            </w:r>
          </w:p>
        </w:tc>
        <w:tc>
          <w:tcPr>
            <w:tcW w:w="6929" w:type="dxa"/>
            <w:shd w:val="clear" w:color="auto" w:fill="auto"/>
          </w:tcPr>
          <w:p w14:paraId="012066DF" w14:textId="77777777" w:rsidR="003B0A17" w:rsidRPr="002D741C" w:rsidRDefault="00104E27" w:rsidP="003B0A17">
            <w:pPr>
              <w:pStyle w:val="EndnoteText"/>
              <w:widowControl w:val="0"/>
              <w:rPr>
                <w:color w:val="000000"/>
                <w:lang w:val="es-ES"/>
              </w:rPr>
            </w:pPr>
            <w:r w:rsidRPr="002D741C">
              <w:rPr>
                <w:color w:val="000000"/>
                <w:lang w:val="es-ES"/>
              </w:rPr>
              <w:t>VCR (1,</w:t>
            </w:r>
            <w:r w:rsidR="003B0A17" w:rsidRPr="002D741C">
              <w:rPr>
                <w:color w:val="000000"/>
                <w:lang w:val="es-ES"/>
              </w:rPr>
              <w:t>5 mg/m</w:t>
            </w:r>
            <w:r w:rsidR="003B0A17" w:rsidRPr="002D741C">
              <w:rPr>
                <w:color w:val="000000"/>
                <w:vertAlign w:val="superscript"/>
                <w:lang w:val="es-ES"/>
              </w:rPr>
              <w:t>2</w:t>
            </w:r>
            <w:r w:rsidRPr="002D741C">
              <w:rPr>
                <w:color w:val="000000"/>
                <w:lang w:val="es-ES"/>
              </w:rPr>
              <w:t>/día, IV): días</w:t>
            </w:r>
            <w:r w:rsidR="003B0A17" w:rsidRPr="002D741C">
              <w:rPr>
                <w:color w:val="000000"/>
                <w:lang w:val="es-ES"/>
              </w:rPr>
              <w:t xml:space="preserve"> 1, 8 </w:t>
            </w:r>
            <w:r w:rsidRPr="002D741C">
              <w:rPr>
                <w:color w:val="000000"/>
                <w:lang w:val="es-ES"/>
              </w:rPr>
              <w:t>y</w:t>
            </w:r>
            <w:r w:rsidR="003B0A17" w:rsidRPr="002D741C">
              <w:rPr>
                <w:color w:val="000000"/>
                <w:lang w:val="es-ES"/>
              </w:rPr>
              <w:t xml:space="preserve"> 15</w:t>
            </w:r>
          </w:p>
          <w:p w14:paraId="5317266B" w14:textId="77777777" w:rsidR="003B0A17" w:rsidRPr="002D741C" w:rsidRDefault="003B0A17" w:rsidP="003B0A17">
            <w:pPr>
              <w:pStyle w:val="EndnoteText"/>
              <w:widowControl w:val="0"/>
              <w:rPr>
                <w:color w:val="000000"/>
                <w:lang w:val="es-ES"/>
              </w:rPr>
            </w:pPr>
            <w:r w:rsidRPr="002D741C">
              <w:rPr>
                <w:color w:val="000000"/>
                <w:lang w:val="es-ES"/>
              </w:rPr>
              <w:t>DAUN (45 mg/m</w:t>
            </w:r>
            <w:r w:rsidRPr="002D741C">
              <w:rPr>
                <w:color w:val="000000"/>
                <w:vertAlign w:val="superscript"/>
                <w:lang w:val="es-ES"/>
              </w:rPr>
              <w:t>2</w:t>
            </w:r>
            <w:r w:rsidRPr="002D741C">
              <w:rPr>
                <w:color w:val="000000"/>
                <w:lang w:val="es-ES"/>
              </w:rPr>
              <w:t>/d</w:t>
            </w:r>
            <w:r w:rsidR="00104E27" w:rsidRPr="002D741C">
              <w:rPr>
                <w:color w:val="000000"/>
                <w:lang w:val="es-ES"/>
              </w:rPr>
              <w:t>ía</w:t>
            </w:r>
            <w:r w:rsidRPr="002D741C">
              <w:rPr>
                <w:color w:val="000000"/>
                <w:lang w:val="es-ES"/>
              </w:rPr>
              <w:t xml:space="preserve"> bolus, IV): d</w:t>
            </w:r>
            <w:r w:rsidR="00104E27" w:rsidRPr="002D741C">
              <w:rPr>
                <w:color w:val="000000"/>
                <w:lang w:val="es-ES"/>
              </w:rPr>
              <w:t>ías</w:t>
            </w:r>
            <w:r w:rsidRPr="002D741C">
              <w:rPr>
                <w:color w:val="000000"/>
                <w:lang w:val="es-ES"/>
              </w:rPr>
              <w:t> 1 and 2</w:t>
            </w:r>
          </w:p>
          <w:p w14:paraId="3A29B38F" w14:textId="77777777" w:rsidR="003B0A17" w:rsidRPr="002D741C" w:rsidRDefault="003B0A17" w:rsidP="003B0A17">
            <w:pPr>
              <w:pStyle w:val="EndnoteText"/>
              <w:widowControl w:val="0"/>
              <w:rPr>
                <w:color w:val="000000"/>
                <w:lang w:val="es-ES"/>
              </w:rPr>
            </w:pPr>
            <w:r w:rsidRPr="002D741C">
              <w:rPr>
                <w:color w:val="000000"/>
                <w:lang w:val="es-ES"/>
              </w:rPr>
              <w:t>CPM (250 mg/m</w:t>
            </w:r>
            <w:r w:rsidRPr="002D741C">
              <w:rPr>
                <w:color w:val="000000"/>
                <w:vertAlign w:val="superscript"/>
                <w:lang w:val="es-ES"/>
              </w:rPr>
              <w:t>2</w:t>
            </w:r>
            <w:r w:rsidR="00104E27" w:rsidRPr="002D741C">
              <w:rPr>
                <w:color w:val="000000"/>
                <w:lang w:val="es-ES"/>
              </w:rPr>
              <w:t>/dosis q12h x 4 dosi</w:t>
            </w:r>
            <w:r w:rsidRPr="002D741C">
              <w:rPr>
                <w:color w:val="000000"/>
                <w:lang w:val="es-ES"/>
              </w:rPr>
              <w:t>s, iv): D</w:t>
            </w:r>
            <w:r w:rsidR="00104E27" w:rsidRPr="002D741C">
              <w:rPr>
                <w:color w:val="000000"/>
                <w:lang w:val="es-ES"/>
              </w:rPr>
              <w:t>ías</w:t>
            </w:r>
            <w:r w:rsidRPr="002D741C">
              <w:rPr>
                <w:color w:val="000000"/>
                <w:lang w:val="es-ES"/>
              </w:rPr>
              <w:t xml:space="preserve"> 3 </w:t>
            </w:r>
            <w:r w:rsidR="00104E27" w:rsidRPr="002D741C">
              <w:rPr>
                <w:color w:val="000000"/>
                <w:lang w:val="es-ES"/>
              </w:rPr>
              <w:t>y</w:t>
            </w:r>
            <w:r w:rsidRPr="002D741C">
              <w:rPr>
                <w:color w:val="000000"/>
                <w:lang w:val="es-ES"/>
              </w:rPr>
              <w:t xml:space="preserve"> 4</w:t>
            </w:r>
          </w:p>
          <w:p w14:paraId="6CDA4E56" w14:textId="77777777" w:rsidR="003B0A17" w:rsidRPr="002D741C" w:rsidRDefault="003B0A17" w:rsidP="003B0A17">
            <w:pPr>
              <w:pStyle w:val="EndnoteText"/>
              <w:widowControl w:val="0"/>
              <w:rPr>
                <w:color w:val="000000"/>
                <w:lang w:val="de-DE"/>
              </w:rPr>
            </w:pPr>
            <w:r w:rsidRPr="002D741C">
              <w:rPr>
                <w:color w:val="000000"/>
                <w:lang w:val="de-DE"/>
              </w:rPr>
              <w:t>PEG-ASP (2500 </w:t>
            </w:r>
            <w:r w:rsidR="00633DCE" w:rsidRPr="002D741C">
              <w:rPr>
                <w:color w:val="000000"/>
                <w:lang w:val="de-DE"/>
              </w:rPr>
              <w:t>UI</w:t>
            </w:r>
            <w:r w:rsidRPr="002D741C">
              <w:rPr>
                <w:color w:val="000000"/>
                <w:lang w:val="de-DE"/>
              </w:rPr>
              <w:t>/m</w:t>
            </w:r>
            <w:r w:rsidRPr="002D741C">
              <w:rPr>
                <w:color w:val="000000"/>
                <w:vertAlign w:val="superscript"/>
                <w:lang w:val="de-DE"/>
              </w:rPr>
              <w:t>2</w:t>
            </w:r>
            <w:r w:rsidRPr="002D741C">
              <w:rPr>
                <w:color w:val="000000"/>
                <w:lang w:val="de-DE"/>
              </w:rPr>
              <w:t>, IM): d</w:t>
            </w:r>
            <w:r w:rsidR="00104E27" w:rsidRPr="002D741C">
              <w:rPr>
                <w:color w:val="000000"/>
                <w:lang w:val="de-DE"/>
              </w:rPr>
              <w:t>ía</w:t>
            </w:r>
            <w:r w:rsidRPr="002D741C">
              <w:rPr>
                <w:color w:val="000000"/>
                <w:lang w:val="de-DE"/>
              </w:rPr>
              <w:t> 4</w:t>
            </w:r>
          </w:p>
          <w:p w14:paraId="0DFC2DD6" w14:textId="77777777" w:rsidR="003B0A17" w:rsidRPr="002D741C" w:rsidRDefault="003B0A17" w:rsidP="003B0A17">
            <w:pPr>
              <w:pStyle w:val="EndnoteText"/>
              <w:widowControl w:val="0"/>
              <w:rPr>
                <w:color w:val="000000"/>
                <w:lang w:val="es-ES"/>
              </w:rPr>
            </w:pPr>
            <w:r w:rsidRPr="002D741C">
              <w:rPr>
                <w:color w:val="000000"/>
                <w:lang w:val="es-ES"/>
              </w:rPr>
              <w:t>G-CSF (5 </w:t>
            </w:r>
            <w:r w:rsidRPr="002D741C">
              <w:rPr>
                <w:color w:val="000000"/>
              </w:rPr>
              <w:t>μ</w:t>
            </w:r>
            <w:r w:rsidRPr="002D741C">
              <w:rPr>
                <w:color w:val="000000"/>
                <w:lang w:val="es-ES"/>
              </w:rPr>
              <w:t>g/kg, SC): d</w:t>
            </w:r>
            <w:r w:rsidR="00104E27" w:rsidRPr="002D741C">
              <w:rPr>
                <w:color w:val="000000"/>
                <w:lang w:val="es-ES"/>
              </w:rPr>
              <w:t>ías</w:t>
            </w:r>
            <w:r w:rsidRPr="002D741C">
              <w:rPr>
                <w:color w:val="000000"/>
                <w:lang w:val="es-ES"/>
              </w:rPr>
              <w:t xml:space="preserve"> 5-14 </w:t>
            </w:r>
            <w:r w:rsidR="00104E27" w:rsidRPr="002D741C">
              <w:rPr>
                <w:color w:val="000000"/>
                <w:lang w:val="es-ES"/>
              </w:rPr>
              <w:t xml:space="preserve">o hasta RAN </w:t>
            </w:r>
            <w:r w:rsidRPr="002D741C">
              <w:rPr>
                <w:color w:val="000000"/>
                <w:lang w:val="es-ES"/>
              </w:rPr>
              <w:t>&gt; 1500 post nadir</w:t>
            </w:r>
          </w:p>
          <w:p w14:paraId="1E771022" w14:textId="77777777" w:rsidR="003B0A17" w:rsidRPr="002D741C" w:rsidRDefault="003B0A17" w:rsidP="003B0A17">
            <w:pPr>
              <w:pStyle w:val="EndnoteText"/>
              <w:widowControl w:val="0"/>
              <w:rPr>
                <w:color w:val="000000"/>
                <w:lang w:val="es-ES"/>
              </w:rPr>
            </w:pPr>
            <w:r w:rsidRPr="002D741C">
              <w:rPr>
                <w:color w:val="000000"/>
                <w:lang w:val="es-ES"/>
              </w:rPr>
              <w:t xml:space="preserve">Triple </w:t>
            </w:r>
            <w:r w:rsidR="00104E27" w:rsidRPr="002D741C">
              <w:rPr>
                <w:color w:val="000000"/>
                <w:lang w:val="es-ES"/>
              </w:rPr>
              <w:t xml:space="preserve">terapia </w:t>
            </w:r>
            <w:smartTag w:uri="urn:schemas-microsoft-com:office:smarttags" w:element="PersonName">
              <w:r w:rsidRPr="002D741C">
                <w:rPr>
                  <w:color w:val="000000"/>
                  <w:lang w:val="es-ES"/>
                </w:rPr>
                <w:t>IT</w:t>
              </w:r>
            </w:smartTag>
            <w:r w:rsidRPr="002D741C">
              <w:rPr>
                <w:color w:val="000000"/>
                <w:lang w:val="es-ES"/>
              </w:rPr>
              <w:t xml:space="preserve"> (</w:t>
            </w:r>
            <w:r w:rsidR="00104E27" w:rsidRPr="002D741C">
              <w:rPr>
                <w:color w:val="000000"/>
                <w:lang w:val="es-ES"/>
              </w:rPr>
              <w:t>ajustada por edad</w:t>
            </w:r>
            <w:r w:rsidRPr="002D741C">
              <w:rPr>
                <w:color w:val="000000"/>
                <w:lang w:val="es-ES"/>
              </w:rPr>
              <w:t>): d</w:t>
            </w:r>
            <w:r w:rsidR="00104E27" w:rsidRPr="002D741C">
              <w:rPr>
                <w:color w:val="000000"/>
                <w:lang w:val="es-ES"/>
              </w:rPr>
              <w:t>ías</w:t>
            </w:r>
            <w:r w:rsidRPr="002D741C">
              <w:rPr>
                <w:color w:val="000000"/>
                <w:lang w:val="es-ES"/>
              </w:rPr>
              <w:t xml:space="preserve"> 1 </w:t>
            </w:r>
            <w:r w:rsidR="00104E27" w:rsidRPr="002D741C">
              <w:rPr>
                <w:color w:val="000000"/>
                <w:lang w:val="es-ES"/>
              </w:rPr>
              <w:t>y</w:t>
            </w:r>
            <w:r w:rsidRPr="002D741C">
              <w:rPr>
                <w:color w:val="000000"/>
                <w:lang w:val="es-ES"/>
              </w:rPr>
              <w:t xml:space="preserve"> 15</w:t>
            </w:r>
          </w:p>
          <w:p w14:paraId="58B2B454" w14:textId="77777777" w:rsidR="003B0A17" w:rsidRPr="002D741C" w:rsidRDefault="003B0A17" w:rsidP="00104E27">
            <w:pPr>
              <w:pStyle w:val="EndnoteText"/>
              <w:widowControl w:val="0"/>
              <w:rPr>
                <w:color w:val="000000"/>
                <w:lang w:val="es-ES"/>
              </w:rPr>
            </w:pPr>
            <w:smartTag w:uri="urn:schemas-microsoft-com:office:smarttags" w:element="PersonName">
              <w:r w:rsidRPr="002D741C">
                <w:rPr>
                  <w:color w:val="000000"/>
                  <w:lang w:val="es-ES"/>
                </w:rPr>
                <w:t>DE</w:t>
              </w:r>
            </w:smartTag>
            <w:r w:rsidRPr="002D741C">
              <w:rPr>
                <w:color w:val="000000"/>
                <w:lang w:val="es-ES"/>
              </w:rPr>
              <w:t>X (6 mg/m</w:t>
            </w:r>
            <w:r w:rsidRPr="002D741C">
              <w:rPr>
                <w:color w:val="000000"/>
                <w:vertAlign w:val="superscript"/>
                <w:lang w:val="es-ES"/>
              </w:rPr>
              <w:t>2</w:t>
            </w:r>
            <w:r w:rsidR="00104E27" w:rsidRPr="002D741C">
              <w:rPr>
                <w:color w:val="000000"/>
                <w:lang w:val="es-ES"/>
              </w:rPr>
              <w:t>/día, PO): días</w:t>
            </w:r>
            <w:r w:rsidRPr="002D741C">
              <w:rPr>
                <w:color w:val="000000"/>
                <w:lang w:val="es-ES"/>
              </w:rPr>
              <w:t> 1</w:t>
            </w:r>
            <w:r w:rsidRPr="002D741C">
              <w:rPr>
                <w:color w:val="000000"/>
                <w:lang w:val="es-ES"/>
              </w:rPr>
              <w:noBreakHyphen/>
              <w:t xml:space="preserve">7 </w:t>
            </w:r>
            <w:r w:rsidR="00104E27" w:rsidRPr="002D741C">
              <w:rPr>
                <w:color w:val="000000"/>
                <w:lang w:val="es-ES"/>
              </w:rPr>
              <w:t>y</w:t>
            </w:r>
            <w:r w:rsidRPr="002D741C">
              <w:rPr>
                <w:color w:val="000000"/>
                <w:lang w:val="es-ES"/>
              </w:rPr>
              <w:t xml:space="preserve"> 15</w:t>
            </w:r>
            <w:r w:rsidRPr="002D741C">
              <w:rPr>
                <w:color w:val="000000"/>
                <w:lang w:val="es-ES"/>
              </w:rPr>
              <w:noBreakHyphen/>
              <w:t>21</w:t>
            </w:r>
          </w:p>
        </w:tc>
      </w:tr>
      <w:tr w:rsidR="003B0A17" w:rsidRPr="008D0368" w14:paraId="31F27988" w14:textId="77777777" w:rsidTr="00C16E58">
        <w:trPr>
          <w:cantSplit/>
        </w:trPr>
        <w:tc>
          <w:tcPr>
            <w:tcW w:w="2358" w:type="dxa"/>
            <w:shd w:val="clear" w:color="auto" w:fill="auto"/>
          </w:tcPr>
          <w:p w14:paraId="1A39AC94" w14:textId="77777777" w:rsidR="003B0A17" w:rsidRPr="002D741C" w:rsidRDefault="00633DCE" w:rsidP="003B0A17">
            <w:pPr>
              <w:pStyle w:val="EndnoteText"/>
              <w:widowControl w:val="0"/>
              <w:rPr>
                <w:color w:val="000000"/>
              </w:rPr>
            </w:pPr>
            <w:r w:rsidRPr="002D741C">
              <w:rPr>
                <w:color w:val="000000"/>
              </w:rPr>
              <w:t>Bloque 2 de i</w:t>
            </w:r>
            <w:r w:rsidR="003B0A17" w:rsidRPr="002D741C">
              <w:rPr>
                <w:color w:val="000000"/>
              </w:rPr>
              <w:t>ntensifica</w:t>
            </w:r>
            <w:r w:rsidR="00104E27" w:rsidRPr="002D741C">
              <w:rPr>
                <w:color w:val="000000"/>
              </w:rPr>
              <w:t>ción</w:t>
            </w:r>
          </w:p>
          <w:p w14:paraId="319E590C" w14:textId="77777777" w:rsidR="003B0A17" w:rsidRPr="002D741C" w:rsidRDefault="003B0A17" w:rsidP="003B0A17">
            <w:pPr>
              <w:pStyle w:val="EndnoteText"/>
              <w:widowControl w:val="0"/>
              <w:rPr>
                <w:color w:val="000000"/>
              </w:rPr>
            </w:pPr>
            <w:r w:rsidRPr="002D741C">
              <w:rPr>
                <w:color w:val="000000"/>
              </w:rPr>
              <w:t>(9 </w:t>
            </w:r>
            <w:r w:rsidR="00104E27" w:rsidRPr="002D741C">
              <w:rPr>
                <w:color w:val="000000"/>
              </w:rPr>
              <w:t>semanas</w:t>
            </w:r>
            <w:r w:rsidRPr="002D741C">
              <w:rPr>
                <w:color w:val="000000"/>
              </w:rPr>
              <w:t>)</w:t>
            </w:r>
          </w:p>
        </w:tc>
        <w:tc>
          <w:tcPr>
            <w:tcW w:w="6929" w:type="dxa"/>
            <w:shd w:val="clear" w:color="auto" w:fill="auto"/>
          </w:tcPr>
          <w:p w14:paraId="22CAEC71" w14:textId="77777777" w:rsidR="003B0A17" w:rsidRPr="002D741C" w:rsidRDefault="00104E27" w:rsidP="003B0A17">
            <w:pPr>
              <w:pStyle w:val="EndnoteText"/>
              <w:widowControl w:val="0"/>
              <w:rPr>
                <w:color w:val="000000"/>
                <w:lang w:val="es-ES"/>
              </w:rPr>
            </w:pPr>
            <w:r w:rsidRPr="002D741C">
              <w:rPr>
                <w:color w:val="000000"/>
                <w:lang w:val="es-ES"/>
              </w:rPr>
              <w:t>Met</w:t>
            </w:r>
            <w:r w:rsidR="003B0A17" w:rsidRPr="002D741C">
              <w:rPr>
                <w:color w:val="000000"/>
                <w:lang w:val="es-ES"/>
              </w:rPr>
              <w:t>otrexat</w:t>
            </w:r>
            <w:r w:rsidRPr="002D741C">
              <w:rPr>
                <w:color w:val="000000"/>
                <w:lang w:val="es-ES"/>
              </w:rPr>
              <w:t>o</w:t>
            </w:r>
            <w:r w:rsidR="003B0A17" w:rsidRPr="002D741C">
              <w:rPr>
                <w:color w:val="000000"/>
                <w:lang w:val="es-ES"/>
              </w:rPr>
              <w:t xml:space="preserve"> (5 g/m</w:t>
            </w:r>
            <w:r w:rsidR="003B0A17" w:rsidRPr="002D741C">
              <w:rPr>
                <w:color w:val="000000"/>
                <w:vertAlign w:val="superscript"/>
                <w:lang w:val="es-ES"/>
              </w:rPr>
              <w:t>2</w:t>
            </w:r>
            <w:r w:rsidR="003B0A17" w:rsidRPr="002D741C">
              <w:rPr>
                <w:color w:val="000000"/>
                <w:lang w:val="es-ES"/>
              </w:rPr>
              <w:t xml:space="preserve"> </w:t>
            </w:r>
            <w:r w:rsidRPr="002D741C">
              <w:rPr>
                <w:color w:val="000000"/>
                <w:lang w:val="es-ES"/>
              </w:rPr>
              <w:t>durante</w:t>
            </w:r>
            <w:r w:rsidR="003B0A17" w:rsidRPr="002D741C">
              <w:rPr>
                <w:color w:val="000000"/>
                <w:lang w:val="es-ES"/>
              </w:rPr>
              <w:t xml:space="preserve"> 24 hor</w:t>
            </w:r>
            <w:r w:rsidRPr="002D741C">
              <w:rPr>
                <w:color w:val="000000"/>
                <w:lang w:val="es-ES"/>
              </w:rPr>
              <w:t>as, IV): días</w:t>
            </w:r>
            <w:r w:rsidR="003B0A17" w:rsidRPr="002D741C">
              <w:rPr>
                <w:color w:val="000000"/>
                <w:lang w:val="es-ES"/>
              </w:rPr>
              <w:t xml:space="preserve"> 1 </w:t>
            </w:r>
            <w:r w:rsidRPr="002D741C">
              <w:rPr>
                <w:color w:val="000000"/>
                <w:lang w:val="es-ES"/>
              </w:rPr>
              <w:t>y</w:t>
            </w:r>
            <w:r w:rsidR="003B0A17" w:rsidRPr="002D741C">
              <w:rPr>
                <w:color w:val="000000"/>
                <w:lang w:val="es-ES"/>
              </w:rPr>
              <w:t xml:space="preserve"> 15</w:t>
            </w:r>
          </w:p>
          <w:p w14:paraId="5DDD5EAD" w14:textId="77777777" w:rsidR="003B0A17" w:rsidRPr="002D741C" w:rsidRDefault="003B0A17" w:rsidP="003B0A17">
            <w:pPr>
              <w:pStyle w:val="EndnoteText"/>
              <w:widowControl w:val="0"/>
              <w:rPr>
                <w:color w:val="000000"/>
                <w:lang w:val="es-ES"/>
              </w:rPr>
            </w:pPr>
            <w:r w:rsidRPr="002D741C">
              <w:rPr>
                <w:color w:val="000000"/>
                <w:lang w:val="es-ES"/>
              </w:rPr>
              <w:t>Leucovorin</w:t>
            </w:r>
            <w:r w:rsidR="00633DCE" w:rsidRPr="002D741C">
              <w:rPr>
                <w:color w:val="000000"/>
                <w:lang w:val="es-ES"/>
              </w:rPr>
              <w:t>a</w:t>
            </w:r>
            <w:r w:rsidRPr="002D741C">
              <w:rPr>
                <w:color w:val="000000"/>
                <w:lang w:val="es-ES"/>
              </w:rPr>
              <w:t xml:space="preserve"> (75 mg/m</w:t>
            </w:r>
            <w:r w:rsidRPr="002D741C">
              <w:rPr>
                <w:color w:val="000000"/>
                <w:vertAlign w:val="superscript"/>
                <w:lang w:val="es-ES"/>
              </w:rPr>
              <w:t>2</w:t>
            </w:r>
            <w:r w:rsidRPr="002D741C">
              <w:rPr>
                <w:color w:val="000000"/>
                <w:lang w:val="es-ES"/>
              </w:rPr>
              <w:t xml:space="preserve"> </w:t>
            </w:r>
            <w:r w:rsidR="00104E27" w:rsidRPr="002D741C">
              <w:rPr>
                <w:color w:val="000000"/>
                <w:lang w:val="es-ES"/>
              </w:rPr>
              <w:t>a la hora</w:t>
            </w:r>
            <w:r w:rsidRPr="002D741C">
              <w:rPr>
                <w:color w:val="000000"/>
                <w:lang w:val="es-ES"/>
              </w:rPr>
              <w:t> 36, IV; 15 mg/m</w:t>
            </w:r>
            <w:r w:rsidRPr="002D741C">
              <w:rPr>
                <w:color w:val="000000"/>
                <w:vertAlign w:val="superscript"/>
                <w:lang w:val="es-ES"/>
              </w:rPr>
              <w:t>2</w:t>
            </w:r>
            <w:r w:rsidR="00104E27" w:rsidRPr="002D741C">
              <w:rPr>
                <w:color w:val="000000"/>
                <w:lang w:val="es-ES"/>
              </w:rPr>
              <w:t xml:space="preserve"> IV o</w:t>
            </w:r>
            <w:r w:rsidRPr="002D741C">
              <w:rPr>
                <w:color w:val="000000"/>
                <w:lang w:val="es-ES"/>
              </w:rPr>
              <w:t xml:space="preserve"> PO q6h x 6 dos</w:t>
            </w:r>
            <w:r w:rsidR="00104E27" w:rsidRPr="002D741C">
              <w:rPr>
                <w:color w:val="000000"/>
                <w:lang w:val="es-ES"/>
              </w:rPr>
              <w:t>i</w:t>
            </w:r>
            <w:r w:rsidRPr="002D741C">
              <w:rPr>
                <w:color w:val="000000"/>
                <w:lang w:val="es-ES"/>
              </w:rPr>
              <w:t>s)iii: d</w:t>
            </w:r>
            <w:r w:rsidR="00104E27" w:rsidRPr="002D741C">
              <w:rPr>
                <w:color w:val="000000"/>
                <w:lang w:val="es-ES"/>
              </w:rPr>
              <w:t>ías</w:t>
            </w:r>
            <w:r w:rsidRPr="002D741C">
              <w:rPr>
                <w:color w:val="000000"/>
                <w:lang w:val="es-ES"/>
              </w:rPr>
              <w:t xml:space="preserve"> 2, 3, 16, </w:t>
            </w:r>
            <w:r w:rsidR="00104E27" w:rsidRPr="002D741C">
              <w:rPr>
                <w:color w:val="000000"/>
                <w:lang w:val="es-ES"/>
              </w:rPr>
              <w:t>y</w:t>
            </w:r>
            <w:r w:rsidRPr="002D741C">
              <w:rPr>
                <w:color w:val="000000"/>
                <w:lang w:val="es-ES"/>
              </w:rPr>
              <w:t xml:space="preserve"> 17</w:t>
            </w:r>
          </w:p>
          <w:p w14:paraId="1085F276" w14:textId="77777777" w:rsidR="003B0A17" w:rsidRPr="002D741C" w:rsidRDefault="003B0A17" w:rsidP="003B0A17">
            <w:pPr>
              <w:pStyle w:val="EndnoteText"/>
              <w:widowControl w:val="0"/>
              <w:rPr>
                <w:color w:val="000000"/>
                <w:lang w:val="es-ES"/>
              </w:rPr>
            </w:pPr>
            <w:r w:rsidRPr="002D741C">
              <w:rPr>
                <w:color w:val="000000"/>
                <w:lang w:val="es-ES"/>
              </w:rPr>
              <w:t xml:space="preserve">Triple </w:t>
            </w:r>
            <w:r w:rsidR="00104E27" w:rsidRPr="002D741C">
              <w:rPr>
                <w:color w:val="000000"/>
                <w:lang w:val="es-ES"/>
              </w:rPr>
              <w:t xml:space="preserve">terapia </w:t>
            </w:r>
            <w:smartTag w:uri="urn:schemas-microsoft-com:office:smarttags" w:element="PersonName">
              <w:r w:rsidRPr="002D741C">
                <w:rPr>
                  <w:color w:val="000000"/>
                  <w:lang w:val="es-ES"/>
                </w:rPr>
                <w:t>IT</w:t>
              </w:r>
            </w:smartTag>
            <w:r w:rsidRPr="002D741C">
              <w:rPr>
                <w:color w:val="000000"/>
                <w:lang w:val="es-ES"/>
              </w:rPr>
              <w:t xml:space="preserve"> (</w:t>
            </w:r>
            <w:r w:rsidR="00104E27" w:rsidRPr="002D741C">
              <w:rPr>
                <w:color w:val="000000"/>
                <w:lang w:val="es-ES"/>
              </w:rPr>
              <w:t>ajustada por edad</w:t>
            </w:r>
            <w:r w:rsidRPr="002D741C">
              <w:rPr>
                <w:color w:val="000000"/>
                <w:lang w:val="es-ES"/>
              </w:rPr>
              <w:t>): d</w:t>
            </w:r>
            <w:r w:rsidR="00104E27" w:rsidRPr="002D741C">
              <w:rPr>
                <w:color w:val="000000"/>
                <w:lang w:val="es-ES"/>
              </w:rPr>
              <w:t>ías</w:t>
            </w:r>
            <w:r w:rsidRPr="002D741C">
              <w:rPr>
                <w:color w:val="000000"/>
                <w:lang w:val="es-ES"/>
              </w:rPr>
              <w:t xml:space="preserve"> 1 </w:t>
            </w:r>
            <w:r w:rsidR="00104E27" w:rsidRPr="002D741C">
              <w:rPr>
                <w:color w:val="000000"/>
                <w:lang w:val="es-ES"/>
              </w:rPr>
              <w:t>y</w:t>
            </w:r>
            <w:r w:rsidRPr="002D741C">
              <w:rPr>
                <w:color w:val="000000"/>
                <w:lang w:val="es-ES"/>
              </w:rPr>
              <w:t xml:space="preserve"> 22</w:t>
            </w:r>
          </w:p>
          <w:p w14:paraId="7DB343A6" w14:textId="77777777" w:rsidR="003B0A17" w:rsidRPr="002D741C" w:rsidRDefault="003B0A17" w:rsidP="003B0A17">
            <w:pPr>
              <w:pStyle w:val="EndnoteText"/>
              <w:widowControl w:val="0"/>
              <w:rPr>
                <w:color w:val="000000"/>
                <w:lang w:val="es-ES"/>
              </w:rPr>
            </w:pPr>
            <w:r w:rsidRPr="002D741C">
              <w:rPr>
                <w:color w:val="000000"/>
                <w:lang w:val="es-ES"/>
              </w:rPr>
              <w:t>VP-16 (100 mg/m</w:t>
            </w:r>
            <w:r w:rsidRPr="002D741C">
              <w:rPr>
                <w:color w:val="000000"/>
                <w:vertAlign w:val="superscript"/>
                <w:lang w:val="es-ES"/>
              </w:rPr>
              <w:t>2</w:t>
            </w:r>
            <w:r w:rsidR="00104E27" w:rsidRPr="002D741C">
              <w:rPr>
                <w:color w:val="000000"/>
                <w:lang w:val="es-ES"/>
              </w:rPr>
              <w:t>/día, IV): días</w:t>
            </w:r>
            <w:r w:rsidRPr="002D741C">
              <w:rPr>
                <w:color w:val="000000"/>
                <w:lang w:val="es-ES"/>
              </w:rPr>
              <w:t> 22</w:t>
            </w:r>
            <w:r w:rsidRPr="002D741C">
              <w:rPr>
                <w:color w:val="000000"/>
                <w:lang w:val="es-ES"/>
              </w:rPr>
              <w:noBreakHyphen/>
              <w:t>26</w:t>
            </w:r>
          </w:p>
          <w:p w14:paraId="61372CA4" w14:textId="77777777" w:rsidR="003B0A17" w:rsidRPr="002D741C" w:rsidRDefault="003B0A17" w:rsidP="003B0A17">
            <w:pPr>
              <w:pStyle w:val="EndnoteText"/>
              <w:widowControl w:val="0"/>
              <w:rPr>
                <w:color w:val="000000"/>
                <w:lang w:val="es-ES"/>
              </w:rPr>
            </w:pPr>
            <w:r w:rsidRPr="002D741C">
              <w:rPr>
                <w:color w:val="000000"/>
                <w:lang w:val="es-ES"/>
              </w:rPr>
              <w:t>CPM (300 mg/m</w:t>
            </w:r>
            <w:r w:rsidRPr="002D741C">
              <w:rPr>
                <w:color w:val="000000"/>
                <w:vertAlign w:val="superscript"/>
                <w:lang w:val="es-ES"/>
              </w:rPr>
              <w:t>2</w:t>
            </w:r>
            <w:r w:rsidR="00104E27" w:rsidRPr="002D741C">
              <w:rPr>
                <w:color w:val="000000"/>
                <w:lang w:val="es-ES"/>
              </w:rPr>
              <w:t>/día, IV): días</w:t>
            </w:r>
            <w:r w:rsidRPr="002D741C">
              <w:rPr>
                <w:color w:val="000000"/>
                <w:lang w:val="es-ES"/>
              </w:rPr>
              <w:t> 22</w:t>
            </w:r>
            <w:r w:rsidRPr="002D741C">
              <w:rPr>
                <w:color w:val="000000"/>
                <w:lang w:val="es-ES"/>
              </w:rPr>
              <w:noBreakHyphen/>
              <w:t>26</w:t>
            </w:r>
          </w:p>
          <w:p w14:paraId="1CB87ACE" w14:textId="77777777" w:rsidR="003B0A17" w:rsidRPr="002D741C" w:rsidRDefault="003B0A17" w:rsidP="003B0A17">
            <w:pPr>
              <w:pStyle w:val="EndnoteText"/>
              <w:widowControl w:val="0"/>
              <w:rPr>
                <w:color w:val="000000"/>
                <w:lang w:val="es-ES"/>
              </w:rPr>
            </w:pPr>
            <w:r w:rsidRPr="002D741C">
              <w:rPr>
                <w:color w:val="000000"/>
                <w:lang w:val="es-ES"/>
              </w:rPr>
              <w:t>MESNA (150 mg/m</w:t>
            </w:r>
            <w:r w:rsidRPr="002D741C">
              <w:rPr>
                <w:color w:val="000000"/>
                <w:vertAlign w:val="superscript"/>
                <w:lang w:val="es-ES"/>
              </w:rPr>
              <w:t>2</w:t>
            </w:r>
            <w:r w:rsidRPr="002D741C">
              <w:rPr>
                <w:color w:val="000000"/>
                <w:lang w:val="es-ES"/>
              </w:rPr>
              <w:t>/</w:t>
            </w:r>
            <w:r w:rsidR="00104E27" w:rsidRPr="002D741C">
              <w:rPr>
                <w:color w:val="000000"/>
                <w:lang w:val="es-ES"/>
              </w:rPr>
              <w:t>día</w:t>
            </w:r>
            <w:r w:rsidRPr="002D741C">
              <w:rPr>
                <w:color w:val="000000"/>
                <w:lang w:val="es-ES"/>
              </w:rPr>
              <w:t xml:space="preserve">, IV): </w:t>
            </w:r>
            <w:r w:rsidR="00104E27" w:rsidRPr="002D741C">
              <w:rPr>
                <w:color w:val="000000"/>
                <w:lang w:val="es-ES"/>
              </w:rPr>
              <w:t>días</w:t>
            </w:r>
            <w:r w:rsidRPr="002D741C">
              <w:rPr>
                <w:color w:val="000000"/>
                <w:lang w:val="es-ES"/>
              </w:rPr>
              <w:t> 22</w:t>
            </w:r>
            <w:r w:rsidRPr="002D741C">
              <w:rPr>
                <w:color w:val="000000"/>
                <w:lang w:val="es-ES"/>
              </w:rPr>
              <w:noBreakHyphen/>
              <w:t>26</w:t>
            </w:r>
          </w:p>
          <w:p w14:paraId="6C4BE189" w14:textId="77777777" w:rsidR="003B0A17" w:rsidRPr="002D741C" w:rsidRDefault="003B0A17" w:rsidP="003B0A17">
            <w:pPr>
              <w:pStyle w:val="EndnoteText"/>
              <w:widowControl w:val="0"/>
              <w:rPr>
                <w:color w:val="000000"/>
                <w:lang w:val="es-ES"/>
              </w:rPr>
            </w:pPr>
            <w:r w:rsidRPr="002D741C">
              <w:rPr>
                <w:color w:val="000000"/>
                <w:lang w:val="es-ES"/>
              </w:rPr>
              <w:t>G-CSF (5 </w:t>
            </w:r>
            <w:r w:rsidRPr="002D741C">
              <w:rPr>
                <w:color w:val="000000"/>
              </w:rPr>
              <w:t>μ</w:t>
            </w:r>
            <w:r w:rsidRPr="002D741C">
              <w:rPr>
                <w:color w:val="000000"/>
                <w:lang w:val="es-ES"/>
              </w:rPr>
              <w:t xml:space="preserve">g/kg, SC): </w:t>
            </w:r>
            <w:r w:rsidR="00104E27" w:rsidRPr="002D741C">
              <w:rPr>
                <w:color w:val="000000"/>
                <w:lang w:val="es-ES"/>
              </w:rPr>
              <w:t>días</w:t>
            </w:r>
            <w:r w:rsidRPr="002D741C">
              <w:rPr>
                <w:color w:val="000000"/>
                <w:lang w:val="es-ES"/>
              </w:rPr>
              <w:t> 27</w:t>
            </w:r>
            <w:r w:rsidRPr="002D741C">
              <w:rPr>
                <w:color w:val="000000"/>
                <w:lang w:val="es-ES"/>
              </w:rPr>
              <w:noBreakHyphen/>
              <w:t xml:space="preserve">36 </w:t>
            </w:r>
            <w:r w:rsidR="00104E27" w:rsidRPr="002D741C">
              <w:rPr>
                <w:color w:val="000000"/>
                <w:lang w:val="es-ES"/>
              </w:rPr>
              <w:t>o hasta RAN</w:t>
            </w:r>
            <w:r w:rsidRPr="002D741C">
              <w:rPr>
                <w:color w:val="000000"/>
                <w:lang w:val="es-ES"/>
              </w:rPr>
              <w:t xml:space="preserve"> &gt; 1500 post nadir</w:t>
            </w:r>
          </w:p>
          <w:p w14:paraId="36184785" w14:textId="77777777" w:rsidR="003B0A17" w:rsidRPr="002D741C" w:rsidRDefault="003B0A17" w:rsidP="003B0A17">
            <w:pPr>
              <w:pStyle w:val="EndnoteText"/>
              <w:widowControl w:val="0"/>
              <w:rPr>
                <w:color w:val="000000"/>
                <w:lang w:val="es-ES"/>
              </w:rPr>
            </w:pPr>
            <w:r w:rsidRPr="002D741C">
              <w:rPr>
                <w:color w:val="000000"/>
                <w:lang w:val="es-ES"/>
              </w:rPr>
              <w:t>ARA-C (3 g/m</w:t>
            </w:r>
            <w:r w:rsidRPr="002D741C">
              <w:rPr>
                <w:color w:val="000000"/>
                <w:vertAlign w:val="superscript"/>
                <w:lang w:val="es-ES"/>
              </w:rPr>
              <w:t>2</w:t>
            </w:r>
            <w:r w:rsidRPr="002D741C">
              <w:rPr>
                <w:color w:val="000000"/>
                <w:lang w:val="es-ES"/>
              </w:rPr>
              <w:t>, q12h, IV): d</w:t>
            </w:r>
            <w:r w:rsidR="00104E27" w:rsidRPr="002D741C">
              <w:rPr>
                <w:color w:val="000000"/>
                <w:lang w:val="es-ES"/>
              </w:rPr>
              <w:t>ías</w:t>
            </w:r>
            <w:r w:rsidRPr="002D741C">
              <w:rPr>
                <w:color w:val="000000"/>
                <w:lang w:val="es-ES"/>
              </w:rPr>
              <w:t> 43, 44</w:t>
            </w:r>
          </w:p>
          <w:p w14:paraId="5C7C91CE" w14:textId="77777777" w:rsidR="003B0A17" w:rsidRPr="002D741C" w:rsidRDefault="003B0A17" w:rsidP="00633DCE">
            <w:pPr>
              <w:pStyle w:val="EndnoteText"/>
              <w:widowControl w:val="0"/>
              <w:rPr>
                <w:color w:val="000000"/>
                <w:lang w:val="de-DE"/>
              </w:rPr>
            </w:pPr>
            <w:r w:rsidRPr="002D741C">
              <w:rPr>
                <w:color w:val="000000"/>
                <w:lang w:val="de-DE"/>
              </w:rPr>
              <w:t>L-ASP (6000 </w:t>
            </w:r>
            <w:r w:rsidR="00633DCE" w:rsidRPr="002D741C">
              <w:rPr>
                <w:color w:val="000000"/>
                <w:lang w:val="de-DE"/>
              </w:rPr>
              <w:t>UI</w:t>
            </w:r>
            <w:r w:rsidRPr="002D741C">
              <w:rPr>
                <w:color w:val="000000"/>
                <w:lang w:val="de-DE"/>
              </w:rPr>
              <w:t>/m</w:t>
            </w:r>
            <w:r w:rsidRPr="002D741C">
              <w:rPr>
                <w:color w:val="000000"/>
                <w:vertAlign w:val="superscript"/>
                <w:lang w:val="de-DE"/>
              </w:rPr>
              <w:t>2</w:t>
            </w:r>
            <w:r w:rsidRPr="002D741C">
              <w:rPr>
                <w:color w:val="000000"/>
                <w:lang w:val="de-DE"/>
              </w:rPr>
              <w:t>, IM): d</w:t>
            </w:r>
            <w:r w:rsidR="00104E27" w:rsidRPr="002D741C">
              <w:rPr>
                <w:color w:val="000000"/>
                <w:lang w:val="de-DE"/>
              </w:rPr>
              <w:t>ía</w:t>
            </w:r>
            <w:r w:rsidRPr="002D741C">
              <w:rPr>
                <w:color w:val="000000"/>
                <w:lang w:val="de-DE"/>
              </w:rPr>
              <w:t> 44</w:t>
            </w:r>
          </w:p>
        </w:tc>
      </w:tr>
      <w:tr w:rsidR="003B0A17" w:rsidRPr="002D741C" w14:paraId="4812C1AE" w14:textId="77777777" w:rsidTr="00C16E58">
        <w:trPr>
          <w:cantSplit/>
        </w:trPr>
        <w:tc>
          <w:tcPr>
            <w:tcW w:w="2358" w:type="dxa"/>
            <w:shd w:val="clear" w:color="auto" w:fill="auto"/>
          </w:tcPr>
          <w:p w14:paraId="3E2D2D40" w14:textId="77777777" w:rsidR="003B0A17" w:rsidRPr="002D741C" w:rsidRDefault="003B0A17" w:rsidP="003B0A17">
            <w:pPr>
              <w:pStyle w:val="EndnoteText"/>
              <w:widowControl w:val="0"/>
              <w:rPr>
                <w:color w:val="000000"/>
                <w:lang w:val="es-ES"/>
              </w:rPr>
            </w:pPr>
            <w:r w:rsidRPr="002D741C">
              <w:rPr>
                <w:color w:val="000000"/>
                <w:lang w:val="es-ES"/>
              </w:rPr>
              <w:t>Manten</w:t>
            </w:r>
            <w:r w:rsidR="00104E27" w:rsidRPr="002D741C">
              <w:rPr>
                <w:color w:val="000000"/>
                <w:lang w:val="es-ES"/>
              </w:rPr>
              <w:t>imiento</w:t>
            </w:r>
          </w:p>
          <w:p w14:paraId="662DB7BB" w14:textId="77777777" w:rsidR="003B0A17" w:rsidRPr="002D741C" w:rsidRDefault="003B0A17" w:rsidP="003B0A17">
            <w:pPr>
              <w:pStyle w:val="EndnoteText"/>
              <w:widowControl w:val="0"/>
              <w:rPr>
                <w:color w:val="000000"/>
                <w:lang w:val="es-ES"/>
              </w:rPr>
            </w:pPr>
            <w:r w:rsidRPr="002D741C">
              <w:rPr>
                <w:color w:val="000000"/>
                <w:lang w:val="es-ES"/>
              </w:rPr>
              <w:t>(</w:t>
            </w:r>
            <w:r w:rsidR="00104E27" w:rsidRPr="002D741C">
              <w:rPr>
                <w:color w:val="000000"/>
                <w:lang w:val="es-ES"/>
              </w:rPr>
              <w:t xml:space="preserve">ciclos de </w:t>
            </w:r>
            <w:r w:rsidRPr="002D741C">
              <w:rPr>
                <w:color w:val="000000"/>
                <w:lang w:val="es-ES"/>
              </w:rPr>
              <w:t>8</w:t>
            </w:r>
            <w:r w:rsidR="00633DCE" w:rsidRPr="002D741C">
              <w:rPr>
                <w:color w:val="000000"/>
                <w:lang w:val="es-ES"/>
              </w:rPr>
              <w:t> </w:t>
            </w:r>
            <w:r w:rsidR="00104E27" w:rsidRPr="002D741C">
              <w:rPr>
                <w:color w:val="000000"/>
                <w:lang w:val="es-ES"/>
              </w:rPr>
              <w:t>semanas</w:t>
            </w:r>
            <w:r w:rsidRPr="002D741C">
              <w:rPr>
                <w:color w:val="000000"/>
                <w:lang w:val="es-ES"/>
              </w:rPr>
              <w:t>)</w:t>
            </w:r>
          </w:p>
          <w:p w14:paraId="02EE65B7" w14:textId="77777777" w:rsidR="003B0A17" w:rsidRPr="002D741C" w:rsidRDefault="003B0A17" w:rsidP="00104E27">
            <w:pPr>
              <w:pStyle w:val="EndnoteText"/>
              <w:widowControl w:val="0"/>
              <w:rPr>
                <w:color w:val="000000"/>
                <w:lang w:val="es-ES"/>
              </w:rPr>
            </w:pPr>
            <w:r w:rsidRPr="002D741C">
              <w:rPr>
                <w:color w:val="000000"/>
                <w:lang w:val="es-ES"/>
              </w:rPr>
              <w:t>C</w:t>
            </w:r>
            <w:r w:rsidR="00104E27" w:rsidRPr="002D741C">
              <w:rPr>
                <w:color w:val="000000"/>
                <w:lang w:val="es-ES"/>
              </w:rPr>
              <w:t>i</w:t>
            </w:r>
            <w:r w:rsidRPr="002D741C">
              <w:rPr>
                <w:color w:val="000000"/>
                <w:lang w:val="es-ES"/>
              </w:rPr>
              <w:t>cl</w:t>
            </w:r>
            <w:r w:rsidR="00104E27" w:rsidRPr="002D741C">
              <w:rPr>
                <w:color w:val="000000"/>
                <w:lang w:val="es-ES"/>
              </w:rPr>
              <w:t>o</w:t>
            </w:r>
            <w:r w:rsidRPr="002D741C">
              <w:rPr>
                <w:color w:val="000000"/>
                <w:lang w:val="es-ES"/>
              </w:rPr>
              <w:t>s 1–4</w:t>
            </w:r>
          </w:p>
        </w:tc>
        <w:tc>
          <w:tcPr>
            <w:tcW w:w="6929" w:type="dxa"/>
            <w:shd w:val="clear" w:color="auto" w:fill="auto"/>
          </w:tcPr>
          <w:p w14:paraId="0EC0DCB9" w14:textId="77777777" w:rsidR="003B0A17" w:rsidRPr="002D741C" w:rsidRDefault="003B0A17" w:rsidP="003B0A17">
            <w:pPr>
              <w:pStyle w:val="EndnoteText"/>
              <w:widowControl w:val="0"/>
              <w:rPr>
                <w:color w:val="000000"/>
                <w:lang w:val="es-ES"/>
              </w:rPr>
            </w:pPr>
            <w:smartTag w:uri="urn:schemas-microsoft-com:office:smarttags" w:element="PersonName">
              <w:r w:rsidRPr="002D741C">
                <w:rPr>
                  <w:color w:val="000000"/>
                  <w:lang w:val="es-ES"/>
                </w:rPr>
                <w:t>MT</w:t>
              </w:r>
            </w:smartTag>
            <w:r w:rsidRPr="002D741C">
              <w:rPr>
                <w:color w:val="000000"/>
                <w:lang w:val="es-ES"/>
              </w:rPr>
              <w:t>X (5 g/m</w:t>
            </w:r>
            <w:r w:rsidRPr="002D741C">
              <w:rPr>
                <w:color w:val="000000"/>
                <w:vertAlign w:val="superscript"/>
                <w:lang w:val="es-ES"/>
              </w:rPr>
              <w:t>2</w:t>
            </w:r>
            <w:r w:rsidRPr="002D741C">
              <w:rPr>
                <w:color w:val="000000"/>
                <w:lang w:val="es-ES"/>
              </w:rPr>
              <w:t xml:space="preserve"> </w:t>
            </w:r>
            <w:r w:rsidR="00104E27" w:rsidRPr="002D741C">
              <w:rPr>
                <w:color w:val="000000"/>
                <w:lang w:val="es-ES"/>
              </w:rPr>
              <w:t>durante 24 ho</w:t>
            </w:r>
            <w:r w:rsidRPr="002D741C">
              <w:rPr>
                <w:color w:val="000000"/>
                <w:lang w:val="es-ES"/>
              </w:rPr>
              <w:t>r</w:t>
            </w:r>
            <w:r w:rsidR="00104E27" w:rsidRPr="002D741C">
              <w:rPr>
                <w:color w:val="000000"/>
                <w:lang w:val="es-ES"/>
              </w:rPr>
              <w:t>as, IV): día</w:t>
            </w:r>
            <w:r w:rsidRPr="002D741C">
              <w:rPr>
                <w:color w:val="000000"/>
                <w:lang w:val="es-ES"/>
              </w:rPr>
              <w:t> 1</w:t>
            </w:r>
          </w:p>
          <w:p w14:paraId="17E06460" w14:textId="77777777" w:rsidR="003B0A17" w:rsidRPr="002D741C" w:rsidRDefault="003B0A17" w:rsidP="003B0A17">
            <w:pPr>
              <w:pStyle w:val="EndnoteText"/>
              <w:widowControl w:val="0"/>
              <w:rPr>
                <w:color w:val="000000"/>
                <w:lang w:val="es-ES"/>
              </w:rPr>
            </w:pPr>
            <w:r w:rsidRPr="002D741C">
              <w:rPr>
                <w:color w:val="000000"/>
                <w:lang w:val="es-ES"/>
              </w:rPr>
              <w:t>Leucovorin</w:t>
            </w:r>
            <w:r w:rsidR="00633DCE" w:rsidRPr="002D741C">
              <w:rPr>
                <w:color w:val="000000"/>
                <w:lang w:val="es-ES"/>
              </w:rPr>
              <w:t>a</w:t>
            </w:r>
            <w:r w:rsidRPr="002D741C">
              <w:rPr>
                <w:color w:val="000000"/>
                <w:lang w:val="es-ES"/>
              </w:rPr>
              <w:t xml:space="preserve"> (75 mg/m</w:t>
            </w:r>
            <w:r w:rsidRPr="002D741C">
              <w:rPr>
                <w:color w:val="000000"/>
                <w:vertAlign w:val="superscript"/>
                <w:lang w:val="es-ES"/>
              </w:rPr>
              <w:t>2</w:t>
            </w:r>
            <w:r w:rsidRPr="002D741C">
              <w:rPr>
                <w:color w:val="000000"/>
                <w:lang w:val="es-ES"/>
              </w:rPr>
              <w:t xml:space="preserve"> </w:t>
            </w:r>
            <w:r w:rsidR="00104E27" w:rsidRPr="002D741C">
              <w:rPr>
                <w:color w:val="000000"/>
                <w:lang w:val="es-ES"/>
              </w:rPr>
              <w:t>a la hora</w:t>
            </w:r>
            <w:r w:rsidRPr="002D741C">
              <w:rPr>
                <w:color w:val="000000"/>
                <w:lang w:val="es-ES"/>
              </w:rPr>
              <w:t> 36, IV; 15 mg/m</w:t>
            </w:r>
            <w:r w:rsidRPr="002D741C">
              <w:rPr>
                <w:color w:val="000000"/>
                <w:vertAlign w:val="superscript"/>
                <w:lang w:val="es-ES"/>
              </w:rPr>
              <w:t>2</w:t>
            </w:r>
            <w:r w:rsidR="00104E27" w:rsidRPr="002D741C">
              <w:rPr>
                <w:color w:val="000000"/>
                <w:lang w:val="es-ES"/>
              </w:rPr>
              <w:t xml:space="preserve"> IV o</w:t>
            </w:r>
            <w:r w:rsidRPr="002D741C">
              <w:rPr>
                <w:color w:val="000000"/>
                <w:lang w:val="es-ES"/>
              </w:rPr>
              <w:t xml:space="preserve"> PO q6h x 6 dos</w:t>
            </w:r>
            <w:r w:rsidR="00104E27" w:rsidRPr="002D741C">
              <w:rPr>
                <w:color w:val="000000"/>
                <w:lang w:val="es-ES"/>
              </w:rPr>
              <w:t>is)iii: día</w:t>
            </w:r>
            <w:r w:rsidRPr="002D741C">
              <w:rPr>
                <w:color w:val="000000"/>
                <w:lang w:val="es-ES"/>
              </w:rPr>
              <w:t xml:space="preserve">s 2 </w:t>
            </w:r>
            <w:r w:rsidR="00104E27" w:rsidRPr="002D741C">
              <w:rPr>
                <w:color w:val="000000"/>
                <w:lang w:val="es-ES"/>
              </w:rPr>
              <w:t>y</w:t>
            </w:r>
            <w:r w:rsidRPr="002D741C">
              <w:rPr>
                <w:color w:val="000000"/>
                <w:lang w:val="es-ES"/>
              </w:rPr>
              <w:t xml:space="preserve"> 3</w:t>
            </w:r>
          </w:p>
          <w:p w14:paraId="16778614" w14:textId="77777777" w:rsidR="003B0A17" w:rsidRPr="002D741C" w:rsidRDefault="003B0A17" w:rsidP="003B0A17">
            <w:pPr>
              <w:pStyle w:val="EndnoteText"/>
              <w:widowControl w:val="0"/>
              <w:rPr>
                <w:color w:val="000000"/>
                <w:lang w:val="es-ES"/>
              </w:rPr>
            </w:pPr>
            <w:r w:rsidRPr="002D741C">
              <w:rPr>
                <w:color w:val="000000"/>
                <w:lang w:val="es-ES"/>
              </w:rPr>
              <w:t xml:space="preserve">Triple </w:t>
            </w:r>
            <w:r w:rsidR="00104E27" w:rsidRPr="002D741C">
              <w:rPr>
                <w:color w:val="000000"/>
                <w:lang w:val="es-ES"/>
              </w:rPr>
              <w:t xml:space="preserve">terapia </w:t>
            </w:r>
            <w:smartTag w:uri="urn:schemas-microsoft-com:office:smarttags" w:element="PersonName">
              <w:r w:rsidRPr="002D741C">
                <w:rPr>
                  <w:color w:val="000000"/>
                  <w:lang w:val="es-ES"/>
                </w:rPr>
                <w:t>IT</w:t>
              </w:r>
            </w:smartTag>
            <w:r w:rsidRPr="002D741C">
              <w:rPr>
                <w:color w:val="000000"/>
                <w:lang w:val="es-ES"/>
              </w:rPr>
              <w:t xml:space="preserve"> (</w:t>
            </w:r>
            <w:r w:rsidR="00104E27" w:rsidRPr="002D741C">
              <w:rPr>
                <w:color w:val="000000"/>
                <w:lang w:val="es-ES"/>
              </w:rPr>
              <w:t>ajustada por edad</w:t>
            </w:r>
            <w:r w:rsidRPr="002D741C">
              <w:rPr>
                <w:color w:val="000000"/>
                <w:lang w:val="es-ES"/>
              </w:rPr>
              <w:t>): d</w:t>
            </w:r>
            <w:r w:rsidR="00104E27" w:rsidRPr="002D741C">
              <w:rPr>
                <w:color w:val="000000"/>
                <w:lang w:val="es-ES"/>
              </w:rPr>
              <w:t>ías</w:t>
            </w:r>
            <w:r w:rsidRPr="002D741C">
              <w:rPr>
                <w:color w:val="000000"/>
                <w:lang w:val="es-ES"/>
              </w:rPr>
              <w:t> 1, 29</w:t>
            </w:r>
          </w:p>
          <w:p w14:paraId="025F6085" w14:textId="77777777" w:rsidR="003B0A17" w:rsidRPr="002D741C" w:rsidRDefault="00104E27" w:rsidP="003B0A17">
            <w:pPr>
              <w:pStyle w:val="EndnoteText"/>
              <w:widowControl w:val="0"/>
              <w:rPr>
                <w:color w:val="000000"/>
                <w:lang w:val="es-ES"/>
              </w:rPr>
            </w:pPr>
            <w:r w:rsidRPr="002D741C">
              <w:rPr>
                <w:color w:val="000000"/>
                <w:lang w:val="es-ES"/>
              </w:rPr>
              <w:t>VCR (1,</w:t>
            </w:r>
            <w:r w:rsidR="003B0A17" w:rsidRPr="002D741C">
              <w:rPr>
                <w:color w:val="000000"/>
                <w:lang w:val="es-ES"/>
              </w:rPr>
              <w:t>5 mg/m</w:t>
            </w:r>
            <w:r w:rsidR="003B0A17" w:rsidRPr="002D741C">
              <w:rPr>
                <w:color w:val="000000"/>
                <w:vertAlign w:val="superscript"/>
                <w:lang w:val="es-ES"/>
              </w:rPr>
              <w:t>2</w:t>
            </w:r>
            <w:r w:rsidR="003B0A17" w:rsidRPr="002D741C">
              <w:rPr>
                <w:color w:val="000000"/>
                <w:lang w:val="es-ES"/>
              </w:rPr>
              <w:t>, IV): d</w:t>
            </w:r>
            <w:r w:rsidRPr="002D741C">
              <w:rPr>
                <w:color w:val="000000"/>
                <w:lang w:val="es-ES"/>
              </w:rPr>
              <w:t>ías</w:t>
            </w:r>
            <w:r w:rsidR="003B0A17" w:rsidRPr="002D741C">
              <w:rPr>
                <w:color w:val="000000"/>
                <w:lang w:val="es-ES"/>
              </w:rPr>
              <w:t> 1, 29</w:t>
            </w:r>
          </w:p>
          <w:p w14:paraId="20068B16" w14:textId="77777777" w:rsidR="003B0A17" w:rsidRPr="002D741C" w:rsidRDefault="003B0A17" w:rsidP="003B0A17">
            <w:pPr>
              <w:pStyle w:val="EndnoteText"/>
              <w:widowControl w:val="0"/>
              <w:rPr>
                <w:color w:val="000000"/>
                <w:lang w:val="es-ES"/>
              </w:rPr>
            </w:pPr>
            <w:smartTag w:uri="urn:schemas-microsoft-com:office:smarttags" w:element="PersonName">
              <w:r w:rsidRPr="002D741C">
                <w:rPr>
                  <w:color w:val="000000"/>
                  <w:lang w:val="es-ES"/>
                </w:rPr>
                <w:t>DE</w:t>
              </w:r>
            </w:smartTag>
            <w:r w:rsidRPr="002D741C">
              <w:rPr>
                <w:color w:val="000000"/>
                <w:lang w:val="es-ES"/>
              </w:rPr>
              <w:t>X (6 mg/m</w:t>
            </w:r>
            <w:r w:rsidRPr="002D741C">
              <w:rPr>
                <w:color w:val="000000"/>
                <w:vertAlign w:val="superscript"/>
                <w:lang w:val="es-ES"/>
              </w:rPr>
              <w:t>2</w:t>
            </w:r>
            <w:r w:rsidR="00104E27" w:rsidRPr="002D741C">
              <w:rPr>
                <w:color w:val="000000"/>
                <w:lang w:val="es-ES"/>
              </w:rPr>
              <w:t>/día</w:t>
            </w:r>
            <w:r w:rsidRPr="002D741C">
              <w:rPr>
                <w:color w:val="000000"/>
                <w:lang w:val="es-ES"/>
              </w:rPr>
              <w:t xml:space="preserve"> PO): d</w:t>
            </w:r>
            <w:r w:rsidR="00104E27" w:rsidRPr="002D741C">
              <w:rPr>
                <w:color w:val="000000"/>
                <w:lang w:val="es-ES"/>
              </w:rPr>
              <w:t>ías</w:t>
            </w:r>
            <w:r w:rsidRPr="002D741C">
              <w:rPr>
                <w:color w:val="000000"/>
                <w:lang w:val="es-ES"/>
              </w:rPr>
              <w:t> 1</w:t>
            </w:r>
            <w:r w:rsidRPr="002D741C">
              <w:rPr>
                <w:color w:val="000000"/>
                <w:lang w:val="es-ES"/>
              </w:rPr>
              <w:noBreakHyphen/>
              <w:t>5; 29</w:t>
            </w:r>
            <w:r w:rsidRPr="002D741C">
              <w:rPr>
                <w:color w:val="000000"/>
                <w:lang w:val="es-ES"/>
              </w:rPr>
              <w:noBreakHyphen/>
              <w:t>33</w:t>
            </w:r>
          </w:p>
          <w:p w14:paraId="36128A63" w14:textId="77777777" w:rsidR="003B0A17" w:rsidRPr="002D741C" w:rsidRDefault="003B0A17" w:rsidP="003B0A17">
            <w:pPr>
              <w:pStyle w:val="EndnoteText"/>
              <w:widowControl w:val="0"/>
              <w:rPr>
                <w:color w:val="000000"/>
                <w:lang w:val="es-ES"/>
              </w:rPr>
            </w:pPr>
            <w:r w:rsidRPr="002D741C">
              <w:rPr>
                <w:color w:val="000000"/>
                <w:lang w:val="es-ES"/>
              </w:rPr>
              <w:t>6-MP (75 mg/m</w:t>
            </w:r>
            <w:r w:rsidRPr="002D741C">
              <w:rPr>
                <w:color w:val="000000"/>
                <w:vertAlign w:val="superscript"/>
                <w:lang w:val="es-ES"/>
              </w:rPr>
              <w:t>2</w:t>
            </w:r>
            <w:r w:rsidR="00104E27" w:rsidRPr="002D741C">
              <w:rPr>
                <w:color w:val="000000"/>
                <w:lang w:val="es-ES"/>
              </w:rPr>
              <w:t>/día</w:t>
            </w:r>
            <w:r w:rsidRPr="002D741C">
              <w:rPr>
                <w:color w:val="000000"/>
                <w:lang w:val="es-ES"/>
              </w:rPr>
              <w:t>, PO): d</w:t>
            </w:r>
            <w:r w:rsidR="00104E27" w:rsidRPr="002D741C">
              <w:rPr>
                <w:color w:val="000000"/>
                <w:lang w:val="es-ES"/>
              </w:rPr>
              <w:t>ías</w:t>
            </w:r>
            <w:r w:rsidRPr="002D741C">
              <w:rPr>
                <w:color w:val="000000"/>
                <w:lang w:val="es-ES"/>
              </w:rPr>
              <w:t> 8-28</w:t>
            </w:r>
          </w:p>
          <w:p w14:paraId="0053B5B6" w14:textId="77777777" w:rsidR="003B0A17" w:rsidRPr="002D741C" w:rsidRDefault="00104E27" w:rsidP="003B0A17">
            <w:pPr>
              <w:pStyle w:val="EndnoteText"/>
              <w:widowControl w:val="0"/>
              <w:rPr>
                <w:color w:val="000000"/>
                <w:lang w:val="es-ES"/>
              </w:rPr>
            </w:pPr>
            <w:r w:rsidRPr="002D741C">
              <w:rPr>
                <w:color w:val="000000"/>
                <w:lang w:val="es-ES"/>
              </w:rPr>
              <w:t>Met</w:t>
            </w:r>
            <w:r w:rsidR="003B0A17" w:rsidRPr="002D741C">
              <w:rPr>
                <w:color w:val="000000"/>
                <w:lang w:val="es-ES"/>
              </w:rPr>
              <w:t>otrexat</w:t>
            </w:r>
            <w:r w:rsidRPr="002D741C">
              <w:rPr>
                <w:color w:val="000000"/>
                <w:lang w:val="es-ES"/>
              </w:rPr>
              <w:t>o</w:t>
            </w:r>
            <w:r w:rsidR="003B0A17" w:rsidRPr="002D741C">
              <w:rPr>
                <w:color w:val="000000"/>
                <w:lang w:val="es-ES"/>
              </w:rPr>
              <w:t xml:space="preserve"> (20 mg/m</w:t>
            </w:r>
            <w:r w:rsidR="003B0A17" w:rsidRPr="002D741C">
              <w:rPr>
                <w:color w:val="000000"/>
                <w:vertAlign w:val="superscript"/>
                <w:lang w:val="es-ES"/>
              </w:rPr>
              <w:t>2</w:t>
            </w:r>
            <w:r w:rsidR="003B0A17" w:rsidRPr="002D741C">
              <w:rPr>
                <w:color w:val="000000"/>
                <w:lang w:val="es-ES"/>
              </w:rPr>
              <w:t>/</w:t>
            </w:r>
            <w:r w:rsidRPr="002D741C">
              <w:rPr>
                <w:color w:val="000000"/>
                <w:lang w:val="es-ES"/>
              </w:rPr>
              <w:t>semana</w:t>
            </w:r>
            <w:r w:rsidR="003B0A17" w:rsidRPr="002D741C">
              <w:rPr>
                <w:color w:val="000000"/>
                <w:lang w:val="es-ES"/>
              </w:rPr>
              <w:t>, PO): d</w:t>
            </w:r>
            <w:r w:rsidR="00F55E9F" w:rsidRPr="002D741C">
              <w:rPr>
                <w:color w:val="000000"/>
                <w:lang w:val="es-ES"/>
              </w:rPr>
              <w:t>ías</w:t>
            </w:r>
            <w:r w:rsidR="003B0A17" w:rsidRPr="002D741C">
              <w:rPr>
                <w:color w:val="000000"/>
                <w:lang w:val="es-ES"/>
              </w:rPr>
              <w:t> 8, 15, 22</w:t>
            </w:r>
          </w:p>
          <w:p w14:paraId="266EAE02" w14:textId="77777777" w:rsidR="003B0A17" w:rsidRPr="002D741C" w:rsidRDefault="003B0A17" w:rsidP="003B0A17">
            <w:pPr>
              <w:pStyle w:val="EndnoteText"/>
              <w:widowControl w:val="0"/>
              <w:rPr>
                <w:color w:val="000000"/>
                <w:lang w:val="es-ES"/>
              </w:rPr>
            </w:pPr>
            <w:r w:rsidRPr="002D741C">
              <w:rPr>
                <w:color w:val="000000"/>
                <w:lang w:val="es-ES"/>
              </w:rPr>
              <w:t>VP-16 (100 mg/m</w:t>
            </w:r>
            <w:r w:rsidRPr="002D741C">
              <w:rPr>
                <w:color w:val="000000"/>
                <w:vertAlign w:val="superscript"/>
                <w:lang w:val="es-ES"/>
              </w:rPr>
              <w:t>2</w:t>
            </w:r>
            <w:r w:rsidRPr="002D741C">
              <w:rPr>
                <w:color w:val="000000"/>
                <w:lang w:val="es-ES"/>
              </w:rPr>
              <w:t>, IV): d</w:t>
            </w:r>
            <w:r w:rsidR="00F55E9F" w:rsidRPr="002D741C">
              <w:rPr>
                <w:color w:val="000000"/>
                <w:lang w:val="es-ES"/>
              </w:rPr>
              <w:t>ías</w:t>
            </w:r>
            <w:r w:rsidRPr="002D741C">
              <w:rPr>
                <w:color w:val="000000"/>
                <w:lang w:val="es-ES"/>
              </w:rPr>
              <w:t> 29</w:t>
            </w:r>
            <w:r w:rsidRPr="002D741C">
              <w:rPr>
                <w:color w:val="000000"/>
                <w:lang w:val="es-ES"/>
              </w:rPr>
              <w:noBreakHyphen/>
              <w:t>33</w:t>
            </w:r>
          </w:p>
          <w:p w14:paraId="7F16409E" w14:textId="77777777" w:rsidR="003B0A17" w:rsidRPr="002D741C" w:rsidRDefault="003B0A17" w:rsidP="003B0A17">
            <w:pPr>
              <w:pStyle w:val="EndnoteText"/>
              <w:widowControl w:val="0"/>
              <w:rPr>
                <w:color w:val="000000"/>
                <w:lang w:val="es-ES"/>
              </w:rPr>
            </w:pPr>
            <w:r w:rsidRPr="002D741C">
              <w:rPr>
                <w:color w:val="000000"/>
                <w:lang w:val="es-ES"/>
              </w:rPr>
              <w:t>CPM (300 mg/m</w:t>
            </w:r>
            <w:r w:rsidRPr="002D741C">
              <w:rPr>
                <w:color w:val="000000"/>
                <w:vertAlign w:val="superscript"/>
                <w:lang w:val="es-ES"/>
              </w:rPr>
              <w:t>2</w:t>
            </w:r>
            <w:r w:rsidRPr="002D741C">
              <w:rPr>
                <w:color w:val="000000"/>
                <w:lang w:val="es-ES"/>
              </w:rPr>
              <w:t>, IV): d</w:t>
            </w:r>
            <w:r w:rsidR="00F55E9F" w:rsidRPr="002D741C">
              <w:rPr>
                <w:color w:val="000000"/>
                <w:lang w:val="es-ES"/>
              </w:rPr>
              <w:t>ías</w:t>
            </w:r>
            <w:r w:rsidRPr="002D741C">
              <w:rPr>
                <w:color w:val="000000"/>
                <w:lang w:val="es-ES"/>
              </w:rPr>
              <w:t> 29</w:t>
            </w:r>
            <w:r w:rsidRPr="002D741C">
              <w:rPr>
                <w:color w:val="000000"/>
                <w:lang w:val="es-ES"/>
              </w:rPr>
              <w:noBreakHyphen/>
              <w:t>33</w:t>
            </w:r>
          </w:p>
          <w:p w14:paraId="13B9D6FA" w14:textId="77777777" w:rsidR="003B0A17" w:rsidRPr="002D741C" w:rsidRDefault="003B0A17" w:rsidP="003B0A17">
            <w:pPr>
              <w:pStyle w:val="EndnoteText"/>
              <w:widowControl w:val="0"/>
              <w:rPr>
                <w:color w:val="000000"/>
                <w:lang w:val="es-ES"/>
              </w:rPr>
            </w:pPr>
            <w:r w:rsidRPr="002D741C">
              <w:rPr>
                <w:color w:val="000000"/>
                <w:lang w:val="es-ES"/>
              </w:rPr>
              <w:t>M</w:t>
            </w:r>
            <w:r w:rsidR="009A10C5" w:rsidRPr="002D741C">
              <w:rPr>
                <w:color w:val="000000"/>
                <w:lang w:val="es-ES"/>
              </w:rPr>
              <w:t>ESNA</w:t>
            </w:r>
            <w:r w:rsidRPr="002D741C">
              <w:rPr>
                <w:color w:val="000000"/>
                <w:lang w:val="es-ES"/>
              </w:rPr>
              <w:t xml:space="preserve"> IV d</w:t>
            </w:r>
            <w:r w:rsidR="00F55E9F" w:rsidRPr="002D741C">
              <w:rPr>
                <w:color w:val="000000"/>
                <w:lang w:val="es-ES"/>
              </w:rPr>
              <w:t>ías</w:t>
            </w:r>
            <w:r w:rsidRPr="002D741C">
              <w:rPr>
                <w:color w:val="000000"/>
                <w:lang w:val="es-ES"/>
              </w:rPr>
              <w:t> 29</w:t>
            </w:r>
            <w:r w:rsidRPr="002D741C">
              <w:rPr>
                <w:color w:val="000000"/>
                <w:lang w:val="es-ES"/>
              </w:rPr>
              <w:noBreakHyphen/>
              <w:t>33</w:t>
            </w:r>
          </w:p>
          <w:p w14:paraId="5B78E5BF" w14:textId="77777777" w:rsidR="003B0A17" w:rsidRPr="002D741C" w:rsidRDefault="003B0A17" w:rsidP="00F55E9F">
            <w:pPr>
              <w:pStyle w:val="EndnoteText"/>
              <w:widowControl w:val="0"/>
              <w:rPr>
                <w:color w:val="000000"/>
                <w:lang w:val="es-ES"/>
              </w:rPr>
            </w:pPr>
            <w:r w:rsidRPr="002D741C">
              <w:rPr>
                <w:color w:val="000000"/>
                <w:lang w:val="es-ES"/>
              </w:rPr>
              <w:t>G-CSF (5 </w:t>
            </w:r>
            <w:r w:rsidRPr="002D741C">
              <w:rPr>
                <w:color w:val="000000"/>
              </w:rPr>
              <w:t>μ</w:t>
            </w:r>
            <w:r w:rsidRPr="002D741C">
              <w:rPr>
                <w:color w:val="000000"/>
                <w:lang w:val="es-ES"/>
              </w:rPr>
              <w:t>g/kg, SC): d</w:t>
            </w:r>
            <w:r w:rsidR="00F55E9F" w:rsidRPr="002D741C">
              <w:rPr>
                <w:color w:val="000000"/>
                <w:lang w:val="es-ES"/>
              </w:rPr>
              <w:t>ías</w:t>
            </w:r>
            <w:r w:rsidRPr="002D741C">
              <w:rPr>
                <w:color w:val="000000"/>
                <w:lang w:val="es-ES"/>
              </w:rPr>
              <w:t> 34</w:t>
            </w:r>
            <w:r w:rsidRPr="002D741C">
              <w:rPr>
                <w:color w:val="000000"/>
                <w:lang w:val="es-ES"/>
              </w:rPr>
              <w:noBreakHyphen/>
              <w:t>43</w:t>
            </w:r>
          </w:p>
        </w:tc>
      </w:tr>
      <w:tr w:rsidR="003B0A17" w:rsidRPr="002D741C" w14:paraId="2569A7E9" w14:textId="77777777" w:rsidTr="00C16E58">
        <w:trPr>
          <w:cantSplit/>
        </w:trPr>
        <w:tc>
          <w:tcPr>
            <w:tcW w:w="2358" w:type="dxa"/>
            <w:shd w:val="clear" w:color="auto" w:fill="auto"/>
          </w:tcPr>
          <w:p w14:paraId="129CFC44" w14:textId="77777777" w:rsidR="00F55E9F" w:rsidRPr="002D741C" w:rsidRDefault="00F55E9F" w:rsidP="00F55E9F">
            <w:pPr>
              <w:pStyle w:val="EndnoteText"/>
              <w:widowControl w:val="0"/>
              <w:rPr>
                <w:color w:val="000000"/>
                <w:lang w:val="es-ES"/>
              </w:rPr>
            </w:pPr>
            <w:r w:rsidRPr="002D741C">
              <w:rPr>
                <w:color w:val="000000"/>
                <w:lang w:val="es-ES"/>
              </w:rPr>
              <w:t>Mantenimiento</w:t>
            </w:r>
          </w:p>
          <w:p w14:paraId="2B867E31" w14:textId="77777777" w:rsidR="003B0A17" w:rsidRPr="002D741C" w:rsidRDefault="003B0A17" w:rsidP="00F55E9F">
            <w:pPr>
              <w:pStyle w:val="EndnoteText"/>
              <w:widowControl w:val="0"/>
              <w:rPr>
                <w:color w:val="000000"/>
                <w:lang w:val="es-ES"/>
              </w:rPr>
            </w:pPr>
            <w:r w:rsidRPr="002D741C">
              <w:rPr>
                <w:color w:val="000000"/>
                <w:lang w:val="es-ES"/>
              </w:rPr>
              <w:t>(</w:t>
            </w:r>
            <w:r w:rsidR="00F55E9F" w:rsidRPr="002D741C">
              <w:rPr>
                <w:color w:val="000000"/>
                <w:lang w:val="es-ES"/>
              </w:rPr>
              <w:t xml:space="preserve">ciclos de </w:t>
            </w:r>
            <w:r w:rsidRPr="002D741C">
              <w:rPr>
                <w:color w:val="000000"/>
                <w:lang w:val="es-ES"/>
              </w:rPr>
              <w:t>8-</w:t>
            </w:r>
            <w:r w:rsidR="00F55E9F" w:rsidRPr="002D741C">
              <w:rPr>
                <w:color w:val="000000"/>
                <w:lang w:val="es-ES"/>
              </w:rPr>
              <w:t>semanas</w:t>
            </w:r>
            <w:r w:rsidRPr="002D741C">
              <w:rPr>
                <w:color w:val="000000"/>
                <w:lang w:val="es-ES"/>
              </w:rPr>
              <w:t>)</w:t>
            </w:r>
          </w:p>
          <w:p w14:paraId="61A3EE32" w14:textId="77777777" w:rsidR="003B0A17" w:rsidRPr="002D741C" w:rsidRDefault="003B0A17" w:rsidP="00977D04">
            <w:pPr>
              <w:pStyle w:val="EndnoteText"/>
              <w:widowControl w:val="0"/>
              <w:rPr>
                <w:color w:val="000000"/>
                <w:lang w:val="es-ES"/>
              </w:rPr>
            </w:pPr>
            <w:r w:rsidRPr="002D741C">
              <w:rPr>
                <w:color w:val="000000"/>
                <w:lang w:val="es-ES"/>
              </w:rPr>
              <w:t>C</w:t>
            </w:r>
            <w:r w:rsidR="00F55E9F" w:rsidRPr="002D741C">
              <w:rPr>
                <w:color w:val="000000"/>
                <w:lang w:val="es-ES"/>
              </w:rPr>
              <w:t>i</w:t>
            </w:r>
            <w:r w:rsidRPr="002D741C">
              <w:rPr>
                <w:color w:val="000000"/>
                <w:lang w:val="es-ES"/>
              </w:rPr>
              <w:t>cl</w:t>
            </w:r>
            <w:r w:rsidR="00977D04" w:rsidRPr="002D741C">
              <w:rPr>
                <w:color w:val="000000"/>
                <w:lang w:val="es-ES"/>
              </w:rPr>
              <w:t>o</w:t>
            </w:r>
            <w:r w:rsidRPr="002D741C">
              <w:rPr>
                <w:color w:val="000000"/>
                <w:lang w:val="es-ES"/>
              </w:rPr>
              <w:t> 5</w:t>
            </w:r>
          </w:p>
        </w:tc>
        <w:tc>
          <w:tcPr>
            <w:tcW w:w="6929" w:type="dxa"/>
            <w:shd w:val="clear" w:color="auto" w:fill="auto"/>
          </w:tcPr>
          <w:p w14:paraId="68F5F08B" w14:textId="77777777" w:rsidR="003B0A17" w:rsidRPr="002D741C" w:rsidRDefault="00F55E9F" w:rsidP="003B0A17">
            <w:pPr>
              <w:pStyle w:val="EndnoteText"/>
              <w:widowControl w:val="0"/>
              <w:rPr>
                <w:color w:val="000000"/>
                <w:lang w:val="es-ES"/>
              </w:rPr>
            </w:pPr>
            <w:r w:rsidRPr="002D741C">
              <w:rPr>
                <w:color w:val="000000"/>
                <w:lang w:val="es-ES"/>
              </w:rPr>
              <w:t>Irradiación craneal (Bloque</w:t>
            </w:r>
            <w:r w:rsidR="003B0A17" w:rsidRPr="002D741C">
              <w:rPr>
                <w:color w:val="000000"/>
                <w:lang w:val="es-ES"/>
              </w:rPr>
              <w:t xml:space="preserve"> 5 </w:t>
            </w:r>
            <w:r w:rsidRPr="002D741C">
              <w:rPr>
                <w:color w:val="000000"/>
                <w:lang w:val="es-ES"/>
              </w:rPr>
              <w:t>sólo</w:t>
            </w:r>
            <w:r w:rsidR="003B0A17" w:rsidRPr="002D741C">
              <w:rPr>
                <w:color w:val="000000"/>
                <w:lang w:val="es-ES"/>
              </w:rPr>
              <w:t>)</w:t>
            </w:r>
          </w:p>
          <w:p w14:paraId="3E19F26B" w14:textId="77777777" w:rsidR="003B0A17" w:rsidRPr="002D741C" w:rsidRDefault="003B0A17" w:rsidP="003B0A17">
            <w:pPr>
              <w:pStyle w:val="EndnoteText"/>
              <w:widowControl w:val="0"/>
              <w:rPr>
                <w:color w:val="000000"/>
                <w:lang w:val="es-ES"/>
              </w:rPr>
            </w:pPr>
            <w:r w:rsidRPr="002D741C">
              <w:rPr>
                <w:color w:val="000000"/>
                <w:lang w:val="es-ES"/>
              </w:rPr>
              <w:t xml:space="preserve">12 Gy </w:t>
            </w:r>
            <w:r w:rsidR="00F55E9F" w:rsidRPr="002D741C">
              <w:rPr>
                <w:color w:val="000000"/>
                <w:lang w:val="es-ES"/>
              </w:rPr>
              <w:t>en</w:t>
            </w:r>
            <w:r w:rsidRPr="002D741C">
              <w:rPr>
                <w:color w:val="000000"/>
                <w:lang w:val="es-ES"/>
              </w:rPr>
              <w:t xml:space="preserve"> 8 frac</w:t>
            </w:r>
            <w:r w:rsidR="00F55E9F" w:rsidRPr="002D741C">
              <w:rPr>
                <w:color w:val="000000"/>
                <w:lang w:val="es-ES"/>
              </w:rPr>
              <w:t>ciones</w:t>
            </w:r>
            <w:r w:rsidRPr="002D741C">
              <w:rPr>
                <w:color w:val="000000"/>
                <w:lang w:val="es-ES"/>
              </w:rPr>
              <w:t xml:space="preserve"> </w:t>
            </w:r>
            <w:r w:rsidR="00F55E9F" w:rsidRPr="002D741C">
              <w:rPr>
                <w:color w:val="000000"/>
                <w:lang w:val="es-ES"/>
              </w:rPr>
              <w:t xml:space="preserve">para todos los pacientes que son </w:t>
            </w:r>
            <w:r w:rsidRPr="002D741C">
              <w:rPr>
                <w:color w:val="000000"/>
                <w:lang w:val="es-ES"/>
              </w:rPr>
              <w:t xml:space="preserve">CNS1 </w:t>
            </w:r>
            <w:r w:rsidR="00F55E9F" w:rsidRPr="002D741C">
              <w:rPr>
                <w:color w:val="000000"/>
                <w:lang w:val="es-ES"/>
              </w:rPr>
              <w:t xml:space="preserve">y </w:t>
            </w:r>
            <w:r w:rsidRPr="002D741C">
              <w:rPr>
                <w:color w:val="000000"/>
                <w:lang w:val="es-ES"/>
              </w:rPr>
              <w:t xml:space="preserve">CNS2 </w:t>
            </w:r>
            <w:r w:rsidR="00F55E9F" w:rsidRPr="002D741C">
              <w:rPr>
                <w:color w:val="000000"/>
                <w:lang w:val="es-ES"/>
              </w:rPr>
              <w:t>en el diagnóstico</w:t>
            </w:r>
          </w:p>
          <w:p w14:paraId="0475B842" w14:textId="77777777" w:rsidR="003B0A17" w:rsidRPr="002D741C" w:rsidRDefault="00977D04" w:rsidP="003B0A17">
            <w:pPr>
              <w:pStyle w:val="EndnoteText"/>
              <w:widowControl w:val="0"/>
              <w:rPr>
                <w:color w:val="000000"/>
                <w:lang w:val="es-ES"/>
              </w:rPr>
            </w:pPr>
            <w:r w:rsidRPr="002D741C">
              <w:rPr>
                <w:color w:val="000000"/>
                <w:lang w:val="es-ES"/>
              </w:rPr>
              <w:t>18 Gy e</w:t>
            </w:r>
            <w:r w:rsidR="003B0A17" w:rsidRPr="002D741C">
              <w:rPr>
                <w:color w:val="000000"/>
                <w:lang w:val="es-ES"/>
              </w:rPr>
              <w:t>n 10 frac</w:t>
            </w:r>
            <w:r w:rsidRPr="002D741C">
              <w:rPr>
                <w:color w:val="000000"/>
                <w:lang w:val="es-ES"/>
              </w:rPr>
              <w:t>ciones</w:t>
            </w:r>
            <w:r w:rsidR="003B0A17" w:rsidRPr="002D741C">
              <w:rPr>
                <w:color w:val="000000"/>
                <w:lang w:val="es-ES"/>
              </w:rPr>
              <w:t xml:space="preserve"> </w:t>
            </w:r>
            <w:r w:rsidRPr="002D741C">
              <w:rPr>
                <w:color w:val="000000"/>
                <w:lang w:val="es-ES"/>
              </w:rPr>
              <w:t xml:space="preserve">para pacientes que son </w:t>
            </w:r>
            <w:r w:rsidR="003B0A17" w:rsidRPr="002D741C">
              <w:rPr>
                <w:color w:val="000000"/>
                <w:lang w:val="es-ES"/>
              </w:rPr>
              <w:t xml:space="preserve">CNS3 </w:t>
            </w:r>
            <w:r w:rsidRPr="002D741C">
              <w:rPr>
                <w:color w:val="000000"/>
                <w:lang w:val="es-ES"/>
              </w:rPr>
              <w:t>en el diagnóstico</w:t>
            </w:r>
          </w:p>
          <w:p w14:paraId="332A7719" w14:textId="77777777" w:rsidR="003B0A17" w:rsidRPr="002D741C" w:rsidRDefault="003B0A17" w:rsidP="003B0A17">
            <w:pPr>
              <w:pStyle w:val="EndnoteText"/>
              <w:widowControl w:val="0"/>
              <w:rPr>
                <w:color w:val="000000"/>
                <w:lang w:val="es-ES"/>
              </w:rPr>
            </w:pPr>
            <w:r w:rsidRPr="002D741C">
              <w:rPr>
                <w:color w:val="000000"/>
                <w:lang w:val="es-ES"/>
              </w:rPr>
              <w:t>VCR (1</w:t>
            </w:r>
            <w:r w:rsidR="00977D04" w:rsidRPr="002D741C">
              <w:rPr>
                <w:color w:val="000000"/>
                <w:lang w:val="es-ES"/>
              </w:rPr>
              <w:t>,</w:t>
            </w:r>
            <w:r w:rsidRPr="002D741C">
              <w:rPr>
                <w:color w:val="000000"/>
                <w:lang w:val="es-ES"/>
              </w:rPr>
              <w:t>5 mg/m</w:t>
            </w:r>
            <w:r w:rsidRPr="002D741C">
              <w:rPr>
                <w:color w:val="000000"/>
                <w:vertAlign w:val="superscript"/>
                <w:lang w:val="es-ES"/>
              </w:rPr>
              <w:t>2</w:t>
            </w:r>
            <w:r w:rsidRPr="002D741C">
              <w:rPr>
                <w:color w:val="000000"/>
                <w:lang w:val="es-ES"/>
              </w:rPr>
              <w:t>/d</w:t>
            </w:r>
            <w:r w:rsidR="00977D04" w:rsidRPr="002D741C">
              <w:rPr>
                <w:color w:val="000000"/>
                <w:lang w:val="es-ES"/>
              </w:rPr>
              <w:t>ía</w:t>
            </w:r>
            <w:r w:rsidRPr="002D741C">
              <w:rPr>
                <w:color w:val="000000"/>
                <w:lang w:val="es-ES"/>
              </w:rPr>
              <w:t>, IV): d</w:t>
            </w:r>
            <w:r w:rsidR="00AB1535" w:rsidRPr="002D741C">
              <w:rPr>
                <w:color w:val="000000"/>
                <w:lang w:val="es-ES"/>
              </w:rPr>
              <w:t>ías</w:t>
            </w:r>
            <w:r w:rsidRPr="002D741C">
              <w:rPr>
                <w:color w:val="000000"/>
                <w:lang w:val="es-ES"/>
              </w:rPr>
              <w:t> 1, 29</w:t>
            </w:r>
          </w:p>
          <w:p w14:paraId="7F27B99E" w14:textId="77777777" w:rsidR="003B0A17" w:rsidRPr="002D741C" w:rsidRDefault="003B0A17" w:rsidP="003B0A17">
            <w:pPr>
              <w:pStyle w:val="EndnoteText"/>
              <w:widowControl w:val="0"/>
              <w:rPr>
                <w:color w:val="000000"/>
                <w:lang w:val="es-ES"/>
              </w:rPr>
            </w:pPr>
            <w:smartTag w:uri="urn:schemas-microsoft-com:office:smarttags" w:element="PersonName">
              <w:r w:rsidRPr="002D741C">
                <w:rPr>
                  <w:color w:val="000000"/>
                  <w:lang w:val="es-ES"/>
                </w:rPr>
                <w:t>DE</w:t>
              </w:r>
            </w:smartTag>
            <w:r w:rsidRPr="002D741C">
              <w:rPr>
                <w:color w:val="000000"/>
                <w:lang w:val="es-ES"/>
              </w:rPr>
              <w:t>X (6 mg/m</w:t>
            </w:r>
            <w:r w:rsidRPr="002D741C">
              <w:rPr>
                <w:color w:val="000000"/>
                <w:vertAlign w:val="superscript"/>
                <w:lang w:val="es-ES"/>
              </w:rPr>
              <w:t>2</w:t>
            </w:r>
            <w:r w:rsidRPr="002D741C">
              <w:rPr>
                <w:color w:val="000000"/>
                <w:lang w:val="es-ES"/>
              </w:rPr>
              <w:t>/d</w:t>
            </w:r>
            <w:r w:rsidR="00AB1535" w:rsidRPr="002D741C">
              <w:rPr>
                <w:color w:val="000000"/>
                <w:lang w:val="es-ES"/>
              </w:rPr>
              <w:t>ía</w:t>
            </w:r>
            <w:r w:rsidRPr="002D741C">
              <w:rPr>
                <w:color w:val="000000"/>
                <w:lang w:val="es-ES"/>
              </w:rPr>
              <w:t>, PO): d</w:t>
            </w:r>
            <w:r w:rsidR="00AB1535" w:rsidRPr="002D741C">
              <w:rPr>
                <w:color w:val="000000"/>
                <w:lang w:val="es-ES"/>
              </w:rPr>
              <w:t>ías</w:t>
            </w:r>
            <w:r w:rsidRPr="002D741C">
              <w:rPr>
                <w:color w:val="000000"/>
                <w:lang w:val="es-ES"/>
              </w:rPr>
              <w:t> 1</w:t>
            </w:r>
            <w:r w:rsidRPr="002D741C">
              <w:rPr>
                <w:color w:val="000000"/>
                <w:lang w:val="es-ES"/>
              </w:rPr>
              <w:noBreakHyphen/>
              <w:t>5; 29</w:t>
            </w:r>
            <w:r w:rsidRPr="002D741C">
              <w:rPr>
                <w:color w:val="000000"/>
                <w:lang w:val="es-ES"/>
              </w:rPr>
              <w:noBreakHyphen/>
              <w:t>33</w:t>
            </w:r>
          </w:p>
          <w:p w14:paraId="3208E3CD" w14:textId="77777777" w:rsidR="003B0A17" w:rsidRPr="002D741C" w:rsidRDefault="003B0A17" w:rsidP="003B0A17">
            <w:pPr>
              <w:pStyle w:val="EndnoteText"/>
              <w:widowControl w:val="0"/>
              <w:rPr>
                <w:color w:val="000000"/>
                <w:lang w:val="es-ES"/>
              </w:rPr>
            </w:pPr>
            <w:r w:rsidRPr="002D741C">
              <w:rPr>
                <w:color w:val="000000"/>
                <w:lang w:val="es-ES"/>
              </w:rPr>
              <w:t>6-MP (75 mg/m</w:t>
            </w:r>
            <w:r w:rsidRPr="002D741C">
              <w:rPr>
                <w:color w:val="000000"/>
                <w:vertAlign w:val="superscript"/>
                <w:lang w:val="es-ES"/>
              </w:rPr>
              <w:t>2</w:t>
            </w:r>
            <w:r w:rsidRPr="002D741C">
              <w:rPr>
                <w:color w:val="000000"/>
                <w:lang w:val="es-ES"/>
              </w:rPr>
              <w:t>/d</w:t>
            </w:r>
            <w:r w:rsidR="00AB1535" w:rsidRPr="002D741C">
              <w:rPr>
                <w:color w:val="000000"/>
                <w:lang w:val="es-ES"/>
              </w:rPr>
              <w:t>ía</w:t>
            </w:r>
            <w:r w:rsidRPr="002D741C">
              <w:rPr>
                <w:color w:val="000000"/>
                <w:lang w:val="es-ES"/>
              </w:rPr>
              <w:t>, PO): d</w:t>
            </w:r>
            <w:r w:rsidR="00AB1535" w:rsidRPr="002D741C">
              <w:rPr>
                <w:color w:val="000000"/>
                <w:lang w:val="es-ES"/>
              </w:rPr>
              <w:t>ías</w:t>
            </w:r>
            <w:r w:rsidRPr="002D741C">
              <w:rPr>
                <w:color w:val="000000"/>
                <w:lang w:val="es-ES"/>
              </w:rPr>
              <w:t> 11</w:t>
            </w:r>
            <w:r w:rsidRPr="002D741C">
              <w:rPr>
                <w:color w:val="000000"/>
                <w:lang w:val="es-ES"/>
              </w:rPr>
              <w:noBreakHyphen/>
              <w:t>56 (</w:t>
            </w:r>
            <w:r w:rsidR="00633DCE" w:rsidRPr="002D741C">
              <w:rPr>
                <w:color w:val="000000"/>
                <w:lang w:val="es-ES"/>
              </w:rPr>
              <w:t>Retirar</w:t>
            </w:r>
            <w:r w:rsidRPr="002D741C">
              <w:rPr>
                <w:color w:val="000000"/>
                <w:lang w:val="es-ES"/>
              </w:rPr>
              <w:t xml:space="preserve"> 6-MP </w:t>
            </w:r>
            <w:r w:rsidR="00AB1535" w:rsidRPr="002D741C">
              <w:rPr>
                <w:color w:val="000000"/>
                <w:lang w:val="es-ES"/>
              </w:rPr>
              <w:t>durante</w:t>
            </w:r>
            <w:r w:rsidRPr="002D741C">
              <w:rPr>
                <w:color w:val="000000"/>
                <w:lang w:val="es-ES"/>
              </w:rPr>
              <w:t xml:space="preserve"> </w:t>
            </w:r>
            <w:r w:rsidR="00AB1535" w:rsidRPr="002D741C">
              <w:rPr>
                <w:color w:val="000000"/>
                <w:lang w:val="es-ES"/>
              </w:rPr>
              <w:t>los</w:t>
            </w:r>
            <w:r w:rsidRPr="002D741C">
              <w:rPr>
                <w:color w:val="000000"/>
                <w:lang w:val="es-ES"/>
              </w:rPr>
              <w:t xml:space="preserve"> 6</w:t>
            </w:r>
            <w:r w:rsidRPr="002D741C">
              <w:rPr>
                <w:color w:val="000000"/>
                <w:lang w:val="es-ES"/>
              </w:rPr>
              <w:noBreakHyphen/>
              <w:t>10 </w:t>
            </w:r>
            <w:r w:rsidR="00AB1535" w:rsidRPr="002D741C">
              <w:rPr>
                <w:color w:val="000000"/>
                <w:lang w:val="es-ES"/>
              </w:rPr>
              <w:t>días de irradiación cran</w:t>
            </w:r>
            <w:r w:rsidR="00EB1686" w:rsidRPr="002D741C">
              <w:rPr>
                <w:color w:val="000000"/>
                <w:lang w:val="es-ES"/>
              </w:rPr>
              <w:t>e</w:t>
            </w:r>
            <w:r w:rsidR="00AB1535" w:rsidRPr="002D741C">
              <w:rPr>
                <w:color w:val="000000"/>
                <w:lang w:val="es-ES"/>
              </w:rPr>
              <w:t>al empezando en el día</w:t>
            </w:r>
            <w:r w:rsidRPr="002D741C">
              <w:rPr>
                <w:color w:val="000000"/>
                <w:lang w:val="es-ES"/>
              </w:rPr>
              <w:t xml:space="preserve"> 1 </w:t>
            </w:r>
            <w:r w:rsidR="00AB1535" w:rsidRPr="002D741C">
              <w:rPr>
                <w:color w:val="000000"/>
                <w:lang w:val="es-ES"/>
              </w:rPr>
              <w:t>del</w:t>
            </w:r>
            <w:r w:rsidRPr="002D741C">
              <w:rPr>
                <w:color w:val="000000"/>
                <w:lang w:val="es-ES"/>
              </w:rPr>
              <w:t xml:space="preserve"> </w:t>
            </w:r>
            <w:r w:rsidR="00AB1535" w:rsidRPr="002D741C">
              <w:rPr>
                <w:color w:val="000000"/>
                <w:lang w:val="es-ES"/>
              </w:rPr>
              <w:t>Ciclo</w:t>
            </w:r>
            <w:r w:rsidRPr="002D741C">
              <w:rPr>
                <w:color w:val="000000"/>
                <w:lang w:val="es-ES"/>
              </w:rPr>
              <w:t xml:space="preserve"> 5. </w:t>
            </w:r>
            <w:r w:rsidR="00AB1535" w:rsidRPr="002D741C">
              <w:rPr>
                <w:color w:val="000000"/>
                <w:lang w:val="es-ES"/>
              </w:rPr>
              <w:t>Iniciar</w:t>
            </w:r>
            <w:r w:rsidRPr="002D741C">
              <w:rPr>
                <w:color w:val="000000"/>
                <w:lang w:val="es-ES"/>
              </w:rPr>
              <w:t xml:space="preserve"> 6-MP </w:t>
            </w:r>
            <w:r w:rsidR="00AB1535" w:rsidRPr="002D741C">
              <w:rPr>
                <w:color w:val="000000"/>
                <w:lang w:val="es-ES"/>
              </w:rPr>
              <w:t>el primer día tras completer la irradiación craneal)</w:t>
            </w:r>
          </w:p>
          <w:p w14:paraId="1A17FDA0" w14:textId="086D6021" w:rsidR="003B0A17" w:rsidRPr="00DF6C0D" w:rsidRDefault="00AB1535" w:rsidP="00AB1535">
            <w:pPr>
              <w:pStyle w:val="EndnoteText"/>
              <w:widowControl w:val="0"/>
              <w:rPr>
                <w:color w:val="000000"/>
                <w:lang w:val="es-ES"/>
              </w:rPr>
            </w:pPr>
            <w:r w:rsidRPr="002D741C">
              <w:rPr>
                <w:color w:val="000000"/>
                <w:lang w:val="it-IT"/>
              </w:rPr>
              <w:t>Met</w:t>
            </w:r>
            <w:r w:rsidR="003B0A17" w:rsidRPr="002D741C">
              <w:rPr>
                <w:color w:val="000000"/>
                <w:lang w:val="it-IT"/>
              </w:rPr>
              <w:t>otrexat</w:t>
            </w:r>
            <w:r w:rsidRPr="002D741C">
              <w:rPr>
                <w:color w:val="000000"/>
                <w:lang w:val="it-IT"/>
              </w:rPr>
              <w:t>o</w:t>
            </w:r>
            <w:r w:rsidR="003B0A17" w:rsidRPr="002D741C">
              <w:rPr>
                <w:color w:val="000000"/>
                <w:lang w:val="it-IT"/>
              </w:rPr>
              <w:t xml:space="preserve"> (20 mg/m</w:t>
            </w:r>
            <w:r w:rsidR="003B0A17" w:rsidRPr="002D741C">
              <w:rPr>
                <w:color w:val="000000"/>
                <w:vertAlign w:val="superscript"/>
                <w:lang w:val="it-IT"/>
              </w:rPr>
              <w:t>2</w:t>
            </w:r>
            <w:r w:rsidR="003B0A17" w:rsidRPr="002D741C">
              <w:rPr>
                <w:color w:val="000000"/>
                <w:lang w:val="it-IT"/>
              </w:rPr>
              <w:t>/</w:t>
            </w:r>
            <w:r w:rsidRPr="002D741C">
              <w:rPr>
                <w:color w:val="000000"/>
                <w:lang w:val="it-IT"/>
              </w:rPr>
              <w:t>semana</w:t>
            </w:r>
            <w:r w:rsidR="003B0A17" w:rsidRPr="002D741C">
              <w:rPr>
                <w:color w:val="000000"/>
                <w:lang w:val="it-IT"/>
              </w:rPr>
              <w:t>, PO): d</w:t>
            </w:r>
            <w:r w:rsidRPr="002D741C">
              <w:rPr>
                <w:color w:val="000000"/>
                <w:lang w:val="it-IT"/>
              </w:rPr>
              <w:t>ías</w:t>
            </w:r>
            <w:r w:rsidR="003B0A17" w:rsidRPr="00DF6C0D">
              <w:rPr>
                <w:color w:val="000000"/>
                <w:lang w:val="es-ES"/>
              </w:rPr>
              <w:t> 8, 15, 22, 29, 36, 43, 50</w:t>
            </w:r>
          </w:p>
        </w:tc>
      </w:tr>
      <w:tr w:rsidR="003B0A17" w:rsidRPr="002D741C" w14:paraId="09E1C694" w14:textId="77777777" w:rsidTr="00C16E58">
        <w:trPr>
          <w:cantSplit/>
        </w:trPr>
        <w:tc>
          <w:tcPr>
            <w:tcW w:w="2358" w:type="dxa"/>
            <w:shd w:val="clear" w:color="auto" w:fill="auto"/>
          </w:tcPr>
          <w:p w14:paraId="615B65BE" w14:textId="77777777" w:rsidR="003B0A17" w:rsidRPr="002D741C" w:rsidRDefault="00AB1535" w:rsidP="00C16E58">
            <w:pPr>
              <w:pStyle w:val="EndnoteText"/>
              <w:keepNext/>
              <w:widowControl w:val="0"/>
              <w:rPr>
                <w:color w:val="000000"/>
                <w:lang w:val="es-ES"/>
              </w:rPr>
            </w:pPr>
            <w:r w:rsidRPr="002D741C">
              <w:rPr>
                <w:color w:val="000000"/>
                <w:lang w:val="es-ES"/>
              </w:rPr>
              <w:lastRenderedPageBreak/>
              <w:t>Ma</w:t>
            </w:r>
            <w:r w:rsidR="003B0A17" w:rsidRPr="002D741C">
              <w:rPr>
                <w:color w:val="000000"/>
                <w:lang w:val="es-ES"/>
              </w:rPr>
              <w:t>nten</w:t>
            </w:r>
            <w:r w:rsidRPr="002D741C">
              <w:rPr>
                <w:color w:val="000000"/>
                <w:lang w:val="es-ES"/>
              </w:rPr>
              <w:t>imiento</w:t>
            </w:r>
          </w:p>
          <w:p w14:paraId="0A5B0A89" w14:textId="77777777" w:rsidR="003B0A17" w:rsidRPr="002D741C" w:rsidRDefault="003B0A17" w:rsidP="00C16E58">
            <w:pPr>
              <w:pStyle w:val="EndnoteText"/>
              <w:keepNext/>
              <w:widowControl w:val="0"/>
              <w:rPr>
                <w:color w:val="000000"/>
                <w:lang w:val="es-ES"/>
              </w:rPr>
            </w:pPr>
            <w:r w:rsidRPr="002D741C">
              <w:rPr>
                <w:color w:val="000000"/>
                <w:lang w:val="es-ES"/>
              </w:rPr>
              <w:t>(</w:t>
            </w:r>
            <w:r w:rsidR="00AB1535" w:rsidRPr="002D741C">
              <w:rPr>
                <w:color w:val="000000"/>
                <w:lang w:val="es-ES"/>
              </w:rPr>
              <w:t xml:space="preserve">ciclos de </w:t>
            </w:r>
            <w:r w:rsidRPr="002D741C">
              <w:rPr>
                <w:color w:val="000000"/>
                <w:lang w:val="es-ES"/>
              </w:rPr>
              <w:t>8-</w:t>
            </w:r>
            <w:r w:rsidR="00AB1535" w:rsidRPr="002D741C">
              <w:rPr>
                <w:color w:val="000000"/>
                <w:lang w:val="es-ES"/>
              </w:rPr>
              <w:t>semanas)</w:t>
            </w:r>
          </w:p>
          <w:p w14:paraId="61AFDB72" w14:textId="77777777" w:rsidR="003B0A17" w:rsidRPr="002D741C" w:rsidRDefault="00AB1535" w:rsidP="00C16E58">
            <w:pPr>
              <w:pStyle w:val="EndnoteText"/>
              <w:keepNext/>
              <w:widowControl w:val="0"/>
              <w:rPr>
                <w:color w:val="000000"/>
                <w:lang w:val="es-ES"/>
              </w:rPr>
            </w:pPr>
            <w:r w:rsidRPr="002D741C">
              <w:rPr>
                <w:color w:val="000000"/>
                <w:lang w:val="es-ES"/>
              </w:rPr>
              <w:t>Ci</w:t>
            </w:r>
            <w:r w:rsidR="003B0A17" w:rsidRPr="002D741C">
              <w:rPr>
                <w:color w:val="000000"/>
                <w:lang w:val="es-ES"/>
              </w:rPr>
              <w:t>cl</w:t>
            </w:r>
            <w:r w:rsidRPr="002D741C">
              <w:rPr>
                <w:color w:val="000000"/>
                <w:lang w:val="es-ES"/>
              </w:rPr>
              <w:t>o</w:t>
            </w:r>
            <w:r w:rsidR="003B0A17" w:rsidRPr="002D741C">
              <w:rPr>
                <w:color w:val="000000"/>
                <w:lang w:val="es-ES"/>
              </w:rPr>
              <w:t>s 6</w:t>
            </w:r>
            <w:r w:rsidR="003B0A17" w:rsidRPr="002D741C">
              <w:rPr>
                <w:color w:val="000000"/>
                <w:lang w:val="es-ES"/>
              </w:rPr>
              <w:noBreakHyphen/>
              <w:t>12</w:t>
            </w:r>
          </w:p>
        </w:tc>
        <w:tc>
          <w:tcPr>
            <w:tcW w:w="6929" w:type="dxa"/>
            <w:shd w:val="clear" w:color="auto" w:fill="auto"/>
          </w:tcPr>
          <w:p w14:paraId="32828EAA" w14:textId="77777777" w:rsidR="003B0A17" w:rsidRPr="002D741C" w:rsidRDefault="003B0A17" w:rsidP="00C16E58">
            <w:pPr>
              <w:pStyle w:val="EndnoteText"/>
              <w:keepNext/>
              <w:widowControl w:val="0"/>
              <w:rPr>
                <w:color w:val="000000"/>
                <w:lang w:val="es-ES"/>
              </w:rPr>
            </w:pPr>
            <w:r w:rsidRPr="002D741C">
              <w:rPr>
                <w:color w:val="000000"/>
                <w:lang w:val="es-ES"/>
              </w:rPr>
              <w:t>VCR (1</w:t>
            </w:r>
            <w:r w:rsidR="00AB1535" w:rsidRPr="002D741C">
              <w:rPr>
                <w:color w:val="000000"/>
                <w:lang w:val="es-ES"/>
              </w:rPr>
              <w:t>,</w:t>
            </w:r>
            <w:r w:rsidRPr="002D741C">
              <w:rPr>
                <w:color w:val="000000"/>
                <w:lang w:val="es-ES"/>
              </w:rPr>
              <w:t>5 mg/m</w:t>
            </w:r>
            <w:r w:rsidRPr="002D741C">
              <w:rPr>
                <w:color w:val="000000"/>
                <w:vertAlign w:val="superscript"/>
                <w:lang w:val="es-ES"/>
              </w:rPr>
              <w:t>2</w:t>
            </w:r>
            <w:r w:rsidRPr="002D741C">
              <w:rPr>
                <w:color w:val="000000"/>
                <w:lang w:val="es-ES"/>
              </w:rPr>
              <w:t>/d</w:t>
            </w:r>
            <w:r w:rsidR="00AB1535" w:rsidRPr="002D741C">
              <w:rPr>
                <w:color w:val="000000"/>
                <w:lang w:val="es-ES"/>
              </w:rPr>
              <w:t>ía</w:t>
            </w:r>
            <w:r w:rsidRPr="002D741C">
              <w:rPr>
                <w:color w:val="000000"/>
                <w:lang w:val="es-ES"/>
              </w:rPr>
              <w:t>, IV): d</w:t>
            </w:r>
            <w:r w:rsidR="00AB1535" w:rsidRPr="002D741C">
              <w:rPr>
                <w:color w:val="000000"/>
                <w:lang w:val="es-ES"/>
              </w:rPr>
              <w:t>ías</w:t>
            </w:r>
            <w:r w:rsidRPr="002D741C">
              <w:rPr>
                <w:color w:val="000000"/>
                <w:lang w:val="es-ES"/>
              </w:rPr>
              <w:t> 1, 29</w:t>
            </w:r>
          </w:p>
          <w:p w14:paraId="55A7D8F6" w14:textId="77777777" w:rsidR="003B0A17" w:rsidRPr="002D741C" w:rsidRDefault="003B0A17" w:rsidP="00C16E58">
            <w:pPr>
              <w:pStyle w:val="EndnoteText"/>
              <w:keepNext/>
              <w:widowControl w:val="0"/>
              <w:rPr>
                <w:color w:val="000000"/>
                <w:lang w:val="es-ES"/>
              </w:rPr>
            </w:pPr>
            <w:smartTag w:uri="urn:schemas-microsoft-com:office:smarttags" w:element="PersonName">
              <w:r w:rsidRPr="002D741C">
                <w:rPr>
                  <w:color w:val="000000"/>
                  <w:lang w:val="es-ES"/>
                </w:rPr>
                <w:t>DE</w:t>
              </w:r>
            </w:smartTag>
            <w:r w:rsidRPr="002D741C">
              <w:rPr>
                <w:color w:val="000000"/>
                <w:lang w:val="es-ES"/>
              </w:rPr>
              <w:t>X (6 mg/m</w:t>
            </w:r>
            <w:r w:rsidRPr="002D741C">
              <w:rPr>
                <w:color w:val="000000"/>
                <w:vertAlign w:val="superscript"/>
                <w:lang w:val="es-ES"/>
              </w:rPr>
              <w:t>2</w:t>
            </w:r>
            <w:r w:rsidRPr="002D741C">
              <w:rPr>
                <w:color w:val="000000"/>
                <w:lang w:val="es-ES"/>
              </w:rPr>
              <w:t>/d</w:t>
            </w:r>
            <w:r w:rsidR="00AB1535" w:rsidRPr="002D741C">
              <w:rPr>
                <w:color w:val="000000"/>
                <w:lang w:val="es-ES"/>
              </w:rPr>
              <w:t>ía</w:t>
            </w:r>
            <w:r w:rsidRPr="002D741C">
              <w:rPr>
                <w:color w:val="000000"/>
                <w:lang w:val="es-ES"/>
              </w:rPr>
              <w:t>, PO): d</w:t>
            </w:r>
            <w:r w:rsidR="00AB1535" w:rsidRPr="002D741C">
              <w:rPr>
                <w:color w:val="000000"/>
                <w:lang w:val="es-ES"/>
              </w:rPr>
              <w:t>ías</w:t>
            </w:r>
            <w:r w:rsidRPr="002D741C">
              <w:rPr>
                <w:color w:val="000000"/>
                <w:lang w:val="es-ES"/>
              </w:rPr>
              <w:t> 1</w:t>
            </w:r>
            <w:r w:rsidRPr="002D741C">
              <w:rPr>
                <w:color w:val="000000"/>
                <w:lang w:val="es-ES"/>
              </w:rPr>
              <w:noBreakHyphen/>
              <w:t>5; 29</w:t>
            </w:r>
            <w:r w:rsidRPr="002D741C">
              <w:rPr>
                <w:color w:val="000000"/>
                <w:lang w:val="es-ES"/>
              </w:rPr>
              <w:noBreakHyphen/>
              <w:t>33</w:t>
            </w:r>
          </w:p>
          <w:p w14:paraId="233B40F7" w14:textId="77777777" w:rsidR="003B0A17" w:rsidRPr="002D741C" w:rsidRDefault="003B0A17" w:rsidP="00C16E58">
            <w:pPr>
              <w:pStyle w:val="EndnoteText"/>
              <w:keepNext/>
              <w:widowControl w:val="0"/>
              <w:rPr>
                <w:color w:val="000000"/>
                <w:lang w:val="es-ES"/>
              </w:rPr>
            </w:pPr>
            <w:r w:rsidRPr="002D741C">
              <w:rPr>
                <w:color w:val="000000"/>
                <w:lang w:val="es-ES"/>
              </w:rPr>
              <w:t>6-MP (75 mg/m</w:t>
            </w:r>
            <w:r w:rsidRPr="002D741C">
              <w:rPr>
                <w:color w:val="000000"/>
                <w:vertAlign w:val="superscript"/>
                <w:lang w:val="es-ES"/>
              </w:rPr>
              <w:t>2</w:t>
            </w:r>
            <w:r w:rsidRPr="002D741C">
              <w:rPr>
                <w:color w:val="000000"/>
                <w:lang w:val="es-ES"/>
              </w:rPr>
              <w:t>/d</w:t>
            </w:r>
            <w:r w:rsidR="00AB1535" w:rsidRPr="002D741C">
              <w:rPr>
                <w:color w:val="000000"/>
                <w:lang w:val="es-ES"/>
              </w:rPr>
              <w:t>ía</w:t>
            </w:r>
            <w:r w:rsidRPr="002D741C">
              <w:rPr>
                <w:color w:val="000000"/>
                <w:lang w:val="es-ES"/>
              </w:rPr>
              <w:t>, PO): d</w:t>
            </w:r>
            <w:r w:rsidR="00AB1535" w:rsidRPr="002D741C">
              <w:rPr>
                <w:color w:val="000000"/>
                <w:lang w:val="es-ES"/>
              </w:rPr>
              <w:t>ías</w:t>
            </w:r>
            <w:r w:rsidRPr="002D741C">
              <w:rPr>
                <w:color w:val="000000"/>
                <w:lang w:val="es-ES"/>
              </w:rPr>
              <w:t> 1</w:t>
            </w:r>
            <w:r w:rsidRPr="002D741C">
              <w:rPr>
                <w:color w:val="000000"/>
                <w:lang w:val="es-ES"/>
              </w:rPr>
              <w:noBreakHyphen/>
              <w:t>56</w:t>
            </w:r>
          </w:p>
          <w:p w14:paraId="33381747" w14:textId="77777777" w:rsidR="003B0A17" w:rsidRPr="002D741C" w:rsidRDefault="003B0A17" w:rsidP="00C16E58">
            <w:pPr>
              <w:pStyle w:val="EndnoteText"/>
              <w:keepNext/>
              <w:widowControl w:val="0"/>
              <w:rPr>
                <w:color w:val="000000"/>
                <w:lang w:val="it-IT"/>
              </w:rPr>
            </w:pPr>
            <w:r w:rsidRPr="002D741C">
              <w:rPr>
                <w:color w:val="000000"/>
                <w:lang w:val="it-IT"/>
              </w:rPr>
              <w:t>Metotrexat</w:t>
            </w:r>
            <w:r w:rsidR="00AB1535" w:rsidRPr="002D741C">
              <w:rPr>
                <w:color w:val="000000"/>
                <w:lang w:val="it-IT"/>
              </w:rPr>
              <w:t>o</w:t>
            </w:r>
            <w:r w:rsidRPr="002D741C">
              <w:rPr>
                <w:color w:val="000000"/>
                <w:lang w:val="it-IT"/>
              </w:rPr>
              <w:t xml:space="preserve"> (20 mg/m</w:t>
            </w:r>
            <w:r w:rsidRPr="002D741C">
              <w:rPr>
                <w:color w:val="000000"/>
                <w:vertAlign w:val="superscript"/>
                <w:lang w:val="it-IT"/>
              </w:rPr>
              <w:t>2</w:t>
            </w:r>
            <w:r w:rsidRPr="002D741C">
              <w:rPr>
                <w:color w:val="000000"/>
                <w:lang w:val="it-IT"/>
              </w:rPr>
              <w:t>/</w:t>
            </w:r>
            <w:r w:rsidR="00AB1535" w:rsidRPr="002D741C">
              <w:rPr>
                <w:color w:val="000000"/>
                <w:lang w:val="it-IT"/>
              </w:rPr>
              <w:t>semana</w:t>
            </w:r>
            <w:r w:rsidRPr="002D741C">
              <w:rPr>
                <w:color w:val="000000"/>
                <w:lang w:val="it-IT"/>
              </w:rPr>
              <w:t>, PO): d</w:t>
            </w:r>
            <w:r w:rsidR="00AB1535" w:rsidRPr="002D741C">
              <w:rPr>
                <w:color w:val="000000"/>
                <w:lang w:val="it-IT"/>
              </w:rPr>
              <w:t>ías</w:t>
            </w:r>
            <w:r w:rsidRPr="002D741C">
              <w:rPr>
                <w:color w:val="000000"/>
                <w:lang w:val="it-IT"/>
              </w:rPr>
              <w:t> 1, 8, 15, 22, 29, 36, 43, 50</w:t>
            </w:r>
          </w:p>
        </w:tc>
      </w:tr>
    </w:tbl>
    <w:p w14:paraId="358BCFB1" w14:textId="77777777" w:rsidR="00C55DC1" w:rsidRPr="002D741C" w:rsidRDefault="00C55DC1" w:rsidP="00C16E58">
      <w:pPr>
        <w:pStyle w:val="EndnoteText"/>
        <w:keepLines/>
        <w:widowControl w:val="0"/>
        <w:rPr>
          <w:color w:val="000000"/>
          <w:szCs w:val="22"/>
          <w:lang w:val="it-IT"/>
        </w:rPr>
      </w:pPr>
      <w:r w:rsidRPr="002D741C">
        <w:rPr>
          <w:color w:val="000000"/>
          <w:szCs w:val="22"/>
          <w:lang w:val="it-IT"/>
        </w:rPr>
        <w:t xml:space="preserve">G-CSF = factor estimulante de colonias de granulocitos, VP-16 = etopósido, </w:t>
      </w:r>
      <w:smartTag w:uri="urn:schemas-microsoft-com:office:smarttags" w:element="PersonName">
        <w:r w:rsidRPr="002D741C">
          <w:rPr>
            <w:color w:val="000000"/>
            <w:szCs w:val="22"/>
            <w:lang w:val="it-IT"/>
          </w:rPr>
          <w:t>MT</w:t>
        </w:r>
      </w:smartTag>
      <w:r w:rsidRPr="002D741C">
        <w:rPr>
          <w:color w:val="000000"/>
          <w:szCs w:val="22"/>
          <w:lang w:val="it-IT"/>
        </w:rPr>
        <w:t>X = metotrexato, IV = intravenoso, SC = subcut</w:t>
      </w:r>
      <w:r w:rsidR="004D4A7C" w:rsidRPr="002D741C">
        <w:rPr>
          <w:color w:val="000000"/>
          <w:szCs w:val="22"/>
          <w:lang w:val="it-IT"/>
        </w:rPr>
        <w:t>á</w:t>
      </w:r>
      <w:r w:rsidRPr="002D741C">
        <w:rPr>
          <w:color w:val="000000"/>
          <w:szCs w:val="22"/>
          <w:lang w:val="it-IT"/>
        </w:rPr>
        <w:t xml:space="preserve">neo, </w:t>
      </w:r>
      <w:smartTag w:uri="urn:schemas-microsoft-com:office:smarttags" w:element="PersonName">
        <w:r w:rsidRPr="002D741C">
          <w:rPr>
            <w:color w:val="000000"/>
            <w:szCs w:val="22"/>
            <w:lang w:val="it-IT"/>
          </w:rPr>
          <w:t>IT</w:t>
        </w:r>
      </w:smartTag>
      <w:r w:rsidRPr="002D741C">
        <w:rPr>
          <w:color w:val="000000"/>
          <w:szCs w:val="22"/>
          <w:lang w:val="it-IT"/>
        </w:rPr>
        <w:t xml:space="preserve"> = intratecal, PO = oral, IM = intramuscular, ARA-C = citarabina, CPM = ciclofosfamida,</w:t>
      </w:r>
      <w:r w:rsidR="00EB1686" w:rsidRPr="002D741C">
        <w:rPr>
          <w:color w:val="000000"/>
          <w:szCs w:val="22"/>
          <w:lang w:val="it-IT"/>
        </w:rPr>
        <w:t xml:space="preserve"> VCR = vincristina,</w:t>
      </w:r>
      <w:r w:rsidRPr="002D741C">
        <w:rPr>
          <w:color w:val="000000"/>
          <w:szCs w:val="22"/>
          <w:lang w:val="it-IT"/>
        </w:rPr>
        <w:t xml:space="preserve"> </w:t>
      </w:r>
      <w:smartTag w:uri="urn:schemas-microsoft-com:office:smarttags" w:element="PersonName">
        <w:r w:rsidRPr="002D741C">
          <w:rPr>
            <w:color w:val="000000"/>
            <w:szCs w:val="22"/>
            <w:lang w:val="it-IT"/>
          </w:rPr>
          <w:t>DE</w:t>
        </w:r>
      </w:smartTag>
      <w:r w:rsidRPr="002D741C">
        <w:rPr>
          <w:color w:val="000000"/>
          <w:szCs w:val="22"/>
          <w:lang w:val="it-IT"/>
        </w:rPr>
        <w:t xml:space="preserve">X = dexametasona, DAUN = daunorubicina, 6-MP = 6-mercaptopurina, E.Coli L-ASP = L-asparaginasa, PEG-ASP = PEG asparaginasa, MESNA= 2-mercaptoetano sulfonato de sodio, iii= o hasta que el nivel de </w:t>
      </w:r>
      <w:smartTag w:uri="urn:schemas-microsoft-com:office:smarttags" w:element="PersonName">
        <w:r w:rsidRPr="002D741C">
          <w:rPr>
            <w:color w:val="000000"/>
            <w:szCs w:val="22"/>
            <w:lang w:val="it-IT"/>
          </w:rPr>
          <w:t>MT</w:t>
        </w:r>
      </w:smartTag>
      <w:r w:rsidRPr="002D741C">
        <w:rPr>
          <w:color w:val="000000"/>
          <w:szCs w:val="22"/>
          <w:lang w:val="it-IT"/>
        </w:rPr>
        <w:t>X es &lt; 0,1 µM, q6h = cada 6 horas, Gy= Gray</w:t>
      </w:r>
    </w:p>
    <w:p w14:paraId="4FAB8E6B" w14:textId="77777777" w:rsidR="00C55DC1" w:rsidRPr="002D741C" w:rsidRDefault="00C55DC1" w:rsidP="00C55DC1">
      <w:pPr>
        <w:pStyle w:val="EndnoteText"/>
        <w:widowControl w:val="0"/>
        <w:jc w:val="both"/>
        <w:rPr>
          <w:color w:val="000000"/>
          <w:szCs w:val="22"/>
          <w:lang w:val="it-IT"/>
        </w:rPr>
      </w:pPr>
    </w:p>
    <w:p w14:paraId="038385E7" w14:textId="77777777" w:rsidR="00C55DC1" w:rsidRPr="002D741C" w:rsidRDefault="00C55DC1" w:rsidP="00C55DC1">
      <w:pPr>
        <w:pStyle w:val="EndnoteText"/>
        <w:widowControl w:val="0"/>
        <w:rPr>
          <w:color w:val="000000"/>
          <w:lang w:val="es-ES"/>
        </w:rPr>
      </w:pPr>
      <w:r w:rsidRPr="002D741C">
        <w:rPr>
          <w:color w:val="000000"/>
          <w:szCs w:val="22"/>
          <w:lang w:val="es-ES"/>
        </w:rPr>
        <w:t>El ensayo A</w:t>
      </w:r>
      <w:smartTag w:uri="urn:schemas-microsoft-com:office:smarttags" w:element="PersonName">
        <w:r w:rsidRPr="002D741C">
          <w:rPr>
            <w:color w:val="000000"/>
            <w:szCs w:val="22"/>
            <w:lang w:val="es-ES"/>
          </w:rPr>
          <w:t>IT</w:t>
        </w:r>
      </w:smartTag>
      <w:r w:rsidRPr="002D741C">
        <w:rPr>
          <w:color w:val="000000"/>
          <w:szCs w:val="22"/>
          <w:lang w:val="es-ES"/>
        </w:rPr>
        <w:t xml:space="preserve">07 fue un ensayo fase II/III aleatorizado, abierto y multicéntrico que incluyó 128 pacientes (de </w:t>
      </w:r>
      <w:smartTag w:uri="urn:schemas-microsoft-com:office:smarttags" w:element="metricconverter">
        <w:smartTagPr>
          <w:attr w:name="ProductID" w:val="1 a"/>
        </w:smartTagPr>
        <w:r w:rsidRPr="002D741C">
          <w:rPr>
            <w:color w:val="000000"/>
            <w:szCs w:val="22"/>
            <w:lang w:val="es-ES"/>
          </w:rPr>
          <w:t>1 a</w:t>
        </w:r>
      </w:smartTag>
      <w:r w:rsidRPr="002D741C">
        <w:rPr>
          <w:color w:val="000000"/>
          <w:szCs w:val="22"/>
          <w:lang w:val="es-ES"/>
        </w:rPr>
        <w:t xml:space="preserve"> &lt;</w:t>
      </w:r>
      <w:r w:rsidR="003C3463" w:rsidRPr="002D741C">
        <w:rPr>
          <w:color w:val="000000"/>
          <w:szCs w:val="22"/>
          <w:lang w:val="es-ES"/>
        </w:rPr>
        <w:t> </w:t>
      </w:r>
      <w:r w:rsidRPr="002D741C">
        <w:rPr>
          <w:color w:val="000000"/>
          <w:szCs w:val="22"/>
          <w:lang w:val="es-ES"/>
        </w:rPr>
        <w:t xml:space="preserve">18 años) tratados con imatinib en combinación con quimioterapia. Los datos de seguridad de este ensayo </w:t>
      </w:r>
      <w:r w:rsidR="009A10C5" w:rsidRPr="002D741C">
        <w:rPr>
          <w:color w:val="000000"/>
          <w:szCs w:val="22"/>
          <w:lang w:val="es-ES"/>
        </w:rPr>
        <w:t xml:space="preserve">parecen estar en línea con </w:t>
      </w:r>
      <w:r w:rsidRPr="002D741C">
        <w:rPr>
          <w:color w:val="000000"/>
          <w:szCs w:val="22"/>
          <w:lang w:val="es-ES"/>
        </w:rPr>
        <w:t>el perfil de seguridad de imatinib en pacientes con LLA Ph+.</w:t>
      </w:r>
    </w:p>
    <w:p w14:paraId="67B49907" w14:textId="77777777" w:rsidR="003B0A17" w:rsidRPr="002D741C" w:rsidRDefault="003B0A17" w:rsidP="003B0A17">
      <w:pPr>
        <w:pStyle w:val="EndnoteText"/>
        <w:widowControl w:val="0"/>
        <w:tabs>
          <w:tab w:val="clear" w:pos="567"/>
          <w:tab w:val="left" w:pos="1134"/>
        </w:tabs>
        <w:rPr>
          <w:iCs/>
          <w:color w:val="000000"/>
          <w:szCs w:val="22"/>
          <w:lang w:val="es-ES"/>
        </w:rPr>
      </w:pPr>
    </w:p>
    <w:p w14:paraId="165F7E88" w14:textId="77777777" w:rsidR="008C48E3" w:rsidRPr="002D741C" w:rsidRDefault="008C48E3" w:rsidP="008C48E3">
      <w:pPr>
        <w:pStyle w:val="EndnoteText"/>
        <w:widowControl w:val="0"/>
        <w:tabs>
          <w:tab w:val="clear" w:pos="567"/>
        </w:tabs>
        <w:rPr>
          <w:color w:val="000000"/>
          <w:szCs w:val="22"/>
          <w:lang w:val="es-ES"/>
        </w:rPr>
      </w:pPr>
      <w:r w:rsidRPr="002D741C">
        <w:rPr>
          <w:i/>
          <w:iCs/>
          <w:color w:val="000000"/>
          <w:szCs w:val="22"/>
          <w:lang w:val="es-ES"/>
        </w:rPr>
        <w:t>LLA Ph+ en recaída/refractaria</w:t>
      </w:r>
      <w:r w:rsidRPr="002D741C">
        <w:rPr>
          <w:color w:val="000000"/>
          <w:szCs w:val="22"/>
          <w:lang w:val="es-ES"/>
        </w:rPr>
        <w:t xml:space="preserve">: Cuando se utilizó imatinib como agente único en pacientes con LLA Ph+ en recaída/refractaria se observó en los 53 de los 411 pacientes evaluables para la respuesta, una tasa de respuesta hematológica del 30% (9% completa) y una tasa de respuesta citogenética mayor del 23%. (A destacar, de los 411 pacientes, 353 se trataron en un programa de acceso </w:t>
      </w:r>
      <w:r w:rsidR="00B379B7" w:rsidRPr="002D741C">
        <w:rPr>
          <w:color w:val="000000"/>
          <w:szCs w:val="22"/>
          <w:lang w:val="es-ES"/>
        </w:rPr>
        <w:t>ampliado</w:t>
      </w:r>
      <w:r w:rsidRPr="002D741C">
        <w:rPr>
          <w:color w:val="000000"/>
          <w:szCs w:val="22"/>
          <w:lang w:val="es-ES"/>
        </w:rPr>
        <w:t xml:space="preserve"> sin recogida de datos de respuesta primarios). La mediana de tiempo a la progresión en la población general de los 411 pacientes con LLA Ph+ en recaída/refractaria varió de 2,6 a 3,1 meses, y la mediana de supervivencia global en los 401 pacientes evaluables varió de 4,9 a 9 meses. Los datos fueron similares cuando se re-analizaron para incluir sólo aquellos pacientes de 55 ó más años de edad.</w:t>
      </w:r>
    </w:p>
    <w:p w14:paraId="6885EAD7" w14:textId="77777777" w:rsidR="008C48E3" w:rsidRPr="002D741C" w:rsidRDefault="008C48E3" w:rsidP="00C9215B">
      <w:pPr>
        <w:pStyle w:val="EndnoteText"/>
        <w:widowControl w:val="0"/>
        <w:tabs>
          <w:tab w:val="clear" w:pos="567"/>
        </w:tabs>
        <w:rPr>
          <w:color w:val="000000"/>
          <w:szCs w:val="22"/>
          <w:lang w:val="es-ES"/>
        </w:rPr>
      </w:pPr>
    </w:p>
    <w:p w14:paraId="748F2639" w14:textId="77777777" w:rsidR="009C70FE" w:rsidRPr="002D741C" w:rsidRDefault="009C70FE" w:rsidP="00C16E58">
      <w:pPr>
        <w:pStyle w:val="EndnoteText"/>
        <w:keepNext/>
        <w:widowControl w:val="0"/>
        <w:tabs>
          <w:tab w:val="clear" w:pos="567"/>
        </w:tabs>
        <w:rPr>
          <w:color w:val="000000"/>
          <w:szCs w:val="22"/>
          <w:u w:val="single"/>
          <w:lang w:val="es-ES"/>
        </w:rPr>
      </w:pPr>
      <w:r w:rsidRPr="002D741C">
        <w:rPr>
          <w:color w:val="000000"/>
          <w:szCs w:val="22"/>
          <w:u w:val="single"/>
          <w:lang w:val="es-ES"/>
        </w:rPr>
        <w:t xml:space="preserve">Ensayos clínicos en </w:t>
      </w:r>
      <w:smartTag w:uri="urn:schemas-microsoft-com:office:smarttags" w:element="stockticker">
        <w:r w:rsidRPr="002D741C">
          <w:rPr>
            <w:color w:val="000000"/>
            <w:szCs w:val="22"/>
            <w:u w:val="single"/>
            <w:lang w:val="es-ES"/>
          </w:rPr>
          <w:t>SMD</w:t>
        </w:r>
      </w:smartTag>
      <w:r w:rsidRPr="002D741C">
        <w:rPr>
          <w:color w:val="000000"/>
          <w:szCs w:val="22"/>
          <w:u w:val="single"/>
          <w:lang w:val="es-ES"/>
        </w:rPr>
        <w:t>/</w:t>
      </w:r>
      <w:smartTag w:uri="urn:schemas-microsoft-com:office:smarttags" w:element="stockticker">
        <w:r w:rsidRPr="002D741C">
          <w:rPr>
            <w:color w:val="000000"/>
            <w:szCs w:val="22"/>
            <w:u w:val="single"/>
            <w:lang w:val="es-ES"/>
          </w:rPr>
          <w:t>SMP</w:t>
        </w:r>
      </w:smartTag>
    </w:p>
    <w:p w14:paraId="32BA5D08" w14:textId="77777777" w:rsidR="00B84EDA" w:rsidRPr="002D741C" w:rsidRDefault="009C70FE" w:rsidP="00573BA5">
      <w:pPr>
        <w:pStyle w:val="EndnoteText"/>
        <w:widowControl w:val="0"/>
        <w:tabs>
          <w:tab w:val="clear" w:pos="567"/>
        </w:tabs>
        <w:rPr>
          <w:color w:val="000000"/>
          <w:szCs w:val="22"/>
          <w:lang w:val="es-ES"/>
        </w:rPr>
      </w:pPr>
      <w:r w:rsidRPr="002D741C">
        <w:rPr>
          <w:color w:val="000000"/>
          <w:szCs w:val="22"/>
          <w:lang w:val="es-ES"/>
        </w:rPr>
        <w:t xml:space="preserve">La experiencia con Glivec en esta indicación es muy limitada y está basada en tasas de respuesta hematológica y citogenética. No existen ensayos clínicos controlados que demuestren un beneficio clínico o un aumento de la supervivencia. Se llevó a cabo un ensayo abierto, multicéntrico fase II (estudio B2225) </w:t>
      </w:r>
      <w:r w:rsidR="00573BA5" w:rsidRPr="002D741C">
        <w:rPr>
          <w:color w:val="000000"/>
          <w:szCs w:val="22"/>
          <w:lang w:val="es-ES"/>
        </w:rPr>
        <w:t>para evaluar</w:t>
      </w:r>
      <w:r w:rsidRPr="002D741C">
        <w:rPr>
          <w:color w:val="000000"/>
          <w:szCs w:val="22"/>
          <w:lang w:val="es-ES"/>
        </w:rPr>
        <w:t xml:space="preserve"> Glivec en diversas poblaciones de pacientes que sufrían enfermedades con riesgo vital asociadas con proteinas tirosina quinasa Abl, Kit o PDG</w:t>
      </w:r>
      <w:smartTag w:uri="urn:schemas-microsoft-com:office:smarttags" w:element="PersonName">
        <w:r w:rsidRPr="002D741C">
          <w:rPr>
            <w:color w:val="000000"/>
            <w:szCs w:val="22"/>
            <w:lang w:val="es-ES"/>
          </w:rPr>
          <w:t>FR</w:t>
        </w:r>
      </w:smartTag>
      <w:r w:rsidRPr="002D741C">
        <w:rPr>
          <w:color w:val="000000"/>
          <w:szCs w:val="22"/>
          <w:lang w:val="es-ES"/>
        </w:rPr>
        <w:t xml:space="preserve">. Este estudio incluyó a 7 pacientes con </w:t>
      </w:r>
      <w:smartTag w:uri="urn:schemas-microsoft-com:office:smarttags" w:element="stockticker">
        <w:r w:rsidRPr="002D741C">
          <w:rPr>
            <w:color w:val="000000"/>
            <w:szCs w:val="22"/>
            <w:lang w:val="es-ES"/>
          </w:rPr>
          <w:t>SMD</w:t>
        </w:r>
      </w:smartTag>
      <w:r w:rsidRPr="002D741C">
        <w:rPr>
          <w:color w:val="000000"/>
          <w:szCs w:val="22"/>
          <w:lang w:val="es-ES"/>
        </w:rPr>
        <w:t>/</w:t>
      </w:r>
      <w:smartTag w:uri="urn:schemas-microsoft-com:office:smarttags" w:element="stockticker">
        <w:r w:rsidRPr="002D741C">
          <w:rPr>
            <w:color w:val="000000"/>
            <w:szCs w:val="22"/>
            <w:lang w:val="es-ES"/>
          </w:rPr>
          <w:t>SMP</w:t>
        </w:r>
      </w:smartTag>
      <w:r w:rsidRPr="002D741C">
        <w:rPr>
          <w:color w:val="000000"/>
          <w:szCs w:val="22"/>
          <w:lang w:val="es-ES"/>
        </w:rPr>
        <w:t xml:space="preserve"> que fueron tratados con 400 mg de Glivec diarios. Tres pacientes presentaron una respuesta</w:t>
      </w:r>
      <w:r w:rsidRPr="002D741C">
        <w:rPr>
          <w:snapToGrid/>
          <w:color w:val="000000"/>
          <w:sz w:val="20"/>
          <w:szCs w:val="22"/>
          <w:lang w:val="es-ES"/>
        </w:rPr>
        <w:t xml:space="preserve"> </w:t>
      </w:r>
      <w:r w:rsidRPr="002D741C">
        <w:rPr>
          <w:color w:val="000000"/>
          <w:szCs w:val="22"/>
          <w:lang w:val="es-ES"/>
        </w:rPr>
        <w:t>hematológica completa (RHC) y un paciente experimentó una respuesta hematológica parcial (RHP). En el momento del análisis original, tres de los cuatro pacientes con reordenamientos del gen PDG</w:t>
      </w:r>
      <w:smartTag w:uri="urn:schemas-microsoft-com:office:smarttags" w:element="PersonName">
        <w:r w:rsidRPr="002D741C">
          <w:rPr>
            <w:color w:val="000000"/>
            <w:szCs w:val="22"/>
            <w:lang w:val="es-ES"/>
          </w:rPr>
          <w:t>FR</w:t>
        </w:r>
      </w:smartTag>
      <w:r w:rsidRPr="002D741C">
        <w:rPr>
          <w:color w:val="000000"/>
          <w:szCs w:val="22"/>
          <w:lang w:val="es-ES"/>
        </w:rPr>
        <w:t xml:space="preserve"> detectados, desarrollaron una respuesta hematológica (2 RHC y 1 RHP). La edad de estos pacientes varió de 20 a 72 años.</w:t>
      </w:r>
    </w:p>
    <w:p w14:paraId="328FCD5B" w14:textId="77777777" w:rsidR="00B84EDA" w:rsidRPr="002D741C" w:rsidRDefault="00B84EDA" w:rsidP="00573BA5">
      <w:pPr>
        <w:pStyle w:val="EndnoteText"/>
        <w:widowControl w:val="0"/>
        <w:tabs>
          <w:tab w:val="clear" w:pos="567"/>
        </w:tabs>
        <w:rPr>
          <w:color w:val="000000"/>
          <w:szCs w:val="22"/>
          <w:lang w:val="es-ES"/>
        </w:rPr>
      </w:pPr>
    </w:p>
    <w:p w14:paraId="51C5E08B" w14:textId="77777777" w:rsidR="00B84EDA" w:rsidRPr="002D741C" w:rsidRDefault="00B84EDA" w:rsidP="00573BA5">
      <w:pPr>
        <w:pStyle w:val="EndnoteText"/>
        <w:widowControl w:val="0"/>
        <w:tabs>
          <w:tab w:val="clear" w:pos="567"/>
        </w:tabs>
        <w:rPr>
          <w:color w:val="000000"/>
          <w:szCs w:val="22"/>
          <w:lang w:val="es-ES"/>
        </w:rPr>
      </w:pPr>
      <w:r w:rsidRPr="002D741C">
        <w:rPr>
          <w:color w:val="000000"/>
          <w:szCs w:val="22"/>
          <w:lang w:val="es-ES"/>
        </w:rPr>
        <w:t xml:space="preserve">Se realizó un estudio observacional (estudio L2401) para recopilar datos de seguridad y de eficacia a largo plazo en pacientes </w:t>
      </w:r>
      <w:r w:rsidR="00106223" w:rsidRPr="002D741C">
        <w:rPr>
          <w:color w:val="000000"/>
          <w:szCs w:val="22"/>
          <w:lang w:val="es-ES"/>
        </w:rPr>
        <w:t>con</w:t>
      </w:r>
      <w:r w:rsidRPr="002D741C">
        <w:rPr>
          <w:color w:val="000000"/>
          <w:szCs w:val="22"/>
          <w:lang w:val="es-ES"/>
        </w:rPr>
        <w:t xml:space="preserve"> </w:t>
      </w:r>
      <w:r w:rsidR="00DE6862" w:rsidRPr="002D741C">
        <w:rPr>
          <w:color w:val="000000"/>
          <w:szCs w:val="22"/>
          <w:lang w:val="es-ES"/>
        </w:rPr>
        <w:t>neoplasias</w:t>
      </w:r>
      <w:r w:rsidRPr="002D741C">
        <w:rPr>
          <w:color w:val="000000"/>
          <w:szCs w:val="22"/>
          <w:lang w:val="es-ES"/>
        </w:rPr>
        <w:t xml:space="preserve"> mieloproliferativ</w:t>
      </w:r>
      <w:r w:rsidR="00DE6862" w:rsidRPr="002D741C">
        <w:rPr>
          <w:color w:val="000000"/>
          <w:szCs w:val="22"/>
          <w:lang w:val="es-ES"/>
        </w:rPr>
        <w:t>as</w:t>
      </w:r>
      <w:r w:rsidRPr="002D741C">
        <w:rPr>
          <w:color w:val="000000"/>
          <w:szCs w:val="22"/>
          <w:lang w:val="es-ES"/>
        </w:rPr>
        <w:t xml:space="preserve"> con reordenamiento β P</w:t>
      </w:r>
      <w:r w:rsidR="00106223" w:rsidRPr="002D741C">
        <w:rPr>
          <w:color w:val="000000"/>
          <w:szCs w:val="22"/>
          <w:lang w:val="es-ES"/>
        </w:rPr>
        <w:t>DGFR y que fuer</w:t>
      </w:r>
      <w:r w:rsidR="00224325" w:rsidRPr="002D741C">
        <w:rPr>
          <w:color w:val="000000"/>
          <w:szCs w:val="22"/>
          <w:lang w:val="es-ES"/>
        </w:rPr>
        <w:t>o</w:t>
      </w:r>
      <w:r w:rsidRPr="002D741C">
        <w:rPr>
          <w:color w:val="000000"/>
          <w:szCs w:val="22"/>
          <w:lang w:val="es-ES"/>
        </w:rPr>
        <w:t>n tratados con Glivec. Los 23 pacientes incluidos en este estudio recibieron Glivec a una dosis diaria media de 264 mg (rango: 100 a 400 mg) durante una media de 7,2 años (r</w:t>
      </w:r>
      <w:r w:rsidR="00DA43F2" w:rsidRPr="002D741C">
        <w:rPr>
          <w:color w:val="000000"/>
          <w:szCs w:val="22"/>
          <w:lang w:val="es-ES"/>
        </w:rPr>
        <w:t>ango 0,1 a 12,7 </w:t>
      </w:r>
      <w:r w:rsidRPr="002D741C">
        <w:rPr>
          <w:color w:val="000000"/>
          <w:szCs w:val="22"/>
          <w:lang w:val="es-ES"/>
        </w:rPr>
        <w:t xml:space="preserve">años). Debido al carácter observacional de este estudio, se </w:t>
      </w:r>
      <w:r w:rsidR="00DE6862" w:rsidRPr="002D741C">
        <w:rPr>
          <w:color w:val="000000"/>
          <w:szCs w:val="22"/>
          <w:lang w:val="es-ES"/>
        </w:rPr>
        <w:t>disponen de</w:t>
      </w:r>
      <w:r w:rsidRPr="002D741C">
        <w:rPr>
          <w:color w:val="000000"/>
          <w:szCs w:val="22"/>
          <w:lang w:val="es-ES"/>
        </w:rPr>
        <w:t xml:space="preserve"> datos de la evaluación de parámetros hematológicos, citogenétic</w:t>
      </w:r>
      <w:r w:rsidR="00EA7ED3" w:rsidRPr="002D741C">
        <w:rPr>
          <w:color w:val="000000"/>
          <w:szCs w:val="22"/>
          <w:lang w:val="es-ES"/>
        </w:rPr>
        <w:t>o</w:t>
      </w:r>
      <w:r w:rsidRPr="002D741C">
        <w:rPr>
          <w:color w:val="000000"/>
          <w:szCs w:val="22"/>
          <w:lang w:val="es-ES"/>
        </w:rPr>
        <w:t xml:space="preserve">s y moleculares de 22, de 9 y de 17 de los 23 pacientes reclutados, respectivamente. Al asumir de forma conservadora que los pacientes </w:t>
      </w:r>
      <w:r w:rsidR="00DE6862" w:rsidRPr="002D741C">
        <w:rPr>
          <w:color w:val="000000"/>
          <w:szCs w:val="22"/>
          <w:lang w:val="es-ES"/>
        </w:rPr>
        <w:t>sin</w:t>
      </w:r>
      <w:r w:rsidRPr="002D741C">
        <w:rPr>
          <w:color w:val="000000"/>
          <w:szCs w:val="22"/>
          <w:lang w:val="es-ES"/>
        </w:rPr>
        <w:t xml:space="preserve"> datos eran no respondedores, se observó una RHC </w:t>
      </w:r>
      <w:r w:rsidR="0027144C" w:rsidRPr="002D741C">
        <w:rPr>
          <w:color w:val="000000"/>
          <w:szCs w:val="22"/>
          <w:lang w:val="es-ES"/>
        </w:rPr>
        <w:t xml:space="preserve">en 20/23 </w:t>
      </w:r>
      <w:r w:rsidRPr="002D741C">
        <w:rPr>
          <w:color w:val="000000"/>
          <w:szCs w:val="22"/>
          <w:lang w:val="es-ES"/>
        </w:rPr>
        <w:t xml:space="preserve">de los pacientes (87%), </w:t>
      </w:r>
      <w:r w:rsidR="0027144C" w:rsidRPr="002D741C">
        <w:rPr>
          <w:color w:val="000000"/>
          <w:szCs w:val="22"/>
          <w:lang w:val="es-ES"/>
        </w:rPr>
        <w:t xml:space="preserve">una </w:t>
      </w:r>
      <w:r w:rsidRPr="002D741C">
        <w:rPr>
          <w:color w:val="000000"/>
          <w:szCs w:val="22"/>
          <w:lang w:val="es-ES"/>
        </w:rPr>
        <w:t xml:space="preserve">RCC en 9/23 </w:t>
      </w:r>
      <w:r w:rsidR="0027144C" w:rsidRPr="002D741C">
        <w:rPr>
          <w:color w:val="000000"/>
          <w:szCs w:val="22"/>
          <w:lang w:val="es-ES"/>
        </w:rPr>
        <w:t xml:space="preserve">de los </w:t>
      </w:r>
      <w:r w:rsidRPr="002D741C">
        <w:rPr>
          <w:color w:val="000000"/>
          <w:szCs w:val="22"/>
          <w:lang w:val="es-ES"/>
        </w:rPr>
        <w:t>pacientes</w:t>
      </w:r>
      <w:r w:rsidR="0027144C" w:rsidRPr="002D741C">
        <w:rPr>
          <w:color w:val="000000"/>
          <w:szCs w:val="22"/>
          <w:lang w:val="es-ES"/>
        </w:rPr>
        <w:t xml:space="preserve"> (39,1%)</w:t>
      </w:r>
      <w:r w:rsidRPr="002D741C">
        <w:rPr>
          <w:color w:val="000000"/>
          <w:szCs w:val="22"/>
          <w:lang w:val="es-ES"/>
        </w:rPr>
        <w:t xml:space="preserve">, y </w:t>
      </w:r>
      <w:r w:rsidR="0027144C" w:rsidRPr="002D741C">
        <w:rPr>
          <w:color w:val="000000"/>
          <w:szCs w:val="22"/>
          <w:lang w:val="es-ES"/>
        </w:rPr>
        <w:t>una R</w:t>
      </w:r>
      <w:r w:rsidRPr="002D741C">
        <w:rPr>
          <w:color w:val="000000"/>
          <w:szCs w:val="22"/>
          <w:lang w:val="es-ES"/>
        </w:rPr>
        <w:t xml:space="preserve">M en 11/23 </w:t>
      </w:r>
      <w:r w:rsidR="0027144C" w:rsidRPr="002D741C">
        <w:rPr>
          <w:color w:val="000000"/>
          <w:szCs w:val="22"/>
          <w:lang w:val="es-ES"/>
        </w:rPr>
        <w:t xml:space="preserve">de los </w:t>
      </w:r>
      <w:r w:rsidRPr="002D741C">
        <w:rPr>
          <w:color w:val="000000"/>
          <w:szCs w:val="22"/>
          <w:lang w:val="es-ES"/>
        </w:rPr>
        <w:t>pacientes</w:t>
      </w:r>
      <w:r w:rsidR="0027144C" w:rsidRPr="002D741C">
        <w:rPr>
          <w:color w:val="000000"/>
          <w:szCs w:val="22"/>
          <w:lang w:val="es-ES"/>
        </w:rPr>
        <w:t xml:space="preserve"> (47,8%), respectivamente</w:t>
      </w:r>
      <w:r w:rsidRPr="002D741C">
        <w:rPr>
          <w:color w:val="000000"/>
          <w:szCs w:val="22"/>
          <w:lang w:val="es-ES"/>
        </w:rPr>
        <w:t>. Cuando</w:t>
      </w:r>
      <w:r w:rsidR="00106223" w:rsidRPr="002D741C">
        <w:rPr>
          <w:color w:val="000000"/>
          <w:szCs w:val="22"/>
          <w:lang w:val="es-ES"/>
        </w:rPr>
        <w:t xml:space="preserve"> la tasa de respuesta se calculó</w:t>
      </w:r>
      <w:r w:rsidRPr="002D741C">
        <w:rPr>
          <w:color w:val="000000"/>
          <w:szCs w:val="22"/>
          <w:lang w:val="es-ES"/>
        </w:rPr>
        <w:t xml:space="preserve"> a partir de pacientes con al menos una evaluación válida, la tasa de respuesta para </w:t>
      </w:r>
      <w:r w:rsidR="0027144C" w:rsidRPr="002D741C">
        <w:rPr>
          <w:color w:val="000000"/>
          <w:szCs w:val="22"/>
          <w:lang w:val="es-ES"/>
        </w:rPr>
        <w:t>RHC</w:t>
      </w:r>
      <w:r w:rsidRPr="002D741C">
        <w:rPr>
          <w:color w:val="000000"/>
          <w:szCs w:val="22"/>
          <w:lang w:val="es-ES"/>
        </w:rPr>
        <w:t>, RCC y R</w:t>
      </w:r>
      <w:r w:rsidR="0027144C" w:rsidRPr="002D741C">
        <w:rPr>
          <w:color w:val="000000"/>
          <w:szCs w:val="22"/>
          <w:lang w:val="es-ES"/>
        </w:rPr>
        <w:t>M</w:t>
      </w:r>
      <w:r w:rsidRPr="002D741C">
        <w:rPr>
          <w:color w:val="000000"/>
          <w:szCs w:val="22"/>
          <w:lang w:val="es-ES"/>
        </w:rPr>
        <w:t xml:space="preserve"> fue</w:t>
      </w:r>
      <w:r w:rsidR="0027144C" w:rsidRPr="002D741C">
        <w:rPr>
          <w:color w:val="000000"/>
          <w:szCs w:val="22"/>
          <w:lang w:val="es-ES"/>
        </w:rPr>
        <w:t xml:space="preserve"> de</w:t>
      </w:r>
      <w:r w:rsidRPr="002D741C">
        <w:rPr>
          <w:color w:val="000000"/>
          <w:szCs w:val="22"/>
          <w:lang w:val="es-ES"/>
        </w:rPr>
        <w:t xml:space="preserve"> </w:t>
      </w:r>
      <w:r w:rsidR="001D7E01" w:rsidRPr="002D741C">
        <w:rPr>
          <w:color w:val="000000"/>
          <w:szCs w:val="22"/>
          <w:lang w:val="es-ES"/>
        </w:rPr>
        <w:t>20</w:t>
      </w:r>
      <w:r w:rsidRPr="002D741C">
        <w:rPr>
          <w:color w:val="000000"/>
          <w:szCs w:val="22"/>
          <w:lang w:val="es-ES"/>
        </w:rPr>
        <w:t>/22 (90,9%), 9/9 (100%) y 11/17 (64,7%), respectivamente.</w:t>
      </w:r>
    </w:p>
    <w:p w14:paraId="2F440F16" w14:textId="77777777" w:rsidR="00B84EDA" w:rsidRPr="002D741C" w:rsidRDefault="00B84EDA" w:rsidP="00573BA5">
      <w:pPr>
        <w:pStyle w:val="EndnoteText"/>
        <w:widowControl w:val="0"/>
        <w:tabs>
          <w:tab w:val="clear" w:pos="567"/>
        </w:tabs>
        <w:rPr>
          <w:color w:val="000000"/>
          <w:szCs w:val="22"/>
          <w:lang w:val="es-ES"/>
        </w:rPr>
      </w:pPr>
    </w:p>
    <w:p w14:paraId="6103899E" w14:textId="77777777" w:rsidR="009C70FE" w:rsidRPr="002D741C" w:rsidRDefault="009C70FE" w:rsidP="00573BA5">
      <w:pPr>
        <w:pStyle w:val="EndnoteText"/>
        <w:widowControl w:val="0"/>
        <w:tabs>
          <w:tab w:val="clear" w:pos="567"/>
        </w:tabs>
        <w:rPr>
          <w:color w:val="000000"/>
          <w:szCs w:val="22"/>
          <w:lang w:val="es-ES"/>
        </w:rPr>
      </w:pPr>
      <w:r w:rsidRPr="002D741C">
        <w:rPr>
          <w:color w:val="000000"/>
          <w:szCs w:val="22"/>
          <w:lang w:val="es-ES"/>
        </w:rPr>
        <w:t xml:space="preserve">Además se notificaron unos 24 pacientes adicionales con </w:t>
      </w:r>
      <w:smartTag w:uri="urn:schemas-microsoft-com:office:smarttags" w:element="stockticker">
        <w:r w:rsidRPr="002D741C">
          <w:rPr>
            <w:color w:val="000000"/>
            <w:szCs w:val="22"/>
            <w:lang w:val="es-ES"/>
          </w:rPr>
          <w:t>SMD</w:t>
        </w:r>
      </w:smartTag>
      <w:r w:rsidRPr="002D741C">
        <w:rPr>
          <w:color w:val="000000"/>
          <w:szCs w:val="22"/>
          <w:lang w:val="es-ES"/>
        </w:rPr>
        <w:t>/</w:t>
      </w:r>
      <w:smartTag w:uri="urn:schemas-microsoft-com:office:smarttags" w:element="stockticker">
        <w:r w:rsidRPr="002D741C">
          <w:rPr>
            <w:color w:val="000000"/>
            <w:szCs w:val="22"/>
            <w:lang w:val="es-ES"/>
          </w:rPr>
          <w:t>SMP</w:t>
        </w:r>
      </w:smartTag>
      <w:r w:rsidRPr="002D741C">
        <w:rPr>
          <w:color w:val="000000"/>
          <w:szCs w:val="22"/>
          <w:lang w:val="es-ES"/>
        </w:rPr>
        <w:t xml:space="preserve"> en 13 publicaciones. </w:t>
      </w:r>
      <w:r w:rsidR="00341D7A" w:rsidRPr="002D741C">
        <w:rPr>
          <w:color w:val="000000"/>
          <w:szCs w:val="22"/>
          <w:lang w:val="es-ES"/>
        </w:rPr>
        <w:t xml:space="preserve">De ellos, </w:t>
      </w:r>
      <w:r w:rsidRPr="002D741C">
        <w:rPr>
          <w:color w:val="000000"/>
          <w:szCs w:val="22"/>
          <w:lang w:val="es-ES"/>
        </w:rPr>
        <w:t>21 pacientes se trataron con 400 mg de Glivec diarios, mientras los otros 3 pacientes recibieron dosis más bajas. En once pacientes se detectaron reordenamientos del gen PDG</w:t>
      </w:r>
      <w:smartTag w:uri="urn:schemas-microsoft-com:office:smarttags" w:element="PersonName">
        <w:r w:rsidRPr="002D741C">
          <w:rPr>
            <w:color w:val="000000"/>
            <w:szCs w:val="22"/>
            <w:lang w:val="es-ES"/>
          </w:rPr>
          <w:t>FR</w:t>
        </w:r>
      </w:smartTag>
      <w:r w:rsidRPr="002D741C">
        <w:rPr>
          <w:color w:val="000000"/>
          <w:szCs w:val="22"/>
          <w:lang w:val="es-ES"/>
        </w:rPr>
        <w:t xml:space="preserve">, 9 de los cuales </w:t>
      </w:r>
      <w:r w:rsidR="00EF6CF2" w:rsidRPr="002D741C">
        <w:rPr>
          <w:color w:val="000000"/>
          <w:szCs w:val="22"/>
          <w:lang w:val="es-ES"/>
        </w:rPr>
        <w:t xml:space="preserve">alcanzaron una RHC y 1 una RHP. La edad de estos pacientes varió de </w:t>
      </w:r>
      <w:smartTag w:uri="urn:schemas-microsoft-com:office:smarttags" w:element="metricconverter">
        <w:smartTagPr>
          <w:attr w:name="ProductID" w:val="2 a"/>
        </w:smartTagPr>
        <w:r w:rsidR="00EF6CF2" w:rsidRPr="002D741C">
          <w:rPr>
            <w:color w:val="000000"/>
            <w:szCs w:val="22"/>
            <w:lang w:val="es-ES"/>
          </w:rPr>
          <w:t>2 a</w:t>
        </w:r>
      </w:smartTag>
      <w:r w:rsidR="00EF6CF2" w:rsidRPr="002D741C">
        <w:rPr>
          <w:color w:val="000000"/>
          <w:szCs w:val="22"/>
          <w:lang w:val="es-ES"/>
        </w:rPr>
        <w:t xml:space="preserve"> 79 años. En una publicación reciente </w:t>
      </w:r>
      <w:r w:rsidR="00D07256" w:rsidRPr="002D741C">
        <w:rPr>
          <w:color w:val="000000"/>
          <w:szCs w:val="22"/>
          <w:lang w:val="es-ES"/>
        </w:rPr>
        <w:t xml:space="preserve">con </w:t>
      </w:r>
      <w:r w:rsidR="00EF6CF2" w:rsidRPr="002D741C">
        <w:rPr>
          <w:color w:val="000000"/>
          <w:szCs w:val="22"/>
          <w:lang w:val="es-ES"/>
        </w:rPr>
        <w:t xml:space="preserve">una actualización de la información de 6 de </w:t>
      </w:r>
      <w:r w:rsidR="00573BA5" w:rsidRPr="002D741C">
        <w:rPr>
          <w:color w:val="000000"/>
          <w:szCs w:val="22"/>
          <w:lang w:val="es-ES"/>
        </w:rPr>
        <w:t xml:space="preserve">estos </w:t>
      </w:r>
      <w:r w:rsidR="00EF6CF2" w:rsidRPr="002D741C">
        <w:rPr>
          <w:color w:val="000000"/>
          <w:szCs w:val="22"/>
          <w:lang w:val="es-ES"/>
        </w:rPr>
        <w:t>11 pacientes reveló que todos estos pacientes permanecía en remisión citogenética (rango 32</w:t>
      </w:r>
      <w:r w:rsidR="00EA1195" w:rsidRPr="002D741C">
        <w:rPr>
          <w:color w:val="000000"/>
          <w:szCs w:val="22"/>
          <w:lang w:val="es-ES"/>
        </w:rPr>
        <w:noBreakHyphen/>
      </w:r>
      <w:r w:rsidR="00EF6CF2" w:rsidRPr="002D741C">
        <w:rPr>
          <w:color w:val="000000"/>
          <w:szCs w:val="22"/>
          <w:lang w:val="es-ES"/>
        </w:rPr>
        <w:t xml:space="preserve">38 meses). La misma publicación aportó datos de seguimiento a largo plazo de 12 pacientes con </w:t>
      </w:r>
      <w:smartTag w:uri="urn:schemas-microsoft-com:office:smarttags" w:element="stockticker">
        <w:r w:rsidR="00EF6CF2" w:rsidRPr="002D741C">
          <w:rPr>
            <w:color w:val="000000"/>
            <w:szCs w:val="22"/>
            <w:lang w:val="es-ES"/>
          </w:rPr>
          <w:t>SMD</w:t>
        </w:r>
      </w:smartTag>
      <w:r w:rsidR="00EF6CF2" w:rsidRPr="002D741C">
        <w:rPr>
          <w:color w:val="000000"/>
          <w:szCs w:val="22"/>
          <w:lang w:val="es-ES"/>
        </w:rPr>
        <w:t>/</w:t>
      </w:r>
      <w:smartTag w:uri="urn:schemas-microsoft-com:office:smarttags" w:element="stockticker">
        <w:r w:rsidR="00EF6CF2" w:rsidRPr="002D741C">
          <w:rPr>
            <w:color w:val="000000"/>
            <w:szCs w:val="22"/>
            <w:lang w:val="es-ES"/>
          </w:rPr>
          <w:t>SMP</w:t>
        </w:r>
      </w:smartTag>
      <w:r w:rsidR="00EF6CF2" w:rsidRPr="002D741C">
        <w:rPr>
          <w:color w:val="000000"/>
          <w:szCs w:val="22"/>
          <w:lang w:val="es-ES"/>
        </w:rPr>
        <w:t xml:space="preserve"> con reordenamientos del </w:t>
      </w:r>
      <w:r w:rsidR="00EF6CF2" w:rsidRPr="002D741C">
        <w:rPr>
          <w:color w:val="000000"/>
          <w:szCs w:val="22"/>
          <w:lang w:val="es-ES"/>
        </w:rPr>
        <w:lastRenderedPageBreak/>
        <w:t>gen PDG</w:t>
      </w:r>
      <w:smartTag w:uri="urn:schemas-microsoft-com:office:smarttags" w:element="PersonName">
        <w:r w:rsidR="00EF6CF2" w:rsidRPr="002D741C">
          <w:rPr>
            <w:color w:val="000000"/>
            <w:szCs w:val="22"/>
            <w:lang w:val="es-ES"/>
          </w:rPr>
          <w:t>FR</w:t>
        </w:r>
      </w:smartTag>
      <w:r w:rsidR="00EF6CF2" w:rsidRPr="002D741C">
        <w:rPr>
          <w:color w:val="000000"/>
          <w:szCs w:val="22"/>
          <w:lang w:val="es-ES"/>
        </w:rPr>
        <w:t xml:space="preserve"> (5 pacientes del estudio B2225). Estos pacientes recibieron Glivec durante una mediana de 47 meses (rango 24 días – 60 meses). En 6 de estos pacientes el seguimiento actual supera los 4 años. Once pacientes alcanzaron una RHC rápida; diez </w:t>
      </w:r>
      <w:r w:rsidR="00D07256" w:rsidRPr="002D741C">
        <w:rPr>
          <w:color w:val="000000"/>
          <w:szCs w:val="22"/>
          <w:lang w:val="es-ES"/>
        </w:rPr>
        <w:t>mostraron</w:t>
      </w:r>
      <w:r w:rsidR="00EF6CF2" w:rsidRPr="002D741C">
        <w:rPr>
          <w:color w:val="000000"/>
          <w:szCs w:val="22"/>
          <w:lang w:val="es-ES"/>
        </w:rPr>
        <w:t xml:space="preserve"> una resolución completa de las anormalidades citogenéticas y una disminución o desaparición de los tránscritos de fusión medidos por RT-</w:t>
      </w:r>
      <w:smartTag w:uri="urn:schemas-microsoft-com:office:smarttags" w:element="stockticker">
        <w:r w:rsidR="00EF6CF2" w:rsidRPr="002D741C">
          <w:rPr>
            <w:color w:val="000000"/>
            <w:szCs w:val="22"/>
            <w:lang w:val="es-ES"/>
          </w:rPr>
          <w:t>PCR</w:t>
        </w:r>
      </w:smartTag>
      <w:r w:rsidR="00EF6CF2" w:rsidRPr="002D741C">
        <w:rPr>
          <w:color w:val="000000"/>
          <w:szCs w:val="22"/>
          <w:lang w:val="es-ES"/>
        </w:rPr>
        <w:t>. Las respuestas hematológicas y citogenéticas se han mantenido durante una mediana de 49 meses (</w:t>
      </w:r>
      <w:r w:rsidR="00D07256" w:rsidRPr="002D741C">
        <w:rPr>
          <w:color w:val="000000"/>
          <w:szCs w:val="22"/>
          <w:lang w:val="es-ES"/>
        </w:rPr>
        <w:t>rango</w:t>
      </w:r>
      <w:r w:rsidR="00EF6CF2" w:rsidRPr="002D741C">
        <w:rPr>
          <w:color w:val="000000"/>
          <w:szCs w:val="22"/>
          <w:lang w:val="es-ES"/>
        </w:rPr>
        <w:t xml:space="preserve"> 19-60) y 47 meses (</w:t>
      </w:r>
      <w:r w:rsidR="00D07256" w:rsidRPr="002D741C">
        <w:rPr>
          <w:color w:val="000000"/>
          <w:szCs w:val="22"/>
          <w:lang w:val="es-ES"/>
        </w:rPr>
        <w:t xml:space="preserve">rango </w:t>
      </w:r>
      <w:r w:rsidR="00EF6CF2" w:rsidRPr="002D741C">
        <w:rPr>
          <w:color w:val="000000"/>
          <w:szCs w:val="22"/>
          <w:lang w:val="es-ES"/>
        </w:rPr>
        <w:t>16</w:t>
      </w:r>
      <w:r w:rsidR="00EA1195" w:rsidRPr="002D741C">
        <w:rPr>
          <w:color w:val="000000"/>
          <w:szCs w:val="22"/>
          <w:lang w:val="es-ES"/>
        </w:rPr>
        <w:noBreakHyphen/>
      </w:r>
      <w:r w:rsidR="00EF6CF2" w:rsidRPr="002D741C">
        <w:rPr>
          <w:color w:val="000000"/>
          <w:szCs w:val="22"/>
          <w:lang w:val="es-ES"/>
        </w:rPr>
        <w:t>59), respectivamente. La supervivencia global es de 65 meses desde el diagnóstico (</w:t>
      </w:r>
      <w:r w:rsidR="00D07256" w:rsidRPr="002D741C">
        <w:rPr>
          <w:color w:val="000000"/>
          <w:szCs w:val="22"/>
          <w:lang w:val="es-ES"/>
        </w:rPr>
        <w:t xml:space="preserve">rango </w:t>
      </w:r>
      <w:r w:rsidR="00EF6CF2" w:rsidRPr="002D741C">
        <w:rPr>
          <w:color w:val="000000"/>
          <w:szCs w:val="22"/>
          <w:lang w:val="es-ES"/>
        </w:rPr>
        <w:t>25</w:t>
      </w:r>
      <w:r w:rsidR="00EA1195" w:rsidRPr="002D741C">
        <w:rPr>
          <w:color w:val="000000"/>
          <w:szCs w:val="22"/>
          <w:lang w:val="es-ES"/>
        </w:rPr>
        <w:noBreakHyphen/>
      </w:r>
      <w:r w:rsidR="00EF6CF2" w:rsidRPr="002D741C">
        <w:rPr>
          <w:color w:val="000000"/>
          <w:szCs w:val="22"/>
          <w:lang w:val="es-ES"/>
        </w:rPr>
        <w:t>234). La administración de Glivec a pacientes sin la traslocación genética normalmente no supone una mejor</w:t>
      </w:r>
      <w:r w:rsidR="00341D7A" w:rsidRPr="002D741C">
        <w:rPr>
          <w:color w:val="000000"/>
          <w:szCs w:val="22"/>
          <w:lang w:val="es-ES"/>
        </w:rPr>
        <w:t>í</w:t>
      </w:r>
      <w:r w:rsidR="00EF6CF2" w:rsidRPr="002D741C">
        <w:rPr>
          <w:color w:val="000000"/>
          <w:szCs w:val="22"/>
          <w:lang w:val="es-ES"/>
        </w:rPr>
        <w:t>a.</w:t>
      </w:r>
    </w:p>
    <w:p w14:paraId="5FC36F4D" w14:textId="77777777" w:rsidR="00EF6CF2" w:rsidRPr="002D741C" w:rsidRDefault="00EF6CF2" w:rsidP="00EF6CF2">
      <w:pPr>
        <w:pStyle w:val="EndnoteText"/>
        <w:widowControl w:val="0"/>
        <w:tabs>
          <w:tab w:val="clear" w:pos="567"/>
        </w:tabs>
        <w:rPr>
          <w:color w:val="000000"/>
          <w:szCs w:val="22"/>
          <w:lang w:val="es-ES"/>
        </w:rPr>
      </w:pPr>
    </w:p>
    <w:p w14:paraId="6791D54E" w14:textId="77777777" w:rsidR="00A518A2" w:rsidRPr="002D741C" w:rsidRDefault="00754D8B" w:rsidP="00EF6CF2">
      <w:pPr>
        <w:pStyle w:val="EndnoteText"/>
        <w:widowControl w:val="0"/>
        <w:tabs>
          <w:tab w:val="clear" w:pos="567"/>
        </w:tabs>
        <w:rPr>
          <w:color w:val="000000"/>
          <w:szCs w:val="22"/>
          <w:lang w:val="es-ES"/>
        </w:rPr>
      </w:pPr>
      <w:r w:rsidRPr="002D741C">
        <w:rPr>
          <w:color w:val="000000"/>
          <w:szCs w:val="22"/>
          <w:lang w:val="es-ES"/>
        </w:rPr>
        <w:t xml:space="preserve">No existen ensayos controlados en pacientes pediátricos con SMD/SMP. En 4 publicaciones se notificaron </w:t>
      </w:r>
      <w:r w:rsidR="008B551E" w:rsidRPr="002D741C">
        <w:rPr>
          <w:color w:val="000000"/>
          <w:szCs w:val="22"/>
          <w:lang w:val="es-ES"/>
        </w:rPr>
        <w:t>cinco (</w:t>
      </w:r>
      <w:r w:rsidRPr="002D741C">
        <w:rPr>
          <w:color w:val="000000"/>
          <w:szCs w:val="22"/>
          <w:lang w:val="es-ES"/>
        </w:rPr>
        <w:t>5</w:t>
      </w:r>
      <w:r w:rsidR="008B551E" w:rsidRPr="002D741C">
        <w:rPr>
          <w:color w:val="000000"/>
          <w:szCs w:val="22"/>
          <w:lang w:val="es-ES"/>
        </w:rPr>
        <w:t>)</w:t>
      </w:r>
      <w:r w:rsidRPr="002D741C">
        <w:rPr>
          <w:color w:val="000000"/>
          <w:szCs w:val="22"/>
          <w:lang w:val="es-ES"/>
        </w:rPr>
        <w:t> pacientes con SMD/SMP asociado con reordenamientos del gen PDG</w:t>
      </w:r>
      <w:smartTag w:uri="urn:schemas-microsoft-com:office:smarttags" w:element="PersonName">
        <w:r w:rsidRPr="002D741C">
          <w:rPr>
            <w:color w:val="000000"/>
            <w:szCs w:val="22"/>
            <w:lang w:val="es-ES"/>
          </w:rPr>
          <w:t>FR</w:t>
        </w:r>
      </w:smartTag>
      <w:r w:rsidRPr="002D741C">
        <w:rPr>
          <w:color w:val="000000"/>
          <w:szCs w:val="22"/>
          <w:lang w:val="es-ES"/>
        </w:rPr>
        <w:t xml:space="preserve">. La edad de estos pacientes osciló entre 3 meses y 4 años y se administró imatinib a </w:t>
      </w:r>
      <w:r w:rsidR="008B551E" w:rsidRPr="002D741C">
        <w:rPr>
          <w:color w:val="000000"/>
          <w:szCs w:val="22"/>
          <w:lang w:val="es-ES"/>
        </w:rPr>
        <w:t xml:space="preserve">dosis de 50 mg diarios o </w:t>
      </w:r>
      <w:r w:rsidRPr="002D741C">
        <w:rPr>
          <w:color w:val="000000"/>
          <w:szCs w:val="22"/>
          <w:lang w:val="es-ES"/>
        </w:rPr>
        <w:t xml:space="preserve">dosis de </w:t>
      </w:r>
      <w:smartTag w:uri="urn:schemas-microsoft-com:office:smarttags" w:element="metricconverter">
        <w:smartTagPr>
          <w:attr w:name="ProductID" w:val="92,5 a"/>
        </w:smartTagPr>
        <w:r w:rsidRPr="002D741C">
          <w:rPr>
            <w:color w:val="000000"/>
            <w:szCs w:val="22"/>
            <w:lang w:val="es-ES"/>
          </w:rPr>
          <w:t>92,5 a</w:t>
        </w:r>
      </w:smartTag>
      <w:r w:rsidRPr="002D741C">
        <w:rPr>
          <w:color w:val="000000"/>
          <w:szCs w:val="22"/>
          <w:lang w:val="es-ES"/>
        </w:rPr>
        <w:t xml:space="preserve"> 340 mg/m</w:t>
      </w:r>
      <w:r w:rsidRPr="002D741C">
        <w:rPr>
          <w:color w:val="000000"/>
          <w:szCs w:val="22"/>
          <w:vertAlign w:val="superscript"/>
          <w:lang w:val="es-ES"/>
        </w:rPr>
        <w:t>2</w:t>
      </w:r>
      <w:r w:rsidRPr="002D741C">
        <w:rPr>
          <w:color w:val="000000"/>
          <w:szCs w:val="22"/>
          <w:lang w:val="es-ES"/>
        </w:rPr>
        <w:t xml:space="preserve"> diarios</w:t>
      </w:r>
      <w:r w:rsidR="00A518A2" w:rsidRPr="002D741C">
        <w:rPr>
          <w:color w:val="000000"/>
          <w:szCs w:val="22"/>
          <w:lang w:val="es-ES"/>
        </w:rPr>
        <w:t>. Todos los pacientes alcanzaron respuesta hematológica completa, respuesta citogenética y/o respuesta clínica.</w:t>
      </w:r>
    </w:p>
    <w:p w14:paraId="60B10699" w14:textId="77777777" w:rsidR="00754D8B" w:rsidRPr="002D741C" w:rsidRDefault="00754D8B" w:rsidP="00EF6CF2">
      <w:pPr>
        <w:pStyle w:val="EndnoteText"/>
        <w:widowControl w:val="0"/>
        <w:tabs>
          <w:tab w:val="clear" w:pos="567"/>
        </w:tabs>
        <w:rPr>
          <w:color w:val="000000"/>
          <w:szCs w:val="22"/>
          <w:lang w:val="es-ES"/>
        </w:rPr>
      </w:pPr>
    </w:p>
    <w:p w14:paraId="0256FFB1" w14:textId="77777777" w:rsidR="00A6642A" w:rsidRPr="002D741C" w:rsidRDefault="00A6642A" w:rsidP="00C16E58">
      <w:pPr>
        <w:pStyle w:val="EndnoteText"/>
        <w:keepNext/>
        <w:widowControl w:val="0"/>
        <w:tabs>
          <w:tab w:val="clear" w:pos="567"/>
        </w:tabs>
        <w:rPr>
          <w:color w:val="000000"/>
          <w:szCs w:val="22"/>
          <w:u w:val="single"/>
          <w:lang w:val="es-ES"/>
        </w:rPr>
      </w:pPr>
      <w:r w:rsidRPr="002D741C">
        <w:rPr>
          <w:color w:val="000000"/>
          <w:szCs w:val="22"/>
          <w:u w:val="single"/>
          <w:lang w:val="es-ES"/>
        </w:rPr>
        <w:t>Ensayos clínicos en SHE/LEC</w:t>
      </w:r>
    </w:p>
    <w:p w14:paraId="5E9BD030" w14:textId="77777777" w:rsidR="00A6642A" w:rsidRPr="002D741C" w:rsidRDefault="00240E02" w:rsidP="00573BA5">
      <w:pPr>
        <w:pStyle w:val="EndnoteText"/>
        <w:widowControl w:val="0"/>
        <w:tabs>
          <w:tab w:val="clear" w:pos="567"/>
        </w:tabs>
        <w:rPr>
          <w:color w:val="000000"/>
          <w:szCs w:val="22"/>
          <w:lang w:val="es-ES_tradnl"/>
        </w:rPr>
      </w:pPr>
      <w:r w:rsidRPr="002D741C">
        <w:rPr>
          <w:color w:val="000000"/>
          <w:szCs w:val="22"/>
          <w:lang w:val="es-ES_tradnl"/>
        </w:rPr>
        <w:t xml:space="preserve">Se llevó a cabo un ensayo clínico abierto, multicéntrico, fase II (estudio B2225) </w:t>
      </w:r>
      <w:r w:rsidR="00573BA5" w:rsidRPr="002D741C">
        <w:rPr>
          <w:color w:val="000000"/>
          <w:szCs w:val="22"/>
          <w:lang w:val="es-ES_tradnl"/>
        </w:rPr>
        <w:t>para evaluar</w:t>
      </w:r>
      <w:r w:rsidRPr="002D741C">
        <w:rPr>
          <w:color w:val="000000"/>
          <w:szCs w:val="22"/>
          <w:lang w:val="es-ES_tradnl"/>
        </w:rPr>
        <w:t xml:space="preserve"> Glivec en diversas poblaciones de pacientes</w:t>
      </w:r>
      <w:r w:rsidRPr="002D741C">
        <w:rPr>
          <w:color w:val="000000"/>
          <w:szCs w:val="22"/>
          <w:lang w:val="es-ES"/>
        </w:rPr>
        <w:t xml:space="preserve"> que sufrían</w:t>
      </w:r>
      <w:r w:rsidRPr="002D741C">
        <w:rPr>
          <w:color w:val="000000"/>
          <w:szCs w:val="22"/>
          <w:lang w:val="es-ES_tradnl"/>
        </w:rPr>
        <w:t xml:space="preserve"> enfermedades con riesgo vital asociadas con proteinas tirosina quinasas Abl, Kit o </w:t>
      </w:r>
      <w:r w:rsidRPr="002D741C">
        <w:rPr>
          <w:color w:val="000000"/>
          <w:szCs w:val="22"/>
          <w:lang w:val="es-ES"/>
        </w:rPr>
        <w:t>PDG</w:t>
      </w:r>
      <w:smartTag w:uri="urn:schemas-microsoft-com:office:smarttags" w:element="PersonName">
        <w:r w:rsidRPr="002D741C">
          <w:rPr>
            <w:color w:val="000000"/>
            <w:szCs w:val="22"/>
            <w:lang w:val="es-ES"/>
          </w:rPr>
          <w:t>FR</w:t>
        </w:r>
      </w:smartTag>
      <w:r w:rsidRPr="002D741C">
        <w:rPr>
          <w:color w:val="000000"/>
          <w:szCs w:val="22"/>
          <w:lang w:val="es-ES_tradnl"/>
        </w:rPr>
        <w:t>. En este estudio, 14 pacientes con SHE/LEC fueron tratados con 100 mg a 1</w:t>
      </w:r>
      <w:r w:rsidR="00C840D4" w:rsidRPr="002D741C">
        <w:rPr>
          <w:color w:val="000000"/>
          <w:szCs w:val="22"/>
          <w:lang w:val="es-ES_tradnl"/>
        </w:rPr>
        <w:t>.</w:t>
      </w:r>
      <w:r w:rsidRPr="002D741C">
        <w:rPr>
          <w:color w:val="000000"/>
          <w:szCs w:val="22"/>
          <w:lang w:val="es-ES_tradnl"/>
        </w:rPr>
        <w:t>000 mg de Glivec diarios. Unos</w:t>
      </w:r>
      <w:r w:rsidR="00573BA5" w:rsidRPr="002D741C">
        <w:rPr>
          <w:color w:val="000000"/>
          <w:szCs w:val="22"/>
          <w:lang w:val="es-ES_tradnl"/>
        </w:rPr>
        <w:t xml:space="preserve"> 162 pacientes adicionales con SHE</w:t>
      </w:r>
      <w:r w:rsidRPr="002D741C">
        <w:rPr>
          <w:color w:val="000000"/>
          <w:szCs w:val="22"/>
          <w:lang w:val="es-ES_tradnl"/>
        </w:rPr>
        <w:t xml:space="preserve">/LEC, notificados en 35 casos publicados y series de casos recibieron Glivec a dosis de 75 mg a 800 mg diarios. Se evaluaron las anormalidades citogenéticas en 117 de la población total de 176 pacientes. En 61 de estos 117 pacientes se identificaron quinasas de fusión </w:t>
      </w:r>
      <w:smartTag w:uri="urn:schemas-microsoft-com:office:smarttags" w:element="PersonName">
        <w:r w:rsidRPr="002D741C">
          <w:rPr>
            <w:color w:val="000000"/>
            <w:szCs w:val="22"/>
            <w:lang w:val="es-ES_tradnl"/>
          </w:rPr>
          <w:t>FI</w:t>
        </w:r>
      </w:smartTag>
      <w:r w:rsidRPr="002D741C">
        <w:rPr>
          <w:color w:val="000000"/>
          <w:szCs w:val="22"/>
          <w:lang w:val="es-ES_tradnl"/>
        </w:rPr>
        <w:t>P1L1-PDG</w:t>
      </w:r>
      <w:smartTag w:uri="urn:schemas-microsoft-com:office:smarttags" w:element="PersonName">
        <w:r w:rsidRPr="002D741C">
          <w:rPr>
            <w:color w:val="000000"/>
            <w:szCs w:val="22"/>
            <w:lang w:val="es-ES_tradnl"/>
          </w:rPr>
          <w:t>FR</w:t>
        </w:r>
      </w:smartTag>
      <w:r w:rsidRPr="002D741C">
        <w:rPr>
          <w:color w:val="000000"/>
          <w:szCs w:val="22"/>
        </w:rPr>
        <w:t>α</w:t>
      </w:r>
      <w:r w:rsidRPr="002D741C">
        <w:rPr>
          <w:color w:val="000000"/>
          <w:szCs w:val="22"/>
          <w:lang w:val="es-ES_tradnl"/>
        </w:rPr>
        <w:t xml:space="preserve">. En </w:t>
      </w:r>
      <w:r w:rsidR="00573BA5" w:rsidRPr="002D741C">
        <w:rPr>
          <w:color w:val="000000"/>
          <w:szCs w:val="22"/>
          <w:lang w:val="es-ES_tradnl"/>
        </w:rPr>
        <w:t xml:space="preserve">otros </w:t>
      </w:r>
      <w:r w:rsidRPr="002D741C">
        <w:rPr>
          <w:color w:val="000000"/>
          <w:szCs w:val="22"/>
          <w:lang w:val="es-ES_tradnl"/>
        </w:rPr>
        <w:t xml:space="preserve">3 informes publicados, se hallaron cuatro pacientes adicionales con </w:t>
      </w:r>
      <w:r w:rsidR="00573BA5" w:rsidRPr="002D741C">
        <w:rPr>
          <w:color w:val="000000"/>
          <w:szCs w:val="22"/>
          <w:lang w:val="es-ES_tradnl"/>
        </w:rPr>
        <w:t>SHE</w:t>
      </w:r>
      <w:r w:rsidRPr="002D741C">
        <w:rPr>
          <w:color w:val="000000"/>
          <w:szCs w:val="22"/>
          <w:lang w:val="es-ES_tradnl"/>
        </w:rPr>
        <w:t xml:space="preserve"> con </w:t>
      </w:r>
      <w:smartTag w:uri="urn:schemas-microsoft-com:office:smarttags" w:element="PersonName">
        <w:r w:rsidRPr="002D741C">
          <w:rPr>
            <w:color w:val="000000"/>
            <w:szCs w:val="22"/>
            <w:lang w:val="es-ES_tradnl"/>
          </w:rPr>
          <w:t>FI</w:t>
        </w:r>
      </w:smartTag>
      <w:r w:rsidRPr="002D741C">
        <w:rPr>
          <w:color w:val="000000"/>
          <w:szCs w:val="22"/>
          <w:lang w:val="es-ES_tradnl"/>
        </w:rPr>
        <w:t>P1L1-PDG</w:t>
      </w:r>
      <w:smartTag w:uri="urn:schemas-microsoft-com:office:smarttags" w:element="PersonName">
        <w:r w:rsidRPr="002D741C">
          <w:rPr>
            <w:color w:val="000000"/>
            <w:szCs w:val="22"/>
            <w:lang w:val="es-ES_tradnl"/>
          </w:rPr>
          <w:t>FR</w:t>
        </w:r>
      </w:smartTag>
      <w:r w:rsidRPr="002D741C">
        <w:rPr>
          <w:color w:val="000000"/>
          <w:szCs w:val="22"/>
        </w:rPr>
        <w:t>α</w:t>
      </w:r>
      <w:r w:rsidR="00573BA5" w:rsidRPr="002D741C">
        <w:rPr>
          <w:color w:val="000000"/>
          <w:szCs w:val="22"/>
          <w:lang w:val="es-ES_tradnl"/>
        </w:rPr>
        <w:t xml:space="preserve"> positivo</w:t>
      </w:r>
      <w:r w:rsidRPr="002D741C">
        <w:rPr>
          <w:color w:val="000000"/>
          <w:szCs w:val="22"/>
          <w:lang w:val="es-ES_tradnl"/>
        </w:rPr>
        <w:t xml:space="preserve">. </w:t>
      </w:r>
      <w:r w:rsidR="00376B93" w:rsidRPr="002D741C">
        <w:rPr>
          <w:color w:val="000000"/>
          <w:szCs w:val="22"/>
          <w:lang w:val="es-ES_tradnl"/>
        </w:rPr>
        <w:t>L</w:t>
      </w:r>
      <w:r w:rsidRPr="002D741C">
        <w:rPr>
          <w:color w:val="000000"/>
          <w:szCs w:val="22"/>
          <w:lang w:val="es-ES_tradnl"/>
        </w:rPr>
        <w:t xml:space="preserve">os 65 pacientes positivos para la quinasa de fusión </w:t>
      </w:r>
      <w:smartTag w:uri="urn:schemas-microsoft-com:office:smarttags" w:element="PersonName">
        <w:r w:rsidRPr="002D741C">
          <w:rPr>
            <w:color w:val="000000"/>
            <w:szCs w:val="22"/>
            <w:lang w:val="es-ES_tradnl"/>
          </w:rPr>
          <w:t>FI</w:t>
        </w:r>
      </w:smartTag>
      <w:r w:rsidRPr="002D741C">
        <w:rPr>
          <w:color w:val="000000"/>
          <w:szCs w:val="22"/>
          <w:lang w:val="es-ES_tradnl"/>
        </w:rPr>
        <w:t>P1L1-PDG</w:t>
      </w:r>
      <w:smartTag w:uri="urn:schemas-microsoft-com:office:smarttags" w:element="PersonName">
        <w:r w:rsidRPr="002D741C">
          <w:rPr>
            <w:color w:val="000000"/>
            <w:szCs w:val="22"/>
            <w:lang w:val="es-ES_tradnl"/>
          </w:rPr>
          <w:t>FR</w:t>
        </w:r>
      </w:smartTag>
      <w:r w:rsidRPr="002D741C">
        <w:rPr>
          <w:color w:val="000000"/>
          <w:szCs w:val="22"/>
        </w:rPr>
        <w:t>α</w:t>
      </w:r>
      <w:r w:rsidRPr="002D741C">
        <w:rPr>
          <w:color w:val="000000"/>
          <w:szCs w:val="22"/>
          <w:lang w:val="es-ES_tradnl"/>
        </w:rPr>
        <w:t xml:space="preserve"> alcanzaron una RHC mantenida durante meses (rango de 1+ a 44+ meses censurados en el momento del informe). Tal como se recoge en una publicación reciente 21 de estos 65 pacientes también alcanzaron la remisión molecular completa con una mediana de seguimiento de 28 meses (rango 13</w:t>
      </w:r>
      <w:r w:rsidR="00EA1195" w:rsidRPr="002D741C">
        <w:rPr>
          <w:color w:val="000000"/>
          <w:szCs w:val="22"/>
          <w:lang w:val="es-ES_tradnl"/>
        </w:rPr>
        <w:noBreakHyphen/>
      </w:r>
      <w:r w:rsidRPr="002D741C">
        <w:rPr>
          <w:color w:val="000000"/>
          <w:szCs w:val="22"/>
          <w:lang w:val="es-ES_tradnl"/>
        </w:rPr>
        <w:t xml:space="preserve">67 meses). La edad de estos pacientes varió de </w:t>
      </w:r>
      <w:smartTag w:uri="urn:schemas-microsoft-com:office:smarttags" w:element="metricconverter">
        <w:smartTagPr>
          <w:attr w:name="ProductID" w:val="25ﾠa"/>
        </w:smartTagPr>
        <w:r w:rsidRPr="002D741C">
          <w:rPr>
            <w:color w:val="000000"/>
            <w:szCs w:val="22"/>
            <w:lang w:val="es-ES_tradnl"/>
          </w:rPr>
          <w:t>25 a</w:t>
        </w:r>
      </w:smartTag>
      <w:r w:rsidRPr="002D741C">
        <w:rPr>
          <w:color w:val="000000"/>
          <w:szCs w:val="22"/>
          <w:lang w:val="es-ES_tradnl"/>
        </w:rPr>
        <w:t xml:space="preserve"> 72 años. Además, se notificaron mejoras en la sintomatología y </w:t>
      </w:r>
      <w:r w:rsidR="00573BA5" w:rsidRPr="002D741C">
        <w:rPr>
          <w:color w:val="000000"/>
          <w:szCs w:val="22"/>
          <w:lang w:val="es-ES_tradnl"/>
        </w:rPr>
        <w:t xml:space="preserve">en </w:t>
      </w:r>
      <w:r w:rsidRPr="002D741C">
        <w:rPr>
          <w:color w:val="000000"/>
          <w:szCs w:val="22"/>
          <w:lang w:val="es-ES_tradnl"/>
        </w:rPr>
        <w:t xml:space="preserve">otras </w:t>
      </w:r>
      <w:r w:rsidR="00573BA5" w:rsidRPr="002D741C">
        <w:rPr>
          <w:color w:val="000000"/>
          <w:szCs w:val="22"/>
          <w:lang w:val="es-ES_tradnl"/>
        </w:rPr>
        <w:t>alteraciones</w:t>
      </w:r>
      <w:r w:rsidRPr="002D741C">
        <w:rPr>
          <w:color w:val="000000"/>
          <w:szCs w:val="22"/>
          <w:lang w:val="es-ES_tradnl"/>
        </w:rPr>
        <w:t xml:space="preserve"> en la función de órganos por parte de los investigadores en los informes de los casos. </w:t>
      </w:r>
      <w:r w:rsidR="00FE3E3D" w:rsidRPr="002D741C">
        <w:rPr>
          <w:color w:val="000000"/>
          <w:szCs w:val="22"/>
          <w:lang w:val="es-ES_tradnl"/>
        </w:rPr>
        <w:t>Se observaron mejoras en los sistemas orgánicos cardíaco, nervioso, piel/tejido subcutáneo, respiratorio/torácico/mediastínico, musculoesquelético/tejido conectivo/vascular, y gastrointestinal.</w:t>
      </w:r>
    </w:p>
    <w:p w14:paraId="1A8EA5B2" w14:textId="77777777" w:rsidR="00A518A2" w:rsidRPr="002D741C" w:rsidRDefault="00A518A2" w:rsidP="00573BA5">
      <w:pPr>
        <w:pStyle w:val="EndnoteText"/>
        <w:widowControl w:val="0"/>
        <w:tabs>
          <w:tab w:val="clear" w:pos="567"/>
        </w:tabs>
        <w:rPr>
          <w:color w:val="000000"/>
          <w:szCs w:val="22"/>
          <w:lang w:val="es-ES_tradnl"/>
        </w:rPr>
      </w:pPr>
    </w:p>
    <w:p w14:paraId="6D77697D" w14:textId="77777777" w:rsidR="00A518A2" w:rsidRPr="002D741C" w:rsidRDefault="00A518A2" w:rsidP="00573BA5">
      <w:pPr>
        <w:pStyle w:val="EndnoteText"/>
        <w:widowControl w:val="0"/>
        <w:tabs>
          <w:tab w:val="clear" w:pos="567"/>
        </w:tabs>
        <w:rPr>
          <w:color w:val="000000"/>
          <w:szCs w:val="22"/>
          <w:lang w:val="es-ES_tradnl"/>
        </w:rPr>
      </w:pPr>
      <w:r w:rsidRPr="002D741C">
        <w:rPr>
          <w:color w:val="000000"/>
          <w:szCs w:val="22"/>
          <w:lang w:val="es-ES_tradnl"/>
        </w:rPr>
        <w:t xml:space="preserve">No existen ensayos controlados en pacientes pediátricos con SHE/LEC. En 3 publicaciones se notificaron </w:t>
      </w:r>
      <w:r w:rsidR="00E14E1C" w:rsidRPr="002D741C">
        <w:rPr>
          <w:color w:val="000000"/>
          <w:szCs w:val="22"/>
          <w:lang w:val="es-ES_tradnl"/>
        </w:rPr>
        <w:t>tres (</w:t>
      </w:r>
      <w:r w:rsidRPr="002D741C">
        <w:rPr>
          <w:color w:val="000000"/>
          <w:szCs w:val="22"/>
          <w:lang w:val="es-ES_tradnl"/>
        </w:rPr>
        <w:t>3</w:t>
      </w:r>
      <w:r w:rsidR="00E14E1C" w:rsidRPr="002D741C">
        <w:rPr>
          <w:color w:val="000000"/>
          <w:szCs w:val="22"/>
          <w:lang w:val="es-ES_tradnl"/>
        </w:rPr>
        <w:t>)</w:t>
      </w:r>
      <w:r w:rsidRPr="002D741C">
        <w:rPr>
          <w:color w:val="000000"/>
          <w:szCs w:val="22"/>
          <w:lang w:val="es-ES_tradnl"/>
        </w:rPr>
        <w:t> pacientes con SHE/LEC asociado con reordenamientos del gen PDG</w:t>
      </w:r>
      <w:smartTag w:uri="urn:schemas-microsoft-com:office:smarttags" w:element="PersonName">
        <w:r w:rsidRPr="002D741C">
          <w:rPr>
            <w:color w:val="000000"/>
            <w:szCs w:val="22"/>
            <w:lang w:val="es-ES_tradnl"/>
          </w:rPr>
          <w:t>FR</w:t>
        </w:r>
      </w:smartTag>
      <w:r w:rsidRPr="002D741C">
        <w:rPr>
          <w:color w:val="000000"/>
          <w:szCs w:val="22"/>
          <w:lang w:val="es-ES_tradnl"/>
        </w:rPr>
        <w:t xml:space="preserve">. La edad de estos pacientes osciló entre 2 y 16 años y se administró imatinib a </w:t>
      </w:r>
      <w:r w:rsidR="00E14E1C" w:rsidRPr="002D741C">
        <w:rPr>
          <w:color w:val="000000"/>
          <w:szCs w:val="22"/>
          <w:lang w:val="es-ES_tradnl"/>
        </w:rPr>
        <w:t>dosis de 300 mg/m</w:t>
      </w:r>
      <w:r w:rsidR="00E14E1C" w:rsidRPr="002D741C">
        <w:rPr>
          <w:color w:val="000000"/>
          <w:szCs w:val="22"/>
          <w:vertAlign w:val="superscript"/>
          <w:lang w:val="es-ES_tradnl"/>
        </w:rPr>
        <w:t>2</w:t>
      </w:r>
      <w:r w:rsidR="00E14E1C" w:rsidRPr="002D741C">
        <w:rPr>
          <w:color w:val="000000"/>
          <w:szCs w:val="22"/>
          <w:lang w:val="es-ES_tradnl"/>
        </w:rPr>
        <w:t xml:space="preserve"> diarios o </w:t>
      </w:r>
      <w:r w:rsidRPr="002D741C">
        <w:rPr>
          <w:color w:val="000000"/>
          <w:szCs w:val="22"/>
          <w:lang w:val="es-ES_tradnl"/>
        </w:rPr>
        <w:t xml:space="preserve">dosis de </w:t>
      </w:r>
      <w:smartTag w:uri="urn:schemas-microsoft-com:office:smarttags" w:element="metricconverter">
        <w:smartTagPr>
          <w:attr w:name="ProductID" w:val="200 a"/>
        </w:smartTagPr>
        <w:r w:rsidRPr="002D741C">
          <w:rPr>
            <w:color w:val="000000"/>
            <w:szCs w:val="22"/>
            <w:lang w:val="es-ES_tradnl"/>
          </w:rPr>
          <w:t>200 a</w:t>
        </w:r>
      </w:smartTag>
      <w:r w:rsidRPr="002D741C">
        <w:rPr>
          <w:color w:val="000000"/>
          <w:szCs w:val="22"/>
          <w:lang w:val="es-ES_tradnl"/>
        </w:rPr>
        <w:t xml:space="preserve"> 400 mg diarios. Todos los pacientes alcanzaron respuesta hematológica completa, respuesta citogenética completa y</w:t>
      </w:r>
      <w:r w:rsidR="00450495" w:rsidRPr="002D741C">
        <w:rPr>
          <w:color w:val="000000"/>
          <w:szCs w:val="22"/>
          <w:lang w:val="es-ES_tradnl"/>
        </w:rPr>
        <w:t>/o</w:t>
      </w:r>
      <w:r w:rsidRPr="002D741C">
        <w:rPr>
          <w:color w:val="000000"/>
          <w:szCs w:val="22"/>
          <w:lang w:val="es-ES_tradnl"/>
        </w:rPr>
        <w:t xml:space="preserve"> respuesta molecular completa.</w:t>
      </w:r>
    </w:p>
    <w:p w14:paraId="1916D9B9" w14:textId="77777777" w:rsidR="00FE3E3D" w:rsidRPr="002D741C" w:rsidRDefault="00FE3E3D" w:rsidP="00FE3E3D">
      <w:pPr>
        <w:pStyle w:val="EndnoteText"/>
        <w:widowControl w:val="0"/>
        <w:tabs>
          <w:tab w:val="clear" w:pos="567"/>
        </w:tabs>
        <w:rPr>
          <w:color w:val="000000"/>
          <w:szCs w:val="22"/>
          <w:lang w:val="es-ES_tradnl"/>
        </w:rPr>
      </w:pPr>
    </w:p>
    <w:p w14:paraId="1CAB44AF" w14:textId="77777777" w:rsidR="00B0341F" w:rsidRPr="002D741C" w:rsidRDefault="00B0341F" w:rsidP="00C16E58">
      <w:pPr>
        <w:pStyle w:val="EndnoteText"/>
        <w:keepNext/>
        <w:widowControl w:val="0"/>
        <w:tabs>
          <w:tab w:val="clear" w:pos="567"/>
        </w:tabs>
        <w:rPr>
          <w:color w:val="000000"/>
          <w:szCs w:val="22"/>
          <w:u w:val="single"/>
          <w:lang w:val="es-ES"/>
        </w:rPr>
      </w:pPr>
      <w:r w:rsidRPr="002D741C">
        <w:rPr>
          <w:color w:val="000000"/>
          <w:szCs w:val="22"/>
          <w:u w:val="single"/>
          <w:lang w:val="es-ES"/>
        </w:rPr>
        <w:t>Ensayos clínicos en G</w:t>
      </w:r>
      <w:smartTag w:uri="urn:schemas-microsoft-com:office:smarttags" w:element="PersonName">
        <w:r w:rsidRPr="002D741C">
          <w:rPr>
            <w:color w:val="000000"/>
            <w:szCs w:val="22"/>
            <w:u w:val="single"/>
            <w:lang w:val="es-ES"/>
          </w:rPr>
          <w:t>IS</w:t>
        </w:r>
      </w:smartTag>
      <w:r w:rsidRPr="002D741C">
        <w:rPr>
          <w:color w:val="000000"/>
          <w:szCs w:val="22"/>
          <w:u w:val="single"/>
          <w:lang w:val="es-ES"/>
        </w:rPr>
        <w:t>T no resecable y/o metastásico</w:t>
      </w:r>
    </w:p>
    <w:p w14:paraId="7176A312" w14:textId="77777777" w:rsidR="002626B2" w:rsidRPr="002D741C" w:rsidRDefault="002626B2" w:rsidP="00E776BA">
      <w:pPr>
        <w:pStyle w:val="EndnoteText"/>
        <w:widowControl w:val="0"/>
        <w:tabs>
          <w:tab w:val="clear" w:pos="567"/>
        </w:tabs>
        <w:rPr>
          <w:color w:val="000000"/>
          <w:szCs w:val="22"/>
          <w:lang w:val="es-ES"/>
        </w:rPr>
      </w:pPr>
      <w:r w:rsidRPr="002D741C">
        <w:rPr>
          <w:color w:val="000000"/>
          <w:szCs w:val="22"/>
          <w:lang w:val="es-ES"/>
        </w:rPr>
        <w:t>Se realizó un ensayo multinacional de fase</w:t>
      </w:r>
      <w:r w:rsidR="00683B3D" w:rsidRPr="002D741C">
        <w:rPr>
          <w:color w:val="000000"/>
          <w:szCs w:val="22"/>
          <w:lang w:val="es-ES"/>
        </w:rPr>
        <w:t> </w:t>
      </w:r>
      <w:r w:rsidRPr="002D741C">
        <w:rPr>
          <w:color w:val="000000"/>
          <w:szCs w:val="22"/>
          <w:lang w:val="es-ES"/>
        </w:rPr>
        <w:t>II, abierto, aleatorizado, no controlado, en pacientes con tumores del estroma gastrointestinal (G</w:t>
      </w:r>
      <w:smartTag w:uri="urn:schemas-microsoft-com:office:smarttags" w:element="PersonName">
        <w:r w:rsidRPr="002D741C">
          <w:rPr>
            <w:color w:val="000000"/>
            <w:szCs w:val="22"/>
            <w:lang w:val="es-ES"/>
          </w:rPr>
          <w:t>IS</w:t>
        </w:r>
      </w:smartTag>
      <w:r w:rsidRPr="002D741C">
        <w:rPr>
          <w:color w:val="000000"/>
          <w:szCs w:val="22"/>
          <w:lang w:val="es-ES"/>
        </w:rPr>
        <w:t>T) maligno no resecable o metastásico. En este ensayo se reclutaron 147</w:t>
      </w:r>
      <w:r w:rsidR="00DF063A" w:rsidRPr="002D741C">
        <w:rPr>
          <w:color w:val="000000"/>
          <w:szCs w:val="22"/>
          <w:lang w:val="es-ES"/>
        </w:rPr>
        <w:t> </w:t>
      </w:r>
      <w:r w:rsidRPr="002D741C">
        <w:rPr>
          <w:color w:val="000000"/>
          <w:szCs w:val="22"/>
          <w:lang w:val="es-ES"/>
        </w:rPr>
        <w:t>pacientes, los cuales se aleatorizaron para recibir 400</w:t>
      </w:r>
      <w:r w:rsidR="006171A6" w:rsidRPr="002D741C">
        <w:rPr>
          <w:color w:val="000000"/>
          <w:szCs w:val="22"/>
          <w:lang w:val="es-ES"/>
        </w:rPr>
        <w:t> mg</w:t>
      </w:r>
      <w:r w:rsidRPr="002D741C">
        <w:rPr>
          <w:color w:val="000000"/>
          <w:szCs w:val="22"/>
          <w:lang w:val="es-ES"/>
        </w:rPr>
        <w:t xml:space="preserve"> ó 600</w:t>
      </w:r>
      <w:r w:rsidR="006171A6" w:rsidRPr="002D741C">
        <w:rPr>
          <w:color w:val="000000"/>
          <w:szCs w:val="22"/>
          <w:lang w:val="es-ES"/>
        </w:rPr>
        <w:t> mg</w:t>
      </w:r>
      <w:r w:rsidRPr="002D741C">
        <w:rPr>
          <w:color w:val="000000"/>
          <w:szCs w:val="22"/>
          <w:lang w:val="es-ES"/>
        </w:rPr>
        <w:t xml:space="preserve"> por vía oral </w:t>
      </w:r>
      <w:r w:rsidR="00E776BA" w:rsidRPr="002D741C">
        <w:rPr>
          <w:color w:val="000000"/>
          <w:szCs w:val="22"/>
          <w:lang w:val="es-ES"/>
        </w:rPr>
        <w:t>una vez al día</w:t>
      </w:r>
      <w:r w:rsidRPr="002D741C">
        <w:rPr>
          <w:color w:val="000000"/>
          <w:szCs w:val="22"/>
          <w:lang w:val="es-ES"/>
        </w:rPr>
        <w:t xml:space="preserve"> durante un máximo de </w:t>
      </w:r>
      <w:r w:rsidR="005729DF" w:rsidRPr="002D741C">
        <w:rPr>
          <w:color w:val="000000"/>
          <w:szCs w:val="22"/>
          <w:lang w:val="es-ES"/>
        </w:rPr>
        <w:t>36</w:t>
      </w:r>
      <w:r w:rsidR="00F75D2A" w:rsidRPr="002D741C">
        <w:rPr>
          <w:color w:val="000000"/>
          <w:szCs w:val="22"/>
          <w:lang w:val="es-ES"/>
        </w:rPr>
        <w:t> </w:t>
      </w:r>
      <w:r w:rsidRPr="002D741C">
        <w:rPr>
          <w:color w:val="000000"/>
          <w:szCs w:val="22"/>
          <w:lang w:val="es-ES"/>
        </w:rPr>
        <w:t>meses. Estos pacientes tenían edades comprendidas entre los 18 y 83</w:t>
      </w:r>
      <w:r w:rsidR="00DF063A" w:rsidRPr="002D741C">
        <w:rPr>
          <w:color w:val="000000"/>
          <w:szCs w:val="22"/>
          <w:lang w:val="es-ES"/>
        </w:rPr>
        <w:t> </w:t>
      </w:r>
      <w:r w:rsidRPr="002D741C">
        <w:rPr>
          <w:color w:val="000000"/>
          <w:szCs w:val="22"/>
          <w:lang w:val="es-ES"/>
        </w:rPr>
        <w:t>años y un diagnóstico patológico de G</w:t>
      </w:r>
      <w:smartTag w:uri="urn:schemas-microsoft-com:office:smarttags" w:element="PersonName">
        <w:r w:rsidRPr="002D741C">
          <w:rPr>
            <w:color w:val="000000"/>
            <w:szCs w:val="22"/>
            <w:lang w:val="es-ES"/>
          </w:rPr>
          <w:t>IS</w:t>
        </w:r>
      </w:smartTag>
      <w:r w:rsidRPr="002D741C">
        <w:rPr>
          <w:color w:val="000000"/>
          <w:szCs w:val="22"/>
          <w:lang w:val="es-ES"/>
        </w:rPr>
        <w:t>T maligno Kit-positivo no resecable y/o metastásico. Sistemáticamente se realizaron pruebas inmunohistoquímicas con el anticuerpo Kit (A-4502, antisuero policlonal de conejo, 1:100, DAKO Corporation, Carpinteria, CA) según el análisis mediante un método de complejo avidina-biotina-peroxidasa después de recuperar el antígeno.</w:t>
      </w:r>
    </w:p>
    <w:p w14:paraId="6F5ADDE6" w14:textId="77777777" w:rsidR="002626B2" w:rsidRPr="002D741C" w:rsidRDefault="002626B2" w:rsidP="001A2F33">
      <w:pPr>
        <w:pStyle w:val="EndnoteText"/>
        <w:widowControl w:val="0"/>
        <w:tabs>
          <w:tab w:val="clear" w:pos="567"/>
        </w:tabs>
        <w:rPr>
          <w:color w:val="000000"/>
          <w:szCs w:val="22"/>
          <w:lang w:val="es-ES"/>
        </w:rPr>
      </w:pPr>
    </w:p>
    <w:p w14:paraId="0BFFC435" w14:textId="77777777" w:rsidR="002626B2" w:rsidRPr="002D741C" w:rsidRDefault="002626B2" w:rsidP="00287B47">
      <w:pPr>
        <w:pStyle w:val="EndnoteText"/>
        <w:widowControl w:val="0"/>
        <w:tabs>
          <w:tab w:val="clear" w:pos="567"/>
        </w:tabs>
        <w:rPr>
          <w:color w:val="000000"/>
          <w:szCs w:val="22"/>
          <w:lang w:val="es-ES"/>
        </w:rPr>
      </w:pPr>
      <w:r w:rsidRPr="002D741C">
        <w:rPr>
          <w:color w:val="000000"/>
          <w:szCs w:val="22"/>
          <w:lang w:val="es-ES"/>
        </w:rPr>
        <w:t xml:space="preserve">La evidencia principal de eficacia se basó en las tasas de respuesta objetiva. Se requerían tumores medibles en al menos un lugar de la enfermedad y una evaluación de la respuesta en base a los criterios del Southwestern Oncology Group (SWOG). Los resultados se muestran en </w:t>
      </w:r>
      <w:smartTag w:uri="urn:schemas-microsoft-com:office:smarttags" w:element="PersonName">
        <w:smartTagPr>
          <w:attr w:name="ProductID" w:val="la Tabla"/>
        </w:smartTagPr>
        <w:r w:rsidRPr="002D741C">
          <w:rPr>
            <w:color w:val="000000"/>
            <w:szCs w:val="22"/>
            <w:lang w:val="es-ES"/>
          </w:rPr>
          <w:t xml:space="preserve">la </w:t>
        </w:r>
        <w:r w:rsidR="00683B3D" w:rsidRPr="002D741C">
          <w:rPr>
            <w:color w:val="000000"/>
            <w:szCs w:val="22"/>
            <w:lang w:val="es-ES"/>
          </w:rPr>
          <w:t>T</w:t>
        </w:r>
        <w:r w:rsidRPr="002D741C">
          <w:rPr>
            <w:color w:val="000000"/>
            <w:szCs w:val="22"/>
            <w:lang w:val="es-ES"/>
          </w:rPr>
          <w:t>abla</w:t>
        </w:r>
      </w:smartTag>
      <w:r w:rsidR="00683B3D" w:rsidRPr="002D741C">
        <w:rPr>
          <w:color w:val="000000"/>
          <w:szCs w:val="22"/>
          <w:lang w:val="es-ES"/>
        </w:rPr>
        <w:t> </w:t>
      </w:r>
      <w:r w:rsidR="00A6343C" w:rsidRPr="002D741C">
        <w:rPr>
          <w:color w:val="000000"/>
          <w:szCs w:val="22"/>
          <w:lang w:val="es-ES"/>
        </w:rPr>
        <w:t>6</w:t>
      </w:r>
      <w:r w:rsidRPr="002D741C">
        <w:rPr>
          <w:color w:val="000000"/>
          <w:szCs w:val="22"/>
          <w:lang w:val="es-ES"/>
        </w:rPr>
        <w:t>.</w:t>
      </w:r>
    </w:p>
    <w:p w14:paraId="6E16DE46" w14:textId="77777777" w:rsidR="002626B2" w:rsidRPr="002D741C" w:rsidRDefault="002626B2" w:rsidP="001A2F33">
      <w:pPr>
        <w:pStyle w:val="EndnoteText"/>
        <w:widowControl w:val="0"/>
        <w:tabs>
          <w:tab w:val="clear" w:pos="567"/>
        </w:tabs>
        <w:rPr>
          <w:color w:val="000000"/>
          <w:szCs w:val="22"/>
          <w:lang w:val="es-ES"/>
        </w:rPr>
      </w:pPr>
    </w:p>
    <w:p w14:paraId="7E5A0608" w14:textId="77777777" w:rsidR="002626B2" w:rsidRPr="002D741C" w:rsidRDefault="002626B2" w:rsidP="00C16E58">
      <w:pPr>
        <w:pStyle w:val="EndnoteText"/>
        <w:keepNext/>
        <w:widowControl w:val="0"/>
        <w:tabs>
          <w:tab w:val="clear" w:pos="567"/>
          <w:tab w:val="left" w:pos="1134"/>
        </w:tabs>
        <w:rPr>
          <w:b/>
          <w:color w:val="000000"/>
          <w:szCs w:val="22"/>
          <w:lang w:val="es-ES"/>
        </w:rPr>
      </w:pPr>
      <w:r w:rsidRPr="002D741C">
        <w:rPr>
          <w:b/>
          <w:color w:val="000000"/>
          <w:szCs w:val="22"/>
          <w:lang w:val="es-ES"/>
        </w:rPr>
        <w:lastRenderedPageBreak/>
        <w:t>Tabla</w:t>
      </w:r>
      <w:r w:rsidR="00DF063A" w:rsidRPr="002D741C">
        <w:rPr>
          <w:b/>
          <w:color w:val="000000"/>
          <w:szCs w:val="22"/>
          <w:lang w:val="es-ES"/>
        </w:rPr>
        <w:t> </w:t>
      </w:r>
      <w:r w:rsidR="00A6343C" w:rsidRPr="002D741C">
        <w:rPr>
          <w:b/>
          <w:color w:val="000000"/>
          <w:szCs w:val="22"/>
          <w:lang w:val="es-ES"/>
        </w:rPr>
        <w:t>6</w:t>
      </w:r>
      <w:r w:rsidRPr="002D741C">
        <w:rPr>
          <w:b/>
          <w:color w:val="000000"/>
          <w:szCs w:val="22"/>
          <w:lang w:val="es-ES"/>
        </w:rPr>
        <w:tab/>
        <w:t>Mejor respuesta tumoral en el ensayo STIB2222 (G</w:t>
      </w:r>
      <w:smartTag w:uri="urn:schemas-microsoft-com:office:smarttags" w:element="PersonName">
        <w:r w:rsidRPr="002D741C">
          <w:rPr>
            <w:b/>
            <w:color w:val="000000"/>
            <w:szCs w:val="22"/>
            <w:lang w:val="es-ES"/>
          </w:rPr>
          <w:t>IS</w:t>
        </w:r>
      </w:smartTag>
      <w:r w:rsidRPr="002D741C">
        <w:rPr>
          <w:b/>
          <w:color w:val="000000"/>
          <w:szCs w:val="22"/>
          <w:lang w:val="es-ES"/>
        </w:rPr>
        <w:t>T)</w:t>
      </w:r>
    </w:p>
    <w:p w14:paraId="5EA6629B" w14:textId="77777777" w:rsidR="002626B2" w:rsidRPr="002D741C" w:rsidRDefault="002626B2" w:rsidP="00C16E58">
      <w:pPr>
        <w:pStyle w:val="EndnoteText"/>
        <w:keepNext/>
        <w:widowControl w:val="0"/>
        <w:tabs>
          <w:tab w:val="clear" w:pos="567"/>
        </w:tabs>
        <w:rPr>
          <w:color w:val="000000"/>
          <w:szCs w:val="22"/>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43"/>
        <w:gridCol w:w="4643"/>
      </w:tblGrid>
      <w:tr w:rsidR="002626B2" w:rsidRPr="002D741C" w14:paraId="2E4E1270" w14:textId="77777777" w:rsidTr="00C16E58">
        <w:trPr>
          <w:cantSplit/>
        </w:trPr>
        <w:tc>
          <w:tcPr>
            <w:tcW w:w="4643" w:type="dxa"/>
            <w:tcBorders>
              <w:left w:val="nil"/>
              <w:bottom w:val="single" w:sz="4" w:space="0" w:color="auto"/>
              <w:right w:val="nil"/>
            </w:tcBorders>
          </w:tcPr>
          <w:p w14:paraId="3021BE55" w14:textId="77777777" w:rsidR="002626B2" w:rsidRPr="002D741C" w:rsidRDefault="002626B2" w:rsidP="00C16E58">
            <w:pPr>
              <w:pStyle w:val="EndnoteText"/>
              <w:keepNext/>
              <w:widowControl w:val="0"/>
              <w:tabs>
                <w:tab w:val="clear" w:pos="567"/>
              </w:tabs>
              <w:rPr>
                <w:color w:val="000000"/>
                <w:szCs w:val="22"/>
                <w:lang w:val="es-ES"/>
              </w:rPr>
            </w:pPr>
          </w:p>
          <w:p w14:paraId="198F9D8B" w14:textId="77777777" w:rsidR="002626B2" w:rsidRPr="002D741C" w:rsidRDefault="002626B2" w:rsidP="00C16E58">
            <w:pPr>
              <w:pStyle w:val="EndnoteText"/>
              <w:keepNext/>
              <w:widowControl w:val="0"/>
              <w:tabs>
                <w:tab w:val="clear" w:pos="567"/>
              </w:tabs>
              <w:rPr>
                <w:color w:val="000000"/>
                <w:szCs w:val="22"/>
                <w:lang w:val="es-ES"/>
              </w:rPr>
            </w:pPr>
          </w:p>
          <w:p w14:paraId="359BAF18" w14:textId="77777777" w:rsidR="002626B2" w:rsidRPr="002D741C" w:rsidRDefault="002626B2" w:rsidP="00C16E58">
            <w:pPr>
              <w:pStyle w:val="EndnoteText"/>
              <w:keepNext/>
              <w:widowControl w:val="0"/>
              <w:tabs>
                <w:tab w:val="clear" w:pos="567"/>
              </w:tabs>
              <w:rPr>
                <w:color w:val="000000"/>
                <w:szCs w:val="22"/>
                <w:lang w:val="es-ES"/>
              </w:rPr>
            </w:pPr>
          </w:p>
          <w:p w14:paraId="3098FE24" w14:textId="77777777" w:rsidR="002626B2" w:rsidRPr="002D741C" w:rsidRDefault="002626B2" w:rsidP="00C16E58">
            <w:pPr>
              <w:pStyle w:val="EndnoteText"/>
              <w:keepNext/>
              <w:widowControl w:val="0"/>
              <w:tabs>
                <w:tab w:val="clear" w:pos="567"/>
              </w:tabs>
              <w:rPr>
                <w:color w:val="000000"/>
                <w:szCs w:val="22"/>
                <w:lang w:val="es-ES"/>
              </w:rPr>
            </w:pPr>
            <w:r w:rsidRPr="002D741C">
              <w:rPr>
                <w:color w:val="000000"/>
                <w:szCs w:val="22"/>
                <w:lang w:val="es-ES"/>
              </w:rPr>
              <w:t>Mejor respuesta</w:t>
            </w:r>
          </w:p>
        </w:tc>
        <w:tc>
          <w:tcPr>
            <w:tcW w:w="4643" w:type="dxa"/>
            <w:tcBorders>
              <w:left w:val="nil"/>
              <w:bottom w:val="single" w:sz="4" w:space="0" w:color="auto"/>
              <w:right w:val="nil"/>
            </w:tcBorders>
          </w:tcPr>
          <w:p w14:paraId="785A7D6C" w14:textId="77777777" w:rsidR="002626B2" w:rsidRPr="002D741C" w:rsidRDefault="002626B2" w:rsidP="00C16E58">
            <w:pPr>
              <w:pStyle w:val="EndnoteText"/>
              <w:keepNext/>
              <w:widowControl w:val="0"/>
              <w:tabs>
                <w:tab w:val="clear" w:pos="567"/>
              </w:tabs>
              <w:jc w:val="center"/>
              <w:rPr>
                <w:color w:val="000000"/>
                <w:szCs w:val="22"/>
                <w:lang w:val="pt-BR"/>
              </w:rPr>
            </w:pPr>
            <w:r w:rsidRPr="002D741C">
              <w:rPr>
                <w:color w:val="000000"/>
                <w:szCs w:val="22"/>
                <w:lang w:val="pt-BR"/>
              </w:rPr>
              <w:t>Todas las dosis (n=147)</w:t>
            </w:r>
          </w:p>
          <w:p w14:paraId="428A89FA" w14:textId="77777777" w:rsidR="002626B2" w:rsidRPr="002D741C" w:rsidRDefault="002626B2" w:rsidP="00C16E58">
            <w:pPr>
              <w:pStyle w:val="EndnoteText"/>
              <w:keepNext/>
              <w:widowControl w:val="0"/>
              <w:tabs>
                <w:tab w:val="clear" w:pos="567"/>
              </w:tabs>
              <w:jc w:val="center"/>
              <w:rPr>
                <w:color w:val="000000"/>
                <w:szCs w:val="22"/>
                <w:lang w:val="pt-BR"/>
              </w:rPr>
            </w:pPr>
            <w:r w:rsidRPr="002D741C">
              <w:rPr>
                <w:color w:val="000000"/>
                <w:szCs w:val="22"/>
                <w:lang w:val="pt-BR"/>
              </w:rPr>
              <w:t>400</w:t>
            </w:r>
            <w:r w:rsidR="006171A6" w:rsidRPr="002D741C">
              <w:rPr>
                <w:color w:val="000000"/>
                <w:szCs w:val="22"/>
                <w:lang w:val="pt-BR"/>
              </w:rPr>
              <w:t> mg</w:t>
            </w:r>
            <w:r w:rsidRPr="002D741C">
              <w:rPr>
                <w:color w:val="000000"/>
                <w:szCs w:val="22"/>
                <w:lang w:val="pt-BR"/>
              </w:rPr>
              <w:t xml:space="preserve"> (n=73)</w:t>
            </w:r>
          </w:p>
          <w:p w14:paraId="57DC0B78" w14:textId="77777777" w:rsidR="002626B2" w:rsidRPr="002D741C" w:rsidRDefault="002626B2" w:rsidP="00C16E58">
            <w:pPr>
              <w:pStyle w:val="EndnoteText"/>
              <w:keepNext/>
              <w:widowControl w:val="0"/>
              <w:tabs>
                <w:tab w:val="clear" w:pos="567"/>
              </w:tabs>
              <w:jc w:val="center"/>
              <w:rPr>
                <w:color w:val="000000"/>
                <w:szCs w:val="22"/>
                <w:lang w:val="es-ES"/>
              </w:rPr>
            </w:pPr>
            <w:r w:rsidRPr="002D741C">
              <w:rPr>
                <w:color w:val="000000"/>
                <w:szCs w:val="22"/>
                <w:lang w:val="es-ES"/>
              </w:rPr>
              <w:t>600</w:t>
            </w:r>
            <w:r w:rsidR="006171A6" w:rsidRPr="002D741C">
              <w:rPr>
                <w:color w:val="000000"/>
                <w:szCs w:val="22"/>
                <w:lang w:val="es-ES"/>
              </w:rPr>
              <w:t> mg</w:t>
            </w:r>
            <w:r w:rsidRPr="002D741C">
              <w:rPr>
                <w:color w:val="000000"/>
                <w:szCs w:val="22"/>
                <w:lang w:val="es-ES"/>
              </w:rPr>
              <w:t xml:space="preserve"> (n=74)</w:t>
            </w:r>
          </w:p>
          <w:p w14:paraId="2FB0D7A8" w14:textId="77777777" w:rsidR="002626B2" w:rsidRPr="002D741C" w:rsidRDefault="002626B2" w:rsidP="00C16E58">
            <w:pPr>
              <w:pStyle w:val="EndnoteText"/>
              <w:keepNext/>
              <w:widowControl w:val="0"/>
              <w:tabs>
                <w:tab w:val="clear" w:pos="567"/>
              </w:tabs>
              <w:jc w:val="center"/>
              <w:rPr>
                <w:color w:val="000000"/>
                <w:szCs w:val="22"/>
                <w:lang w:val="es-ES"/>
              </w:rPr>
            </w:pPr>
            <w:r w:rsidRPr="002D741C">
              <w:rPr>
                <w:color w:val="000000"/>
                <w:szCs w:val="22"/>
                <w:lang w:val="es-ES"/>
              </w:rPr>
              <w:t>n (%)</w:t>
            </w:r>
          </w:p>
        </w:tc>
      </w:tr>
      <w:tr w:rsidR="00341C12" w:rsidRPr="002D741C" w14:paraId="7F8E932F" w14:textId="77777777" w:rsidTr="00C16E58">
        <w:trPr>
          <w:cantSplit/>
        </w:trPr>
        <w:tc>
          <w:tcPr>
            <w:tcW w:w="4643" w:type="dxa"/>
            <w:tcBorders>
              <w:top w:val="nil"/>
              <w:left w:val="nil"/>
              <w:bottom w:val="nil"/>
              <w:right w:val="nil"/>
            </w:tcBorders>
          </w:tcPr>
          <w:p w14:paraId="04261454" w14:textId="77777777" w:rsidR="00341C12" w:rsidRPr="002D741C" w:rsidRDefault="00341C12" w:rsidP="00C16E58">
            <w:pPr>
              <w:pStyle w:val="Footer"/>
              <w:keepNext/>
              <w:widowControl w:val="0"/>
              <w:rPr>
                <w:color w:val="000000"/>
                <w:szCs w:val="22"/>
              </w:rPr>
            </w:pPr>
            <w:r w:rsidRPr="002D741C">
              <w:rPr>
                <w:color w:val="000000"/>
                <w:szCs w:val="22"/>
              </w:rPr>
              <w:t>Respuesta completa</w:t>
            </w:r>
          </w:p>
        </w:tc>
        <w:tc>
          <w:tcPr>
            <w:tcW w:w="4643" w:type="dxa"/>
            <w:tcBorders>
              <w:top w:val="nil"/>
              <w:left w:val="nil"/>
              <w:bottom w:val="nil"/>
              <w:right w:val="nil"/>
            </w:tcBorders>
          </w:tcPr>
          <w:p w14:paraId="43E6927D" w14:textId="77777777" w:rsidR="00341C12" w:rsidRPr="002D741C" w:rsidRDefault="00341C12" w:rsidP="00C16E58">
            <w:pPr>
              <w:pStyle w:val="Footer"/>
              <w:keepNext/>
              <w:widowControl w:val="0"/>
              <w:jc w:val="center"/>
              <w:rPr>
                <w:color w:val="000000"/>
                <w:szCs w:val="22"/>
              </w:rPr>
            </w:pPr>
            <w:r w:rsidRPr="002D741C">
              <w:rPr>
                <w:rFonts w:eastAsia="MS Mincho"/>
                <w:color w:val="000000"/>
                <w:szCs w:val="22"/>
              </w:rPr>
              <w:t>1</w:t>
            </w:r>
            <w:r w:rsidR="000901B2" w:rsidRPr="002D741C">
              <w:rPr>
                <w:rFonts w:eastAsia="MS Mincho"/>
                <w:color w:val="000000"/>
                <w:szCs w:val="22"/>
              </w:rPr>
              <w:t xml:space="preserve"> </w:t>
            </w:r>
            <w:r w:rsidRPr="002D741C">
              <w:rPr>
                <w:rFonts w:eastAsia="MS Mincho"/>
                <w:color w:val="000000"/>
                <w:szCs w:val="22"/>
              </w:rPr>
              <w:t>(0,7)</w:t>
            </w:r>
          </w:p>
        </w:tc>
      </w:tr>
      <w:tr w:rsidR="00341C12" w:rsidRPr="002D741C" w14:paraId="6F24C713" w14:textId="77777777" w:rsidTr="00C16E58">
        <w:trPr>
          <w:cantSplit/>
        </w:trPr>
        <w:tc>
          <w:tcPr>
            <w:tcW w:w="4643" w:type="dxa"/>
            <w:tcBorders>
              <w:top w:val="nil"/>
              <w:left w:val="nil"/>
              <w:bottom w:val="nil"/>
              <w:right w:val="nil"/>
            </w:tcBorders>
          </w:tcPr>
          <w:p w14:paraId="1BB160BF" w14:textId="77777777" w:rsidR="00341C12" w:rsidRPr="002D741C" w:rsidRDefault="00341C12" w:rsidP="00C16E58">
            <w:pPr>
              <w:pStyle w:val="Footer"/>
              <w:keepNext/>
              <w:widowControl w:val="0"/>
              <w:rPr>
                <w:color w:val="000000"/>
                <w:szCs w:val="22"/>
              </w:rPr>
            </w:pPr>
            <w:r w:rsidRPr="002D741C">
              <w:rPr>
                <w:color w:val="000000"/>
                <w:szCs w:val="22"/>
              </w:rPr>
              <w:t>Respuesta parcial</w:t>
            </w:r>
          </w:p>
        </w:tc>
        <w:tc>
          <w:tcPr>
            <w:tcW w:w="4643" w:type="dxa"/>
            <w:tcBorders>
              <w:top w:val="nil"/>
              <w:left w:val="nil"/>
              <w:bottom w:val="nil"/>
              <w:right w:val="nil"/>
            </w:tcBorders>
          </w:tcPr>
          <w:p w14:paraId="7ED93DCC" w14:textId="77777777" w:rsidR="00341C12" w:rsidRPr="002D741C" w:rsidRDefault="00341C12" w:rsidP="00C16E58">
            <w:pPr>
              <w:pStyle w:val="EndnoteText"/>
              <w:keepNext/>
              <w:widowControl w:val="0"/>
              <w:tabs>
                <w:tab w:val="clear" w:pos="567"/>
              </w:tabs>
              <w:jc w:val="center"/>
              <w:rPr>
                <w:color w:val="000000"/>
                <w:szCs w:val="22"/>
                <w:lang w:val="es-ES"/>
              </w:rPr>
            </w:pPr>
            <w:r w:rsidRPr="002D741C">
              <w:rPr>
                <w:rFonts w:eastAsia="MS Mincho"/>
                <w:color w:val="000000"/>
                <w:szCs w:val="22"/>
              </w:rPr>
              <w:t>98 (66,7)</w:t>
            </w:r>
          </w:p>
        </w:tc>
      </w:tr>
      <w:tr w:rsidR="00341C12" w:rsidRPr="002D741C" w14:paraId="5CFB73F1" w14:textId="77777777" w:rsidTr="00C16E58">
        <w:trPr>
          <w:cantSplit/>
        </w:trPr>
        <w:tc>
          <w:tcPr>
            <w:tcW w:w="4643" w:type="dxa"/>
            <w:tcBorders>
              <w:top w:val="nil"/>
              <w:left w:val="nil"/>
              <w:bottom w:val="nil"/>
              <w:right w:val="nil"/>
            </w:tcBorders>
          </w:tcPr>
          <w:p w14:paraId="70F6096D" w14:textId="77777777" w:rsidR="00341C12" w:rsidRPr="002D741C" w:rsidRDefault="00341C12" w:rsidP="00C16E58">
            <w:pPr>
              <w:pStyle w:val="EndnoteText"/>
              <w:keepNext/>
              <w:widowControl w:val="0"/>
              <w:tabs>
                <w:tab w:val="clear" w:pos="567"/>
              </w:tabs>
              <w:rPr>
                <w:color w:val="000000"/>
                <w:szCs w:val="22"/>
                <w:lang w:val="es-ES"/>
              </w:rPr>
            </w:pPr>
            <w:r w:rsidRPr="002D741C">
              <w:rPr>
                <w:color w:val="000000"/>
                <w:szCs w:val="22"/>
                <w:lang w:val="es-ES"/>
              </w:rPr>
              <w:t>Enfermedad estable</w:t>
            </w:r>
          </w:p>
        </w:tc>
        <w:tc>
          <w:tcPr>
            <w:tcW w:w="4643" w:type="dxa"/>
            <w:tcBorders>
              <w:top w:val="nil"/>
              <w:left w:val="nil"/>
              <w:bottom w:val="nil"/>
              <w:right w:val="nil"/>
            </w:tcBorders>
          </w:tcPr>
          <w:p w14:paraId="29D49F99" w14:textId="77777777" w:rsidR="00341C12" w:rsidRPr="002D741C" w:rsidRDefault="00341C12" w:rsidP="00C16E58">
            <w:pPr>
              <w:pStyle w:val="EndnoteText"/>
              <w:keepNext/>
              <w:widowControl w:val="0"/>
              <w:tabs>
                <w:tab w:val="clear" w:pos="567"/>
              </w:tabs>
              <w:jc w:val="center"/>
              <w:rPr>
                <w:color w:val="000000"/>
                <w:szCs w:val="22"/>
                <w:lang w:val="es-ES"/>
              </w:rPr>
            </w:pPr>
            <w:r w:rsidRPr="002D741C">
              <w:rPr>
                <w:rFonts w:eastAsia="MS Mincho"/>
                <w:color w:val="000000"/>
                <w:szCs w:val="22"/>
              </w:rPr>
              <w:t>23 (15,6)</w:t>
            </w:r>
          </w:p>
        </w:tc>
      </w:tr>
      <w:tr w:rsidR="00341C12" w:rsidRPr="002D741C" w14:paraId="74D152E0" w14:textId="77777777" w:rsidTr="00C16E58">
        <w:trPr>
          <w:cantSplit/>
        </w:trPr>
        <w:tc>
          <w:tcPr>
            <w:tcW w:w="4643" w:type="dxa"/>
            <w:tcBorders>
              <w:top w:val="nil"/>
              <w:left w:val="nil"/>
              <w:bottom w:val="nil"/>
              <w:right w:val="nil"/>
            </w:tcBorders>
          </w:tcPr>
          <w:p w14:paraId="359BC9B4" w14:textId="77777777" w:rsidR="00341C12" w:rsidRPr="002D741C" w:rsidRDefault="00341C12" w:rsidP="00C16E58">
            <w:pPr>
              <w:pStyle w:val="EndnoteText"/>
              <w:keepNext/>
              <w:widowControl w:val="0"/>
              <w:tabs>
                <w:tab w:val="clear" w:pos="567"/>
              </w:tabs>
              <w:rPr>
                <w:color w:val="000000"/>
                <w:szCs w:val="22"/>
                <w:lang w:val="es-ES"/>
              </w:rPr>
            </w:pPr>
            <w:r w:rsidRPr="002D741C">
              <w:rPr>
                <w:color w:val="000000"/>
                <w:szCs w:val="22"/>
                <w:lang w:val="es-ES"/>
              </w:rPr>
              <w:t>Enfermedad progresiva</w:t>
            </w:r>
          </w:p>
        </w:tc>
        <w:tc>
          <w:tcPr>
            <w:tcW w:w="4643" w:type="dxa"/>
            <w:tcBorders>
              <w:top w:val="nil"/>
              <w:left w:val="nil"/>
              <w:bottom w:val="nil"/>
              <w:right w:val="nil"/>
            </w:tcBorders>
          </w:tcPr>
          <w:p w14:paraId="3495E079" w14:textId="77777777" w:rsidR="00341C12" w:rsidRPr="002D741C" w:rsidRDefault="00341C12" w:rsidP="00C16E58">
            <w:pPr>
              <w:pStyle w:val="EndnoteText"/>
              <w:keepNext/>
              <w:widowControl w:val="0"/>
              <w:tabs>
                <w:tab w:val="clear" w:pos="567"/>
              </w:tabs>
              <w:jc w:val="center"/>
              <w:rPr>
                <w:color w:val="000000"/>
                <w:szCs w:val="22"/>
                <w:lang w:val="es-ES"/>
              </w:rPr>
            </w:pPr>
            <w:r w:rsidRPr="002D741C">
              <w:rPr>
                <w:rFonts w:eastAsia="MS Mincho"/>
                <w:color w:val="000000"/>
                <w:szCs w:val="22"/>
              </w:rPr>
              <w:t>18 (12,2)</w:t>
            </w:r>
          </w:p>
        </w:tc>
      </w:tr>
      <w:tr w:rsidR="00341C12" w:rsidRPr="002D741C" w14:paraId="5EA8FE53" w14:textId="77777777" w:rsidTr="00C16E58">
        <w:trPr>
          <w:cantSplit/>
        </w:trPr>
        <w:tc>
          <w:tcPr>
            <w:tcW w:w="4643" w:type="dxa"/>
            <w:tcBorders>
              <w:top w:val="nil"/>
              <w:left w:val="nil"/>
              <w:bottom w:val="nil"/>
              <w:right w:val="nil"/>
            </w:tcBorders>
          </w:tcPr>
          <w:p w14:paraId="1D65622C" w14:textId="77777777" w:rsidR="00341C12" w:rsidRPr="002D741C" w:rsidRDefault="00341C12" w:rsidP="00C16E58">
            <w:pPr>
              <w:pStyle w:val="EndnoteText"/>
              <w:keepNext/>
              <w:widowControl w:val="0"/>
              <w:tabs>
                <w:tab w:val="clear" w:pos="567"/>
              </w:tabs>
              <w:rPr>
                <w:color w:val="000000"/>
                <w:szCs w:val="22"/>
                <w:lang w:val="es-ES"/>
              </w:rPr>
            </w:pPr>
            <w:r w:rsidRPr="002D741C">
              <w:rPr>
                <w:color w:val="000000"/>
                <w:szCs w:val="22"/>
                <w:lang w:val="es-ES"/>
              </w:rPr>
              <w:t>No evaluable</w:t>
            </w:r>
          </w:p>
        </w:tc>
        <w:tc>
          <w:tcPr>
            <w:tcW w:w="4643" w:type="dxa"/>
            <w:tcBorders>
              <w:top w:val="nil"/>
              <w:left w:val="nil"/>
              <w:bottom w:val="nil"/>
              <w:right w:val="nil"/>
            </w:tcBorders>
          </w:tcPr>
          <w:p w14:paraId="55740321" w14:textId="77777777" w:rsidR="00341C12" w:rsidRPr="002D741C" w:rsidRDefault="00341C12" w:rsidP="00C16E58">
            <w:pPr>
              <w:pStyle w:val="EndnoteText"/>
              <w:keepNext/>
              <w:widowControl w:val="0"/>
              <w:tabs>
                <w:tab w:val="clear" w:pos="567"/>
              </w:tabs>
              <w:jc w:val="center"/>
              <w:rPr>
                <w:color w:val="000000"/>
                <w:szCs w:val="22"/>
                <w:lang w:val="es-ES"/>
              </w:rPr>
            </w:pPr>
            <w:r w:rsidRPr="002D741C">
              <w:rPr>
                <w:rFonts w:eastAsia="MS Mincho"/>
                <w:color w:val="000000"/>
                <w:szCs w:val="22"/>
              </w:rPr>
              <w:t>5 (3,4)</w:t>
            </w:r>
          </w:p>
        </w:tc>
      </w:tr>
      <w:tr w:rsidR="00341C12" w:rsidRPr="002D741C" w14:paraId="3FD24428" w14:textId="77777777" w:rsidTr="00C16E58">
        <w:trPr>
          <w:cantSplit/>
        </w:trPr>
        <w:tc>
          <w:tcPr>
            <w:tcW w:w="4643" w:type="dxa"/>
            <w:tcBorders>
              <w:top w:val="nil"/>
              <w:left w:val="nil"/>
              <w:right w:val="nil"/>
            </w:tcBorders>
          </w:tcPr>
          <w:p w14:paraId="1431A13A" w14:textId="77777777" w:rsidR="00341C12" w:rsidRPr="002D741C" w:rsidRDefault="00341C12" w:rsidP="001A2F33">
            <w:pPr>
              <w:pStyle w:val="EndnoteText"/>
              <w:widowControl w:val="0"/>
              <w:tabs>
                <w:tab w:val="clear" w:pos="567"/>
              </w:tabs>
              <w:rPr>
                <w:color w:val="000000"/>
                <w:szCs w:val="22"/>
                <w:lang w:val="es-ES"/>
              </w:rPr>
            </w:pPr>
            <w:r w:rsidRPr="002D741C">
              <w:rPr>
                <w:color w:val="000000"/>
                <w:szCs w:val="22"/>
                <w:lang w:val="es-ES"/>
              </w:rPr>
              <w:t>Desconocido</w:t>
            </w:r>
          </w:p>
        </w:tc>
        <w:tc>
          <w:tcPr>
            <w:tcW w:w="4643" w:type="dxa"/>
            <w:tcBorders>
              <w:top w:val="nil"/>
              <w:left w:val="nil"/>
              <w:right w:val="nil"/>
            </w:tcBorders>
          </w:tcPr>
          <w:p w14:paraId="4F02F733" w14:textId="77777777" w:rsidR="00341C12" w:rsidRPr="002D741C" w:rsidRDefault="00341C12" w:rsidP="001A2F33">
            <w:pPr>
              <w:pStyle w:val="EndnoteText"/>
              <w:widowControl w:val="0"/>
              <w:tabs>
                <w:tab w:val="clear" w:pos="567"/>
              </w:tabs>
              <w:jc w:val="center"/>
              <w:rPr>
                <w:color w:val="000000"/>
                <w:szCs w:val="22"/>
                <w:lang w:val="es-ES"/>
              </w:rPr>
            </w:pPr>
            <w:r w:rsidRPr="002D741C">
              <w:rPr>
                <w:color w:val="000000"/>
                <w:szCs w:val="22"/>
                <w:lang w:val="es-ES"/>
              </w:rPr>
              <w:t>2 (1,4)</w:t>
            </w:r>
          </w:p>
        </w:tc>
      </w:tr>
    </w:tbl>
    <w:p w14:paraId="008D8A34" w14:textId="77777777" w:rsidR="002626B2" w:rsidRPr="002D741C" w:rsidRDefault="002626B2" w:rsidP="001A2F33">
      <w:pPr>
        <w:pStyle w:val="EndnoteText"/>
        <w:widowControl w:val="0"/>
        <w:tabs>
          <w:tab w:val="clear" w:pos="567"/>
        </w:tabs>
        <w:rPr>
          <w:color w:val="000000"/>
          <w:szCs w:val="22"/>
          <w:lang w:val="es-ES"/>
        </w:rPr>
      </w:pPr>
    </w:p>
    <w:p w14:paraId="50FB8DEF" w14:textId="77777777" w:rsidR="00341C12" w:rsidRPr="002D741C" w:rsidRDefault="002626B2" w:rsidP="00486D5F">
      <w:pPr>
        <w:pStyle w:val="EndnoteText"/>
        <w:widowControl w:val="0"/>
        <w:tabs>
          <w:tab w:val="clear" w:pos="567"/>
        </w:tabs>
        <w:rPr>
          <w:color w:val="000000"/>
          <w:szCs w:val="22"/>
          <w:lang w:val="es-ES"/>
        </w:rPr>
      </w:pPr>
      <w:r w:rsidRPr="002D741C">
        <w:rPr>
          <w:color w:val="000000"/>
          <w:szCs w:val="22"/>
          <w:lang w:val="es-ES"/>
        </w:rPr>
        <w:t xml:space="preserve">No hubo diferencias en las tasas de respuesta entre los dos grupos de dosis. </w:t>
      </w:r>
      <w:r w:rsidR="00341C12" w:rsidRPr="002D741C">
        <w:rPr>
          <w:color w:val="000000"/>
          <w:szCs w:val="22"/>
          <w:lang w:val="es-ES"/>
        </w:rPr>
        <w:t>Un número significativo de pacientes que presentaba estabilidad de la enfermedad en el momento del análisis intermedio alcanzaron una respuesta parcial con el tratamiento más prolongado (</w:t>
      </w:r>
      <w:r w:rsidR="005729DF" w:rsidRPr="002D741C">
        <w:rPr>
          <w:color w:val="000000"/>
          <w:szCs w:val="22"/>
          <w:lang w:val="es-ES"/>
        </w:rPr>
        <w:t xml:space="preserve">mediana de </w:t>
      </w:r>
      <w:r w:rsidR="00341C12" w:rsidRPr="002D741C">
        <w:rPr>
          <w:color w:val="000000"/>
          <w:szCs w:val="22"/>
          <w:lang w:val="es-ES"/>
        </w:rPr>
        <w:t>seguimiento 31</w:t>
      </w:r>
      <w:r w:rsidR="000901B2" w:rsidRPr="002D741C">
        <w:rPr>
          <w:color w:val="000000"/>
          <w:szCs w:val="22"/>
          <w:lang w:val="es-ES"/>
        </w:rPr>
        <w:t> </w:t>
      </w:r>
      <w:r w:rsidR="00341C12" w:rsidRPr="002D741C">
        <w:rPr>
          <w:color w:val="000000"/>
          <w:szCs w:val="22"/>
          <w:lang w:val="es-ES"/>
        </w:rPr>
        <w:t>meses). La mediana de tiempo de respuesta fue de 13 semana</w:t>
      </w:r>
      <w:r w:rsidR="00F47982" w:rsidRPr="002D741C">
        <w:rPr>
          <w:color w:val="000000"/>
          <w:szCs w:val="22"/>
          <w:lang w:val="es-ES"/>
        </w:rPr>
        <w:t>s (IC 95% 12</w:t>
      </w:r>
      <w:r w:rsidR="000901B2" w:rsidRPr="002D741C">
        <w:rPr>
          <w:color w:val="000000"/>
          <w:szCs w:val="22"/>
          <w:lang w:val="es-ES_tradnl"/>
        </w:rPr>
        <w:t>–</w:t>
      </w:r>
      <w:r w:rsidR="00F47982" w:rsidRPr="002D741C">
        <w:rPr>
          <w:color w:val="000000"/>
          <w:szCs w:val="22"/>
          <w:lang w:val="es-ES"/>
        </w:rPr>
        <w:t>23). La mediana de</w:t>
      </w:r>
      <w:r w:rsidR="00341C12" w:rsidRPr="002D741C">
        <w:rPr>
          <w:color w:val="000000"/>
          <w:szCs w:val="22"/>
          <w:lang w:val="es-ES"/>
        </w:rPr>
        <w:t xml:space="preserve"> tiempo hasta el fallo del tratamiento en respondedores fue de 122 semanas (IC 95% 106</w:t>
      </w:r>
      <w:r w:rsidR="000901B2" w:rsidRPr="002D741C">
        <w:rPr>
          <w:color w:val="000000"/>
          <w:szCs w:val="22"/>
          <w:lang w:val="es-ES_tradnl"/>
        </w:rPr>
        <w:t>–</w:t>
      </w:r>
      <w:r w:rsidR="00341C12" w:rsidRPr="002D741C">
        <w:rPr>
          <w:color w:val="000000"/>
          <w:szCs w:val="22"/>
          <w:lang w:val="es-ES"/>
        </w:rPr>
        <w:t xml:space="preserve">147), mientras que en la población </w:t>
      </w:r>
      <w:r w:rsidR="005729DF" w:rsidRPr="002D741C">
        <w:rPr>
          <w:color w:val="000000"/>
          <w:szCs w:val="22"/>
          <w:lang w:val="es-ES"/>
        </w:rPr>
        <w:t xml:space="preserve">general </w:t>
      </w:r>
      <w:r w:rsidR="00341C12" w:rsidRPr="002D741C">
        <w:rPr>
          <w:color w:val="000000"/>
          <w:szCs w:val="22"/>
          <w:lang w:val="es-ES"/>
        </w:rPr>
        <w:t>de</w:t>
      </w:r>
      <w:r w:rsidR="005729DF" w:rsidRPr="002D741C">
        <w:rPr>
          <w:color w:val="000000"/>
          <w:szCs w:val="22"/>
          <w:lang w:val="es-ES"/>
        </w:rPr>
        <w:t>l</w:t>
      </w:r>
      <w:r w:rsidR="00341C12" w:rsidRPr="002D741C">
        <w:rPr>
          <w:color w:val="000000"/>
          <w:szCs w:val="22"/>
          <w:lang w:val="es-ES"/>
        </w:rPr>
        <w:t xml:space="preserve"> estudio fue de 84 semanas (IC 95% </w:t>
      </w:r>
      <w:r w:rsidR="007A1DAC" w:rsidRPr="002D741C">
        <w:rPr>
          <w:color w:val="000000"/>
          <w:szCs w:val="22"/>
          <w:lang w:val="es-ES"/>
        </w:rPr>
        <w:t>71</w:t>
      </w:r>
      <w:r w:rsidR="000901B2" w:rsidRPr="002D741C">
        <w:rPr>
          <w:color w:val="000000"/>
          <w:szCs w:val="22"/>
          <w:lang w:val="es-ES_tradnl"/>
        </w:rPr>
        <w:t>–</w:t>
      </w:r>
      <w:r w:rsidR="007A1DAC" w:rsidRPr="002D741C">
        <w:rPr>
          <w:color w:val="000000"/>
          <w:szCs w:val="22"/>
          <w:lang w:val="es-ES"/>
        </w:rPr>
        <w:t>109). La mediana de supervivencia global no se ha alcanzado. La estimación de Kaplan-Meier para supervivencia después de 36</w:t>
      </w:r>
      <w:r w:rsidR="00F75D2A" w:rsidRPr="002D741C">
        <w:rPr>
          <w:color w:val="000000"/>
          <w:szCs w:val="22"/>
          <w:lang w:val="es-ES"/>
        </w:rPr>
        <w:t> </w:t>
      </w:r>
      <w:r w:rsidR="007A1DAC" w:rsidRPr="002D741C">
        <w:rPr>
          <w:color w:val="000000"/>
          <w:szCs w:val="22"/>
          <w:lang w:val="es-ES"/>
        </w:rPr>
        <w:t>meses de seguimiento es de</w:t>
      </w:r>
      <w:r w:rsidR="005729DF" w:rsidRPr="002D741C">
        <w:rPr>
          <w:color w:val="000000"/>
          <w:szCs w:val="22"/>
          <w:lang w:val="es-ES"/>
        </w:rPr>
        <w:t>l</w:t>
      </w:r>
      <w:r w:rsidR="007A1DAC" w:rsidRPr="002D741C">
        <w:rPr>
          <w:color w:val="000000"/>
          <w:szCs w:val="22"/>
          <w:lang w:val="es-ES"/>
        </w:rPr>
        <w:t xml:space="preserve"> 68%.</w:t>
      </w:r>
    </w:p>
    <w:p w14:paraId="5D80E7A2" w14:textId="77777777" w:rsidR="007A1DAC" w:rsidRPr="002D741C" w:rsidRDefault="007A1DAC" w:rsidP="007A1DAC">
      <w:pPr>
        <w:pStyle w:val="EndnoteText"/>
        <w:widowControl w:val="0"/>
        <w:tabs>
          <w:tab w:val="clear" w:pos="567"/>
        </w:tabs>
        <w:rPr>
          <w:color w:val="000000"/>
          <w:szCs w:val="22"/>
          <w:lang w:val="es-ES"/>
        </w:rPr>
      </w:pPr>
    </w:p>
    <w:p w14:paraId="3543270A" w14:textId="77777777" w:rsidR="007A1DAC" w:rsidRPr="002D741C" w:rsidRDefault="007A1DAC" w:rsidP="00F47982">
      <w:pPr>
        <w:pStyle w:val="EndnoteText"/>
        <w:widowControl w:val="0"/>
        <w:tabs>
          <w:tab w:val="clear" w:pos="567"/>
        </w:tabs>
        <w:rPr>
          <w:color w:val="000000"/>
          <w:szCs w:val="22"/>
          <w:lang w:val="es-ES"/>
        </w:rPr>
      </w:pPr>
      <w:r w:rsidRPr="002D741C">
        <w:rPr>
          <w:color w:val="000000"/>
          <w:szCs w:val="22"/>
          <w:lang w:val="es-ES"/>
        </w:rPr>
        <w:t>En dos ensayos clínicos (estudio B2222 y un estudio intergrupos S0033) la dosis diaria de Glivec se escal</w:t>
      </w:r>
      <w:r w:rsidR="00C73BE5" w:rsidRPr="002D741C">
        <w:rPr>
          <w:color w:val="000000"/>
          <w:szCs w:val="22"/>
          <w:lang w:val="es-ES"/>
        </w:rPr>
        <w:t>ó hasta 800 mg en paciente</w:t>
      </w:r>
      <w:r w:rsidRPr="002D741C">
        <w:rPr>
          <w:color w:val="000000"/>
          <w:szCs w:val="22"/>
          <w:lang w:val="es-ES"/>
        </w:rPr>
        <w:t xml:space="preserve">s </w:t>
      </w:r>
      <w:r w:rsidR="00C73BE5" w:rsidRPr="002D741C">
        <w:rPr>
          <w:color w:val="000000"/>
          <w:szCs w:val="22"/>
          <w:lang w:val="es-ES"/>
        </w:rPr>
        <w:t xml:space="preserve">con progresión a dosis diarias </w:t>
      </w:r>
      <w:r w:rsidR="005729DF" w:rsidRPr="002D741C">
        <w:rPr>
          <w:color w:val="000000"/>
          <w:szCs w:val="22"/>
          <w:lang w:val="es-ES"/>
        </w:rPr>
        <w:t>inferiores</w:t>
      </w:r>
      <w:r w:rsidR="00C73BE5" w:rsidRPr="002D741C">
        <w:rPr>
          <w:color w:val="000000"/>
          <w:szCs w:val="22"/>
          <w:lang w:val="es-ES"/>
        </w:rPr>
        <w:t xml:space="preserve"> de 400 mg ó 600 mg. La dosis diaria se escaló hasta 800 mg en un total de 103 pacientes; 6 pacientes alcanzaron una respuesta parcial y 21 una estabilización de su enfermedad después del escalado de la dosis para un beneficio clínico global de 26%. De los datos de seguridad disponibles, no parece que el escalado de dosis hasta 800 mg diarios en pacientes con progresión a dosis </w:t>
      </w:r>
      <w:r w:rsidR="005729DF" w:rsidRPr="002D741C">
        <w:rPr>
          <w:color w:val="000000"/>
          <w:szCs w:val="22"/>
          <w:lang w:val="es-ES"/>
        </w:rPr>
        <w:t>inferiores</w:t>
      </w:r>
      <w:r w:rsidR="00C73BE5" w:rsidRPr="002D741C">
        <w:rPr>
          <w:color w:val="000000"/>
          <w:szCs w:val="22"/>
          <w:lang w:val="es-ES"/>
        </w:rPr>
        <w:t xml:space="preserve"> de 400 mg ó 600 mg afecte el perfil de seguridad de Glivec.</w:t>
      </w:r>
    </w:p>
    <w:p w14:paraId="6C3D87C4" w14:textId="77777777" w:rsidR="008C48E3" w:rsidRPr="002D741C" w:rsidRDefault="008C48E3" w:rsidP="008C48E3">
      <w:pPr>
        <w:pStyle w:val="EndnoteText"/>
        <w:widowControl w:val="0"/>
        <w:tabs>
          <w:tab w:val="clear" w:pos="567"/>
        </w:tabs>
        <w:rPr>
          <w:color w:val="000000"/>
          <w:szCs w:val="22"/>
          <w:u w:val="single"/>
          <w:lang w:val="es-ES"/>
        </w:rPr>
      </w:pPr>
    </w:p>
    <w:p w14:paraId="0F8E61F1" w14:textId="77777777" w:rsidR="00B0341F" w:rsidRPr="002D741C" w:rsidRDefault="00B0341F" w:rsidP="00C16E58">
      <w:pPr>
        <w:pStyle w:val="EndnoteText"/>
        <w:keepNext/>
        <w:widowControl w:val="0"/>
        <w:tabs>
          <w:tab w:val="clear" w:pos="567"/>
        </w:tabs>
        <w:rPr>
          <w:color w:val="000000"/>
          <w:szCs w:val="22"/>
          <w:u w:val="single"/>
          <w:lang w:val="es-ES"/>
        </w:rPr>
      </w:pPr>
      <w:r w:rsidRPr="002D741C">
        <w:rPr>
          <w:color w:val="000000"/>
          <w:szCs w:val="22"/>
          <w:u w:val="single"/>
          <w:lang w:val="es-ES"/>
        </w:rPr>
        <w:t>Ensayo</w:t>
      </w:r>
      <w:r w:rsidR="00A153E4" w:rsidRPr="002D741C">
        <w:rPr>
          <w:color w:val="000000"/>
          <w:szCs w:val="22"/>
          <w:u w:val="single"/>
          <w:lang w:val="es-ES"/>
        </w:rPr>
        <w:t>s</w:t>
      </w:r>
      <w:r w:rsidRPr="002D741C">
        <w:rPr>
          <w:color w:val="000000"/>
          <w:szCs w:val="22"/>
          <w:u w:val="single"/>
          <w:lang w:val="es-ES"/>
        </w:rPr>
        <w:t xml:space="preserve"> clínico</w:t>
      </w:r>
      <w:r w:rsidR="00A153E4" w:rsidRPr="002D741C">
        <w:rPr>
          <w:color w:val="000000"/>
          <w:szCs w:val="22"/>
          <w:u w:val="single"/>
          <w:lang w:val="es-ES"/>
        </w:rPr>
        <w:t>s</w:t>
      </w:r>
      <w:r w:rsidRPr="002D741C">
        <w:rPr>
          <w:color w:val="000000"/>
          <w:szCs w:val="22"/>
          <w:u w:val="single"/>
          <w:lang w:val="es-ES"/>
        </w:rPr>
        <w:t xml:space="preserve"> en adyuvancia de G</w:t>
      </w:r>
      <w:smartTag w:uri="urn:schemas-microsoft-com:office:smarttags" w:element="PersonName">
        <w:r w:rsidRPr="002D741C">
          <w:rPr>
            <w:color w:val="000000"/>
            <w:szCs w:val="22"/>
            <w:u w:val="single"/>
            <w:lang w:val="es-ES"/>
          </w:rPr>
          <w:t>IS</w:t>
        </w:r>
      </w:smartTag>
      <w:r w:rsidRPr="002D741C">
        <w:rPr>
          <w:color w:val="000000"/>
          <w:szCs w:val="22"/>
          <w:u w:val="single"/>
          <w:lang w:val="es-ES"/>
        </w:rPr>
        <w:t>T</w:t>
      </w:r>
    </w:p>
    <w:p w14:paraId="64501837" w14:textId="77777777" w:rsidR="00B0341F" w:rsidRPr="002D741C" w:rsidRDefault="00B0341F" w:rsidP="00B0341F">
      <w:pPr>
        <w:pStyle w:val="EndnoteText"/>
        <w:widowControl w:val="0"/>
        <w:tabs>
          <w:tab w:val="clear" w:pos="567"/>
        </w:tabs>
        <w:rPr>
          <w:rFonts w:eastAsia="MS Mincho"/>
          <w:color w:val="000000"/>
          <w:szCs w:val="22"/>
          <w:lang w:val="es-ES_tradnl" w:eastAsia="ja-JP"/>
        </w:rPr>
      </w:pPr>
      <w:r w:rsidRPr="002D741C">
        <w:rPr>
          <w:color w:val="000000"/>
          <w:szCs w:val="22"/>
          <w:lang w:val="es-ES"/>
        </w:rPr>
        <w:t xml:space="preserve">En la terapia adyuvante, Glivec se investigó en un estudio multicéntrico, doble ciego, a largo plazo, controlado con placebo, fase </w:t>
      </w:r>
      <w:smartTag w:uri="urn:schemas-microsoft-com:office:smarttags" w:element="stockticker">
        <w:r w:rsidRPr="002D741C">
          <w:rPr>
            <w:color w:val="000000"/>
            <w:szCs w:val="22"/>
            <w:lang w:val="es-ES"/>
          </w:rPr>
          <w:t>III</w:t>
        </w:r>
      </w:smartTag>
      <w:r w:rsidRPr="002D741C">
        <w:rPr>
          <w:color w:val="000000"/>
          <w:szCs w:val="22"/>
          <w:lang w:val="es-ES"/>
        </w:rPr>
        <w:t xml:space="preserve"> (Z9001) incluyendo 773 pacientes. La edad de los pacientes varió de </w:t>
      </w:r>
      <w:smartTag w:uri="urn:schemas-microsoft-com:office:smarttags" w:element="metricconverter">
        <w:smartTagPr>
          <w:attr w:name="ProductID" w:val="18ﾠa"/>
        </w:smartTagPr>
        <w:r w:rsidRPr="002D741C">
          <w:rPr>
            <w:color w:val="000000"/>
            <w:szCs w:val="22"/>
            <w:lang w:val="es-ES"/>
          </w:rPr>
          <w:t>18 a</w:t>
        </w:r>
      </w:smartTag>
      <w:r w:rsidRPr="002D741C">
        <w:rPr>
          <w:color w:val="000000"/>
          <w:szCs w:val="22"/>
          <w:lang w:val="es-ES"/>
        </w:rPr>
        <w:t xml:space="preserve"> 91 años. Se incluyeron pacientes que tenían un diagnóstico histológico de G</w:t>
      </w:r>
      <w:smartTag w:uri="urn:schemas-microsoft-com:office:smarttags" w:element="PersonName">
        <w:r w:rsidRPr="002D741C">
          <w:rPr>
            <w:color w:val="000000"/>
            <w:szCs w:val="22"/>
            <w:lang w:val="es-ES"/>
          </w:rPr>
          <w:t>IS</w:t>
        </w:r>
      </w:smartTag>
      <w:r w:rsidRPr="002D741C">
        <w:rPr>
          <w:color w:val="000000"/>
          <w:szCs w:val="22"/>
          <w:lang w:val="es-ES"/>
        </w:rPr>
        <w:t xml:space="preserve">T primario con expresión de la proteina Kit por inmunohistoquímica y un tamaño de tumor </w:t>
      </w:r>
      <w:r w:rsidRPr="002D741C">
        <w:rPr>
          <w:rFonts w:eastAsia="MS Mincho"/>
          <w:color w:val="000000"/>
          <w:szCs w:val="22"/>
          <w:lang w:val="es-ES_tradnl" w:eastAsia="ja-JP"/>
        </w:rPr>
        <w:t>≥ 3 cm como dimensión máxima, con una resección completa del G</w:t>
      </w:r>
      <w:smartTag w:uri="urn:schemas-microsoft-com:office:smarttags" w:element="PersonName">
        <w:r w:rsidRPr="002D741C">
          <w:rPr>
            <w:rFonts w:eastAsia="MS Mincho"/>
            <w:color w:val="000000"/>
            <w:szCs w:val="22"/>
            <w:lang w:val="es-ES_tradnl" w:eastAsia="ja-JP"/>
          </w:rPr>
          <w:t>IS</w:t>
        </w:r>
      </w:smartTag>
      <w:r w:rsidRPr="002D741C">
        <w:rPr>
          <w:rFonts w:eastAsia="MS Mincho"/>
          <w:color w:val="000000"/>
          <w:szCs w:val="22"/>
          <w:lang w:val="es-ES_tradnl" w:eastAsia="ja-JP"/>
        </w:rPr>
        <w:t>T primario dentro de los 14</w:t>
      </w:r>
      <w:r w:rsidRPr="002D741C">
        <w:rPr>
          <w:rFonts w:eastAsia="MS Mincho"/>
          <w:color w:val="000000"/>
          <w:szCs w:val="22"/>
          <w:lang w:val="es-ES_tradnl" w:eastAsia="ja-JP"/>
        </w:rPr>
        <w:noBreakHyphen/>
        <w:t>70 días previos al registro. Después de la resección del G</w:t>
      </w:r>
      <w:smartTag w:uri="urn:schemas-microsoft-com:office:smarttags" w:element="PersonName">
        <w:r w:rsidRPr="002D741C">
          <w:rPr>
            <w:rFonts w:eastAsia="MS Mincho"/>
            <w:color w:val="000000"/>
            <w:szCs w:val="22"/>
            <w:lang w:val="es-ES_tradnl" w:eastAsia="ja-JP"/>
          </w:rPr>
          <w:t>IS</w:t>
        </w:r>
      </w:smartTag>
      <w:r w:rsidRPr="002D741C">
        <w:rPr>
          <w:rFonts w:eastAsia="MS Mincho"/>
          <w:color w:val="000000"/>
          <w:szCs w:val="22"/>
          <w:lang w:val="es-ES_tradnl" w:eastAsia="ja-JP"/>
        </w:rPr>
        <w:t>T primario, los pacientes se distribuyeron aleatoriamente a uno de los dos brazos de tratamiento: Glivec a 400 mg/día o placebo durante un año.</w:t>
      </w:r>
    </w:p>
    <w:p w14:paraId="6FBDE2A0" w14:textId="77777777" w:rsidR="00B0341F" w:rsidRPr="002D741C" w:rsidRDefault="00B0341F" w:rsidP="00B0341F">
      <w:pPr>
        <w:pStyle w:val="EndnoteText"/>
        <w:widowControl w:val="0"/>
        <w:tabs>
          <w:tab w:val="clear" w:pos="567"/>
        </w:tabs>
        <w:rPr>
          <w:rFonts w:eastAsia="MS Mincho"/>
          <w:color w:val="000000"/>
          <w:szCs w:val="22"/>
          <w:lang w:val="es-ES_tradnl" w:eastAsia="ja-JP"/>
        </w:rPr>
      </w:pPr>
    </w:p>
    <w:p w14:paraId="62ABFC80" w14:textId="77777777" w:rsidR="00B0341F" w:rsidRPr="002D741C" w:rsidRDefault="00B0341F" w:rsidP="00B0341F">
      <w:pPr>
        <w:pStyle w:val="EndnoteText"/>
        <w:widowControl w:val="0"/>
        <w:tabs>
          <w:tab w:val="clear" w:pos="567"/>
        </w:tabs>
        <w:rPr>
          <w:rFonts w:eastAsia="MS Mincho"/>
          <w:color w:val="000000"/>
          <w:szCs w:val="22"/>
          <w:lang w:val="es-ES_tradnl" w:eastAsia="ja-JP"/>
        </w:rPr>
      </w:pPr>
      <w:r w:rsidRPr="002D741C">
        <w:rPr>
          <w:rFonts w:eastAsia="MS Mincho"/>
          <w:color w:val="000000"/>
          <w:szCs w:val="22"/>
          <w:lang w:val="es-ES_tradnl" w:eastAsia="ja-JP"/>
        </w:rPr>
        <w:t>La variable primaria del estudio fue supervivencia libre de recurrencia (</w:t>
      </w:r>
      <w:smartTag w:uri="urn:schemas-microsoft-com:office:smarttags" w:element="stockticker">
        <w:r w:rsidRPr="002D741C">
          <w:rPr>
            <w:rFonts w:eastAsia="MS Mincho"/>
            <w:color w:val="000000"/>
            <w:szCs w:val="22"/>
            <w:lang w:val="es-ES_tradnl" w:eastAsia="ja-JP"/>
          </w:rPr>
          <w:t>SLR</w:t>
        </w:r>
      </w:smartTag>
      <w:r w:rsidRPr="002D741C">
        <w:rPr>
          <w:rFonts w:eastAsia="MS Mincho"/>
          <w:color w:val="000000"/>
          <w:szCs w:val="22"/>
          <w:lang w:val="es-ES_tradnl" w:eastAsia="ja-JP"/>
        </w:rPr>
        <w:t>), definida como el tiempo desde la fecha de aleatorización hasta la fecha de recurrencia o muerte por cualquier causa.</w:t>
      </w:r>
    </w:p>
    <w:p w14:paraId="7B029562" w14:textId="77777777" w:rsidR="00B0341F" w:rsidRPr="002D741C" w:rsidRDefault="00B0341F" w:rsidP="00B0341F">
      <w:pPr>
        <w:pStyle w:val="EndnoteText"/>
        <w:widowControl w:val="0"/>
        <w:tabs>
          <w:tab w:val="clear" w:pos="567"/>
        </w:tabs>
        <w:rPr>
          <w:color w:val="000000"/>
          <w:szCs w:val="22"/>
          <w:lang w:val="es-ES"/>
        </w:rPr>
      </w:pPr>
    </w:p>
    <w:p w14:paraId="2D29DD78" w14:textId="77777777" w:rsidR="00B0341F" w:rsidRPr="002D741C" w:rsidRDefault="00B0341F" w:rsidP="00B0341F">
      <w:pPr>
        <w:pStyle w:val="EndnoteText"/>
        <w:widowControl w:val="0"/>
        <w:tabs>
          <w:tab w:val="clear" w:pos="567"/>
        </w:tabs>
        <w:rPr>
          <w:color w:val="000000"/>
          <w:szCs w:val="22"/>
          <w:lang w:val="es-ES_tradnl"/>
        </w:rPr>
      </w:pPr>
      <w:r w:rsidRPr="002D741C">
        <w:rPr>
          <w:color w:val="000000"/>
          <w:szCs w:val="22"/>
          <w:lang w:val="es-ES"/>
        </w:rPr>
        <w:t xml:space="preserve">Glivec prolongó significativamente </w:t>
      </w:r>
      <w:smartTag w:uri="urn:schemas-microsoft-com:office:smarttags" w:element="PersonName">
        <w:smartTagPr>
          <w:attr w:name="ProductID" w:val="la SLR"/>
        </w:smartTagPr>
        <w:r w:rsidRPr="002D741C">
          <w:rPr>
            <w:color w:val="000000"/>
            <w:szCs w:val="22"/>
            <w:lang w:val="es-ES"/>
          </w:rPr>
          <w:t xml:space="preserve">la </w:t>
        </w:r>
        <w:smartTag w:uri="urn:schemas-microsoft-com:office:smarttags" w:element="stockticker">
          <w:r w:rsidRPr="002D741C">
            <w:rPr>
              <w:color w:val="000000"/>
              <w:szCs w:val="22"/>
              <w:lang w:val="es-ES"/>
            </w:rPr>
            <w:t>SLR</w:t>
          </w:r>
        </w:smartTag>
      </w:smartTag>
      <w:r w:rsidRPr="002D741C">
        <w:rPr>
          <w:color w:val="000000"/>
          <w:szCs w:val="22"/>
          <w:lang w:val="es-ES"/>
        </w:rPr>
        <w:t xml:space="preserve">, con un 75% de los pacientes libres de recurrencia a los 38 meses en el grupo de Glivec frente a 20 meses en el grupo de placebo </w:t>
      </w:r>
      <w:r w:rsidRPr="002D741C">
        <w:rPr>
          <w:color w:val="000000"/>
          <w:szCs w:val="22"/>
          <w:lang w:val="es-ES_tradnl"/>
        </w:rPr>
        <w:t>(IC 95%, [30 – no estimable]; [14 – no estimable], respectivamente); (cociente de riesgo = 0,398 [0,259</w:t>
      </w:r>
      <w:r w:rsidRPr="002D741C">
        <w:rPr>
          <w:color w:val="000000"/>
          <w:szCs w:val="22"/>
          <w:lang w:val="es-ES_tradnl"/>
        </w:rPr>
        <w:noBreakHyphen/>
        <w:t xml:space="preserve">0,610], p&lt;0,0001). A un año </w:t>
      </w:r>
      <w:smartTag w:uri="urn:schemas-microsoft-com:office:smarttags" w:element="PersonName">
        <w:smartTagPr>
          <w:attr w:name="ProductID" w:val="la SLR"/>
        </w:smartTagPr>
        <w:r w:rsidRPr="002D741C">
          <w:rPr>
            <w:color w:val="000000"/>
            <w:szCs w:val="22"/>
            <w:lang w:val="es-ES_tradnl"/>
          </w:rPr>
          <w:t xml:space="preserve">la </w:t>
        </w:r>
        <w:smartTag w:uri="urn:schemas-microsoft-com:office:smarttags" w:element="stockticker">
          <w:r w:rsidRPr="002D741C">
            <w:rPr>
              <w:color w:val="000000"/>
              <w:szCs w:val="22"/>
              <w:lang w:val="es-ES_tradnl"/>
            </w:rPr>
            <w:t>SLR</w:t>
          </w:r>
        </w:smartTag>
      </w:smartTag>
      <w:r w:rsidRPr="002D741C">
        <w:rPr>
          <w:color w:val="000000"/>
          <w:szCs w:val="22"/>
          <w:lang w:val="es-ES_tradnl"/>
        </w:rPr>
        <w:t xml:space="preserve"> fue significativamente mejor para Glivec (97,7%) que para placebo (82,3%), (p&lt;0,0001). El riesgo de recurrencia quedó reducido, por tanto, en aproximadamente un 89% comparado con placebo (cociente de riesgo = 0,113 [0,049</w:t>
      </w:r>
      <w:r w:rsidRPr="002D741C">
        <w:rPr>
          <w:color w:val="000000"/>
          <w:szCs w:val="22"/>
          <w:lang w:val="es-ES_tradnl"/>
        </w:rPr>
        <w:noBreakHyphen/>
        <w:t>0,264].</w:t>
      </w:r>
    </w:p>
    <w:p w14:paraId="3A220AA7" w14:textId="77777777" w:rsidR="00B0341F" w:rsidRPr="002D741C" w:rsidRDefault="00B0341F" w:rsidP="00B0341F">
      <w:pPr>
        <w:pStyle w:val="EndnoteText"/>
        <w:widowControl w:val="0"/>
        <w:tabs>
          <w:tab w:val="clear" w:pos="567"/>
        </w:tabs>
        <w:rPr>
          <w:color w:val="000000"/>
          <w:szCs w:val="22"/>
          <w:lang w:val="es-ES"/>
        </w:rPr>
      </w:pPr>
    </w:p>
    <w:p w14:paraId="46FF7C23" w14:textId="77777777" w:rsidR="00B0341F" w:rsidRPr="002D741C" w:rsidRDefault="00B0341F" w:rsidP="00B0341F">
      <w:pPr>
        <w:pStyle w:val="EndnoteText"/>
        <w:widowControl w:val="0"/>
        <w:tabs>
          <w:tab w:val="clear" w:pos="567"/>
        </w:tabs>
        <w:rPr>
          <w:color w:val="000000"/>
          <w:szCs w:val="22"/>
          <w:lang w:val="es-ES"/>
        </w:rPr>
      </w:pPr>
      <w:r w:rsidRPr="002D741C">
        <w:rPr>
          <w:color w:val="000000"/>
          <w:szCs w:val="22"/>
          <w:lang w:val="es-ES"/>
        </w:rPr>
        <w:t>Se evaluó de forma retrospectiva el riesgo de recurrencia en pacientes tras la resección del tumor primario de G</w:t>
      </w:r>
      <w:smartTag w:uri="urn:schemas-microsoft-com:office:smarttags" w:element="PersonName">
        <w:r w:rsidRPr="002D741C">
          <w:rPr>
            <w:color w:val="000000"/>
            <w:szCs w:val="22"/>
            <w:lang w:val="es-ES"/>
          </w:rPr>
          <w:t>IS</w:t>
        </w:r>
      </w:smartTag>
      <w:r w:rsidRPr="002D741C">
        <w:rPr>
          <w:color w:val="000000"/>
          <w:szCs w:val="22"/>
          <w:lang w:val="es-ES"/>
        </w:rPr>
        <w:t xml:space="preserve">T, en base a los siguientes factores pronósticos: tamaño del tumor, índice mitótico y localización del tumor. De la población </w:t>
      </w:r>
      <w:r w:rsidR="00782174" w:rsidRPr="002D741C">
        <w:rPr>
          <w:color w:val="000000"/>
          <w:szCs w:val="22"/>
          <w:lang w:val="es-ES"/>
        </w:rPr>
        <w:t>de 713 pacientes</w:t>
      </w:r>
      <w:r w:rsidRPr="002D741C">
        <w:rPr>
          <w:color w:val="000000"/>
          <w:szCs w:val="22"/>
          <w:lang w:val="es-ES"/>
        </w:rPr>
        <w:t xml:space="preserve"> de intención de tratar (</w:t>
      </w:r>
      <w:smartTag w:uri="urn:schemas-microsoft-com:office:smarttags" w:element="stockticker">
        <w:smartTag w:uri="urn:schemas-microsoft-com:office:smarttags" w:element="PersonName">
          <w:r w:rsidRPr="002D741C">
            <w:rPr>
              <w:color w:val="000000"/>
              <w:szCs w:val="22"/>
              <w:lang w:val="es-ES"/>
            </w:rPr>
            <w:t>IT</w:t>
          </w:r>
        </w:smartTag>
        <w:r w:rsidRPr="002D741C">
          <w:rPr>
            <w:color w:val="000000"/>
            <w:szCs w:val="22"/>
            <w:lang w:val="es-ES"/>
          </w:rPr>
          <w:t>T</w:t>
        </w:r>
      </w:smartTag>
      <w:r w:rsidRPr="002D741C">
        <w:rPr>
          <w:color w:val="000000"/>
          <w:szCs w:val="22"/>
          <w:lang w:val="es-ES"/>
        </w:rPr>
        <w:t xml:space="preserve">), se obtuvieron datos de índice mitótico de 556 pacientes. En </w:t>
      </w:r>
      <w:smartTag w:uri="urn:schemas-microsoft-com:office:smarttags" w:element="PersonName">
        <w:smartTagPr>
          <w:attr w:name="ProductID" w:val="la Tabla"/>
        </w:smartTagPr>
        <w:r w:rsidRPr="002D741C">
          <w:rPr>
            <w:color w:val="000000"/>
            <w:szCs w:val="22"/>
            <w:lang w:val="es-ES"/>
          </w:rPr>
          <w:t>la Tabla</w:t>
        </w:r>
      </w:smartTag>
      <w:r w:rsidRPr="002D741C">
        <w:rPr>
          <w:color w:val="000000"/>
          <w:szCs w:val="22"/>
          <w:lang w:val="es-ES"/>
        </w:rPr>
        <w:t> </w:t>
      </w:r>
      <w:r w:rsidR="00A6343C" w:rsidRPr="002D741C">
        <w:rPr>
          <w:color w:val="000000"/>
          <w:szCs w:val="22"/>
          <w:lang w:val="es-ES"/>
        </w:rPr>
        <w:t>7</w:t>
      </w:r>
      <w:r w:rsidRPr="002D741C">
        <w:rPr>
          <w:color w:val="000000"/>
          <w:szCs w:val="22"/>
          <w:lang w:val="es-ES"/>
        </w:rPr>
        <w:t xml:space="preserve"> se muestran los resultados del análisis por subgrupos según la clasificación de riesgo del</w:t>
      </w:r>
      <w:r w:rsidR="00DC2013" w:rsidRPr="002D741C">
        <w:rPr>
          <w:color w:val="000000"/>
          <w:szCs w:val="22"/>
          <w:lang w:val="es-ES"/>
        </w:rPr>
        <w:t xml:space="preserve"> Instituto Nacional de Salud «</w:t>
      </w:r>
      <w:r w:rsidR="00DC2013" w:rsidRPr="002D741C">
        <w:rPr>
          <w:rFonts w:eastAsia="MS Mincho"/>
          <w:color w:val="000000"/>
          <w:szCs w:val="22"/>
          <w:lang w:val="es-ES_tradnl" w:eastAsia="ja-JP"/>
        </w:rPr>
        <w:t>National Institutes of Health</w:t>
      </w:r>
      <w:r w:rsidR="00DC2013" w:rsidRPr="002D741C">
        <w:rPr>
          <w:color w:val="000000"/>
          <w:szCs w:val="22"/>
          <w:lang w:val="es-ES"/>
        </w:rPr>
        <w:t xml:space="preserve">» (NIH) y del </w:t>
      </w:r>
      <w:r w:rsidRPr="002D741C">
        <w:rPr>
          <w:color w:val="000000"/>
          <w:szCs w:val="22"/>
          <w:lang w:val="es-ES"/>
        </w:rPr>
        <w:t>«Armed Forces Institute of Pathology» (A</w:t>
      </w:r>
      <w:smartTag w:uri="urn:schemas-microsoft-com:office:smarttags" w:element="PersonName">
        <w:r w:rsidRPr="002D741C">
          <w:rPr>
            <w:color w:val="000000"/>
            <w:szCs w:val="22"/>
            <w:lang w:val="es-ES"/>
          </w:rPr>
          <w:t>FI</w:t>
        </w:r>
      </w:smartTag>
      <w:r w:rsidRPr="002D741C">
        <w:rPr>
          <w:color w:val="000000"/>
          <w:szCs w:val="22"/>
          <w:lang w:val="es-ES"/>
        </w:rPr>
        <w:t>P)</w:t>
      </w:r>
      <w:r w:rsidR="00DC2013" w:rsidRPr="002D741C">
        <w:rPr>
          <w:color w:val="000000"/>
          <w:szCs w:val="22"/>
          <w:lang w:val="es-ES"/>
        </w:rPr>
        <w:t xml:space="preserve"> de Estados Unidos.</w:t>
      </w:r>
      <w:r w:rsidR="00AB2B26" w:rsidRPr="002D741C">
        <w:rPr>
          <w:color w:val="000000"/>
          <w:szCs w:val="22"/>
          <w:lang w:val="es-ES"/>
        </w:rPr>
        <w:t xml:space="preserve"> No se ha observado beneficio en los grupos de riesgo bajo y muy bajo. No se ha observado beneficio en la supervivencia global.</w:t>
      </w:r>
    </w:p>
    <w:p w14:paraId="524A31E4" w14:textId="77777777" w:rsidR="00B0341F" w:rsidRPr="002D741C" w:rsidRDefault="00B0341F" w:rsidP="00B0341F">
      <w:pPr>
        <w:pStyle w:val="EndnoteText"/>
        <w:widowControl w:val="0"/>
        <w:tabs>
          <w:tab w:val="clear" w:pos="567"/>
        </w:tabs>
        <w:rPr>
          <w:color w:val="000000"/>
          <w:szCs w:val="22"/>
          <w:lang w:val="es-ES"/>
        </w:rPr>
      </w:pPr>
    </w:p>
    <w:p w14:paraId="0368D63E" w14:textId="77777777" w:rsidR="003A2810" w:rsidRPr="002D741C" w:rsidRDefault="003A2810" w:rsidP="00C16E58">
      <w:pPr>
        <w:pStyle w:val="Heading6"/>
        <w:keepNext/>
        <w:keepLines/>
        <w:tabs>
          <w:tab w:val="left" w:pos="1134"/>
        </w:tabs>
        <w:spacing w:before="0" w:after="0"/>
        <w:ind w:left="1134" w:hanging="1134"/>
        <w:rPr>
          <w:rFonts w:eastAsia="MS Mincho"/>
          <w:color w:val="000000"/>
          <w:lang w:eastAsia="ja-JP"/>
        </w:rPr>
      </w:pPr>
      <w:r w:rsidRPr="002D741C">
        <w:rPr>
          <w:rFonts w:eastAsia="MS Mincho"/>
          <w:color w:val="000000"/>
          <w:lang w:eastAsia="ja-JP"/>
        </w:rPr>
        <w:t>Tabla </w:t>
      </w:r>
      <w:r w:rsidR="00A6343C" w:rsidRPr="002D741C">
        <w:rPr>
          <w:rFonts w:eastAsia="MS Mincho"/>
          <w:color w:val="000000"/>
          <w:lang w:eastAsia="ja-JP"/>
        </w:rPr>
        <w:t>7</w:t>
      </w:r>
      <w:r w:rsidRPr="002D741C">
        <w:rPr>
          <w:rFonts w:eastAsia="MS Mincho"/>
          <w:color w:val="000000"/>
          <w:lang w:eastAsia="ja-JP"/>
        </w:rPr>
        <w:tab/>
        <w:t xml:space="preserve">Resumen del análisis de </w:t>
      </w:r>
      <w:smartTag w:uri="urn:schemas-microsoft-com:office:smarttags" w:element="stockticker">
        <w:r w:rsidRPr="002D741C">
          <w:rPr>
            <w:rFonts w:eastAsia="MS Mincho"/>
            <w:color w:val="000000"/>
            <w:lang w:eastAsia="ja-JP"/>
          </w:rPr>
          <w:t>SLR</w:t>
        </w:r>
      </w:smartTag>
      <w:r w:rsidRPr="002D741C">
        <w:rPr>
          <w:rFonts w:eastAsia="MS Mincho"/>
          <w:color w:val="000000"/>
          <w:lang w:eastAsia="ja-JP"/>
        </w:rPr>
        <w:t xml:space="preserve"> del ensayo Z9001 según las clasificaciones de riesgo de NIH y A</w:t>
      </w:r>
      <w:smartTag w:uri="urn:schemas-microsoft-com:office:smarttags" w:element="PersonName">
        <w:r w:rsidRPr="002D741C">
          <w:rPr>
            <w:rFonts w:eastAsia="MS Mincho"/>
            <w:color w:val="000000"/>
            <w:lang w:eastAsia="ja-JP"/>
          </w:rPr>
          <w:t>FI</w:t>
        </w:r>
      </w:smartTag>
      <w:r w:rsidRPr="002D741C">
        <w:rPr>
          <w:rFonts w:eastAsia="MS Mincho"/>
          <w:color w:val="000000"/>
          <w:lang w:eastAsia="ja-JP"/>
        </w:rPr>
        <w:t>P</w:t>
      </w:r>
    </w:p>
    <w:p w14:paraId="67EFB6E7" w14:textId="77777777" w:rsidR="003A2810" w:rsidRPr="002D741C" w:rsidRDefault="003A2810" w:rsidP="00C16E58">
      <w:pPr>
        <w:keepNext/>
        <w:rPr>
          <w:rFonts w:eastAsia="MS Mincho"/>
          <w:sz w:val="22"/>
          <w:szCs w:val="22"/>
          <w:lang w:eastAsia="ja-JP"/>
        </w:rPr>
      </w:pPr>
    </w:p>
    <w:tbl>
      <w:tblPr>
        <w:tblW w:w="100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59"/>
        <w:gridCol w:w="1304"/>
        <w:gridCol w:w="1074"/>
        <w:gridCol w:w="2083"/>
        <w:gridCol w:w="1800"/>
        <w:gridCol w:w="1440"/>
        <w:gridCol w:w="1360"/>
      </w:tblGrid>
      <w:tr w:rsidR="003A2810" w:rsidRPr="002D741C" w14:paraId="72158200" w14:textId="77777777" w:rsidTr="00C16E58">
        <w:trPr>
          <w:cantSplit/>
        </w:trPr>
        <w:tc>
          <w:tcPr>
            <w:tcW w:w="959" w:type="dxa"/>
            <w:vMerge w:val="restart"/>
          </w:tcPr>
          <w:p w14:paraId="7248A677" w14:textId="77777777" w:rsidR="003A2810" w:rsidRPr="002D741C" w:rsidRDefault="003A2810" w:rsidP="00C16E58">
            <w:pPr>
              <w:pStyle w:val="Table"/>
              <w:keepLines w:val="0"/>
              <w:tabs>
                <w:tab w:val="left" w:pos="567"/>
              </w:tabs>
              <w:spacing w:before="120" w:line="260" w:lineRule="exact"/>
              <w:jc w:val="center"/>
              <w:rPr>
                <w:rFonts w:ascii="Times New Roman" w:hAnsi="Times New Roman"/>
                <w:b/>
                <w:sz w:val="22"/>
                <w:szCs w:val="22"/>
              </w:rPr>
            </w:pPr>
            <w:r w:rsidRPr="002D741C">
              <w:rPr>
                <w:rFonts w:ascii="Times New Roman" w:hAnsi="Times New Roman"/>
                <w:b/>
                <w:sz w:val="22"/>
                <w:szCs w:val="22"/>
              </w:rPr>
              <w:t>Crite-rio de riesgo</w:t>
            </w:r>
          </w:p>
        </w:tc>
        <w:tc>
          <w:tcPr>
            <w:tcW w:w="1304" w:type="dxa"/>
            <w:vMerge w:val="restart"/>
            <w:tcBorders>
              <w:right w:val="single" w:sz="4" w:space="0" w:color="auto"/>
            </w:tcBorders>
          </w:tcPr>
          <w:p w14:paraId="6827084E" w14:textId="77777777" w:rsidR="003A2810" w:rsidRPr="002D741C" w:rsidRDefault="003A2810" w:rsidP="00C16E58">
            <w:pPr>
              <w:pStyle w:val="Table"/>
              <w:keepLines w:val="0"/>
              <w:tabs>
                <w:tab w:val="left" w:pos="567"/>
              </w:tabs>
              <w:spacing w:before="120" w:line="260" w:lineRule="exact"/>
              <w:rPr>
                <w:rFonts w:ascii="Times New Roman" w:hAnsi="Times New Roman"/>
                <w:b/>
                <w:sz w:val="22"/>
                <w:szCs w:val="22"/>
              </w:rPr>
            </w:pPr>
            <w:r w:rsidRPr="002D741C">
              <w:rPr>
                <w:rFonts w:ascii="Times New Roman" w:hAnsi="Times New Roman"/>
                <w:b/>
                <w:sz w:val="22"/>
                <w:szCs w:val="22"/>
              </w:rPr>
              <w:t>Nivel de riesgo</w:t>
            </w:r>
          </w:p>
        </w:tc>
        <w:tc>
          <w:tcPr>
            <w:tcW w:w="1074" w:type="dxa"/>
            <w:vMerge w:val="restart"/>
            <w:tcBorders>
              <w:left w:val="single" w:sz="4" w:space="0" w:color="auto"/>
              <w:right w:val="single" w:sz="4" w:space="0" w:color="auto"/>
            </w:tcBorders>
          </w:tcPr>
          <w:p w14:paraId="3C7699E3" w14:textId="77777777" w:rsidR="003A2810" w:rsidRPr="002D741C" w:rsidRDefault="003A2810" w:rsidP="00C16E58">
            <w:pPr>
              <w:pStyle w:val="Table"/>
              <w:keepLines w:val="0"/>
              <w:tabs>
                <w:tab w:val="left" w:pos="567"/>
              </w:tabs>
              <w:spacing w:before="120" w:line="260" w:lineRule="exact"/>
              <w:jc w:val="center"/>
              <w:rPr>
                <w:rFonts w:ascii="Times New Roman" w:hAnsi="Times New Roman"/>
                <w:b/>
                <w:sz w:val="22"/>
                <w:szCs w:val="22"/>
              </w:rPr>
            </w:pPr>
            <w:r w:rsidRPr="002D741C">
              <w:rPr>
                <w:rFonts w:ascii="Times New Roman" w:hAnsi="Times New Roman"/>
                <w:b/>
                <w:sz w:val="22"/>
                <w:szCs w:val="22"/>
              </w:rPr>
              <w:t>% de pacien-tes</w:t>
            </w:r>
          </w:p>
        </w:tc>
        <w:tc>
          <w:tcPr>
            <w:tcW w:w="2083" w:type="dxa"/>
            <w:vMerge w:val="restart"/>
            <w:tcBorders>
              <w:left w:val="single" w:sz="4" w:space="0" w:color="auto"/>
              <w:right w:val="single" w:sz="4" w:space="0" w:color="auto"/>
            </w:tcBorders>
          </w:tcPr>
          <w:p w14:paraId="2CFA757A" w14:textId="77777777" w:rsidR="003A2810" w:rsidRPr="002D741C" w:rsidRDefault="003A2810" w:rsidP="00C16E58">
            <w:pPr>
              <w:pStyle w:val="Table"/>
              <w:keepLines w:val="0"/>
              <w:tabs>
                <w:tab w:val="left" w:pos="567"/>
              </w:tabs>
              <w:spacing w:before="120" w:line="260" w:lineRule="exact"/>
              <w:jc w:val="center"/>
              <w:rPr>
                <w:rFonts w:ascii="Times New Roman" w:hAnsi="Times New Roman"/>
                <w:b/>
                <w:sz w:val="22"/>
                <w:szCs w:val="22"/>
                <w:lang w:val="pt-BR"/>
              </w:rPr>
            </w:pPr>
            <w:r w:rsidRPr="002D741C">
              <w:rPr>
                <w:rFonts w:ascii="Times New Roman" w:hAnsi="Times New Roman"/>
                <w:b/>
                <w:sz w:val="22"/>
                <w:szCs w:val="22"/>
                <w:lang w:val="pt-BR"/>
              </w:rPr>
              <w:t>Nºde acontecimientos /</w:t>
            </w:r>
            <w:r w:rsidRPr="002D741C">
              <w:rPr>
                <w:rFonts w:ascii="Times New Roman" w:hAnsi="Times New Roman"/>
                <w:b/>
                <w:sz w:val="22"/>
                <w:szCs w:val="22"/>
                <w:lang w:val="pt-BR"/>
              </w:rPr>
              <w:br/>
              <w:t>Nº de pacientes</w:t>
            </w:r>
          </w:p>
        </w:tc>
        <w:tc>
          <w:tcPr>
            <w:tcW w:w="1800" w:type="dxa"/>
            <w:vMerge w:val="restart"/>
            <w:tcBorders>
              <w:left w:val="single" w:sz="4" w:space="0" w:color="auto"/>
              <w:right w:val="single" w:sz="4" w:space="0" w:color="auto"/>
            </w:tcBorders>
          </w:tcPr>
          <w:p w14:paraId="1F79A542" w14:textId="77777777" w:rsidR="003A2810" w:rsidRPr="002D741C" w:rsidRDefault="003A2810" w:rsidP="00C16E58">
            <w:pPr>
              <w:pStyle w:val="Table"/>
              <w:keepLines w:val="0"/>
              <w:tabs>
                <w:tab w:val="left" w:pos="567"/>
              </w:tabs>
              <w:spacing w:line="260" w:lineRule="exact"/>
              <w:jc w:val="center"/>
              <w:rPr>
                <w:rFonts w:ascii="Times New Roman" w:hAnsi="Times New Roman"/>
                <w:b/>
                <w:sz w:val="22"/>
                <w:szCs w:val="22"/>
                <w:lang w:val="es-ES_tradnl"/>
              </w:rPr>
            </w:pPr>
            <w:r w:rsidRPr="002D741C">
              <w:rPr>
                <w:rFonts w:ascii="Times New Roman" w:hAnsi="Times New Roman"/>
                <w:b/>
                <w:sz w:val="22"/>
                <w:szCs w:val="22"/>
                <w:lang w:val="es-ES_tradnl"/>
              </w:rPr>
              <w:t>Cociente de riesgo global (IC 95%)*</w:t>
            </w:r>
          </w:p>
        </w:tc>
        <w:tc>
          <w:tcPr>
            <w:tcW w:w="2800" w:type="dxa"/>
            <w:gridSpan w:val="2"/>
            <w:tcBorders>
              <w:left w:val="single" w:sz="4" w:space="0" w:color="auto"/>
            </w:tcBorders>
          </w:tcPr>
          <w:p w14:paraId="18C5A9F3" w14:textId="77777777" w:rsidR="003A2810" w:rsidRPr="002D741C" w:rsidRDefault="003A2810" w:rsidP="00C16E58">
            <w:pPr>
              <w:pStyle w:val="Table"/>
              <w:keepLines w:val="0"/>
              <w:tabs>
                <w:tab w:val="left" w:pos="567"/>
              </w:tabs>
              <w:spacing w:line="260" w:lineRule="exact"/>
              <w:jc w:val="center"/>
              <w:rPr>
                <w:rFonts w:ascii="Times New Roman" w:hAnsi="Times New Roman"/>
                <w:b/>
                <w:sz w:val="22"/>
                <w:szCs w:val="22"/>
              </w:rPr>
            </w:pPr>
            <w:r w:rsidRPr="002D741C">
              <w:rPr>
                <w:rFonts w:ascii="Times New Roman" w:hAnsi="Times New Roman"/>
                <w:b/>
                <w:sz w:val="22"/>
                <w:szCs w:val="22"/>
              </w:rPr>
              <w:t xml:space="preserve">Tasas de </w:t>
            </w:r>
            <w:smartTag w:uri="urn:schemas-microsoft-com:office:smarttags" w:element="stockticker">
              <w:r w:rsidRPr="002D741C">
                <w:rPr>
                  <w:rFonts w:ascii="Times New Roman" w:hAnsi="Times New Roman"/>
                  <w:b/>
                  <w:sz w:val="22"/>
                  <w:szCs w:val="22"/>
                </w:rPr>
                <w:t>SLR</w:t>
              </w:r>
            </w:smartTag>
            <w:r w:rsidRPr="002D741C">
              <w:rPr>
                <w:rFonts w:ascii="Times New Roman" w:hAnsi="Times New Roman"/>
                <w:b/>
                <w:sz w:val="22"/>
                <w:szCs w:val="22"/>
              </w:rPr>
              <w:t xml:space="preserve"> (%)</w:t>
            </w:r>
          </w:p>
        </w:tc>
      </w:tr>
      <w:tr w:rsidR="003A2810" w:rsidRPr="002D741C" w14:paraId="345CDDD3" w14:textId="77777777" w:rsidTr="00C16E58">
        <w:trPr>
          <w:cantSplit/>
        </w:trPr>
        <w:tc>
          <w:tcPr>
            <w:tcW w:w="959" w:type="dxa"/>
            <w:vMerge/>
          </w:tcPr>
          <w:p w14:paraId="3E293914" w14:textId="77777777" w:rsidR="003A2810" w:rsidRPr="002D741C" w:rsidRDefault="003A2810" w:rsidP="00C16E58">
            <w:pPr>
              <w:pStyle w:val="Table"/>
              <w:keepLines w:val="0"/>
              <w:tabs>
                <w:tab w:val="left" w:pos="567"/>
              </w:tabs>
              <w:spacing w:line="260" w:lineRule="exact"/>
              <w:rPr>
                <w:rFonts w:ascii="Times New Roman" w:hAnsi="Times New Roman"/>
                <w:b/>
                <w:sz w:val="22"/>
                <w:szCs w:val="22"/>
              </w:rPr>
            </w:pPr>
          </w:p>
        </w:tc>
        <w:tc>
          <w:tcPr>
            <w:tcW w:w="1304" w:type="dxa"/>
            <w:vMerge/>
            <w:tcBorders>
              <w:right w:val="single" w:sz="4" w:space="0" w:color="auto"/>
            </w:tcBorders>
          </w:tcPr>
          <w:p w14:paraId="4E7F9080" w14:textId="77777777" w:rsidR="003A2810" w:rsidRPr="002D741C" w:rsidRDefault="003A2810" w:rsidP="00C16E58">
            <w:pPr>
              <w:pStyle w:val="Table"/>
              <w:keepLines w:val="0"/>
              <w:tabs>
                <w:tab w:val="left" w:pos="567"/>
              </w:tabs>
              <w:spacing w:line="260" w:lineRule="exact"/>
              <w:rPr>
                <w:rFonts w:ascii="Times New Roman" w:hAnsi="Times New Roman"/>
                <w:b/>
                <w:sz w:val="22"/>
                <w:szCs w:val="22"/>
              </w:rPr>
            </w:pPr>
          </w:p>
        </w:tc>
        <w:tc>
          <w:tcPr>
            <w:tcW w:w="1074" w:type="dxa"/>
            <w:vMerge/>
            <w:tcBorders>
              <w:left w:val="single" w:sz="4" w:space="0" w:color="auto"/>
              <w:right w:val="single" w:sz="4" w:space="0" w:color="auto"/>
            </w:tcBorders>
          </w:tcPr>
          <w:p w14:paraId="0ED76F58" w14:textId="77777777" w:rsidR="003A2810" w:rsidRPr="002D741C" w:rsidRDefault="003A2810" w:rsidP="00C16E58">
            <w:pPr>
              <w:pStyle w:val="Table"/>
              <w:keepLines w:val="0"/>
              <w:tabs>
                <w:tab w:val="left" w:pos="567"/>
              </w:tabs>
              <w:spacing w:line="260" w:lineRule="exact"/>
              <w:jc w:val="center"/>
              <w:rPr>
                <w:rFonts w:ascii="Times New Roman" w:hAnsi="Times New Roman"/>
                <w:b/>
                <w:sz w:val="22"/>
                <w:szCs w:val="22"/>
              </w:rPr>
            </w:pPr>
          </w:p>
        </w:tc>
        <w:tc>
          <w:tcPr>
            <w:tcW w:w="2083" w:type="dxa"/>
            <w:vMerge/>
            <w:tcBorders>
              <w:left w:val="single" w:sz="4" w:space="0" w:color="auto"/>
              <w:right w:val="single" w:sz="4" w:space="0" w:color="auto"/>
            </w:tcBorders>
          </w:tcPr>
          <w:p w14:paraId="79D74B92" w14:textId="77777777" w:rsidR="003A2810" w:rsidRPr="002D741C" w:rsidRDefault="003A2810" w:rsidP="00C16E58">
            <w:pPr>
              <w:pStyle w:val="Table"/>
              <w:keepLines w:val="0"/>
              <w:tabs>
                <w:tab w:val="left" w:pos="567"/>
              </w:tabs>
              <w:spacing w:line="260" w:lineRule="exact"/>
              <w:jc w:val="center"/>
              <w:rPr>
                <w:rFonts w:ascii="Times New Roman" w:hAnsi="Times New Roman"/>
                <w:b/>
                <w:sz w:val="22"/>
                <w:szCs w:val="22"/>
              </w:rPr>
            </w:pPr>
          </w:p>
        </w:tc>
        <w:tc>
          <w:tcPr>
            <w:tcW w:w="1800" w:type="dxa"/>
            <w:vMerge/>
            <w:tcBorders>
              <w:left w:val="single" w:sz="4" w:space="0" w:color="auto"/>
              <w:right w:val="single" w:sz="4" w:space="0" w:color="auto"/>
            </w:tcBorders>
          </w:tcPr>
          <w:p w14:paraId="537B209D" w14:textId="77777777" w:rsidR="003A2810" w:rsidRPr="002D741C" w:rsidRDefault="003A2810" w:rsidP="00C16E58">
            <w:pPr>
              <w:pStyle w:val="Table"/>
              <w:keepLines w:val="0"/>
              <w:tabs>
                <w:tab w:val="left" w:pos="567"/>
              </w:tabs>
              <w:spacing w:line="260" w:lineRule="exact"/>
              <w:rPr>
                <w:rFonts w:ascii="Times New Roman" w:hAnsi="Times New Roman"/>
                <w:b/>
                <w:sz w:val="22"/>
                <w:szCs w:val="22"/>
              </w:rPr>
            </w:pPr>
          </w:p>
        </w:tc>
        <w:tc>
          <w:tcPr>
            <w:tcW w:w="1440" w:type="dxa"/>
            <w:tcBorders>
              <w:left w:val="single" w:sz="4" w:space="0" w:color="auto"/>
              <w:right w:val="single" w:sz="4" w:space="0" w:color="auto"/>
            </w:tcBorders>
          </w:tcPr>
          <w:p w14:paraId="359F1B8D" w14:textId="77777777" w:rsidR="003A2810" w:rsidRPr="002D741C" w:rsidRDefault="003A2810" w:rsidP="00C16E58">
            <w:pPr>
              <w:pStyle w:val="Table"/>
              <w:keepLines w:val="0"/>
              <w:tabs>
                <w:tab w:val="left" w:pos="567"/>
              </w:tabs>
              <w:spacing w:line="260" w:lineRule="exact"/>
              <w:jc w:val="center"/>
              <w:rPr>
                <w:rFonts w:ascii="Times New Roman" w:hAnsi="Times New Roman"/>
                <w:b/>
                <w:sz w:val="22"/>
                <w:szCs w:val="22"/>
              </w:rPr>
            </w:pPr>
            <w:r w:rsidRPr="002D741C">
              <w:rPr>
                <w:rFonts w:ascii="Times New Roman" w:hAnsi="Times New Roman"/>
                <w:b/>
                <w:sz w:val="22"/>
                <w:szCs w:val="22"/>
              </w:rPr>
              <w:t>12 meses</w:t>
            </w:r>
          </w:p>
        </w:tc>
        <w:tc>
          <w:tcPr>
            <w:tcW w:w="1360" w:type="dxa"/>
            <w:tcBorders>
              <w:left w:val="single" w:sz="4" w:space="0" w:color="auto"/>
            </w:tcBorders>
          </w:tcPr>
          <w:p w14:paraId="33F0B502" w14:textId="77777777" w:rsidR="003A2810" w:rsidRPr="002D741C" w:rsidRDefault="003A2810" w:rsidP="00C16E58">
            <w:pPr>
              <w:pStyle w:val="Table"/>
              <w:keepLines w:val="0"/>
              <w:tabs>
                <w:tab w:val="left" w:pos="567"/>
              </w:tabs>
              <w:spacing w:line="260" w:lineRule="exact"/>
              <w:jc w:val="center"/>
              <w:rPr>
                <w:rFonts w:ascii="Times New Roman" w:hAnsi="Times New Roman"/>
                <w:b/>
                <w:sz w:val="22"/>
                <w:szCs w:val="22"/>
              </w:rPr>
            </w:pPr>
            <w:r w:rsidRPr="002D741C">
              <w:rPr>
                <w:rFonts w:ascii="Times New Roman" w:hAnsi="Times New Roman"/>
                <w:b/>
                <w:sz w:val="22"/>
                <w:szCs w:val="22"/>
              </w:rPr>
              <w:t>24 meses</w:t>
            </w:r>
          </w:p>
        </w:tc>
      </w:tr>
      <w:tr w:rsidR="003A2810" w:rsidRPr="002D741C" w14:paraId="7463741A" w14:textId="77777777" w:rsidTr="00C16E58">
        <w:trPr>
          <w:cantSplit/>
        </w:trPr>
        <w:tc>
          <w:tcPr>
            <w:tcW w:w="959" w:type="dxa"/>
            <w:vMerge/>
          </w:tcPr>
          <w:p w14:paraId="69B6C828" w14:textId="77777777" w:rsidR="003A2810" w:rsidRPr="002D741C" w:rsidRDefault="003A2810" w:rsidP="00C16E58">
            <w:pPr>
              <w:pStyle w:val="Table"/>
              <w:keepLines w:val="0"/>
              <w:tabs>
                <w:tab w:val="left" w:pos="567"/>
              </w:tabs>
              <w:spacing w:line="260" w:lineRule="exact"/>
              <w:rPr>
                <w:rFonts w:ascii="Times New Roman" w:hAnsi="Times New Roman"/>
                <w:b/>
                <w:sz w:val="22"/>
                <w:szCs w:val="22"/>
              </w:rPr>
            </w:pPr>
          </w:p>
        </w:tc>
        <w:tc>
          <w:tcPr>
            <w:tcW w:w="1304" w:type="dxa"/>
            <w:vMerge/>
            <w:tcBorders>
              <w:right w:val="single" w:sz="4" w:space="0" w:color="auto"/>
            </w:tcBorders>
          </w:tcPr>
          <w:p w14:paraId="2429A4F0" w14:textId="77777777" w:rsidR="003A2810" w:rsidRPr="002D741C" w:rsidRDefault="003A2810" w:rsidP="00C16E58">
            <w:pPr>
              <w:pStyle w:val="Table"/>
              <w:keepLines w:val="0"/>
              <w:tabs>
                <w:tab w:val="left" w:pos="567"/>
              </w:tabs>
              <w:spacing w:line="260" w:lineRule="exact"/>
              <w:rPr>
                <w:rFonts w:ascii="Times New Roman" w:hAnsi="Times New Roman"/>
                <w:b/>
                <w:sz w:val="22"/>
                <w:szCs w:val="22"/>
              </w:rPr>
            </w:pPr>
          </w:p>
        </w:tc>
        <w:tc>
          <w:tcPr>
            <w:tcW w:w="1074" w:type="dxa"/>
            <w:vMerge/>
            <w:tcBorders>
              <w:left w:val="single" w:sz="4" w:space="0" w:color="auto"/>
              <w:right w:val="single" w:sz="4" w:space="0" w:color="auto"/>
            </w:tcBorders>
          </w:tcPr>
          <w:p w14:paraId="6CA94F12" w14:textId="77777777" w:rsidR="003A2810" w:rsidRPr="002D741C" w:rsidRDefault="003A2810" w:rsidP="00C16E58">
            <w:pPr>
              <w:pStyle w:val="Table"/>
              <w:keepLines w:val="0"/>
              <w:tabs>
                <w:tab w:val="left" w:pos="567"/>
              </w:tabs>
              <w:spacing w:line="260" w:lineRule="exact"/>
              <w:jc w:val="center"/>
              <w:rPr>
                <w:rFonts w:ascii="Times New Roman" w:hAnsi="Times New Roman"/>
                <w:b/>
                <w:sz w:val="22"/>
                <w:szCs w:val="22"/>
              </w:rPr>
            </w:pPr>
          </w:p>
        </w:tc>
        <w:tc>
          <w:tcPr>
            <w:tcW w:w="2083" w:type="dxa"/>
            <w:tcBorders>
              <w:left w:val="single" w:sz="4" w:space="0" w:color="auto"/>
              <w:bottom w:val="single" w:sz="4" w:space="0" w:color="auto"/>
              <w:right w:val="single" w:sz="4" w:space="0" w:color="auto"/>
            </w:tcBorders>
          </w:tcPr>
          <w:p w14:paraId="364B551C" w14:textId="77777777" w:rsidR="003A2810" w:rsidRPr="002D741C" w:rsidRDefault="003A2810" w:rsidP="00C16E58">
            <w:pPr>
              <w:pStyle w:val="Table"/>
              <w:keepLines w:val="0"/>
              <w:tabs>
                <w:tab w:val="left" w:pos="567"/>
              </w:tabs>
              <w:spacing w:line="260" w:lineRule="exact"/>
              <w:jc w:val="center"/>
              <w:rPr>
                <w:rFonts w:ascii="Times New Roman" w:hAnsi="Times New Roman"/>
                <w:b/>
                <w:sz w:val="22"/>
                <w:szCs w:val="22"/>
              </w:rPr>
            </w:pPr>
            <w:r w:rsidRPr="002D741C">
              <w:rPr>
                <w:rFonts w:ascii="Times New Roman" w:hAnsi="Times New Roman"/>
                <w:b/>
                <w:sz w:val="22"/>
                <w:szCs w:val="22"/>
              </w:rPr>
              <w:t>Glivec vs placebo</w:t>
            </w:r>
          </w:p>
        </w:tc>
        <w:tc>
          <w:tcPr>
            <w:tcW w:w="1800" w:type="dxa"/>
            <w:vMerge/>
            <w:tcBorders>
              <w:left w:val="single" w:sz="4" w:space="0" w:color="auto"/>
              <w:bottom w:val="single" w:sz="4" w:space="0" w:color="auto"/>
              <w:right w:val="single" w:sz="4" w:space="0" w:color="auto"/>
            </w:tcBorders>
          </w:tcPr>
          <w:p w14:paraId="030CD87C" w14:textId="77777777" w:rsidR="003A2810" w:rsidRPr="002D741C" w:rsidRDefault="003A2810" w:rsidP="00C16E58">
            <w:pPr>
              <w:pStyle w:val="Table"/>
              <w:keepLines w:val="0"/>
              <w:tabs>
                <w:tab w:val="left" w:pos="567"/>
              </w:tabs>
              <w:spacing w:line="260" w:lineRule="exact"/>
              <w:jc w:val="center"/>
              <w:rPr>
                <w:rFonts w:ascii="Times New Roman" w:hAnsi="Times New Roman"/>
                <w:b/>
                <w:sz w:val="22"/>
                <w:szCs w:val="22"/>
              </w:rPr>
            </w:pPr>
          </w:p>
        </w:tc>
        <w:tc>
          <w:tcPr>
            <w:tcW w:w="1440" w:type="dxa"/>
            <w:tcBorders>
              <w:left w:val="single" w:sz="4" w:space="0" w:color="auto"/>
              <w:bottom w:val="single" w:sz="4" w:space="0" w:color="auto"/>
              <w:right w:val="single" w:sz="4" w:space="0" w:color="auto"/>
            </w:tcBorders>
          </w:tcPr>
          <w:p w14:paraId="1ED9C133" w14:textId="77777777" w:rsidR="003A2810" w:rsidRPr="002D741C" w:rsidRDefault="003A2810" w:rsidP="00C16E58">
            <w:pPr>
              <w:pStyle w:val="Table"/>
              <w:keepLines w:val="0"/>
              <w:tabs>
                <w:tab w:val="left" w:pos="567"/>
              </w:tabs>
              <w:spacing w:line="260" w:lineRule="exact"/>
              <w:jc w:val="center"/>
              <w:rPr>
                <w:rFonts w:ascii="Times New Roman" w:hAnsi="Times New Roman"/>
                <w:b/>
                <w:sz w:val="22"/>
                <w:szCs w:val="22"/>
              </w:rPr>
            </w:pPr>
            <w:r w:rsidRPr="002D741C">
              <w:rPr>
                <w:rFonts w:ascii="Times New Roman" w:hAnsi="Times New Roman"/>
                <w:b/>
                <w:sz w:val="22"/>
                <w:szCs w:val="22"/>
              </w:rPr>
              <w:t>Glivec vs placebo</w:t>
            </w:r>
          </w:p>
        </w:tc>
        <w:tc>
          <w:tcPr>
            <w:tcW w:w="1360" w:type="dxa"/>
            <w:tcBorders>
              <w:left w:val="single" w:sz="4" w:space="0" w:color="auto"/>
            </w:tcBorders>
          </w:tcPr>
          <w:p w14:paraId="22D58531" w14:textId="77777777" w:rsidR="003A2810" w:rsidRPr="002D741C" w:rsidRDefault="003A2810" w:rsidP="00C16E58">
            <w:pPr>
              <w:pStyle w:val="Table"/>
              <w:keepLines w:val="0"/>
              <w:tabs>
                <w:tab w:val="left" w:pos="567"/>
              </w:tabs>
              <w:spacing w:line="260" w:lineRule="exact"/>
              <w:jc w:val="center"/>
              <w:rPr>
                <w:rFonts w:ascii="Times New Roman" w:hAnsi="Times New Roman"/>
                <w:b/>
                <w:sz w:val="22"/>
                <w:szCs w:val="22"/>
              </w:rPr>
            </w:pPr>
            <w:r w:rsidRPr="002D741C">
              <w:rPr>
                <w:rFonts w:ascii="Times New Roman" w:hAnsi="Times New Roman"/>
                <w:b/>
                <w:sz w:val="22"/>
                <w:szCs w:val="22"/>
              </w:rPr>
              <w:t>Glivec vs placebo</w:t>
            </w:r>
          </w:p>
        </w:tc>
      </w:tr>
      <w:tr w:rsidR="003A2810" w:rsidRPr="00C16E58" w14:paraId="677828C9" w14:textId="77777777" w:rsidTr="00C16E58">
        <w:trPr>
          <w:cantSplit/>
        </w:trPr>
        <w:tc>
          <w:tcPr>
            <w:tcW w:w="959" w:type="dxa"/>
            <w:vMerge w:val="restart"/>
            <w:shd w:val="clear" w:color="auto" w:fill="auto"/>
          </w:tcPr>
          <w:p w14:paraId="2669F857" w14:textId="77777777" w:rsidR="003A2810" w:rsidRPr="00C16E58" w:rsidRDefault="003A2810" w:rsidP="00C16E58">
            <w:pPr>
              <w:pStyle w:val="Nottoc-headings"/>
              <w:keepLines w:val="0"/>
              <w:tabs>
                <w:tab w:val="left" w:pos="567"/>
              </w:tabs>
              <w:spacing w:before="360" w:line="260" w:lineRule="exact"/>
              <w:ind w:left="0" w:firstLine="0"/>
              <w:rPr>
                <w:b w:val="0"/>
                <w:sz w:val="22"/>
                <w:szCs w:val="22"/>
              </w:rPr>
            </w:pPr>
            <w:r w:rsidRPr="00C16E58">
              <w:rPr>
                <w:rFonts w:ascii="Times New Roman" w:hAnsi="Times New Roman"/>
                <w:b w:val="0"/>
                <w:sz w:val="22"/>
                <w:szCs w:val="22"/>
              </w:rPr>
              <w:t>NIH</w:t>
            </w:r>
          </w:p>
        </w:tc>
        <w:tc>
          <w:tcPr>
            <w:tcW w:w="1304" w:type="dxa"/>
            <w:tcBorders>
              <w:bottom w:val="nil"/>
              <w:right w:val="single" w:sz="4" w:space="0" w:color="auto"/>
            </w:tcBorders>
            <w:vAlign w:val="bottom"/>
          </w:tcPr>
          <w:p w14:paraId="4A68F4DA" w14:textId="77777777" w:rsidR="003A2810" w:rsidRPr="00C16E58" w:rsidRDefault="003A2810" w:rsidP="00C16E58">
            <w:pPr>
              <w:pStyle w:val="Nottoc-headings"/>
              <w:keepLines w:val="0"/>
              <w:tabs>
                <w:tab w:val="left" w:pos="567"/>
              </w:tabs>
              <w:spacing w:before="40" w:after="20" w:line="260" w:lineRule="exact"/>
              <w:ind w:left="57" w:hanging="57"/>
              <w:rPr>
                <w:rFonts w:ascii="Times New Roman" w:hAnsi="Times New Roman"/>
                <w:b w:val="0"/>
                <w:sz w:val="22"/>
                <w:szCs w:val="22"/>
              </w:rPr>
            </w:pPr>
            <w:r w:rsidRPr="00C16E58">
              <w:rPr>
                <w:rFonts w:ascii="Times New Roman" w:hAnsi="Times New Roman"/>
                <w:b w:val="0"/>
                <w:sz w:val="22"/>
                <w:szCs w:val="22"/>
              </w:rPr>
              <w:t>Bajo</w:t>
            </w:r>
          </w:p>
        </w:tc>
        <w:tc>
          <w:tcPr>
            <w:tcW w:w="1074" w:type="dxa"/>
            <w:tcBorders>
              <w:left w:val="single" w:sz="4" w:space="0" w:color="auto"/>
              <w:bottom w:val="nil"/>
              <w:right w:val="single" w:sz="4" w:space="0" w:color="auto"/>
            </w:tcBorders>
            <w:vAlign w:val="bottom"/>
          </w:tcPr>
          <w:p w14:paraId="37862178" w14:textId="77777777" w:rsidR="003A2810" w:rsidRPr="00C16E58" w:rsidRDefault="003A2810" w:rsidP="00C16E58">
            <w:pPr>
              <w:pStyle w:val="Nottoc-headings"/>
              <w:keepLines w:val="0"/>
              <w:tabs>
                <w:tab w:val="left" w:pos="567"/>
              </w:tabs>
              <w:spacing w:before="40" w:after="20" w:line="260" w:lineRule="exact"/>
              <w:ind w:left="57" w:hanging="57"/>
              <w:jc w:val="center"/>
              <w:rPr>
                <w:rFonts w:ascii="Times New Roman" w:hAnsi="Times New Roman"/>
                <w:b w:val="0"/>
                <w:sz w:val="22"/>
                <w:szCs w:val="22"/>
              </w:rPr>
            </w:pPr>
            <w:r w:rsidRPr="00C16E58">
              <w:rPr>
                <w:rFonts w:ascii="Times New Roman" w:hAnsi="Times New Roman"/>
                <w:b w:val="0"/>
                <w:sz w:val="22"/>
                <w:szCs w:val="22"/>
              </w:rPr>
              <w:t>29,5</w:t>
            </w:r>
          </w:p>
        </w:tc>
        <w:tc>
          <w:tcPr>
            <w:tcW w:w="2083" w:type="dxa"/>
            <w:tcBorders>
              <w:left w:val="single" w:sz="4" w:space="0" w:color="auto"/>
              <w:bottom w:val="nil"/>
              <w:right w:val="single" w:sz="4" w:space="0" w:color="auto"/>
            </w:tcBorders>
            <w:vAlign w:val="bottom"/>
          </w:tcPr>
          <w:p w14:paraId="2FBEBD01" w14:textId="77777777" w:rsidR="003A2810" w:rsidRPr="00C16E58" w:rsidRDefault="003A2810" w:rsidP="00C16E58">
            <w:pPr>
              <w:pStyle w:val="Nottoc-headings"/>
              <w:keepLines w:val="0"/>
              <w:tabs>
                <w:tab w:val="left" w:pos="567"/>
              </w:tabs>
              <w:spacing w:before="40" w:after="20" w:line="260" w:lineRule="exact"/>
              <w:ind w:left="57" w:hanging="57"/>
              <w:rPr>
                <w:rFonts w:ascii="Times New Roman" w:hAnsi="Times New Roman"/>
                <w:b w:val="0"/>
                <w:sz w:val="22"/>
                <w:szCs w:val="22"/>
              </w:rPr>
            </w:pPr>
            <w:r w:rsidRPr="00C16E58">
              <w:rPr>
                <w:rFonts w:ascii="Times New Roman" w:hAnsi="Times New Roman"/>
                <w:b w:val="0"/>
                <w:sz w:val="22"/>
                <w:szCs w:val="22"/>
              </w:rPr>
              <w:t>0/86 vs. 2/90</w:t>
            </w:r>
          </w:p>
        </w:tc>
        <w:tc>
          <w:tcPr>
            <w:tcW w:w="1800" w:type="dxa"/>
            <w:tcBorders>
              <w:left w:val="single" w:sz="4" w:space="0" w:color="auto"/>
              <w:bottom w:val="nil"/>
              <w:right w:val="single" w:sz="4" w:space="0" w:color="auto"/>
            </w:tcBorders>
            <w:vAlign w:val="bottom"/>
          </w:tcPr>
          <w:p w14:paraId="4365A2FC" w14:textId="77777777" w:rsidR="003A2810" w:rsidRPr="00C16E58" w:rsidRDefault="003A2810" w:rsidP="00C16E58">
            <w:pPr>
              <w:pStyle w:val="Nottoc-headings"/>
              <w:keepLines w:val="0"/>
              <w:tabs>
                <w:tab w:val="left" w:pos="567"/>
              </w:tabs>
              <w:spacing w:before="40" w:after="20" w:line="260" w:lineRule="exact"/>
              <w:ind w:left="57" w:hanging="57"/>
              <w:rPr>
                <w:rFonts w:ascii="Times New Roman" w:hAnsi="Times New Roman"/>
                <w:b w:val="0"/>
                <w:sz w:val="22"/>
                <w:szCs w:val="22"/>
              </w:rPr>
            </w:pPr>
            <w:r w:rsidRPr="00C16E58">
              <w:rPr>
                <w:rFonts w:ascii="Times New Roman" w:hAnsi="Times New Roman"/>
                <w:b w:val="0"/>
                <w:sz w:val="22"/>
                <w:szCs w:val="22"/>
              </w:rPr>
              <w:t>N.E.</w:t>
            </w:r>
          </w:p>
        </w:tc>
        <w:tc>
          <w:tcPr>
            <w:tcW w:w="1440" w:type="dxa"/>
            <w:tcBorders>
              <w:left w:val="single" w:sz="4" w:space="0" w:color="auto"/>
              <w:bottom w:val="nil"/>
              <w:right w:val="single" w:sz="4" w:space="0" w:color="auto"/>
            </w:tcBorders>
            <w:vAlign w:val="bottom"/>
          </w:tcPr>
          <w:p w14:paraId="2D2A6C4C" w14:textId="77777777" w:rsidR="003A2810" w:rsidRPr="00C16E58" w:rsidRDefault="003A2810" w:rsidP="00C16E58">
            <w:pPr>
              <w:pStyle w:val="Nottoc-headings"/>
              <w:keepLines w:val="0"/>
              <w:tabs>
                <w:tab w:val="left" w:pos="567"/>
              </w:tabs>
              <w:spacing w:before="40" w:after="20" w:line="260" w:lineRule="exact"/>
              <w:ind w:left="57" w:hanging="57"/>
              <w:rPr>
                <w:rFonts w:ascii="Times New Roman" w:hAnsi="Times New Roman"/>
                <w:b w:val="0"/>
                <w:sz w:val="22"/>
                <w:szCs w:val="22"/>
              </w:rPr>
            </w:pPr>
            <w:r w:rsidRPr="00C16E58">
              <w:rPr>
                <w:rFonts w:ascii="Times New Roman" w:hAnsi="Times New Roman"/>
                <w:b w:val="0"/>
                <w:sz w:val="22"/>
                <w:szCs w:val="22"/>
              </w:rPr>
              <w:t>100 vs</w:t>
            </w:r>
            <w:r w:rsidR="007B3F15" w:rsidRPr="00C16E58">
              <w:rPr>
                <w:rFonts w:ascii="Times New Roman" w:hAnsi="Times New Roman"/>
                <w:b w:val="0"/>
                <w:sz w:val="22"/>
                <w:szCs w:val="22"/>
              </w:rPr>
              <w:t>.</w:t>
            </w:r>
            <w:r w:rsidRPr="00C16E58">
              <w:rPr>
                <w:rFonts w:ascii="Times New Roman" w:hAnsi="Times New Roman"/>
                <w:b w:val="0"/>
                <w:sz w:val="22"/>
                <w:szCs w:val="22"/>
              </w:rPr>
              <w:t xml:space="preserve"> 98,7</w:t>
            </w:r>
          </w:p>
        </w:tc>
        <w:tc>
          <w:tcPr>
            <w:tcW w:w="1360" w:type="dxa"/>
            <w:tcBorders>
              <w:left w:val="single" w:sz="4" w:space="0" w:color="auto"/>
              <w:bottom w:val="nil"/>
            </w:tcBorders>
            <w:vAlign w:val="bottom"/>
          </w:tcPr>
          <w:p w14:paraId="4F8975C7" w14:textId="77777777" w:rsidR="003A2810" w:rsidRPr="00C16E58" w:rsidRDefault="003A2810" w:rsidP="00C16E58">
            <w:pPr>
              <w:pStyle w:val="Nottoc-headings"/>
              <w:keepLines w:val="0"/>
              <w:tabs>
                <w:tab w:val="left" w:pos="567"/>
              </w:tabs>
              <w:spacing w:before="40" w:after="20" w:line="260" w:lineRule="exact"/>
              <w:ind w:left="57" w:hanging="57"/>
              <w:rPr>
                <w:rFonts w:ascii="Times New Roman" w:hAnsi="Times New Roman"/>
                <w:b w:val="0"/>
                <w:sz w:val="22"/>
                <w:szCs w:val="22"/>
              </w:rPr>
            </w:pPr>
            <w:r w:rsidRPr="00C16E58">
              <w:rPr>
                <w:rFonts w:ascii="Times New Roman" w:hAnsi="Times New Roman"/>
                <w:b w:val="0"/>
                <w:sz w:val="22"/>
                <w:szCs w:val="22"/>
              </w:rPr>
              <w:t>100 vs.</w:t>
            </w:r>
            <w:r w:rsidR="007B3F15" w:rsidRPr="00C16E58">
              <w:rPr>
                <w:rFonts w:ascii="Times New Roman" w:hAnsi="Times New Roman"/>
                <w:b w:val="0"/>
                <w:sz w:val="22"/>
                <w:szCs w:val="22"/>
              </w:rPr>
              <w:t xml:space="preserve"> </w:t>
            </w:r>
            <w:r w:rsidRPr="00C16E58">
              <w:rPr>
                <w:rFonts w:ascii="Times New Roman" w:hAnsi="Times New Roman"/>
                <w:b w:val="0"/>
                <w:sz w:val="22"/>
                <w:szCs w:val="22"/>
              </w:rPr>
              <w:t>95,5</w:t>
            </w:r>
          </w:p>
        </w:tc>
      </w:tr>
      <w:tr w:rsidR="003A2810" w:rsidRPr="002D741C" w14:paraId="3079C689" w14:textId="77777777" w:rsidTr="00C16E58">
        <w:trPr>
          <w:cantSplit/>
        </w:trPr>
        <w:tc>
          <w:tcPr>
            <w:tcW w:w="959" w:type="dxa"/>
            <w:vMerge/>
            <w:shd w:val="clear" w:color="auto" w:fill="auto"/>
          </w:tcPr>
          <w:p w14:paraId="07C18A87" w14:textId="77777777" w:rsidR="003A2810" w:rsidRPr="002D741C" w:rsidRDefault="003A2810" w:rsidP="00C16E58">
            <w:pPr>
              <w:pStyle w:val="Nottoc-headings"/>
              <w:keepLines w:val="0"/>
              <w:tabs>
                <w:tab w:val="left" w:pos="567"/>
              </w:tabs>
              <w:spacing w:line="260" w:lineRule="exact"/>
              <w:rPr>
                <w:rFonts w:ascii="Times New Roman" w:hAnsi="Times New Roman"/>
                <w:b w:val="0"/>
                <w:sz w:val="22"/>
                <w:szCs w:val="22"/>
              </w:rPr>
            </w:pPr>
          </w:p>
        </w:tc>
        <w:tc>
          <w:tcPr>
            <w:tcW w:w="1304" w:type="dxa"/>
            <w:tcBorders>
              <w:top w:val="nil"/>
              <w:bottom w:val="nil"/>
              <w:right w:val="single" w:sz="4" w:space="0" w:color="auto"/>
            </w:tcBorders>
            <w:vAlign w:val="bottom"/>
          </w:tcPr>
          <w:p w14:paraId="26EC18EA" w14:textId="77777777" w:rsidR="003A2810" w:rsidRPr="002D741C" w:rsidRDefault="003A2810" w:rsidP="00C16E58">
            <w:pPr>
              <w:pStyle w:val="Table"/>
              <w:keepLines w:val="0"/>
              <w:tabs>
                <w:tab w:val="left" w:pos="567"/>
              </w:tabs>
              <w:spacing w:line="260" w:lineRule="exact"/>
              <w:rPr>
                <w:rFonts w:ascii="Times New Roman" w:hAnsi="Times New Roman"/>
                <w:sz w:val="22"/>
                <w:szCs w:val="22"/>
              </w:rPr>
            </w:pPr>
            <w:r w:rsidRPr="002D741C">
              <w:rPr>
                <w:rFonts w:ascii="Times New Roman" w:hAnsi="Times New Roman"/>
                <w:sz w:val="22"/>
                <w:szCs w:val="22"/>
              </w:rPr>
              <w:t>Intermedio</w:t>
            </w:r>
          </w:p>
        </w:tc>
        <w:tc>
          <w:tcPr>
            <w:tcW w:w="1074" w:type="dxa"/>
            <w:tcBorders>
              <w:top w:val="nil"/>
              <w:left w:val="single" w:sz="4" w:space="0" w:color="auto"/>
              <w:bottom w:val="nil"/>
              <w:right w:val="single" w:sz="4" w:space="0" w:color="auto"/>
            </w:tcBorders>
            <w:vAlign w:val="bottom"/>
          </w:tcPr>
          <w:p w14:paraId="4A848181" w14:textId="77777777" w:rsidR="003A2810" w:rsidRPr="002D741C" w:rsidRDefault="003A2810" w:rsidP="00C16E58">
            <w:pPr>
              <w:pStyle w:val="Table"/>
              <w:keepLines w:val="0"/>
              <w:tabs>
                <w:tab w:val="left" w:pos="567"/>
              </w:tabs>
              <w:spacing w:line="260" w:lineRule="exact"/>
              <w:jc w:val="center"/>
              <w:rPr>
                <w:rFonts w:ascii="Times New Roman" w:hAnsi="Times New Roman"/>
                <w:sz w:val="22"/>
                <w:szCs w:val="22"/>
              </w:rPr>
            </w:pPr>
            <w:r w:rsidRPr="002D741C">
              <w:rPr>
                <w:rFonts w:ascii="Times New Roman" w:hAnsi="Times New Roman"/>
                <w:sz w:val="22"/>
                <w:szCs w:val="22"/>
              </w:rPr>
              <w:t>25,7</w:t>
            </w:r>
          </w:p>
        </w:tc>
        <w:tc>
          <w:tcPr>
            <w:tcW w:w="2083" w:type="dxa"/>
            <w:tcBorders>
              <w:top w:val="nil"/>
              <w:left w:val="single" w:sz="4" w:space="0" w:color="auto"/>
              <w:bottom w:val="nil"/>
              <w:right w:val="single" w:sz="4" w:space="0" w:color="auto"/>
            </w:tcBorders>
            <w:vAlign w:val="bottom"/>
          </w:tcPr>
          <w:p w14:paraId="58690A0D" w14:textId="77777777" w:rsidR="003A2810" w:rsidRPr="002D741C" w:rsidRDefault="003A2810" w:rsidP="00C16E58">
            <w:pPr>
              <w:pStyle w:val="Table"/>
              <w:keepLines w:val="0"/>
              <w:tabs>
                <w:tab w:val="left" w:pos="567"/>
              </w:tabs>
              <w:spacing w:line="260" w:lineRule="exact"/>
              <w:rPr>
                <w:rFonts w:ascii="Times New Roman" w:hAnsi="Times New Roman"/>
                <w:sz w:val="22"/>
                <w:szCs w:val="22"/>
              </w:rPr>
            </w:pPr>
            <w:r w:rsidRPr="002D741C">
              <w:rPr>
                <w:rFonts w:ascii="Times New Roman" w:hAnsi="Times New Roman"/>
                <w:sz w:val="22"/>
                <w:szCs w:val="22"/>
              </w:rPr>
              <w:t>4/75 vs. 6/78</w:t>
            </w:r>
          </w:p>
        </w:tc>
        <w:tc>
          <w:tcPr>
            <w:tcW w:w="1800" w:type="dxa"/>
            <w:tcBorders>
              <w:top w:val="nil"/>
              <w:left w:val="single" w:sz="4" w:space="0" w:color="auto"/>
              <w:bottom w:val="nil"/>
              <w:right w:val="single" w:sz="4" w:space="0" w:color="auto"/>
            </w:tcBorders>
            <w:vAlign w:val="bottom"/>
          </w:tcPr>
          <w:p w14:paraId="50B38CE8" w14:textId="77777777" w:rsidR="003A2810" w:rsidRPr="002D741C" w:rsidRDefault="003A2810" w:rsidP="00C16E58">
            <w:pPr>
              <w:pStyle w:val="Table"/>
              <w:keepLines w:val="0"/>
              <w:tabs>
                <w:tab w:val="left" w:pos="567"/>
              </w:tabs>
              <w:spacing w:line="260" w:lineRule="exact"/>
              <w:rPr>
                <w:rFonts w:ascii="Times New Roman" w:hAnsi="Times New Roman"/>
                <w:sz w:val="22"/>
                <w:szCs w:val="22"/>
              </w:rPr>
            </w:pPr>
            <w:r w:rsidRPr="002D741C">
              <w:rPr>
                <w:rFonts w:ascii="Times New Roman" w:hAnsi="Times New Roman"/>
                <w:sz w:val="22"/>
                <w:szCs w:val="22"/>
              </w:rPr>
              <w:t xml:space="preserve">0,59 (0,17; </w:t>
            </w:r>
            <w:r w:rsidR="003C4495" w:rsidRPr="002D741C">
              <w:rPr>
                <w:rFonts w:ascii="Times New Roman" w:hAnsi="Times New Roman"/>
                <w:sz w:val="22"/>
                <w:szCs w:val="22"/>
              </w:rPr>
              <w:t>2,</w:t>
            </w:r>
            <w:r w:rsidRPr="002D741C">
              <w:rPr>
                <w:rFonts w:ascii="Times New Roman" w:hAnsi="Times New Roman"/>
                <w:sz w:val="22"/>
                <w:szCs w:val="22"/>
              </w:rPr>
              <w:t>10)</w:t>
            </w:r>
          </w:p>
        </w:tc>
        <w:tc>
          <w:tcPr>
            <w:tcW w:w="1440" w:type="dxa"/>
            <w:tcBorders>
              <w:top w:val="nil"/>
              <w:left w:val="single" w:sz="4" w:space="0" w:color="auto"/>
              <w:bottom w:val="nil"/>
              <w:right w:val="single" w:sz="4" w:space="0" w:color="auto"/>
            </w:tcBorders>
            <w:vAlign w:val="bottom"/>
          </w:tcPr>
          <w:p w14:paraId="1331879C" w14:textId="77777777" w:rsidR="003A2810" w:rsidRPr="002D741C" w:rsidRDefault="003A2810" w:rsidP="00C16E58">
            <w:pPr>
              <w:pStyle w:val="Table"/>
              <w:keepLines w:val="0"/>
              <w:tabs>
                <w:tab w:val="left" w:pos="567"/>
              </w:tabs>
              <w:spacing w:line="260" w:lineRule="exact"/>
              <w:rPr>
                <w:rFonts w:ascii="Times New Roman" w:hAnsi="Times New Roman"/>
                <w:sz w:val="22"/>
                <w:szCs w:val="22"/>
              </w:rPr>
            </w:pPr>
            <w:r w:rsidRPr="002D741C">
              <w:rPr>
                <w:rFonts w:ascii="Times New Roman" w:hAnsi="Times New Roman"/>
                <w:sz w:val="22"/>
                <w:szCs w:val="22"/>
              </w:rPr>
              <w:t>100 vs. 94,8</w:t>
            </w:r>
          </w:p>
        </w:tc>
        <w:tc>
          <w:tcPr>
            <w:tcW w:w="1360" w:type="dxa"/>
            <w:tcBorders>
              <w:top w:val="nil"/>
              <w:left w:val="single" w:sz="4" w:space="0" w:color="auto"/>
              <w:bottom w:val="nil"/>
            </w:tcBorders>
            <w:vAlign w:val="bottom"/>
          </w:tcPr>
          <w:p w14:paraId="6E2C31A7" w14:textId="77777777" w:rsidR="003A2810" w:rsidRPr="002D741C" w:rsidRDefault="003A2810" w:rsidP="00C16E58">
            <w:pPr>
              <w:pStyle w:val="Table"/>
              <w:keepLines w:val="0"/>
              <w:tabs>
                <w:tab w:val="left" w:pos="567"/>
              </w:tabs>
              <w:spacing w:line="260" w:lineRule="exact"/>
              <w:rPr>
                <w:rFonts w:ascii="Times New Roman" w:hAnsi="Times New Roman"/>
                <w:sz w:val="22"/>
                <w:szCs w:val="22"/>
              </w:rPr>
            </w:pPr>
            <w:r w:rsidRPr="002D741C">
              <w:rPr>
                <w:rFonts w:ascii="Times New Roman" w:hAnsi="Times New Roman"/>
                <w:sz w:val="22"/>
                <w:szCs w:val="22"/>
              </w:rPr>
              <w:t>97,8 vs. 89,5</w:t>
            </w:r>
          </w:p>
        </w:tc>
      </w:tr>
      <w:tr w:rsidR="003A2810" w:rsidRPr="002D741C" w14:paraId="27B27A79" w14:textId="77777777" w:rsidTr="00C16E58">
        <w:trPr>
          <w:cantSplit/>
        </w:trPr>
        <w:tc>
          <w:tcPr>
            <w:tcW w:w="959" w:type="dxa"/>
            <w:vMerge/>
            <w:shd w:val="clear" w:color="auto" w:fill="auto"/>
          </w:tcPr>
          <w:p w14:paraId="4AC23AC7" w14:textId="77777777" w:rsidR="003A2810" w:rsidRPr="002D741C" w:rsidRDefault="003A2810" w:rsidP="00C16E58">
            <w:pPr>
              <w:pStyle w:val="Table"/>
              <w:keepLines w:val="0"/>
              <w:tabs>
                <w:tab w:val="left" w:pos="567"/>
              </w:tabs>
              <w:spacing w:line="260" w:lineRule="exact"/>
              <w:rPr>
                <w:rFonts w:ascii="Times New Roman" w:hAnsi="Times New Roman"/>
                <w:sz w:val="22"/>
                <w:szCs w:val="22"/>
              </w:rPr>
            </w:pPr>
          </w:p>
        </w:tc>
        <w:tc>
          <w:tcPr>
            <w:tcW w:w="1304" w:type="dxa"/>
            <w:tcBorders>
              <w:top w:val="nil"/>
              <w:right w:val="single" w:sz="4" w:space="0" w:color="auto"/>
            </w:tcBorders>
            <w:vAlign w:val="bottom"/>
          </w:tcPr>
          <w:p w14:paraId="1855C94D" w14:textId="77777777" w:rsidR="003A2810" w:rsidRPr="002D741C" w:rsidRDefault="003A2810" w:rsidP="00C16E58">
            <w:pPr>
              <w:pStyle w:val="Table"/>
              <w:keepLines w:val="0"/>
              <w:tabs>
                <w:tab w:val="left" w:pos="567"/>
              </w:tabs>
              <w:spacing w:line="260" w:lineRule="exact"/>
              <w:rPr>
                <w:rFonts w:ascii="Times New Roman" w:hAnsi="Times New Roman"/>
                <w:sz w:val="22"/>
                <w:szCs w:val="22"/>
              </w:rPr>
            </w:pPr>
            <w:r w:rsidRPr="002D741C">
              <w:rPr>
                <w:rFonts w:ascii="Times New Roman" w:hAnsi="Times New Roman"/>
                <w:sz w:val="22"/>
                <w:szCs w:val="22"/>
              </w:rPr>
              <w:t>Alto</w:t>
            </w:r>
          </w:p>
        </w:tc>
        <w:tc>
          <w:tcPr>
            <w:tcW w:w="1074" w:type="dxa"/>
            <w:tcBorders>
              <w:top w:val="nil"/>
              <w:left w:val="single" w:sz="4" w:space="0" w:color="auto"/>
              <w:right w:val="single" w:sz="4" w:space="0" w:color="auto"/>
            </w:tcBorders>
            <w:vAlign w:val="bottom"/>
          </w:tcPr>
          <w:p w14:paraId="2E183CC1" w14:textId="77777777" w:rsidR="003A2810" w:rsidRPr="002D741C" w:rsidRDefault="003A2810" w:rsidP="00C16E58">
            <w:pPr>
              <w:pStyle w:val="Table"/>
              <w:keepLines w:val="0"/>
              <w:tabs>
                <w:tab w:val="left" w:pos="567"/>
              </w:tabs>
              <w:spacing w:line="260" w:lineRule="exact"/>
              <w:jc w:val="center"/>
              <w:rPr>
                <w:rFonts w:ascii="Times New Roman" w:hAnsi="Times New Roman"/>
                <w:sz w:val="22"/>
                <w:szCs w:val="22"/>
              </w:rPr>
            </w:pPr>
            <w:r w:rsidRPr="002D741C">
              <w:rPr>
                <w:rFonts w:ascii="Times New Roman" w:hAnsi="Times New Roman"/>
                <w:sz w:val="22"/>
                <w:szCs w:val="22"/>
              </w:rPr>
              <w:t>44,8</w:t>
            </w:r>
          </w:p>
        </w:tc>
        <w:tc>
          <w:tcPr>
            <w:tcW w:w="2083" w:type="dxa"/>
            <w:tcBorders>
              <w:top w:val="nil"/>
              <w:left w:val="single" w:sz="4" w:space="0" w:color="auto"/>
              <w:right w:val="single" w:sz="4" w:space="0" w:color="auto"/>
            </w:tcBorders>
            <w:vAlign w:val="bottom"/>
          </w:tcPr>
          <w:p w14:paraId="72DF9146" w14:textId="77777777" w:rsidR="003A2810" w:rsidRPr="002D741C" w:rsidRDefault="003A2810" w:rsidP="00C16E58">
            <w:pPr>
              <w:pStyle w:val="Table"/>
              <w:keepLines w:val="0"/>
              <w:tabs>
                <w:tab w:val="left" w:pos="567"/>
              </w:tabs>
              <w:spacing w:line="260" w:lineRule="exact"/>
              <w:rPr>
                <w:rFonts w:ascii="Times New Roman" w:hAnsi="Times New Roman"/>
                <w:sz w:val="22"/>
                <w:szCs w:val="22"/>
              </w:rPr>
            </w:pPr>
            <w:r w:rsidRPr="002D741C">
              <w:rPr>
                <w:rFonts w:ascii="Times New Roman" w:hAnsi="Times New Roman"/>
                <w:sz w:val="22"/>
                <w:szCs w:val="22"/>
              </w:rPr>
              <w:t>21/140 vs. 51/127</w:t>
            </w:r>
          </w:p>
        </w:tc>
        <w:tc>
          <w:tcPr>
            <w:tcW w:w="1800" w:type="dxa"/>
            <w:tcBorders>
              <w:top w:val="nil"/>
              <w:left w:val="single" w:sz="4" w:space="0" w:color="auto"/>
              <w:right w:val="single" w:sz="4" w:space="0" w:color="auto"/>
            </w:tcBorders>
            <w:vAlign w:val="bottom"/>
          </w:tcPr>
          <w:p w14:paraId="05D5307B" w14:textId="77777777" w:rsidR="003A2810" w:rsidRPr="002D741C" w:rsidRDefault="003A2810" w:rsidP="00C16E58">
            <w:pPr>
              <w:pStyle w:val="Table"/>
              <w:keepLines w:val="0"/>
              <w:tabs>
                <w:tab w:val="left" w:pos="567"/>
              </w:tabs>
              <w:spacing w:line="260" w:lineRule="exact"/>
              <w:rPr>
                <w:rFonts w:ascii="Times New Roman" w:hAnsi="Times New Roman"/>
                <w:sz w:val="22"/>
                <w:szCs w:val="22"/>
              </w:rPr>
            </w:pPr>
            <w:r w:rsidRPr="002D741C">
              <w:rPr>
                <w:rFonts w:ascii="Times New Roman" w:hAnsi="Times New Roman"/>
                <w:sz w:val="22"/>
                <w:szCs w:val="22"/>
              </w:rPr>
              <w:t>0,29 (0,18;</w:t>
            </w:r>
            <w:r w:rsidR="003C4495" w:rsidRPr="002D741C">
              <w:rPr>
                <w:rFonts w:ascii="Times New Roman" w:hAnsi="Times New Roman"/>
                <w:sz w:val="22"/>
                <w:szCs w:val="22"/>
              </w:rPr>
              <w:t xml:space="preserve"> 0,</w:t>
            </w:r>
            <w:r w:rsidRPr="002D741C">
              <w:rPr>
                <w:rFonts w:ascii="Times New Roman" w:hAnsi="Times New Roman"/>
                <w:sz w:val="22"/>
                <w:szCs w:val="22"/>
              </w:rPr>
              <w:t>49)</w:t>
            </w:r>
          </w:p>
        </w:tc>
        <w:tc>
          <w:tcPr>
            <w:tcW w:w="1440" w:type="dxa"/>
            <w:tcBorders>
              <w:top w:val="nil"/>
              <w:left w:val="single" w:sz="4" w:space="0" w:color="auto"/>
              <w:right w:val="single" w:sz="4" w:space="0" w:color="auto"/>
            </w:tcBorders>
            <w:vAlign w:val="bottom"/>
          </w:tcPr>
          <w:p w14:paraId="5EB19082" w14:textId="77777777" w:rsidR="003A2810" w:rsidRPr="002D741C" w:rsidRDefault="003A2810" w:rsidP="00C16E58">
            <w:pPr>
              <w:pStyle w:val="Table"/>
              <w:keepLines w:val="0"/>
              <w:tabs>
                <w:tab w:val="left" w:pos="567"/>
              </w:tabs>
              <w:spacing w:line="260" w:lineRule="exact"/>
              <w:rPr>
                <w:rFonts w:ascii="Times New Roman" w:hAnsi="Times New Roman"/>
                <w:sz w:val="22"/>
                <w:szCs w:val="22"/>
              </w:rPr>
            </w:pPr>
            <w:r w:rsidRPr="002D741C">
              <w:rPr>
                <w:rFonts w:ascii="Times New Roman" w:hAnsi="Times New Roman"/>
                <w:sz w:val="22"/>
                <w:szCs w:val="22"/>
              </w:rPr>
              <w:t>94,8 vs. 64,0</w:t>
            </w:r>
          </w:p>
        </w:tc>
        <w:tc>
          <w:tcPr>
            <w:tcW w:w="1360" w:type="dxa"/>
            <w:tcBorders>
              <w:top w:val="nil"/>
              <w:left w:val="single" w:sz="4" w:space="0" w:color="auto"/>
            </w:tcBorders>
            <w:vAlign w:val="bottom"/>
          </w:tcPr>
          <w:p w14:paraId="5D01C369" w14:textId="77777777" w:rsidR="003A2810" w:rsidRPr="002D741C" w:rsidRDefault="003A2810" w:rsidP="00C16E58">
            <w:pPr>
              <w:pStyle w:val="Table"/>
              <w:keepLines w:val="0"/>
              <w:tabs>
                <w:tab w:val="left" w:pos="567"/>
              </w:tabs>
              <w:spacing w:line="260" w:lineRule="exact"/>
              <w:rPr>
                <w:rFonts w:ascii="Times New Roman" w:hAnsi="Times New Roman"/>
                <w:sz w:val="22"/>
                <w:szCs w:val="22"/>
              </w:rPr>
            </w:pPr>
            <w:r w:rsidRPr="002D741C">
              <w:rPr>
                <w:rFonts w:ascii="Times New Roman" w:hAnsi="Times New Roman"/>
                <w:sz w:val="22"/>
                <w:szCs w:val="22"/>
              </w:rPr>
              <w:t>80,7 vs. 46,6</w:t>
            </w:r>
          </w:p>
        </w:tc>
      </w:tr>
      <w:tr w:rsidR="003A2810" w:rsidRPr="002D741C" w14:paraId="795811F2" w14:textId="77777777" w:rsidTr="00C16E58">
        <w:trPr>
          <w:cantSplit/>
        </w:trPr>
        <w:tc>
          <w:tcPr>
            <w:tcW w:w="959" w:type="dxa"/>
            <w:vMerge w:val="restart"/>
            <w:shd w:val="clear" w:color="auto" w:fill="auto"/>
          </w:tcPr>
          <w:p w14:paraId="051139F2" w14:textId="77777777" w:rsidR="003A2810" w:rsidRPr="002D741C" w:rsidRDefault="003A2810" w:rsidP="00C16E58">
            <w:pPr>
              <w:pStyle w:val="Table"/>
              <w:keepLines w:val="0"/>
              <w:tabs>
                <w:tab w:val="left" w:pos="567"/>
              </w:tabs>
              <w:spacing w:before="480" w:line="260" w:lineRule="exact"/>
              <w:rPr>
                <w:rFonts w:ascii="Times New Roman" w:hAnsi="Times New Roman"/>
                <w:sz w:val="22"/>
                <w:szCs w:val="22"/>
              </w:rPr>
            </w:pPr>
            <w:r w:rsidRPr="002D741C">
              <w:rPr>
                <w:rFonts w:ascii="Times New Roman" w:hAnsi="Times New Roman"/>
                <w:sz w:val="22"/>
                <w:szCs w:val="22"/>
              </w:rPr>
              <w:t>A</w:t>
            </w:r>
            <w:smartTag w:uri="urn:schemas-microsoft-com:office:smarttags" w:element="PersonName">
              <w:r w:rsidRPr="002D741C">
                <w:rPr>
                  <w:rFonts w:ascii="Times New Roman" w:hAnsi="Times New Roman"/>
                  <w:sz w:val="22"/>
                  <w:szCs w:val="22"/>
                </w:rPr>
                <w:t>FI</w:t>
              </w:r>
            </w:smartTag>
            <w:r w:rsidRPr="002D741C">
              <w:rPr>
                <w:rFonts w:ascii="Times New Roman" w:hAnsi="Times New Roman"/>
                <w:sz w:val="22"/>
                <w:szCs w:val="22"/>
              </w:rPr>
              <w:t>P</w:t>
            </w:r>
          </w:p>
        </w:tc>
        <w:tc>
          <w:tcPr>
            <w:tcW w:w="1304" w:type="dxa"/>
            <w:tcBorders>
              <w:bottom w:val="nil"/>
              <w:right w:val="single" w:sz="4" w:space="0" w:color="auto"/>
            </w:tcBorders>
            <w:vAlign w:val="bottom"/>
          </w:tcPr>
          <w:p w14:paraId="00E89F0F" w14:textId="77777777" w:rsidR="003A2810" w:rsidRPr="002D741C" w:rsidRDefault="003A2810" w:rsidP="00C16E58">
            <w:pPr>
              <w:pStyle w:val="Table"/>
              <w:keepLines w:val="0"/>
              <w:tabs>
                <w:tab w:val="left" w:pos="567"/>
              </w:tabs>
              <w:spacing w:line="260" w:lineRule="exact"/>
              <w:rPr>
                <w:rFonts w:ascii="Times New Roman" w:hAnsi="Times New Roman"/>
                <w:sz w:val="22"/>
                <w:szCs w:val="22"/>
              </w:rPr>
            </w:pPr>
            <w:r w:rsidRPr="002D741C">
              <w:rPr>
                <w:rFonts w:ascii="Times New Roman" w:hAnsi="Times New Roman"/>
                <w:sz w:val="22"/>
                <w:szCs w:val="22"/>
              </w:rPr>
              <w:t>Muy bajo</w:t>
            </w:r>
          </w:p>
        </w:tc>
        <w:tc>
          <w:tcPr>
            <w:tcW w:w="1074" w:type="dxa"/>
            <w:tcBorders>
              <w:left w:val="single" w:sz="4" w:space="0" w:color="auto"/>
              <w:bottom w:val="nil"/>
              <w:right w:val="single" w:sz="4" w:space="0" w:color="auto"/>
            </w:tcBorders>
            <w:vAlign w:val="bottom"/>
          </w:tcPr>
          <w:p w14:paraId="772AA104" w14:textId="77777777" w:rsidR="003A2810" w:rsidRPr="002D741C" w:rsidRDefault="003A2810" w:rsidP="00C16E58">
            <w:pPr>
              <w:pStyle w:val="Table"/>
              <w:keepLines w:val="0"/>
              <w:tabs>
                <w:tab w:val="left" w:pos="567"/>
              </w:tabs>
              <w:spacing w:line="260" w:lineRule="exact"/>
              <w:jc w:val="center"/>
              <w:rPr>
                <w:rFonts w:ascii="Times New Roman" w:hAnsi="Times New Roman"/>
                <w:sz w:val="22"/>
                <w:szCs w:val="22"/>
              </w:rPr>
            </w:pPr>
            <w:r w:rsidRPr="002D741C">
              <w:rPr>
                <w:rFonts w:ascii="Times New Roman" w:hAnsi="Times New Roman"/>
                <w:sz w:val="22"/>
                <w:szCs w:val="22"/>
              </w:rPr>
              <w:t>20,7</w:t>
            </w:r>
          </w:p>
        </w:tc>
        <w:tc>
          <w:tcPr>
            <w:tcW w:w="2083" w:type="dxa"/>
            <w:tcBorders>
              <w:left w:val="single" w:sz="4" w:space="0" w:color="auto"/>
              <w:bottom w:val="nil"/>
              <w:right w:val="single" w:sz="4" w:space="0" w:color="auto"/>
            </w:tcBorders>
            <w:vAlign w:val="bottom"/>
          </w:tcPr>
          <w:p w14:paraId="39701ADA" w14:textId="77777777" w:rsidR="003A2810" w:rsidRPr="002D741C" w:rsidRDefault="003A2810" w:rsidP="00C16E58">
            <w:pPr>
              <w:pStyle w:val="Table"/>
              <w:keepLines w:val="0"/>
              <w:tabs>
                <w:tab w:val="left" w:pos="567"/>
              </w:tabs>
              <w:spacing w:line="260" w:lineRule="exact"/>
              <w:rPr>
                <w:rFonts w:ascii="Times New Roman" w:hAnsi="Times New Roman"/>
                <w:sz w:val="22"/>
                <w:szCs w:val="22"/>
              </w:rPr>
            </w:pPr>
            <w:r w:rsidRPr="002D741C">
              <w:rPr>
                <w:rFonts w:ascii="Times New Roman" w:hAnsi="Times New Roman"/>
                <w:sz w:val="22"/>
                <w:szCs w:val="22"/>
              </w:rPr>
              <w:t>0/52 vs. 2/63</w:t>
            </w:r>
          </w:p>
        </w:tc>
        <w:tc>
          <w:tcPr>
            <w:tcW w:w="1800" w:type="dxa"/>
            <w:tcBorders>
              <w:left w:val="single" w:sz="4" w:space="0" w:color="auto"/>
              <w:bottom w:val="nil"/>
              <w:right w:val="single" w:sz="4" w:space="0" w:color="auto"/>
            </w:tcBorders>
            <w:vAlign w:val="bottom"/>
          </w:tcPr>
          <w:p w14:paraId="1CC30114" w14:textId="77777777" w:rsidR="003A2810" w:rsidRPr="002D741C" w:rsidRDefault="003A2810" w:rsidP="00C16E58">
            <w:pPr>
              <w:pStyle w:val="Table"/>
              <w:keepLines w:val="0"/>
              <w:tabs>
                <w:tab w:val="left" w:pos="567"/>
              </w:tabs>
              <w:spacing w:line="260" w:lineRule="exact"/>
              <w:rPr>
                <w:rFonts w:ascii="Times New Roman" w:hAnsi="Times New Roman"/>
                <w:sz w:val="22"/>
                <w:szCs w:val="22"/>
              </w:rPr>
            </w:pPr>
            <w:r w:rsidRPr="002D741C">
              <w:rPr>
                <w:rFonts w:ascii="Times New Roman" w:hAnsi="Times New Roman"/>
                <w:sz w:val="22"/>
                <w:szCs w:val="22"/>
              </w:rPr>
              <w:t>N.E.</w:t>
            </w:r>
          </w:p>
        </w:tc>
        <w:tc>
          <w:tcPr>
            <w:tcW w:w="1440" w:type="dxa"/>
            <w:tcBorders>
              <w:left w:val="single" w:sz="4" w:space="0" w:color="auto"/>
              <w:bottom w:val="nil"/>
              <w:right w:val="single" w:sz="4" w:space="0" w:color="auto"/>
            </w:tcBorders>
            <w:vAlign w:val="bottom"/>
          </w:tcPr>
          <w:p w14:paraId="000D149E" w14:textId="77777777" w:rsidR="003A2810" w:rsidRPr="002D741C" w:rsidRDefault="003A2810" w:rsidP="00C16E58">
            <w:pPr>
              <w:pStyle w:val="Table"/>
              <w:keepLines w:val="0"/>
              <w:tabs>
                <w:tab w:val="left" w:pos="567"/>
              </w:tabs>
              <w:spacing w:line="260" w:lineRule="exact"/>
              <w:rPr>
                <w:rFonts w:ascii="Times New Roman" w:hAnsi="Times New Roman"/>
                <w:sz w:val="22"/>
                <w:szCs w:val="22"/>
              </w:rPr>
            </w:pPr>
            <w:r w:rsidRPr="002D741C">
              <w:rPr>
                <w:rFonts w:ascii="Times New Roman" w:hAnsi="Times New Roman"/>
                <w:sz w:val="22"/>
                <w:szCs w:val="22"/>
              </w:rPr>
              <w:t>100 vs. 98,1</w:t>
            </w:r>
          </w:p>
        </w:tc>
        <w:tc>
          <w:tcPr>
            <w:tcW w:w="1360" w:type="dxa"/>
            <w:tcBorders>
              <w:left w:val="single" w:sz="4" w:space="0" w:color="auto"/>
              <w:bottom w:val="nil"/>
            </w:tcBorders>
            <w:vAlign w:val="bottom"/>
          </w:tcPr>
          <w:p w14:paraId="10DC954B" w14:textId="77777777" w:rsidR="003A2810" w:rsidRPr="002D741C" w:rsidRDefault="003A2810" w:rsidP="00C16E58">
            <w:pPr>
              <w:pStyle w:val="Table"/>
              <w:keepLines w:val="0"/>
              <w:tabs>
                <w:tab w:val="left" w:pos="567"/>
              </w:tabs>
              <w:spacing w:line="260" w:lineRule="exact"/>
              <w:rPr>
                <w:rFonts w:ascii="Times New Roman" w:hAnsi="Times New Roman"/>
                <w:sz w:val="22"/>
                <w:szCs w:val="22"/>
              </w:rPr>
            </w:pPr>
            <w:r w:rsidRPr="002D741C">
              <w:rPr>
                <w:rFonts w:ascii="Times New Roman" w:hAnsi="Times New Roman"/>
                <w:sz w:val="22"/>
                <w:szCs w:val="22"/>
              </w:rPr>
              <w:t>100 vs. 93,0</w:t>
            </w:r>
          </w:p>
        </w:tc>
      </w:tr>
      <w:tr w:rsidR="003A2810" w:rsidRPr="002D741C" w14:paraId="0E16DEAD" w14:textId="77777777" w:rsidTr="00C16E58">
        <w:trPr>
          <w:cantSplit/>
        </w:trPr>
        <w:tc>
          <w:tcPr>
            <w:tcW w:w="959" w:type="dxa"/>
            <w:vMerge/>
            <w:shd w:val="clear" w:color="auto" w:fill="auto"/>
          </w:tcPr>
          <w:p w14:paraId="42B56526" w14:textId="77777777" w:rsidR="003A2810" w:rsidRPr="002D741C" w:rsidRDefault="003A2810" w:rsidP="00C16E58">
            <w:pPr>
              <w:pStyle w:val="Table"/>
              <w:keepLines w:val="0"/>
              <w:tabs>
                <w:tab w:val="left" w:pos="567"/>
              </w:tabs>
              <w:spacing w:line="260" w:lineRule="exact"/>
              <w:rPr>
                <w:rFonts w:ascii="Times New Roman" w:hAnsi="Times New Roman"/>
                <w:sz w:val="22"/>
                <w:szCs w:val="22"/>
              </w:rPr>
            </w:pPr>
          </w:p>
        </w:tc>
        <w:tc>
          <w:tcPr>
            <w:tcW w:w="1304" w:type="dxa"/>
            <w:tcBorders>
              <w:top w:val="nil"/>
              <w:bottom w:val="nil"/>
              <w:right w:val="single" w:sz="4" w:space="0" w:color="auto"/>
            </w:tcBorders>
            <w:vAlign w:val="bottom"/>
          </w:tcPr>
          <w:p w14:paraId="43F62A5C" w14:textId="77777777" w:rsidR="003A2810" w:rsidRPr="002D741C" w:rsidRDefault="003A2810" w:rsidP="00C16E58">
            <w:pPr>
              <w:pStyle w:val="Table"/>
              <w:keepLines w:val="0"/>
              <w:tabs>
                <w:tab w:val="left" w:pos="567"/>
              </w:tabs>
              <w:spacing w:line="260" w:lineRule="exact"/>
              <w:rPr>
                <w:rFonts w:ascii="Times New Roman" w:hAnsi="Times New Roman"/>
                <w:sz w:val="22"/>
                <w:szCs w:val="22"/>
              </w:rPr>
            </w:pPr>
            <w:r w:rsidRPr="002D741C">
              <w:rPr>
                <w:rFonts w:ascii="Times New Roman" w:hAnsi="Times New Roman"/>
                <w:sz w:val="22"/>
                <w:szCs w:val="22"/>
              </w:rPr>
              <w:t>Bajo</w:t>
            </w:r>
          </w:p>
        </w:tc>
        <w:tc>
          <w:tcPr>
            <w:tcW w:w="1074" w:type="dxa"/>
            <w:tcBorders>
              <w:top w:val="nil"/>
              <w:left w:val="single" w:sz="4" w:space="0" w:color="auto"/>
              <w:bottom w:val="nil"/>
              <w:right w:val="single" w:sz="4" w:space="0" w:color="auto"/>
            </w:tcBorders>
            <w:vAlign w:val="bottom"/>
          </w:tcPr>
          <w:p w14:paraId="55C3F72B" w14:textId="77777777" w:rsidR="003A2810" w:rsidRPr="002D741C" w:rsidRDefault="003A2810" w:rsidP="00C16E58">
            <w:pPr>
              <w:pStyle w:val="Table"/>
              <w:keepLines w:val="0"/>
              <w:tabs>
                <w:tab w:val="left" w:pos="567"/>
              </w:tabs>
              <w:spacing w:line="260" w:lineRule="exact"/>
              <w:jc w:val="center"/>
              <w:rPr>
                <w:rFonts w:ascii="Times New Roman" w:hAnsi="Times New Roman"/>
                <w:sz w:val="22"/>
                <w:szCs w:val="22"/>
              </w:rPr>
            </w:pPr>
            <w:r w:rsidRPr="002D741C">
              <w:rPr>
                <w:rFonts w:ascii="Times New Roman" w:hAnsi="Times New Roman"/>
                <w:sz w:val="22"/>
                <w:szCs w:val="22"/>
              </w:rPr>
              <w:t>25,0</w:t>
            </w:r>
          </w:p>
        </w:tc>
        <w:tc>
          <w:tcPr>
            <w:tcW w:w="2083" w:type="dxa"/>
            <w:tcBorders>
              <w:top w:val="nil"/>
              <w:left w:val="single" w:sz="4" w:space="0" w:color="auto"/>
              <w:bottom w:val="nil"/>
              <w:right w:val="single" w:sz="4" w:space="0" w:color="auto"/>
            </w:tcBorders>
            <w:vAlign w:val="bottom"/>
          </w:tcPr>
          <w:p w14:paraId="59EE0E1A" w14:textId="77777777" w:rsidR="003A2810" w:rsidRPr="002D741C" w:rsidRDefault="003A2810" w:rsidP="00C16E58">
            <w:pPr>
              <w:pStyle w:val="Table"/>
              <w:keepLines w:val="0"/>
              <w:tabs>
                <w:tab w:val="left" w:pos="567"/>
              </w:tabs>
              <w:spacing w:line="260" w:lineRule="exact"/>
              <w:rPr>
                <w:rFonts w:ascii="Times New Roman" w:hAnsi="Times New Roman"/>
                <w:sz w:val="22"/>
                <w:szCs w:val="22"/>
              </w:rPr>
            </w:pPr>
            <w:r w:rsidRPr="002D741C">
              <w:rPr>
                <w:rFonts w:ascii="Times New Roman" w:hAnsi="Times New Roman"/>
                <w:sz w:val="22"/>
                <w:szCs w:val="22"/>
              </w:rPr>
              <w:t>2/70 vs. 0/69</w:t>
            </w:r>
          </w:p>
        </w:tc>
        <w:tc>
          <w:tcPr>
            <w:tcW w:w="1800" w:type="dxa"/>
            <w:tcBorders>
              <w:top w:val="nil"/>
              <w:left w:val="single" w:sz="4" w:space="0" w:color="auto"/>
              <w:bottom w:val="nil"/>
              <w:right w:val="single" w:sz="4" w:space="0" w:color="auto"/>
            </w:tcBorders>
            <w:vAlign w:val="bottom"/>
          </w:tcPr>
          <w:p w14:paraId="1C9FE15A" w14:textId="77777777" w:rsidR="003A2810" w:rsidRPr="002D741C" w:rsidRDefault="003A2810" w:rsidP="00C16E58">
            <w:pPr>
              <w:pStyle w:val="Table"/>
              <w:keepLines w:val="0"/>
              <w:tabs>
                <w:tab w:val="left" w:pos="567"/>
              </w:tabs>
              <w:spacing w:line="260" w:lineRule="exact"/>
              <w:rPr>
                <w:rFonts w:ascii="Times New Roman" w:hAnsi="Times New Roman"/>
                <w:sz w:val="22"/>
                <w:szCs w:val="22"/>
              </w:rPr>
            </w:pPr>
            <w:r w:rsidRPr="002D741C">
              <w:rPr>
                <w:rFonts w:ascii="Times New Roman" w:hAnsi="Times New Roman"/>
                <w:sz w:val="22"/>
                <w:szCs w:val="22"/>
              </w:rPr>
              <w:t>N.E.</w:t>
            </w:r>
          </w:p>
        </w:tc>
        <w:tc>
          <w:tcPr>
            <w:tcW w:w="1440" w:type="dxa"/>
            <w:tcBorders>
              <w:top w:val="nil"/>
              <w:left w:val="single" w:sz="4" w:space="0" w:color="auto"/>
              <w:bottom w:val="nil"/>
              <w:right w:val="single" w:sz="4" w:space="0" w:color="auto"/>
            </w:tcBorders>
            <w:vAlign w:val="bottom"/>
          </w:tcPr>
          <w:p w14:paraId="3C94EE5F" w14:textId="77777777" w:rsidR="003A2810" w:rsidRPr="002D741C" w:rsidRDefault="003A2810" w:rsidP="00C16E58">
            <w:pPr>
              <w:pStyle w:val="Table"/>
              <w:keepLines w:val="0"/>
              <w:tabs>
                <w:tab w:val="left" w:pos="567"/>
              </w:tabs>
              <w:spacing w:line="260" w:lineRule="exact"/>
              <w:rPr>
                <w:rFonts w:ascii="Times New Roman" w:hAnsi="Times New Roman"/>
                <w:sz w:val="22"/>
                <w:szCs w:val="22"/>
              </w:rPr>
            </w:pPr>
            <w:r w:rsidRPr="002D741C">
              <w:rPr>
                <w:rFonts w:ascii="Times New Roman" w:hAnsi="Times New Roman"/>
                <w:sz w:val="22"/>
                <w:szCs w:val="22"/>
              </w:rPr>
              <w:t>100 vs. 100</w:t>
            </w:r>
          </w:p>
        </w:tc>
        <w:tc>
          <w:tcPr>
            <w:tcW w:w="1360" w:type="dxa"/>
            <w:tcBorders>
              <w:top w:val="nil"/>
              <w:left w:val="single" w:sz="4" w:space="0" w:color="auto"/>
              <w:bottom w:val="nil"/>
            </w:tcBorders>
            <w:vAlign w:val="bottom"/>
          </w:tcPr>
          <w:p w14:paraId="38898096" w14:textId="77777777" w:rsidR="003A2810" w:rsidRPr="002D741C" w:rsidRDefault="003A2810" w:rsidP="00C16E58">
            <w:pPr>
              <w:pStyle w:val="Table"/>
              <w:keepLines w:val="0"/>
              <w:tabs>
                <w:tab w:val="left" w:pos="567"/>
              </w:tabs>
              <w:spacing w:line="260" w:lineRule="exact"/>
              <w:rPr>
                <w:rFonts w:ascii="Times New Roman" w:hAnsi="Times New Roman"/>
                <w:sz w:val="22"/>
                <w:szCs w:val="22"/>
              </w:rPr>
            </w:pPr>
            <w:r w:rsidRPr="002D741C">
              <w:rPr>
                <w:rFonts w:ascii="Times New Roman" w:hAnsi="Times New Roman"/>
                <w:sz w:val="22"/>
                <w:szCs w:val="22"/>
              </w:rPr>
              <w:t>97,8 vs. 100</w:t>
            </w:r>
          </w:p>
        </w:tc>
      </w:tr>
      <w:tr w:rsidR="003A2810" w:rsidRPr="002D741C" w14:paraId="4C2EE622" w14:textId="77777777" w:rsidTr="00C16E58">
        <w:trPr>
          <w:cantSplit/>
        </w:trPr>
        <w:tc>
          <w:tcPr>
            <w:tcW w:w="959" w:type="dxa"/>
            <w:vMerge/>
            <w:shd w:val="clear" w:color="auto" w:fill="auto"/>
          </w:tcPr>
          <w:p w14:paraId="1E6940B5" w14:textId="77777777" w:rsidR="003A2810" w:rsidRPr="002D741C" w:rsidRDefault="003A2810" w:rsidP="00C16E58">
            <w:pPr>
              <w:pStyle w:val="Table"/>
              <w:keepLines w:val="0"/>
              <w:tabs>
                <w:tab w:val="left" w:pos="567"/>
              </w:tabs>
              <w:spacing w:line="260" w:lineRule="exact"/>
              <w:rPr>
                <w:rFonts w:ascii="Times New Roman" w:hAnsi="Times New Roman"/>
                <w:b/>
                <w:sz w:val="22"/>
                <w:szCs w:val="22"/>
              </w:rPr>
            </w:pPr>
          </w:p>
        </w:tc>
        <w:tc>
          <w:tcPr>
            <w:tcW w:w="1304" w:type="dxa"/>
            <w:tcBorders>
              <w:top w:val="nil"/>
              <w:bottom w:val="nil"/>
              <w:right w:val="single" w:sz="4" w:space="0" w:color="auto"/>
            </w:tcBorders>
            <w:vAlign w:val="bottom"/>
          </w:tcPr>
          <w:p w14:paraId="46E41986" w14:textId="77777777" w:rsidR="003A2810" w:rsidRPr="002D741C" w:rsidRDefault="003A2810" w:rsidP="00C16E58">
            <w:pPr>
              <w:pStyle w:val="Table"/>
              <w:keepLines w:val="0"/>
              <w:tabs>
                <w:tab w:val="left" w:pos="567"/>
              </w:tabs>
              <w:spacing w:line="260" w:lineRule="exact"/>
              <w:rPr>
                <w:rFonts w:ascii="Times New Roman" w:hAnsi="Times New Roman"/>
                <w:sz w:val="22"/>
                <w:szCs w:val="22"/>
              </w:rPr>
            </w:pPr>
            <w:r w:rsidRPr="002D741C">
              <w:rPr>
                <w:rFonts w:ascii="Times New Roman" w:hAnsi="Times New Roman"/>
                <w:sz w:val="22"/>
                <w:szCs w:val="22"/>
              </w:rPr>
              <w:t>Moderado</w:t>
            </w:r>
          </w:p>
        </w:tc>
        <w:tc>
          <w:tcPr>
            <w:tcW w:w="1074" w:type="dxa"/>
            <w:tcBorders>
              <w:top w:val="nil"/>
              <w:left w:val="single" w:sz="4" w:space="0" w:color="auto"/>
              <w:bottom w:val="nil"/>
              <w:right w:val="single" w:sz="4" w:space="0" w:color="auto"/>
            </w:tcBorders>
            <w:vAlign w:val="bottom"/>
          </w:tcPr>
          <w:p w14:paraId="37B4053E" w14:textId="77777777" w:rsidR="003A2810" w:rsidRPr="002D741C" w:rsidRDefault="003A2810" w:rsidP="00C16E58">
            <w:pPr>
              <w:pStyle w:val="Table"/>
              <w:keepLines w:val="0"/>
              <w:tabs>
                <w:tab w:val="left" w:pos="567"/>
              </w:tabs>
              <w:spacing w:line="260" w:lineRule="exact"/>
              <w:jc w:val="center"/>
              <w:rPr>
                <w:rFonts w:ascii="Times New Roman" w:hAnsi="Times New Roman"/>
                <w:sz w:val="22"/>
                <w:szCs w:val="22"/>
              </w:rPr>
            </w:pPr>
            <w:r w:rsidRPr="002D741C">
              <w:rPr>
                <w:rFonts w:ascii="Times New Roman" w:hAnsi="Times New Roman"/>
                <w:sz w:val="22"/>
                <w:szCs w:val="22"/>
              </w:rPr>
              <w:t>24,6</w:t>
            </w:r>
          </w:p>
        </w:tc>
        <w:tc>
          <w:tcPr>
            <w:tcW w:w="2083" w:type="dxa"/>
            <w:tcBorders>
              <w:top w:val="nil"/>
              <w:left w:val="single" w:sz="4" w:space="0" w:color="auto"/>
              <w:bottom w:val="nil"/>
              <w:right w:val="single" w:sz="4" w:space="0" w:color="auto"/>
            </w:tcBorders>
            <w:vAlign w:val="bottom"/>
          </w:tcPr>
          <w:p w14:paraId="1039F404" w14:textId="77777777" w:rsidR="003A2810" w:rsidRPr="002D741C" w:rsidRDefault="003A2810" w:rsidP="00C16E58">
            <w:pPr>
              <w:pStyle w:val="Table"/>
              <w:keepLines w:val="0"/>
              <w:tabs>
                <w:tab w:val="left" w:pos="567"/>
              </w:tabs>
              <w:spacing w:line="260" w:lineRule="exact"/>
              <w:rPr>
                <w:rFonts w:ascii="Times New Roman" w:hAnsi="Times New Roman"/>
                <w:sz w:val="22"/>
                <w:szCs w:val="22"/>
              </w:rPr>
            </w:pPr>
            <w:r w:rsidRPr="002D741C">
              <w:rPr>
                <w:rFonts w:ascii="Times New Roman" w:hAnsi="Times New Roman"/>
                <w:sz w:val="22"/>
                <w:szCs w:val="22"/>
              </w:rPr>
              <w:t>2/70 vs. 11/67</w:t>
            </w:r>
          </w:p>
        </w:tc>
        <w:tc>
          <w:tcPr>
            <w:tcW w:w="1800" w:type="dxa"/>
            <w:tcBorders>
              <w:top w:val="nil"/>
              <w:left w:val="single" w:sz="4" w:space="0" w:color="auto"/>
              <w:bottom w:val="nil"/>
              <w:right w:val="single" w:sz="4" w:space="0" w:color="auto"/>
            </w:tcBorders>
            <w:vAlign w:val="bottom"/>
          </w:tcPr>
          <w:p w14:paraId="1A5304CA" w14:textId="77777777" w:rsidR="003A2810" w:rsidRPr="002D741C" w:rsidRDefault="003A2810" w:rsidP="00C16E58">
            <w:pPr>
              <w:pStyle w:val="Table"/>
              <w:keepLines w:val="0"/>
              <w:tabs>
                <w:tab w:val="left" w:pos="567"/>
              </w:tabs>
              <w:spacing w:line="260" w:lineRule="exact"/>
              <w:rPr>
                <w:rFonts w:ascii="Times New Roman" w:hAnsi="Times New Roman"/>
                <w:sz w:val="22"/>
                <w:szCs w:val="22"/>
              </w:rPr>
            </w:pPr>
            <w:r w:rsidRPr="002D741C">
              <w:rPr>
                <w:rFonts w:ascii="Times New Roman" w:hAnsi="Times New Roman"/>
                <w:sz w:val="22"/>
                <w:szCs w:val="22"/>
              </w:rPr>
              <w:t>0,16 (0,03; 0,70)</w:t>
            </w:r>
          </w:p>
        </w:tc>
        <w:tc>
          <w:tcPr>
            <w:tcW w:w="1440" w:type="dxa"/>
            <w:tcBorders>
              <w:top w:val="nil"/>
              <w:left w:val="single" w:sz="4" w:space="0" w:color="auto"/>
              <w:bottom w:val="nil"/>
              <w:right w:val="single" w:sz="4" w:space="0" w:color="auto"/>
            </w:tcBorders>
            <w:vAlign w:val="bottom"/>
          </w:tcPr>
          <w:p w14:paraId="7DEB69DC" w14:textId="77777777" w:rsidR="003A2810" w:rsidRPr="002D741C" w:rsidRDefault="003A2810" w:rsidP="00C16E58">
            <w:pPr>
              <w:pStyle w:val="Table"/>
              <w:keepLines w:val="0"/>
              <w:tabs>
                <w:tab w:val="left" w:pos="567"/>
              </w:tabs>
              <w:spacing w:line="260" w:lineRule="exact"/>
              <w:rPr>
                <w:rFonts w:ascii="Times New Roman" w:hAnsi="Times New Roman"/>
                <w:sz w:val="22"/>
                <w:szCs w:val="22"/>
              </w:rPr>
            </w:pPr>
            <w:r w:rsidRPr="002D741C">
              <w:rPr>
                <w:rFonts w:ascii="Times New Roman" w:hAnsi="Times New Roman"/>
                <w:sz w:val="22"/>
                <w:szCs w:val="22"/>
              </w:rPr>
              <w:t>97,9 vs. 90,8</w:t>
            </w:r>
          </w:p>
        </w:tc>
        <w:tc>
          <w:tcPr>
            <w:tcW w:w="1360" w:type="dxa"/>
            <w:tcBorders>
              <w:top w:val="nil"/>
              <w:left w:val="single" w:sz="4" w:space="0" w:color="auto"/>
              <w:bottom w:val="nil"/>
            </w:tcBorders>
            <w:vAlign w:val="bottom"/>
          </w:tcPr>
          <w:p w14:paraId="4B490AC4" w14:textId="77777777" w:rsidR="003A2810" w:rsidRPr="002D741C" w:rsidRDefault="003A2810" w:rsidP="00C16E58">
            <w:pPr>
              <w:pStyle w:val="Table"/>
              <w:keepLines w:val="0"/>
              <w:tabs>
                <w:tab w:val="left" w:pos="567"/>
              </w:tabs>
              <w:spacing w:line="260" w:lineRule="exact"/>
              <w:rPr>
                <w:rFonts w:ascii="Times New Roman" w:hAnsi="Times New Roman"/>
                <w:sz w:val="22"/>
                <w:szCs w:val="22"/>
              </w:rPr>
            </w:pPr>
            <w:r w:rsidRPr="002D741C">
              <w:rPr>
                <w:rFonts w:ascii="Times New Roman" w:hAnsi="Times New Roman"/>
                <w:sz w:val="22"/>
                <w:szCs w:val="22"/>
              </w:rPr>
              <w:t>97,9 vs. 73,3</w:t>
            </w:r>
          </w:p>
        </w:tc>
      </w:tr>
      <w:tr w:rsidR="003A2810" w:rsidRPr="002D741C" w14:paraId="4E687C34" w14:textId="77777777" w:rsidTr="00C16E58">
        <w:trPr>
          <w:cantSplit/>
        </w:trPr>
        <w:tc>
          <w:tcPr>
            <w:tcW w:w="959" w:type="dxa"/>
            <w:vMerge/>
            <w:tcBorders>
              <w:bottom w:val="single" w:sz="4" w:space="0" w:color="auto"/>
            </w:tcBorders>
            <w:shd w:val="clear" w:color="auto" w:fill="auto"/>
          </w:tcPr>
          <w:p w14:paraId="3E3F7387" w14:textId="77777777" w:rsidR="003A2810" w:rsidRPr="002D741C" w:rsidRDefault="003A2810" w:rsidP="00C16E58">
            <w:pPr>
              <w:pStyle w:val="Table"/>
              <w:keepLines w:val="0"/>
              <w:tabs>
                <w:tab w:val="left" w:pos="567"/>
              </w:tabs>
              <w:spacing w:line="260" w:lineRule="exact"/>
              <w:rPr>
                <w:rFonts w:ascii="Times New Roman" w:hAnsi="Times New Roman"/>
                <w:sz w:val="22"/>
                <w:szCs w:val="22"/>
              </w:rPr>
            </w:pPr>
          </w:p>
        </w:tc>
        <w:tc>
          <w:tcPr>
            <w:tcW w:w="1304" w:type="dxa"/>
            <w:tcBorders>
              <w:top w:val="nil"/>
              <w:bottom w:val="single" w:sz="4" w:space="0" w:color="auto"/>
              <w:right w:val="single" w:sz="4" w:space="0" w:color="auto"/>
            </w:tcBorders>
            <w:vAlign w:val="bottom"/>
          </w:tcPr>
          <w:p w14:paraId="233FDF55" w14:textId="77777777" w:rsidR="003A2810" w:rsidRPr="002D741C" w:rsidRDefault="003A2810" w:rsidP="00C16E58">
            <w:pPr>
              <w:pStyle w:val="Table"/>
              <w:keepLines w:val="0"/>
              <w:tabs>
                <w:tab w:val="left" w:pos="567"/>
              </w:tabs>
              <w:spacing w:line="260" w:lineRule="exact"/>
              <w:rPr>
                <w:rFonts w:ascii="Times New Roman" w:hAnsi="Times New Roman"/>
                <w:sz w:val="22"/>
                <w:szCs w:val="22"/>
              </w:rPr>
            </w:pPr>
            <w:r w:rsidRPr="002D741C">
              <w:rPr>
                <w:rFonts w:ascii="Times New Roman" w:hAnsi="Times New Roman"/>
                <w:sz w:val="22"/>
                <w:szCs w:val="22"/>
              </w:rPr>
              <w:t>Alto</w:t>
            </w:r>
          </w:p>
        </w:tc>
        <w:tc>
          <w:tcPr>
            <w:tcW w:w="1074" w:type="dxa"/>
            <w:tcBorders>
              <w:top w:val="nil"/>
              <w:left w:val="single" w:sz="4" w:space="0" w:color="auto"/>
              <w:bottom w:val="single" w:sz="4" w:space="0" w:color="auto"/>
              <w:right w:val="single" w:sz="4" w:space="0" w:color="auto"/>
            </w:tcBorders>
            <w:vAlign w:val="bottom"/>
          </w:tcPr>
          <w:p w14:paraId="646778D3" w14:textId="77777777" w:rsidR="003A2810" w:rsidRPr="002D741C" w:rsidRDefault="003A2810" w:rsidP="00C16E58">
            <w:pPr>
              <w:pStyle w:val="Table"/>
              <w:keepLines w:val="0"/>
              <w:tabs>
                <w:tab w:val="left" w:pos="567"/>
              </w:tabs>
              <w:spacing w:line="260" w:lineRule="exact"/>
              <w:ind w:right="-3"/>
              <w:jc w:val="center"/>
              <w:rPr>
                <w:rFonts w:ascii="Times New Roman" w:hAnsi="Times New Roman"/>
                <w:sz w:val="22"/>
                <w:szCs w:val="22"/>
              </w:rPr>
            </w:pPr>
            <w:r w:rsidRPr="002D741C">
              <w:rPr>
                <w:rFonts w:ascii="Times New Roman" w:hAnsi="Times New Roman"/>
                <w:sz w:val="22"/>
                <w:szCs w:val="22"/>
              </w:rPr>
              <w:t>29,7</w:t>
            </w:r>
          </w:p>
        </w:tc>
        <w:tc>
          <w:tcPr>
            <w:tcW w:w="2083" w:type="dxa"/>
            <w:tcBorders>
              <w:top w:val="nil"/>
              <w:left w:val="single" w:sz="4" w:space="0" w:color="auto"/>
              <w:bottom w:val="single" w:sz="4" w:space="0" w:color="auto"/>
              <w:right w:val="single" w:sz="4" w:space="0" w:color="auto"/>
            </w:tcBorders>
            <w:vAlign w:val="bottom"/>
          </w:tcPr>
          <w:p w14:paraId="70931249" w14:textId="77777777" w:rsidR="003A2810" w:rsidRPr="002D741C" w:rsidRDefault="003A2810" w:rsidP="00C16E58">
            <w:pPr>
              <w:pStyle w:val="Table"/>
              <w:keepLines w:val="0"/>
              <w:tabs>
                <w:tab w:val="left" w:pos="567"/>
              </w:tabs>
              <w:spacing w:line="260" w:lineRule="exact"/>
              <w:rPr>
                <w:rFonts w:ascii="Times New Roman" w:hAnsi="Times New Roman"/>
                <w:sz w:val="22"/>
                <w:szCs w:val="22"/>
              </w:rPr>
            </w:pPr>
            <w:r w:rsidRPr="002D741C">
              <w:rPr>
                <w:rFonts w:ascii="Times New Roman" w:hAnsi="Times New Roman"/>
                <w:sz w:val="22"/>
                <w:szCs w:val="22"/>
              </w:rPr>
              <w:t>16/84 vs. 39/81</w:t>
            </w:r>
          </w:p>
        </w:tc>
        <w:tc>
          <w:tcPr>
            <w:tcW w:w="1800" w:type="dxa"/>
            <w:tcBorders>
              <w:top w:val="nil"/>
              <w:left w:val="single" w:sz="4" w:space="0" w:color="auto"/>
              <w:bottom w:val="single" w:sz="4" w:space="0" w:color="auto"/>
              <w:right w:val="single" w:sz="4" w:space="0" w:color="auto"/>
            </w:tcBorders>
            <w:vAlign w:val="bottom"/>
          </w:tcPr>
          <w:p w14:paraId="55318057" w14:textId="77777777" w:rsidR="003A2810" w:rsidRPr="002D741C" w:rsidRDefault="003A2810" w:rsidP="00C16E58">
            <w:pPr>
              <w:pStyle w:val="Table"/>
              <w:keepLines w:val="0"/>
              <w:tabs>
                <w:tab w:val="left" w:pos="567"/>
              </w:tabs>
              <w:spacing w:line="260" w:lineRule="exact"/>
              <w:rPr>
                <w:rFonts w:ascii="Times New Roman" w:hAnsi="Times New Roman"/>
                <w:sz w:val="22"/>
                <w:szCs w:val="22"/>
              </w:rPr>
            </w:pPr>
            <w:r w:rsidRPr="002D741C">
              <w:rPr>
                <w:rFonts w:ascii="Times New Roman" w:hAnsi="Times New Roman"/>
                <w:sz w:val="22"/>
                <w:szCs w:val="22"/>
              </w:rPr>
              <w:t>0,27 (0,15; 0,48)</w:t>
            </w:r>
          </w:p>
        </w:tc>
        <w:tc>
          <w:tcPr>
            <w:tcW w:w="1440" w:type="dxa"/>
            <w:tcBorders>
              <w:top w:val="nil"/>
              <w:left w:val="single" w:sz="4" w:space="0" w:color="auto"/>
              <w:bottom w:val="single" w:sz="4" w:space="0" w:color="auto"/>
              <w:right w:val="single" w:sz="4" w:space="0" w:color="auto"/>
            </w:tcBorders>
            <w:vAlign w:val="bottom"/>
          </w:tcPr>
          <w:p w14:paraId="67157354" w14:textId="77777777" w:rsidR="003A2810" w:rsidRPr="002D741C" w:rsidRDefault="003A2810" w:rsidP="00C16E58">
            <w:pPr>
              <w:pStyle w:val="Table"/>
              <w:keepLines w:val="0"/>
              <w:tabs>
                <w:tab w:val="left" w:pos="567"/>
              </w:tabs>
              <w:spacing w:line="260" w:lineRule="exact"/>
              <w:rPr>
                <w:rFonts w:ascii="Times New Roman" w:hAnsi="Times New Roman"/>
                <w:sz w:val="22"/>
                <w:szCs w:val="22"/>
              </w:rPr>
            </w:pPr>
            <w:r w:rsidRPr="002D741C">
              <w:rPr>
                <w:rFonts w:ascii="Times New Roman" w:hAnsi="Times New Roman"/>
                <w:sz w:val="22"/>
                <w:szCs w:val="22"/>
              </w:rPr>
              <w:t>98,7 vs. 56,1</w:t>
            </w:r>
          </w:p>
        </w:tc>
        <w:tc>
          <w:tcPr>
            <w:tcW w:w="1360" w:type="dxa"/>
            <w:tcBorders>
              <w:top w:val="nil"/>
              <w:left w:val="single" w:sz="4" w:space="0" w:color="auto"/>
              <w:bottom w:val="single" w:sz="4" w:space="0" w:color="auto"/>
            </w:tcBorders>
            <w:vAlign w:val="bottom"/>
          </w:tcPr>
          <w:p w14:paraId="3CF642AB" w14:textId="77777777" w:rsidR="003A2810" w:rsidRPr="002D741C" w:rsidRDefault="003A2810" w:rsidP="00C16E58">
            <w:pPr>
              <w:pStyle w:val="Table"/>
              <w:keepLines w:val="0"/>
              <w:tabs>
                <w:tab w:val="left" w:pos="567"/>
              </w:tabs>
              <w:spacing w:line="260" w:lineRule="exact"/>
              <w:rPr>
                <w:rFonts w:ascii="Times New Roman" w:hAnsi="Times New Roman"/>
                <w:sz w:val="22"/>
                <w:szCs w:val="22"/>
              </w:rPr>
            </w:pPr>
            <w:r w:rsidRPr="002D741C">
              <w:rPr>
                <w:rFonts w:ascii="Times New Roman" w:hAnsi="Times New Roman"/>
                <w:sz w:val="22"/>
                <w:szCs w:val="22"/>
              </w:rPr>
              <w:t>79,9 vs. 41,5</w:t>
            </w:r>
          </w:p>
        </w:tc>
      </w:tr>
    </w:tbl>
    <w:p w14:paraId="1971A7D1" w14:textId="77777777" w:rsidR="003A2810" w:rsidRPr="002D741C" w:rsidRDefault="003A2810" w:rsidP="00C16E58">
      <w:pPr>
        <w:pStyle w:val="Text"/>
        <w:spacing w:before="0"/>
        <w:rPr>
          <w:sz w:val="22"/>
          <w:szCs w:val="22"/>
        </w:rPr>
      </w:pPr>
      <w:r w:rsidRPr="002D741C">
        <w:rPr>
          <w:sz w:val="22"/>
          <w:szCs w:val="22"/>
        </w:rPr>
        <w:t>* Periodo de seguimiento completo; NE – No estimable</w:t>
      </w:r>
    </w:p>
    <w:p w14:paraId="383FB6FF" w14:textId="77777777" w:rsidR="00855DE0" w:rsidRPr="002D741C" w:rsidRDefault="00855DE0" w:rsidP="00855DE0">
      <w:pPr>
        <w:pStyle w:val="EndnoteText"/>
        <w:widowControl w:val="0"/>
        <w:tabs>
          <w:tab w:val="clear" w:pos="567"/>
        </w:tabs>
        <w:rPr>
          <w:color w:val="000000"/>
          <w:szCs w:val="22"/>
          <w:lang w:val="es-ES"/>
        </w:rPr>
      </w:pPr>
    </w:p>
    <w:p w14:paraId="7F5C25B5" w14:textId="77777777" w:rsidR="00855DE0" w:rsidRPr="002D741C" w:rsidRDefault="00855DE0" w:rsidP="00855DE0">
      <w:pPr>
        <w:pStyle w:val="EndnoteText"/>
        <w:widowControl w:val="0"/>
        <w:tabs>
          <w:tab w:val="clear" w:pos="567"/>
        </w:tabs>
        <w:rPr>
          <w:color w:val="000000"/>
          <w:szCs w:val="22"/>
          <w:lang w:val="es-ES"/>
        </w:rPr>
      </w:pPr>
      <w:r w:rsidRPr="002D741C">
        <w:rPr>
          <w:color w:val="000000"/>
          <w:szCs w:val="22"/>
          <w:lang w:val="es-ES"/>
        </w:rPr>
        <w:t>Un segundo ensayo multicéntrico, abierto, de fase III (SSG XVIII/AIO) comparó el tratamiento con 400 mg/día de Glivec durante 12 meses frente a 36 meses de tratamiento en pacientes después de la resección quirúrgica del G</w:t>
      </w:r>
      <w:smartTag w:uri="urn:schemas-microsoft-com:office:smarttags" w:element="PersonName">
        <w:r w:rsidRPr="002D741C">
          <w:rPr>
            <w:color w:val="000000"/>
            <w:szCs w:val="22"/>
            <w:lang w:val="es-ES"/>
          </w:rPr>
          <w:t>IS</w:t>
        </w:r>
      </w:smartTag>
      <w:r w:rsidRPr="002D741C">
        <w:rPr>
          <w:color w:val="000000"/>
          <w:szCs w:val="22"/>
          <w:lang w:val="es-ES"/>
        </w:rPr>
        <w:t xml:space="preserve">T y uno de los siguientes: diámetro del tumor &gt; 5 cm y recuento mitótico &gt; 5/50 campos de gran aumento (HPF); o diámetro del tumor &gt; </w:t>
      </w:r>
      <w:smartTag w:uri="urn:schemas-microsoft-com:office:smarttags" w:element="metricconverter">
        <w:smartTagPr>
          <w:attr w:name="ProductID" w:val="10ﾠcm"/>
        </w:smartTagPr>
        <w:r w:rsidRPr="002D741C">
          <w:rPr>
            <w:color w:val="000000"/>
            <w:szCs w:val="22"/>
            <w:lang w:val="es-ES"/>
          </w:rPr>
          <w:t>10 cm</w:t>
        </w:r>
      </w:smartTag>
      <w:r w:rsidRPr="002D741C">
        <w:rPr>
          <w:color w:val="000000"/>
          <w:szCs w:val="22"/>
          <w:lang w:val="es-ES"/>
        </w:rPr>
        <w:t xml:space="preserve"> y cualquier recuento mitótico o tumor de cualquier tamaño con recuento mitótico &gt; 10/50 HPF o tumores rotos en la cavidad peritoneal. Un total de 397 pacientes dieron su consentimiento y fueron aleatorizados en el estudio (199 pacientes en el brazo de 12 meses y 198 pacientes en el brazo de 36 meses), la mediana de edad fue de 61 años (intervalo </w:t>
      </w:r>
      <w:smartTag w:uri="urn:schemas-microsoft-com:office:smarttags" w:element="metricconverter">
        <w:smartTagPr>
          <w:attr w:name="ProductID" w:val="22 a"/>
        </w:smartTagPr>
        <w:r w:rsidRPr="002D741C">
          <w:rPr>
            <w:color w:val="000000"/>
            <w:szCs w:val="22"/>
            <w:lang w:val="es-ES"/>
          </w:rPr>
          <w:t>22 a</w:t>
        </w:r>
      </w:smartTag>
      <w:r w:rsidRPr="002D741C">
        <w:rPr>
          <w:color w:val="000000"/>
          <w:szCs w:val="22"/>
          <w:lang w:val="es-ES"/>
        </w:rPr>
        <w:t xml:space="preserve"> 84 años). La mediana de tiempo de seguimiento fue de 54 meses (desde la fecha de la aleatorización hasta la fecha de corte), con un total de 83 meses entre el primer paciente aleatorizado y la fecha de corte.</w:t>
      </w:r>
    </w:p>
    <w:p w14:paraId="0D1F7F20" w14:textId="77777777" w:rsidR="00855DE0" w:rsidRPr="002D741C" w:rsidRDefault="00855DE0" w:rsidP="00855DE0">
      <w:pPr>
        <w:pStyle w:val="EndnoteText"/>
        <w:widowControl w:val="0"/>
        <w:tabs>
          <w:tab w:val="clear" w:pos="567"/>
        </w:tabs>
        <w:rPr>
          <w:color w:val="000000"/>
          <w:szCs w:val="22"/>
          <w:lang w:val="es-ES"/>
        </w:rPr>
      </w:pPr>
    </w:p>
    <w:p w14:paraId="0C5CB789" w14:textId="77777777" w:rsidR="00855DE0" w:rsidRPr="002D741C" w:rsidRDefault="00855DE0" w:rsidP="00855DE0">
      <w:pPr>
        <w:pStyle w:val="EndnoteText"/>
        <w:widowControl w:val="0"/>
        <w:tabs>
          <w:tab w:val="clear" w:pos="567"/>
        </w:tabs>
        <w:rPr>
          <w:color w:val="000000"/>
          <w:szCs w:val="22"/>
          <w:lang w:val="es-ES"/>
        </w:rPr>
      </w:pPr>
      <w:r w:rsidRPr="002D741C">
        <w:rPr>
          <w:color w:val="000000"/>
          <w:szCs w:val="22"/>
          <w:lang w:val="es-ES"/>
        </w:rPr>
        <w:t>La variable primaria del estudio fue la supervivencia libre de recurrencia (SLR), definida como el tiempo desde la fecha de aleatorización hasta la fecha de recurrencia o muerte por cualquier causa.</w:t>
      </w:r>
    </w:p>
    <w:p w14:paraId="5BF9AC21" w14:textId="77777777" w:rsidR="00855DE0" w:rsidRPr="002D741C" w:rsidRDefault="00855DE0" w:rsidP="00855DE0">
      <w:pPr>
        <w:pStyle w:val="EndnoteText"/>
        <w:widowControl w:val="0"/>
        <w:tabs>
          <w:tab w:val="clear" w:pos="567"/>
        </w:tabs>
        <w:rPr>
          <w:color w:val="000000"/>
          <w:szCs w:val="22"/>
          <w:lang w:val="es-ES"/>
        </w:rPr>
      </w:pPr>
    </w:p>
    <w:p w14:paraId="144D5205" w14:textId="77777777" w:rsidR="00855DE0" w:rsidRPr="002D741C" w:rsidRDefault="00855DE0" w:rsidP="00855DE0">
      <w:pPr>
        <w:pStyle w:val="EndnoteText"/>
        <w:widowControl w:val="0"/>
        <w:tabs>
          <w:tab w:val="clear" w:pos="567"/>
        </w:tabs>
        <w:rPr>
          <w:color w:val="000000"/>
          <w:szCs w:val="22"/>
          <w:lang w:val="es-ES"/>
        </w:rPr>
      </w:pPr>
      <w:r w:rsidRPr="002D741C">
        <w:rPr>
          <w:color w:val="000000"/>
          <w:szCs w:val="22"/>
          <w:lang w:val="es-ES"/>
        </w:rPr>
        <w:t xml:space="preserve">El tratamiento con Glivec durante trenta y seis (36) meses prolongó significativamente </w:t>
      </w:r>
      <w:smartTag w:uri="urn:schemas-microsoft-com:office:smarttags" w:element="PersonName">
        <w:smartTagPr>
          <w:attr w:name="ProductID" w:val="la SLR"/>
        </w:smartTagPr>
        <w:r w:rsidRPr="002D741C">
          <w:rPr>
            <w:color w:val="000000"/>
            <w:szCs w:val="22"/>
            <w:lang w:val="es-ES"/>
          </w:rPr>
          <w:t>la SLR</w:t>
        </w:r>
      </w:smartTag>
      <w:r w:rsidRPr="002D741C">
        <w:rPr>
          <w:color w:val="000000"/>
          <w:szCs w:val="22"/>
          <w:lang w:val="es-ES"/>
        </w:rPr>
        <w:t xml:space="preserve"> comparado con el tratamiento con Glivec durante 12 meses (con un cociente de riesgo global (HR) = 0,46 [0,32, 0,65], p&lt;0,0001</w:t>
      </w:r>
      <w:r w:rsidR="00802EC8" w:rsidRPr="002D741C">
        <w:rPr>
          <w:color w:val="000000"/>
          <w:szCs w:val="22"/>
          <w:lang w:val="es-ES"/>
        </w:rPr>
        <w:t>)</w:t>
      </w:r>
      <w:r w:rsidRPr="002D741C">
        <w:rPr>
          <w:color w:val="000000"/>
          <w:szCs w:val="22"/>
          <w:lang w:val="es-ES"/>
        </w:rPr>
        <w:t xml:space="preserve"> </w:t>
      </w:r>
      <w:r w:rsidR="00246612" w:rsidRPr="002D741C">
        <w:rPr>
          <w:color w:val="000000"/>
          <w:szCs w:val="22"/>
          <w:lang w:val="es-ES"/>
        </w:rPr>
        <w:t>(Tabla </w:t>
      </w:r>
      <w:r w:rsidR="00A6343C" w:rsidRPr="002D741C">
        <w:rPr>
          <w:color w:val="000000"/>
          <w:szCs w:val="22"/>
          <w:lang w:val="es-ES"/>
        </w:rPr>
        <w:t>8</w:t>
      </w:r>
      <w:r w:rsidR="00246612" w:rsidRPr="002D741C">
        <w:rPr>
          <w:color w:val="000000"/>
          <w:szCs w:val="22"/>
          <w:lang w:val="es-ES"/>
        </w:rPr>
        <w:t>, Figura 1).</w:t>
      </w:r>
    </w:p>
    <w:p w14:paraId="75505019" w14:textId="77777777" w:rsidR="00855DE0" w:rsidRPr="002D741C" w:rsidRDefault="00855DE0" w:rsidP="00855DE0">
      <w:pPr>
        <w:pStyle w:val="EndnoteText"/>
        <w:widowControl w:val="0"/>
        <w:tabs>
          <w:tab w:val="clear" w:pos="567"/>
        </w:tabs>
        <w:rPr>
          <w:color w:val="000000"/>
          <w:szCs w:val="22"/>
          <w:lang w:val="es-ES"/>
        </w:rPr>
      </w:pPr>
    </w:p>
    <w:p w14:paraId="251DB776" w14:textId="77777777" w:rsidR="00246612" w:rsidRPr="002D741C" w:rsidRDefault="00855DE0" w:rsidP="00855DE0">
      <w:pPr>
        <w:pStyle w:val="EndnoteText"/>
        <w:widowControl w:val="0"/>
        <w:tabs>
          <w:tab w:val="clear" w:pos="567"/>
        </w:tabs>
        <w:rPr>
          <w:color w:val="000000"/>
          <w:szCs w:val="22"/>
          <w:lang w:val="es-ES"/>
        </w:rPr>
      </w:pPr>
      <w:r w:rsidRPr="002D741C">
        <w:rPr>
          <w:color w:val="000000"/>
          <w:szCs w:val="22"/>
          <w:lang w:val="es-ES"/>
        </w:rPr>
        <w:t>Además, el tratamiento con Glivec durante trenta y seis (36) meses prolongó significativamente la supervivencia global (SG) comparado con 12 meses de tratamiento con Glivec (HR = 0,45 [0,22, 0,89], p=0,0187) (Tabla </w:t>
      </w:r>
      <w:r w:rsidR="00A6343C" w:rsidRPr="002D741C">
        <w:rPr>
          <w:color w:val="000000"/>
          <w:szCs w:val="22"/>
          <w:lang w:val="es-ES"/>
        </w:rPr>
        <w:t>8</w:t>
      </w:r>
      <w:r w:rsidRPr="002D741C">
        <w:rPr>
          <w:color w:val="000000"/>
          <w:szCs w:val="22"/>
          <w:lang w:val="es-ES"/>
        </w:rPr>
        <w:t>, Figura 2).</w:t>
      </w:r>
    </w:p>
    <w:p w14:paraId="0013DE65" w14:textId="77777777" w:rsidR="00246612" w:rsidRPr="002D741C" w:rsidRDefault="00246612" w:rsidP="00855DE0">
      <w:pPr>
        <w:pStyle w:val="EndnoteText"/>
        <w:widowControl w:val="0"/>
        <w:tabs>
          <w:tab w:val="clear" w:pos="567"/>
        </w:tabs>
        <w:rPr>
          <w:color w:val="000000"/>
          <w:szCs w:val="22"/>
          <w:lang w:val="es-ES"/>
        </w:rPr>
      </w:pPr>
    </w:p>
    <w:p w14:paraId="154788D5" w14:textId="77777777" w:rsidR="00246612" w:rsidRPr="002D741C" w:rsidRDefault="00246612" w:rsidP="00855DE0">
      <w:pPr>
        <w:pStyle w:val="EndnoteText"/>
        <w:widowControl w:val="0"/>
        <w:tabs>
          <w:tab w:val="clear" w:pos="567"/>
        </w:tabs>
        <w:rPr>
          <w:color w:val="000000"/>
          <w:szCs w:val="22"/>
          <w:lang w:val="es-ES"/>
        </w:rPr>
      </w:pPr>
      <w:r w:rsidRPr="002D741C">
        <w:rPr>
          <w:color w:val="000000"/>
          <w:szCs w:val="22"/>
          <w:lang w:val="es-ES"/>
        </w:rPr>
        <w:t>Una duración más larga del tratamiento (&gt; 36 meses) puede retrasar la aparición de más recurrencias, aunque se desconoce el impacto de este dato sobre la supervivencia global.</w:t>
      </w:r>
    </w:p>
    <w:p w14:paraId="7459196F" w14:textId="77777777" w:rsidR="00246612" w:rsidRPr="002D741C" w:rsidRDefault="00246612" w:rsidP="00855DE0">
      <w:pPr>
        <w:pStyle w:val="EndnoteText"/>
        <w:widowControl w:val="0"/>
        <w:tabs>
          <w:tab w:val="clear" w:pos="567"/>
        </w:tabs>
        <w:rPr>
          <w:color w:val="000000"/>
          <w:szCs w:val="22"/>
          <w:lang w:val="es-ES"/>
        </w:rPr>
      </w:pPr>
    </w:p>
    <w:p w14:paraId="1931BED1" w14:textId="77777777" w:rsidR="00855DE0" w:rsidRPr="002D741C" w:rsidRDefault="00855DE0" w:rsidP="00855DE0">
      <w:pPr>
        <w:pStyle w:val="EndnoteText"/>
        <w:widowControl w:val="0"/>
        <w:tabs>
          <w:tab w:val="clear" w:pos="567"/>
        </w:tabs>
        <w:rPr>
          <w:color w:val="000000"/>
          <w:szCs w:val="22"/>
          <w:lang w:val="es-ES"/>
        </w:rPr>
      </w:pPr>
      <w:r w:rsidRPr="002D741C">
        <w:rPr>
          <w:color w:val="000000"/>
          <w:szCs w:val="22"/>
          <w:lang w:val="es-ES"/>
        </w:rPr>
        <w:t>El número total de muertes fue de 25 para el brazo de 12 meses de tratamiento y de 12 para el brazo de 36 meses de tratamiento.</w:t>
      </w:r>
    </w:p>
    <w:p w14:paraId="24721332" w14:textId="77777777" w:rsidR="00246612" w:rsidRPr="002D741C" w:rsidRDefault="00246612" w:rsidP="00855DE0">
      <w:pPr>
        <w:pStyle w:val="EndnoteText"/>
        <w:widowControl w:val="0"/>
        <w:tabs>
          <w:tab w:val="clear" w:pos="567"/>
        </w:tabs>
        <w:rPr>
          <w:color w:val="000000"/>
          <w:szCs w:val="22"/>
          <w:lang w:val="es-ES"/>
        </w:rPr>
      </w:pPr>
    </w:p>
    <w:p w14:paraId="475732A4" w14:textId="77777777" w:rsidR="00246612" w:rsidRPr="002D741C" w:rsidRDefault="00246612" w:rsidP="00855DE0">
      <w:pPr>
        <w:pStyle w:val="EndnoteText"/>
        <w:widowControl w:val="0"/>
        <w:tabs>
          <w:tab w:val="clear" w:pos="567"/>
        </w:tabs>
        <w:rPr>
          <w:color w:val="000000"/>
          <w:szCs w:val="22"/>
          <w:lang w:val="es-ES"/>
        </w:rPr>
      </w:pPr>
      <w:r w:rsidRPr="002D741C">
        <w:rPr>
          <w:color w:val="000000"/>
          <w:szCs w:val="22"/>
          <w:lang w:val="es-ES"/>
        </w:rPr>
        <w:t xml:space="preserve">El tratamiento durante 36 meses con imatinib fue superior al tratamiento durante 12 meses en el análisis </w:t>
      </w:r>
      <w:smartTag w:uri="urn:schemas-microsoft-com:office:smarttags" w:element="PersonName">
        <w:r w:rsidRPr="002D741C">
          <w:rPr>
            <w:color w:val="000000"/>
            <w:szCs w:val="22"/>
            <w:lang w:val="es-ES"/>
          </w:rPr>
          <w:t>IT</w:t>
        </w:r>
      </w:smartTag>
      <w:r w:rsidRPr="002D741C">
        <w:rPr>
          <w:color w:val="000000"/>
          <w:szCs w:val="22"/>
          <w:lang w:val="es-ES"/>
        </w:rPr>
        <w:t xml:space="preserve">T, es decir incluyendo la población </w:t>
      </w:r>
      <w:r w:rsidR="00367B34" w:rsidRPr="002D741C">
        <w:rPr>
          <w:color w:val="000000"/>
          <w:szCs w:val="22"/>
          <w:lang w:val="es-ES"/>
        </w:rPr>
        <w:t xml:space="preserve">completa </w:t>
      </w:r>
      <w:r w:rsidRPr="002D741C">
        <w:rPr>
          <w:color w:val="000000"/>
          <w:szCs w:val="22"/>
          <w:lang w:val="es-ES"/>
        </w:rPr>
        <w:t xml:space="preserve">del estudio. En un análisis previsto de subgrupos por tipo de mutación, el HR para </w:t>
      </w:r>
      <w:smartTag w:uri="urn:schemas-microsoft-com:office:smarttags" w:element="PersonName">
        <w:smartTagPr>
          <w:attr w:name="ProductID" w:val="la SLR"/>
        </w:smartTagPr>
        <w:r w:rsidRPr="002D741C">
          <w:rPr>
            <w:color w:val="000000"/>
            <w:szCs w:val="22"/>
            <w:lang w:val="es-ES"/>
          </w:rPr>
          <w:t>la SLR</w:t>
        </w:r>
      </w:smartTag>
      <w:r w:rsidRPr="002D741C">
        <w:rPr>
          <w:color w:val="000000"/>
          <w:szCs w:val="22"/>
          <w:lang w:val="es-ES"/>
        </w:rPr>
        <w:t xml:space="preserve"> durante 36 meses de tratamiento para pacientes con mutaciones del exon 11 fue de 0,35 </w:t>
      </w:r>
      <w:r w:rsidR="005F6BF1" w:rsidRPr="002D741C">
        <w:rPr>
          <w:color w:val="000000"/>
          <w:szCs w:val="22"/>
          <w:lang w:val="es-ES"/>
        </w:rPr>
        <w:t>[IC 95%: 0,22, 0,56]. No se pueden extraer conclusiones para otros subgrupos de mutaciones menos frecuentes debido al bajo número de eventos observados.</w:t>
      </w:r>
    </w:p>
    <w:p w14:paraId="773E905F" w14:textId="77777777" w:rsidR="00855DE0" w:rsidRPr="002D741C" w:rsidRDefault="00855DE0" w:rsidP="00855DE0">
      <w:pPr>
        <w:pStyle w:val="EndnoteText"/>
        <w:widowControl w:val="0"/>
        <w:tabs>
          <w:tab w:val="clear" w:pos="567"/>
        </w:tabs>
        <w:rPr>
          <w:color w:val="000000"/>
          <w:szCs w:val="22"/>
          <w:lang w:val="es-ES"/>
        </w:rPr>
      </w:pPr>
    </w:p>
    <w:p w14:paraId="363581B3" w14:textId="77777777" w:rsidR="00855DE0" w:rsidRPr="002D741C" w:rsidRDefault="00855DE0" w:rsidP="00C16E58">
      <w:pPr>
        <w:pStyle w:val="EndnoteText"/>
        <w:keepNext/>
        <w:keepLines/>
        <w:widowControl w:val="0"/>
        <w:tabs>
          <w:tab w:val="clear" w:pos="567"/>
        </w:tabs>
        <w:ind w:left="1134" w:hanging="1134"/>
        <w:rPr>
          <w:b/>
          <w:color w:val="000000"/>
          <w:szCs w:val="22"/>
          <w:lang w:val="es-ES_tradnl"/>
        </w:rPr>
      </w:pPr>
      <w:r w:rsidRPr="002D741C">
        <w:rPr>
          <w:b/>
          <w:color w:val="000000"/>
          <w:szCs w:val="22"/>
          <w:lang w:val="es-ES_tradnl"/>
        </w:rPr>
        <w:lastRenderedPageBreak/>
        <w:t>Tabla </w:t>
      </w:r>
      <w:r w:rsidR="00A6343C" w:rsidRPr="002D741C">
        <w:rPr>
          <w:b/>
          <w:color w:val="000000"/>
          <w:szCs w:val="22"/>
          <w:lang w:val="es-ES_tradnl"/>
        </w:rPr>
        <w:t>8</w:t>
      </w:r>
      <w:r w:rsidRPr="002D741C">
        <w:rPr>
          <w:b/>
          <w:color w:val="000000"/>
          <w:szCs w:val="22"/>
          <w:lang w:val="es-ES_tradnl"/>
        </w:rPr>
        <w:tab/>
        <w:t>Tratamiento con Glivec durante 12 meses y durante 36 meses (Ensayo SSGXVIII/AIO)</w:t>
      </w:r>
    </w:p>
    <w:p w14:paraId="3DBD8D2A" w14:textId="77777777" w:rsidR="00855DE0" w:rsidRPr="002D741C" w:rsidRDefault="00855DE0" w:rsidP="00C16E58">
      <w:pPr>
        <w:pStyle w:val="EndnoteText"/>
        <w:keepNext/>
        <w:widowControl w:val="0"/>
        <w:tabs>
          <w:tab w:val="clear" w:pos="567"/>
        </w:tabs>
        <w:rPr>
          <w:color w:val="000000"/>
          <w:szCs w:val="22"/>
          <w:lang w:val="es-ES_tradnl"/>
        </w:rPr>
      </w:pPr>
    </w:p>
    <w:tbl>
      <w:tblPr>
        <w:tblW w:w="0" w:type="auto"/>
        <w:tblBorders>
          <w:top w:val="single" w:sz="4" w:space="0" w:color="auto"/>
          <w:bottom w:val="single" w:sz="4" w:space="0" w:color="auto"/>
        </w:tblBorders>
        <w:tblLayout w:type="fixed"/>
        <w:tblLook w:val="0000" w:firstRow="0" w:lastRow="0" w:firstColumn="0" w:lastColumn="0" w:noHBand="0" w:noVBand="0"/>
      </w:tblPr>
      <w:tblGrid>
        <w:gridCol w:w="3099"/>
        <w:gridCol w:w="3100"/>
        <w:gridCol w:w="3100"/>
      </w:tblGrid>
      <w:tr w:rsidR="00855DE0" w:rsidRPr="002D741C" w14:paraId="68EF332C" w14:textId="77777777" w:rsidTr="00C16E58">
        <w:trPr>
          <w:cantSplit/>
        </w:trPr>
        <w:tc>
          <w:tcPr>
            <w:tcW w:w="3099" w:type="dxa"/>
            <w:tcBorders>
              <w:top w:val="single" w:sz="4" w:space="0" w:color="auto"/>
              <w:bottom w:val="nil"/>
            </w:tcBorders>
            <w:shd w:val="clear" w:color="auto" w:fill="auto"/>
          </w:tcPr>
          <w:p w14:paraId="2BDD55A2" w14:textId="77777777" w:rsidR="00855DE0" w:rsidRPr="002D741C" w:rsidRDefault="00855DE0" w:rsidP="00C16E58">
            <w:pPr>
              <w:keepNext/>
              <w:tabs>
                <w:tab w:val="left" w:pos="284"/>
              </w:tabs>
              <w:rPr>
                <w:rFonts w:eastAsia="MS Mincho"/>
                <w:sz w:val="22"/>
                <w:szCs w:val="22"/>
              </w:rPr>
            </w:pPr>
          </w:p>
        </w:tc>
        <w:tc>
          <w:tcPr>
            <w:tcW w:w="3100" w:type="dxa"/>
            <w:tcBorders>
              <w:top w:val="single" w:sz="4" w:space="0" w:color="auto"/>
              <w:bottom w:val="nil"/>
            </w:tcBorders>
            <w:shd w:val="clear" w:color="auto" w:fill="auto"/>
          </w:tcPr>
          <w:p w14:paraId="652AE55E" w14:textId="77777777" w:rsidR="00855DE0" w:rsidRPr="002D741C" w:rsidRDefault="00855DE0" w:rsidP="00C16E58">
            <w:pPr>
              <w:keepNext/>
              <w:tabs>
                <w:tab w:val="left" w:pos="284"/>
              </w:tabs>
              <w:rPr>
                <w:rFonts w:eastAsia="MS Mincho"/>
                <w:b/>
                <w:sz w:val="22"/>
                <w:szCs w:val="22"/>
              </w:rPr>
            </w:pPr>
            <w:r w:rsidRPr="002D741C">
              <w:rPr>
                <w:rFonts w:eastAsia="MS Mincho"/>
                <w:b/>
                <w:sz w:val="22"/>
                <w:szCs w:val="22"/>
              </w:rPr>
              <w:t>Brazo de 12 meses de tratamiento</w:t>
            </w:r>
          </w:p>
        </w:tc>
        <w:tc>
          <w:tcPr>
            <w:tcW w:w="3100" w:type="dxa"/>
            <w:tcBorders>
              <w:top w:val="single" w:sz="4" w:space="0" w:color="auto"/>
              <w:bottom w:val="nil"/>
            </w:tcBorders>
            <w:shd w:val="clear" w:color="auto" w:fill="auto"/>
          </w:tcPr>
          <w:p w14:paraId="39AE25DC" w14:textId="77777777" w:rsidR="00855DE0" w:rsidRPr="002D741C" w:rsidRDefault="00855DE0" w:rsidP="00C16E58">
            <w:pPr>
              <w:keepNext/>
              <w:tabs>
                <w:tab w:val="left" w:pos="284"/>
              </w:tabs>
              <w:rPr>
                <w:rFonts w:eastAsia="MS Mincho"/>
                <w:b/>
                <w:sz w:val="22"/>
                <w:szCs w:val="22"/>
              </w:rPr>
            </w:pPr>
            <w:r w:rsidRPr="002D741C">
              <w:rPr>
                <w:rFonts w:eastAsia="MS Mincho"/>
                <w:b/>
                <w:sz w:val="22"/>
                <w:szCs w:val="22"/>
              </w:rPr>
              <w:t>Brazo de 36 meses de tratamiento</w:t>
            </w:r>
          </w:p>
        </w:tc>
      </w:tr>
      <w:tr w:rsidR="00855DE0" w:rsidRPr="002D741C" w14:paraId="2EB74826" w14:textId="77777777" w:rsidTr="00C16E58">
        <w:trPr>
          <w:cantSplit/>
        </w:trPr>
        <w:tc>
          <w:tcPr>
            <w:tcW w:w="3099" w:type="dxa"/>
            <w:tcBorders>
              <w:top w:val="nil"/>
            </w:tcBorders>
            <w:shd w:val="clear" w:color="auto" w:fill="auto"/>
          </w:tcPr>
          <w:p w14:paraId="3B8B1F69" w14:textId="77777777" w:rsidR="00855DE0" w:rsidRPr="002D741C" w:rsidRDefault="00855DE0" w:rsidP="00C16E58">
            <w:pPr>
              <w:keepNext/>
              <w:tabs>
                <w:tab w:val="left" w:pos="284"/>
              </w:tabs>
              <w:rPr>
                <w:rFonts w:eastAsia="MS Mincho"/>
                <w:b/>
                <w:sz w:val="22"/>
                <w:szCs w:val="22"/>
                <w:lang w:val="en-US"/>
              </w:rPr>
            </w:pPr>
            <w:r w:rsidRPr="002D741C">
              <w:rPr>
                <w:rFonts w:eastAsia="MS Mincho"/>
                <w:b/>
                <w:sz w:val="22"/>
                <w:szCs w:val="22"/>
                <w:lang w:val="en-US"/>
              </w:rPr>
              <w:t>SLR</w:t>
            </w:r>
          </w:p>
        </w:tc>
        <w:tc>
          <w:tcPr>
            <w:tcW w:w="3100" w:type="dxa"/>
            <w:tcBorders>
              <w:top w:val="nil"/>
            </w:tcBorders>
            <w:shd w:val="clear" w:color="auto" w:fill="auto"/>
          </w:tcPr>
          <w:p w14:paraId="6340E5B8" w14:textId="77777777" w:rsidR="00855DE0" w:rsidRPr="002D741C" w:rsidRDefault="00855DE0" w:rsidP="00C16E58">
            <w:pPr>
              <w:keepNext/>
              <w:tabs>
                <w:tab w:val="left" w:pos="284"/>
              </w:tabs>
              <w:rPr>
                <w:rFonts w:eastAsia="MS Mincho"/>
                <w:b/>
                <w:sz w:val="22"/>
                <w:szCs w:val="22"/>
                <w:lang w:val="en-US"/>
              </w:rPr>
            </w:pPr>
            <w:r w:rsidRPr="002D741C">
              <w:rPr>
                <w:rFonts w:eastAsia="MS Mincho"/>
                <w:b/>
                <w:sz w:val="22"/>
                <w:szCs w:val="22"/>
                <w:lang w:val="en-US"/>
              </w:rPr>
              <w:t>%(IC)</w:t>
            </w:r>
          </w:p>
        </w:tc>
        <w:tc>
          <w:tcPr>
            <w:tcW w:w="3100" w:type="dxa"/>
            <w:tcBorders>
              <w:top w:val="nil"/>
            </w:tcBorders>
            <w:shd w:val="clear" w:color="auto" w:fill="auto"/>
          </w:tcPr>
          <w:p w14:paraId="4BB9B73C" w14:textId="77777777" w:rsidR="00855DE0" w:rsidRPr="002D741C" w:rsidRDefault="00855DE0" w:rsidP="00C16E58">
            <w:pPr>
              <w:keepNext/>
              <w:tabs>
                <w:tab w:val="left" w:pos="284"/>
              </w:tabs>
              <w:rPr>
                <w:rFonts w:eastAsia="MS Mincho"/>
                <w:b/>
                <w:sz w:val="22"/>
                <w:szCs w:val="22"/>
                <w:lang w:val="en-US"/>
              </w:rPr>
            </w:pPr>
            <w:r w:rsidRPr="002D741C">
              <w:rPr>
                <w:rFonts w:eastAsia="MS Mincho"/>
                <w:b/>
                <w:sz w:val="22"/>
                <w:szCs w:val="22"/>
                <w:lang w:val="en-US"/>
              </w:rPr>
              <w:t>%(IC)</w:t>
            </w:r>
          </w:p>
        </w:tc>
      </w:tr>
      <w:tr w:rsidR="00855DE0" w:rsidRPr="002D741C" w14:paraId="5428931D" w14:textId="77777777" w:rsidTr="00C16E58">
        <w:trPr>
          <w:cantSplit/>
        </w:trPr>
        <w:tc>
          <w:tcPr>
            <w:tcW w:w="3099" w:type="dxa"/>
            <w:shd w:val="clear" w:color="auto" w:fill="auto"/>
          </w:tcPr>
          <w:p w14:paraId="48579AFE" w14:textId="77777777" w:rsidR="00855DE0" w:rsidRPr="002D741C" w:rsidRDefault="00855DE0" w:rsidP="00C16E58">
            <w:pPr>
              <w:keepNext/>
              <w:ind w:left="284"/>
              <w:rPr>
                <w:rFonts w:eastAsia="MS Mincho"/>
                <w:sz w:val="22"/>
                <w:szCs w:val="22"/>
                <w:lang w:val="en-US"/>
              </w:rPr>
            </w:pPr>
            <w:r w:rsidRPr="002D741C">
              <w:rPr>
                <w:rFonts w:eastAsia="MS Mincho"/>
                <w:sz w:val="22"/>
                <w:szCs w:val="22"/>
                <w:lang w:val="en-US"/>
              </w:rPr>
              <w:t>12</w:t>
            </w:r>
            <w:r w:rsidRPr="002D741C">
              <w:rPr>
                <w:rFonts w:eastAsia="MS Mincho"/>
                <w:sz w:val="22"/>
                <w:szCs w:val="22"/>
                <w:lang w:val="en-US" w:eastAsia="ja-JP"/>
              </w:rPr>
              <w:t> </w:t>
            </w:r>
            <w:r w:rsidRPr="002D741C">
              <w:rPr>
                <w:rFonts w:eastAsia="MS Mincho"/>
                <w:sz w:val="22"/>
                <w:szCs w:val="22"/>
                <w:lang w:val="en-US"/>
              </w:rPr>
              <w:t>meses</w:t>
            </w:r>
          </w:p>
        </w:tc>
        <w:tc>
          <w:tcPr>
            <w:tcW w:w="3100" w:type="dxa"/>
            <w:shd w:val="clear" w:color="auto" w:fill="auto"/>
          </w:tcPr>
          <w:p w14:paraId="63E1DD29" w14:textId="77777777" w:rsidR="00855DE0" w:rsidRPr="002D741C" w:rsidRDefault="00855DE0" w:rsidP="00C16E58">
            <w:pPr>
              <w:keepNext/>
              <w:tabs>
                <w:tab w:val="left" w:pos="284"/>
              </w:tabs>
              <w:rPr>
                <w:rFonts w:eastAsia="MS Mincho"/>
                <w:sz w:val="22"/>
                <w:szCs w:val="22"/>
                <w:lang w:val="en-US"/>
              </w:rPr>
            </w:pPr>
            <w:r w:rsidRPr="002D741C">
              <w:rPr>
                <w:rFonts w:eastAsia="MS Mincho"/>
                <w:sz w:val="22"/>
                <w:szCs w:val="22"/>
                <w:lang w:val="en-US"/>
              </w:rPr>
              <w:t>93,7 (89,2</w:t>
            </w:r>
            <w:r w:rsidRPr="002D741C">
              <w:rPr>
                <w:rFonts w:eastAsia="MS Mincho"/>
                <w:sz w:val="22"/>
                <w:szCs w:val="22"/>
                <w:lang w:val="en-US"/>
              </w:rPr>
              <w:noBreakHyphen/>
              <w:t>96,4)</w:t>
            </w:r>
          </w:p>
        </w:tc>
        <w:tc>
          <w:tcPr>
            <w:tcW w:w="3100" w:type="dxa"/>
            <w:shd w:val="clear" w:color="auto" w:fill="auto"/>
          </w:tcPr>
          <w:p w14:paraId="6AEE5465" w14:textId="77777777" w:rsidR="00855DE0" w:rsidRPr="002D741C" w:rsidRDefault="00855DE0" w:rsidP="00C16E58">
            <w:pPr>
              <w:keepNext/>
              <w:tabs>
                <w:tab w:val="left" w:pos="284"/>
              </w:tabs>
              <w:rPr>
                <w:rFonts w:eastAsia="MS Mincho"/>
                <w:sz w:val="22"/>
                <w:szCs w:val="22"/>
                <w:lang w:val="en-US"/>
              </w:rPr>
            </w:pPr>
            <w:r w:rsidRPr="002D741C">
              <w:rPr>
                <w:rFonts w:eastAsia="MS Mincho"/>
                <w:sz w:val="22"/>
                <w:szCs w:val="22"/>
                <w:lang w:val="en-US"/>
              </w:rPr>
              <w:t>95,9 (91,9</w:t>
            </w:r>
            <w:r w:rsidRPr="002D741C">
              <w:rPr>
                <w:rFonts w:eastAsia="MS Mincho"/>
                <w:sz w:val="22"/>
                <w:szCs w:val="22"/>
                <w:lang w:val="en-US"/>
              </w:rPr>
              <w:noBreakHyphen/>
              <w:t>97,9)</w:t>
            </w:r>
          </w:p>
        </w:tc>
      </w:tr>
      <w:tr w:rsidR="00855DE0" w:rsidRPr="002D741C" w14:paraId="2538E972" w14:textId="77777777" w:rsidTr="00C16E58">
        <w:trPr>
          <w:cantSplit/>
        </w:trPr>
        <w:tc>
          <w:tcPr>
            <w:tcW w:w="3099" w:type="dxa"/>
            <w:shd w:val="clear" w:color="auto" w:fill="auto"/>
          </w:tcPr>
          <w:p w14:paraId="33A09315" w14:textId="77777777" w:rsidR="00855DE0" w:rsidRPr="002D741C" w:rsidRDefault="00855DE0" w:rsidP="00C16E58">
            <w:pPr>
              <w:keepNext/>
              <w:ind w:left="284"/>
              <w:rPr>
                <w:rFonts w:eastAsia="MS Mincho"/>
                <w:sz w:val="22"/>
                <w:szCs w:val="22"/>
                <w:lang w:val="en-US"/>
              </w:rPr>
            </w:pPr>
            <w:r w:rsidRPr="002D741C">
              <w:rPr>
                <w:rFonts w:eastAsia="MS Mincho"/>
                <w:sz w:val="22"/>
                <w:szCs w:val="22"/>
                <w:lang w:val="en-US"/>
              </w:rPr>
              <w:t>24</w:t>
            </w:r>
            <w:r w:rsidRPr="002D741C">
              <w:rPr>
                <w:rFonts w:eastAsia="MS Mincho"/>
                <w:sz w:val="22"/>
                <w:szCs w:val="22"/>
                <w:lang w:val="en-US" w:eastAsia="ja-JP"/>
              </w:rPr>
              <w:t> </w:t>
            </w:r>
            <w:r w:rsidRPr="002D741C">
              <w:rPr>
                <w:rFonts w:eastAsia="MS Mincho"/>
                <w:sz w:val="22"/>
                <w:szCs w:val="22"/>
                <w:lang w:val="en-US"/>
              </w:rPr>
              <w:t>meses</w:t>
            </w:r>
          </w:p>
        </w:tc>
        <w:tc>
          <w:tcPr>
            <w:tcW w:w="3100" w:type="dxa"/>
            <w:shd w:val="clear" w:color="auto" w:fill="auto"/>
          </w:tcPr>
          <w:p w14:paraId="32375469" w14:textId="77777777" w:rsidR="00855DE0" w:rsidRPr="002D741C" w:rsidRDefault="00855DE0" w:rsidP="00C16E58">
            <w:pPr>
              <w:keepNext/>
              <w:tabs>
                <w:tab w:val="left" w:pos="284"/>
              </w:tabs>
              <w:rPr>
                <w:rFonts w:eastAsia="MS Mincho"/>
                <w:sz w:val="22"/>
                <w:szCs w:val="22"/>
                <w:lang w:val="en-US"/>
              </w:rPr>
            </w:pPr>
            <w:r w:rsidRPr="002D741C">
              <w:rPr>
                <w:rFonts w:eastAsia="MS Mincho"/>
                <w:sz w:val="22"/>
                <w:szCs w:val="22"/>
                <w:lang w:val="en-US"/>
              </w:rPr>
              <w:t>75,4 (68,6</w:t>
            </w:r>
            <w:r w:rsidRPr="002D741C">
              <w:rPr>
                <w:rFonts w:eastAsia="MS Mincho"/>
                <w:sz w:val="22"/>
                <w:szCs w:val="22"/>
                <w:lang w:val="en-US"/>
              </w:rPr>
              <w:noBreakHyphen/>
              <w:t>81,0)</w:t>
            </w:r>
          </w:p>
        </w:tc>
        <w:tc>
          <w:tcPr>
            <w:tcW w:w="3100" w:type="dxa"/>
            <w:shd w:val="clear" w:color="auto" w:fill="auto"/>
          </w:tcPr>
          <w:p w14:paraId="0FAE1A70" w14:textId="77777777" w:rsidR="00855DE0" w:rsidRPr="002D741C" w:rsidRDefault="00855DE0" w:rsidP="00C16E58">
            <w:pPr>
              <w:keepNext/>
              <w:tabs>
                <w:tab w:val="left" w:pos="284"/>
              </w:tabs>
              <w:rPr>
                <w:rFonts w:eastAsia="MS Mincho"/>
                <w:sz w:val="22"/>
                <w:szCs w:val="22"/>
                <w:lang w:val="en-US"/>
              </w:rPr>
            </w:pPr>
            <w:r w:rsidRPr="002D741C">
              <w:rPr>
                <w:rFonts w:eastAsia="MS Mincho"/>
                <w:sz w:val="22"/>
                <w:szCs w:val="22"/>
                <w:lang w:val="en-US"/>
              </w:rPr>
              <w:t>90,7 (85,6</w:t>
            </w:r>
            <w:r w:rsidRPr="002D741C">
              <w:rPr>
                <w:rFonts w:eastAsia="MS Mincho"/>
                <w:sz w:val="22"/>
                <w:szCs w:val="22"/>
                <w:lang w:val="en-US"/>
              </w:rPr>
              <w:noBreakHyphen/>
              <w:t>94</w:t>
            </w:r>
            <w:r w:rsidR="00367B34" w:rsidRPr="002D741C">
              <w:rPr>
                <w:rFonts w:eastAsia="MS Mincho"/>
                <w:sz w:val="22"/>
                <w:szCs w:val="22"/>
                <w:lang w:val="en-US"/>
              </w:rPr>
              <w:t>,0</w:t>
            </w:r>
            <w:r w:rsidRPr="002D741C">
              <w:rPr>
                <w:rFonts w:eastAsia="MS Mincho"/>
                <w:sz w:val="22"/>
                <w:szCs w:val="22"/>
                <w:lang w:val="en-US"/>
              </w:rPr>
              <w:t>)</w:t>
            </w:r>
          </w:p>
        </w:tc>
      </w:tr>
      <w:tr w:rsidR="00855DE0" w:rsidRPr="002D741C" w14:paraId="144CA4D1" w14:textId="77777777" w:rsidTr="00C16E58">
        <w:trPr>
          <w:cantSplit/>
        </w:trPr>
        <w:tc>
          <w:tcPr>
            <w:tcW w:w="3099" w:type="dxa"/>
            <w:shd w:val="clear" w:color="auto" w:fill="auto"/>
          </w:tcPr>
          <w:p w14:paraId="13607B15" w14:textId="77777777" w:rsidR="00855DE0" w:rsidRPr="002D741C" w:rsidRDefault="00855DE0" w:rsidP="00C16E58">
            <w:pPr>
              <w:keepNext/>
              <w:ind w:left="284"/>
              <w:rPr>
                <w:rFonts w:eastAsia="MS Mincho"/>
                <w:sz w:val="22"/>
                <w:szCs w:val="22"/>
                <w:lang w:val="en-US"/>
              </w:rPr>
            </w:pPr>
            <w:r w:rsidRPr="002D741C">
              <w:rPr>
                <w:rFonts w:eastAsia="MS Mincho"/>
                <w:sz w:val="22"/>
                <w:szCs w:val="22"/>
                <w:lang w:val="en-US"/>
              </w:rPr>
              <w:t>36</w:t>
            </w:r>
            <w:r w:rsidRPr="002D741C">
              <w:rPr>
                <w:rFonts w:eastAsia="MS Mincho"/>
                <w:sz w:val="22"/>
                <w:szCs w:val="22"/>
                <w:lang w:val="en-US" w:eastAsia="ja-JP"/>
              </w:rPr>
              <w:t> </w:t>
            </w:r>
            <w:r w:rsidRPr="002D741C">
              <w:rPr>
                <w:rFonts w:eastAsia="MS Mincho"/>
                <w:sz w:val="22"/>
                <w:szCs w:val="22"/>
                <w:lang w:val="en-US"/>
              </w:rPr>
              <w:t>meses</w:t>
            </w:r>
          </w:p>
        </w:tc>
        <w:tc>
          <w:tcPr>
            <w:tcW w:w="3100" w:type="dxa"/>
            <w:shd w:val="clear" w:color="auto" w:fill="auto"/>
          </w:tcPr>
          <w:p w14:paraId="775E7EBC" w14:textId="77777777" w:rsidR="00855DE0" w:rsidRPr="002D741C" w:rsidRDefault="00855DE0" w:rsidP="00C16E58">
            <w:pPr>
              <w:keepNext/>
              <w:tabs>
                <w:tab w:val="left" w:pos="284"/>
              </w:tabs>
              <w:rPr>
                <w:rFonts w:eastAsia="MS Mincho"/>
                <w:sz w:val="22"/>
                <w:szCs w:val="22"/>
                <w:lang w:val="en-US"/>
              </w:rPr>
            </w:pPr>
            <w:r w:rsidRPr="002D741C">
              <w:rPr>
                <w:rFonts w:eastAsia="MS Mincho"/>
                <w:sz w:val="22"/>
                <w:szCs w:val="22"/>
                <w:lang w:val="en-US"/>
              </w:rPr>
              <w:t>60,1 (52,5</w:t>
            </w:r>
            <w:r w:rsidRPr="002D741C">
              <w:rPr>
                <w:rFonts w:eastAsia="MS Mincho"/>
                <w:sz w:val="22"/>
                <w:szCs w:val="22"/>
                <w:lang w:val="en-US"/>
              </w:rPr>
              <w:noBreakHyphen/>
              <w:t>66,9)</w:t>
            </w:r>
          </w:p>
        </w:tc>
        <w:tc>
          <w:tcPr>
            <w:tcW w:w="3100" w:type="dxa"/>
            <w:shd w:val="clear" w:color="auto" w:fill="auto"/>
          </w:tcPr>
          <w:p w14:paraId="7F30F5A5" w14:textId="77777777" w:rsidR="00855DE0" w:rsidRPr="002D741C" w:rsidRDefault="00855DE0" w:rsidP="00C16E58">
            <w:pPr>
              <w:keepNext/>
              <w:tabs>
                <w:tab w:val="left" w:pos="284"/>
              </w:tabs>
              <w:rPr>
                <w:rFonts w:eastAsia="MS Mincho"/>
                <w:sz w:val="22"/>
                <w:szCs w:val="22"/>
                <w:lang w:val="en-US"/>
              </w:rPr>
            </w:pPr>
            <w:r w:rsidRPr="002D741C">
              <w:rPr>
                <w:rFonts w:eastAsia="MS Mincho"/>
                <w:sz w:val="22"/>
                <w:szCs w:val="22"/>
                <w:lang w:val="en-US"/>
              </w:rPr>
              <w:t>86,6 (80,8</w:t>
            </w:r>
            <w:r w:rsidRPr="002D741C">
              <w:rPr>
                <w:rFonts w:eastAsia="MS Mincho"/>
                <w:sz w:val="22"/>
                <w:szCs w:val="22"/>
                <w:lang w:val="en-US"/>
              </w:rPr>
              <w:noBreakHyphen/>
              <w:t>90,8)</w:t>
            </w:r>
          </w:p>
        </w:tc>
      </w:tr>
      <w:tr w:rsidR="00855DE0" w:rsidRPr="002D741C" w14:paraId="4D769725" w14:textId="77777777" w:rsidTr="00C16E58">
        <w:trPr>
          <w:cantSplit/>
        </w:trPr>
        <w:tc>
          <w:tcPr>
            <w:tcW w:w="3099" w:type="dxa"/>
            <w:shd w:val="clear" w:color="auto" w:fill="auto"/>
          </w:tcPr>
          <w:p w14:paraId="5B5BB2BA" w14:textId="77777777" w:rsidR="00855DE0" w:rsidRPr="002D741C" w:rsidRDefault="00855DE0" w:rsidP="00C16E58">
            <w:pPr>
              <w:keepNext/>
              <w:ind w:left="284"/>
              <w:rPr>
                <w:rFonts w:eastAsia="MS Mincho"/>
                <w:sz w:val="22"/>
                <w:szCs w:val="22"/>
                <w:lang w:val="en-US"/>
              </w:rPr>
            </w:pPr>
            <w:r w:rsidRPr="002D741C">
              <w:rPr>
                <w:rFonts w:eastAsia="MS Mincho"/>
                <w:sz w:val="22"/>
                <w:szCs w:val="22"/>
                <w:lang w:val="en-US"/>
              </w:rPr>
              <w:t>48</w:t>
            </w:r>
            <w:r w:rsidRPr="002D741C">
              <w:rPr>
                <w:rFonts w:eastAsia="MS Mincho"/>
                <w:sz w:val="22"/>
                <w:szCs w:val="22"/>
                <w:lang w:val="en-US" w:eastAsia="ja-JP"/>
              </w:rPr>
              <w:t> </w:t>
            </w:r>
            <w:r w:rsidRPr="002D741C">
              <w:rPr>
                <w:rFonts w:eastAsia="MS Mincho"/>
                <w:sz w:val="22"/>
                <w:szCs w:val="22"/>
                <w:lang w:val="en-US"/>
              </w:rPr>
              <w:t>meses</w:t>
            </w:r>
          </w:p>
        </w:tc>
        <w:tc>
          <w:tcPr>
            <w:tcW w:w="3100" w:type="dxa"/>
            <w:shd w:val="clear" w:color="auto" w:fill="auto"/>
          </w:tcPr>
          <w:p w14:paraId="67E46A60" w14:textId="77777777" w:rsidR="00855DE0" w:rsidRPr="002D741C" w:rsidRDefault="00855DE0" w:rsidP="00C16E58">
            <w:pPr>
              <w:keepNext/>
              <w:tabs>
                <w:tab w:val="left" w:pos="284"/>
              </w:tabs>
              <w:rPr>
                <w:rFonts w:eastAsia="MS Mincho"/>
                <w:sz w:val="22"/>
                <w:szCs w:val="22"/>
                <w:lang w:val="en-US"/>
              </w:rPr>
            </w:pPr>
            <w:r w:rsidRPr="002D741C">
              <w:rPr>
                <w:rFonts w:eastAsia="MS Mincho"/>
                <w:sz w:val="22"/>
                <w:szCs w:val="22"/>
                <w:lang w:val="en-US"/>
              </w:rPr>
              <w:t>52,3 (44,0</w:t>
            </w:r>
            <w:r w:rsidRPr="002D741C">
              <w:rPr>
                <w:rFonts w:eastAsia="MS Mincho"/>
                <w:sz w:val="22"/>
                <w:szCs w:val="22"/>
                <w:lang w:val="en-US"/>
              </w:rPr>
              <w:noBreakHyphen/>
              <w:t>59,8)</w:t>
            </w:r>
          </w:p>
        </w:tc>
        <w:tc>
          <w:tcPr>
            <w:tcW w:w="3100" w:type="dxa"/>
            <w:shd w:val="clear" w:color="auto" w:fill="auto"/>
          </w:tcPr>
          <w:p w14:paraId="40D1D8CA" w14:textId="77777777" w:rsidR="00855DE0" w:rsidRPr="002D741C" w:rsidRDefault="00855DE0" w:rsidP="00C16E58">
            <w:pPr>
              <w:keepNext/>
              <w:tabs>
                <w:tab w:val="left" w:pos="284"/>
              </w:tabs>
              <w:rPr>
                <w:rFonts w:eastAsia="MS Mincho"/>
                <w:sz w:val="22"/>
                <w:szCs w:val="22"/>
                <w:lang w:val="en-US"/>
              </w:rPr>
            </w:pPr>
            <w:r w:rsidRPr="002D741C">
              <w:rPr>
                <w:rFonts w:eastAsia="MS Mincho"/>
                <w:sz w:val="22"/>
                <w:szCs w:val="22"/>
                <w:lang w:val="en-US"/>
              </w:rPr>
              <w:t>78,3 (70,8</w:t>
            </w:r>
            <w:r w:rsidRPr="002D741C">
              <w:rPr>
                <w:rFonts w:eastAsia="MS Mincho"/>
                <w:sz w:val="22"/>
                <w:szCs w:val="22"/>
                <w:lang w:val="en-US"/>
              </w:rPr>
              <w:noBreakHyphen/>
              <w:t>84,1)</w:t>
            </w:r>
          </w:p>
        </w:tc>
      </w:tr>
      <w:tr w:rsidR="00855DE0" w:rsidRPr="002D741C" w14:paraId="69FCDBDD" w14:textId="77777777" w:rsidTr="00C16E58">
        <w:trPr>
          <w:cantSplit/>
        </w:trPr>
        <w:tc>
          <w:tcPr>
            <w:tcW w:w="3099" w:type="dxa"/>
            <w:shd w:val="clear" w:color="auto" w:fill="auto"/>
          </w:tcPr>
          <w:p w14:paraId="59915782" w14:textId="77777777" w:rsidR="00855DE0" w:rsidRPr="002D741C" w:rsidRDefault="00855DE0" w:rsidP="00C16E58">
            <w:pPr>
              <w:keepNext/>
              <w:ind w:left="284"/>
              <w:rPr>
                <w:rFonts w:eastAsia="MS Mincho"/>
                <w:sz w:val="22"/>
                <w:szCs w:val="22"/>
                <w:lang w:val="en-US"/>
              </w:rPr>
            </w:pPr>
            <w:r w:rsidRPr="002D741C">
              <w:rPr>
                <w:rFonts w:eastAsia="MS Mincho"/>
                <w:sz w:val="22"/>
                <w:szCs w:val="22"/>
                <w:lang w:val="en-US"/>
              </w:rPr>
              <w:t>60</w:t>
            </w:r>
            <w:r w:rsidRPr="002D741C">
              <w:rPr>
                <w:rFonts w:eastAsia="MS Mincho"/>
                <w:sz w:val="22"/>
                <w:szCs w:val="22"/>
                <w:lang w:val="en-US" w:eastAsia="ja-JP"/>
              </w:rPr>
              <w:t> </w:t>
            </w:r>
            <w:r w:rsidRPr="002D741C">
              <w:rPr>
                <w:rFonts w:eastAsia="MS Mincho"/>
                <w:sz w:val="22"/>
                <w:szCs w:val="22"/>
                <w:lang w:val="en-US"/>
              </w:rPr>
              <w:t>meses</w:t>
            </w:r>
          </w:p>
        </w:tc>
        <w:tc>
          <w:tcPr>
            <w:tcW w:w="3100" w:type="dxa"/>
            <w:shd w:val="clear" w:color="auto" w:fill="auto"/>
          </w:tcPr>
          <w:p w14:paraId="37D6F3BD" w14:textId="77777777" w:rsidR="00855DE0" w:rsidRPr="002D741C" w:rsidRDefault="00855DE0" w:rsidP="00C16E58">
            <w:pPr>
              <w:keepNext/>
              <w:tabs>
                <w:tab w:val="left" w:pos="284"/>
              </w:tabs>
              <w:rPr>
                <w:rFonts w:eastAsia="MS Mincho"/>
                <w:sz w:val="22"/>
                <w:szCs w:val="22"/>
                <w:lang w:val="en-US"/>
              </w:rPr>
            </w:pPr>
            <w:r w:rsidRPr="002D741C">
              <w:rPr>
                <w:rFonts w:eastAsia="MS Mincho"/>
                <w:sz w:val="22"/>
                <w:szCs w:val="22"/>
                <w:lang w:val="en-US"/>
              </w:rPr>
              <w:t>47,9 (39,0</w:t>
            </w:r>
            <w:r w:rsidRPr="002D741C">
              <w:rPr>
                <w:rFonts w:eastAsia="MS Mincho"/>
                <w:sz w:val="22"/>
                <w:szCs w:val="22"/>
                <w:lang w:val="en-US"/>
              </w:rPr>
              <w:noBreakHyphen/>
              <w:t>56,3)</w:t>
            </w:r>
          </w:p>
        </w:tc>
        <w:tc>
          <w:tcPr>
            <w:tcW w:w="3100" w:type="dxa"/>
            <w:shd w:val="clear" w:color="auto" w:fill="auto"/>
          </w:tcPr>
          <w:p w14:paraId="4C516783" w14:textId="77777777" w:rsidR="00855DE0" w:rsidRPr="002D741C" w:rsidRDefault="00855DE0" w:rsidP="00C16E58">
            <w:pPr>
              <w:keepNext/>
              <w:tabs>
                <w:tab w:val="left" w:pos="284"/>
              </w:tabs>
              <w:rPr>
                <w:rFonts w:eastAsia="MS Mincho"/>
                <w:sz w:val="22"/>
                <w:szCs w:val="22"/>
                <w:lang w:val="en-US"/>
              </w:rPr>
            </w:pPr>
            <w:r w:rsidRPr="002D741C">
              <w:rPr>
                <w:rFonts w:eastAsia="MS Mincho"/>
                <w:sz w:val="22"/>
                <w:szCs w:val="22"/>
                <w:lang w:val="en-US"/>
              </w:rPr>
              <w:t>65,6 (56,1</w:t>
            </w:r>
            <w:r w:rsidRPr="002D741C">
              <w:rPr>
                <w:rFonts w:eastAsia="MS Mincho"/>
                <w:sz w:val="22"/>
                <w:szCs w:val="22"/>
                <w:lang w:val="en-US"/>
              </w:rPr>
              <w:noBreakHyphen/>
              <w:t>73,4)</w:t>
            </w:r>
          </w:p>
        </w:tc>
      </w:tr>
      <w:tr w:rsidR="00855DE0" w:rsidRPr="002D741C" w14:paraId="16AC117A" w14:textId="77777777" w:rsidTr="00C16E58">
        <w:trPr>
          <w:cantSplit/>
        </w:trPr>
        <w:tc>
          <w:tcPr>
            <w:tcW w:w="3099" w:type="dxa"/>
            <w:shd w:val="clear" w:color="auto" w:fill="auto"/>
          </w:tcPr>
          <w:p w14:paraId="248B8DDF" w14:textId="77777777" w:rsidR="00855DE0" w:rsidRPr="002D741C" w:rsidRDefault="00855DE0" w:rsidP="00C16E58">
            <w:pPr>
              <w:keepNext/>
              <w:tabs>
                <w:tab w:val="left" w:pos="284"/>
              </w:tabs>
              <w:rPr>
                <w:rFonts w:eastAsia="MS Mincho"/>
                <w:b/>
                <w:sz w:val="22"/>
                <w:szCs w:val="22"/>
                <w:lang w:val="en-US"/>
              </w:rPr>
            </w:pPr>
            <w:r w:rsidRPr="002D741C">
              <w:rPr>
                <w:rFonts w:eastAsia="MS Mincho"/>
                <w:b/>
                <w:sz w:val="22"/>
                <w:szCs w:val="22"/>
                <w:lang w:val="en-US"/>
              </w:rPr>
              <w:t>Supervivencia</w:t>
            </w:r>
          </w:p>
        </w:tc>
        <w:tc>
          <w:tcPr>
            <w:tcW w:w="3100" w:type="dxa"/>
            <w:shd w:val="clear" w:color="auto" w:fill="auto"/>
          </w:tcPr>
          <w:p w14:paraId="18CE5CA9" w14:textId="77777777" w:rsidR="00855DE0" w:rsidRPr="002D741C" w:rsidRDefault="00855DE0" w:rsidP="00C16E58">
            <w:pPr>
              <w:keepNext/>
              <w:tabs>
                <w:tab w:val="left" w:pos="284"/>
              </w:tabs>
              <w:rPr>
                <w:rFonts w:eastAsia="MS Mincho"/>
                <w:sz w:val="22"/>
                <w:szCs w:val="22"/>
                <w:lang w:val="en-US"/>
              </w:rPr>
            </w:pPr>
          </w:p>
        </w:tc>
        <w:tc>
          <w:tcPr>
            <w:tcW w:w="3100" w:type="dxa"/>
            <w:shd w:val="clear" w:color="auto" w:fill="auto"/>
          </w:tcPr>
          <w:p w14:paraId="3FC57F29" w14:textId="77777777" w:rsidR="00855DE0" w:rsidRPr="002D741C" w:rsidRDefault="00855DE0" w:rsidP="00C16E58">
            <w:pPr>
              <w:keepNext/>
              <w:tabs>
                <w:tab w:val="left" w:pos="284"/>
              </w:tabs>
              <w:rPr>
                <w:rFonts w:eastAsia="MS Mincho"/>
                <w:sz w:val="22"/>
                <w:szCs w:val="22"/>
                <w:lang w:val="en-US"/>
              </w:rPr>
            </w:pPr>
          </w:p>
        </w:tc>
      </w:tr>
      <w:tr w:rsidR="00855DE0" w:rsidRPr="002D741C" w14:paraId="7B97EE1B" w14:textId="77777777" w:rsidTr="00C16E58">
        <w:trPr>
          <w:cantSplit/>
        </w:trPr>
        <w:tc>
          <w:tcPr>
            <w:tcW w:w="3099" w:type="dxa"/>
            <w:shd w:val="clear" w:color="auto" w:fill="auto"/>
          </w:tcPr>
          <w:p w14:paraId="62273708" w14:textId="77777777" w:rsidR="00855DE0" w:rsidRPr="002D741C" w:rsidRDefault="00855DE0" w:rsidP="00C16E58">
            <w:pPr>
              <w:keepNext/>
              <w:ind w:left="284"/>
              <w:rPr>
                <w:rFonts w:eastAsia="MS Mincho"/>
                <w:sz w:val="22"/>
                <w:szCs w:val="22"/>
                <w:lang w:val="en-US"/>
              </w:rPr>
            </w:pPr>
            <w:r w:rsidRPr="002D741C">
              <w:rPr>
                <w:rFonts w:eastAsia="MS Mincho"/>
                <w:sz w:val="22"/>
                <w:szCs w:val="22"/>
                <w:lang w:val="en-US"/>
              </w:rPr>
              <w:t>36</w:t>
            </w:r>
            <w:r w:rsidRPr="002D741C">
              <w:rPr>
                <w:rFonts w:eastAsia="MS Mincho"/>
                <w:sz w:val="22"/>
                <w:szCs w:val="22"/>
                <w:lang w:val="en-US" w:eastAsia="ja-JP"/>
              </w:rPr>
              <w:t> </w:t>
            </w:r>
            <w:r w:rsidRPr="002D741C">
              <w:rPr>
                <w:rFonts w:eastAsia="MS Mincho"/>
                <w:sz w:val="22"/>
                <w:szCs w:val="22"/>
                <w:lang w:val="en-US"/>
              </w:rPr>
              <w:t>meses</w:t>
            </w:r>
          </w:p>
        </w:tc>
        <w:tc>
          <w:tcPr>
            <w:tcW w:w="3100" w:type="dxa"/>
            <w:shd w:val="clear" w:color="auto" w:fill="auto"/>
          </w:tcPr>
          <w:p w14:paraId="15771336" w14:textId="77777777" w:rsidR="00855DE0" w:rsidRPr="002D741C" w:rsidRDefault="00855DE0" w:rsidP="00C16E58">
            <w:pPr>
              <w:keepNext/>
              <w:tabs>
                <w:tab w:val="left" w:pos="284"/>
              </w:tabs>
              <w:rPr>
                <w:rFonts w:eastAsia="MS Mincho"/>
                <w:sz w:val="22"/>
                <w:szCs w:val="22"/>
                <w:lang w:val="en-US"/>
              </w:rPr>
            </w:pPr>
            <w:r w:rsidRPr="002D741C">
              <w:rPr>
                <w:rFonts w:eastAsia="MS Mincho"/>
                <w:sz w:val="22"/>
                <w:szCs w:val="22"/>
                <w:lang w:val="en-US"/>
              </w:rPr>
              <w:t>94,0 (89,5</w:t>
            </w:r>
            <w:r w:rsidRPr="002D741C">
              <w:rPr>
                <w:rFonts w:eastAsia="MS Mincho"/>
                <w:sz w:val="22"/>
                <w:szCs w:val="22"/>
                <w:lang w:val="en-US"/>
              </w:rPr>
              <w:noBreakHyphen/>
              <w:t>96,7)</w:t>
            </w:r>
          </w:p>
        </w:tc>
        <w:tc>
          <w:tcPr>
            <w:tcW w:w="3100" w:type="dxa"/>
            <w:shd w:val="clear" w:color="auto" w:fill="auto"/>
          </w:tcPr>
          <w:p w14:paraId="1428C846" w14:textId="77777777" w:rsidR="00855DE0" w:rsidRPr="002D741C" w:rsidRDefault="00855DE0" w:rsidP="00C16E58">
            <w:pPr>
              <w:keepNext/>
              <w:tabs>
                <w:tab w:val="left" w:pos="284"/>
              </w:tabs>
              <w:rPr>
                <w:rFonts w:eastAsia="MS Mincho"/>
                <w:sz w:val="22"/>
                <w:szCs w:val="22"/>
                <w:lang w:val="en-US"/>
              </w:rPr>
            </w:pPr>
            <w:r w:rsidRPr="002D741C">
              <w:rPr>
                <w:rFonts w:eastAsia="MS Mincho"/>
                <w:sz w:val="22"/>
                <w:szCs w:val="22"/>
                <w:lang w:val="en-US"/>
              </w:rPr>
              <w:t>96,3 (92,4</w:t>
            </w:r>
            <w:r w:rsidRPr="002D741C">
              <w:rPr>
                <w:rFonts w:eastAsia="MS Mincho"/>
                <w:sz w:val="22"/>
                <w:szCs w:val="22"/>
                <w:lang w:val="en-US"/>
              </w:rPr>
              <w:noBreakHyphen/>
              <w:t>98,2)</w:t>
            </w:r>
          </w:p>
        </w:tc>
      </w:tr>
      <w:tr w:rsidR="00855DE0" w:rsidRPr="002D741C" w14:paraId="32A63B6C" w14:textId="77777777" w:rsidTr="00C16E58">
        <w:trPr>
          <w:cantSplit/>
        </w:trPr>
        <w:tc>
          <w:tcPr>
            <w:tcW w:w="3099" w:type="dxa"/>
            <w:shd w:val="clear" w:color="auto" w:fill="auto"/>
          </w:tcPr>
          <w:p w14:paraId="0E96895B" w14:textId="77777777" w:rsidR="00855DE0" w:rsidRPr="002D741C" w:rsidRDefault="00855DE0" w:rsidP="00C16E58">
            <w:pPr>
              <w:keepNext/>
              <w:ind w:left="284"/>
              <w:rPr>
                <w:rFonts w:eastAsia="MS Mincho"/>
                <w:sz w:val="22"/>
                <w:szCs w:val="22"/>
                <w:lang w:val="en-US"/>
              </w:rPr>
            </w:pPr>
            <w:r w:rsidRPr="002D741C">
              <w:rPr>
                <w:rFonts w:eastAsia="MS Mincho"/>
                <w:sz w:val="22"/>
                <w:szCs w:val="22"/>
                <w:lang w:val="en-US"/>
              </w:rPr>
              <w:t>48</w:t>
            </w:r>
            <w:r w:rsidRPr="002D741C">
              <w:rPr>
                <w:rFonts w:eastAsia="MS Mincho"/>
                <w:sz w:val="22"/>
                <w:szCs w:val="22"/>
                <w:lang w:val="en-US" w:eastAsia="ja-JP"/>
              </w:rPr>
              <w:t> </w:t>
            </w:r>
            <w:r w:rsidRPr="002D741C">
              <w:rPr>
                <w:rFonts w:eastAsia="MS Mincho"/>
                <w:sz w:val="22"/>
                <w:szCs w:val="22"/>
                <w:lang w:val="en-US"/>
              </w:rPr>
              <w:t>meses</w:t>
            </w:r>
          </w:p>
        </w:tc>
        <w:tc>
          <w:tcPr>
            <w:tcW w:w="3100" w:type="dxa"/>
            <w:shd w:val="clear" w:color="auto" w:fill="auto"/>
          </w:tcPr>
          <w:p w14:paraId="4020322A" w14:textId="77777777" w:rsidR="00855DE0" w:rsidRPr="002D741C" w:rsidRDefault="00855DE0" w:rsidP="00C16E58">
            <w:pPr>
              <w:keepNext/>
              <w:tabs>
                <w:tab w:val="left" w:pos="284"/>
              </w:tabs>
              <w:rPr>
                <w:rFonts w:eastAsia="MS Mincho"/>
                <w:sz w:val="22"/>
                <w:szCs w:val="22"/>
                <w:lang w:val="en-US"/>
              </w:rPr>
            </w:pPr>
            <w:r w:rsidRPr="002D741C">
              <w:rPr>
                <w:rFonts w:eastAsia="MS Mincho"/>
                <w:sz w:val="22"/>
                <w:szCs w:val="22"/>
                <w:lang w:val="en-US"/>
              </w:rPr>
              <w:t>87,9 (81,1</w:t>
            </w:r>
            <w:r w:rsidRPr="002D741C">
              <w:rPr>
                <w:rFonts w:eastAsia="MS Mincho"/>
                <w:sz w:val="22"/>
                <w:szCs w:val="22"/>
                <w:lang w:val="en-US"/>
              </w:rPr>
              <w:noBreakHyphen/>
              <w:t>92,3)</w:t>
            </w:r>
          </w:p>
        </w:tc>
        <w:tc>
          <w:tcPr>
            <w:tcW w:w="3100" w:type="dxa"/>
            <w:shd w:val="clear" w:color="auto" w:fill="auto"/>
          </w:tcPr>
          <w:p w14:paraId="2E314163" w14:textId="77777777" w:rsidR="00855DE0" w:rsidRPr="002D741C" w:rsidRDefault="00855DE0" w:rsidP="00C16E58">
            <w:pPr>
              <w:keepNext/>
              <w:tabs>
                <w:tab w:val="left" w:pos="284"/>
              </w:tabs>
              <w:rPr>
                <w:rFonts w:eastAsia="MS Mincho"/>
                <w:sz w:val="22"/>
                <w:szCs w:val="22"/>
                <w:lang w:val="en-US"/>
              </w:rPr>
            </w:pPr>
            <w:r w:rsidRPr="002D741C">
              <w:rPr>
                <w:rFonts w:eastAsia="MS Mincho"/>
                <w:sz w:val="22"/>
                <w:szCs w:val="22"/>
                <w:lang w:val="en-US"/>
              </w:rPr>
              <w:t>95,6 (91,2</w:t>
            </w:r>
            <w:r w:rsidRPr="002D741C">
              <w:rPr>
                <w:rFonts w:eastAsia="MS Mincho"/>
                <w:sz w:val="22"/>
                <w:szCs w:val="22"/>
                <w:lang w:val="en-US"/>
              </w:rPr>
              <w:noBreakHyphen/>
              <w:t>97,8)</w:t>
            </w:r>
          </w:p>
        </w:tc>
      </w:tr>
      <w:tr w:rsidR="00855DE0" w:rsidRPr="002D741C" w14:paraId="31FCB746" w14:textId="77777777" w:rsidTr="00C16E58">
        <w:trPr>
          <w:cantSplit/>
        </w:trPr>
        <w:tc>
          <w:tcPr>
            <w:tcW w:w="3099" w:type="dxa"/>
            <w:shd w:val="clear" w:color="auto" w:fill="auto"/>
          </w:tcPr>
          <w:p w14:paraId="2E426A83" w14:textId="77777777" w:rsidR="00855DE0" w:rsidRPr="002D741C" w:rsidRDefault="00855DE0" w:rsidP="00C16E58">
            <w:pPr>
              <w:ind w:left="284"/>
              <w:rPr>
                <w:rFonts w:eastAsia="MS Mincho"/>
                <w:sz w:val="22"/>
                <w:szCs w:val="22"/>
                <w:lang w:val="en-US"/>
              </w:rPr>
            </w:pPr>
            <w:r w:rsidRPr="002D741C">
              <w:rPr>
                <w:rFonts w:eastAsia="MS Mincho"/>
                <w:sz w:val="22"/>
                <w:szCs w:val="22"/>
                <w:lang w:val="en-US"/>
              </w:rPr>
              <w:t>60</w:t>
            </w:r>
            <w:r w:rsidRPr="002D741C">
              <w:rPr>
                <w:rFonts w:eastAsia="MS Mincho"/>
                <w:sz w:val="22"/>
                <w:szCs w:val="22"/>
                <w:lang w:val="en-US" w:eastAsia="ja-JP"/>
              </w:rPr>
              <w:t> </w:t>
            </w:r>
            <w:r w:rsidRPr="002D741C">
              <w:rPr>
                <w:rFonts w:eastAsia="MS Mincho"/>
                <w:sz w:val="22"/>
                <w:szCs w:val="22"/>
                <w:lang w:val="en-US"/>
              </w:rPr>
              <w:t>meses</w:t>
            </w:r>
          </w:p>
        </w:tc>
        <w:tc>
          <w:tcPr>
            <w:tcW w:w="3100" w:type="dxa"/>
            <w:shd w:val="clear" w:color="auto" w:fill="auto"/>
          </w:tcPr>
          <w:p w14:paraId="44FCF9FB" w14:textId="77777777" w:rsidR="00855DE0" w:rsidRPr="002D741C" w:rsidRDefault="00855DE0" w:rsidP="00C16E58">
            <w:pPr>
              <w:tabs>
                <w:tab w:val="left" w:pos="284"/>
              </w:tabs>
              <w:rPr>
                <w:rFonts w:eastAsia="MS Mincho"/>
                <w:sz w:val="22"/>
                <w:szCs w:val="22"/>
                <w:lang w:val="en-US"/>
              </w:rPr>
            </w:pPr>
            <w:r w:rsidRPr="002D741C">
              <w:rPr>
                <w:rFonts w:eastAsia="MS Mincho"/>
                <w:sz w:val="22"/>
                <w:szCs w:val="22"/>
                <w:lang w:val="en-US"/>
              </w:rPr>
              <w:t>81,7 (73,0</w:t>
            </w:r>
            <w:r w:rsidRPr="002D741C">
              <w:rPr>
                <w:rFonts w:eastAsia="MS Mincho"/>
                <w:sz w:val="22"/>
                <w:szCs w:val="22"/>
                <w:lang w:val="en-US"/>
              </w:rPr>
              <w:noBreakHyphen/>
              <w:t>87,8)</w:t>
            </w:r>
          </w:p>
        </w:tc>
        <w:tc>
          <w:tcPr>
            <w:tcW w:w="3100" w:type="dxa"/>
            <w:shd w:val="clear" w:color="auto" w:fill="auto"/>
          </w:tcPr>
          <w:p w14:paraId="380EFC95" w14:textId="77777777" w:rsidR="00855DE0" w:rsidRPr="002D741C" w:rsidRDefault="00855DE0" w:rsidP="00C16E58">
            <w:pPr>
              <w:tabs>
                <w:tab w:val="left" w:pos="284"/>
              </w:tabs>
              <w:rPr>
                <w:rFonts w:eastAsia="MS Mincho"/>
                <w:sz w:val="22"/>
                <w:szCs w:val="22"/>
                <w:lang w:val="en-US"/>
              </w:rPr>
            </w:pPr>
            <w:r w:rsidRPr="002D741C">
              <w:rPr>
                <w:rFonts w:eastAsia="MS Mincho"/>
                <w:sz w:val="22"/>
                <w:szCs w:val="22"/>
                <w:lang w:val="en-US"/>
              </w:rPr>
              <w:t>92,0 (85,3</w:t>
            </w:r>
            <w:r w:rsidRPr="002D741C">
              <w:rPr>
                <w:rFonts w:eastAsia="MS Mincho"/>
                <w:sz w:val="22"/>
                <w:szCs w:val="22"/>
                <w:lang w:val="en-US"/>
              </w:rPr>
              <w:noBreakHyphen/>
              <w:t>95,7)</w:t>
            </w:r>
          </w:p>
        </w:tc>
      </w:tr>
    </w:tbl>
    <w:p w14:paraId="470FB56C" w14:textId="77777777" w:rsidR="00855DE0" w:rsidRPr="002D741C" w:rsidRDefault="00855DE0" w:rsidP="00855DE0">
      <w:pPr>
        <w:pStyle w:val="EndnoteText"/>
        <w:widowControl w:val="0"/>
        <w:tabs>
          <w:tab w:val="clear" w:pos="567"/>
        </w:tabs>
        <w:rPr>
          <w:color w:val="000000"/>
          <w:szCs w:val="22"/>
          <w:lang w:val="es-ES_tradnl"/>
        </w:rPr>
      </w:pPr>
    </w:p>
    <w:p w14:paraId="40AFC487" w14:textId="77777777" w:rsidR="00855DE0" w:rsidRPr="002D741C" w:rsidRDefault="00855DE0" w:rsidP="00855DE0">
      <w:pPr>
        <w:pStyle w:val="EndnoteText"/>
        <w:keepNext/>
        <w:widowControl w:val="0"/>
        <w:tabs>
          <w:tab w:val="clear" w:pos="567"/>
        </w:tabs>
        <w:ind w:left="1134" w:hanging="1134"/>
        <w:rPr>
          <w:color w:val="000000"/>
          <w:szCs w:val="22"/>
          <w:lang w:val="es-ES_tradnl"/>
        </w:rPr>
      </w:pPr>
      <w:r w:rsidRPr="002D741C">
        <w:rPr>
          <w:b/>
          <w:color w:val="000000"/>
          <w:szCs w:val="22"/>
          <w:lang w:val="es-ES_tradnl"/>
        </w:rPr>
        <w:t>Figura 1</w:t>
      </w:r>
      <w:r w:rsidRPr="002D741C">
        <w:rPr>
          <w:b/>
          <w:color w:val="000000"/>
          <w:szCs w:val="22"/>
          <w:lang w:val="es-ES_tradnl"/>
        </w:rPr>
        <w:tab/>
        <w:t xml:space="preserve">Estimación de Kaplan-Meier de la variable primaria de supervivencia libre de recurrencia (problación </w:t>
      </w:r>
      <w:smartTag w:uri="urn:schemas-microsoft-com:office:smarttags" w:element="PersonName">
        <w:r w:rsidRPr="002D741C">
          <w:rPr>
            <w:b/>
            <w:color w:val="000000"/>
            <w:szCs w:val="22"/>
            <w:lang w:val="es-ES_tradnl"/>
          </w:rPr>
          <w:t>IT</w:t>
        </w:r>
      </w:smartTag>
      <w:r w:rsidRPr="002D741C">
        <w:rPr>
          <w:b/>
          <w:color w:val="000000"/>
          <w:szCs w:val="22"/>
          <w:lang w:val="es-ES_tradnl"/>
        </w:rPr>
        <w:t>T)</w:t>
      </w:r>
    </w:p>
    <w:p w14:paraId="32135625" w14:textId="77777777" w:rsidR="00855DE0" w:rsidRPr="002D741C" w:rsidRDefault="00855DE0" w:rsidP="00855DE0">
      <w:pPr>
        <w:pStyle w:val="EndnoteText"/>
        <w:keepNext/>
        <w:widowControl w:val="0"/>
        <w:tabs>
          <w:tab w:val="clear" w:pos="567"/>
        </w:tabs>
        <w:rPr>
          <w:color w:val="000000"/>
          <w:szCs w:val="22"/>
          <w:lang w:val="es-ES_tradnl"/>
        </w:rPr>
      </w:pPr>
    </w:p>
    <w:p w14:paraId="2ADCA0E2" w14:textId="77777777" w:rsidR="00855DE0" w:rsidRPr="002D741C" w:rsidRDefault="00B34E6C" w:rsidP="00855DE0">
      <w:pPr>
        <w:pStyle w:val="EndnoteText"/>
        <w:widowControl w:val="0"/>
        <w:tabs>
          <w:tab w:val="clear" w:pos="567"/>
        </w:tabs>
        <w:rPr>
          <w:color w:val="000000"/>
          <w:szCs w:val="22"/>
          <w:lang w:val="es-ES_tradnl"/>
        </w:rPr>
      </w:pPr>
      <w:r w:rsidRPr="002D741C">
        <w:rPr>
          <w:noProof/>
          <w:snapToGrid/>
          <w:lang w:eastAsia="en-GB"/>
        </w:rPr>
        <mc:AlternateContent>
          <mc:Choice Requires="wpg">
            <w:drawing>
              <wp:anchor distT="0" distB="0" distL="114300" distR="114300" simplePos="0" relativeHeight="251657216" behindDoc="0" locked="0" layoutInCell="1" allowOverlap="1" wp14:anchorId="37289EF3" wp14:editId="2C66AFE3">
                <wp:simplePos x="0" y="0"/>
                <wp:positionH relativeFrom="column">
                  <wp:posOffset>-357505</wp:posOffset>
                </wp:positionH>
                <wp:positionV relativeFrom="paragraph">
                  <wp:posOffset>99695</wp:posOffset>
                </wp:positionV>
                <wp:extent cx="5293360" cy="2868295"/>
                <wp:effectExtent l="0" t="0" r="0" b="0"/>
                <wp:wrapNone/>
                <wp:docPr id="24"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93360" cy="2868295"/>
                          <a:chOff x="855" y="6368"/>
                          <a:chExt cx="8336" cy="4517"/>
                        </a:xfrm>
                      </wpg:grpSpPr>
                      <wpg:grpSp>
                        <wpg:cNvPr id="25" name="Group 24"/>
                        <wpg:cNvGrpSpPr>
                          <a:grpSpLocks/>
                        </wpg:cNvGrpSpPr>
                        <wpg:grpSpPr bwMode="auto">
                          <a:xfrm>
                            <a:off x="855" y="6368"/>
                            <a:ext cx="8336" cy="3749"/>
                            <a:chOff x="855" y="6368"/>
                            <a:chExt cx="8336" cy="3749"/>
                          </a:xfrm>
                        </wpg:grpSpPr>
                        <wps:wsp>
                          <wps:cNvPr id="26" name="Text Box 2"/>
                          <wps:cNvSpPr txBox="1">
                            <a:spLocks noChangeArrowheads="1"/>
                          </wps:cNvSpPr>
                          <wps:spPr bwMode="auto">
                            <a:xfrm>
                              <a:off x="855" y="6368"/>
                              <a:ext cx="795" cy="328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D0F888A" w14:textId="77777777" w:rsidR="00777AB3" w:rsidRDefault="00777AB3" w:rsidP="0096481B">
                                <w:pPr>
                                  <w:jc w:val="center"/>
                                  <w:rPr>
                                    <w:rFonts w:ascii="Arial" w:hAnsi="Arial" w:cs="Arial"/>
                                  </w:rPr>
                                </w:pPr>
                                <w:r>
                                  <w:rPr>
                                    <w:rFonts w:ascii="Arial" w:hAnsi="Arial" w:cs="Arial"/>
                                  </w:rPr>
                                  <w:t>Probabilidad de supervivencia</w:t>
                                </w:r>
                              </w:p>
                              <w:p w14:paraId="37F60B8C" w14:textId="77777777" w:rsidR="00777AB3" w:rsidRPr="00A33DBA" w:rsidRDefault="00777AB3" w:rsidP="0096481B">
                                <w:pPr>
                                  <w:jc w:val="center"/>
                                  <w:rPr>
                                    <w:rFonts w:ascii="Arial" w:hAnsi="Arial" w:cs="Arial"/>
                                  </w:rPr>
                                </w:pPr>
                                <w:r>
                                  <w:rPr>
                                    <w:rFonts w:ascii="Arial" w:hAnsi="Arial" w:cs="Arial"/>
                                  </w:rPr>
                                  <w:t>libre de recurrencia</w:t>
                                </w:r>
                              </w:p>
                            </w:txbxContent>
                          </wps:txbx>
                          <wps:bodyPr rot="0" vert="vert270" wrap="square" lIns="91440" tIns="45720" rIns="91440" bIns="45720" anchor="t" anchorCtr="0" upright="1">
                            <a:noAutofit/>
                          </wps:bodyPr>
                        </wps:wsp>
                        <wps:wsp>
                          <wps:cNvPr id="27" name="Text Box 2"/>
                          <wps:cNvSpPr txBox="1">
                            <a:spLocks noChangeArrowheads="1"/>
                          </wps:cNvSpPr>
                          <wps:spPr bwMode="auto">
                            <a:xfrm>
                              <a:off x="1970" y="8168"/>
                              <a:ext cx="7221" cy="19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ook w:val="04A0" w:firstRow="1" w:lastRow="0" w:firstColumn="1" w:lastColumn="0" w:noHBand="0" w:noVBand="1"/>
                                </w:tblPr>
                                <w:tblGrid>
                                  <w:gridCol w:w="817"/>
                                  <w:gridCol w:w="2464"/>
                                  <w:gridCol w:w="229"/>
                                  <w:gridCol w:w="851"/>
                                  <w:gridCol w:w="709"/>
                                  <w:gridCol w:w="850"/>
                                </w:tblGrid>
                                <w:tr w:rsidR="00777AB3" w:rsidRPr="00CE1E85" w14:paraId="7F4F509A" w14:textId="77777777" w:rsidTr="009A178F">
                                  <w:trPr>
                                    <w:gridAfter w:val="4"/>
                                    <w:wAfter w:w="2639" w:type="dxa"/>
                                  </w:trPr>
                                  <w:tc>
                                    <w:tcPr>
                                      <w:tcW w:w="3281" w:type="dxa"/>
                                      <w:gridSpan w:val="2"/>
                                      <w:shd w:val="clear" w:color="auto" w:fill="auto"/>
                                    </w:tcPr>
                                    <w:p w14:paraId="4563BE28" w14:textId="77777777" w:rsidR="00777AB3" w:rsidRPr="0055776F" w:rsidRDefault="00777AB3" w:rsidP="009A178F">
                                      <w:pPr>
                                        <w:rPr>
                                          <w:rFonts w:ascii="Arial" w:hAnsi="Arial" w:cs="Arial"/>
                                        </w:rPr>
                                      </w:pPr>
                                      <w:r>
                                        <w:rPr>
                                          <w:rFonts w:ascii="Arial" w:hAnsi="Arial" w:cs="Arial"/>
                                        </w:rPr>
                                        <w:t>P &lt; 0,0001</w:t>
                                      </w:r>
                                    </w:p>
                                    <w:p w14:paraId="1E82DFA5" w14:textId="77777777" w:rsidR="00777AB3" w:rsidRPr="0055776F" w:rsidRDefault="00777AB3" w:rsidP="009A178F">
                                      <w:pPr>
                                        <w:rPr>
                                          <w:rFonts w:ascii="Arial" w:hAnsi="Arial" w:cs="Arial"/>
                                        </w:rPr>
                                      </w:pPr>
                                      <w:r>
                                        <w:rPr>
                                          <w:rFonts w:ascii="Arial" w:hAnsi="Arial" w:cs="Arial"/>
                                        </w:rPr>
                                        <w:t>Cociente de riesgo 0,</w:t>
                                      </w:r>
                                      <w:r w:rsidRPr="0055776F">
                                        <w:rPr>
                                          <w:rFonts w:ascii="Arial" w:hAnsi="Arial" w:cs="Arial"/>
                                        </w:rPr>
                                        <w:t>4</w:t>
                                      </w:r>
                                      <w:r>
                                        <w:rPr>
                                          <w:rFonts w:ascii="Arial" w:hAnsi="Arial" w:cs="Arial"/>
                                        </w:rPr>
                                        <w:t>6</w:t>
                                      </w:r>
                                    </w:p>
                                    <w:p w14:paraId="1DCA91FD" w14:textId="77777777" w:rsidR="00777AB3" w:rsidRPr="008D0368" w:rsidRDefault="00777AB3" w:rsidP="009A178F">
                                      <w:pPr>
                                        <w:rPr>
                                          <w:rFonts w:ascii="Arial" w:hAnsi="Arial" w:cs="Arial"/>
                                          <w:lang w:val="es-ES"/>
                                        </w:rPr>
                                      </w:pPr>
                                      <w:r>
                                        <w:rPr>
                                          <w:rFonts w:ascii="Arial" w:hAnsi="Arial" w:cs="Arial"/>
                                        </w:rPr>
                                        <w:t xml:space="preserve">(IC </w:t>
                                      </w:r>
                                      <w:r w:rsidRPr="00A33DBA">
                                        <w:rPr>
                                          <w:rFonts w:ascii="Arial" w:hAnsi="Arial" w:cs="Arial"/>
                                        </w:rPr>
                                        <w:t>95%</w:t>
                                      </w:r>
                                      <w:r>
                                        <w:rPr>
                                          <w:rFonts w:ascii="Arial" w:hAnsi="Arial" w:cs="Arial"/>
                                        </w:rPr>
                                        <w:t>, 0,3</w:t>
                                      </w:r>
                                      <w:r w:rsidRPr="0055776F">
                                        <w:rPr>
                                          <w:rFonts w:ascii="Arial" w:hAnsi="Arial" w:cs="Arial"/>
                                        </w:rPr>
                                        <w:t>2</w:t>
                                      </w:r>
                                      <w:r>
                                        <w:rPr>
                                          <w:rFonts w:ascii="Arial" w:hAnsi="Arial" w:cs="Arial"/>
                                        </w:rPr>
                                        <w:noBreakHyphen/>
                                        <w:t>0,65</w:t>
                                      </w:r>
                                      <w:r w:rsidRPr="0055776F">
                                        <w:rPr>
                                          <w:rFonts w:ascii="Arial" w:hAnsi="Arial" w:cs="Arial"/>
                                        </w:rPr>
                                        <w:t>)</w:t>
                                      </w:r>
                                    </w:p>
                                  </w:tc>
                                </w:tr>
                                <w:tr w:rsidR="00777AB3" w:rsidRPr="0055776F" w14:paraId="7ECBE019" w14:textId="77777777" w:rsidTr="0096481B">
                                  <w:tc>
                                    <w:tcPr>
                                      <w:tcW w:w="817" w:type="dxa"/>
                                      <w:shd w:val="clear" w:color="auto" w:fill="auto"/>
                                    </w:tcPr>
                                    <w:p w14:paraId="20D41EE8" w14:textId="77777777" w:rsidR="00777AB3" w:rsidRPr="0055776F" w:rsidRDefault="00777AB3" w:rsidP="004B54D7">
                                      <w:pPr>
                                        <w:rPr>
                                          <w:rFonts w:ascii="Arial" w:hAnsi="Arial" w:cs="Arial"/>
                                        </w:rPr>
                                      </w:pPr>
                                    </w:p>
                                  </w:tc>
                                  <w:tc>
                                    <w:tcPr>
                                      <w:tcW w:w="2693" w:type="dxa"/>
                                      <w:gridSpan w:val="2"/>
                                      <w:shd w:val="clear" w:color="auto" w:fill="auto"/>
                                    </w:tcPr>
                                    <w:p w14:paraId="04B2609C" w14:textId="77777777" w:rsidR="00777AB3" w:rsidRPr="0055776F" w:rsidRDefault="00777AB3" w:rsidP="004B54D7">
                                      <w:pPr>
                                        <w:rPr>
                                          <w:rFonts w:ascii="Arial" w:hAnsi="Arial" w:cs="Arial"/>
                                        </w:rPr>
                                      </w:pPr>
                                    </w:p>
                                  </w:tc>
                                  <w:tc>
                                    <w:tcPr>
                                      <w:tcW w:w="851" w:type="dxa"/>
                                      <w:tcBorders>
                                        <w:bottom w:val="single" w:sz="4" w:space="0" w:color="auto"/>
                                      </w:tcBorders>
                                      <w:shd w:val="clear" w:color="auto" w:fill="auto"/>
                                    </w:tcPr>
                                    <w:p w14:paraId="4A30E83C" w14:textId="77777777" w:rsidR="00777AB3" w:rsidRPr="0055776F" w:rsidRDefault="00777AB3" w:rsidP="004B54D7">
                                      <w:pPr>
                                        <w:rPr>
                                          <w:rFonts w:ascii="Arial" w:hAnsi="Arial" w:cs="Arial"/>
                                        </w:rPr>
                                      </w:pPr>
                                      <w:r w:rsidRPr="0055776F">
                                        <w:rPr>
                                          <w:rFonts w:ascii="Arial" w:hAnsi="Arial" w:cs="Arial"/>
                                          <w:lang w:val="de-DE"/>
                                        </w:rPr>
                                        <w:t>N</w:t>
                                      </w:r>
                                    </w:p>
                                  </w:tc>
                                  <w:tc>
                                    <w:tcPr>
                                      <w:tcW w:w="709" w:type="dxa"/>
                                      <w:tcBorders>
                                        <w:bottom w:val="single" w:sz="4" w:space="0" w:color="auto"/>
                                      </w:tcBorders>
                                      <w:shd w:val="clear" w:color="auto" w:fill="auto"/>
                                    </w:tcPr>
                                    <w:p w14:paraId="514A1C0A" w14:textId="77777777" w:rsidR="00777AB3" w:rsidRPr="0055776F" w:rsidRDefault="00777AB3" w:rsidP="004B54D7">
                                      <w:pPr>
                                        <w:rPr>
                                          <w:rFonts w:ascii="Arial" w:hAnsi="Arial" w:cs="Arial"/>
                                        </w:rPr>
                                      </w:pPr>
                                      <w:r w:rsidRPr="0055776F">
                                        <w:rPr>
                                          <w:rFonts w:ascii="Arial" w:hAnsi="Arial" w:cs="Arial"/>
                                          <w:lang w:val="de-DE"/>
                                        </w:rPr>
                                        <w:t>Evt</w:t>
                                      </w:r>
                                    </w:p>
                                  </w:tc>
                                  <w:tc>
                                    <w:tcPr>
                                      <w:tcW w:w="850" w:type="dxa"/>
                                      <w:tcBorders>
                                        <w:bottom w:val="single" w:sz="4" w:space="0" w:color="auto"/>
                                      </w:tcBorders>
                                      <w:shd w:val="clear" w:color="auto" w:fill="auto"/>
                                    </w:tcPr>
                                    <w:p w14:paraId="23228819" w14:textId="77777777" w:rsidR="00777AB3" w:rsidRPr="0055776F" w:rsidRDefault="00777AB3" w:rsidP="004B54D7">
                                      <w:pPr>
                                        <w:rPr>
                                          <w:rFonts w:ascii="Arial" w:hAnsi="Arial" w:cs="Arial"/>
                                        </w:rPr>
                                      </w:pPr>
                                      <w:r w:rsidRPr="0055776F">
                                        <w:rPr>
                                          <w:rFonts w:ascii="Arial" w:hAnsi="Arial" w:cs="Arial"/>
                                          <w:lang w:val="de-DE"/>
                                        </w:rPr>
                                        <w:t>Cen</w:t>
                                      </w:r>
                                    </w:p>
                                  </w:tc>
                                </w:tr>
                                <w:tr w:rsidR="00777AB3" w:rsidRPr="0055776F" w14:paraId="46E66BD8" w14:textId="77777777" w:rsidTr="0096481B">
                                  <w:tc>
                                    <w:tcPr>
                                      <w:tcW w:w="817" w:type="dxa"/>
                                      <w:shd w:val="clear" w:color="auto" w:fill="auto"/>
                                    </w:tcPr>
                                    <w:p w14:paraId="6E61280C" w14:textId="77777777" w:rsidR="00777AB3" w:rsidRPr="0055776F" w:rsidRDefault="00777AB3" w:rsidP="004B54D7">
                                      <w:pPr>
                                        <w:rPr>
                                          <w:rFonts w:ascii="Arial" w:hAnsi="Arial" w:cs="Arial"/>
                                        </w:rPr>
                                      </w:pPr>
                                      <w:r w:rsidRPr="0055776F">
                                        <w:rPr>
                                          <w:rFonts w:ascii="Arial" w:hAnsi="Arial" w:cs="Arial"/>
                                          <w:b/>
                                        </w:rPr>
                                        <w:t>——</w:t>
                                      </w:r>
                                    </w:p>
                                  </w:tc>
                                  <w:tc>
                                    <w:tcPr>
                                      <w:tcW w:w="2693" w:type="dxa"/>
                                      <w:gridSpan w:val="2"/>
                                      <w:shd w:val="clear" w:color="auto" w:fill="auto"/>
                                    </w:tcPr>
                                    <w:p w14:paraId="204A5610" w14:textId="77777777" w:rsidR="00777AB3" w:rsidRPr="0055776F" w:rsidRDefault="00777AB3" w:rsidP="004B54D7">
                                      <w:pPr>
                                        <w:rPr>
                                          <w:rFonts w:ascii="Arial" w:hAnsi="Arial" w:cs="Arial"/>
                                        </w:rPr>
                                      </w:pPr>
                                      <w:r w:rsidRPr="0055776F">
                                        <w:rPr>
                                          <w:rFonts w:ascii="Arial" w:hAnsi="Arial" w:cs="Arial"/>
                                        </w:rPr>
                                        <w:t xml:space="preserve">(1) </w:t>
                                      </w:r>
                                      <w:r>
                                        <w:rPr>
                                          <w:rFonts w:ascii="Arial" w:hAnsi="Arial" w:cs="Arial"/>
                                        </w:rPr>
                                        <w:t>Imatinib 12 </w:t>
                                      </w:r>
                                      <w:r w:rsidRPr="00A33DBA">
                                        <w:rPr>
                                          <w:rFonts w:ascii="Arial" w:hAnsi="Arial" w:cs="Arial"/>
                                        </w:rPr>
                                        <w:t>M</w:t>
                                      </w:r>
                                      <w:r>
                                        <w:rPr>
                                          <w:rFonts w:ascii="Arial" w:hAnsi="Arial" w:cs="Arial"/>
                                        </w:rPr>
                                        <w:t>E</w:t>
                                      </w:r>
                                      <w:r w:rsidRPr="0055776F">
                                        <w:rPr>
                                          <w:rFonts w:ascii="Arial" w:hAnsi="Arial" w:cs="Arial"/>
                                        </w:rPr>
                                        <w:t>:</w:t>
                                      </w:r>
                                    </w:p>
                                  </w:tc>
                                  <w:tc>
                                    <w:tcPr>
                                      <w:tcW w:w="851" w:type="dxa"/>
                                      <w:tcBorders>
                                        <w:top w:val="single" w:sz="4" w:space="0" w:color="auto"/>
                                      </w:tcBorders>
                                      <w:shd w:val="clear" w:color="auto" w:fill="auto"/>
                                    </w:tcPr>
                                    <w:p w14:paraId="5ED46779" w14:textId="77777777" w:rsidR="00777AB3" w:rsidRPr="0055776F" w:rsidRDefault="00777AB3" w:rsidP="004B54D7">
                                      <w:pPr>
                                        <w:rPr>
                                          <w:rFonts w:ascii="Arial" w:hAnsi="Arial" w:cs="Arial"/>
                                        </w:rPr>
                                      </w:pPr>
                                      <w:r w:rsidRPr="0055776F">
                                        <w:rPr>
                                          <w:rFonts w:ascii="Arial" w:hAnsi="Arial" w:cs="Arial"/>
                                        </w:rPr>
                                        <w:t>199</w:t>
                                      </w:r>
                                    </w:p>
                                  </w:tc>
                                  <w:tc>
                                    <w:tcPr>
                                      <w:tcW w:w="709" w:type="dxa"/>
                                      <w:tcBorders>
                                        <w:top w:val="single" w:sz="4" w:space="0" w:color="auto"/>
                                      </w:tcBorders>
                                      <w:shd w:val="clear" w:color="auto" w:fill="auto"/>
                                    </w:tcPr>
                                    <w:p w14:paraId="159267A0" w14:textId="77777777" w:rsidR="00777AB3" w:rsidRPr="0055776F" w:rsidRDefault="00777AB3" w:rsidP="004B54D7">
                                      <w:pPr>
                                        <w:rPr>
                                          <w:rFonts w:ascii="Arial" w:hAnsi="Arial" w:cs="Arial"/>
                                        </w:rPr>
                                      </w:pPr>
                                      <w:r w:rsidRPr="0055776F">
                                        <w:rPr>
                                          <w:rFonts w:ascii="Arial" w:hAnsi="Arial" w:cs="Arial"/>
                                        </w:rPr>
                                        <w:t>84</w:t>
                                      </w:r>
                                    </w:p>
                                  </w:tc>
                                  <w:tc>
                                    <w:tcPr>
                                      <w:tcW w:w="850" w:type="dxa"/>
                                      <w:tcBorders>
                                        <w:top w:val="single" w:sz="4" w:space="0" w:color="auto"/>
                                      </w:tcBorders>
                                      <w:shd w:val="clear" w:color="auto" w:fill="auto"/>
                                    </w:tcPr>
                                    <w:p w14:paraId="2C9E105C" w14:textId="77777777" w:rsidR="00777AB3" w:rsidRPr="0055776F" w:rsidRDefault="00777AB3" w:rsidP="004B54D7">
                                      <w:pPr>
                                        <w:rPr>
                                          <w:rFonts w:ascii="Arial" w:hAnsi="Arial" w:cs="Arial"/>
                                        </w:rPr>
                                      </w:pPr>
                                      <w:r w:rsidRPr="0055776F">
                                        <w:rPr>
                                          <w:rFonts w:ascii="Arial" w:hAnsi="Arial" w:cs="Arial"/>
                                        </w:rPr>
                                        <w:t>115</w:t>
                                      </w:r>
                                    </w:p>
                                  </w:tc>
                                </w:tr>
                                <w:tr w:rsidR="00777AB3" w:rsidRPr="0055776F" w14:paraId="02C36A94" w14:textId="77777777" w:rsidTr="0096481B">
                                  <w:tc>
                                    <w:tcPr>
                                      <w:tcW w:w="817" w:type="dxa"/>
                                      <w:shd w:val="clear" w:color="auto" w:fill="auto"/>
                                    </w:tcPr>
                                    <w:p w14:paraId="10C40FD1" w14:textId="77777777" w:rsidR="00777AB3" w:rsidRPr="0055776F" w:rsidRDefault="00777AB3" w:rsidP="004B54D7">
                                      <w:pPr>
                                        <w:rPr>
                                          <w:rFonts w:ascii="Arial" w:hAnsi="Arial" w:cs="Arial"/>
                                        </w:rPr>
                                      </w:pPr>
                                      <w:r w:rsidRPr="0055776F">
                                        <w:rPr>
                                          <w:rFonts w:ascii="Arial" w:hAnsi="Arial" w:cs="Arial"/>
                                        </w:rPr>
                                        <w:t>-----</w:t>
                                      </w:r>
                                    </w:p>
                                  </w:tc>
                                  <w:tc>
                                    <w:tcPr>
                                      <w:tcW w:w="2693" w:type="dxa"/>
                                      <w:gridSpan w:val="2"/>
                                      <w:shd w:val="clear" w:color="auto" w:fill="auto"/>
                                    </w:tcPr>
                                    <w:p w14:paraId="4C9F904E" w14:textId="77777777" w:rsidR="00777AB3" w:rsidRPr="0055776F" w:rsidRDefault="00777AB3" w:rsidP="004B54D7">
                                      <w:pPr>
                                        <w:rPr>
                                          <w:rFonts w:ascii="Arial" w:hAnsi="Arial" w:cs="Arial"/>
                                        </w:rPr>
                                      </w:pPr>
                                      <w:r>
                                        <w:rPr>
                                          <w:rFonts w:ascii="Arial" w:hAnsi="Arial" w:cs="Arial"/>
                                        </w:rPr>
                                        <w:t>(2) Imatinib 36 </w:t>
                                      </w:r>
                                      <w:r w:rsidRPr="00A33DBA">
                                        <w:rPr>
                                          <w:rFonts w:ascii="Arial" w:hAnsi="Arial" w:cs="Arial"/>
                                        </w:rPr>
                                        <w:t>M</w:t>
                                      </w:r>
                                      <w:r>
                                        <w:rPr>
                                          <w:rFonts w:ascii="Arial" w:hAnsi="Arial" w:cs="Arial"/>
                                        </w:rPr>
                                        <w:t>E</w:t>
                                      </w:r>
                                      <w:r w:rsidRPr="0055776F">
                                        <w:rPr>
                                          <w:rFonts w:ascii="Arial" w:hAnsi="Arial" w:cs="Arial"/>
                                        </w:rPr>
                                        <w:t>:</w:t>
                                      </w:r>
                                    </w:p>
                                  </w:tc>
                                  <w:tc>
                                    <w:tcPr>
                                      <w:tcW w:w="851" w:type="dxa"/>
                                      <w:tcBorders>
                                        <w:bottom w:val="single" w:sz="4" w:space="0" w:color="auto"/>
                                      </w:tcBorders>
                                      <w:shd w:val="clear" w:color="auto" w:fill="auto"/>
                                    </w:tcPr>
                                    <w:p w14:paraId="206FCFD6" w14:textId="77777777" w:rsidR="00777AB3" w:rsidRPr="0055776F" w:rsidRDefault="00777AB3" w:rsidP="004B54D7">
                                      <w:pPr>
                                        <w:rPr>
                                          <w:rFonts w:ascii="Arial" w:hAnsi="Arial" w:cs="Arial"/>
                                        </w:rPr>
                                      </w:pPr>
                                      <w:r w:rsidRPr="0055776F">
                                        <w:rPr>
                                          <w:rFonts w:ascii="Arial" w:hAnsi="Arial" w:cs="Arial"/>
                                        </w:rPr>
                                        <w:t>198</w:t>
                                      </w:r>
                                    </w:p>
                                  </w:tc>
                                  <w:tc>
                                    <w:tcPr>
                                      <w:tcW w:w="709" w:type="dxa"/>
                                      <w:tcBorders>
                                        <w:bottom w:val="single" w:sz="4" w:space="0" w:color="auto"/>
                                      </w:tcBorders>
                                      <w:shd w:val="clear" w:color="auto" w:fill="auto"/>
                                    </w:tcPr>
                                    <w:p w14:paraId="7C8513DD" w14:textId="77777777" w:rsidR="00777AB3" w:rsidRPr="0055776F" w:rsidRDefault="00777AB3" w:rsidP="004B54D7">
                                      <w:pPr>
                                        <w:rPr>
                                          <w:rFonts w:ascii="Arial" w:hAnsi="Arial" w:cs="Arial"/>
                                        </w:rPr>
                                      </w:pPr>
                                      <w:r w:rsidRPr="0055776F">
                                        <w:rPr>
                                          <w:rFonts w:ascii="Arial" w:hAnsi="Arial" w:cs="Arial"/>
                                        </w:rPr>
                                        <w:t>50</w:t>
                                      </w:r>
                                    </w:p>
                                  </w:tc>
                                  <w:tc>
                                    <w:tcPr>
                                      <w:tcW w:w="850" w:type="dxa"/>
                                      <w:tcBorders>
                                        <w:bottom w:val="single" w:sz="4" w:space="0" w:color="auto"/>
                                      </w:tcBorders>
                                      <w:shd w:val="clear" w:color="auto" w:fill="auto"/>
                                    </w:tcPr>
                                    <w:p w14:paraId="1857FE4C" w14:textId="77777777" w:rsidR="00777AB3" w:rsidRPr="0055776F" w:rsidRDefault="00777AB3" w:rsidP="004B54D7">
                                      <w:pPr>
                                        <w:rPr>
                                          <w:rFonts w:ascii="Arial" w:hAnsi="Arial" w:cs="Arial"/>
                                        </w:rPr>
                                      </w:pPr>
                                      <w:r w:rsidRPr="0055776F">
                                        <w:rPr>
                                          <w:rFonts w:ascii="Arial" w:hAnsi="Arial" w:cs="Arial"/>
                                        </w:rPr>
                                        <w:t>148</w:t>
                                      </w:r>
                                    </w:p>
                                  </w:tc>
                                </w:tr>
                                <w:tr w:rsidR="00777AB3" w:rsidRPr="0055776F" w14:paraId="10124973" w14:textId="77777777" w:rsidTr="0096481B">
                                  <w:tc>
                                    <w:tcPr>
                                      <w:tcW w:w="817" w:type="dxa"/>
                                      <w:shd w:val="clear" w:color="auto" w:fill="auto"/>
                                    </w:tcPr>
                                    <w:p w14:paraId="1DDC4F63" w14:textId="77777777" w:rsidR="00777AB3" w:rsidRPr="0055776F" w:rsidRDefault="00777AB3" w:rsidP="004B54D7">
                                      <w:pPr>
                                        <w:rPr>
                                          <w:rFonts w:ascii="Arial" w:hAnsi="Arial" w:cs="Arial"/>
                                        </w:rPr>
                                      </w:pPr>
                                      <w:r w:rsidRPr="0055776F">
                                        <w:rPr>
                                          <w:rFonts w:ascii="Arial" w:hAnsi="Arial" w:cs="Arial"/>
                                        </w:rPr>
                                        <w:t>│││</w:t>
                                      </w:r>
                                    </w:p>
                                  </w:tc>
                                  <w:tc>
                                    <w:tcPr>
                                      <w:tcW w:w="2693" w:type="dxa"/>
                                      <w:gridSpan w:val="2"/>
                                      <w:shd w:val="clear" w:color="auto" w:fill="auto"/>
                                    </w:tcPr>
                                    <w:p w14:paraId="27DE5579" w14:textId="77777777" w:rsidR="00777AB3" w:rsidRPr="0055776F" w:rsidRDefault="00777AB3" w:rsidP="004B54D7">
                                      <w:pPr>
                                        <w:rPr>
                                          <w:rFonts w:ascii="Arial" w:hAnsi="Arial" w:cs="Arial"/>
                                        </w:rPr>
                                      </w:pPr>
                                      <w:r>
                                        <w:rPr>
                                          <w:rFonts w:ascii="Arial" w:hAnsi="Arial" w:cs="Arial"/>
                                        </w:rPr>
                                        <w:t>Observaciones censuradas</w:t>
                                      </w:r>
                                    </w:p>
                                  </w:tc>
                                  <w:tc>
                                    <w:tcPr>
                                      <w:tcW w:w="851" w:type="dxa"/>
                                      <w:tcBorders>
                                        <w:top w:val="single" w:sz="4" w:space="0" w:color="auto"/>
                                      </w:tcBorders>
                                      <w:shd w:val="clear" w:color="auto" w:fill="auto"/>
                                    </w:tcPr>
                                    <w:p w14:paraId="1781B889" w14:textId="77777777" w:rsidR="00777AB3" w:rsidRPr="0055776F" w:rsidRDefault="00777AB3" w:rsidP="004B54D7">
                                      <w:pPr>
                                        <w:rPr>
                                          <w:rFonts w:ascii="Arial" w:hAnsi="Arial" w:cs="Arial"/>
                                        </w:rPr>
                                      </w:pPr>
                                    </w:p>
                                  </w:tc>
                                  <w:tc>
                                    <w:tcPr>
                                      <w:tcW w:w="709" w:type="dxa"/>
                                      <w:tcBorders>
                                        <w:top w:val="single" w:sz="4" w:space="0" w:color="auto"/>
                                      </w:tcBorders>
                                      <w:shd w:val="clear" w:color="auto" w:fill="auto"/>
                                    </w:tcPr>
                                    <w:p w14:paraId="66910E5F" w14:textId="77777777" w:rsidR="00777AB3" w:rsidRPr="0055776F" w:rsidRDefault="00777AB3" w:rsidP="004B54D7">
                                      <w:pPr>
                                        <w:rPr>
                                          <w:rFonts w:ascii="Arial" w:hAnsi="Arial" w:cs="Arial"/>
                                        </w:rPr>
                                      </w:pPr>
                                    </w:p>
                                  </w:tc>
                                  <w:tc>
                                    <w:tcPr>
                                      <w:tcW w:w="850" w:type="dxa"/>
                                      <w:tcBorders>
                                        <w:top w:val="single" w:sz="4" w:space="0" w:color="auto"/>
                                      </w:tcBorders>
                                      <w:shd w:val="clear" w:color="auto" w:fill="auto"/>
                                    </w:tcPr>
                                    <w:p w14:paraId="65E151F6" w14:textId="77777777" w:rsidR="00777AB3" w:rsidRPr="0055776F" w:rsidRDefault="00777AB3" w:rsidP="004B54D7">
                                      <w:pPr>
                                        <w:rPr>
                                          <w:rFonts w:ascii="Arial" w:hAnsi="Arial" w:cs="Arial"/>
                                        </w:rPr>
                                      </w:pPr>
                                    </w:p>
                                  </w:tc>
                                </w:tr>
                              </w:tbl>
                              <w:p w14:paraId="289876A7" w14:textId="77777777" w:rsidR="00777AB3" w:rsidRPr="00A33DBA" w:rsidRDefault="00777AB3" w:rsidP="00855DE0">
                                <w:pPr>
                                  <w:rPr>
                                    <w:rFonts w:ascii="Arial" w:hAnsi="Arial" w:cs="Arial"/>
                                  </w:rPr>
                                </w:pPr>
                              </w:p>
                            </w:txbxContent>
                          </wps:txbx>
                          <wps:bodyPr rot="0" vert="horz" wrap="square" lIns="91440" tIns="45720" rIns="91440" bIns="45720" anchor="t" anchorCtr="0" upright="1">
                            <a:noAutofit/>
                          </wps:bodyPr>
                        </wps:wsp>
                      </wpg:grpSp>
                      <wps:wsp>
                        <wps:cNvPr id="28" name="Text Box 2"/>
                        <wps:cNvSpPr txBox="1">
                          <a:spLocks noChangeArrowheads="1"/>
                        </wps:cNvSpPr>
                        <wps:spPr bwMode="auto">
                          <a:xfrm>
                            <a:off x="3810" y="10539"/>
                            <a:ext cx="3628" cy="346"/>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3174F70" w14:textId="77777777" w:rsidR="00777AB3" w:rsidRPr="00A33DBA" w:rsidRDefault="00777AB3" w:rsidP="00855DE0">
                              <w:pPr>
                                <w:rPr>
                                  <w:rFonts w:ascii="Arial" w:hAnsi="Arial" w:cs="Arial"/>
                                </w:rPr>
                              </w:pPr>
                              <w:r>
                                <w:rPr>
                                  <w:rFonts w:ascii="Arial" w:hAnsi="Arial" w:cs="Arial"/>
                                  <w:lang w:val="de-DE"/>
                                </w:rPr>
                                <w:t>Tiempo de supervivencia en meses</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7289EF3" id="Group 25" o:spid="_x0000_s1026" style="position:absolute;margin-left:-28.15pt;margin-top:7.85pt;width:416.8pt;height:225.85pt;z-index:251657216" coordorigin="855,6368" coordsize="8336,45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6fKXHAMAAEQLAAAOAAAAZHJzL2Uyb0RvYy54bWzUVu1u2yAU/T9p74D4vzr+SOJYdaquXatJ&#10;+6jU7gEIxh+aDQxI7e7pd4E4adNV2zp1yvwDGS5c7j33cOD4ZOhadMuUbgTPcXg0wYhxKoqGVzn+&#10;cnPxJsVIG8IL0grOcnzHND5Zvn513MuMRaIWbcEUAidcZ73McW2MzIJA05p1RB8JyTgYS6E6YqCr&#10;qqBQpAfvXRtEk8ks6IUqpBKUaQ2j596Il85/WTJqPpelZga1OYbYjGuVa1e2DZbHJKsUkXVDN2GQ&#10;Z0TRkYbDpltX58QQtFbNI1ddQ5XQojRHVHSBKMuGMpcDZBNO9rK5VGItXS5V1ldyCxNAu4fTs93S&#10;T7dXCjVFjqMEI046qJHbFkVTC04vqwzmXCp5La+UzxB+Pwj6VYM52LfbfuUno1X/URTgj6yNcOAM&#10;peqsC0gbDa4Gd9sasMEgCoPTaBHHMygVBVuUztJo4QIhGa2hlHZdOp1iBNZZPEt9AWn9brM8hcV+&#10;bTIN59YakMzv62LdxOYTc51tjiMO4PwBDslL4/A4nxGMXTbxPFmMuf4RDOPCJ2GAc6d31NJ/R63r&#10;mkjmGKstbUZIoSQe0hub2VsxoMiD6mZZZiEzwDAoiCOK9gRDXJzVhFfsVCnR14wUEF7oitrL7VJb&#10;QJ1p6+RXjHsa6TmwzFEujlLHty1eJJNKm0smOmR/cqxAVFyU5PaDNp5h4xTLbi3aprho2tZ1VLU6&#10;axW6JSBAF+7za1tZEz/qRAi2036qY+wDHy23nriwPv12dgTo7LP2+ZthNYDRDq5EcQdgKOHVDtQZ&#10;fmwbzeFc9SB2Odbf1kQxjNr3HDBdhEli1dF1kuk8go66b1ndtxBOawEaajDyv2fGK+paqqaqYTNf&#10;RS5O4eSXjcNoF9gmdGCdD/fl6Tc/EPqFC1sAUK40HJVrPOnzKAo9AcOFP+nPJ+CWKST7beq4K8Ad&#10;rV2h9hgENf9+YPTZSfq/ohI8Zw5CyeI09FQKJ9N4czOMXIpnEYRp7884mTm1HK/A/0jL/JtkvCV+&#10;KmmHSkh4qjkR3zwr7Vvwft/p3+7xu/wBAAD//wMAUEsDBBQABgAIAAAAIQAKPvti4QAAAAoBAAAP&#10;AAAAZHJzL2Rvd25yZXYueG1sTI/BasMwDIbvg72D0WC31snaxCWNU0rZdiqDtYOxmxurSWhsh9hN&#10;0refdlqP0v/x61O+mUzLBux946yEeB4BQ1s63dhKwtfxbbYC5oOyWrXOooQbetgUjw+5yrQb7ScO&#10;h1AxKrE+UxLqELqMc1/WaJSfuw4tZWfXGxVo7CuuezVSuWn5SxSl3KjG0oVadbirsbwcrkbC+6jG&#10;7SJ+HfaX8+72c0w+vvcxSvn8NG3XwAJO4R+GP31Sh4KcTu5qtWethFmSLgilIBHACBBC0OIkYZmK&#10;JfAi5/cvFL8AAAD//wMAUEsBAi0AFAAGAAgAAAAhALaDOJL+AAAA4QEAABMAAAAAAAAAAAAAAAAA&#10;AAAAAFtDb250ZW50X1R5cGVzXS54bWxQSwECLQAUAAYACAAAACEAOP0h/9YAAACUAQAACwAAAAAA&#10;AAAAAAAAAAAvAQAAX3JlbHMvLnJlbHNQSwECLQAUAAYACAAAACEANOnylxwDAABECwAADgAAAAAA&#10;AAAAAAAAAAAuAgAAZHJzL2Uyb0RvYy54bWxQSwECLQAUAAYACAAAACEACj77YuEAAAAKAQAADwAA&#10;AAAAAAAAAAAAAAB2BQAAZHJzL2Rvd25yZXYueG1sUEsFBgAAAAAEAAQA8wAAAIQGAAAAAA==&#10;">
                <v:group id="Group 24" o:spid="_x0000_s1027" style="position:absolute;left:855;top:6368;width:8336;height:3749" coordorigin="855,6368" coordsize="8336,37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shapetype id="_x0000_t202" coordsize="21600,21600" o:spt="202" path="m,l,21600r21600,l21600,xe">
                    <v:stroke joinstyle="miter"/>
                    <v:path gradientshapeok="t" o:connecttype="rect"/>
                  </v:shapetype>
                  <v:shape id="Text Box 2" o:spid="_x0000_s1028" type="#_x0000_t202" style="position:absolute;left:855;top:6368;width:795;height:32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gUD3xAAAANsAAAAPAAAAZHJzL2Rvd25yZXYueG1sRI9fa8JA&#10;EMTfC36HY4W+1UstaIieUgRBKBT806JvS25Ngrm9kFs1+um9QsHHYWZ+w0znnavVhdpQeTbwPkhA&#10;EefeVlwY2G2XbymoIMgWa89k4EYB5rPeyxQz66+8pstGChUhHDI0UIo0mdYhL8lhGPiGOHpH3zqU&#10;KNtC2xavEe5qPUySkXZYcVwosaFFSflpc3YGDr/3lH5Ef+NKPsZL2oWv4z415rXffU5ACXXyDP+3&#10;V9bAcAR/X+IP0LMHAAAA//8DAFBLAQItABQABgAIAAAAIQDb4fbL7gAAAIUBAAATAAAAAAAAAAAA&#10;AAAAAAAAAABbQ29udGVudF9UeXBlc10ueG1sUEsBAi0AFAAGAAgAAAAhAFr0LFu/AAAAFQEAAAsA&#10;AAAAAAAAAAAAAAAAHwEAAF9yZWxzLy5yZWxzUEsBAi0AFAAGAAgAAAAhAPmBQPfEAAAA2wAAAA8A&#10;AAAAAAAAAAAAAAAABwIAAGRycy9kb3ducmV2LnhtbFBLBQYAAAAAAwADALcAAAD4AgAAAAA=&#10;" stroked="f">
                    <v:fill opacity="0"/>
                    <v:textbox style="layout-flow:vertical;mso-layout-flow-alt:bottom-to-top">
                      <w:txbxContent>
                        <w:p w14:paraId="5D0F888A" w14:textId="77777777" w:rsidR="00777AB3" w:rsidRDefault="00777AB3" w:rsidP="0096481B">
                          <w:pPr>
                            <w:jc w:val="center"/>
                            <w:rPr>
                              <w:rFonts w:ascii="Arial" w:hAnsi="Arial" w:cs="Arial"/>
                            </w:rPr>
                          </w:pPr>
                          <w:r>
                            <w:rPr>
                              <w:rFonts w:ascii="Arial" w:hAnsi="Arial" w:cs="Arial"/>
                            </w:rPr>
                            <w:t>Probabilidad de supervivencia</w:t>
                          </w:r>
                        </w:p>
                        <w:p w14:paraId="37F60B8C" w14:textId="77777777" w:rsidR="00777AB3" w:rsidRPr="00A33DBA" w:rsidRDefault="00777AB3" w:rsidP="0096481B">
                          <w:pPr>
                            <w:jc w:val="center"/>
                            <w:rPr>
                              <w:rFonts w:ascii="Arial" w:hAnsi="Arial" w:cs="Arial"/>
                            </w:rPr>
                          </w:pPr>
                          <w:r>
                            <w:rPr>
                              <w:rFonts w:ascii="Arial" w:hAnsi="Arial" w:cs="Arial"/>
                            </w:rPr>
                            <w:t>libre de recurrencia</w:t>
                          </w:r>
                        </w:p>
                      </w:txbxContent>
                    </v:textbox>
                  </v:shape>
                  <v:shape id="Text Box 2" o:spid="_x0000_s1029" type="#_x0000_t202" style="position:absolute;left:1970;top:8168;width:7221;height:19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YcwxAAAANsAAAAPAAAAZHJzL2Rvd25yZXYueG1sRI9Ba8JA&#10;FITvBf/D8gRvuqvYVtNsRJRCTy2mKnh7ZJ9JaPZtyG5N+u+7BaHHYWa+YdLNYBtxo87XjjXMZwoE&#10;ceFMzaWG4+frdAXCB2SDjWPS8EMeNtnoIcXEuJ4PdMtDKSKEfYIaqhDaREpfVGTRz1xLHL2r6yyG&#10;KLtSmg77CLeNXCj1JC3WHBcqbGlXUfGVf1sNp/fr5bxUH+XePra9G5Rku5ZaT8bD9gVEoCH8h+/t&#10;N6Nh8Qx/X+IPkNkvAAAA//8DAFBLAQItABQABgAIAAAAIQDb4fbL7gAAAIUBAAATAAAAAAAAAAAA&#10;AAAAAAAAAABbQ29udGVudF9UeXBlc10ueG1sUEsBAi0AFAAGAAgAAAAhAFr0LFu/AAAAFQEAAAsA&#10;AAAAAAAAAAAAAAAAHwEAAF9yZWxzLy5yZWxzUEsBAi0AFAAGAAgAAAAhAB0FhzDEAAAA2wAAAA8A&#10;AAAAAAAAAAAAAAAABwIAAGRycy9kb3ducmV2LnhtbFBLBQYAAAAAAwADALcAAAD4AgAAAAA=&#10;" filled="f" stroked="f">
                    <v:textbox>
                      <w:txbxContent>
                        <w:tbl>
                          <w:tblPr>
                            <w:tblW w:w="0" w:type="auto"/>
                            <w:tblLook w:val="04A0" w:firstRow="1" w:lastRow="0" w:firstColumn="1" w:lastColumn="0" w:noHBand="0" w:noVBand="1"/>
                          </w:tblPr>
                          <w:tblGrid>
                            <w:gridCol w:w="817"/>
                            <w:gridCol w:w="2464"/>
                            <w:gridCol w:w="229"/>
                            <w:gridCol w:w="851"/>
                            <w:gridCol w:w="709"/>
                            <w:gridCol w:w="850"/>
                          </w:tblGrid>
                          <w:tr w:rsidR="00777AB3" w:rsidRPr="00CE1E85" w14:paraId="7F4F509A" w14:textId="77777777" w:rsidTr="009A178F">
                            <w:trPr>
                              <w:gridAfter w:val="4"/>
                              <w:wAfter w:w="2639" w:type="dxa"/>
                            </w:trPr>
                            <w:tc>
                              <w:tcPr>
                                <w:tcW w:w="3281" w:type="dxa"/>
                                <w:gridSpan w:val="2"/>
                                <w:shd w:val="clear" w:color="auto" w:fill="auto"/>
                              </w:tcPr>
                              <w:p w14:paraId="4563BE28" w14:textId="77777777" w:rsidR="00777AB3" w:rsidRPr="0055776F" w:rsidRDefault="00777AB3" w:rsidP="009A178F">
                                <w:pPr>
                                  <w:rPr>
                                    <w:rFonts w:ascii="Arial" w:hAnsi="Arial" w:cs="Arial"/>
                                  </w:rPr>
                                </w:pPr>
                                <w:r>
                                  <w:rPr>
                                    <w:rFonts w:ascii="Arial" w:hAnsi="Arial" w:cs="Arial"/>
                                  </w:rPr>
                                  <w:t>P &lt; 0,0001</w:t>
                                </w:r>
                              </w:p>
                              <w:p w14:paraId="1E82DFA5" w14:textId="77777777" w:rsidR="00777AB3" w:rsidRPr="0055776F" w:rsidRDefault="00777AB3" w:rsidP="009A178F">
                                <w:pPr>
                                  <w:rPr>
                                    <w:rFonts w:ascii="Arial" w:hAnsi="Arial" w:cs="Arial"/>
                                  </w:rPr>
                                </w:pPr>
                                <w:r>
                                  <w:rPr>
                                    <w:rFonts w:ascii="Arial" w:hAnsi="Arial" w:cs="Arial"/>
                                  </w:rPr>
                                  <w:t>Cociente de riesgo 0,</w:t>
                                </w:r>
                                <w:r w:rsidRPr="0055776F">
                                  <w:rPr>
                                    <w:rFonts w:ascii="Arial" w:hAnsi="Arial" w:cs="Arial"/>
                                  </w:rPr>
                                  <w:t>4</w:t>
                                </w:r>
                                <w:r>
                                  <w:rPr>
                                    <w:rFonts w:ascii="Arial" w:hAnsi="Arial" w:cs="Arial"/>
                                  </w:rPr>
                                  <w:t>6</w:t>
                                </w:r>
                              </w:p>
                              <w:p w14:paraId="1DCA91FD" w14:textId="77777777" w:rsidR="00777AB3" w:rsidRPr="008D0368" w:rsidRDefault="00777AB3" w:rsidP="009A178F">
                                <w:pPr>
                                  <w:rPr>
                                    <w:rFonts w:ascii="Arial" w:hAnsi="Arial" w:cs="Arial"/>
                                    <w:lang w:val="es-ES"/>
                                  </w:rPr>
                                </w:pPr>
                                <w:r>
                                  <w:rPr>
                                    <w:rFonts w:ascii="Arial" w:hAnsi="Arial" w:cs="Arial"/>
                                  </w:rPr>
                                  <w:t xml:space="preserve">(IC </w:t>
                                </w:r>
                                <w:r w:rsidRPr="00A33DBA">
                                  <w:rPr>
                                    <w:rFonts w:ascii="Arial" w:hAnsi="Arial" w:cs="Arial"/>
                                  </w:rPr>
                                  <w:t>95%</w:t>
                                </w:r>
                                <w:r>
                                  <w:rPr>
                                    <w:rFonts w:ascii="Arial" w:hAnsi="Arial" w:cs="Arial"/>
                                  </w:rPr>
                                  <w:t>, 0,3</w:t>
                                </w:r>
                                <w:r w:rsidRPr="0055776F">
                                  <w:rPr>
                                    <w:rFonts w:ascii="Arial" w:hAnsi="Arial" w:cs="Arial"/>
                                  </w:rPr>
                                  <w:t>2</w:t>
                                </w:r>
                                <w:r>
                                  <w:rPr>
                                    <w:rFonts w:ascii="Arial" w:hAnsi="Arial" w:cs="Arial"/>
                                  </w:rPr>
                                  <w:noBreakHyphen/>
                                  <w:t>0,65</w:t>
                                </w:r>
                                <w:r w:rsidRPr="0055776F">
                                  <w:rPr>
                                    <w:rFonts w:ascii="Arial" w:hAnsi="Arial" w:cs="Arial"/>
                                  </w:rPr>
                                  <w:t>)</w:t>
                                </w:r>
                              </w:p>
                            </w:tc>
                          </w:tr>
                          <w:tr w:rsidR="00777AB3" w:rsidRPr="0055776F" w14:paraId="7ECBE019" w14:textId="77777777" w:rsidTr="0096481B">
                            <w:tc>
                              <w:tcPr>
                                <w:tcW w:w="817" w:type="dxa"/>
                                <w:shd w:val="clear" w:color="auto" w:fill="auto"/>
                              </w:tcPr>
                              <w:p w14:paraId="20D41EE8" w14:textId="77777777" w:rsidR="00777AB3" w:rsidRPr="0055776F" w:rsidRDefault="00777AB3" w:rsidP="004B54D7">
                                <w:pPr>
                                  <w:rPr>
                                    <w:rFonts w:ascii="Arial" w:hAnsi="Arial" w:cs="Arial"/>
                                  </w:rPr>
                                </w:pPr>
                              </w:p>
                            </w:tc>
                            <w:tc>
                              <w:tcPr>
                                <w:tcW w:w="2693" w:type="dxa"/>
                                <w:gridSpan w:val="2"/>
                                <w:shd w:val="clear" w:color="auto" w:fill="auto"/>
                              </w:tcPr>
                              <w:p w14:paraId="04B2609C" w14:textId="77777777" w:rsidR="00777AB3" w:rsidRPr="0055776F" w:rsidRDefault="00777AB3" w:rsidP="004B54D7">
                                <w:pPr>
                                  <w:rPr>
                                    <w:rFonts w:ascii="Arial" w:hAnsi="Arial" w:cs="Arial"/>
                                  </w:rPr>
                                </w:pPr>
                              </w:p>
                            </w:tc>
                            <w:tc>
                              <w:tcPr>
                                <w:tcW w:w="851" w:type="dxa"/>
                                <w:tcBorders>
                                  <w:bottom w:val="single" w:sz="4" w:space="0" w:color="auto"/>
                                </w:tcBorders>
                                <w:shd w:val="clear" w:color="auto" w:fill="auto"/>
                              </w:tcPr>
                              <w:p w14:paraId="4A30E83C" w14:textId="77777777" w:rsidR="00777AB3" w:rsidRPr="0055776F" w:rsidRDefault="00777AB3" w:rsidP="004B54D7">
                                <w:pPr>
                                  <w:rPr>
                                    <w:rFonts w:ascii="Arial" w:hAnsi="Arial" w:cs="Arial"/>
                                  </w:rPr>
                                </w:pPr>
                                <w:r w:rsidRPr="0055776F">
                                  <w:rPr>
                                    <w:rFonts w:ascii="Arial" w:hAnsi="Arial" w:cs="Arial"/>
                                    <w:lang w:val="de-DE"/>
                                  </w:rPr>
                                  <w:t>N</w:t>
                                </w:r>
                              </w:p>
                            </w:tc>
                            <w:tc>
                              <w:tcPr>
                                <w:tcW w:w="709" w:type="dxa"/>
                                <w:tcBorders>
                                  <w:bottom w:val="single" w:sz="4" w:space="0" w:color="auto"/>
                                </w:tcBorders>
                                <w:shd w:val="clear" w:color="auto" w:fill="auto"/>
                              </w:tcPr>
                              <w:p w14:paraId="514A1C0A" w14:textId="77777777" w:rsidR="00777AB3" w:rsidRPr="0055776F" w:rsidRDefault="00777AB3" w:rsidP="004B54D7">
                                <w:pPr>
                                  <w:rPr>
                                    <w:rFonts w:ascii="Arial" w:hAnsi="Arial" w:cs="Arial"/>
                                  </w:rPr>
                                </w:pPr>
                                <w:r w:rsidRPr="0055776F">
                                  <w:rPr>
                                    <w:rFonts w:ascii="Arial" w:hAnsi="Arial" w:cs="Arial"/>
                                    <w:lang w:val="de-DE"/>
                                  </w:rPr>
                                  <w:t>Evt</w:t>
                                </w:r>
                              </w:p>
                            </w:tc>
                            <w:tc>
                              <w:tcPr>
                                <w:tcW w:w="850" w:type="dxa"/>
                                <w:tcBorders>
                                  <w:bottom w:val="single" w:sz="4" w:space="0" w:color="auto"/>
                                </w:tcBorders>
                                <w:shd w:val="clear" w:color="auto" w:fill="auto"/>
                              </w:tcPr>
                              <w:p w14:paraId="23228819" w14:textId="77777777" w:rsidR="00777AB3" w:rsidRPr="0055776F" w:rsidRDefault="00777AB3" w:rsidP="004B54D7">
                                <w:pPr>
                                  <w:rPr>
                                    <w:rFonts w:ascii="Arial" w:hAnsi="Arial" w:cs="Arial"/>
                                  </w:rPr>
                                </w:pPr>
                                <w:r w:rsidRPr="0055776F">
                                  <w:rPr>
                                    <w:rFonts w:ascii="Arial" w:hAnsi="Arial" w:cs="Arial"/>
                                    <w:lang w:val="de-DE"/>
                                  </w:rPr>
                                  <w:t>Cen</w:t>
                                </w:r>
                              </w:p>
                            </w:tc>
                          </w:tr>
                          <w:tr w:rsidR="00777AB3" w:rsidRPr="0055776F" w14:paraId="46E66BD8" w14:textId="77777777" w:rsidTr="0096481B">
                            <w:tc>
                              <w:tcPr>
                                <w:tcW w:w="817" w:type="dxa"/>
                                <w:shd w:val="clear" w:color="auto" w:fill="auto"/>
                              </w:tcPr>
                              <w:p w14:paraId="6E61280C" w14:textId="77777777" w:rsidR="00777AB3" w:rsidRPr="0055776F" w:rsidRDefault="00777AB3" w:rsidP="004B54D7">
                                <w:pPr>
                                  <w:rPr>
                                    <w:rFonts w:ascii="Arial" w:hAnsi="Arial" w:cs="Arial"/>
                                  </w:rPr>
                                </w:pPr>
                                <w:r w:rsidRPr="0055776F">
                                  <w:rPr>
                                    <w:rFonts w:ascii="Arial" w:hAnsi="Arial" w:cs="Arial"/>
                                    <w:b/>
                                  </w:rPr>
                                  <w:t>——</w:t>
                                </w:r>
                              </w:p>
                            </w:tc>
                            <w:tc>
                              <w:tcPr>
                                <w:tcW w:w="2693" w:type="dxa"/>
                                <w:gridSpan w:val="2"/>
                                <w:shd w:val="clear" w:color="auto" w:fill="auto"/>
                              </w:tcPr>
                              <w:p w14:paraId="204A5610" w14:textId="77777777" w:rsidR="00777AB3" w:rsidRPr="0055776F" w:rsidRDefault="00777AB3" w:rsidP="004B54D7">
                                <w:pPr>
                                  <w:rPr>
                                    <w:rFonts w:ascii="Arial" w:hAnsi="Arial" w:cs="Arial"/>
                                  </w:rPr>
                                </w:pPr>
                                <w:r w:rsidRPr="0055776F">
                                  <w:rPr>
                                    <w:rFonts w:ascii="Arial" w:hAnsi="Arial" w:cs="Arial"/>
                                  </w:rPr>
                                  <w:t xml:space="preserve">(1) </w:t>
                                </w:r>
                                <w:r>
                                  <w:rPr>
                                    <w:rFonts w:ascii="Arial" w:hAnsi="Arial" w:cs="Arial"/>
                                  </w:rPr>
                                  <w:t>Imatinib 12 </w:t>
                                </w:r>
                                <w:r w:rsidRPr="00A33DBA">
                                  <w:rPr>
                                    <w:rFonts w:ascii="Arial" w:hAnsi="Arial" w:cs="Arial"/>
                                  </w:rPr>
                                  <w:t>M</w:t>
                                </w:r>
                                <w:r>
                                  <w:rPr>
                                    <w:rFonts w:ascii="Arial" w:hAnsi="Arial" w:cs="Arial"/>
                                  </w:rPr>
                                  <w:t>E</w:t>
                                </w:r>
                                <w:r w:rsidRPr="0055776F">
                                  <w:rPr>
                                    <w:rFonts w:ascii="Arial" w:hAnsi="Arial" w:cs="Arial"/>
                                  </w:rPr>
                                  <w:t>:</w:t>
                                </w:r>
                              </w:p>
                            </w:tc>
                            <w:tc>
                              <w:tcPr>
                                <w:tcW w:w="851" w:type="dxa"/>
                                <w:tcBorders>
                                  <w:top w:val="single" w:sz="4" w:space="0" w:color="auto"/>
                                </w:tcBorders>
                                <w:shd w:val="clear" w:color="auto" w:fill="auto"/>
                              </w:tcPr>
                              <w:p w14:paraId="5ED46779" w14:textId="77777777" w:rsidR="00777AB3" w:rsidRPr="0055776F" w:rsidRDefault="00777AB3" w:rsidP="004B54D7">
                                <w:pPr>
                                  <w:rPr>
                                    <w:rFonts w:ascii="Arial" w:hAnsi="Arial" w:cs="Arial"/>
                                  </w:rPr>
                                </w:pPr>
                                <w:r w:rsidRPr="0055776F">
                                  <w:rPr>
                                    <w:rFonts w:ascii="Arial" w:hAnsi="Arial" w:cs="Arial"/>
                                  </w:rPr>
                                  <w:t>199</w:t>
                                </w:r>
                              </w:p>
                            </w:tc>
                            <w:tc>
                              <w:tcPr>
                                <w:tcW w:w="709" w:type="dxa"/>
                                <w:tcBorders>
                                  <w:top w:val="single" w:sz="4" w:space="0" w:color="auto"/>
                                </w:tcBorders>
                                <w:shd w:val="clear" w:color="auto" w:fill="auto"/>
                              </w:tcPr>
                              <w:p w14:paraId="159267A0" w14:textId="77777777" w:rsidR="00777AB3" w:rsidRPr="0055776F" w:rsidRDefault="00777AB3" w:rsidP="004B54D7">
                                <w:pPr>
                                  <w:rPr>
                                    <w:rFonts w:ascii="Arial" w:hAnsi="Arial" w:cs="Arial"/>
                                  </w:rPr>
                                </w:pPr>
                                <w:r w:rsidRPr="0055776F">
                                  <w:rPr>
                                    <w:rFonts w:ascii="Arial" w:hAnsi="Arial" w:cs="Arial"/>
                                  </w:rPr>
                                  <w:t>84</w:t>
                                </w:r>
                              </w:p>
                            </w:tc>
                            <w:tc>
                              <w:tcPr>
                                <w:tcW w:w="850" w:type="dxa"/>
                                <w:tcBorders>
                                  <w:top w:val="single" w:sz="4" w:space="0" w:color="auto"/>
                                </w:tcBorders>
                                <w:shd w:val="clear" w:color="auto" w:fill="auto"/>
                              </w:tcPr>
                              <w:p w14:paraId="2C9E105C" w14:textId="77777777" w:rsidR="00777AB3" w:rsidRPr="0055776F" w:rsidRDefault="00777AB3" w:rsidP="004B54D7">
                                <w:pPr>
                                  <w:rPr>
                                    <w:rFonts w:ascii="Arial" w:hAnsi="Arial" w:cs="Arial"/>
                                  </w:rPr>
                                </w:pPr>
                                <w:r w:rsidRPr="0055776F">
                                  <w:rPr>
                                    <w:rFonts w:ascii="Arial" w:hAnsi="Arial" w:cs="Arial"/>
                                  </w:rPr>
                                  <w:t>115</w:t>
                                </w:r>
                              </w:p>
                            </w:tc>
                          </w:tr>
                          <w:tr w:rsidR="00777AB3" w:rsidRPr="0055776F" w14:paraId="02C36A94" w14:textId="77777777" w:rsidTr="0096481B">
                            <w:tc>
                              <w:tcPr>
                                <w:tcW w:w="817" w:type="dxa"/>
                                <w:shd w:val="clear" w:color="auto" w:fill="auto"/>
                              </w:tcPr>
                              <w:p w14:paraId="10C40FD1" w14:textId="77777777" w:rsidR="00777AB3" w:rsidRPr="0055776F" w:rsidRDefault="00777AB3" w:rsidP="004B54D7">
                                <w:pPr>
                                  <w:rPr>
                                    <w:rFonts w:ascii="Arial" w:hAnsi="Arial" w:cs="Arial"/>
                                  </w:rPr>
                                </w:pPr>
                                <w:r w:rsidRPr="0055776F">
                                  <w:rPr>
                                    <w:rFonts w:ascii="Arial" w:hAnsi="Arial" w:cs="Arial"/>
                                  </w:rPr>
                                  <w:t>-----</w:t>
                                </w:r>
                              </w:p>
                            </w:tc>
                            <w:tc>
                              <w:tcPr>
                                <w:tcW w:w="2693" w:type="dxa"/>
                                <w:gridSpan w:val="2"/>
                                <w:shd w:val="clear" w:color="auto" w:fill="auto"/>
                              </w:tcPr>
                              <w:p w14:paraId="4C9F904E" w14:textId="77777777" w:rsidR="00777AB3" w:rsidRPr="0055776F" w:rsidRDefault="00777AB3" w:rsidP="004B54D7">
                                <w:pPr>
                                  <w:rPr>
                                    <w:rFonts w:ascii="Arial" w:hAnsi="Arial" w:cs="Arial"/>
                                  </w:rPr>
                                </w:pPr>
                                <w:r>
                                  <w:rPr>
                                    <w:rFonts w:ascii="Arial" w:hAnsi="Arial" w:cs="Arial"/>
                                  </w:rPr>
                                  <w:t>(2) Imatinib 36 </w:t>
                                </w:r>
                                <w:r w:rsidRPr="00A33DBA">
                                  <w:rPr>
                                    <w:rFonts w:ascii="Arial" w:hAnsi="Arial" w:cs="Arial"/>
                                  </w:rPr>
                                  <w:t>M</w:t>
                                </w:r>
                                <w:r>
                                  <w:rPr>
                                    <w:rFonts w:ascii="Arial" w:hAnsi="Arial" w:cs="Arial"/>
                                  </w:rPr>
                                  <w:t>E</w:t>
                                </w:r>
                                <w:r w:rsidRPr="0055776F">
                                  <w:rPr>
                                    <w:rFonts w:ascii="Arial" w:hAnsi="Arial" w:cs="Arial"/>
                                  </w:rPr>
                                  <w:t>:</w:t>
                                </w:r>
                              </w:p>
                            </w:tc>
                            <w:tc>
                              <w:tcPr>
                                <w:tcW w:w="851" w:type="dxa"/>
                                <w:tcBorders>
                                  <w:bottom w:val="single" w:sz="4" w:space="0" w:color="auto"/>
                                </w:tcBorders>
                                <w:shd w:val="clear" w:color="auto" w:fill="auto"/>
                              </w:tcPr>
                              <w:p w14:paraId="206FCFD6" w14:textId="77777777" w:rsidR="00777AB3" w:rsidRPr="0055776F" w:rsidRDefault="00777AB3" w:rsidP="004B54D7">
                                <w:pPr>
                                  <w:rPr>
                                    <w:rFonts w:ascii="Arial" w:hAnsi="Arial" w:cs="Arial"/>
                                  </w:rPr>
                                </w:pPr>
                                <w:r w:rsidRPr="0055776F">
                                  <w:rPr>
                                    <w:rFonts w:ascii="Arial" w:hAnsi="Arial" w:cs="Arial"/>
                                  </w:rPr>
                                  <w:t>198</w:t>
                                </w:r>
                              </w:p>
                            </w:tc>
                            <w:tc>
                              <w:tcPr>
                                <w:tcW w:w="709" w:type="dxa"/>
                                <w:tcBorders>
                                  <w:bottom w:val="single" w:sz="4" w:space="0" w:color="auto"/>
                                </w:tcBorders>
                                <w:shd w:val="clear" w:color="auto" w:fill="auto"/>
                              </w:tcPr>
                              <w:p w14:paraId="7C8513DD" w14:textId="77777777" w:rsidR="00777AB3" w:rsidRPr="0055776F" w:rsidRDefault="00777AB3" w:rsidP="004B54D7">
                                <w:pPr>
                                  <w:rPr>
                                    <w:rFonts w:ascii="Arial" w:hAnsi="Arial" w:cs="Arial"/>
                                  </w:rPr>
                                </w:pPr>
                                <w:r w:rsidRPr="0055776F">
                                  <w:rPr>
                                    <w:rFonts w:ascii="Arial" w:hAnsi="Arial" w:cs="Arial"/>
                                  </w:rPr>
                                  <w:t>50</w:t>
                                </w:r>
                              </w:p>
                            </w:tc>
                            <w:tc>
                              <w:tcPr>
                                <w:tcW w:w="850" w:type="dxa"/>
                                <w:tcBorders>
                                  <w:bottom w:val="single" w:sz="4" w:space="0" w:color="auto"/>
                                </w:tcBorders>
                                <w:shd w:val="clear" w:color="auto" w:fill="auto"/>
                              </w:tcPr>
                              <w:p w14:paraId="1857FE4C" w14:textId="77777777" w:rsidR="00777AB3" w:rsidRPr="0055776F" w:rsidRDefault="00777AB3" w:rsidP="004B54D7">
                                <w:pPr>
                                  <w:rPr>
                                    <w:rFonts w:ascii="Arial" w:hAnsi="Arial" w:cs="Arial"/>
                                  </w:rPr>
                                </w:pPr>
                                <w:r w:rsidRPr="0055776F">
                                  <w:rPr>
                                    <w:rFonts w:ascii="Arial" w:hAnsi="Arial" w:cs="Arial"/>
                                  </w:rPr>
                                  <w:t>148</w:t>
                                </w:r>
                              </w:p>
                            </w:tc>
                          </w:tr>
                          <w:tr w:rsidR="00777AB3" w:rsidRPr="0055776F" w14:paraId="10124973" w14:textId="77777777" w:rsidTr="0096481B">
                            <w:tc>
                              <w:tcPr>
                                <w:tcW w:w="817" w:type="dxa"/>
                                <w:shd w:val="clear" w:color="auto" w:fill="auto"/>
                              </w:tcPr>
                              <w:p w14:paraId="1DDC4F63" w14:textId="77777777" w:rsidR="00777AB3" w:rsidRPr="0055776F" w:rsidRDefault="00777AB3" w:rsidP="004B54D7">
                                <w:pPr>
                                  <w:rPr>
                                    <w:rFonts w:ascii="Arial" w:hAnsi="Arial" w:cs="Arial"/>
                                  </w:rPr>
                                </w:pPr>
                                <w:r w:rsidRPr="0055776F">
                                  <w:rPr>
                                    <w:rFonts w:ascii="Arial" w:hAnsi="Arial" w:cs="Arial"/>
                                  </w:rPr>
                                  <w:t>│││</w:t>
                                </w:r>
                              </w:p>
                            </w:tc>
                            <w:tc>
                              <w:tcPr>
                                <w:tcW w:w="2693" w:type="dxa"/>
                                <w:gridSpan w:val="2"/>
                                <w:shd w:val="clear" w:color="auto" w:fill="auto"/>
                              </w:tcPr>
                              <w:p w14:paraId="27DE5579" w14:textId="77777777" w:rsidR="00777AB3" w:rsidRPr="0055776F" w:rsidRDefault="00777AB3" w:rsidP="004B54D7">
                                <w:pPr>
                                  <w:rPr>
                                    <w:rFonts w:ascii="Arial" w:hAnsi="Arial" w:cs="Arial"/>
                                  </w:rPr>
                                </w:pPr>
                                <w:r>
                                  <w:rPr>
                                    <w:rFonts w:ascii="Arial" w:hAnsi="Arial" w:cs="Arial"/>
                                  </w:rPr>
                                  <w:t>Observaciones censuradas</w:t>
                                </w:r>
                              </w:p>
                            </w:tc>
                            <w:tc>
                              <w:tcPr>
                                <w:tcW w:w="851" w:type="dxa"/>
                                <w:tcBorders>
                                  <w:top w:val="single" w:sz="4" w:space="0" w:color="auto"/>
                                </w:tcBorders>
                                <w:shd w:val="clear" w:color="auto" w:fill="auto"/>
                              </w:tcPr>
                              <w:p w14:paraId="1781B889" w14:textId="77777777" w:rsidR="00777AB3" w:rsidRPr="0055776F" w:rsidRDefault="00777AB3" w:rsidP="004B54D7">
                                <w:pPr>
                                  <w:rPr>
                                    <w:rFonts w:ascii="Arial" w:hAnsi="Arial" w:cs="Arial"/>
                                  </w:rPr>
                                </w:pPr>
                              </w:p>
                            </w:tc>
                            <w:tc>
                              <w:tcPr>
                                <w:tcW w:w="709" w:type="dxa"/>
                                <w:tcBorders>
                                  <w:top w:val="single" w:sz="4" w:space="0" w:color="auto"/>
                                </w:tcBorders>
                                <w:shd w:val="clear" w:color="auto" w:fill="auto"/>
                              </w:tcPr>
                              <w:p w14:paraId="66910E5F" w14:textId="77777777" w:rsidR="00777AB3" w:rsidRPr="0055776F" w:rsidRDefault="00777AB3" w:rsidP="004B54D7">
                                <w:pPr>
                                  <w:rPr>
                                    <w:rFonts w:ascii="Arial" w:hAnsi="Arial" w:cs="Arial"/>
                                  </w:rPr>
                                </w:pPr>
                              </w:p>
                            </w:tc>
                            <w:tc>
                              <w:tcPr>
                                <w:tcW w:w="850" w:type="dxa"/>
                                <w:tcBorders>
                                  <w:top w:val="single" w:sz="4" w:space="0" w:color="auto"/>
                                </w:tcBorders>
                                <w:shd w:val="clear" w:color="auto" w:fill="auto"/>
                              </w:tcPr>
                              <w:p w14:paraId="65E151F6" w14:textId="77777777" w:rsidR="00777AB3" w:rsidRPr="0055776F" w:rsidRDefault="00777AB3" w:rsidP="004B54D7">
                                <w:pPr>
                                  <w:rPr>
                                    <w:rFonts w:ascii="Arial" w:hAnsi="Arial" w:cs="Arial"/>
                                  </w:rPr>
                                </w:pPr>
                              </w:p>
                            </w:tc>
                          </w:tr>
                        </w:tbl>
                        <w:p w14:paraId="289876A7" w14:textId="77777777" w:rsidR="00777AB3" w:rsidRPr="00A33DBA" w:rsidRDefault="00777AB3" w:rsidP="00855DE0">
                          <w:pPr>
                            <w:rPr>
                              <w:rFonts w:ascii="Arial" w:hAnsi="Arial" w:cs="Arial"/>
                            </w:rPr>
                          </w:pPr>
                        </w:p>
                      </w:txbxContent>
                    </v:textbox>
                  </v:shape>
                </v:group>
                <v:shape id="Text Box 2" o:spid="_x0000_s1030" type="#_x0000_t202" style="position:absolute;left:3810;top:10539;width:3628;height: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nc5/wQAAANsAAAAPAAAAZHJzL2Rvd25yZXYueG1sRE9Na8JA&#10;EL0X/A/LCL0U3TSHEqKriChUqIWm9T5mxySanQ3ZVeO/7xwKPT7e93w5uFbdqA+NZwOv0wQUcelt&#10;w5WBn+/tJAMVIrLF1jMZeFCA5WL0NMfc+jt/0a2IlZIQDjkaqGPscq1DWZPDMPUdsXAn3zuMAvtK&#10;2x7vEu5anSbJm3bYsDTU2NG6pvJSXJ30boasOxw/1udd8XI8p5/c7DM25nk8rGagIg3xX/znfrcG&#10;UhkrX+QH6MUvAAAA//8DAFBLAQItABQABgAIAAAAIQDb4fbL7gAAAIUBAAATAAAAAAAAAAAAAAAA&#10;AAAAAABbQ29udGVudF9UeXBlc10ueG1sUEsBAi0AFAAGAAgAAAAhAFr0LFu/AAAAFQEAAAsAAAAA&#10;AAAAAAAAAAAAHwEAAF9yZWxzLy5yZWxzUEsBAi0AFAAGAAgAAAAhALWdzn/BAAAA2wAAAA8AAAAA&#10;AAAAAAAAAAAABwIAAGRycy9kb3ducmV2LnhtbFBLBQYAAAAAAwADALcAAAD1AgAAAAA=&#10;" stroked="f">
                  <v:fill opacity="0"/>
                  <v:textbox>
                    <w:txbxContent>
                      <w:p w14:paraId="03174F70" w14:textId="77777777" w:rsidR="00777AB3" w:rsidRPr="00A33DBA" w:rsidRDefault="00777AB3" w:rsidP="00855DE0">
                        <w:pPr>
                          <w:rPr>
                            <w:rFonts w:ascii="Arial" w:hAnsi="Arial" w:cs="Arial"/>
                          </w:rPr>
                        </w:pPr>
                        <w:r>
                          <w:rPr>
                            <w:rFonts w:ascii="Arial" w:hAnsi="Arial" w:cs="Arial"/>
                            <w:lang w:val="de-DE"/>
                          </w:rPr>
                          <w:t>Tiempo de supervivencia en meses</w:t>
                        </w:r>
                      </w:p>
                    </w:txbxContent>
                  </v:textbox>
                </v:shape>
              </v:group>
            </w:pict>
          </mc:Fallback>
        </mc:AlternateContent>
      </w:r>
      <w:r w:rsidRPr="002D741C">
        <w:rPr>
          <w:noProof/>
          <w:lang w:eastAsia="en-GB"/>
        </w:rPr>
        <w:drawing>
          <wp:inline distT="0" distB="0" distL="0" distR="0" wp14:anchorId="7A76689C" wp14:editId="2B981E03">
            <wp:extent cx="5939790" cy="267970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39790" cy="2679700"/>
                    </a:xfrm>
                    <a:prstGeom prst="rect">
                      <a:avLst/>
                    </a:prstGeom>
                    <a:noFill/>
                    <a:ln>
                      <a:noFill/>
                    </a:ln>
                  </pic:spPr>
                </pic:pic>
              </a:graphicData>
            </a:graphic>
          </wp:inline>
        </w:drawing>
      </w:r>
    </w:p>
    <w:p w14:paraId="304F2A72" w14:textId="77777777" w:rsidR="00855DE0" w:rsidRPr="002D741C" w:rsidRDefault="00855DE0" w:rsidP="00855DE0">
      <w:pPr>
        <w:pStyle w:val="EndnoteText"/>
        <w:widowControl w:val="0"/>
        <w:tabs>
          <w:tab w:val="clear" w:pos="567"/>
        </w:tabs>
        <w:rPr>
          <w:color w:val="000000"/>
          <w:szCs w:val="22"/>
          <w:lang w:val="es-ES_tradnl"/>
        </w:rPr>
      </w:pPr>
    </w:p>
    <w:p w14:paraId="681C1814" w14:textId="77777777" w:rsidR="00855DE0" w:rsidRPr="002D741C" w:rsidRDefault="00855DE0" w:rsidP="00855DE0">
      <w:pPr>
        <w:rPr>
          <w:noProof/>
        </w:rPr>
      </w:pPr>
    </w:p>
    <w:tbl>
      <w:tblPr>
        <w:tblW w:w="10599" w:type="dxa"/>
        <w:tblInd w:w="-318" w:type="dxa"/>
        <w:tblLook w:val="04A0" w:firstRow="1" w:lastRow="0" w:firstColumn="1" w:lastColumn="0" w:noHBand="0" w:noVBand="1"/>
      </w:tblPr>
      <w:tblGrid>
        <w:gridCol w:w="450"/>
        <w:gridCol w:w="646"/>
        <w:gridCol w:w="645"/>
        <w:gridCol w:w="745"/>
        <w:gridCol w:w="745"/>
        <w:gridCol w:w="745"/>
        <w:gridCol w:w="752"/>
        <w:gridCol w:w="745"/>
        <w:gridCol w:w="745"/>
        <w:gridCol w:w="652"/>
        <w:gridCol w:w="652"/>
        <w:gridCol w:w="649"/>
        <w:gridCol w:w="660"/>
        <w:gridCol w:w="649"/>
        <w:gridCol w:w="564"/>
        <w:gridCol w:w="555"/>
      </w:tblGrid>
      <w:tr w:rsidR="00855DE0" w:rsidRPr="002D741C" w14:paraId="2FDAB2F2" w14:textId="77777777" w:rsidTr="00F74104">
        <w:tc>
          <w:tcPr>
            <w:tcW w:w="10599" w:type="dxa"/>
            <w:gridSpan w:val="16"/>
            <w:shd w:val="clear" w:color="auto" w:fill="auto"/>
          </w:tcPr>
          <w:p w14:paraId="18D49EBF" w14:textId="77777777" w:rsidR="00855DE0" w:rsidRPr="002D741C" w:rsidRDefault="0096481B" w:rsidP="00F74104">
            <w:pPr>
              <w:ind w:left="-27"/>
              <w:rPr>
                <w:rFonts w:ascii="Arial" w:hAnsi="Arial" w:cs="Arial"/>
                <w:sz w:val="16"/>
                <w:szCs w:val="16"/>
              </w:rPr>
            </w:pPr>
            <w:r w:rsidRPr="002D741C">
              <w:rPr>
                <w:rFonts w:ascii="Arial" w:hAnsi="Arial" w:cs="Arial"/>
              </w:rPr>
              <w:t>A riesgo : Eventos</w:t>
            </w:r>
          </w:p>
        </w:tc>
      </w:tr>
      <w:tr w:rsidR="00855DE0" w:rsidRPr="002D741C" w14:paraId="01BC9F94" w14:textId="77777777" w:rsidTr="00F74104">
        <w:tc>
          <w:tcPr>
            <w:tcW w:w="450" w:type="dxa"/>
            <w:shd w:val="clear" w:color="auto" w:fill="auto"/>
          </w:tcPr>
          <w:p w14:paraId="740FB22C" w14:textId="77777777" w:rsidR="00855DE0" w:rsidRPr="002D741C" w:rsidRDefault="00855DE0" w:rsidP="00F74104">
            <w:r w:rsidRPr="002D741C">
              <w:t>(1)</w:t>
            </w:r>
          </w:p>
        </w:tc>
        <w:tc>
          <w:tcPr>
            <w:tcW w:w="646" w:type="dxa"/>
            <w:shd w:val="clear" w:color="auto" w:fill="auto"/>
          </w:tcPr>
          <w:p w14:paraId="19332E09" w14:textId="77777777" w:rsidR="00855DE0" w:rsidRPr="002D741C" w:rsidRDefault="00855DE0" w:rsidP="00F74104">
            <w:pPr>
              <w:ind w:left="-27"/>
            </w:pPr>
            <w:r w:rsidRPr="002D741C">
              <w:t>199:0</w:t>
            </w:r>
          </w:p>
        </w:tc>
        <w:tc>
          <w:tcPr>
            <w:tcW w:w="645" w:type="dxa"/>
            <w:shd w:val="clear" w:color="auto" w:fill="auto"/>
          </w:tcPr>
          <w:p w14:paraId="5B79C00C" w14:textId="77777777" w:rsidR="00855DE0" w:rsidRPr="002D741C" w:rsidRDefault="00855DE0" w:rsidP="00F74104">
            <w:pPr>
              <w:ind w:left="-27"/>
            </w:pPr>
            <w:r w:rsidRPr="002D741C">
              <w:t>182:8</w:t>
            </w:r>
          </w:p>
        </w:tc>
        <w:tc>
          <w:tcPr>
            <w:tcW w:w="745" w:type="dxa"/>
            <w:shd w:val="clear" w:color="auto" w:fill="auto"/>
          </w:tcPr>
          <w:p w14:paraId="68C96FB6" w14:textId="77777777" w:rsidR="00855DE0" w:rsidRPr="002D741C" w:rsidRDefault="00855DE0" w:rsidP="00F74104">
            <w:pPr>
              <w:ind w:left="-27"/>
            </w:pPr>
            <w:r w:rsidRPr="002D741C">
              <w:t>177:12</w:t>
            </w:r>
          </w:p>
        </w:tc>
        <w:tc>
          <w:tcPr>
            <w:tcW w:w="745" w:type="dxa"/>
            <w:shd w:val="clear" w:color="auto" w:fill="auto"/>
          </w:tcPr>
          <w:p w14:paraId="12CF93C7" w14:textId="77777777" w:rsidR="00855DE0" w:rsidRPr="002D741C" w:rsidRDefault="00855DE0" w:rsidP="00F74104">
            <w:pPr>
              <w:ind w:left="-27"/>
            </w:pPr>
            <w:r w:rsidRPr="002D741C">
              <w:t>163:25</w:t>
            </w:r>
          </w:p>
        </w:tc>
        <w:tc>
          <w:tcPr>
            <w:tcW w:w="745" w:type="dxa"/>
            <w:shd w:val="clear" w:color="auto" w:fill="auto"/>
          </w:tcPr>
          <w:p w14:paraId="4064FA08" w14:textId="77777777" w:rsidR="00855DE0" w:rsidRPr="002D741C" w:rsidRDefault="00855DE0" w:rsidP="00F74104">
            <w:pPr>
              <w:ind w:left="-27"/>
            </w:pPr>
            <w:r w:rsidRPr="002D741C">
              <w:t>137:46</w:t>
            </w:r>
          </w:p>
        </w:tc>
        <w:tc>
          <w:tcPr>
            <w:tcW w:w="752" w:type="dxa"/>
            <w:shd w:val="clear" w:color="auto" w:fill="auto"/>
          </w:tcPr>
          <w:p w14:paraId="7CD8DC58" w14:textId="77777777" w:rsidR="00855DE0" w:rsidRPr="002D741C" w:rsidRDefault="00855DE0" w:rsidP="00F74104">
            <w:pPr>
              <w:ind w:left="-27"/>
            </w:pPr>
            <w:r w:rsidRPr="002D741C">
              <w:t>105:65</w:t>
            </w:r>
          </w:p>
        </w:tc>
        <w:tc>
          <w:tcPr>
            <w:tcW w:w="745" w:type="dxa"/>
            <w:shd w:val="clear" w:color="auto" w:fill="auto"/>
          </w:tcPr>
          <w:p w14:paraId="268A1B33" w14:textId="77777777" w:rsidR="00855DE0" w:rsidRPr="002D741C" w:rsidRDefault="00855DE0" w:rsidP="00F74104">
            <w:pPr>
              <w:ind w:left="-27"/>
            </w:pPr>
            <w:r w:rsidRPr="002D741C">
              <w:t>88:72</w:t>
            </w:r>
          </w:p>
        </w:tc>
        <w:tc>
          <w:tcPr>
            <w:tcW w:w="745" w:type="dxa"/>
            <w:shd w:val="clear" w:color="auto" w:fill="auto"/>
          </w:tcPr>
          <w:p w14:paraId="1B42377D" w14:textId="77777777" w:rsidR="00855DE0" w:rsidRPr="002D741C" w:rsidRDefault="00855DE0" w:rsidP="00F74104">
            <w:pPr>
              <w:ind w:left="-27"/>
            </w:pPr>
            <w:r w:rsidRPr="002D741C">
              <w:t>61:77</w:t>
            </w:r>
          </w:p>
        </w:tc>
        <w:tc>
          <w:tcPr>
            <w:tcW w:w="652" w:type="dxa"/>
            <w:shd w:val="clear" w:color="auto" w:fill="auto"/>
          </w:tcPr>
          <w:p w14:paraId="56578695" w14:textId="77777777" w:rsidR="00855DE0" w:rsidRPr="002D741C" w:rsidRDefault="00855DE0" w:rsidP="00F74104">
            <w:pPr>
              <w:ind w:left="-27"/>
            </w:pPr>
            <w:r w:rsidRPr="002D741C">
              <w:t>49:81</w:t>
            </w:r>
          </w:p>
        </w:tc>
        <w:tc>
          <w:tcPr>
            <w:tcW w:w="652" w:type="dxa"/>
            <w:shd w:val="clear" w:color="auto" w:fill="auto"/>
          </w:tcPr>
          <w:p w14:paraId="76D2E99A" w14:textId="77777777" w:rsidR="00855DE0" w:rsidRPr="002D741C" w:rsidRDefault="00855DE0" w:rsidP="00F74104">
            <w:pPr>
              <w:ind w:left="-27"/>
            </w:pPr>
            <w:r w:rsidRPr="002D741C">
              <w:t>36:83</w:t>
            </w:r>
          </w:p>
        </w:tc>
        <w:tc>
          <w:tcPr>
            <w:tcW w:w="649" w:type="dxa"/>
            <w:shd w:val="clear" w:color="auto" w:fill="auto"/>
          </w:tcPr>
          <w:p w14:paraId="1458B33B" w14:textId="77777777" w:rsidR="00855DE0" w:rsidRPr="002D741C" w:rsidRDefault="00855DE0" w:rsidP="00F74104">
            <w:pPr>
              <w:ind w:left="-27"/>
            </w:pPr>
            <w:r w:rsidRPr="002D741C">
              <w:t>27:84</w:t>
            </w:r>
          </w:p>
        </w:tc>
        <w:tc>
          <w:tcPr>
            <w:tcW w:w="660" w:type="dxa"/>
            <w:shd w:val="clear" w:color="auto" w:fill="auto"/>
          </w:tcPr>
          <w:p w14:paraId="29E0A2B2" w14:textId="77777777" w:rsidR="00855DE0" w:rsidRPr="002D741C" w:rsidRDefault="00855DE0" w:rsidP="00F74104">
            <w:pPr>
              <w:ind w:left="-27"/>
            </w:pPr>
            <w:r w:rsidRPr="002D741C">
              <w:t>14:84</w:t>
            </w:r>
          </w:p>
        </w:tc>
        <w:tc>
          <w:tcPr>
            <w:tcW w:w="649" w:type="dxa"/>
            <w:shd w:val="clear" w:color="auto" w:fill="auto"/>
          </w:tcPr>
          <w:p w14:paraId="29CE4C59" w14:textId="77777777" w:rsidR="00855DE0" w:rsidRPr="002D741C" w:rsidRDefault="00855DE0" w:rsidP="00F74104">
            <w:pPr>
              <w:ind w:left="-27"/>
            </w:pPr>
            <w:r w:rsidRPr="002D741C">
              <w:t>10:84</w:t>
            </w:r>
          </w:p>
        </w:tc>
        <w:tc>
          <w:tcPr>
            <w:tcW w:w="564" w:type="dxa"/>
            <w:shd w:val="clear" w:color="auto" w:fill="auto"/>
          </w:tcPr>
          <w:p w14:paraId="6A53C952" w14:textId="77777777" w:rsidR="00855DE0" w:rsidRPr="002D741C" w:rsidRDefault="00855DE0" w:rsidP="00F74104">
            <w:pPr>
              <w:ind w:left="-27"/>
            </w:pPr>
            <w:r w:rsidRPr="002D741C">
              <w:t>2:84</w:t>
            </w:r>
          </w:p>
        </w:tc>
        <w:tc>
          <w:tcPr>
            <w:tcW w:w="555" w:type="dxa"/>
            <w:shd w:val="clear" w:color="auto" w:fill="auto"/>
          </w:tcPr>
          <w:p w14:paraId="2B5F4A92" w14:textId="77777777" w:rsidR="00855DE0" w:rsidRPr="002D741C" w:rsidRDefault="00855DE0" w:rsidP="00F74104">
            <w:pPr>
              <w:ind w:left="-27"/>
            </w:pPr>
            <w:r w:rsidRPr="002D741C">
              <w:t>0:84</w:t>
            </w:r>
          </w:p>
        </w:tc>
      </w:tr>
      <w:tr w:rsidR="00855DE0" w:rsidRPr="002D741C" w14:paraId="5A8A9E5A" w14:textId="77777777" w:rsidTr="00F74104">
        <w:tc>
          <w:tcPr>
            <w:tcW w:w="450" w:type="dxa"/>
            <w:shd w:val="clear" w:color="auto" w:fill="auto"/>
          </w:tcPr>
          <w:p w14:paraId="3C42B0C1" w14:textId="77777777" w:rsidR="00855DE0" w:rsidRPr="002D741C" w:rsidRDefault="00855DE0" w:rsidP="00F74104">
            <w:r w:rsidRPr="002D741C">
              <w:t>(2)</w:t>
            </w:r>
          </w:p>
        </w:tc>
        <w:tc>
          <w:tcPr>
            <w:tcW w:w="646" w:type="dxa"/>
            <w:shd w:val="clear" w:color="auto" w:fill="auto"/>
          </w:tcPr>
          <w:p w14:paraId="6583BA99" w14:textId="77777777" w:rsidR="00855DE0" w:rsidRPr="002D741C" w:rsidRDefault="00855DE0" w:rsidP="00F74104">
            <w:pPr>
              <w:ind w:left="-27"/>
            </w:pPr>
            <w:r w:rsidRPr="002D741C">
              <w:t>198:0</w:t>
            </w:r>
          </w:p>
        </w:tc>
        <w:tc>
          <w:tcPr>
            <w:tcW w:w="645" w:type="dxa"/>
            <w:shd w:val="clear" w:color="auto" w:fill="auto"/>
          </w:tcPr>
          <w:p w14:paraId="099A724D" w14:textId="77777777" w:rsidR="00855DE0" w:rsidRPr="002D741C" w:rsidRDefault="00855DE0" w:rsidP="00F74104">
            <w:pPr>
              <w:ind w:left="-27"/>
            </w:pPr>
            <w:r w:rsidRPr="002D741C">
              <w:t>189:5</w:t>
            </w:r>
          </w:p>
        </w:tc>
        <w:tc>
          <w:tcPr>
            <w:tcW w:w="745" w:type="dxa"/>
            <w:shd w:val="clear" w:color="auto" w:fill="auto"/>
          </w:tcPr>
          <w:p w14:paraId="051FAAF9" w14:textId="77777777" w:rsidR="00855DE0" w:rsidRPr="002D741C" w:rsidRDefault="00855DE0" w:rsidP="00F74104">
            <w:pPr>
              <w:ind w:left="-27"/>
            </w:pPr>
            <w:r w:rsidRPr="002D741C">
              <w:t>184:8</w:t>
            </w:r>
          </w:p>
        </w:tc>
        <w:tc>
          <w:tcPr>
            <w:tcW w:w="745" w:type="dxa"/>
            <w:shd w:val="clear" w:color="auto" w:fill="auto"/>
          </w:tcPr>
          <w:p w14:paraId="2AEED25F" w14:textId="77777777" w:rsidR="00855DE0" w:rsidRPr="002D741C" w:rsidRDefault="00855DE0" w:rsidP="00F74104">
            <w:pPr>
              <w:ind w:left="-27"/>
            </w:pPr>
            <w:r w:rsidRPr="002D741C">
              <w:t>181:11</w:t>
            </w:r>
          </w:p>
        </w:tc>
        <w:tc>
          <w:tcPr>
            <w:tcW w:w="745" w:type="dxa"/>
            <w:shd w:val="clear" w:color="auto" w:fill="auto"/>
          </w:tcPr>
          <w:p w14:paraId="27095E08" w14:textId="77777777" w:rsidR="00855DE0" w:rsidRPr="002D741C" w:rsidRDefault="00855DE0" w:rsidP="00F74104">
            <w:pPr>
              <w:ind w:left="-27"/>
            </w:pPr>
            <w:r w:rsidRPr="002D741C">
              <w:t>173:18</w:t>
            </w:r>
          </w:p>
        </w:tc>
        <w:tc>
          <w:tcPr>
            <w:tcW w:w="752" w:type="dxa"/>
            <w:shd w:val="clear" w:color="auto" w:fill="auto"/>
          </w:tcPr>
          <w:p w14:paraId="2D691261" w14:textId="77777777" w:rsidR="00855DE0" w:rsidRPr="002D741C" w:rsidRDefault="00855DE0" w:rsidP="00F74104">
            <w:pPr>
              <w:ind w:left="-27"/>
            </w:pPr>
            <w:r w:rsidRPr="002D741C">
              <w:t>152:22</w:t>
            </w:r>
          </w:p>
        </w:tc>
        <w:tc>
          <w:tcPr>
            <w:tcW w:w="745" w:type="dxa"/>
            <w:shd w:val="clear" w:color="auto" w:fill="auto"/>
          </w:tcPr>
          <w:p w14:paraId="32F2D2EE" w14:textId="77777777" w:rsidR="00855DE0" w:rsidRPr="002D741C" w:rsidRDefault="00855DE0" w:rsidP="00F74104">
            <w:pPr>
              <w:ind w:left="-27"/>
            </w:pPr>
            <w:r w:rsidRPr="002D741C">
              <w:t>133:25</w:t>
            </w:r>
          </w:p>
        </w:tc>
        <w:tc>
          <w:tcPr>
            <w:tcW w:w="745" w:type="dxa"/>
            <w:shd w:val="clear" w:color="auto" w:fill="auto"/>
          </w:tcPr>
          <w:p w14:paraId="2892B713" w14:textId="77777777" w:rsidR="00855DE0" w:rsidRPr="002D741C" w:rsidRDefault="00855DE0" w:rsidP="00F74104">
            <w:pPr>
              <w:ind w:left="-27"/>
            </w:pPr>
            <w:r w:rsidRPr="002D741C">
              <w:t>102:29</w:t>
            </w:r>
          </w:p>
        </w:tc>
        <w:tc>
          <w:tcPr>
            <w:tcW w:w="652" w:type="dxa"/>
            <w:shd w:val="clear" w:color="auto" w:fill="auto"/>
          </w:tcPr>
          <w:p w14:paraId="1F8619BD" w14:textId="77777777" w:rsidR="00855DE0" w:rsidRPr="002D741C" w:rsidRDefault="00855DE0" w:rsidP="00F74104">
            <w:pPr>
              <w:ind w:left="-27"/>
            </w:pPr>
            <w:r w:rsidRPr="002D741C">
              <w:t>82:35</w:t>
            </w:r>
          </w:p>
        </w:tc>
        <w:tc>
          <w:tcPr>
            <w:tcW w:w="652" w:type="dxa"/>
            <w:shd w:val="clear" w:color="auto" w:fill="auto"/>
          </w:tcPr>
          <w:p w14:paraId="76962639" w14:textId="77777777" w:rsidR="00855DE0" w:rsidRPr="002D741C" w:rsidRDefault="00855DE0" w:rsidP="00F74104">
            <w:pPr>
              <w:ind w:left="-27"/>
            </w:pPr>
            <w:r w:rsidRPr="002D741C">
              <w:t>54:46</w:t>
            </w:r>
          </w:p>
        </w:tc>
        <w:tc>
          <w:tcPr>
            <w:tcW w:w="649" w:type="dxa"/>
            <w:shd w:val="clear" w:color="auto" w:fill="auto"/>
          </w:tcPr>
          <w:p w14:paraId="79454C3E" w14:textId="77777777" w:rsidR="00855DE0" w:rsidRPr="002D741C" w:rsidRDefault="00855DE0" w:rsidP="00F74104">
            <w:pPr>
              <w:ind w:left="-27"/>
            </w:pPr>
            <w:r w:rsidRPr="002D741C">
              <w:t>39:47</w:t>
            </w:r>
          </w:p>
        </w:tc>
        <w:tc>
          <w:tcPr>
            <w:tcW w:w="660" w:type="dxa"/>
            <w:shd w:val="clear" w:color="auto" w:fill="auto"/>
          </w:tcPr>
          <w:p w14:paraId="728AEA52" w14:textId="77777777" w:rsidR="00855DE0" w:rsidRPr="002D741C" w:rsidRDefault="00855DE0" w:rsidP="00F74104">
            <w:pPr>
              <w:ind w:left="-27"/>
            </w:pPr>
            <w:r w:rsidRPr="002D741C">
              <w:t>21:49</w:t>
            </w:r>
          </w:p>
        </w:tc>
        <w:tc>
          <w:tcPr>
            <w:tcW w:w="649" w:type="dxa"/>
            <w:shd w:val="clear" w:color="auto" w:fill="auto"/>
          </w:tcPr>
          <w:p w14:paraId="564C391C" w14:textId="77777777" w:rsidR="00855DE0" w:rsidRPr="002D741C" w:rsidRDefault="00855DE0" w:rsidP="00F74104">
            <w:pPr>
              <w:ind w:left="-27"/>
            </w:pPr>
            <w:r w:rsidRPr="002D741C">
              <w:t>8:50</w:t>
            </w:r>
          </w:p>
        </w:tc>
        <w:tc>
          <w:tcPr>
            <w:tcW w:w="564" w:type="dxa"/>
            <w:shd w:val="clear" w:color="auto" w:fill="auto"/>
          </w:tcPr>
          <w:p w14:paraId="4537C19C" w14:textId="77777777" w:rsidR="00855DE0" w:rsidRPr="002D741C" w:rsidRDefault="00855DE0" w:rsidP="00F74104">
            <w:pPr>
              <w:ind w:left="-27"/>
            </w:pPr>
            <w:r w:rsidRPr="002D741C">
              <w:t>0:50</w:t>
            </w:r>
          </w:p>
        </w:tc>
        <w:tc>
          <w:tcPr>
            <w:tcW w:w="555" w:type="dxa"/>
            <w:shd w:val="clear" w:color="auto" w:fill="auto"/>
          </w:tcPr>
          <w:p w14:paraId="070B60BB" w14:textId="77777777" w:rsidR="00855DE0" w:rsidRPr="002D741C" w:rsidRDefault="00855DE0" w:rsidP="00F74104">
            <w:pPr>
              <w:ind w:left="-27"/>
            </w:pPr>
          </w:p>
        </w:tc>
      </w:tr>
    </w:tbl>
    <w:p w14:paraId="12E9DA49" w14:textId="77777777" w:rsidR="00855DE0" w:rsidRPr="002D741C" w:rsidRDefault="00855DE0" w:rsidP="00855DE0">
      <w:pPr>
        <w:pStyle w:val="EndnoteText"/>
        <w:widowControl w:val="0"/>
        <w:tabs>
          <w:tab w:val="clear" w:pos="567"/>
        </w:tabs>
        <w:rPr>
          <w:color w:val="000000"/>
          <w:szCs w:val="22"/>
          <w:lang w:val="es-ES_tradnl"/>
        </w:rPr>
      </w:pPr>
    </w:p>
    <w:p w14:paraId="3067D21A" w14:textId="77777777" w:rsidR="00855DE0" w:rsidRPr="002D741C" w:rsidRDefault="00855DE0" w:rsidP="00855DE0">
      <w:pPr>
        <w:keepNext/>
        <w:ind w:left="1134" w:hanging="1134"/>
        <w:outlineLvl w:val="6"/>
        <w:rPr>
          <w:rFonts w:eastAsia="MS Mincho"/>
          <w:b/>
          <w:sz w:val="22"/>
          <w:szCs w:val="22"/>
        </w:rPr>
      </w:pPr>
      <w:r w:rsidRPr="002D741C">
        <w:rPr>
          <w:rFonts w:eastAsia="MS Mincho"/>
          <w:b/>
          <w:sz w:val="22"/>
          <w:szCs w:val="22"/>
        </w:rPr>
        <w:lastRenderedPageBreak/>
        <w:t>Figura 2</w:t>
      </w:r>
      <w:r w:rsidRPr="002D741C">
        <w:rPr>
          <w:rFonts w:eastAsia="MS Mincho"/>
          <w:b/>
          <w:sz w:val="22"/>
          <w:szCs w:val="22"/>
        </w:rPr>
        <w:tab/>
        <w:t xml:space="preserve">Estimación de Kaplan-Meier de la supervivencia global (población </w:t>
      </w:r>
      <w:smartTag w:uri="urn:schemas-microsoft-com:office:smarttags" w:element="PersonName">
        <w:r w:rsidRPr="002D741C">
          <w:rPr>
            <w:rFonts w:eastAsia="MS Mincho"/>
            <w:b/>
            <w:sz w:val="22"/>
            <w:szCs w:val="22"/>
          </w:rPr>
          <w:t>IT</w:t>
        </w:r>
      </w:smartTag>
      <w:r w:rsidRPr="002D741C">
        <w:rPr>
          <w:rFonts w:eastAsia="MS Mincho"/>
          <w:b/>
          <w:sz w:val="22"/>
          <w:szCs w:val="22"/>
        </w:rPr>
        <w:t>T)</w:t>
      </w:r>
    </w:p>
    <w:p w14:paraId="19F3F009" w14:textId="77777777" w:rsidR="00855DE0" w:rsidRPr="002D741C" w:rsidRDefault="00855DE0" w:rsidP="00855DE0">
      <w:pPr>
        <w:pStyle w:val="EndnoteText"/>
        <w:keepNext/>
        <w:widowControl w:val="0"/>
        <w:tabs>
          <w:tab w:val="clear" w:pos="567"/>
        </w:tabs>
        <w:rPr>
          <w:color w:val="000000"/>
          <w:szCs w:val="22"/>
          <w:lang w:val="es-ES_tradnl"/>
        </w:rPr>
      </w:pPr>
    </w:p>
    <w:p w14:paraId="3E4C52C6" w14:textId="77777777" w:rsidR="00855DE0" w:rsidRPr="002D741C" w:rsidRDefault="00B34E6C" w:rsidP="00855DE0">
      <w:pPr>
        <w:pStyle w:val="EndnoteText"/>
        <w:widowControl w:val="0"/>
        <w:tabs>
          <w:tab w:val="clear" w:pos="567"/>
        </w:tabs>
        <w:rPr>
          <w:color w:val="000000"/>
          <w:szCs w:val="22"/>
          <w:lang w:val="es-ES_tradnl"/>
        </w:rPr>
      </w:pPr>
      <w:r w:rsidRPr="002D741C">
        <w:rPr>
          <w:noProof/>
          <w:snapToGrid/>
          <w:lang w:eastAsia="en-GB"/>
        </w:rPr>
        <mc:AlternateContent>
          <mc:Choice Requires="wpg">
            <w:drawing>
              <wp:anchor distT="0" distB="0" distL="114300" distR="114300" simplePos="0" relativeHeight="251656192" behindDoc="0" locked="0" layoutInCell="1" allowOverlap="1" wp14:anchorId="05C41DF4" wp14:editId="4FBDCA58">
                <wp:simplePos x="0" y="0"/>
                <wp:positionH relativeFrom="column">
                  <wp:posOffset>-255270</wp:posOffset>
                </wp:positionH>
                <wp:positionV relativeFrom="paragraph">
                  <wp:posOffset>59055</wp:posOffset>
                </wp:positionV>
                <wp:extent cx="5191125" cy="2848610"/>
                <wp:effectExtent l="0" t="0" r="0" b="0"/>
                <wp:wrapNone/>
                <wp:docPr id="20"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91125" cy="2848610"/>
                          <a:chOff x="1016" y="1733"/>
                          <a:chExt cx="8175" cy="4486"/>
                        </a:xfrm>
                      </wpg:grpSpPr>
                      <wps:wsp>
                        <wps:cNvPr id="21" name="Text Box 2"/>
                        <wps:cNvSpPr txBox="1">
                          <a:spLocks noChangeArrowheads="1"/>
                        </wps:cNvSpPr>
                        <wps:spPr bwMode="auto">
                          <a:xfrm>
                            <a:off x="1016" y="1733"/>
                            <a:ext cx="634" cy="3429"/>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C30BEF1" w14:textId="77777777" w:rsidR="00777AB3" w:rsidRPr="00A33DBA" w:rsidRDefault="00777AB3" w:rsidP="00855DE0">
                              <w:pPr>
                                <w:rPr>
                                  <w:rFonts w:ascii="Arial" w:hAnsi="Arial" w:cs="Arial"/>
                                </w:rPr>
                              </w:pPr>
                              <w:r>
                                <w:rPr>
                                  <w:rFonts w:ascii="Arial" w:hAnsi="Arial" w:cs="Arial"/>
                                </w:rPr>
                                <w:t>Probabilidad de supervivencia global</w:t>
                              </w:r>
                            </w:p>
                          </w:txbxContent>
                        </wps:txbx>
                        <wps:bodyPr rot="0" vert="vert270" wrap="square" lIns="91440" tIns="45720" rIns="91440" bIns="45720" anchor="t" anchorCtr="0" upright="1">
                          <a:noAutofit/>
                        </wps:bodyPr>
                      </wps:wsp>
                      <wps:wsp>
                        <wps:cNvPr id="22" name="Text Box 2"/>
                        <wps:cNvSpPr txBox="1">
                          <a:spLocks noChangeArrowheads="1"/>
                        </wps:cNvSpPr>
                        <wps:spPr bwMode="auto">
                          <a:xfrm>
                            <a:off x="1970" y="3248"/>
                            <a:ext cx="7221" cy="2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B2B42E" w14:textId="77777777" w:rsidR="00777AB3" w:rsidRDefault="00777AB3" w:rsidP="0096481B">
                              <w:pPr>
                                <w:rPr>
                                  <w:rFonts w:ascii="Arial" w:hAnsi="Arial" w:cs="Arial"/>
                                </w:rPr>
                              </w:pPr>
                            </w:p>
                            <w:tbl>
                              <w:tblPr>
                                <w:tblW w:w="0" w:type="auto"/>
                                <w:tblLook w:val="04A0" w:firstRow="1" w:lastRow="0" w:firstColumn="1" w:lastColumn="0" w:noHBand="0" w:noVBand="1"/>
                              </w:tblPr>
                              <w:tblGrid>
                                <w:gridCol w:w="817"/>
                                <w:gridCol w:w="2464"/>
                                <w:gridCol w:w="851"/>
                                <w:gridCol w:w="709"/>
                                <w:gridCol w:w="850"/>
                              </w:tblGrid>
                              <w:tr w:rsidR="00777AB3" w:rsidRPr="0055776F" w14:paraId="2F57FCE4" w14:textId="77777777" w:rsidTr="004B54D7">
                                <w:tc>
                                  <w:tcPr>
                                    <w:tcW w:w="5691" w:type="dxa"/>
                                    <w:gridSpan w:val="5"/>
                                    <w:shd w:val="clear" w:color="auto" w:fill="auto"/>
                                  </w:tcPr>
                                  <w:p w14:paraId="15B71B5C" w14:textId="77777777" w:rsidR="00777AB3" w:rsidRPr="0055776F" w:rsidRDefault="00777AB3" w:rsidP="004B54D7">
                                    <w:pPr>
                                      <w:rPr>
                                        <w:rFonts w:ascii="Arial" w:hAnsi="Arial" w:cs="Arial"/>
                                      </w:rPr>
                                    </w:pPr>
                                    <w:r>
                                      <w:rPr>
                                        <w:rFonts w:ascii="Arial" w:hAnsi="Arial" w:cs="Arial"/>
                                      </w:rPr>
                                      <w:t>P = 0,0</w:t>
                                    </w:r>
                                    <w:r w:rsidRPr="0055776F">
                                      <w:rPr>
                                        <w:rFonts w:ascii="Arial" w:hAnsi="Arial" w:cs="Arial"/>
                                      </w:rPr>
                                      <w:t>19</w:t>
                                    </w:r>
                                  </w:p>
                                  <w:p w14:paraId="2CA15950" w14:textId="77777777" w:rsidR="00777AB3" w:rsidRPr="00A33DBA" w:rsidRDefault="00777AB3" w:rsidP="0096481B">
                                    <w:pPr>
                                      <w:rPr>
                                        <w:rFonts w:ascii="Arial" w:hAnsi="Arial" w:cs="Arial"/>
                                      </w:rPr>
                                    </w:pPr>
                                    <w:r>
                                      <w:rPr>
                                        <w:rFonts w:ascii="Arial" w:hAnsi="Arial" w:cs="Arial"/>
                                      </w:rPr>
                                      <w:t xml:space="preserve">Cociente de riesgo </w:t>
                                    </w:r>
                                    <w:r w:rsidRPr="00A33DBA">
                                      <w:rPr>
                                        <w:rFonts w:ascii="Arial" w:hAnsi="Arial" w:cs="Arial"/>
                                      </w:rPr>
                                      <w:t>0</w:t>
                                    </w:r>
                                    <w:r>
                                      <w:rPr>
                                        <w:rFonts w:ascii="Arial" w:hAnsi="Arial" w:cs="Arial"/>
                                      </w:rPr>
                                      <w:t>,</w:t>
                                    </w:r>
                                    <w:r w:rsidRPr="00A33DBA">
                                      <w:rPr>
                                        <w:rFonts w:ascii="Arial" w:hAnsi="Arial" w:cs="Arial"/>
                                      </w:rPr>
                                      <w:t>45</w:t>
                                    </w:r>
                                  </w:p>
                                  <w:p w14:paraId="44EC1114" w14:textId="77777777" w:rsidR="00777AB3" w:rsidRPr="00CE1E85" w:rsidRDefault="00777AB3" w:rsidP="0096481B">
                                    <w:pPr>
                                      <w:rPr>
                                        <w:rFonts w:ascii="Arial" w:hAnsi="Arial" w:cs="Arial"/>
                                        <w:lang w:val="es-ES"/>
                                      </w:rPr>
                                    </w:pPr>
                                    <w:r w:rsidRPr="00A33DBA">
                                      <w:rPr>
                                        <w:rFonts w:ascii="Arial" w:hAnsi="Arial" w:cs="Arial"/>
                                      </w:rPr>
                                      <w:t>(</w:t>
                                    </w:r>
                                    <w:r>
                                      <w:rPr>
                                        <w:rFonts w:ascii="Arial" w:hAnsi="Arial" w:cs="Arial"/>
                                      </w:rPr>
                                      <w:t xml:space="preserve">IC </w:t>
                                    </w:r>
                                    <w:r w:rsidRPr="00A33DBA">
                                      <w:rPr>
                                        <w:rFonts w:ascii="Arial" w:hAnsi="Arial" w:cs="Arial"/>
                                      </w:rPr>
                                      <w:t>95%, 0</w:t>
                                    </w:r>
                                    <w:r>
                                      <w:rPr>
                                        <w:rFonts w:ascii="Arial" w:hAnsi="Arial" w:cs="Arial"/>
                                      </w:rPr>
                                      <w:t>,22</w:t>
                                    </w:r>
                                    <w:r>
                                      <w:rPr>
                                        <w:rFonts w:ascii="Arial" w:hAnsi="Arial" w:cs="Arial"/>
                                      </w:rPr>
                                      <w:noBreakHyphen/>
                                    </w:r>
                                    <w:r w:rsidRPr="00A33DBA">
                                      <w:rPr>
                                        <w:rFonts w:ascii="Arial" w:hAnsi="Arial" w:cs="Arial"/>
                                      </w:rPr>
                                      <w:t>0</w:t>
                                    </w:r>
                                    <w:r>
                                      <w:rPr>
                                        <w:rFonts w:ascii="Arial" w:hAnsi="Arial" w:cs="Arial"/>
                                      </w:rPr>
                                      <w:t>,</w:t>
                                    </w:r>
                                    <w:r w:rsidRPr="00A33DBA">
                                      <w:rPr>
                                        <w:rFonts w:ascii="Arial" w:hAnsi="Arial" w:cs="Arial"/>
                                      </w:rPr>
                                      <w:t>89)</w:t>
                                    </w:r>
                                  </w:p>
                                </w:tc>
                              </w:tr>
                              <w:tr w:rsidR="00777AB3" w:rsidRPr="0055776F" w14:paraId="5D703DE2" w14:textId="77777777" w:rsidTr="004B54D7">
                                <w:tc>
                                  <w:tcPr>
                                    <w:tcW w:w="817" w:type="dxa"/>
                                    <w:shd w:val="clear" w:color="auto" w:fill="auto"/>
                                  </w:tcPr>
                                  <w:p w14:paraId="5D8D7B63" w14:textId="77777777" w:rsidR="00777AB3" w:rsidRPr="0055776F" w:rsidRDefault="00777AB3" w:rsidP="004B54D7">
                                    <w:pPr>
                                      <w:rPr>
                                        <w:rFonts w:ascii="Arial" w:hAnsi="Arial" w:cs="Arial"/>
                                      </w:rPr>
                                    </w:pPr>
                                  </w:p>
                                </w:tc>
                                <w:tc>
                                  <w:tcPr>
                                    <w:tcW w:w="2464" w:type="dxa"/>
                                    <w:shd w:val="clear" w:color="auto" w:fill="auto"/>
                                  </w:tcPr>
                                  <w:p w14:paraId="17C36686" w14:textId="77777777" w:rsidR="00777AB3" w:rsidRPr="0055776F" w:rsidRDefault="00777AB3" w:rsidP="004B54D7">
                                    <w:pPr>
                                      <w:rPr>
                                        <w:rFonts w:ascii="Arial" w:hAnsi="Arial" w:cs="Arial"/>
                                      </w:rPr>
                                    </w:pPr>
                                  </w:p>
                                </w:tc>
                                <w:tc>
                                  <w:tcPr>
                                    <w:tcW w:w="851" w:type="dxa"/>
                                    <w:tcBorders>
                                      <w:bottom w:val="single" w:sz="4" w:space="0" w:color="auto"/>
                                    </w:tcBorders>
                                    <w:shd w:val="clear" w:color="auto" w:fill="auto"/>
                                  </w:tcPr>
                                  <w:p w14:paraId="3E40E930" w14:textId="77777777" w:rsidR="00777AB3" w:rsidRPr="0055776F" w:rsidRDefault="00777AB3" w:rsidP="004B54D7">
                                    <w:pPr>
                                      <w:rPr>
                                        <w:rFonts w:ascii="Arial" w:hAnsi="Arial" w:cs="Arial"/>
                                      </w:rPr>
                                    </w:pPr>
                                    <w:r w:rsidRPr="0055776F">
                                      <w:rPr>
                                        <w:rFonts w:ascii="Arial" w:hAnsi="Arial" w:cs="Arial"/>
                                        <w:lang w:val="de-DE"/>
                                      </w:rPr>
                                      <w:t>N</w:t>
                                    </w:r>
                                  </w:p>
                                </w:tc>
                                <w:tc>
                                  <w:tcPr>
                                    <w:tcW w:w="709" w:type="dxa"/>
                                    <w:tcBorders>
                                      <w:bottom w:val="single" w:sz="4" w:space="0" w:color="auto"/>
                                    </w:tcBorders>
                                    <w:shd w:val="clear" w:color="auto" w:fill="auto"/>
                                  </w:tcPr>
                                  <w:p w14:paraId="5B3EAD5A" w14:textId="77777777" w:rsidR="00777AB3" w:rsidRPr="0055776F" w:rsidRDefault="00777AB3" w:rsidP="004B54D7">
                                    <w:pPr>
                                      <w:rPr>
                                        <w:rFonts w:ascii="Arial" w:hAnsi="Arial" w:cs="Arial"/>
                                      </w:rPr>
                                    </w:pPr>
                                    <w:r w:rsidRPr="0055776F">
                                      <w:rPr>
                                        <w:rFonts w:ascii="Arial" w:hAnsi="Arial" w:cs="Arial"/>
                                        <w:lang w:val="de-DE"/>
                                      </w:rPr>
                                      <w:t>Evt</w:t>
                                    </w:r>
                                  </w:p>
                                </w:tc>
                                <w:tc>
                                  <w:tcPr>
                                    <w:tcW w:w="850" w:type="dxa"/>
                                    <w:tcBorders>
                                      <w:bottom w:val="single" w:sz="4" w:space="0" w:color="auto"/>
                                    </w:tcBorders>
                                    <w:shd w:val="clear" w:color="auto" w:fill="auto"/>
                                  </w:tcPr>
                                  <w:p w14:paraId="0E8D4A83" w14:textId="77777777" w:rsidR="00777AB3" w:rsidRPr="0055776F" w:rsidRDefault="00777AB3" w:rsidP="004B54D7">
                                    <w:pPr>
                                      <w:rPr>
                                        <w:rFonts w:ascii="Arial" w:hAnsi="Arial" w:cs="Arial"/>
                                      </w:rPr>
                                    </w:pPr>
                                    <w:r w:rsidRPr="0055776F">
                                      <w:rPr>
                                        <w:rFonts w:ascii="Arial" w:hAnsi="Arial" w:cs="Arial"/>
                                        <w:lang w:val="de-DE"/>
                                      </w:rPr>
                                      <w:t>Cen</w:t>
                                    </w:r>
                                  </w:p>
                                </w:tc>
                              </w:tr>
                              <w:tr w:rsidR="00777AB3" w:rsidRPr="0055776F" w14:paraId="60BB8709" w14:textId="77777777" w:rsidTr="004B54D7">
                                <w:tc>
                                  <w:tcPr>
                                    <w:tcW w:w="817" w:type="dxa"/>
                                    <w:shd w:val="clear" w:color="auto" w:fill="auto"/>
                                  </w:tcPr>
                                  <w:p w14:paraId="3602ED14" w14:textId="77777777" w:rsidR="00777AB3" w:rsidRPr="0055776F" w:rsidRDefault="00777AB3" w:rsidP="004B54D7">
                                    <w:pPr>
                                      <w:rPr>
                                        <w:rFonts w:ascii="Arial" w:hAnsi="Arial" w:cs="Arial"/>
                                      </w:rPr>
                                    </w:pPr>
                                    <w:r w:rsidRPr="0055776F">
                                      <w:rPr>
                                        <w:rFonts w:ascii="Arial" w:hAnsi="Arial" w:cs="Arial"/>
                                        <w:b/>
                                      </w:rPr>
                                      <w:t>——</w:t>
                                    </w:r>
                                  </w:p>
                                </w:tc>
                                <w:tc>
                                  <w:tcPr>
                                    <w:tcW w:w="2464" w:type="dxa"/>
                                    <w:shd w:val="clear" w:color="auto" w:fill="auto"/>
                                  </w:tcPr>
                                  <w:p w14:paraId="294DFA46" w14:textId="77777777" w:rsidR="00777AB3" w:rsidRPr="0055776F" w:rsidRDefault="00777AB3" w:rsidP="004B54D7">
                                    <w:pPr>
                                      <w:rPr>
                                        <w:rFonts w:ascii="Arial" w:hAnsi="Arial" w:cs="Arial"/>
                                      </w:rPr>
                                    </w:pPr>
                                    <w:r w:rsidRPr="0055776F">
                                      <w:rPr>
                                        <w:rFonts w:ascii="Arial" w:hAnsi="Arial" w:cs="Arial"/>
                                      </w:rPr>
                                      <w:t xml:space="preserve">(1) </w:t>
                                    </w:r>
                                    <w:r>
                                      <w:rPr>
                                        <w:rFonts w:ascii="Arial" w:hAnsi="Arial" w:cs="Arial"/>
                                      </w:rPr>
                                      <w:t>Imatinib 12 </w:t>
                                    </w:r>
                                    <w:r w:rsidRPr="00A33DBA">
                                      <w:rPr>
                                        <w:rFonts w:ascii="Arial" w:hAnsi="Arial" w:cs="Arial"/>
                                      </w:rPr>
                                      <w:t>M</w:t>
                                    </w:r>
                                    <w:r>
                                      <w:rPr>
                                        <w:rFonts w:ascii="Arial" w:hAnsi="Arial" w:cs="Arial"/>
                                      </w:rPr>
                                      <w:t>E</w:t>
                                    </w:r>
                                    <w:r w:rsidRPr="0055776F">
                                      <w:rPr>
                                        <w:rFonts w:ascii="Arial" w:hAnsi="Arial" w:cs="Arial"/>
                                      </w:rPr>
                                      <w:t>:</w:t>
                                    </w:r>
                                  </w:p>
                                </w:tc>
                                <w:tc>
                                  <w:tcPr>
                                    <w:tcW w:w="851" w:type="dxa"/>
                                    <w:tcBorders>
                                      <w:top w:val="single" w:sz="4" w:space="0" w:color="auto"/>
                                    </w:tcBorders>
                                    <w:shd w:val="clear" w:color="auto" w:fill="auto"/>
                                  </w:tcPr>
                                  <w:p w14:paraId="2F871963" w14:textId="77777777" w:rsidR="00777AB3" w:rsidRPr="0055776F" w:rsidRDefault="00777AB3" w:rsidP="004B54D7">
                                    <w:pPr>
                                      <w:rPr>
                                        <w:rFonts w:ascii="Arial" w:hAnsi="Arial" w:cs="Arial"/>
                                      </w:rPr>
                                    </w:pPr>
                                    <w:r w:rsidRPr="0055776F">
                                      <w:rPr>
                                        <w:rFonts w:ascii="Arial" w:hAnsi="Arial" w:cs="Arial"/>
                                      </w:rPr>
                                      <w:t>199</w:t>
                                    </w:r>
                                  </w:p>
                                </w:tc>
                                <w:tc>
                                  <w:tcPr>
                                    <w:tcW w:w="709" w:type="dxa"/>
                                    <w:tcBorders>
                                      <w:top w:val="single" w:sz="4" w:space="0" w:color="auto"/>
                                    </w:tcBorders>
                                    <w:shd w:val="clear" w:color="auto" w:fill="auto"/>
                                  </w:tcPr>
                                  <w:p w14:paraId="6CE5A927" w14:textId="77777777" w:rsidR="00777AB3" w:rsidRPr="0055776F" w:rsidRDefault="00777AB3" w:rsidP="004B54D7">
                                    <w:pPr>
                                      <w:rPr>
                                        <w:rFonts w:ascii="Arial" w:hAnsi="Arial" w:cs="Arial"/>
                                      </w:rPr>
                                    </w:pPr>
                                    <w:r w:rsidRPr="0055776F">
                                      <w:rPr>
                                        <w:rFonts w:ascii="Arial" w:hAnsi="Arial" w:cs="Arial"/>
                                      </w:rPr>
                                      <w:t>25</w:t>
                                    </w:r>
                                  </w:p>
                                </w:tc>
                                <w:tc>
                                  <w:tcPr>
                                    <w:tcW w:w="850" w:type="dxa"/>
                                    <w:tcBorders>
                                      <w:top w:val="single" w:sz="4" w:space="0" w:color="auto"/>
                                    </w:tcBorders>
                                    <w:shd w:val="clear" w:color="auto" w:fill="auto"/>
                                  </w:tcPr>
                                  <w:p w14:paraId="4197343B" w14:textId="77777777" w:rsidR="00777AB3" w:rsidRPr="0055776F" w:rsidRDefault="00777AB3" w:rsidP="004B54D7">
                                    <w:pPr>
                                      <w:rPr>
                                        <w:rFonts w:ascii="Arial" w:hAnsi="Arial" w:cs="Arial"/>
                                      </w:rPr>
                                    </w:pPr>
                                    <w:r w:rsidRPr="0055776F">
                                      <w:rPr>
                                        <w:rFonts w:ascii="Arial" w:hAnsi="Arial" w:cs="Arial"/>
                                      </w:rPr>
                                      <w:t>174</w:t>
                                    </w:r>
                                  </w:p>
                                </w:tc>
                              </w:tr>
                              <w:tr w:rsidR="00777AB3" w:rsidRPr="0055776F" w14:paraId="0364DEBE" w14:textId="77777777" w:rsidTr="004B54D7">
                                <w:tc>
                                  <w:tcPr>
                                    <w:tcW w:w="817" w:type="dxa"/>
                                    <w:shd w:val="clear" w:color="auto" w:fill="auto"/>
                                  </w:tcPr>
                                  <w:p w14:paraId="153848AD" w14:textId="77777777" w:rsidR="00777AB3" w:rsidRPr="0055776F" w:rsidRDefault="00777AB3" w:rsidP="004B54D7">
                                    <w:pPr>
                                      <w:rPr>
                                        <w:rFonts w:ascii="Arial" w:hAnsi="Arial" w:cs="Arial"/>
                                      </w:rPr>
                                    </w:pPr>
                                    <w:r w:rsidRPr="0055776F">
                                      <w:rPr>
                                        <w:rFonts w:ascii="Arial" w:hAnsi="Arial" w:cs="Arial"/>
                                      </w:rPr>
                                      <w:t>-----</w:t>
                                    </w:r>
                                  </w:p>
                                </w:tc>
                                <w:tc>
                                  <w:tcPr>
                                    <w:tcW w:w="2464" w:type="dxa"/>
                                    <w:shd w:val="clear" w:color="auto" w:fill="auto"/>
                                  </w:tcPr>
                                  <w:p w14:paraId="2B48D79C" w14:textId="77777777" w:rsidR="00777AB3" w:rsidRPr="0055776F" w:rsidRDefault="00777AB3" w:rsidP="004B54D7">
                                    <w:pPr>
                                      <w:rPr>
                                        <w:rFonts w:ascii="Arial" w:hAnsi="Arial" w:cs="Arial"/>
                                      </w:rPr>
                                    </w:pPr>
                                    <w:r>
                                      <w:rPr>
                                        <w:rFonts w:ascii="Arial" w:hAnsi="Arial" w:cs="Arial"/>
                                      </w:rPr>
                                      <w:t>(2) Imatinib 36 </w:t>
                                    </w:r>
                                    <w:r w:rsidRPr="00A33DBA">
                                      <w:rPr>
                                        <w:rFonts w:ascii="Arial" w:hAnsi="Arial" w:cs="Arial"/>
                                      </w:rPr>
                                      <w:t>M</w:t>
                                    </w:r>
                                    <w:r>
                                      <w:rPr>
                                        <w:rFonts w:ascii="Arial" w:hAnsi="Arial" w:cs="Arial"/>
                                      </w:rPr>
                                      <w:t>E</w:t>
                                    </w:r>
                                    <w:r w:rsidRPr="0055776F">
                                      <w:rPr>
                                        <w:rFonts w:ascii="Arial" w:hAnsi="Arial" w:cs="Arial"/>
                                      </w:rPr>
                                      <w:t>:</w:t>
                                    </w:r>
                                  </w:p>
                                </w:tc>
                                <w:tc>
                                  <w:tcPr>
                                    <w:tcW w:w="851" w:type="dxa"/>
                                    <w:tcBorders>
                                      <w:bottom w:val="single" w:sz="4" w:space="0" w:color="auto"/>
                                    </w:tcBorders>
                                    <w:shd w:val="clear" w:color="auto" w:fill="auto"/>
                                  </w:tcPr>
                                  <w:p w14:paraId="24844F72" w14:textId="77777777" w:rsidR="00777AB3" w:rsidRPr="0055776F" w:rsidRDefault="00777AB3" w:rsidP="004B54D7">
                                    <w:pPr>
                                      <w:rPr>
                                        <w:rFonts w:ascii="Arial" w:hAnsi="Arial" w:cs="Arial"/>
                                      </w:rPr>
                                    </w:pPr>
                                    <w:r w:rsidRPr="0055776F">
                                      <w:rPr>
                                        <w:rFonts w:ascii="Arial" w:hAnsi="Arial" w:cs="Arial"/>
                                      </w:rPr>
                                      <w:t>198</w:t>
                                    </w:r>
                                  </w:p>
                                </w:tc>
                                <w:tc>
                                  <w:tcPr>
                                    <w:tcW w:w="709" w:type="dxa"/>
                                    <w:tcBorders>
                                      <w:bottom w:val="single" w:sz="4" w:space="0" w:color="auto"/>
                                    </w:tcBorders>
                                    <w:shd w:val="clear" w:color="auto" w:fill="auto"/>
                                  </w:tcPr>
                                  <w:p w14:paraId="02E87EBE" w14:textId="77777777" w:rsidR="00777AB3" w:rsidRPr="0055776F" w:rsidRDefault="00777AB3" w:rsidP="004B54D7">
                                    <w:pPr>
                                      <w:rPr>
                                        <w:rFonts w:ascii="Arial" w:hAnsi="Arial" w:cs="Arial"/>
                                      </w:rPr>
                                    </w:pPr>
                                    <w:r w:rsidRPr="0055776F">
                                      <w:rPr>
                                        <w:rFonts w:ascii="Arial" w:hAnsi="Arial" w:cs="Arial"/>
                                      </w:rPr>
                                      <w:t>12</w:t>
                                    </w:r>
                                  </w:p>
                                </w:tc>
                                <w:tc>
                                  <w:tcPr>
                                    <w:tcW w:w="850" w:type="dxa"/>
                                    <w:tcBorders>
                                      <w:bottom w:val="single" w:sz="4" w:space="0" w:color="auto"/>
                                    </w:tcBorders>
                                    <w:shd w:val="clear" w:color="auto" w:fill="auto"/>
                                  </w:tcPr>
                                  <w:p w14:paraId="2C52E696" w14:textId="77777777" w:rsidR="00777AB3" w:rsidRPr="0055776F" w:rsidRDefault="00777AB3" w:rsidP="004B54D7">
                                    <w:pPr>
                                      <w:rPr>
                                        <w:rFonts w:ascii="Arial" w:hAnsi="Arial" w:cs="Arial"/>
                                      </w:rPr>
                                    </w:pPr>
                                    <w:r w:rsidRPr="0055776F">
                                      <w:rPr>
                                        <w:rFonts w:ascii="Arial" w:hAnsi="Arial" w:cs="Arial"/>
                                      </w:rPr>
                                      <w:t>186</w:t>
                                    </w:r>
                                  </w:p>
                                </w:tc>
                              </w:tr>
                              <w:tr w:rsidR="00777AB3" w:rsidRPr="0055776F" w14:paraId="0979676A" w14:textId="77777777" w:rsidTr="004B54D7">
                                <w:tc>
                                  <w:tcPr>
                                    <w:tcW w:w="817" w:type="dxa"/>
                                    <w:shd w:val="clear" w:color="auto" w:fill="auto"/>
                                  </w:tcPr>
                                  <w:p w14:paraId="4FC1C5C3" w14:textId="77777777" w:rsidR="00777AB3" w:rsidRPr="0055776F" w:rsidRDefault="00777AB3" w:rsidP="004B54D7">
                                    <w:pPr>
                                      <w:rPr>
                                        <w:rFonts w:ascii="Arial" w:hAnsi="Arial" w:cs="Arial"/>
                                      </w:rPr>
                                    </w:pPr>
                                    <w:r w:rsidRPr="0055776F">
                                      <w:rPr>
                                        <w:rFonts w:ascii="Arial" w:hAnsi="Arial" w:cs="Arial"/>
                                      </w:rPr>
                                      <w:t>│││</w:t>
                                    </w:r>
                                  </w:p>
                                </w:tc>
                                <w:tc>
                                  <w:tcPr>
                                    <w:tcW w:w="2464" w:type="dxa"/>
                                    <w:shd w:val="clear" w:color="auto" w:fill="auto"/>
                                  </w:tcPr>
                                  <w:p w14:paraId="57CCA028" w14:textId="77777777" w:rsidR="00777AB3" w:rsidRPr="0055776F" w:rsidRDefault="00777AB3" w:rsidP="004B54D7">
                                    <w:pPr>
                                      <w:rPr>
                                        <w:rFonts w:ascii="Arial" w:hAnsi="Arial" w:cs="Arial"/>
                                      </w:rPr>
                                    </w:pPr>
                                    <w:r>
                                      <w:rPr>
                                        <w:rFonts w:ascii="Arial" w:hAnsi="Arial" w:cs="Arial"/>
                                      </w:rPr>
                                      <w:t>Observaciones censuradas</w:t>
                                    </w:r>
                                  </w:p>
                                </w:tc>
                                <w:tc>
                                  <w:tcPr>
                                    <w:tcW w:w="851" w:type="dxa"/>
                                    <w:tcBorders>
                                      <w:top w:val="single" w:sz="4" w:space="0" w:color="auto"/>
                                    </w:tcBorders>
                                    <w:shd w:val="clear" w:color="auto" w:fill="auto"/>
                                  </w:tcPr>
                                  <w:p w14:paraId="602901F6" w14:textId="77777777" w:rsidR="00777AB3" w:rsidRPr="0055776F" w:rsidRDefault="00777AB3" w:rsidP="004B54D7">
                                    <w:pPr>
                                      <w:rPr>
                                        <w:rFonts w:ascii="Arial" w:hAnsi="Arial" w:cs="Arial"/>
                                      </w:rPr>
                                    </w:pPr>
                                  </w:p>
                                </w:tc>
                                <w:tc>
                                  <w:tcPr>
                                    <w:tcW w:w="709" w:type="dxa"/>
                                    <w:tcBorders>
                                      <w:top w:val="single" w:sz="4" w:space="0" w:color="auto"/>
                                    </w:tcBorders>
                                    <w:shd w:val="clear" w:color="auto" w:fill="auto"/>
                                  </w:tcPr>
                                  <w:p w14:paraId="203D15A2" w14:textId="77777777" w:rsidR="00777AB3" w:rsidRPr="0055776F" w:rsidRDefault="00777AB3" w:rsidP="004B54D7">
                                    <w:pPr>
                                      <w:rPr>
                                        <w:rFonts w:ascii="Arial" w:hAnsi="Arial" w:cs="Arial"/>
                                      </w:rPr>
                                    </w:pPr>
                                  </w:p>
                                </w:tc>
                                <w:tc>
                                  <w:tcPr>
                                    <w:tcW w:w="850" w:type="dxa"/>
                                    <w:tcBorders>
                                      <w:top w:val="single" w:sz="4" w:space="0" w:color="auto"/>
                                    </w:tcBorders>
                                    <w:shd w:val="clear" w:color="auto" w:fill="auto"/>
                                  </w:tcPr>
                                  <w:p w14:paraId="6273A477" w14:textId="77777777" w:rsidR="00777AB3" w:rsidRPr="0055776F" w:rsidRDefault="00777AB3" w:rsidP="004B54D7">
                                    <w:pPr>
                                      <w:rPr>
                                        <w:rFonts w:ascii="Arial" w:hAnsi="Arial" w:cs="Arial"/>
                                      </w:rPr>
                                    </w:pPr>
                                  </w:p>
                                </w:tc>
                              </w:tr>
                            </w:tbl>
                            <w:p w14:paraId="1180FC7E" w14:textId="77777777" w:rsidR="00777AB3" w:rsidRPr="00A33DBA" w:rsidRDefault="00777AB3" w:rsidP="0096481B">
                              <w:pPr>
                                <w:rPr>
                                  <w:rFonts w:ascii="Arial" w:hAnsi="Arial" w:cs="Arial"/>
                                </w:rPr>
                              </w:pPr>
                            </w:p>
                            <w:p w14:paraId="1C631CFB" w14:textId="77777777" w:rsidR="00777AB3" w:rsidRPr="00A33DBA" w:rsidRDefault="00777AB3" w:rsidP="00855DE0">
                              <w:pPr>
                                <w:rPr>
                                  <w:rFonts w:ascii="Arial" w:hAnsi="Arial" w:cs="Arial"/>
                                </w:rPr>
                              </w:pPr>
                            </w:p>
                          </w:txbxContent>
                        </wps:txbx>
                        <wps:bodyPr rot="0" vert="horz" wrap="square" lIns="91440" tIns="45720" rIns="91440" bIns="45720" anchor="t" anchorCtr="0" upright="1">
                          <a:noAutofit/>
                        </wps:bodyPr>
                      </wps:wsp>
                      <wps:wsp>
                        <wps:cNvPr id="23" name="Text Box 2"/>
                        <wps:cNvSpPr txBox="1">
                          <a:spLocks noChangeArrowheads="1"/>
                        </wps:cNvSpPr>
                        <wps:spPr bwMode="auto">
                          <a:xfrm>
                            <a:off x="3900" y="5873"/>
                            <a:ext cx="3737" cy="346"/>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1D9064C" w14:textId="77777777" w:rsidR="00777AB3" w:rsidRPr="00A33DBA" w:rsidRDefault="00777AB3" w:rsidP="00855DE0">
                              <w:pPr>
                                <w:rPr>
                                  <w:rFonts w:ascii="Arial" w:hAnsi="Arial" w:cs="Arial"/>
                                </w:rPr>
                              </w:pPr>
                              <w:r>
                                <w:rPr>
                                  <w:rFonts w:ascii="Arial" w:hAnsi="Arial" w:cs="Arial"/>
                                  <w:lang w:val="de-DE"/>
                                </w:rPr>
                                <w:t>Tiempo de supervivencia en meses</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5C41DF4" id="Group 12" o:spid="_x0000_s1031" style="position:absolute;margin-left:-20.1pt;margin-top:4.65pt;width:408.75pt;height:224.3pt;z-index:251656192" coordorigin="1016,1733" coordsize="8175,44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tmG6wIAADkKAAAOAAAAZHJzL2Uyb0RvYy54bWzkVm1v0zAQ/o7Ef7D8naV5adNGS6exsQlp&#10;wKSNH+A6zotIbGO7Tcav52wn7TaQgCGhTfSDFfvs893zPHf18cnQtWjHlG4Ez3F4NMOIcSqKhlc5&#10;/nx78WaJkTaEF6QVnOX4jml8sn796riXGYtELdqCKQROuM56mePaGJkFgaY164g+EpJxMJZCdcTA&#10;VFVBoUgP3rs2iGazRdALVUglKNMaVs+9Ea+d/7Jk1HwqS80ManMMsRk3Kjdu7Bisj0lWKSLrho5h&#10;kCdE0ZGGw6V7V+fEELRVzQ+uuoYqoUVpjqjoAlGWDWUuB8gmnD3K5lKJrXS5VFlfyT1MAO0jnJ7s&#10;ln7cXSvUFDmOAB5OOuDIXYvCyILTyyqDPZdK3shr5TOEzytBv2gwB4/tdl75zWjTfxAF+CNbIxw4&#10;Q6k66wLSRoPj4G7PARsMorA4D1dhGM0xomCLlslyEY4s0RqotOfCWbjACMxhGseeQVq/G88vw3Q8&#10;nMBZaw1I5i92wY7B2cxAcfoAqv47UG9qIpnjSlvAJlDDCdRbm+BbMaARVrfLYorMAMuQjINIe2gR&#10;F2c14RU7VUr0NSMFhBe6bGzccIGnw060dfIrrH+C2YT4Ik482nESrR4ARjKptLlkokP2I8cK6smF&#10;SXZX2nhspy2WWC3aprho2tZNVLU5axXaEai9C/fzZ1tZE7/qmAV+tN/quHrgo+XWExfWp7/OrgCR&#10;Pm3Pohk2g5OwE4O1bURxB6Ao4esd+hN82DFKQeU9lHuO9dctUQyj9j0HbFdhktj+4CbJPLXVoO5b&#10;NvcthNNaQBcxGPnPM+N7ylaqpqrhMs8mF6eg/bJxUB0CGzMA9f0rGUbPRYYrSwCUbhwlS1+6kwzT&#10;KIJicVUfzSdhTB1jEtlv6nAvGJL9mYISG9OBqEcKAs6//ZfyiZ+JfOLVzMtnvkzHzj/JJ07jdGpj&#10;D9v+S+ti85emQfe/Cu8T177Ht5R9AN2fu5Z3ePGtvwMAAP//AwBQSwMEFAAGAAgAAAAhAIoXvM7h&#10;AAAACQEAAA8AAABkcnMvZG93bnJldi54bWxMj81qwzAQhO+FvoPYQm+J7PzUjet1CKHtKQSaFEpv&#10;irWxTayVsRTbefuqp/Y2ywwz32br0TSip87VlhHiaQSCuLC65hLh8/g2eQbhvGKtGsuEcCMH6/z+&#10;LlOptgN/UH/wpQgl7FKFUHnfplK6oiKj3NS2xME7284oH86ulLpTQyg3jZxF0ZM0quawUKmWthUV&#10;l8PVILwPatjM49d+dzlvb9/H5f5rFxPi48O4eQHhafR/YfjFD+iQB6aTvbJ2okGYLKJZiCKs5iCC&#10;nyRJECeExTJZgcwz+f+D/AcAAP//AwBQSwECLQAUAAYACAAAACEAtoM4kv4AAADhAQAAEwAAAAAA&#10;AAAAAAAAAAAAAAAAW0NvbnRlbnRfVHlwZXNdLnhtbFBLAQItABQABgAIAAAAIQA4/SH/1gAAAJQB&#10;AAALAAAAAAAAAAAAAAAAAC8BAABfcmVscy8ucmVsc1BLAQItABQABgAIAAAAIQDmatmG6wIAADkK&#10;AAAOAAAAAAAAAAAAAAAAAC4CAABkcnMvZTJvRG9jLnhtbFBLAQItABQABgAIAAAAIQCKF7zO4QAA&#10;AAkBAAAPAAAAAAAAAAAAAAAAAEUFAABkcnMvZG93bnJldi54bWxQSwUGAAAAAAQABADzAAAAUwYA&#10;AAAA&#10;">
                <v:shape id="Text Box 2" o:spid="_x0000_s1032" type="#_x0000_t202" style="position:absolute;left:1016;top:1733;width:634;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aNiDwwAAANsAAAAPAAAAZHJzL2Rvd25yZXYueG1sRI9Ra8JA&#10;EITfC/6HYwXf6kWFNkRPEUEQCkKtir4tuTUJ5vZCbquxv75XKPg4zMw3zGzRuVrdqA2VZwOjYQKK&#10;OPe24sLA/mv9moIKgmyx9kwGHhRgMe+9zDCz/s6fdNtJoSKEQ4YGSpEm0zrkJTkMQ98QR+/iW4cS&#10;ZVto2+I9wl2tx0nyph1WHBdKbGhVUn7dfTsD5+NPSgfRW9zI5H1N+/BxOaXGDPrdcgpKqJNn+L+9&#10;sQbGI/j7En+Anv8CAAD//wMAUEsBAi0AFAAGAAgAAAAhANvh9svuAAAAhQEAABMAAAAAAAAAAAAA&#10;AAAAAAAAAFtDb250ZW50X1R5cGVzXS54bWxQSwECLQAUAAYACAAAACEAWvQsW78AAAAVAQAACwAA&#10;AAAAAAAAAAAAAAAfAQAAX3JlbHMvLnJlbHNQSwECLQAUAAYACAAAACEAdmjYg8MAAADbAAAADwAA&#10;AAAAAAAAAAAAAAAHAgAAZHJzL2Rvd25yZXYueG1sUEsFBgAAAAADAAMAtwAAAPcCAAAAAA==&#10;" stroked="f">
                  <v:fill opacity="0"/>
                  <v:textbox style="layout-flow:vertical;mso-layout-flow-alt:bottom-to-top">
                    <w:txbxContent>
                      <w:p w14:paraId="6C30BEF1" w14:textId="77777777" w:rsidR="00777AB3" w:rsidRPr="00A33DBA" w:rsidRDefault="00777AB3" w:rsidP="00855DE0">
                        <w:pPr>
                          <w:rPr>
                            <w:rFonts w:ascii="Arial" w:hAnsi="Arial" w:cs="Arial"/>
                          </w:rPr>
                        </w:pPr>
                        <w:r>
                          <w:rPr>
                            <w:rFonts w:ascii="Arial" w:hAnsi="Arial" w:cs="Arial"/>
                          </w:rPr>
                          <w:t>Probabilidad de supervivencia global</w:t>
                        </w:r>
                      </w:p>
                    </w:txbxContent>
                  </v:textbox>
                </v:shape>
                <v:shape id="Text Box 2" o:spid="_x0000_s1033" type="#_x0000_t202" style="position:absolute;left:1970;top:3248;width:7221;height:22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iSowgAAANsAAAAPAAAAZHJzL2Rvd25yZXYueG1sRI9Ba8JA&#10;FITvBf/D8gRvdddgi0ZXkRbBU6VWBW+P7DMJZt+G7Griv3cFocdhZr5h5svOVuJGjS8daxgNFQji&#10;zJmScw37v/X7BIQPyAYrx6ThTh6Wi97bHFPjWv6l2y7kIkLYp6ihCKFOpfRZQRb90NXE0Tu7xmKI&#10;ssmlabCNcFvJRKlPabHkuFBgTV8FZZfd1Wo4/JxPx7Ha5t/2o25dpyTbqdR60O9WMxCBuvAffrU3&#10;RkOSwPNL/AFy8QAAAP//AwBQSwECLQAUAAYACAAAACEA2+H2y+4AAACFAQAAEwAAAAAAAAAAAAAA&#10;AAAAAAAAW0NvbnRlbnRfVHlwZXNdLnhtbFBLAQItABQABgAIAAAAIQBa9CxbvwAAABUBAAALAAAA&#10;AAAAAAAAAAAAAB8BAABfcmVscy8ucmVsc1BLAQItABQABgAIAAAAIQANciSowgAAANsAAAAPAAAA&#10;AAAAAAAAAAAAAAcCAABkcnMvZG93bnJldi54bWxQSwUGAAAAAAMAAwC3AAAA9gIAAAAA&#10;" filled="f" stroked="f">
                  <v:textbox>
                    <w:txbxContent>
                      <w:p w14:paraId="4FB2B42E" w14:textId="77777777" w:rsidR="00777AB3" w:rsidRDefault="00777AB3" w:rsidP="0096481B">
                        <w:pPr>
                          <w:rPr>
                            <w:rFonts w:ascii="Arial" w:hAnsi="Arial" w:cs="Arial"/>
                          </w:rPr>
                        </w:pPr>
                      </w:p>
                      <w:tbl>
                        <w:tblPr>
                          <w:tblW w:w="0" w:type="auto"/>
                          <w:tblLook w:val="04A0" w:firstRow="1" w:lastRow="0" w:firstColumn="1" w:lastColumn="0" w:noHBand="0" w:noVBand="1"/>
                        </w:tblPr>
                        <w:tblGrid>
                          <w:gridCol w:w="817"/>
                          <w:gridCol w:w="2464"/>
                          <w:gridCol w:w="851"/>
                          <w:gridCol w:w="709"/>
                          <w:gridCol w:w="850"/>
                        </w:tblGrid>
                        <w:tr w:rsidR="00777AB3" w:rsidRPr="0055776F" w14:paraId="2F57FCE4" w14:textId="77777777" w:rsidTr="004B54D7">
                          <w:tc>
                            <w:tcPr>
                              <w:tcW w:w="5691" w:type="dxa"/>
                              <w:gridSpan w:val="5"/>
                              <w:shd w:val="clear" w:color="auto" w:fill="auto"/>
                            </w:tcPr>
                            <w:p w14:paraId="15B71B5C" w14:textId="77777777" w:rsidR="00777AB3" w:rsidRPr="0055776F" w:rsidRDefault="00777AB3" w:rsidP="004B54D7">
                              <w:pPr>
                                <w:rPr>
                                  <w:rFonts w:ascii="Arial" w:hAnsi="Arial" w:cs="Arial"/>
                                </w:rPr>
                              </w:pPr>
                              <w:r>
                                <w:rPr>
                                  <w:rFonts w:ascii="Arial" w:hAnsi="Arial" w:cs="Arial"/>
                                </w:rPr>
                                <w:t>P = 0,0</w:t>
                              </w:r>
                              <w:r w:rsidRPr="0055776F">
                                <w:rPr>
                                  <w:rFonts w:ascii="Arial" w:hAnsi="Arial" w:cs="Arial"/>
                                </w:rPr>
                                <w:t>19</w:t>
                              </w:r>
                            </w:p>
                            <w:p w14:paraId="2CA15950" w14:textId="77777777" w:rsidR="00777AB3" w:rsidRPr="00A33DBA" w:rsidRDefault="00777AB3" w:rsidP="0096481B">
                              <w:pPr>
                                <w:rPr>
                                  <w:rFonts w:ascii="Arial" w:hAnsi="Arial" w:cs="Arial"/>
                                </w:rPr>
                              </w:pPr>
                              <w:r>
                                <w:rPr>
                                  <w:rFonts w:ascii="Arial" w:hAnsi="Arial" w:cs="Arial"/>
                                </w:rPr>
                                <w:t xml:space="preserve">Cociente de riesgo </w:t>
                              </w:r>
                              <w:r w:rsidRPr="00A33DBA">
                                <w:rPr>
                                  <w:rFonts w:ascii="Arial" w:hAnsi="Arial" w:cs="Arial"/>
                                </w:rPr>
                                <w:t>0</w:t>
                              </w:r>
                              <w:r>
                                <w:rPr>
                                  <w:rFonts w:ascii="Arial" w:hAnsi="Arial" w:cs="Arial"/>
                                </w:rPr>
                                <w:t>,</w:t>
                              </w:r>
                              <w:r w:rsidRPr="00A33DBA">
                                <w:rPr>
                                  <w:rFonts w:ascii="Arial" w:hAnsi="Arial" w:cs="Arial"/>
                                </w:rPr>
                                <w:t>45</w:t>
                              </w:r>
                            </w:p>
                            <w:p w14:paraId="44EC1114" w14:textId="77777777" w:rsidR="00777AB3" w:rsidRPr="00CE1E85" w:rsidRDefault="00777AB3" w:rsidP="0096481B">
                              <w:pPr>
                                <w:rPr>
                                  <w:rFonts w:ascii="Arial" w:hAnsi="Arial" w:cs="Arial"/>
                                  <w:lang w:val="es-ES"/>
                                </w:rPr>
                              </w:pPr>
                              <w:r w:rsidRPr="00A33DBA">
                                <w:rPr>
                                  <w:rFonts w:ascii="Arial" w:hAnsi="Arial" w:cs="Arial"/>
                                </w:rPr>
                                <w:t>(</w:t>
                              </w:r>
                              <w:r>
                                <w:rPr>
                                  <w:rFonts w:ascii="Arial" w:hAnsi="Arial" w:cs="Arial"/>
                                </w:rPr>
                                <w:t xml:space="preserve">IC </w:t>
                              </w:r>
                              <w:r w:rsidRPr="00A33DBA">
                                <w:rPr>
                                  <w:rFonts w:ascii="Arial" w:hAnsi="Arial" w:cs="Arial"/>
                                </w:rPr>
                                <w:t>95%, 0</w:t>
                              </w:r>
                              <w:r>
                                <w:rPr>
                                  <w:rFonts w:ascii="Arial" w:hAnsi="Arial" w:cs="Arial"/>
                                </w:rPr>
                                <w:t>,22</w:t>
                              </w:r>
                              <w:r>
                                <w:rPr>
                                  <w:rFonts w:ascii="Arial" w:hAnsi="Arial" w:cs="Arial"/>
                                </w:rPr>
                                <w:noBreakHyphen/>
                              </w:r>
                              <w:r w:rsidRPr="00A33DBA">
                                <w:rPr>
                                  <w:rFonts w:ascii="Arial" w:hAnsi="Arial" w:cs="Arial"/>
                                </w:rPr>
                                <w:t>0</w:t>
                              </w:r>
                              <w:r>
                                <w:rPr>
                                  <w:rFonts w:ascii="Arial" w:hAnsi="Arial" w:cs="Arial"/>
                                </w:rPr>
                                <w:t>,</w:t>
                              </w:r>
                              <w:r w:rsidRPr="00A33DBA">
                                <w:rPr>
                                  <w:rFonts w:ascii="Arial" w:hAnsi="Arial" w:cs="Arial"/>
                                </w:rPr>
                                <w:t>89)</w:t>
                              </w:r>
                            </w:p>
                          </w:tc>
                        </w:tr>
                        <w:tr w:rsidR="00777AB3" w:rsidRPr="0055776F" w14:paraId="5D703DE2" w14:textId="77777777" w:rsidTr="004B54D7">
                          <w:tc>
                            <w:tcPr>
                              <w:tcW w:w="817" w:type="dxa"/>
                              <w:shd w:val="clear" w:color="auto" w:fill="auto"/>
                            </w:tcPr>
                            <w:p w14:paraId="5D8D7B63" w14:textId="77777777" w:rsidR="00777AB3" w:rsidRPr="0055776F" w:rsidRDefault="00777AB3" w:rsidP="004B54D7">
                              <w:pPr>
                                <w:rPr>
                                  <w:rFonts w:ascii="Arial" w:hAnsi="Arial" w:cs="Arial"/>
                                </w:rPr>
                              </w:pPr>
                            </w:p>
                          </w:tc>
                          <w:tc>
                            <w:tcPr>
                              <w:tcW w:w="2464" w:type="dxa"/>
                              <w:shd w:val="clear" w:color="auto" w:fill="auto"/>
                            </w:tcPr>
                            <w:p w14:paraId="17C36686" w14:textId="77777777" w:rsidR="00777AB3" w:rsidRPr="0055776F" w:rsidRDefault="00777AB3" w:rsidP="004B54D7">
                              <w:pPr>
                                <w:rPr>
                                  <w:rFonts w:ascii="Arial" w:hAnsi="Arial" w:cs="Arial"/>
                                </w:rPr>
                              </w:pPr>
                            </w:p>
                          </w:tc>
                          <w:tc>
                            <w:tcPr>
                              <w:tcW w:w="851" w:type="dxa"/>
                              <w:tcBorders>
                                <w:bottom w:val="single" w:sz="4" w:space="0" w:color="auto"/>
                              </w:tcBorders>
                              <w:shd w:val="clear" w:color="auto" w:fill="auto"/>
                            </w:tcPr>
                            <w:p w14:paraId="3E40E930" w14:textId="77777777" w:rsidR="00777AB3" w:rsidRPr="0055776F" w:rsidRDefault="00777AB3" w:rsidP="004B54D7">
                              <w:pPr>
                                <w:rPr>
                                  <w:rFonts w:ascii="Arial" w:hAnsi="Arial" w:cs="Arial"/>
                                </w:rPr>
                              </w:pPr>
                              <w:r w:rsidRPr="0055776F">
                                <w:rPr>
                                  <w:rFonts w:ascii="Arial" w:hAnsi="Arial" w:cs="Arial"/>
                                  <w:lang w:val="de-DE"/>
                                </w:rPr>
                                <w:t>N</w:t>
                              </w:r>
                            </w:p>
                          </w:tc>
                          <w:tc>
                            <w:tcPr>
                              <w:tcW w:w="709" w:type="dxa"/>
                              <w:tcBorders>
                                <w:bottom w:val="single" w:sz="4" w:space="0" w:color="auto"/>
                              </w:tcBorders>
                              <w:shd w:val="clear" w:color="auto" w:fill="auto"/>
                            </w:tcPr>
                            <w:p w14:paraId="5B3EAD5A" w14:textId="77777777" w:rsidR="00777AB3" w:rsidRPr="0055776F" w:rsidRDefault="00777AB3" w:rsidP="004B54D7">
                              <w:pPr>
                                <w:rPr>
                                  <w:rFonts w:ascii="Arial" w:hAnsi="Arial" w:cs="Arial"/>
                                </w:rPr>
                              </w:pPr>
                              <w:r w:rsidRPr="0055776F">
                                <w:rPr>
                                  <w:rFonts w:ascii="Arial" w:hAnsi="Arial" w:cs="Arial"/>
                                  <w:lang w:val="de-DE"/>
                                </w:rPr>
                                <w:t>Evt</w:t>
                              </w:r>
                            </w:p>
                          </w:tc>
                          <w:tc>
                            <w:tcPr>
                              <w:tcW w:w="850" w:type="dxa"/>
                              <w:tcBorders>
                                <w:bottom w:val="single" w:sz="4" w:space="0" w:color="auto"/>
                              </w:tcBorders>
                              <w:shd w:val="clear" w:color="auto" w:fill="auto"/>
                            </w:tcPr>
                            <w:p w14:paraId="0E8D4A83" w14:textId="77777777" w:rsidR="00777AB3" w:rsidRPr="0055776F" w:rsidRDefault="00777AB3" w:rsidP="004B54D7">
                              <w:pPr>
                                <w:rPr>
                                  <w:rFonts w:ascii="Arial" w:hAnsi="Arial" w:cs="Arial"/>
                                </w:rPr>
                              </w:pPr>
                              <w:r w:rsidRPr="0055776F">
                                <w:rPr>
                                  <w:rFonts w:ascii="Arial" w:hAnsi="Arial" w:cs="Arial"/>
                                  <w:lang w:val="de-DE"/>
                                </w:rPr>
                                <w:t>Cen</w:t>
                              </w:r>
                            </w:p>
                          </w:tc>
                        </w:tr>
                        <w:tr w:rsidR="00777AB3" w:rsidRPr="0055776F" w14:paraId="60BB8709" w14:textId="77777777" w:rsidTr="004B54D7">
                          <w:tc>
                            <w:tcPr>
                              <w:tcW w:w="817" w:type="dxa"/>
                              <w:shd w:val="clear" w:color="auto" w:fill="auto"/>
                            </w:tcPr>
                            <w:p w14:paraId="3602ED14" w14:textId="77777777" w:rsidR="00777AB3" w:rsidRPr="0055776F" w:rsidRDefault="00777AB3" w:rsidP="004B54D7">
                              <w:pPr>
                                <w:rPr>
                                  <w:rFonts w:ascii="Arial" w:hAnsi="Arial" w:cs="Arial"/>
                                </w:rPr>
                              </w:pPr>
                              <w:r w:rsidRPr="0055776F">
                                <w:rPr>
                                  <w:rFonts w:ascii="Arial" w:hAnsi="Arial" w:cs="Arial"/>
                                  <w:b/>
                                </w:rPr>
                                <w:t>——</w:t>
                              </w:r>
                            </w:p>
                          </w:tc>
                          <w:tc>
                            <w:tcPr>
                              <w:tcW w:w="2464" w:type="dxa"/>
                              <w:shd w:val="clear" w:color="auto" w:fill="auto"/>
                            </w:tcPr>
                            <w:p w14:paraId="294DFA46" w14:textId="77777777" w:rsidR="00777AB3" w:rsidRPr="0055776F" w:rsidRDefault="00777AB3" w:rsidP="004B54D7">
                              <w:pPr>
                                <w:rPr>
                                  <w:rFonts w:ascii="Arial" w:hAnsi="Arial" w:cs="Arial"/>
                                </w:rPr>
                              </w:pPr>
                              <w:r w:rsidRPr="0055776F">
                                <w:rPr>
                                  <w:rFonts w:ascii="Arial" w:hAnsi="Arial" w:cs="Arial"/>
                                </w:rPr>
                                <w:t xml:space="preserve">(1) </w:t>
                              </w:r>
                              <w:r>
                                <w:rPr>
                                  <w:rFonts w:ascii="Arial" w:hAnsi="Arial" w:cs="Arial"/>
                                </w:rPr>
                                <w:t>Imatinib 12 </w:t>
                              </w:r>
                              <w:r w:rsidRPr="00A33DBA">
                                <w:rPr>
                                  <w:rFonts w:ascii="Arial" w:hAnsi="Arial" w:cs="Arial"/>
                                </w:rPr>
                                <w:t>M</w:t>
                              </w:r>
                              <w:r>
                                <w:rPr>
                                  <w:rFonts w:ascii="Arial" w:hAnsi="Arial" w:cs="Arial"/>
                                </w:rPr>
                                <w:t>E</w:t>
                              </w:r>
                              <w:r w:rsidRPr="0055776F">
                                <w:rPr>
                                  <w:rFonts w:ascii="Arial" w:hAnsi="Arial" w:cs="Arial"/>
                                </w:rPr>
                                <w:t>:</w:t>
                              </w:r>
                            </w:p>
                          </w:tc>
                          <w:tc>
                            <w:tcPr>
                              <w:tcW w:w="851" w:type="dxa"/>
                              <w:tcBorders>
                                <w:top w:val="single" w:sz="4" w:space="0" w:color="auto"/>
                              </w:tcBorders>
                              <w:shd w:val="clear" w:color="auto" w:fill="auto"/>
                            </w:tcPr>
                            <w:p w14:paraId="2F871963" w14:textId="77777777" w:rsidR="00777AB3" w:rsidRPr="0055776F" w:rsidRDefault="00777AB3" w:rsidP="004B54D7">
                              <w:pPr>
                                <w:rPr>
                                  <w:rFonts w:ascii="Arial" w:hAnsi="Arial" w:cs="Arial"/>
                                </w:rPr>
                              </w:pPr>
                              <w:r w:rsidRPr="0055776F">
                                <w:rPr>
                                  <w:rFonts w:ascii="Arial" w:hAnsi="Arial" w:cs="Arial"/>
                                </w:rPr>
                                <w:t>199</w:t>
                              </w:r>
                            </w:p>
                          </w:tc>
                          <w:tc>
                            <w:tcPr>
                              <w:tcW w:w="709" w:type="dxa"/>
                              <w:tcBorders>
                                <w:top w:val="single" w:sz="4" w:space="0" w:color="auto"/>
                              </w:tcBorders>
                              <w:shd w:val="clear" w:color="auto" w:fill="auto"/>
                            </w:tcPr>
                            <w:p w14:paraId="6CE5A927" w14:textId="77777777" w:rsidR="00777AB3" w:rsidRPr="0055776F" w:rsidRDefault="00777AB3" w:rsidP="004B54D7">
                              <w:pPr>
                                <w:rPr>
                                  <w:rFonts w:ascii="Arial" w:hAnsi="Arial" w:cs="Arial"/>
                                </w:rPr>
                              </w:pPr>
                              <w:r w:rsidRPr="0055776F">
                                <w:rPr>
                                  <w:rFonts w:ascii="Arial" w:hAnsi="Arial" w:cs="Arial"/>
                                </w:rPr>
                                <w:t>25</w:t>
                              </w:r>
                            </w:p>
                          </w:tc>
                          <w:tc>
                            <w:tcPr>
                              <w:tcW w:w="850" w:type="dxa"/>
                              <w:tcBorders>
                                <w:top w:val="single" w:sz="4" w:space="0" w:color="auto"/>
                              </w:tcBorders>
                              <w:shd w:val="clear" w:color="auto" w:fill="auto"/>
                            </w:tcPr>
                            <w:p w14:paraId="4197343B" w14:textId="77777777" w:rsidR="00777AB3" w:rsidRPr="0055776F" w:rsidRDefault="00777AB3" w:rsidP="004B54D7">
                              <w:pPr>
                                <w:rPr>
                                  <w:rFonts w:ascii="Arial" w:hAnsi="Arial" w:cs="Arial"/>
                                </w:rPr>
                              </w:pPr>
                              <w:r w:rsidRPr="0055776F">
                                <w:rPr>
                                  <w:rFonts w:ascii="Arial" w:hAnsi="Arial" w:cs="Arial"/>
                                </w:rPr>
                                <w:t>174</w:t>
                              </w:r>
                            </w:p>
                          </w:tc>
                        </w:tr>
                        <w:tr w:rsidR="00777AB3" w:rsidRPr="0055776F" w14:paraId="0364DEBE" w14:textId="77777777" w:rsidTr="004B54D7">
                          <w:tc>
                            <w:tcPr>
                              <w:tcW w:w="817" w:type="dxa"/>
                              <w:shd w:val="clear" w:color="auto" w:fill="auto"/>
                            </w:tcPr>
                            <w:p w14:paraId="153848AD" w14:textId="77777777" w:rsidR="00777AB3" w:rsidRPr="0055776F" w:rsidRDefault="00777AB3" w:rsidP="004B54D7">
                              <w:pPr>
                                <w:rPr>
                                  <w:rFonts w:ascii="Arial" w:hAnsi="Arial" w:cs="Arial"/>
                                </w:rPr>
                              </w:pPr>
                              <w:r w:rsidRPr="0055776F">
                                <w:rPr>
                                  <w:rFonts w:ascii="Arial" w:hAnsi="Arial" w:cs="Arial"/>
                                </w:rPr>
                                <w:t>-----</w:t>
                              </w:r>
                            </w:p>
                          </w:tc>
                          <w:tc>
                            <w:tcPr>
                              <w:tcW w:w="2464" w:type="dxa"/>
                              <w:shd w:val="clear" w:color="auto" w:fill="auto"/>
                            </w:tcPr>
                            <w:p w14:paraId="2B48D79C" w14:textId="77777777" w:rsidR="00777AB3" w:rsidRPr="0055776F" w:rsidRDefault="00777AB3" w:rsidP="004B54D7">
                              <w:pPr>
                                <w:rPr>
                                  <w:rFonts w:ascii="Arial" w:hAnsi="Arial" w:cs="Arial"/>
                                </w:rPr>
                              </w:pPr>
                              <w:r>
                                <w:rPr>
                                  <w:rFonts w:ascii="Arial" w:hAnsi="Arial" w:cs="Arial"/>
                                </w:rPr>
                                <w:t>(2) Imatinib 36 </w:t>
                              </w:r>
                              <w:r w:rsidRPr="00A33DBA">
                                <w:rPr>
                                  <w:rFonts w:ascii="Arial" w:hAnsi="Arial" w:cs="Arial"/>
                                </w:rPr>
                                <w:t>M</w:t>
                              </w:r>
                              <w:r>
                                <w:rPr>
                                  <w:rFonts w:ascii="Arial" w:hAnsi="Arial" w:cs="Arial"/>
                                </w:rPr>
                                <w:t>E</w:t>
                              </w:r>
                              <w:r w:rsidRPr="0055776F">
                                <w:rPr>
                                  <w:rFonts w:ascii="Arial" w:hAnsi="Arial" w:cs="Arial"/>
                                </w:rPr>
                                <w:t>:</w:t>
                              </w:r>
                            </w:p>
                          </w:tc>
                          <w:tc>
                            <w:tcPr>
                              <w:tcW w:w="851" w:type="dxa"/>
                              <w:tcBorders>
                                <w:bottom w:val="single" w:sz="4" w:space="0" w:color="auto"/>
                              </w:tcBorders>
                              <w:shd w:val="clear" w:color="auto" w:fill="auto"/>
                            </w:tcPr>
                            <w:p w14:paraId="24844F72" w14:textId="77777777" w:rsidR="00777AB3" w:rsidRPr="0055776F" w:rsidRDefault="00777AB3" w:rsidP="004B54D7">
                              <w:pPr>
                                <w:rPr>
                                  <w:rFonts w:ascii="Arial" w:hAnsi="Arial" w:cs="Arial"/>
                                </w:rPr>
                              </w:pPr>
                              <w:r w:rsidRPr="0055776F">
                                <w:rPr>
                                  <w:rFonts w:ascii="Arial" w:hAnsi="Arial" w:cs="Arial"/>
                                </w:rPr>
                                <w:t>198</w:t>
                              </w:r>
                            </w:p>
                          </w:tc>
                          <w:tc>
                            <w:tcPr>
                              <w:tcW w:w="709" w:type="dxa"/>
                              <w:tcBorders>
                                <w:bottom w:val="single" w:sz="4" w:space="0" w:color="auto"/>
                              </w:tcBorders>
                              <w:shd w:val="clear" w:color="auto" w:fill="auto"/>
                            </w:tcPr>
                            <w:p w14:paraId="02E87EBE" w14:textId="77777777" w:rsidR="00777AB3" w:rsidRPr="0055776F" w:rsidRDefault="00777AB3" w:rsidP="004B54D7">
                              <w:pPr>
                                <w:rPr>
                                  <w:rFonts w:ascii="Arial" w:hAnsi="Arial" w:cs="Arial"/>
                                </w:rPr>
                              </w:pPr>
                              <w:r w:rsidRPr="0055776F">
                                <w:rPr>
                                  <w:rFonts w:ascii="Arial" w:hAnsi="Arial" w:cs="Arial"/>
                                </w:rPr>
                                <w:t>12</w:t>
                              </w:r>
                            </w:p>
                          </w:tc>
                          <w:tc>
                            <w:tcPr>
                              <w:tcW w:w="850" w:type="dxa"/>
                              <w:tcBorders>
                                <w:bottom w:val="single" w:sz="4" w:space="0" w:color="auto"/>
                              </w:tcBorders>
                              <w:shd w:val="clear" w:color="auto" w:fill="auto"/>
                            </w:tcPr>
                            <w:p w14:paraId="2C52E696" w14:textId="77777777" w:rsidR="00777AB3" w:rsidRPr="0055776F" w:rsidRDefault="00777AB3" w:rsidP="004B54D7">
                              <w:pPr>
                                <w:rPr>
                                  <w:rFonts w:ascii="Arial" w:hAnsi="Arial" w:cs="Arial"/>
                                </w:rPr>
                              </w:pPr>
                              <w:r w:rsidRPr="0055776F">
                                <w:rPr>
                                  <w:rFonts w:ascii="Arial" w:hAnsi="Arial" w:cs="Arial"/>
                                </w:rPr>
                                <w:t>186</w:t>
                              </w:r>
                            </w:p>
                          </w:tc>
                        </w:tr>
                        <w:tr w:rsidR="00777AB3" w:rsidRPr="0055776F" w14:paraId="0979676A" w14:textId="77777777" w:rsidTr="004B54D7">
                          <w:tc>
                            <w:tcPr>
                              <w:tcW w:w="817" w:type="dxa"/>
                              <w:shd w:val="clear" w:color="auto" w:fill="auto"/>
                            </w:tcPr>
                            <w:p w14:paraId="4FC1C5C3" w14:textId="77777777" w:rsidR="00777AB3" w:rsidRPr="0055776F" w:rsidRDefault="00777AB3" w:rsidP="004B54D7">
                              <w:pPr>
                                <w:rPr>
                                  <w:rFonts w:ascii="Arial" w:hAnsi="Arial" w:cs="Arial"/>
                                </w:rPr>
                              </w:pPr>
                              <w:r w:rsidRPr="0055776F">
                                <w:rPr>
                                  <w:rFonts w:ascii="Arial" w:hAnsi="Arial" w:cs="Arial"/>
                                </w:rPr>
                                <w:t>│││</w:t>
                              </w:r>
                            </w:p>
                          </w:tc>
                          <w:tc>
                            <w:tcPr>
                              <w:tcW w:w="2464" w:type="dxa"/>
                              <w:shd w:val="clear" w:color="auto" w:fill="auto"/>
                            </w:tcPr>
                            <w:p w14:paraId="57CCA028" w14:textId="77777777" w:rsidR="00777AB3" w:rsidRPr="0055776F" w:rsidRDefault="00777AB3" w:rsidP="004B54D7">
                              <w:pPr>
                                <w:rPr>
                                  <w:rFonts w:ascii="Arial" w:hAnsi="Arial" w:cs="Arial"/>
                                </w:rPr>
                              </w:pPr>
                              <w:r>
                                <w:rPr>
                                  <w:rFonts w:ascii="Arial" w:hAnsi="Arial" w:cs="Arial"/>
                                </w:rPr>
                                <w:t>Observaciones censuradas</w:t>
                              </w:r>
                            </w:p>
                          </w:tc>
                          <w:tc>
                            <w:tcPr>
                              <w:tcW w:w="851" w:type="dxa"/>
                              <w:tcBorders>
                                <w:top w:val="single" w:sz="4" w:space="0" w:color="auto"/>
                              </w:tcBorders>
                              <w:shd w:val="clear" w:color="auto" w:fill="auto"/>
                            </w:tcPr>
                            <w:p w14:paraId="602901F6" w14:textId="77777777" w:rsidR="00777AB3" w:rsidRPr="0055776F" w:rsidRDefault="00777AB3" w:rsidP="004B54D7">
                              <w:pPr>
                                <w:rPr>
                                  <w:rFonts w:ascii="Arial" w:hAnsi="Arial" w:cs="Arial"/>
                                </w:rPr>
                              </w:pPr>
                            </w:p>
                          </w:tc>
                          <w:tc>
                            <w:tcPr>
                              <w:tcW w:w="709" w:type="dxa"/>
                              <w:tcBorders>
                                <w:top w:val="single" w:sz="4" w:space="0" w:color="auto"/>
                              </w:tcBorders>
                              <w:shd w:val="clear" w:color="auto" w:fill="auto"/>
                            </w:tcPr>
                            <w:p w14:paraId="203D15A2" w14:textId="77777777" w:rsidR="00777AB3" w:rsidRPr="0055776F" w:rsidRDefault="00777AB3" w:rsidP="004B54D7">
                              <w:pPr>
                                <w:rPr>
                                  <w:rFonts w:ascii="Arial" w:hAnsi="Arial" w:cs="Arial"/>
                                </w:rPr>
                              </w:pPr>
                            </w:p>
                          </w:tc>
                          <w:tc>
                            <w:tcPr>
                              <w:tcW w:w="850" w:type="dxa"/>
                              <w:tcBorders>
                                <w:top w:val="single" w:sz="4" w:space="0" w:color="auto"/>
                              </w:tcBorders>
                              <w:shd w:val="clear" w:color="auto" w:fill="auto"/>
                            </w:tcPr>
                            <w:p w14:paraId="6273A477" w14:textId="77777777" w:rsidR="00777AB3" w:rsidRPr="0055776F" w:rsidRDefault="00777AB3" w:rsidP="004B54D7">
                              <w:pPr>
                                <w:rPr>
                                  <w:rFonts w:ascii="Arial" w:hAnsi="Arial" w:cs="Arial"/>
                                </w:rPr>
                              </w:pPr>
                            </w:p>
                          </w:tc>
                        </w:tr>
                      </w:tbl>
                      <w:p w14:paraId="1180FC7E" w14:textId="77777777" w:rsidR="00777AB3" w:rsidRPr="00A33DBA" w:rsidRDefault="00777AB3" w:rsidP="0096481B">
                        <w:pPr>
                          <w:rPr>
                            <w:rFonts w:ascii="Arial" w:hAnsi="Arial" w:cs="Arial"/>
                          </w:rPr>
                        </w:pPr>
                      </w:p>
                      <w:p w14:paraId="1C631CFB" w14:textId="77777777" w:rsidR="00777AB3" w:rsidRPr="00A33DBA" w:rsidRDefault="00777AB3" w:rsidP="00855DE0">
                        <w:pPr>
                          <w:rPr>
                            <w:rFonts w:ascii="Arial" w:hAnsi="Arial" w:cs="Arial"/>
                          </w:rPr>
                        </w:pPr>
                      </w:p>
                    </w:txbxContent>
                  </v:textbox>
                </v:shape>
                <v:shape id="Text Box 2" o:spid="_x0000_s1034" type="#_x0000_t202" style="position:absolute;left:3900;top:5873;width:3737;height: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OVwOwwAAANsAAAAPAAAAZHJzL2Rvd25yZXYueG1sRI9fa8Iw&#10;FMXfB36HcAVfhqZWkFKNIuJggzlY1fdrc22rzU1potZvbwbCHg/nz48zX3amFjdqXWVZwXgUgSDO&#10;ra64ULDffQwTEM4ja6wtk4IHOVguem9zTLW98y/dMl+IMMIuRQWl900qpctLMuhGtiEO3sm2Bn2Q&#10;bSF1i/cwbmoZR9FUGqw4EEpsaF1SfsmuJnA3XdIcjt/r81f2fjzHP1xtE1Zq0O9WMxCeOv8ffrU/&#10;tYJ4An9fwg+QiycAAAD//wMAUEsBAi0AFAAGAAgAAAAhANvh9svuAAAAhQEAABMAAAAAAAAAAAAA&#10;AAAAAAAAAFtDb250ZW50X1R5cGVzXS54bWxQSwECLQAUAAYACAAAACEAWvQsW78AAAAVAQAACwAA&#10;AAAAAAAAAAAAAAAfAQAAX3JlbHMvLnJlbHNQSwECLQAUAAYACAAAACEAuzlcDsMAAADbAAAADwAA&#10;AAAAAAAAAAAAAAAHAgAAZHJzL2Rvd25yZXYueG1sUEsFBgAAAAADAAMAtwAAAPcCAAAAAA==&#10;" stroked="f">
                  <v:fill opacity="0"/>
                  <v:textbox>
                    <w:txbxContent>
                      <w:p w14:paraId="01D9064C" w14:textId="77777777" w:rsidR="00777AB3" w:rsidRPr="00A33DBA" w:rsidRDefault="00777AB3" w:rsidP="00855DE0">
                        <w:pPr>
                          <w:rPr>
                            <w:rFonts w:ascii="Arial" w:hAnsi="Arial" w:cs="Arial"/>
                          </w:rPr>
                        </w:pPr>
                        <w:r>
                          <w:rPr>
                            <w:rFonts w:ascii="Arial" w:hAnsi="Arial" w:cs="Arial"/>
                            <w:lang w:val="de-DE"/>
                          </w:rPr>
                          <w:t>Tiempo de supervivencia en meses</w:t>
                        </w:r>
                      </w:p>
                    </w:txbxContent>
                  </v:textbox>
                </v:shape>
              </v:group>
            </w:pict>
          </mc:Fallback>
        </mc:AlternateContent>
      </w:r>
      <w:r w:rsidRPr="002D741C">
        <w:rPr>
          <w:noProof/>
          <w:lang w:eastAsia="en-GB"/>
        </w:rPr>
        <w:drawing>
          <wp:inline distT="0" distB="0" distL="0" distR="0" wp14:anchorId="3F086E5B" wp14:editId="417E7179">
            <wp:extent cx="5947410" cy="2632075"/>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7410" cy="2632075"/>
                    </a:xfrm>
                    <a:prstGeom prst="rect">
                      <a:avLst/>
                    </a:prstGeom>
                    <a:noFill/>
                    <a:ln>
                      <a:noFill/>
                    </a:ln>
                  </pic:spPr>
                </pic:pic>
              </a:graphicData>
            </a:graphic>
          </wp:inline>
        </w:drawing>
      </w:r>
    </w:p>
    <w:p w14:paraId="7DD33FE9" w14:textId="77777777" w:rsidR="00855DE0" w:rsidRPr="002D741C" w:rsidRDefault="00855DE0" w:rsidP="00855DE0">
      <w:pPr>
        <w:pStyle w:val="EndnoteText"/>
        <w:widowControl w:val="0"/>
        <w:tabs>
          <w:tab w:val="clear" w:pos="567"/>
        </w:tabs>
        <w:rPr>
          <w:color w:val="000000"/>
          <w:szCs w:val="22"/>
          <w:lang w:val="es-ES_tradnl"/>
        </w:rPr>
      </w:pPr>
    </w:p>
    <w:p w14:paraId="2C47D797" w14:textId="77777777" w:rsidR="00855DE0" w:rsidRPr="002D741C" w:rsidRDefault="00855DE0" w:rsidP="00855DE0">
      <w:pPr>
        <w:pStyle w:val="EndnoteText"/>
        <w:widowControl w:val="0"/>
        <w:tabs>
          <w:tab w:val="clear" w:pos="567"/>
        </w:tabs>
        <w:rPr>
          <w:color w:val="000000"/>
          <w:szCs w:val="22"/>
          <w:lang w:val="es-ES_tradnl"/>
        </w:rPr>
      </w:pPr>
    </w:p>
    <w:tbl>
      <w:tblPr>
        <w:tblW w:w="10632" w:type="dxa"/>
        <w:tblInd w:w="-318" w:type="dxa"/>
        <w:tblLook w:val="04A0" w:firstRow="1" w:lastRow="0" w:firstColumn="1" w:lastColumn="0" w:noHBand="0" w:noVBand="1"/>
      </w:tblPr>
      <w:tblGrid>
        <w:gridCol w:w="450"/>
        <w:gridCol w:w="687"/>
        <w:gridCol w:w="670"/>
        <w:gridCol w:w="710"/>
        <w:gridCol w:w="717"/>
        <w:gridCol w:w="691"/>
        <w:gridCol w:w="770"/>
        <w:gridCol w:w="779"/>
        <w:gridCol w:w="794"/>
        <w:gridCol w:w="653"/>
        <w:gridCol w:w="630"/>
        <w:gridCol w:w="643"/>
        <w:gridCol w:w="670"/>
        <w:gridCol w:w="683"/>
        <w:gridCol w:w="558"/>
        <w:gridCol w:w="527"/>
      </w:tblGrid>
      <w:tr w:rsidR="00855DE0" w:rsidRPr="002D741C" w14:paraId="72499F55" w14:textId="77777777" w:rsidTr="00F74104">
        <w:tc>
          <w:tcPr>
            <w:tcW w:w="10632" w:type="dxa"/>
            <w:gridSpan w:val="16"/>
            <w:shd w:val="clear" w:color="auto" w:fill="auto"/>
          </w:tcPr>
          <w:p w14:paraId="5B2695B1" w14:textId="77777777" w:rsidR="00855DE0" w:rsidRPr="002D741C" w:rsidRDefault="0096481B" w:rsidP="00F74104">
            <w:pPr>
              <w:ind w:left="-27"/>
              <w:rPr>
                <w:rFonts w:ascii="Arial" w:hAnsi="Arial" w:cs="Arial"/>
                <w:sz w:val="16"/>
                <w:szCs w:val="16"/>
              </w:rPr>
            </w:pPr>
            <w:r w:rsidRPr="002D741C">
              <w:rPr>
                <w:rFonts w:ascii="Arial" w:hAnsi="Arial" w:cs="Arial"/>
              </w:rPr>
              <w:t>A riesgo : Eventos</w:t>
            </w:r>
          </w:p>
        </w:tc>
      </w:tr>
      <w:tr w:rsidR="00855DE0" w:rsidRPr="002D741C" w14:paraId="131959A5" w14:textId="77777777" w:rsidTr="00855DE0">
        <w:tc>
          <w:tcPr>
            <w:tcW w:w="450" w:type="dxa"/>
            <w:shd w:val="clear" w:color="auto" w:fill="auto"/>
          </w:tcPr>
          <w:p w14:paraId="0D727FA3" w14:textId="77777777" w:rsidR="00855DE0" w:rsidRPr="002D741C" w:rsidRDefault="00855DE0" w:rsidP="00F74104">
            <w:r w:rsidRPr="002D741C">
              <w:t>(1)</w:t>
            </w:r>
          </w:p>
        </w:tc>
        <w:tc>
          <w:tcPr>
            <w:tcW w:w="687" w:type="dxa"/>
            <w:shd w:val="clear" w:color="auto" w:fill="auto"/>
          </w:tcPr>
          <w:p w14:paraId="7C973826" w14:textId="77777777" w:rsidR="00855DE0" w:rsidRPr="002D741C" w:rsidRDefault="00855DE0" w:rsidP="00F74104">
            <w:pPr>
              <w:ind w:left="-45"/>
            </w:pPr>
            <w:r w:rsidRPr="002D741C">
              <w:t>199:0</w:t>
            </w:r>
          </w:p>
        </w:tc>
        <w:tc>
          <w:tcPr>
            <w:tcW w:w="670" w:type="dxa"/>
            <w:shd w:val="clear" w:color="auto" w:fill="auto"/>
          </w:tcPr>
          <w:p w14:paraId="505202E3" w14:textId="77777777" w:rsidR="00855DE0" w:rsidRPr="002D741C" w:rsidRDefault="00855DE0" w:rsidP="00F74104">
            <w:pPr>
              <w:ind w:left="-45"/>
            </w:pPr>
            <w:r w:rsidRPr="002D741C">
              <w:t>190:2</w:t>
            </w:r>
          </w:p>
        </w:tc>
        <w:tc>
          <w:tcPr>
            <w:tcW w:w="710" w:type="dxa"/>
            <w:shd w:val="clear" w:color="auto" w:fill="auto"/>
          </w:tcPr>
          <w:p w14:paraId="7545ACAE" w14:textId="77777777" w:rsidR="00855DE0" w:rsidRPr="002D741C" w:rsidRDefault="00855DE0" w:rsidP="00F74104">
            <w:pPr>
              <w:ind w:left="-45"/>
            </w:pPr>
            <w:r w:rsidRPr="002D741C">
              <w:t>188:2</w:t>
            </w:r>
          </w:p>
        </w:tc>
        <w:tc>
          <w:tcPr>
            <w:tcW w:w="717" w:type="dxa"/>
            <w:shd w:val="clear" w:color="auto" w:fill="auto"/>
          </w:tcPr>
          <w:p w14:paraId="0CFE96D6" w14:textId="77777777" w:rsidR="00855DE0" w:rsidRPr="002D741C" w:rsidRDefault="00855DE0" w:rsidP="00F74104">
            <w:pPr>
              <w:ind w:left="-45"/>
            </w:pPr>
            <w:r w:rsidRPr="002D741C">
              <w:t>183:6</w:t>
            </w:r>
          </w:p>
        </w:tc>
        <w:tc>
          <w:tcPr>
            <w:tcW w:w="691" w:type="dxa"/>
            <w:shd w:val="clear" w:color="auto" w:fill="auto"/>
          </w:tcPr>
          <w:p w14:paraId="1DED3A87" w14:textId="77777777" w:rsidR="00855DE0" w:rsidRPr="002D741C" w:rsidRDefault="00855DE0" w:rsidP="00F74104">
            <w:pPr>
              <w:ind w:left="-45"/>
            </w:pPr>
            <w:r w:rsidRPr="002D741C">
              <w:t>176:8</w:t>
            </w:r>
          </w:p>
        </w:tc>
        <w:tc>
          <w:tcPr>
            <w:tcW w:w="770" w:type="dxa"/>
            <w:shd w:val="clear" w:color="auto" w:fill="auto"/>
          </w:tcPr>
          <w:p w14:paraId="30EB1C05" w14:textId="77777777" w:rsidR="00855DE0" w:rsidRPr="002D741C" w:rsidRDefault="00855DE0" w:rsidP="00F74104">
            <w:pPr>
              <w:ind w:left="-45"/>
            </w:pPr>
            <w:r w:rsidRPr="002D741C">
              <w:t>156:10</w:t>
            </w:r>
          </w:p>
        </w:tc>
        <w:tc>
          <w:tcPr>
            <w:tcW w:w="779" w:type="dxa"/>
            <w:shd w:val="clear" w:color="auto" w:fill="auto"/>
          </w:tcPr>
          <w:p w14:paraId="469EB087" w14:textId="77777777" w:rsidR="00855DE0" w:rsidRPr="002D741C" w:rsidRDefault="00855DE0" w:rsidP="00F74104">
            <w:pPr>
              <w:ind w:left="-45"/>
            </w:pPr>
            <w:r w:rsidRPr="002D741C">
              <w:t>140:11</w:t>
            </w:r>
          </w:p>
        </w:tc>
        <w:tc>
          <w:tcPr>
            <w:tcW w:w="794" w:type="dxa"/>
            <w:shd w:val="clear" w:color="auto" w:fill="auto"/>
          </w:tcPr>
          <w:p w14:paraId="50E6F42C" w14:textId="77777777" w:rsidR="00855DE0" w:rsidRPr="002D741C" w:rsidRDefault="00855DE0" w:rsidP="00F74104">
            <w:pPr>
              <w:ind w:left="-45"/>
            </w:pPr>
            <w:r w:rsidRPr="002D741C">
              <w:t>105:14</w:t>
            </w:r>
          </w:p>
        </w:tc>
        <w:tc>
          <w:tcPr>
            <w:tcW w:w="653" w:type="dxa"/>
            <w:shd w:val="clear" w:color="auto" w:fill="auto"/>
          </w:tcPr>
          <w:p w14:paraId="4732209D" w14:textId="77777777" w:rsidR="00855DE0" w:rsidRPr="002D741C" w:rsidRDefault="00855DE0" w:rsidP="00F74104">
            <w:pPr>
              <w:ind w:left="-45"/>
            </w:pPr>
            <w:r w:rsidRPr="002D741C">
              <w:t>87:18</w:t>
            </w:r>
          </w:p>
        </w:tc>
        <w:tc>
          <w:tcPr>
            <w:tcW w:w="630" w:type="dxa"/>
            <w:shd w:val="clear" w:color="auto" w:fill="auto"/>
          </w:tcPr>
          <w:p w14:paraId="6919FEB3" w14:textId="77777777" w:rsidR="00855DE0" w:rsidRPr="002D741C" w:rsidRDefault="00855DE0" w:rsidP="00F74104">
            <w:pPr>
              <w:ind w:left="-45"/>
            </w:pPr>
            <w:r w:rsidRPr="002D741C">
              <w:t>64:22</w:t>
            </w:r>
          </w:p>
        </w:tc>
        <w:tc>
          <w:tcPr>
            <w:tcW w:w="643" w:type="dxa"/>
            <w:shd w:val="clear" w:color="auto" w:fill="auto"/>
          </w:tcPr>
          <w:p w14:paraId="254D06CD" w14:textId="77777777" w:rsidR="00855DE0" w:rsidRPr="002D741C" w:rsidRDefault="00855DE0" w:rsidP="00F74104">
            <w:pPr>
              <w:ind w:left="-45"/>
            </w:pPr>
            <w:r w:rsidRPr="002D741C">
              <w:t>46:23</w:t>
            </w:r>
          </w:p>
        </w:tc>
        <w:tc>
          <w:tcPr>
            <w:tcW w:w="670" w:type="dxa"/>
            <w:shd w:val="clear" w:color="auto" w:fill="auto"/>
          </w:tcPr>
          <w:p w14:paraId="170A9DEC" w14:textId="77777777" w:rsidR="00855DE0" w:rsidRPr="002D741C" w:rsidRDefault="00855DE0" w:rsidP="00F74104">
            <w:pPr>
              <w:ind w:left="-45"/>
            </w:pPr>
            <w:r w:rsidRPr="002D741C">
              <w:t>27:25</w:t>
            </w:r>
          </w:p>
        </w:tc>
        <w:tc>
          <w:tcPr>
            <w:tcW w:w="683" w:type="dxa"/>
            <w:shd w:val="clear" w:color="auto" w:fill="auto"/>
          </w:tcPr>
          <w:p w14:paraId="0D592A19" w14:textId="77777777" w:rsidR="00855DE0" w:rsidRPr="002D741C" w:rsidRDefault="00855DE0" w:rsidP="00F74104">
            <w:pPr>
              <w:ind w:left="-45"/>
            </w:pPr>
            <w:r w:rsidRPr="002D741C">
              <w:t>20:25</w:t>
            </w:r>
          </w:p>
        </w:tc>
        <w:tc>
          <w:tcPr>
            <w:tcW w:w="558" w:type="dxa"/>
            <w:shd w:val="clear" w:color="auto" w:fill="auto"/>
          </w:tcPr>
          <w:p w14:paraId="30B0BFE0" w14:textId="77777777" w:rsidR="00855DE0" w:rsidRPr="002D741C" w:rsidRDefault="00855DE0" w:rsidP="00F74104">
            <w:pPr>
              <w:ind w:left="-45"/>
            </w:pPr>
            <w:r w:rsidRPr="002D741C">
              <w:t>2:25</w:t>
            </w:r>
          </w:p>
        </w:tc>
        <w:tc>
          <w:tcPr>
            <w:tcW w:w="527" w:type="dxa"/>
            <w:shd w:val="clear" w:color="auto" w:fill="auto"/>
          </w:tcPr>
          <w:p w14:paraId="07BDB019" w14:textId="77777777" w:rsidR="00855DE0" w:rsidRPr="002D741C" w:rsidRDefault="00855DE0" w:rsidP="00F74104">
            <w:pPr>
              <w:ind w:left="-45"/>
            </w:pPr>
            <w:r w:rsidRPr="002D741C">
              <w:t>0:25</w:t>
            </w:r>
          </w:p>
        </w:tc>
      </w:tr>
      <w:tr w:rsidR="00855DE0" w:rsidRPr="002D741C" w14:paraId="3C4BE81A" w14:textId="77777777" w:rsidTr="00855DE0">
        <w:tc>
          <w:tcPr>
            <w:tcW w:w="450" w:type="dxa"/>
            <w:shd w:val="clear" w:color="auto" w:fill="auto"/>
          </w:tcPr>
          <w:p w14:paraId="4E90C903" w14:textId="77777777" w:rsidR="00855DE0" w:rsidRPr="002D741C" w:rsidRDefault="00855DE0" w:rsidP="00F74104">
            <w:r w:rsidRPr="002D741C">
              <w:t>(2)</w:t>
            </w:r>
          </w:p>
        </w:tc>
        <w:tc>
          <w:tcPr>
            <w:tcW w:w="687" w:type="dxa"/>
            <w:shd w:val="clear" w:color="auto" w:fill="auto"/>
          </w:tcPr>
          <w:p w14:paraId="237C492A" w14:textId="77777777" w:rsidR="00855DE0" w:rsidRPr="002D741C" w:rsidRDefault="00855DE0" w:rsidP="00F74104">
            <w:pPr>
              <w:ind w:left="-45"/>
            </w:pPr>
            <w:r w:rsidRPr="002D741C">
              <w:t>198:0</w:t>
            </w:r>
          </w:p>
        </w:tc>
        <w:tc>
          <w:tcPr>
            <w:tcW w:w="670" w:type="dxa"/>
            <w:shd w:val="clear" w:color="auto" w:fill="auto"/>
          </w:tcPr>
          <w:p w14:paraId="720F9843" w14:textId="77777777" w:rsidR="00855DE0" w:rsidRPr="002D741C" w:rsidRDefault="00855DE0" w:rsidP="00F74104">
            <w:pPr>
              <w:ind w:left="-45"/>
            </w:pPr>
            <w:r w:rsidRPr="002D741C">
              <w:t>196:0</w:t>
            </w:r>
          </w:p>
        </w:tc>
        <w:tc>
          <w:tcPr>
            <w:tcW w:w="710" w:type="dxa"/>
            <w:shd w:val="clear" w:color="auto" w:fill="auto"/>
          </w:tcPr>
          <w:p w14:paraId="5B513188" w14:textId="77777777" w:rsidR="00855DE0" w:rsidRPr="002D741C" w:rsidRDefault="00855DE0" w:rsidP="00F74104">
            <w:pPr>
              <w:ind w:left="-45"/>
            </w:pPr>
            <w:r w:rsidRPr="002D741C">
              <w:t>192:0</w:t>
            </w:r>
          </w:p>
        </w:tc>
        <w:tc>
          <w:tcPr>
            <w:tcW w:w="717" w:type="dxa"/>
            <w:shd w:val="clear" w:color="auto" w:fill="auto"/>
          </w:tcPr>
          <w:p w14:paraId="54E61D86" w14:textId="77777777" w:rsidR="00855DE0" w:rsidRPr="002D741C" w:rsidRDefault="00855DE0" w:rsidP="00F74104">
            <w:pPr>
              <w:ind w:left="-45"/>
            </w:pPr>
            <w:r w:rsidRPr="002D741C">
              <w:t>187:4</w:t>
            </w:r>
          </w:p>
        </w:tc>
        <w:tc>
          <w:tcPr>
            <w:tcW w:w="691" w:type="dxa"/>
            <w:shd w:val="clear" w:color="auto" w:fill="auto"/>
          </w:tcPr>
          <w:p w14:paraId="1B0785D5" w14:textId="77777777" w:rsidR="00855DE0" w:rsidRPr="002D741C" w:rsidRDefault="00855DE0" w:rsidP="00F74104">
            <w:pPr>
              <w:ind w:left="-45"/>
            </w:pPr>
            <w:r w:rsidRPr="002D741C">
              <w:t>184:5</w:t>
            </w:r>
          </w:p>
        </w:tc>
        <w:tc>
          <w:tcPr>
            <w:tcW w:w="770" w:type="dxa"/>
            <w:shd w:val="clear" w:color="auto" w:fill="auto"/>
          </w:tcPr>
          <w:p w14:paraId="0AA6024A" w14:textId="77777777" w:rsidR="00855DE0" w:rsidRPr="002D741C" w:rsidRDefault="00855DE0" w:rsidP="00F74104">
            <w:pPr>
              <w:ind w:left="-45"/>
            </w:pPr>
            <w:r w:rsidRPr="002D741C">
              <w:t>164:7</w:t>
            </w:r>
          </w:p>
        </w:tc>
        <w:tc>
          <w:tcPr>
            <w:tcW w:w="779" w:type="dxa"/>
            <w:shd w:val="clear" w:color="auto" w:fill="auto"/>
          </w:tcPr>
          <w:p w14:paraId="1DB2966B" w14:textId="77777777" w:rsidR="00855DE0" w:rsidRPr="002D741C" w:rsidRDefault="00855DE0" w:rsidP="00F74104">
            <w:pPr>
              <w:ind w:left="-45"/>
            </w:pPr>
            <w:r w:rsidRPr="002D741C">
              <w:t>152:7</w:t>
            </w:r>
          </w:p>
        </w:tc>
        <w:tc>
          <w:tcPr>
            <w:tcW w:w="794" w:type="dxa"/>
            <w:shd w:val="clear" w:color="auto" w:fill="auto"/>
          </w:tcPr>
          <w:p w14:paraId="67414FED" w14:textId="77777777" w:rsidR="00855DE0" w:rsidRPr="002D741C" w:rsidRDefault="00855DE0" w:rsidP="00F74104">
            <w:pPr>
              <w:ind w:left="-45"/>
            </w:pPr>
            <w:r w:rsidRPr="002D741C">
              <w:t>119:8</w:t>
            </w:r>
          </w:p>
        </w:tc>
        <w:tc>
          <w:tcPr>
            <w:tcW w:w="653" w:type="dxa"/>
            <w:shd w:val="clear" w:color="auto" w:fill="auto"/>
          </w:tcPr>
          <w:p w14:paraId="4FA414C2" w14:textId="77777777" w:rsidR="00855DE0" w:rsidRPr="002D741C" w:rsidRDefault="00855DE0" w:rsidP="00F74104">
            <w:pPr>
              <w:ind w:left="-45"/>
            </w:pPr>
            <w:r w:rsidRPr="002D741C">
              <w:t>100:8</w:t>
            </w:r>
          </w:p>
        </w:tc>
        <w:tc>
          <w:tcPr>
            <w:tcW w:w="630" w:type="dxa"/>
            <w:shd w:val="clear" w:color="auto" w:fill="auto"/>
          </w:tcPr>
          <w:p w14:paraId="64BD3243" w14:textId="77777777" w:rsidR="00855DE0" w:rsidRPr="002D741C" w:rsidRDefault="00855DE0" w:rsidP="00F74104">
            <w:pPr>
              <w:ind w:left="-45"/>
            </w:pPr>
            <w:r w:rsidRPr="002D741C">
              <w:t>76:10</w:t>
            </w:r>
          </w:p>
        </w:tc>
        <w:tc>
          <w:tcPr>
            <w:tcW w:w="643" w:type="dxa"/>
            <w:shd w:val="clear" w:color="auto" w:fill="auto"/>
          </w:tcPr>
          <w:p w14:paraId="493E21BC" w14:textId="77777777" w:rsidR="00855DE0" w:rsidRPr="002D741C" w:rsidRDefault="00855DE0" w:rsidP="00F74104">
            <w:pPr>
              <w:ind w:left="-45"/>
            </w:pPr>
            <w:r w:rsidRPr="002D741C">
              <w:t>56:11</w:t>
            </w:r>
          </w:p>
        </w:tc>
        <w:tc>
          <w:tcPr>
            <w:tcW w:w="670" w:type="dxa"/>
            <w:shd w:val="clear" w:color="auto" w:fill="auto"/>
          </w:tcPr>
          <w:p w14:paraId="6FA10AA0" w14:textId="77777777" w:rsidR="00855DE0" w:rsidRPr="002D741C" w:rsidRDefault="00855DE0" w:rsidP="00F74104">
            <w:pPr>
              <w:ind w:left="-45"/>
            </w:pPr>
            <w:r w:rsidRPr="002D741C">
              <w:t>31:11</w:t>
            </w:r>
          </w:p>
        </w:tc>
        <w:tc>
          <w:tcPr>
            <w:tcW w:w="683" w:type="dxa"/>
            <w:shd w:val="clear" w:color="auto" w:fill="auto"/>
          </w:tcPr>
          <w:p w14:paraId="10219A75" w14:textId="77777777" w:rsidR="00855DE0" w:rsidRPr="002D741C" w:rsidRDefault="00855DE0" w:rsidP="00F74104">
            <w:pPr>
              <w:ind w:left="-45"/>
            </w:pPr>
            <w:r w:rsidRPr="002D741C">
              <w:t>13:12</w:t>
            </w:r>
          </w:p>
        </w:tc>
        <w:tc>
          <w:tcPr>
            <w:tcW w:w="558" w:type="dxa"/>
            <w:shd w:val="clear" w:color="auto" w:fill="auto"/>
          </w:tcPr>
          <w:p w14:paraId="742F3791" w14:textId="77777777" w:rsidR="00855DE0" w:rsidRPr="002D741C" w:rsidRDefault="00921CBF" w:rsidP="00F74104">
            <w:pPr>
              <w:ind w:left="-45"/>
            </w:pPr>
            <w:r w:rsidRPr="002D741C">
              <w:t>0</w:t>
            </w:r>
            <w:r w:rsidR="00855DE0" w:rsidRPr="002D741C">
              <w:t>:12</w:t>
            </w:r>
          </w:p>
        </w:tc>
        <w:tc>
          <w:tcPr>
            <w:tcW w:w="527" w:type="dxa"/>
            <w:shd w:val="clear" w:color="auto" w:fill="auto"/>
          </w:tcPr>
          <w:p w14:paraId="5273B74D" w14:textId="77777777" w:rsidR="00855DE0" w:rsidRPr="002D741C" w:rsidRDefault="00855DE0" w:rsidP="00F74104">
            <w:pPr>
              <w:ind w:left="-45"/>
            </w:pPr>
          </w:p>
        </w:tc>
      </w:tr>
    </w:tbl>
    <w:p w14:paraId="47141333" w14:textId="77777777" w:rsidR="00855DE0" w:rsidRPr="002D741C" w:rsidRDefault="00855DE0" w:rsidP="00855DE0">
      <w:pPr>
        <w:pStyle w:val="EndnoteText"/>
        <w:widowControl w:val="0"/>
        <w:tabs>
          <w:tab w:val="clear" w:pos="567"/>
        </w:tabs>
        <w:rPr>
          <w:color w:val="000000"/>
          <w:szCs w:val="22"/>
          <w:lang w:val="es-ES_tradnl"/>
        </w:rPr>
      </w:pPr>
    </w:p>
    <w:p w14:paraId="683158A0" w14:textId="77777777" w:rsidR="00A518A2" w:rsidRPr="002D741C" w:rsidRDefault="00A518A2" w:rsidP="00855DE0">
      <w:pPr>
        <w:pStyle w:val="EndnoteText"/>
        <w:widowControl w:val="0"/>
        <w:tabs>
          <w:tab w:val="clear" w:pos="567"/>
        </w:tabs>
        <w:rPr>
          <w:color w:val="000000"/>
          <w:szCs w:val="22"/>
          <w:lang w:val="es-ES_tradnl"/>
        </w:rPr>
      </w:pPr>
      <w:r w:rsidRPr="002D741C">
        <w:rPr>
          <w:color w:val="000000"/>
          <w:szCs w:val="22"/>
          <w:lang w:val="es-ES_tradnl"/>
        </w:rPr>
        <w:t>No existen ensayos controlados en pacientes pediátricos con G</w:t>
      </w:r>
      <w:smartTag w:uri="urn:schemas-microsoft-com:office:smarttags" w:element="PersonName">
        <w:r w:rsidRPr="002D741C">
          <w:rPr>
            <w:color w:val="000000"/>
            <w:szCs w:val="22"/>
            <w:lang w:val="es-ES_tradnl"/>
          </w:rPr>
          <w:t>IS</w:t>
        </w:r>
      </w:smartTag>
      <w:r w:rsidRPr="002D741C">
        <w:rPr>
          <w:color w:val="000000"/>
          <w:szCs w:val="22"/>
          <w:lang w:val="es-ES_tradnl"/>
        </w:rPr>
        <w:t xml:space="preserve">T c-Kit positivo. En 7 publicaciones se notificaron </w:t>
      </w:r>
      <w:r w:rsidR="00E14E1C" w:rsidRPr="002D741C">
        <w:rPr>
          <w:color w:val="000000"/>
          <w:szCs w:val="22"/>
          <w:lang w:val="es-ES_tradnl"/>
        </w:rPr>
        <w:t>diecisiete (</w:t>
      </w:r>
      <w:r w:rsidRPr="002D741C">
        <w:rPr>
          <w:color w:val="000000"/>
          <w:szCs w:val="22"/>
          <w:lang w:val="es-ES_tradnl"/>
        </w:rPr>
        <w:t>17</w:t>
      </w:r>
      <w:r w:rsidR="00E14E1C" w:rsidRPr="002D741C">
        <w:rPr>
          <w:color w:val="000000"/>
          <w:szCs w:val="22"/>
          <w:lang w:val="es-ES_tradnl"/>
        </w:rPr>
        <w:t>)</w:t>
      </w:r>
      <w:r w:rsidRPr="002D741C">
        <w:rPr>
          <w:color w:val="000000"/>
          <w:szCs w:val="22"/>
          <w:lang w:val="es-ES_tradnl"/>
        </w:rPr>
        <w:t> pacientes con G</w:t>
      </w:r>
      <w:smartTag w:uri="urn:schemas-microsoft-com:office:smarttags" w:element="PersonName">
        <w:r w:rsidRPr="002D741C">
          <w:rPr>
            <w:color w:val="000000"/>
            <w:szCs w:val="22"/>
            <w:lang w:val="es-ES_tradnl"/>
          </w:rPr>
          <w:t>IS</w:t>
        </w:r>
      </w:smartTag>
      <w:r w:rsidRPr="002D741C">
        <w:rPr>
          <w:color w:val="000000"/>
          <w:szCs w:val="22"/>
          <w:lang w:val="es-ES_tradnl"/>
        </w:rPr>
        <w:t>T (con o sin mutaciones Kit y PDG</w:t>
      </w:r>
      <w:smartTag w:uri="urn:schemas-microsoft-com:office:smarttags" w:element="PersonName">
        <w:r w:rsidRPr="002D741C">
          <w:rPr>
            <w:color w:val="000000"/>
            <w:szCs w:val="22"/>
            <w:lang w:val="es-ES_tradnl"/>
          </w:rPr>
          <w:t>FR</w:t>
        </w:r>
      </w:smartTag>
      <w:r w:rsidRPr="002D741C">
        <w:rPr>
          <w:color w:val="000000"/>
          <w:szCs w:val="22"/>
          <w:lang w:val="es-ES_tradnl"/>
        </w:rPr>
        <w:t xml:space="preserve">). La edad de estos pacientes osciló entre 8 y 18 años y se administró imatinib </w:t>
      </w:r>
      <w:r w:rsidR="00450495" w:rsidRPr="002D741C">
        <w:rPr>
          <w:color w:val="000000"/>
          <w:szCs w:val="22"/>
          <w:lang w:val="es-ES_tradnl"/>
        </w:rPr>
        <w:t xml:space="preserve">tanto </w:t>
      </w:r>
      <w:r w:rsidRPr="002D741C">
        <w:rPr>
          <w:color w:val="000000"/>
          <w:szCs w:val="22"/>
          <w:lang w:val="es-ES_tradnl"/>
        </w:rPr>
        <w:t xml:space="preserve">en la indicación adyuvante </w:t>
      </w:r>
      <w:r w:rsidR="00450495" w:rsidRPr="002D741C">
        <w:rPr>
          <w:color w:val="000000"/>
          <w:szCs w:val="22"/>
          <w:lang w:val="es-ES_tradnl"/>
        </w:rPr>
        <w:t xml:space="preserve">como en la </w:t>
      </w:r>
      <w:r w:rsidRPr="002D741C">
        <w:rPr>
          <w:color w:val="000000"/>
          <w:szCs w:val="22"/>
          <w:lang w:val="es-ES_tradnl"/>
        </w:rPr>
        <w:t>metastásica a dosis entre 300 y 800 mg diarios. En la mayoría de pacientes pediátricos tratados para G</w:t>
      </w:r>
      <w:smartTag w:uri="urn:schemas-microsoft-com:office:smarttags" w:element="PersonName">
        <w:r w:rsidRPr="002D741C">
          <w:rPr>
            <w:color w:val="000000"/>
            <w:szCs w:val="22"/>
            <w:lang w:val="es-ES_tradnl"/>
          </w:rPr>
          <w:t>IS</w:t>
        </w:r>
      </w:smartTag>
      <w:r w:rsidRPr="002D741C">
        <w:rPr>
          <w:color w:val="000000"/>
          <w:szCs w:val="22"/>
          <w:lang w:val="es-ES_tradnl"/>
        </w:rPr>
        <w:t>T falta</w:t>
      </w:r>
      <w:r w:rsidR="00450495" w:rsidRPr="002D741C">
        <w:rPr>
          <w:color w:val="000000"/>
          <w:szCs w:val="22"/>
          <w:lang w:val="es-ES_tradnl"/>
        </w:rPr>
        <w:t>ban</w:t>
      </w:r>
      <w:r w:rsidRPr="002D741C">
        <w:rPr>
          <w:color w:val="000000"/>
          <w:szCs w:val="22"/>
          <w:lang w:val="es-ES_tradnl"/>
        </w:rPr>
        <w:t xml:space="preserve"> datos para confirmar las mutaciones c-kit y PDG</w:t>
      </w:r>
      <w:smartTag w:uri="urn:schemas-microsoft-com:office:smarttags" w:element="PersonName">
        <w:r w:rsidRPr="002D741C">
          <w:rPr>
            <w:color w:val="000000"/>
            <w:szCs w:val="22"/>
            <w:lang w:val="es-ES_tradnl"/>
          </w:rPr>
          <w:t>FR</w:t>
        </w:r>
      </w:smartTag>
      <w:r w:rsidRPr="002D741C">
        <w:rPr>
          <w:color w:val="000000"/>
          <w:szCs w:val="22"/>
          <w:lang w:val="es-ES_tradnl"/>
        </w:rPr>
        <w:t xml:space="preserve"> </w:t>
      </w:r>
      <w:r w:rsidR="00450495" w:rsidRPr="002D741C">
        <w:rPr>
          <w:color w:val="000000"/>
          <w:szCs w:val="22"/>
          <w:lang w:val="es-ES_tradnl"/>
        </w:rPr>
        <w:t xml:space="preserve">lo </w:t>
      </w:r>
      <w:r w:rsidRPr="002D741C">
        <w:rPr>
          <w:color w:val="000000"/>
          <w:szCs w:val="22"/>
          <w:lang w:val="es-ES_tradnl"/>
        </w:rPr>
        <w:t>que puede suponer resultados clínicos mezclados.</w:t>
      </w:r>
    </w:p>
    <w:p w14:paraId="4821EECE" w14:textId="77777777" w:rsidR="00A518A2" w:rsidRPr="002D741C" w:rsidRDefault="00A518A2" w:rsidP="00855DE0">
      <w:pPr>
        <w:pStyle w:val="EndnoteText"/>
        <w:widowControl w:val="0"/>
        <w:tabs>
          <w:tab w:val="clear" w:pos="567"/>
        </w:tabs>
        <w:rPr>
          <w:color w:val="000000"/>
          <w:szCs w:val="22"/>
          <w:lang w:val="es-ES_tradnl"/>
        </w:rPr>
      </w:pPr>
    </w:p>
    <w:p w14:paraId="58D33844" w14:textId="77777777" w:rsidR="008C48E3" w:rsidRPr="002D741C" w:rsidRDefault="008C48E3" w:rsidP="00C16E58">
      <w:pPr>
        <w:pStyle w:val="EndnoteText"/>
        <w:keepNext/>
        <w:widowControl w:val="0"/>
        <w:tabs>
          <w:tab w:val="clear" w:pos="567"/>
        </w:tabs>
        <w:rPr>
          <w:color w:val="000000"/>
          <w:szCs w:val="22"/>
          <w:u w:val="single"/>
          <w:lang w:val="es-ES"/>
        </w:rPr>
      </w:pPr>
      <w:r w:rsidRPr="002D741C">
        <w:rPr>
          <w:color w:val="000000"/>
          <w:szCs w:val="22"/>
          <w:u w:val="single"/>
          <w:lang w:val="es-ES"/>
        </w:rPr>
        <w:t>Ensayos clínicos en DFSP</w:t>
      </w:r>
    </w:p>
    <w:p w14:paraId="3A2263F7" w14:textId="77777777" w:rsidR="008C48E3" w:rsidRPr="002D741C" w:rsidRDefault="008C48E3" w:rsidP="008C48E3">
      <w:pPr>
        <w:pStyle w:val="EndnoteText"/>
        <w:widowControl w:val="0"/>
        <w:tabs>
          <w:tab w:val="clear" w:pos="567"/>
        </w:tabs>
        <w:rPr>
          <w:color w:val="000000"/>
          <w:szCs w:val="22"/>
          <w:lang w:val="es-ES"/>
        </w:rPr>
      </w:pPr>
      <w:r w:rsidRPr="002D741C">
        <w:rPr>
          <w:color w:val="000000"/>
          <w:szCs w:val="22"/>
          <w:lang w:val="es-ES"/>
        </w:rPr>
        <w:t>Se realizó un ensayo clínico (estudio B2225) multicéntrico, abierto, de fase II incluyendo 12 pacientes con DFSP tratados con 800 mg diarios de Glivec. La</w:t>
      </w:r>
      <w:r w:rsidR="0084450F" w:rsidRPr="002D741C">
        <w:rPr>
          <w:color w:val="000000"/>
          <w:szCs w:val="22"/>
          <w:lang w:val="es-ES"/>
        </w:rPr>
        <w:t>s</w:t>
      </w:r>
      <w:r w:rsidRPr="002D741C">
        <w:rPr>
          <w:color w:val="000000"/>
          <w:szCs w:val="22"/>
          <w:lang w:val="es-ES"/>
        </w:rPr>
        <w:t xml:space="preserve"> edad</w:t>
      </w:r>
      <w:r w:rsidR="0084450F" w:rsidRPr="002D741C">
        <w:rPr>
          <w:color w:val="000000"/>
          <w:szCs w:val="22"/>
          <w:lang w:val="es-ES"/>
        </w:rPr>
        <w:t>es</w:t>
      </w:r>
      <w:r w:rsidRPr="002D741C">
        <w:rPr>
          <w:color w:val="000000"/>
          <w:szCs w:val="22"/>
          <w:lang w:val="es-ES"/>
        </w:rPr>
        <w:t xml:space="preserve"> de los pacientes con DFSP vari</w:t>
      </w:r>
      <w:r w:rsidR="0084450F" w:rsidRPr="002D741C">
        <w:rPr>
          <w:color w:val="000000"/>
          <w:szCs w:val="22"/>
          <w:lang w:val="es-ES"/>
        </w:rPr>
        <w:t>aron</w:t>
      </w:r>
      <w:r w:rsidRPr="002D741C">
        <w:rPr>
          <w:color w:val="000000"/>
          <w:szCs w:val="22"/>
          <w:lang w:val="es-ES"/>
        </w:rPr>
        <w:t xml:space="preserve"> de </w:t>
      </w:r>
      <w:smartTag w:uri="urn:schemas-microsoft-com:office:smarttags" w:element="metricconverter">
        <w:smartTagPr>
          <w:attr w:name="ProductID" w:val="23ﾠa"/>
        </w:smartTagPr>
        <w:r w:rsidRPr="002D741C">
          <w:rPr>
            <w:color w:val="000000"/>
            <w:szCs w:val="22"/>
            <w:lang w:val="es-ES"/>
          </w:rPr>
          <w:t>23 a</w:t>
        </w:r>
      </w:smartTag>
      <w:r w:rsidRPr="002D741C">
        <w:rPr>
          <w:color w:val="000000"/>
          <w:szCs w:val="22"/>
          <w:lang w:val="es-ES"/>
        </w:rPr>
        <w:t xml:space="preserve"> 75 años; el DFSP era metastásico, localmente recurrente tras una cirugía resectiva inicial y no se consideró </w:t>
      </w:r>
      <w:r w:rsidR="005714D3" w:rsidRPr="002D741C">
        <w:rPr>
          <w:color w:val="000000"/>
          <w:szCs w:val="22"/>
          <w:lang w:val="es-ES"/>
        </w:rPr>
        <w:t>de elección para</w:t>
      </w:r>
      <w:r w:rsidRPr="002D741C">
        <w:rPr>
          <w:color w:val="000000"/>
          <w:szCs w:val="22"/>
          <w:lang w:val="es-ES"/>
        </w:rPr>
        <w:t xml:space="preserve"> otra cirugía resectiva en el momento de entrar en el estudio. La evidencia primaria de eficacia se basó en las tasas de respuesta objetivas. De los 12 pacientes incluidos, 9 respondieron, uno completamente y 8 parcialmente. Tres de los respondedores parciales </w:t>
      </w:r>
      <w:r w:rsidR="001F0DB0" w:rsidRPr="002D741C">
        <w:rPr>
          <w:color w:val="000000"/>
          <w:szCs w:val="22"/>
          <w:lang w:val="es-ES"/>
        </w:rPr>
        <w:t>quedaron</w:t>
      </w:r>
      <w:r w:rsidRPr="002D741C">
        <w:rPr>
          <w:color w:val="000000"/>
          <w:szCs w:val="22"/>
          <w:lang w:val="es-ES"/>
        </w:rPr>
        <w:t xml:space="preserve"> libres de enfermedad </w:t>
      </w:r>
      <w:r w:rsidR="00A877D8" w:rsidRPr="002D741C">
        <w:rPr>
          <w:color w:val="000000"/>
          <w:szCs w:val="22"/>
          <w:lang w:val="es-ES"/>
        </w:rPr>
        <w:t>después de someterse a</w:t>
      </w:r>
      <w:r w:rsidRPr="002D741C">
        <w:rPr>
          <w:color w:val="000000"/>
          <w:szCs w:val="22"/>
          <w:lang w:val="es-ES"/>
        </w:rPr>
        <w:t xml:space="preserve"> cirugía. La mediana de duración del tratamiento en el estudio B2225 fue de 6,2 meses, con una duración máxima de 24,3 meses. Se </w:t>
      </w:r>
      <w:r w:rsidR="008F0BF6" w:rsidRPr="002D741C">
        <w:rPr>
          <w:color w:val="000000"/>
          <w:szCs w:val="22"/>
          <w:lang w:val="es-ES"/>
        </w:rPr>
        <w:t>notificó la existencia de</w:t>
      </w:r>
      <w:r w:rsidRPr="002D741C">
        <w:rPr>
          <w:color w:val="000000"/>
          <w:szCs w:val="22"/>
          <w:lang w:val="es-ES"/>
        </w:rPr>
        <w:t xml:space="preserve"> </w:t>
      </w:r>
      <w:r w:rsidR="008F0BF6" w:rsidRPr="002D741C">
        <w:rPr>
          <w:color w:val="000000"/>
          <w:szCs w:val="22"/>
          <w:lang w:val="es-ES"/>
        </w:rPr>
        <w:t xml:space="preserve">otros </w:t>
      </w:r>
      <w:r w:rsidRPr="002D741C">
        <w:rPr>
          <w:color w:val="000000"/>
          <w:szCs w:val="22"/>
          <w:lang w:val="es-ES"/>
        </w:rPr>
        <w:t xml:space="preserve">6 pacientes con DFSP tratados con Glivec en 5 casos publicados, con edades comprendidas entre 18 meses y 49 años. Los pacientes adultos </w:t>
      </w:r>
      <w:r w:rsidR="008F0BF6" w:rsidRPr="002D741C">
        <w:rPr>
          <w:color w:val="000000"/>
          <w:szCs w:val="22"/>
          <w:lang w:val="es-ES"/>
        </w:rPr>
        <w:t>notificados, extraídos de</w:t>
      </w:r>
      <w:r w:rsidRPr="002D741C">
        <w:rPr>
          <w:color w:val="000000"/>
          <w:szCs w:val="22"/>
          <w:lang w:val="es-ES"/>
        </w:rPr>
        <w:t xml:space="preserve"> la literatura publicada fueron tratados con 400 mg (4 casos) ó 800 mg (1 caso) de Glivec diarios. </w:t>
      </w:r>
      <w:r w:rsidR="009A10C5" w:rsidRPr="002D741C">
        <w:rPr>
          <w:color w:val="000000"/>
          <w:szCs w:val="22"/>
          <w:lang w:val="es-ES"/>
        </w:rPr>
        <w:t>Cinco (</w:t>
      </w:r>
      <w:r w:rsidRPr="002D741C">
        <w:rPr>
          <w:color w:val="000000"/>
          <w:szCs w:val="22"/>
          <w:lang w:val="es-ES"/>
        </w:rPr>
        <w:t>5</w:t>
      </w:r>
      <w:r w:rsidR="009A10C5" w:rsidRPr="002D741C">
        <w:rPr>
          <w:color w:val="000000"/>
          <w:szCs w:val="22"/>
          <w:lang w:val="es-ES"/>
        </w:rPr>
        <w:t>)</w:t>
      </w:r>
      <w:r w:rsidRPr="002D741C">
        <w:rPr>
          <w:color w:val="000000"/>
          <w:szCs w:val="22"/>
          <w:lang w:val="es-ES"/>
        </w:rPr>
        <w:t> pacientes respondieron, 3 completamente y 2 parcialmente. La mediana de duración del tratamiento en la literatura publicada varió entre 4 semanas y más de 20 meses. En casi todos los respondedores al tratamiento con Glivec, se presentó la t(17:22) [(q22:q13)], o su gen.</w:t>
      </w:r>
    </w:p>
    <w:p w14:paraId="5461DDB6" w14:textId="77777777" w:rsidR="00CF336E" w:rsidRPr="002D741C" w:rsidRDefault="00CF336E" w:rsidP="008C48E3">
      <w:pPr>
        <w:pStyle w:val="EndnoteText"/>
        <w:widowControl w:val="0"/>
        <w:tabs>
          <w:tab w:val="clear" w:pos="567"/>
        </w:tabs>
        <w:rPr>
          <w:color w:val="000000"/>
          <w:szCs w:val="22"/>
          <w:lang w:val="es-ES"/>
        </w:rPr>
      </w:pPr>
    </w:p>
    <w:p w14:paraId="498366EF" w14:textId="77777777" w:rsidR="00A518A2" w:rsidRPr="002D741C" w:rsidRDefault="00A518A2" w:rsidP="008C48E3">
      <w:pPr>
        <w:pStyle w:val="EndnoteText"/>
        <w:widowControl w:val="0"/>
        <w:tabs>
          <w:tab w:val="clear" w:pos="567"/>
        </w:tabs>
        <w:rPr>
          <w:color w:val="000000"/>
          <w:szCs w:val="22"/>
          <w:lang w:val="es-ES"/>
        </w:rPr>
      </w:pPr>
      <w:r w:rsidRPr="002D741C">
        <w:rPr>
          <w:color w:val="000000"/>
          <w:szCs w:val="22"/>
          <w:lang w:val="es-ES"/>
        </w:rPr>
        <w:t xml:space="preserve">No existen ensayos controlados en pacientes pediátricos con DFSP. En 3 publicaciones se notificaron </w:t>
      </w:r>
      <w:r w:rsidR="00E14E1C" w:rsidRPr="002D741C">
        <w:rPr>
          <w:color w:val="000000"/>
          <w:szCs w:val="22"/>
          <w:lang w:val="es-ES"/>
        </w:rPr>
        <w:t>cinco (</w:t>
      </w:r>
      <w:r w:rsidRPr="002D741C">
        <w:rPr>
          <w:color w:val="000000"/>
          <w:szCs w:val="22"/>
          <w:lang w:val="es-ES"/>
        </w:rPr>
        <w:t>5</w:t>
      </w:r>
      <w:r w:rsidR="00E14E1C" w:rsidRPr="002D741C">
        <w:rPr>
          <w:color w:val="000000"/>
          <w:szCs w:val="22"/>
          <w:lang w:val="es-ES"/>
        </w:rPr>
        <w:t>)</w:t>
      </w:r>
      <w:r w:rsidRPr="002D741C">
        <w:rPr>
          <w:color w:val="000000"/>
          <w:szCs w:val="22"/>
          <w:lang w:val="es-ES"/>
        </w:rPr>
        <w:t> pacientes con DFSP y reordenamientos del gen PDG</w:t>
      </w:r>
      <w:smartTag w:uri="urn:schemas-microsoft-com:office:smarttags" w:element="PersonName">
        <w:r w:rsidRPr="002D741C">
          <w:rPr>
            <w:color w:val="000000"/>
            <w:szCs w:val="22"/>
            <w:lang w:val="es-ES"/>
          </w:rPr>
          <w:t>FR</w:t>
        </w:r>
      </w:smartTag>
      <w:r w:rsidRPr="002D741C">
        <w:rPr>
          <w:color w:val="000000"/>
          <w:szCs w:val="22"/>
          <w:lang w:val="es-ES"/>
        </w:rPr>
        <w:t xml:space="preserve">. La edad de estos pacientes osciló </w:t>
      </w:r>
      <w:r w:rsidR="002146F0" w:rsidRPr="002D741C">
        <w:rPr>
          <w:color w:val="000000"/>
          <w:szCs w:val="22"/>
          <w:lang w:val="es-ES"/>
        </w:rPr>
        <w:t xml:space="preserve">entre </w:t>
      </w:r>
      <w:r w:rsidRPr="002D741C">
        <w:rPr>
          <w:color w:val="000000"/>
          <w:szCs w:val="22"/>
          <w:lang w:val="es-ES"/>
        </w:rPr>
        <w:t xml:space="preserve">recién nacidos </w:t>
      </w:r>
      <w:r w:rsidR="002146F0" w:rsidRPr="002D741C">
        <w:rPr>
          <w:color w:val="000000"/>
          <w:szCs w:val="22"/>
          <w:lang w:val="es-ES"/>
        </w:rPr>
        <w:t>y</w:t>
      </w:r>
      <w:r w:rsidRPr="002D741C">
        <w:rPr>
          <w:color w:val="000000"/>
          <w:szCs w:val="22"/>
          <w:lang w:val="es-ES"/>
        </w:rPr>
        <w:t xml:space="preserve"> 14 años y se administró imatinib a </w:t>
      </w:r>
      <w:r w:rsidR="00E14E1C" w:rsidRPr="002D741C">
        <w:rPr>
          <w:color w:val="000000"/>
          <w:szCs w:val="22"/>
          <w:lang w:val="es-ES"/>
        </w:rPr>
        <w:t xml:space="preserve">dosis de 50 mg diarios o </w:t>
      </w:r>
      <w:r w:rsidRPr="002D741C">
        <w:rPr>
          <w:color w:val="000000"/>
          <w:szCs w:val="22"/>
          <w:lang w:val="es-ES"/>
        </w:rPr>
        <w:t>dosis entre 400 y 520</w:t>
      </w:r>
      <w:r w:rsidR="00E14E1C" w:rsidRPr="002D741C">
        <w:rPr>
          <w:color w:val="000000"/>
          <w:szCs w:val="22"/>
          <w:lang w:val="es-ES"/>
        </w:rPr>
        <w:t> </w:t>
      </w:r>
      <w:r w:rsidRPr="002D741C">
        <w:rPr>
          <w:color w:val="000000"/>
          <w:szCs w:val="22"/>
          <w:lang w:val="es-ES"/>
        </w:rPr>
        <w:t>mg/m</w:t>
      </w:r>
      <w:r w:rsidRPr="002D741C">
        <w:rPr>
          <w:color w:val="000000"/>
          <w:szCs w:val="22"/>
          <w:vertAlign w:val="superscript"/>
          <w:lang w:val="es-ES"/>
        </w:rPr>
        <w:t>2</w:t>
      </w:r>
      <w:r w:rsidRPr="002D741C">
        <w:rPr>
          <w:color w:val="000000"/>
          <w:szCs w:val="22"/>
          <w:lang w:val="es-ES"/>
        </w:rPr>
        <w:t xml:space="preserve"> diarios. Todos los pacientes alcanzaron respuesta parcial y/o completa.</w:t>
      </w:r>
    </w:p>
    <w:p w14:paraId="5110B42B" w14:textId="77777777" w:rsidR="00A518A2" w:rsidRPr="002D741C" w:rsidRDefault="00A518A2" w:rsidP="008C48E3">
      <w:pPr>
        <w:pStyle w:val="EndnoteText"/>
        <w:widowControl w:val="0"/>
        <w:tabs>
          <w:tab w:val="clear" w:pos="567"/>
        </w:tabs>
        <w:rPr>
          <w:color w:val="000000"/>
          <w:szCs w:val="22"/>
          <w:lang w:val="es-ES"/>
        </w:rPr>
      </w:pPr>
    </w:p>
    <w:p w14:paraId="08DCAB31" w14:textId="77777777" w:rsidR="002626B2" w:rsidRPr="002D741C" w:rsidRDefault="002626B2" w:rsidP="00C16E58">
      <w:pPr>
        <w:keepNext/>
        <w:widowControl w:val="0"/>
        <w:ind w:left="567" w:hanging="567"/>
        <w:rPr>
          <w:color w:val="000000"/>
          <w:sz w:val="22"/>
          <w:szCs w:val="22"/>
        </w:rPr>
      </w:pPr>
      <w:r w:rsidRPr="002D741C">
        <w:rPr>
          <w:b/>
          <w:color w:val="000000"/>
          <w:sz w:val="22"/>
          <w:szCs w:val="22"/>
        </w:rPr>
        <w:t>5.2</w:t>
      </w:r>
      <w:r w:rsidRPr="002D741C">
        <w:rPr>
          <w:b/>
          <w:color w:val="000000"/>
          <w:sz w:val="22"/>
          <w:szCs w:val="22"/>
        </w:rPr>
        <w:tab/>
        <w:t>Propiedades farmacocinéticas</w:t>
      </w:r>
    </w:p>
    <w:p w14:paraId="14A03AEA" w14:textId="77777777" w:rsidR="002626B2" w:rsidRPr="002D741C" w:rsidRDefault="002626B2" w:rsidP="00C16E58">
      <w:pPr>
        <w:pStyle w:val="EndnoteText"/>
        <w:keepNext/>
        <w:widowControl w:val="0"/>
        <w:tabs>
          <w:tab w:val="clear" w:pos="567"/>
        </w:tabs>
        <w:rPr>
          <w:color w:val="000000"/>
          <w:szCs w:val="22"/>
          <w:lang w:val="es-ES"/>
        </w:rPr>
      </w:pPr>
    </w:p>
    <w:p w14:paraId="6200DAC1" w14:textId="77777777" w:rsidR="002626B2" w:rsidRPr="002D741C" w:rsidRDefault="002626B2" w:rsidP="00C16E58">
      <w:pPr>
        <w:pStyle w:val="EndnoteText"/>
        <w:keepNext/>
        <w:widowControl w:val="0"/>
        <w:tabs>
          <w:tab w:val="clear" w:pos="567"/>
        </w:tabs>
        <w:rPr>
          <w:color w:val="000000"/>
          <w:szCs w:val="22"/>
          <w:lang w:val="es-ES"/>
        </w:rPr>
      </w:pPr>
      <w:r w:rsidRPr="002D741C">
        <w:rPr>
          <w:color w:val="000000"/>
          <w:szCs w:val="22"/>
          <w:u w:val="single"/>
          <w:lang w:val="es-ES"/>
        </w:rPr>
        <w:t>Farmacocinética de Glivec</w:t>
      </w:r>
    </w:p>
    <w:p w14:paraId="55D4FD59" w14:textId="77777777" w:rsidR="002626B2" w:rsidRPr="002D741C" w:rsidRDefault="002626B2" w:rsidP="001A2F33">
      <w:pPr>
        <w:pStyle w:val="EndnoteText"/>
        <w:widowControl w:val="0"/>
        <w:tabs>
          <w:tab w:val="clear" w:pos="567"/>
        </w:tabs>
        <w:rPr>
          <w:color w:val="000000"/>
          <w:szCs w:val="22"/>
          <w:lang w:val="es-ES"/>
        </w:rPr>
      </w:pPr>
      <w:r w:rsidRPr="002D741C">
        <w:rPr>
          <w:color w:val="000000"/>
          <w:szCs w:val="22"/>
          <w:lang w:val="es-ES"/>
        </w:rPr>
        <w:t>La farmacocinética de Glivec ha sido evaluada en</w:t>
      </w:r>
      <w:r w:rsidR="00777D3B" w:rsidRPr="002D741C">
        <w:rPr>
          <w:color w:val="000000"/>
          <w:szCs w:val="22"/>
          <w:lang w:val="es-ES"/>
        </w:rPr>
        <w:t xml:space="preserve"> </w:t>
      </w:r>
      <w:r w:rsidRPr="002D741C">
        <w:rPr>
          <w:color w:val="000000"/>
          <w:szCs w:val="22"/>
          <w:lang w:val="es-ES"/>
        </w:rPr>
        <w:t xml:space="preserve">un rango de dosificación de </w:t>
      </w:r>
      <w:smartTag w:uri="urn:schemas-microsoft-com:office:smarttags" w:element="metricconverter">
        <w:smartTagPr>
          <w:attr w:name="ProductID" w:val="25 a"/>
        </w:smartTagPr>
        <w:r w:rsidRPr="002D741C">
          <w:rPr>
            <w:color w:val="000000"/>
            <w:szCs w:val="22"/>
            <w:lang w:val="es-ES"/>
          </w:rPr>
          <w:t>25 a</w:t>
        </w:r>
      </w:smartTag>
      <w:r w:rsidRPr="002D741C">
        <w:rPr>
          <w:color w:val="000000"/>
          <w:szCs w:val="22"/>
          <w:lang w:val="es-ES"/>
        </w:rPr>
        <w:t xml:space="preserve"> 1</w:t>
      </w:r>
      <w:r w:rsidR="001453F7" w:rsidRPr="002D741C">
        <w:rPr>
          <w:color w:val="000000"/>
          <w:szCs w:val="22"/>
          <w:lang w:val="es-ES"/>
        </w:rPr>
        <w:t>.</w:t>
      </w:r>
      <w:r w:rsidRPr="002D741C">
        <w:rPr>
          <w:color w:val="000000"/>
          <w:szCs w:val="22"/>
          <w:lang w:val="es-ES"/>
        </w:rPr>
        <w:t>000</w:t>
      </w:r>
      <w:r w:rsidR="006171A6" w:rsidRPr="002D741C">
        <w:rPr>
          <w:color w:val="000000"/>
          <w:szCs w:val="22"/>
          <w:lang w:val="es-ES"/>
        </w:rPr>
        <w:t> mg</w:t>
      </w:r>
      <w:r w:rsidRPr="002D741C">
        <w:rPr>
          <w:color w:val="000000"/>
          <w:szCs w:val="22"/>
          <w:lang w:val="es-ES"/>
        </w:rPr>
        <w:t>. Los perfiles farmacocinéticos plasmáticos se analizaron en el día</w:t>
      </w:r>
      <w:r w:rsidR="00DF063A" w:rsidRPr="002D741C">
        <w:rPr>
          <w:color w:val="000000"/>
          <w:szCs w:val="22"/>
          <w:lang w:val="es-ES"/>
        </w:rPr>
        <w:t> </w:t>
      </w:r>
      <w:r w:rsidRPr="002D741C">
        <w:rPr>
          <w:color w:val="000000"/>
          <w:szCs w:val="22"/>
          <w:lang w:val="es-ES"/>
        </w:rPr>
        <w:t>1 y en el día</w:t>
      </w:r>
      <w:r w:rsidR="00DF063A" w:rsidRPr="002D741C">
        <w:rPr>
          <w:color w:val="000000"/>
          <w:szCs w:val="22"/>
          <w:lang w:val="es-ES"/>
        </w:rPr>
        <w:t> </w:t>
      </w:r>
      <w:r w:rsidRPr="002D741C">
        <w:rPr>
          <w:color w:val="000000"/>
          <w:szCs w:val="22"/>
          <w:lang w:val="es-ES"/>
        </w:rPr>
        <w:t>7 o día</w:t>
      </w:r>
      <w:r w:rsidR="00DF063A" w:rsidRPr="002D741C">
        <w:rPr>
          <w:color w:val="000000"/>
          <w:szCs w:val="22"/>
          <w:lang w:val="es-ES"/>
        </w:rPr>
        <w:t> </w:t>
      </w:r>
      <w:r w:rsidRPr="002D741C">
        <w:rPr>
          <w:color w:val="000000"/>
          <w:szCs w:val="22"/>
          <w:lang w:val="es-ES"/>
        </w:rPr>
        <w:t xml:space="preserve">28, cuando las </w:t>
      </w:r>
      <w:r w:rsidRPr="002D741C">
        <w:rPr>
          <w:color w:val="000000"/>
          <w:szCs w:val="22"/>
          <w:lang w:val="es-ES"/>
        </w:rPr>
        <w:lastRenderedPageBreak/>
        <w:t>concentraciones plasmáticas habían alcanzado el estado estacionario.</w:t>
      </w:r>
    </w:p>
    <w:p w14:paraId="67081400" w14:textId="77777777" w:rsidR="002626B2" w:rsidRPr="002D741C" w:rsidRDefault="002626B2" w:rsidP="001A2F33">
      <w:pPr>
        <w:pStyle w:val="EndnoteText"/>
        <w:widowControl w:val="0"/>
        <w:tabs>
          <w:tab w:val="clear" w:pos="567"/>
        </w:tabs>
        <w:rPr>
          <w:color w:val="000000"/>
          <w:szCs w:val="22"/>
          <w:lang w:val="es-ES"/>
        </w:rPr>
      </w:pPr>
    </w:p>
    <w:p w14:paraId="3BF42795" w14:textId="77777777" w:rsidR="002626B2" w:rsidRPr="002D741C" w:rsidRDefault="002626B2" w:rsidP="00C16E58">
      <w:pPr>
        <w:pStyle w:val="EndnoteText"/>
        <w:keepNext/>
        <w:widowControl w:val="0"/>
        <w:tabs>
          <w:tab w:val="clear" w:pos="567"/>
        </w:tabs>
        <w:rPr>
          <w:color w:val="000000"/>
          <w:szCs w:val="22"/>
          <w:lang w:val="es-ES"/>
        </w:rPr>
      </w:pPr>
      <w:r w:rsidRPr="002D741C">
        <w:rPr>
          <w:color w:val="000000"/>
          <w:szCs w:val="22"/>
          <w:u w:val="single"/>
          <w:lang w:val="es-ES"/>
        </w:rPr>
        <w:t>Absorción</w:t>
      </w:r>
    </w:p>
    <w:p w14:paraId="209F41F8" w14:textId="77777777" w:rsidR="002626B2" w:rsidRPr="002D741C" w:rsidRDefault="002626B2" w:rsidP="001A2F33">
      <w:pPr>
        <w:pStyle w:val="EndnoteText"/>
        <w:widowControl w:val="0"/>
        <w:tabs>
          <w:tab w:val="clear" w:pos="567"/>
        </w:tabs>
        <w:rPr>
          <w:color w:val="000000"/>
          <w:szCs w:val="22"/>
          <w:lang w:val="es-ES"/>
        </w:rPr>
      </w:pPr>
      <w:r w:rsidRPr="002D741C">
        <w:rPr>
          <w:color w:val="000000"/>
          <w:szCs w:val="22"/>
          <w:lang w:val="es-ES"/>
        </w:rPr>
        <w:t>La biodisponibilidad absoluta media para la formulación de cápsulas es del 98%. Hubo una elevada variabilidad entre pacientes en las AUC de los niveles plasmáticos de imatinib después de una dosis oral. Cuando se administró junto con una comida rica en grasas, la tasa de absorción de imatinib se redujo mínimamente (11% de reducción en C</w:t>
      </w:r>
      <w:r w:rsidRPr="002D741C">
        <w:rPr>
          <w:color w:val="000000"/>
          <w:szCs w:val="22"/>
          <w:vertAlign w:val="subscript"/>
          <w:lang w:val="es-ES"/>
        </w:rPr>
        <w:t>máx</w:t>
      </w:r>
      <w:r w:rsidRPr="002D741C">
        <w:rPr>
          <w:color w:val="000000"/>
          <w:szCs w:val="22"/>
          <w:lang w:val="es-ES"/>
        </w:rPr>
        <w:t xml:space="preserve"> y prolongación de t</w:t>
      </w:r>
      <w:r w:rsidRPr="002D741C">
        <w:rPr>
          <w:color w:val="000000"/>
          <w:szCs w:val="22"/>
          <w:vertAlign w:val="subscript"/>
          <w:lang w:val="es-ES"/>
        </w:rPr>
        <w:t>máx</w:t>
      </w:r>
      <w:r w:rsidRPr="002D741C">
        <w:rPr>
          <w:color w:val="000000"/>
          <w:szCs w:val="22"/>
          <w:lang w:val="es-ES"/>
        </w:rPr>
        <w:t xml:space="preserve"> de 1,5</w:t>
      </w:r>
      <w:r w:rsidR="00DF063A" w:rsidRPr="002D741C">
        <w:rPr>
          <w:color w:val="000000"/>
          <w:szCs w:val="22"/>
          <w:lang w:val="es-ES"/>
        </w:rPr>
        <w:t> </w:t>
      </w:r>
      <w:r w:rsidRPr="002D741C">
        <w:rPr>
          <w:color w:val="000000"/>
          <w:szCs w:val="22"/>
          <w:lang w:val="es-ES"/>
        </w:rPr>
        <w:t>h), con una pequeña reducción del AUC (7,4%) comparado con condiciones en ayunas. No se ha investigado el efecto de la cirugía gastrointestinal previa sobre la absorción del fármaco.</w:t>
      </w:r>
    </w:p>
    <w:p w14:paraId="18B27B79" w14:textId="77777777" w:rsidR="002626B2" w:rsidRPr="002D741C" w:rsidRDefault="002626B2" w:rsidP="001A2F33">
      <w:pPr>
        <w:pStyle w:val="EndnoteText"/>
        <w:widowControl w:val="0"/>
        <w:tabs>
          <w:tab w:val="clear" w:pos="567"/>
        </w:tabs>
        <w:rPr>
          <w:color w:val="000000"/>
          <w:szCs w:val="22"/>
          <w:lang w:val="es-ES"/>
        </w:rPr>
      </w:pPr>
    </w:p>
    <w:p w14:paraId="1237832A" w14:textId="77777777" w:rsidR="002626B2" w:rsidRPr="002D741C" w:rsidRDefault="002626B2" w:rsidP="00C16E58">
      <w:pPr>
        <w:pStyle w:val="EndnoteText"/>
        <w:keepNext/>
        <w:widowControl w:val="0"/>
        <w:tabs>
          <w:tab w:val="clear" w:pos="567"/>
        </w:tabs>
        <w:rPr>
          <w:color w:val="000000"/>
          <w:szCs w:val="22"/>
          <w:lang w:val="es-ES"/>
        </w:rPr>
      </w:pPr>
      <w:r w:rsidRPr="002D741C">
        <w:rPr>
          <w:color w:val="000000"/>
          <w:szCs w:val="22"/>
          <w:u w:val="single"/>
          <w:lang w:val="es-ES"/>
        </w:rPr>
        <w:t>Distribución</w:t>
      </w:r>
    </w:p>
    <w:p w14:paraId="76AF8A31" w14:textId="77777777" w:rsidR="002626B2" w:rsidRPr="002D741C" w:rsidRDefault="002626B2" w:rsidP="001A2F33">
      <w:pPr>
        <w:pStyle w:val="EndnoteText"/>
        <w:widowControl w:val="0"/>
        <w:tabs>
          <w:tab w:val="clear" w:pos="567"/>
        </w:tabs>
        <w:rPr>
          <w:color w:val="000000"/>
          <w:szCs w:val="22"/>
          <w:lang w:val="es-ES"/>
        </w:rPr>
      </w:pPr>
      <w:r w:rsidRPr="002D741C">
        <w:rPr>
          <w:color w:val="000000"/>
          <w:szCs w:val="22"/>
          <w:lang w:val="es-ES"/>
        </w:rPr>
        <w:t xml:space="preserve">En base a experimentos </w:t>
      </w:r>
      <w:r w:rsidRPr="002D741C">
        <w:rPr>
          <w:i/>
          <w:color w:val="000000"/>
          <w:szCs w:val="22"/>
          <w:lang w:val="es-ES"/>
        </w:rPr>
        <w:t>in</w:t>
      </w:r>
      <w:r w:rsidRPr="002D741C">
        <w:rPr>
          <w:color w:val="000000"/>
          <w:szCs w:val="22"/>
          <w:lang w:val="es-ES"/>
        </w:rPr>
        <w:t xml:space="preserve"> </w:t>
      </w:r>
      <w:r w:rsidRPr="002D741C">
        <w:rPr>
          <w:i/>
          <w:color w:val="000000"/>
          <w:szCs w:val="22"/>
          <w:lang w:val="es-ES"/>
        </w:rPr>
        <w:t>vitro</w:t>
      </w:r>
      <w:r w:rsidRPr="002D741C">
        <w:rPr>
          <w:color w:val="000000"/>
          <w:szCs w:val="22"/>
          <w:lang w:val="es-ES"/>
        </w:rPr>
        <w:t>, a concentraciones clínicamente relevantes de imatinib, la unión a proteínas plasmáticas fue de aproximadamente el 95%, principalmente a albúmina y a alfa-ácido-glicoproteína, con baja unión a lipoproteínas.</w:t>
      </w:r>
    </w:p>
    <w:p w14:paraId="475572E3" w14:textId="77777777" w:rsidR="002626B2" w:rsidRPr="002D741C" w:rsidRDefault="002626B2" w:rsidP="001A2F33">
      <w:pPr>
        <w:pStyle w:val="EndnoteText"/>
        <w:widowControl w:val="0"/>
        <w:tabs>
          <w:tab w:val="clear" w:pos="567"/>
        </w:tabs>
        <w:rPr>
          <w:color w:val="000000"/>
          <w:szCs w:val="22"/>
          <w:lang w:val="es-ES"/>
        </w:rPr>
      </w:pPr>
    </w:p>
    <w:p w14:paraId="34253652" w14:textId="77777777" w:rsidR="002626B2" w:rsidRPr="002D741C" w:rsidRDefault="007D6100" w:rsidP="00C16E58">
      <w:pPr>
        <w:pStyle w:val="EndnoteText"/>
        <w:keepNext/>
        <w:widowControl w:val="0"/>
        <w:tabs>
          <w:tab w:val="clear" w:pos="567"/>
        </w:tabs>
        <w:rPr>
          <w:color w:val="000000"/>
          <w:szCs w:val="22"/>
          <w:lang w:val="es-ES"/>
        </w:rPr>
      </w:pPr>
      <w:r w:rsidRPr="002D741C">
        <w:rPr>
          <w:color w:val="000000"/>
          <w:szCs w:val="22"/>
          <w:u w:val="single"/>
          <w:lang w:val="es-ES"/>
        </w:rPr>
        <w:t>Biotransformación</w:t>
      </w:r>
    </w:p>
    <w:p w14:paraId="12A1C90D" w14:textId="77777777" w:rsidR="002626B2" w:rsidRPr="002D741C" w:rsidRDefault="002626B2" w:rsidP="001A2F33">
      <w:pPr>
        <w:pStyle w:val="EndnoteText"/>
        <w:widowControl w:val="0"/>
        <w:tabs>
          <w:tab w:val="clear" w:pos="567"/>
        </w:tabs>
        <w:rPr>
          <w:color w:val="000000"/>
          <w:szCs w:val="22"/>
          <w:lang w:val="es-ES"/>
        </w:rPr>
      </w:pPr>
      <w:r w:rsidRPr="002D741C">
        <w:rPr>
          <w:color w:val="000000"/>
          <w:szCs w:val="22"/>
          <w:lang w:val="es-ES"/>
        </w:rPr>
        <w:t xml:space="preserve">El principal metabolito circulante en humanos es el derivado N-desmetilado de piperazina, el cual muestra </w:t>
      </w:r>
      <w:r w:rsidRPr="002D741C">
        <w:rPr>
          <w:i/>
          <w:color w:val="000000"/>
          <w:szCs w:val="22"/>
          <w:lang w:val="es-ES"/>
        </w:rPr>
        <w:t>in vitro</w:t>
      </w:r>
      <w:r w:rsidRPr="002D741C">
        <w:rPr>
          <w:color w:val="000000"/>
          <w:szCs w:val="22"/>
          <w:lang w:val="es-ES"/>
        </w:rPr>
        <w:t xml:space="preserve"> una potencia similar a la del compuesto inicial. </w:t>
      </w:r>
      <w:smartTag w:uri="urn:schemas-microsoft-com:office:smarttags" w:element="PersonName">
        <w:smartTagPr>
          <w:attr w:name="ProductID" w:val="La AUC"/>
        </w:smartTagPr>
        <w:r w:rsidRPr="002D741C">
          <w:rPr>
            <w:color w:val="000000"/>
            <w:szCs w:val="22"/>
            <w:lang w:val="es-ES"/>
          </w:rPr>
          <w:t>La AUC</w:t>
        </w:r>
      </w:smartTag>
      <w:r w:rsidRPr="002D741C">
        <w:rPr>
          <w:color w:val="000000"/>
          <w:szCs w:val="22"/>
          <w:lang w:val="es-ES"/>
        </w:rPr>
        <w:t xml:space="preserve"> plasmática para el metabolito fue de sólo el 16% de </w:t>
      </w:r>
      <w:smartTag w:uri="urn:schemas-microsoft-com:office:smarttags" w:element="PersonName">
        <w:smartTagPr>
          <w:attr w:name="ProductID" w:val="La AUC"/>
        </w:smartTagPr>
        <w:r w:rsidRPr="002D741C">
          <w:rPr>
            <w:color w:val="000000"/>
            <w:szCs w:val="22"/>
            <w:lang w:val="es-ES"/>
          </w:rPr>
          <w:t>la AUC</w:t>
        </w:r>
      </w:smartTag>
      <w:r w:rsidRPr="002D741C">
        <w:rPr>
          <w:color w:val="000000"/>
          <w:szCs w:val="22"/>
          <w:lang w:val="es-ES"/>
        </w:rPr>
        <w:t xml:space="preserve"> del imatinib.</w:t>
      </w:r>
      <w:r w:rsidR="00C73BE5" w:rsidRPr="002D741C">
        <w:rPr>
          <w:color w:val="000000"/>
          <w:szCs w:val="22"/>
          <w:lang w:val="es-ES"/>
        </w:rPr>
        <w:t xml:space="preserve"> La unión a proteínas plasmáticas del metabolito N-desmetilado es similar a la del compuesto inicial.</w:t>
      </w:r>
    </w:p>
    <w:p w14:paraId="63AAA25B" w14:textId="77777777" w:rsidR="002626B2" w:rsidRPr="002D741C" w:rsidRDefault="002626B2" w:rsidP="001A2F33">
      <w:pPr>
        <w:pStyle w:val="EndnoteText"/>
        <w:widowControl w:val="0"/>
        <w:tabs>
          <w:tab w:val="clear" w:pos="567"/>
        </w:tabs>
        <w:rPr>
          <w:color w:val="000000"/>
          <w:szCs w:val="22"/>
          <w:lang w:val="es-ES"/>
        </w:rPr>
      </w:pPr>
    </w:p>
    <w:p w14:paraId="24236476" w14:textId="77777777" w:rsidR="002626B2" w:rsidRPr="002D741C" w:rsidRDefault="002626B2" w:rsidP="001A2F33">
      <w:pPr>
        <w:pStyle w:val="EndnoteText"/>
        <w:widowControl w:val="0"/>
        <w:tabs>
          <w:tab w:val="clear" w:pos="567"/>
        </w:tabs>
        <w:rPr>
          <w:color w:val="000000"/>
          <w:szCs w:val="22"/>
          <w:lang w:val="es-ES"/>
        </w:rPr>
      </w:pPr>
      <w:r w:rsidRPr="002D741C">
        <w:rPr>
          <w:color w:val="000000"/>
          <w:szCs w:val="22"/>
          <w:lang w:val="es-ES"/>
        </w:rPr>
        <w:t>Imatinib junto con su metabolito N-desmetil alcanzaron aproximadamente el 65% de la radioactividad circulante (AUC</w:t>
      </w:r>
      <w:r w:rsidRPr="002D741C">
        <w:rPr>
          <w:color w:val="000000"/>
          <w:szCs w:val="22"/>
          <w:vertAlign w:val="subscript"/>
          <w:lang w:val="es-ES"/>
        </w:rPr>
        <w:t>(0-48h)</w:t>
      </w:r>
      <w:r w:rsidRPr="002D741C">
        <w:rPr>
          <w:color w:val="000000"/>
          <w:szCs w:val="22"/>
          <w:lang w:val="es-ES"/>
        </w:rPr>
        <w:t>). El resto de radioactividad circulante correspondió a un número de metabolitos menores.</w:t>
      </w:r>
    </w:p>
    <w:p w14:paraId="7CD1CFD1" w14:textId="77777777" w:rsidR="002626B2" w:rsidRPr="002D741C" w:rsidRDefault="002626B2" w:rsidP="001A2F33">
      <w:pPr>
        <w:pStyle w:val="EndnoteText"/>
        <w:widowControl w:val="0"/>
        <w:tabs>
          <w:tab w:val="clear" w:pos="567"/>
        </w:tabs>
        <w:rPr>
          <w:color w:val="000000"/>
          <w:szCs w:val="22"/>
          <w:lang w:val="es-ES"/>
        </w:rPr>
      </w:pPr>
    </w:p>
    <w:p w14:paraId="181E73AC" w14:textId="77777777" w:rsidR="002626B2" w:rsidRPr="002D741C" w:rsidRDefault="002626B2" w:rsidP="001A2F33">
      <w:pPr>
        <w:pStyle w:val="EndnoteText"/>
        <w:widowControl w:val="0"/>
        <w:tabs>
          <w:tab w:val="clear" w:pos="567"/>
        </w:tabs>
        <w:rPr>
          <w:color w:val="000000"/>
          <w:szCs w:val="22"/>
          <w:lang w:val="es-ES"/>
        </w:rPr>
      </w:pPr>
      <w:r w:rsidRPr="002D741C">
        <w:rPr>
          <w:color w:val="000000"/>
          <w:szCs w:val="22"/>
          <w:lang w:val="es-ES"/>
        </w:rPr>
        <w:t xml:space="preserve">Los resultados </w:t>
      </w:r>
      <w:r w:rsidRPr="002D741C">
        <w:rPr>
          <w:i/>
          <w:color w:val="000000"/>
          <w:szCs w:val="22"/>
          <w:lang w:val="es-ES"/>
        </w:rPr>
        <w:t>in vitro</w:t>
      </w:r>
      <w:r w:rsidRPr="002D741C">
        <w:rPr>
          <w:color w:val="000000"/>
          <w:szCs w:val="22"/>
          <w:lang w:val="es-ES"/>
        </w:rPr>
        <w:t xml:space="preserve"> mostraron que el </w:t>
      </w:r>
      <w:smartTag w:uri="urn:schemas-microsoft-com:office:smarttags" w:element="PersonName">
        <w:r w:rsidRPr="002D741C">
          <w:rPr>
            <w:color w:val="000000"/>
            <w:szCs w:val="22"/>
            <w:lang w:val="es-ES"/>
          </w:rPr>
          <w:t>CY</w:t>
        </w:r>
      </w:smartTag>
      <w:r w:rsidRPr="002D741C">
        <w:rPr>
          <w:color w:val="000000"/>
          <w:szCs w:val="22"/>
          <w:lang w:val="es-ES"/>
        </w:rPr>
        <w:t>P3A4 fue el principal enzima humano del P450 que cataliza la biotransformación de imatinib. De una serie de medicaciones concomitantes (acetaminofeno, aciclovir, alopurinol, anfotericina, citarabina, eritromicina, fluconazol, hidroxiuera, norfloxacino, penicilina V) sólo eritromicina (IC</w:t>
      </w:r>
      <w:r w:rsidRPr="002D741C">
        <w:rPr>
          <w:color w:val="000000"/>
          <w:szCs w:val="22"/>
          <w:vertAlign w:val="subscript"/>
          <w:lang w:val="es-ES"/>
        </w:rPr>
        <w:t>50</w:t>
      </w:r>
      <w:r w:rsidRPr="002D741C">
        <w:rPr>
          <w:color w:val="000000"/>
          <w:szCs w:val="22"/>
          <w:lang w:val="es-ES"/>
        </w:rPr>
        <w:t xml:space="preserve"> 50 µM) y fluconazol (IC</w:t>
      </w:r>
      <w:r w:rsidRPr="002D741C">
        <w:rPr>
          <w:color w:val="000000"/>
          <w:szCs w:val="22"/>
          <w:vertAlign w:val="subscript"/>
          <w:lang w:val="es-ES"/>
        </w:rPr>
        <w:t>50</w:t>
      </w:r>
      <w:r w:rsidRPr="002D741C">
        <w:rPr>
          <w:color w:val="000000"/>
          <w:szCs w:val="22"/>
          <w:lang w:val="es-ES"/>
        </w:rPr>
        <w:t xml:space="preserve"> 118 µM) mostraron inhibición del metabolismo de imatinib con posible relevancia clínica.</w:t>
      </w:r>
    </w:p>
    <w:p w14:paraId="634852F1" w14:textId="77777777" w:rsidR="002626B2" w:rsidRPr="002D741C" w:rsidRDefault="002626B2" w:rsidP="001A2F33">
      <w:pPr>
        <w:pStyle w:val="EndnoteText"/>
        <w:widowControl w:val="0"/>
        <w:tabs>
          <w:tab w:val="clear" w:pos="567"/>
        </w:tabs>
        <w:rPr>
          <w:color w:val="000000"/>
          <w:szCs w:val="22"/>
          <w:lang w:val="es-ES"/>
        </w:rPr>
      </w:pPr>
    </w:p>
    <w:p w14:paraId="68A2D000" w14:textId="77777777" w:rsidR="002626B2" w:rsidRPr="002D741C" w:rsidRDefault="002626B2" w:rsidP="001A2F33">
      <w:pPr>
        <w:pStyle w:val="EndnoteText"/>
        <w:widowControl w:val="0"/>
        <w:tabs>
          <w:tab w:val="clear" w:pos="567"/>
        </w:tabs>
        <w:rPr>
          <w:color w:val="000000"/>
          <w:szCs w:val="22"/>
          <w:lang w:val="es-ES"/>
        </w:rPr>
      </w:pPr>
      <w:r w:rsidRPr="002D741C">
        <w:rPr>
          <w:i/>
          <w:color w:val="000000"/>
          <w:szCs w:val="22"/>
          <w:lang w:val="es-ES"/>
        </w:rPr>
        <w:t>In vitro</w:t>
      </w:r>
      <w:r w:rsidRPr="002D741C">
        <w:rPr>
          <w:color w:val="000000"/>
          <w:szCs w:val="22"/>
          <w:lang w:val="es-ES"/>
        </w:rPr>
        <w:t xml:space="preserve"> imatinib mostró ser un inhibidor competitivo de sustratos marcadores para </w:t>
      </w:r>
      <w:smartTag w:uri="urn:schemas-microsoft-com:office:smarttags" w:element="PersonName">
        <w:r w:rsidRPr="002D741C">
          <w:rPr>
            <w:color w:val="000000"/>
            <w:szCs w:val="22"/>
            <w:lang w:val="es-ES"/>
          </w:rPr>
          <w:t>CY</w:t>
        </w:r>
      </w:smartTag>
      <w:r w:rsidRPr="002D741C">
        <w:rPr>
          <w:color w:val="000000"/>
          <w:szCs w:val="22"/>
          <w:lang w:val="es-ES"/>
        </w:rPr>
        <w:t xml:space="preserve">P2C9, </w:t>
      </w:r>
      <w:smartTag w:uri="urn:schemas-microsoft-com:office:smarttags" w:element="PersonName">
        <w:r w:rsidRPr="002D741C">
          <w:rPr>
            <w:color w:val="000000"/>
            <w:szCs w:val="22"/>
            <w:lang w:val="es-ES"/>
          </w:rPr>
          <w:t>CY</w:t>
        </w:r>
      </w:smartTag>
      <w:r w:rsidRPr="002D741C">
        <w:rPr>
          <w:color w:val="000000"/>
          <w:szCs w:val="22"/>
          <w:lang w:val="es-ES"/>
        </w:rPr>
        <w:t xml:space="preserve">P2D6 y </w:t>
      </w:r>
      <w:smartTag w:uri="urn:schemas-microsoft-com:office:smarttags" w:element="PersonName">
        <w:r w:rsidRPr="002D741C">
          <w:rPr>
            <w:color w:val="000000"/>
            <w:szCs w:val="22"/>
            <w:lang w:val="es-ES"/>
          </w:rPr>
          <w:t>CY</w:t>
        </w:r>
      </w:smartTag>
      <w:r w:rsidRPr="002D741C">
        <w:rPr>
          <w:color w:val="000000"/>
          <w:szCs w:val="22"/>
          <w:lang w:val="es-ES"/>
        </w:rPr>
        <w:t>P3A4/5. Los valores K</w:t>
      </w:r>
      <w:r w:rsidRPr="002D741C">
        <w:rPr>
          <w:color w:val="000000"/>
          <w:szCs w:val="22"/>
          <w:vertAlign w:val="subscript"/>
          <w:lang w:val="es-ES"/>
        </w:rPr>
        <w:t xml:space="preserve">i </w:t>
      </w:r>
      <w:r w:rsidRPr="002D741C">
        <w:rPr>
          <w:color w:val="000000"/>
          <w:szCs w:val="22"/>
          <w:lang w:val="es-ES"/>
        </w:rPr>
        <w:t>en los microsomas hepáticos humanos fueron 27, 7,5 y 7,9</w:t>
      </w:r>
      <w:r w:rsidR="00DF063A" w:rsidRPr="002D741C">
        <w:rPr>
          <w:color w:val="000000"/>
          <w:szCs w:val="22"/>
          <w:lang w:val="es-ES"/>
        </w:rPr>
        <w:t> </w:t>
      </w:r>
      <w:r w:rsidRPr="002D741C">
        <w:rPr>
          <w:color w:val="000000"/>
          <w:szCs w:val="22"/>
          <w:lang w:val="es-ES"/>
        </w:rPr>
        <w:sym w:font="Symbol" w:char="F06D"/>
      </w:r>
      <w:r w:rsidRPr="002D741C">
        <w:rPr>
          <w:color w:val="000000"/>
          <w:szCs w:val="22"/>
          <w:lang w:val="es-ES"/>
        </w:rPr>
        <w:t>mol/l, respectivamente. Las concentraciones plasmáticas máximas de imatinib en pacientes son 2</w:t>
      </w:r>
      <w:r w:rsidR="00F11D96" w:rsidRPr="002D741C">
        <w:rPr>
          <w:color w:val="000000"/>
          <w:szCs w:val="22"/>
          <w:lang w:val="es-ES"/>
        </w:rPr>
        <w:t>–</w:t>
      </w:r>
      <w:r w:rsidRPr="002D741C">
        <w:rPr>
          <w:color w:val="000000"/>
          <w:szCs w:val="22"/>
          <w:lang w:val="es-ES"/>
        </w:rPr>
        <w:t>4 </w:t>
      </w:r>
      <w:r w:rsidRPr="002D741C">
        <w:rPr>
          <w:color w:val="000000"/>
          <w:szCs w:val="22"/>
          <w:lang w:val="es-ES"/>
        </w:rPr>
        <w:sym w:font="Symbol" w:char="F06D"/>
      </w:r>
      <w:r w:rsidRPr="002D741C">
        <w:rPr>
          <w:color w:val="000000"/>
          <w:szCs w:val="22"/>
          <w:lang w:val="es-ES"/>
        </w:rPr>
        <w:t xml:space="preserve">mol/l, como consecuencia, es posible una inhibición del metabolismo mediado por </w:t>
      </w:r>
      <w:smartTag w:uri="urn:schemas-microsoft-com:office:smarttags" w:element="PersonName">
        <w:r w:rsidRPr="002D741C">
          <w:rPr>
            <w:color w:val="000000"/>
            <w:szCs w:val="22"/>
            <w:lang w:val="es-ES"/>
          </w:rPr>
          <w:t>CY</w:t>
        </w:r>
      </w:smartTag>
      <w:r w:rsidRPr="002D741C">
        <w:rPr>
          <w:color w:val="000000"/>
          <w:szCs w:val="22"/>
          <w:lang w:val="es-ES"/>
        </w:rPr>
        <w:t xml:space="preserve">P2D6 y/o </w:t>
      </w:r>
      <w:smartTag w:uri="urn:schemas-microsoft-com:office:smarttags" w:element="PersonName">
        <w:r w:rsidRPr="002D741C">
          <w:rPr>
            <w:color w:val="000000"/>
            <w:szCs w:val="22"/>
            <w:lang w:val="es-ES"/>
          </w:rPr>
          <w:t>CY</w:t>
        </w:r>
      </w:smartTag>
      <w:r w:rsidRPr="002D741C">
        <w:rPr>
          <w:color w:val="000000"/>
          <w:szCs w:val="22"/>
          <w:lang w:val="es-ES"/>
        </w:rPr>
        <w:t xml:space="preserve">P3A4/5 de los fármacos administrados conjuntamente. Imatinib no interfirió en la biotransformación del 5-fluorouracilo, pero inhibió el metabolismo del paclitaxel como resultado de una inhibición competitiva del </w:t>
      </w:r>
      <w:smartTag w:uri="urn:schemas-microsoft-com:office:smarttags" w:element="PersonName">
        <w:r w:rsidRPr="002D741C">
          <w:rPr>
            <w:color w:val="000000"/>
            <w:szCs w:val="22"/>
            <w:lang w:val="es-ES"/>
          </w:rPr>
          <w:t>CY</w:t>
        </w:r>
      </w:smartTag>
      <w:r w:rsidRPr="002D741C">
        <w:rPr>
          <w:color w:val="000000"/>
          <w:szCs w:val="22"/>
          <w:lang w:val="es-ES"/>
        </w:rPr>
        <w:t>P2C8 (K</w:t>
      </w:r>
      <w:r w:rsidRPr="002D741C">
        <w:rPr>
          <w:color w:val="000000"/>
          <w:szCs w:val="22"/>
          <w:vertAlign w:val="subscript"/>
          <w:lang w:val="es-ES"/>
        </w:rPr>
        <w:t>i</w:t>
      </w:r>
      <w:r w:rsidRPr="002D741C">
        <w:rPr>
          <w:color w:val="000000"/>
          <w:szCs w:val="22"/>
          <w:lang w:val="es-ES"/>
        </w:rPr>
        <w:t xml:space="preserve"> = 34,7</w:t>
      </w:r>
      <w:r w:rsidR="00DF063A" w:rsidRPr="002D741C">
        <w:rPr>
          <w:color w:val="000000"/>
          <w:szCs w:val="22"/>
          <w:lang w:val="es-ES"/>
        </w:rPr>
        <w:t> </w:t>
      </w:r>
      <w:r w:rsidRPr="002D741C">
        <w:rPr>
          <w:color w:val="000000"/>
          <w:szCs w:val="22"/>
          <w:lang w:val="es-ES"/>
        </w:rPr>
        <w:t>µM). Este valor K</w:t>
      </w:r>
      <w:r w:rsidRPr="002D741C">
        <w:rPr>
          <w:color w:val="000000"/>
          <w:szCs w:val="22"/>
          <w:vertAlign w:val="subscript"/>
          <w:lang w:val="es-ES"/>
        </w:rPr>
        <w:t>i</w:t>
      </w:r>
      <w:r w:rsidRPr="002D741C">
        <w:rPr>
          <w:color w:val="000000"/>
          <w:szCs w:val="22"/>
          <w:lang w:val="es-ES"/>
        </w:rPr>
        <w:t xml:space="preserve"> es muy superior al nivel plasmático esperado de imatinib en pacientes, por lo tanto no se espera una interacción en la administración conjunta tanto de 5-flulorouracilo o paclitaxel e imatinib.</w:t>
      </w:r>
    </w:p>
    <w:p w14:paraId="491271C8" w14:textId="77777777" w:rsidR="002626B2" w:rsidRPr="002D741C" w:rsidRDefault="002626B2" w:rsidP="001A2F33">
      <w:pPr>
        <w:pStyle w:val="EndnoteText"/>
        <w:widowControl w:val="0"/>
        <w:tabs>
          <w:tab w:val="clear" w:pos="567"/>
        </w:tabs>
        <w:rPr>
          <w:color w:val="000000"/>
          <w:szCs w:val="22"/>
          <w:lang w:val="es-ES"/>
        </w:rPr>
      </w:pPr>
    </w:p>
    <w:p w14:paraId="63A3E111" w14:textId="77777777" w:rsidR="002626B2" w:rsidRPr="002D741C" w:rsidRDefault="002626B2" w:rsidP="00C16E58">
      <w:pPr>
        <w:pStyle w:val="EndnoteText"/>
        <w:keepNext/>
        <w:widowControl w:val="0"/>
        <w:tabs>
          <w:tab w:val="clear" w:pos="567"/>
        </w:tabs>
        <w:rPr>
          <w:color w:val="000000"/>
          <w:szCs w:val="22"/>
          <w:lang w:val="es-ES"/>
        </w:rPr>
      </w:pPr>
      <w:r w:rsidRPr="002D741C">
        <w:rPr>
          <w:color w:val="000000"/>
          <w:szCs w:val="22"/>
          <w:u w:val="single"/>
          <w:lang w:val="es-ES"/>
        </w:rPr>
        <w:t>Eliminación</w:t>
      </w:r>
    </w:p>
    <w:p w14:paraId="20FE3A18" w14:textId="77777777" w:rsidR="002626B2" w:rsidRPr="002D741C" w:rsidRDefault="002626B2" w:rsidP="001A2F33">
      <w:pPr>
        <w:pStyle w:val="EndnoteText"/>
        <w:widowControl w:val="0"/>
        <w:tabs>
          <w:tab w:val="clear" w:pos="567"/>
        </w:tabs>
        <w:rPr>
          <w:color w:val="000000"/>
          <w:szCs w:val="22"/>
          <w:lang w:val="es-ES"/>
        </w:rPr>
      </w:pPr>
      <w:r w:rsidRPr="002D741C">
        <w:rPr>
          <w:color w:val="000000"/>
          <w:szCs w:val="22"/>
          <w:lang w:val="es-ES"/>
        </w:rPr>
        <w:t>En base a la recuperación de los compuestos después de una dosis oral de imatinib marcado en el C</w:t>
      </w:r>
      <w:r w:rsidRPr="002D741C">
        <w:rPr>
          <w:color w:val="000000"/>
          <w:szCs w:val="22"/>
          <w:vertAlign w:val="superscript"/>
          <w:lang w:val="es-ES"/>
        </w:rPr>
        <w:t>14</w:t>
      </w:r>
      <w:r w:rsidRPr="002D741C">
        <w:rPr>
          <w:color w:val="000000"/>
          <w:szCs w:val="22"/>
          <w:lang w:val="es-ES"/>
        </w:rPr>
        <w:t>, aproximadamente el 81% de la dosis se recuperó en 7</w:t>
      </w:r>
      <w:r w:rsidR="00DF063A" w:rsidRPr="002D741C">
        <w:rPr>
          <w:color w:val="000000"/>
          <w:szCs w:val="22"/>
          <w:lang w:val="es-ES"/>
        </w:rPr>
        <w:t> </w:t>
      </w:r>
      <w:r w:rsidRPr="002D741C">
        <w:rPr>
          <w:color w:val="000000"/>
          <w:szCs w:val="22"/>
          <w:lang w:val="es-ES"/>
        </w:rPr>
        <w:t>días en heces (68% de la dosis) y orina (13% de la dosis). Imatinib inalterado alcanza el 25% de la dosis (5% orina, 20% heces), siendo el resto metabolitos.</w:t>
      </w:r>
    </w:p>
    <w:p w14:paraId="54077A4B" w14:textId="77777777" w:rsidR="002626B2" w:rsidRPr="002D741C" w:rsidRDefault="002626B2" w:rsidP="001A2F33">
      <w:pPr>
        <w:pStyle w:val="EndnoteText"/>
        <w:widowControl w:val="0"/>
        <w:tabs>
          <w:tab w:val="clear" w:pos="567"/>
        </w:tabs>
        <w:rPr>
          <w:color w:val="000000"/>
          <w:szCs w:val="22"/>
          <w:lang w:val="es-ES"/>
        </w:rPr>
      </w:pPr>
    </w:p>
    <w:p w14:paraId="3DEB6557" w14:textId="77777777" w:rsidR="002626B2" w:rsidRPr="002D741C" w:rsidRDefault="002626B2" w:rsidP="00C16E58">
      <w:pPr>
        <w:pStyle w:val="EndnoteText"/>
        <w:keepNext/>
        <w:widowControl w:val="0"/>
        <w:tabs>
          <w:tab w:val="clear" w:pos="567"/>
        </w:tabs>
        <w:rPr>
          <w:color w:val="000000"/>
          <w:szCs w:val="22"/>
          <w:lang w:val="es-ES"/>
        </w:rPr>
      </w:pPr>
      <w:r w:rsidRPr="002D741C">
        <w:rPr>
          <w:color w:val="000000"/>
          <w:szCs w:val="22"/>
          <w:u w:val="single"/>
          <w:lang w:val="es-ES"/>
        </w:rPr>
        <w:t>Farmacocinética plasmática</w:t>
      </w:r>
    </w:p>
    <w:p w14:paraId="0A9B8922" w14:textId="77777777" w:rsidR="002626B2" w:rsidRPr="002D741C" w:rsidRDefault="002626B2" w:rsidP="001A2F33">
      <w:pPr>
        <w:pStyle w:val="EndnoteText"/>
        <w:widowControl w:val="0"/>
        <w:tabs>
          <w:tab w:val="clear" w:pos="567"/>
        </w:tabs>
        <w:rPr>
          <w:color w:val="000000"/>
          <w:szCs w:val="22"/>
          <w:lang w:val="es-ES"/>
        </w:rPr>
      </w:pPr>
      <w:r w:rsidRPr="002D741C">
        <w:rPr>
          <w:color w:val="000000"/>
          <w:szCs w:val="22"/>
          <w:lang w:val="es-ES"/>
        </w:rPr>
        <w:t>Tras la administración oral a voluntarios sanos, el t</w:t>
      </w:r>
      <w:r w:rsidRPr="002D741C">
        <w:rPr>
          <w:color w:val="000000"/>
          <w:szCs w:val="22"/>
          <w:vertAlign w:val="subscript"/>
          <w:lang w:val="es-ES"/>
        </w:rPr>
        <w:t>1/2</w:t>
      </w:r>
      <w:r w:rsidRPr="002D741C">
        <w:rPr>
          <w:color w:val="000000"/>
          <w:szCs w:val="22"/>
          <w:lang w:val="es-ES"/>
        </w:rPr>
        <w:t xml:space="preserve"> fue aproximadamente 18</w:t>
      </w:r>
      <w:r w:rsidR="00DF063A" w:rsidRPr="002D741C">
        <w:rPr>
          <w:color w:val="000000"/>
          <w:szCs w:val="22"/>
          <w:lang w:val="es-ES"/>
        </w:rPr>
        <w:t> </w:t>
      </w:r>
      <w:r w:rsidRPr="002D741C">
        <w:rPr>
          <w:color w:val="000000"/>
          <w:szCs w:val="22"/>
          <w:lang w:val="es-ES"/>
        </w:rPr>
        <w:t xml:space="preserve">h, sugiriendo que una dosis única al día es apropiada. El aumento en </w:t>
      </w:r>
      <w:smartTag w:uri="urn:schemas-microsoft-com:office:smarttags" w:element="PersonName">
        <w:smartTagPr>
          <w:attr w:name="ProductID" w:val="La AUC"/>
        </w:smartTagPr>
        <w:r w:rsidRPr="002D741C">
          <w:rPr>
            <w:color w:val="000000"/>
            <w:szCs w:val="22"/>
            <w:lang w:val="es-ES"/>
          </w:rPr>
          <w:t>la AUC</w:t>
        </w:r>
      </w:smartTag>
      <w:r w:rsidRPr="002D741C">
        <w:rPr>
          <w:color w:val="000000"/>
          <w:szCs w:val="22"/>
          <w:lang w:val="es-ES"/>
        </w:rPr>
        <w:t xml:space="preserve"> media con incremento de dosis fue lineal y proporcional a la dosis en el rango de 25–1</w:t>
      </w:r>
      <w:r w:rsidR="001453F7" w:rsidRPr="002D741C">
        <w:rPr>
          <w:color w:val="000000"/>
          <w:szCs w:val="22"/>
          <w:lang w:val="es-ES"/>
        </w:rPr>
        <w:t>.</w:t>
      </w:r>
      <w:r w:rsidRPr="002D741C">
        <w:rPr>
          <w:color w:val="000000"/>
          <w:szCs w:val="22"/>
          <w:lang w:val="es-ES"/>
        </w:rPr>
        <w:t>000</w:t>
      </w:r>
      <w:r w:rsidR="006171A6" w:rsidRPr="002D741C">
        <w:rPr>
          <w:color w:val="000000"/>
          <w:szCs w:val="22"/>
          <w:lang w:val="es-ES"/>
        </w:rPr>
        <w:t> mg</w:t>
      </w:r>
      <w:r w:rsidRPr="002D741C">
        <w:rPr>
          <w:color w:val="000000"/>
          <w:szCs w:val="22"/>
          <w:lang w:val="es-ES"/>
        </w:rPr>
        <w:t xml:space="preserve"> de imatinib tras la administración oral. No hubo cambio en la cinética de imatinib a dosis repetidas, y la acumulación fue de 1,5</w:t>
      </w:r>
      <w:r w:rsidR="00F11D96" w:rsidRPr="002D741C">
        <w:rPr>
          <w:color w:val="000000"/>
          <w:szCs w:val="22"/>
          <w:lang w:val="es-ES"/>
        </w:rPr>
        <w:t>–</w:t>
      </w:r>
      <w:r w:rsidRPr="002D741C">
        <w:rPr>
          <w:color w:val="000000"/>
          <w:szCs w:val="22"/>
          <w:lang w:val="es-ES"/>
        </w:rPr>
        <w:t>2,5</w:t>
      </w:r>
      <w:r w:rsidR="00DF063A" w:rsidRPr="002D741C">
        <w:rPr>
          <w:color w:val="000000"/>
          <w:szCs w:val="22"/>
          <w:lang w:val="es-ES"/>
        </w:rPr>
        <w:t> </w:t>
      </w:r>
      <w:r w:rsidRPr="002D741C">
        <w:rPr>
          <w:color w:val="000000"/>
          <w:szCs w:val="22"/>
          <w:lang w:val="es-ES"/>
        </w:rPr>
        <w:t>veces en estado estacionario cuando se dosifica una vez al día.</w:t>
      </w:r>
    </w:p>
    <w:p w14:paraId="0BE89E9E" w14:textId="77777777" w:rsidR="002626B2" w:rsidRPr="002D741C" w:rsidRDefault="002626B2" w:rsidP="001A2F33">
      <w:pPr>
        <w:pStyle w:val="EndnoteText"/>
        <w:widowControl w:val="0"/>
        <w:tabs>
          <w:tab w:val="clear" w:pos="567"/>
        </w:tabs>
        <w:rPr>
          <w:color w:val="000000"/>
          <w:szCs w:val="22"/>
          <w:lang w:val="es-ES"/>
        </w:rPr>
      </w:pPr>
    </w:p>
    <w:p w14:paraId="7619CEE3" w14:textId="77777777" w:rsidR="002626B2" w:rsidRPr="002D741C" w:rsidRDefault="002626B2" w:rsidP="00C16E58">
      <w:pPr>
        <w:pStyle w:val="EndnoteText"/>
        <w:keepNext/>
        <w:widowControl w:val="0"/>
        <w:tabs>
          <w:tab w:val="clear" w:pos="567"/>
        </w:tabs>
        <w:rPr>
          <w:color w:val="000000"/>
          <w:szCs w:val="22"/>
          <w:lang w:val="es-ES"/>
        </w:rPr>
      </w:pPr>
      <w:r w:rsidRPr="002D741C">
        <w:rPr>
          <w:color w:val="000000"/>
          <w:szCs w:val="22"/>
          <w:u w:val="single"/>
          <w:lang w:val="es-ES"/>
        </w:rPr>
        <w:t>Farmacocinética en pacientes con G</w:t>
      </w:r>
      <w:smartTag w:uri="urn:schemas-microsoft-com:office:smarttags" w:element="PersonName">
        <w:r w:rsidRPr="002D741C">
          <w:rPr>
            <w:color w:val="000000"/>
            <w:szCs w:val="22"/>
            <w:u w:val="single"/>
            <w:lang w:val="es-ES"/>
          </w:rPr>
          <w:t>IS</w:t>
        </w:r>
      </w:smartTag>
      <w:r w:rsidRPr="002D741C">
        <w:rPr>
          <w:color w:val="000000"/>
          <w:szCs w:val="22"/>
          <w:u w:val="single"/>
          <w:lang w:val="es-ES"/>
        </w:rPr>
        <w:t>T</w:t>
      </w:r>
    </w:p>
    <w:p w14:paraId="5722E335" w14:textId="77777777" w:rsidR="002626B2" w:rsidRPr="002D741C" w:rsidRDefault="002626B2" w:rsidP="001A2F33">
      <w:pPr>
        <w:pStyle w:val="EndnoteText"/>
        <w:widowControl w:val="0"/>
        <w:tabs>
          <w:tab w:val="clear" w:pos="567"/>
        </w:tabs>
        <w:rPr>
          <w:color w:val="000000"/>
          <w:szCs w:val="22"/>
          <w:lang w:val="es-ES"/>
        </w:rPr>
      </w:pPr>
      <w:r w:rsidRPr="002D741C">
        <w:rPr>
          <w:color w:val="000000"/>
          <w:szCs w:val="22"/>
          <w:lang w:val="es-ES"/>
        </w:rPr>
        <w:t>En pacientes con G</w:t>
      </w:r>
      <w:smartTag w:uri="urn:schemas-microsoft-com:office:smarttags" w:element="PersonName">
        <w:r w:rsidRPr="002D741C">
          <w:rPr>
            <w:color w:val="000000"/>
            <w:szCs w:val="22"/>
            <w:lang w:val="es-ES"/>
          </w:rPr>
          <w:t>IS</w:t>
        </w:r>
      </w:smartTag>
      <w:r w:rsidRPr="002D741C">
        <w:rPr>
          <w:color w:val="000000"/>
          <w:szCs w:val="22"/>
          <w:lang w:val="es-ES"/>
        </w:rPr>
        <w:t>T la exposición en el estado estacionario fue 1,5</w:t>
      </w:r>
      <w:r w:rsidR="00DF063A" w:rsidRPr="002D741C">
        <w:rPr>
          <w:color w:val="000000"/>
          <w:szCs w:val="22"/>
          <w:lang w:val="es-ES"/>
        </w:rPr>
        <w:t> </w:t>
      </w:r>
      <w:r w:rsidRPr="002D741C">
        <w:rPr>
          <w:color w:val="000000"/>
          <w:szCs w:val="22"/>
          <w:lang w:val="es-ES"/>
        </w:rPr>
        <w:t>veces superior a la observada en los pacientes con LMC a la misma dosis (400</w:t>
      </w:r>
      <w:r w:rsidR="006171A6" w:rsidRPr="002D741C">
        <w:rPr>
          <w:color w:val="000000"/>
          <w:szCs w:val="22"/>
          <w:lang w:val="es-ES"/>
        </w:rPr>
        <w:t> mg</w:t>
      </w:r>
      <w:r w:rsidRPr="002D741C">
        <w:rPr>
          <w:color w:val="000000"/>
          <w:szCs w:val="22"/>
          <w:lang w:val="es-ES"/>
        </w:rPr>
        <w:t xml:space="preserve"> al día). En base al análisis farmacocinético </w:t>
      </w:r>
      <w:r w:rsidRPr="002D741C">
        <w:rPr>
          <w:color w:val="000000"/>
          <w:szCs w:val="22"/>
          <w:lang w:val="es-ES"/>
        </w:rPr>
        <w:lastRenderedPageBreak/>
        <w:t>poblacional preliminar en pacientes con G</w:t>
      </w:r>
      <w:smartTag w:uri="urn:schemas-microsoft-com:office:smarttags" w:element="PersonName">
        <w:r w:rsidRPr="002D741C">
          <w:rPr>
            <w:color w:val="000000"/>
            <w:szCs w:val="22"/>
            <w:lang w:val="es-ES"/>
          </w:rPr>
          <w:t>IS</w:t>
        </w:r>
      </w:smartTag>
      <w:r w:rsidRPr="002D741C">
        <w:rPr>
          <w:color w:val="000000"/>
          <w:szCs w:val="22"/>
          <w:lang w:val="es-ES"/>
        </w:rPr>
        <w:t>T, se hallaron tres variables (albúmina, leucocitos y bilirrubina) que presentaban una relación estadísticamente significativa con la farmacocinética de imatinib. Los bajos valores de albúmina causaron un aclaramiento reducido (CL/f) y los niveles elevados de leucocitos dieron lugar a una reducción del CL/f. No obstante, estas asociaciones no resultan suficientemente pronunciadas para garantizar un ajuste de la dosis. En esta población de pacientes, la presencia de metástasis hepáticas podría conducir potencialmente a una insuficiencia hepática y a una disminución del metabolismo.</w:t>
      </w:r>
    </w:p>
    <w:p w14:paraId="7073551F" w14:textId="77777777" w:rsidR="00F11D96" w:rsidRPr="002D741C" w:rsidRDefault="00F11D96" w:rsidP="001A2F33">
      <w:pPr>
        <w:pStyle w:val="EndnoteText"/>
        <w:widowControl w:val="0"/>
        <w:tabs>
          <w:tab w:val="clear" w:pos="567"/>
        </w:tabs>
        <w:rPr>
          <w:color w:val="000000"/>
          <w:szCs w:val="22"/>
          <w:lang w:val="es-ES"/>
        </w:rPr>
      </w:pPr>
    </w:p>
    <w:p w14:paraId="1395838B" w14:textId="77777777" w:rsidR="002626B2" w:rsidRPr="002D741C" w:rsidRDefault="002626B2" w:rsidP="00C16E58">
      <w:pPr>
        <w:pStyle w:val="EndnoteText"/>
        <w:keepNext/>
        <w:widowControl w:val="0"/>
        <w:tabs>
          <w:tab w:val="clear" w:pos="567"/>
        </w:tabs>
        <w:rPr>
          <w:color w:val="000000"/>
          <w:szCs w:val="22"/>
          <w:lang w:val="es-ES"/>
        </w:rPr>
      </w:pPr>
      <w:r w:rsidRPr="002D741C">
        <w:rPr>
          <w:color w:val="000000"/>
          <w:szCs w:val="22"/>
          <w:u w:val="single"/>
          <w:lang w:val="es-ES"/>
        </w:rPr>
        <w:t>Farmacocinética de la población</w:t>
      </w:r>
    </w:p>
    <w:p w14:paraId="69E439F2" w14:textId="77777777" w:rsidR="002626B2" w:rsidRPr="002D741C" w:rsidRDefault="002626B2" w:rsidP="001A2F33">
      <w:pPr>
        <w:pStyle w:val="EndnoteText"/>
        <w:widowControl w:val="0"/>
        <w:tabs>
          <w:tab w:val="clear" w:pos="567"/>
        </w:tabs>
        <w:rPr>
          <w:color w:val="000000"/>
          <w:szCs w:val="22"/>
          <w:lang w:val="es-ES"/>
        </w:rPr>
      </w:pPr>
      <w:r w:rsidRPr="002D741C">
        <w:rPr>
          <w:color w:val="000000"/>
          <w:szCs w:val="22"/>
          <w:lang w:val="es-ES"/>
        </w:rPr>
        <w:t>En base al análisis farmacocinético de la población en pacientes con LMC, hubo un pequeño efecto de la edad en el volumen de distribución (aumento del 12% en pacientes &gt;</w:t>
      </w:r>
      <w:r w:rsidR="00F11D96" w:rsidRPr="002D741C">
        <w:rPr>
          <w:color w:val="000000"/>
          <w:szCs w:val="22"/>
          <w:lang w:val="es-ES"/>
        </w:rPr>
        <w:t> </w:t>
      </w:r>
      <w:r w:rsidRPr="002D741C">
        <w:rPr>
          <w:color w:val="000000"/>
          <w:szCs w:val="22"/>
          <w:lang w:val="es-ES"/>
        </w:rPr>
        <w:t>65</w:t>
      </w:r>
      <w:r w:rsidR="00DF063A" w:rsidRPr="002D741C">
        <w:rPr>
          <w:color w:val="000000"/>
          <w:szCs w:val="22"/>
          <w:lang w:val="es-ES"/>
        </w:rPr>
        <w:t> </w:t>
      </w:r>
      <w:r w:rsidRPr="002D741C">
        <w:rPr>
          <w:color w:val="000000"/>
          <w:szCs w:val="22"/>
          <w:lang w:val="es-ES"/>
        </w:rPr>
        <w:t xml:space="preserve">años). No se cree que este cambio sea clínicamente significativo. El efecto del peso en el aclaramiento de imatinib es tal que para un paciente que pese </w:t>
      </w:r>
      <w:smartTag w:uri="urn:schemas-microsoft-com:office:smarttags" w:element="metricconverter">
        <w:smartTagPr>
          <w:attr w:name="ProductID" w:val="50ﾠkg"/>
        </w:smartTagPr>
        <w:r w:rsidRPr="002D741C">
          <w:rPr>
            <w:color w:val="000000"/>
            <w:szCs w:val="22"/>
            <w:lang w:val="es-ES"/>
          </w:rPr>
          <w:t>50</w:t>
        </w:r>
        <w:r w:rsidR="00DF063A" w:rsidRPr="002D741C">
          <w:rPr>
            <w:color w:val="000000"/>
            <w:szCs w:val="22"/>
            <w:lang w:val="es-ES"/>
          </w:rPr>
          <w:t> kg</w:t>
        </w:r>
      </w:smartTag>
      <w:r w:rsidRPr="002D741C">
        <w:rPr>
          <w:color w:val="000000"/>
          <w:szCs w:val="22"/>
          <w:lang w:val="es-ES"/>
        </w:rPr>
        <w:t xml:space="preserve"> el aclaramiento medio esperado es de 8,5</w:t>
      </w:r>
      <w:r w:rsidR="00DF063A" w:rsidRPr="002D741C">
        <w:rPr>
          <w:color w:val="000000"/>
          <w:szCs w:val="22"/>
          <w:lang w:val="es-ES"/>
        </w:rPr>
        <w:t> </w:t>
      </w:r>
      <w:r w:rsidRPr="002D741C">
        <w:rPr>
          <w:color w:val="000000"/>
          <w:szCs w:val="22"/>
          <w:lang w:val="es-ES"/>
        </w:rPr>
        <w:t xml:space="preserve">l/h, mientras que en un paciente que pese </w:t>
      </w:r>
      <w:smartTag w:uri="urn:schemas-microsoft-com:office:smarttags" w:element="metricconverter">
        <w:smartTagPr>
          <w:attr w:name="ProductID" w:val="100ﾠkg"/>
        </w:smartTagPr>
        <w:r w:rsidRPr="002D741C">
          <w:rPr>
            <w:color w:val="000000"/>
            <w:szCs w:val="22"/>
            <w:lang w:val="es-ES"/>
          </w:rPr>
          <w:t>100</w:t>
        </w:r>
        <w:r w:rsidR="00DF063A" w:rsidRPr="002D741C">
          <w:rPr>
            <w:color w:val="000000"/>
            <w:szCs w:val="22"/>
            <w:lang w:val="es-ES"/>
          </w:rPr>
          <w:t> kg</w:t>
        </w:r>
      </w:smartTag>
      <w:r w:rsidRPr="002D741C">
        <w:rPr>
          <w:color w:val="000000"/>
          <w:szCs w:val="22"/>
          <w:lang w:val="es-ES"/>
        </w:rPr>
        <w:t xml:space="preserve"> el aclaramiento aumentará hasta 11,8</w:t>
      </w:r>
      <w:r w:rsidR="00DF063A" w:rsidRPr="002D741C">
        <w:rPr>
          <w:color w:val="000000"/>
          <w:szCs w:val="22"/>
          <w:lang w:val="es-ES"/>
        </w:rPr>
        <w:t> </w:t>
      </w:r>
      <w:r w:rsidRPr="002D741C">
        <w:rPr>
          <w:color w:val="000000"/>
          <w:szCs w:val="22"/>
          <w:lang w:val="es-ES"/>
        </w:rPr>
        <w:t>l/h. Estos cambios no se consideran suficientes para justificar un ajuste de dosis en base al peso. El sexo no afecta la cinética de imatinib.</w:t>
      </w:r>
    </w:p>
    <w:p w14:paraId="738FD992" w14:textId="77777777" w:rsidR="002626B2" w:rsidRPr="002D741C" w:rsidRDefault="002626B2" w:rsidP="001A2F33">
      <w:pPr>
        <w:pStyle w:val="EndnoteText"/>
        <w:widowControl w:val="0"/>
        <w:tabs>
          <w:tab w:val="clear" w:pos="567"/>
        </w:tabs>
        <w:rPr>
          <w:color w:val="000000"/>
          <w:szCs w:val="22"/>
          <w:lang w:val="es-ES"/>
        </w:rPr>
      </w:pPr>
    </w:p>
    <w:p w14:paraId="709A9C04" w14:textId="77777777" w:rsidR="002626B2" w:rsidRPr="002D741C" w:rsidRDefault="002626B2" w:rsidP="00C16E58">
      <w:pPr>
        <w:pStyle w:val="EndnoteText"/>
        <w:keepNext/>
        <w:widowControl w:val="0"/>
        <w:tabs>
          <w:tab w:val="clear" w:pos="567"/>
        </w:tabs>
        <w:rPr>
          <w:color w:val="000000"/>
          <w:szCs w:val="22"/>
          <w:lang w:val="es-ES"/>
        </w:rPr>
      </w:pPr>
      <w:r w:rsidRPr="002D741C">
        <w:rPr>
          <w:color w:val="000000"/>
          <w:szCs w:val="22"/>
          <w:u w:val="single"/>
          <w:lang w:val="es-ES"/>
        </w:rPr>
        <w:t>Farmacocinética en niños</w:t>
      </w:r>
    </w:p>
    <w:p w14:paraId="76602788" w14:textId="77777777" w:rsidR="002626B2" w:rsidRPr="002D741C" w:rsidRDefault="002626B2" w:rsidP="001A2F33">
      <w:pPr>
        <w:pStyle w:val="EndnoteText"/>
        <w:widowControl w:val="0"/>
        <w:tabs>
          <w:tab w:val="clear" w:pos="567"/>
        </w:tabs>
        <w:rPr>
          <w:color w:val="000000"/>
          <w:szCs w:val="22"/>
          <w:lang w:val="es-ES"/>
        </w:rPr>
      </w:pPr>
      <w:r w:rsidRPr="002D741C">
        <w:rPr>
          <w:color w:val="000000"/>
          <w:szCs w:val="22"/>
          <w:lang w:val="es-ES"/>
        </w:rPr>
        <w:t>Al igual que en los pacientes adultos, en los pacientes pediátricos de un</w:t>
      </w:r>
      <w:r w:rsidR="00C9215B" w:rsidRPr="002D741C">
        <w:rPr>
          <w:color w:val="000000"/>
          <w:szCs w:val="22"/>
          <w:lang w:val="es-ES"/>
        </w:rPr>
        <w:t>os</w:t>
      </w:r>
      <w:r w:rsidRPr="002D741C">
        <w:rPr>
          <w:color w:val="000000"/>
          <w:szCs w:val="22"/>
          <w:lang w:val="es-ES"/>
        </w:rPr>
        <w:t xml:space="preserve"> estudio</w:t>
      </w:r>
      <w:r w:rsidR="00C9215B" w:rsidRPr="002D741C">
        <w:rPr>
          <w:color w:val="000000"/>
          <w:szCs w:val="22"/>
          <w:lang w:val="es-ES"/>
        </w:rPr>
        <w:t>s</w:t>
      </w:r>
      <w:r w:rsidRPr="002D741C">
        <w:rPr>
          <w:color w:val="000000"/>
          <w:szCs w:val="22"/>
          <w:lang w:val="es-ES"/>
        </w:rPr>
        <w:t xml:space="preserve"> de fase</w:t>
      </w:r>
      <w:r w:rsidR="00683B3D" w:rsidRPr="002D741C">
        <w:rPr>
          <w:color w:val="000000"/>
          <w:szCs w:val="22"/>
          <w:lang w:val="es-ES"/>
        </w:rPr>
        <w:t> </w:t>
      </w:r>
      <w:r w:rsidRPr="002D741C">
        <w:rPr>
          <w:color w:val="000000"/>
          <w:szCs w:val="22"/>
          <w:lang w:val="es-ES"/>
        </w:rPr>
        <w:t>I</w:t>
      </w:r>
      <w:r w:rsidR="00C9215B" w:rsidRPr="002D741C">
        <w:rPr>
          <w:color w:val="000000"/>
          <w:szCs w:val="22"/>
          <w:lang w:val="es-ES"/>
        </w:rPr>
        <w:t xml:space="preserve"> y fase II</w:t>
      </w:r>
      <w:r w:rsidRPr="002D741C">
        <w:rPr>
          <w:color w:val="000000"/>
          <w:szCs w:val="22"/>
          <w:lang w:val="es-ES"/>
        </w:rPr>
        <w:t>, imatinib se absorbió rápidamente tras la administración oral. La dosificación en niños de 260 y 340</w:t>
      </w:r>
      <w:r w:rsidR="006171A6" w:rsidRPr="002D741C">
        <w:rPr>
          <w:color w:val="000000"/>
          <w:szCs w:val="22"/>
          <w:lang w:val="es-ES"/>
        </w:rPr>
        <w:t> mg</w:t>
      </w:r>
      <w:r w:rsidRPr="002D741C">
        <w:rPr>
          <w:color w:val="000000"/>
          <w:szCs w:val="22"/>
          <w:lang w:val="es-ES"/>
        </w:rPr>
        <w:t>/m</w:t>
      </w:r>
      <w:r w:rsidRPr="002D741C">
        <w:rPr>
          <w:color w:val="000000"/>
          <w:szCs w:val="22"/>
          <w:vertAlign w:val="superscript"/>
          <w:lang w:val="es-ES"/>
        </w:rPr>
        <w:t>2</w:t>
      </w:r>
      <w:r w:rsidRPr="002D741C">
        <w:rPr>
          <w:color w:val="000000"/>
          <w:szCs w:val="22"/>
          <w:lang w:val="es-ES"/>
        </w:rPr>
        <w:t>/día alcanzó una exposición similar a las dosis de 400</w:t>
      </w:r>
      <w:r w:rsidR="006171A6" w:rsidRPr="002D741C">
        <w:rPr>
          <w:color w:val="000000"/>
          <w:szCs w:val="22"/>
          <w:lang w:val="es-ES"/>
        </w:rPr>
        <w:t> mg</w:t>
      </w:r>
      <w:r w:rsidRPr="002D741C">
        <w:rPr>
          <w:color w:val="000000"/>
          <w:szCs w:val="22"/>
          <w:lang w:val="es-ES"/>
        </w:rPr>
        <w:t xml:space="preserve"> y 600</w:t>
      </w:r>
      <w:r w:rsidR="006171A6" w:rsidRPr="002D741C">
        <w:rPr>
          <w:color w:val="000000"/>
          <w:szCs w:val="22"/>
          <w:lang w:val="es-ES"/>
        </w:rPr>
        <w:t> mg</w:t>
      </w:r>
      <w:r w:rsidRPr="002D741C">
        <w:rPr>
          <w:color w:val="000000"/>
          <w:szCs w:val="22"/>
          <w:lang w:val="es-ES"/>
        </w:rPr>
        <w:t xml:space="preserve"> en pacientes adultos, respectivamente. La comparación de </w:t>
      </w:r>
      <w:smartTag w:uri="urn:schemas-microsoft-com:office:smarttags" w:element="PersonName">
        <w:smartTagPr>
          <w:attr w:name="ProductID" w:val="La AUC"/>
        </w:smartTagPr>
        <w:r w:rsidRPr="002D741C">
          <w:rPr>
            <w:color w:val="000000"/>
            <w:szCs w:val="22"/>
            <w:lang w:val="es-ES"/>
          </w:rPr>
          <w:t>la AUC</w:t>
        </w:r>
      </w:smartTag>
      <w:r w:rsidRPr="002D741C">
        <w:rPr>
          <w:color w:val="000000"/>
          <w:szCs w:val="22"/>
          <w:vertAlign w:val="subscript"/>
          <w:lang w:val="es-ES"/>
        </w:rPr>
        <w:t>(0-24)</w:t>
      </w:r>
      <w:r w:rsidRPr="002D741C">
        <w:rPr>
          <w:color w:val="000000"/>
          <w:szCs w:val="22"/>
          <w:lang w:val="es-ES"/>
        </w:rPr>
        <w:t xml:space="preserve"> en el día</w:t>
      </w:r>
      <w:r w:rsidR="00DF063A" w:rsidRPr="002D741C">
        <w:rPr>
          <w:color w:val="000000"/>
          <w:szCs w:val="22"/>
          <w:lang w:val="es-ES"/>
        </w:rPr>
        <w:t> </w:t>
      </w:r>
      <w:r w:rsidRPr="002D741C">
        <w:rPr>
          <w:color w:val="000000"/>
          <w:szCs w:val="22"/>
          <w:lang w:val="es-ES"/>
        </w:rPr>
        <w:t>8 y el día</w:t>
      </w:r>
      <w:r w:rsidR="00DF063A" w:rsidRPr="002D741C">
        <w:rPr>
          <w:color w:val="000000"/>
          <w:szCs w:val="22"/>
          <w:lang w:val="es-ES"/>
        </w:rPr>
        <w:t> </w:t>
      </w:r>
      <w:r w:rsidRPr="002D741C">
        <w:rPr>
          <w:color w:val="000000"/>
          <w:szCs w:val="22"/>
          <w:lang w:val="es-ES"/>
        </w:rPr>
        <w:t>1 al nivel de dosis de 340</w:t>
      </w:r>
      <w:r w:rsidR="006171A6" w:rsidRPr="002D741C">
        <w:rPr>
          <w:color w:val="000000"/>
          <w:szCs w:val="22"/>
          <w:lang w:val="es-ES"/>
        </w:rPr>
        <w:t> mg</w:t>
      </w:r>
      <w:r w:rsidRPr="002D741C">
        <w:rPr>
          <w:color w:val="000000"/>
          <w:szCs w:val="22"/>
          <w:lang w:val="es-ES"/>
        </w:rPr>
        <w:t>/m</w:t>
      </w:r>
      <w:r w:rsidRPr="002D741C">
        <w:rPr>
          <w:color w:val="000000"/>
          <w:szCs w:val="22"/>
          <w:vertAlign w:val="superscript"/>
          <w:lang w:val="es-ES"/>
        </w:rPr>
        <w:t>2</w:t>
      </w:r>
      <w:r w:rsidRPr="002D741C">
        <w:rPr>
          <w:color w:val="000000"/>
          <w:szCs w:val="22"/>
          <w:lang w:val="es-ES"/>
        </w:rPr>
        <w:t>/día reveló una acumulación de 1,7</w:t>
      </w:r>
      <w:r w:rsidR="00DF063A" w:rsidRPr="002D741C">
        <w:rPr>
          <w:color w:val="000000"/>
          <w:szCs w:val="22"/>
          <w:lang w:val="es-ES"/>
        </w:rPr>
        <w:t> </w:t>
      </w:r>
      <w:r w:rsidRPr="002D741C">
        <w:rPr>
          <w:color w:val="000000"/>
          <w:szCs w:val="22"/>
          <w:lang w:val="es-ES"/>
        </w:rPr>
        <w:t>veces del fármaco tras la dosificación repetida una vez al día.</w:t>
      </w:r>
    </w:p>
    <w:p w14:paraId="61D983C4" w14:textId="77777777" w:rsidR="002626B2" w:rsidRPr="002D741C" w:rsidRDefault="002626B2" w:rsidP="001A2F33">
      <w:pPr>
        <w:pStyle w:val="EndnoteText"/>
        <w:widowControl w:val="0"/>
        <w:tabs>
          <w:tab w:val="clear" w:pos="567"/>
        </w:tabs>
        <w:rPr>
          <w:color w:val="000000"/>
          <w:szCs w:val="22"/>
          <w:lang w:val="es-ES"/>
        </w:rPr>
      </w:pPr>
    </w:p>
    <w:p w14:paraId="70A0DDAD" w14:textId="77777777" w:rsidR="00A153E4" w:rsidRPr="002D741C" w:rsidRDefault="00A153E4" w:rsidP="001A2F33">
      <w:pPr>
        <w:pStyle w:val="EndnoteText"/>
        <w:widowControl w:val="0"/>
        <w:tabs>
          <w:tab w:val="clear" w:pos="567"/>
        </w:tabs>
        <w:rPr>
          <w:color w:val="000000"/>
          <w:szCs w:val="22"/>
          <w:lang w:val="es-ES"/>
        </w:rPr>
      </w:pPr>
      <w:r w:rsidRPr="002D741C">
        <w:rPr>
          <w:color w:val="000000"/>
          <w:szCs w:val="22"/>
          <w:lang w:val="es-ES"/>
        </w:rPr>
        <w:t>En base al análisis farmacocinético de la población agrupada en pacientes pediátricos con alteraciones hematológicas (LMC, LLA Ph+, u otras alteraciones hematológicas tratadas con imatinib), el aclaramiento de imatinib aumenta con el aumento del área de superficie corporal (ASC). Tras la corrección del efecto del ASC, otras características demográficas como la edad, el peso corporal y el índice de masa corporal no tuvieron efectos clínicamente significativos sobre la exposición de imatinib. El análisis confirmó que la exposición de imatinib en pacientes pediátricos que reciben 260 mg/m</w:t>
      </w:r>
      <w:r w:rsidRPr="002D741C">
        <w:rPr>
          <w:color w:val="000000"/>
          <w:szCs w:val="22"/>
          <w:vertAlign w:val="superscript"/>
          <w:lang w:val="es-ES"/>
        </w:rPr>
        <w:t>2</w:t>
      </w:r>
      <w:r w:rsidRPr="002D741C">
        <w:rPr>
          <w:color w:val="000000"/>
          <w:szCs w:val="22"/>
          <w:lang w:val="es-ES"/>
        </w:rPr>
        <w:t xml:space="preserve"> una vez al día (sin superar los 400 mg una vez al día) o 340 mg/m</w:t>
      </w:r>
      <w:r w:rsidRPr="002D741C">
        <w:rPr>
          <w:color w:val="000000"/>
          <w:szCs w:val="22"/>
          <w:vertAlign w:val="superscript"/>
          <w:lang w:val="es-ES"/>
        </w:rPr>
        <w:t>2</w:t>
      </w:r>
      <w:r w:rsidRPr="002D741C">
        <w:rPr>
          <w:color w:val="000000"/>
          <w:szCs w:val="22"/>
          <w:lang w:val="es-ES"/>
        </w:rPr>
        <w:t xml:space="preserve"> una vez al día (sin superar los 600 mg una vez al día) es similar a la de los pacientes adult</w:t>
      </w:r>
      <w:r w:rsidR="00B55C03" w:rsidRPr="002D741C">
        <w:rPr>
          <w:color w:val="000000"/>
          <w:szCs w:val="22"/>
          <w:lang w:val="es-ES"/>
        </w:rPr>
        <w:t>o</w:t>
      </w:r>
      <w:r w:rsidRPr="002D741C">
        <w:rPr>
          <w:color w:val="000000"/>
          <w:szCs w:val="22"/>
          <w:lang w:val="es-ES"/>
        </w:rPr>
        <w:t>s que recibieron imatinib a dosis de 400 mg o 600 mg una vez al día.</w:t>
      </w:r>
    </w:p>
    <w:p w14:paraId="66653021" w14:textId="77777777" w:rsidR="00A153E4" w:rsidRPr="002D741C" w:rsidRDefault="00A153E4" w:rsidP="001A2F33">
      <w:pPr>
        <w:pStyle w:val="EndnoteText"/>
        <w:widowControl w:val="0"/>
        <w:tabs>
          <w:tab w:val="clear" w:pos="567"/>
        </w:tabs>
        <w:rPr>
          <w:color w:val="000000"/>
          <w:szCs w:val="22"/>
          <w:lang w:val="es-ES"/>
        </w:rPr>
      </w:pPr>
    </w:p>
    <w:p w14:paraId="52F44C9C" w14:textId="77777777" w:rsidR="002626B2" w:rsidRPr="002D741C" w:rsidRDefault="002626B2" w:rsidP="00C16E58">
      <w:pPr>
        <w:pStyle w:val="EndnoteText"/>
        <w:keepNext/>
        <w:widowControl w:val="0"/>
        <w:tabs>
          <w:tab w:val="clear" w:pos="567"/>
        </w:tabs>
        <w:rPr>
          <w:color w:val="000000"/>
          <w:szCs w:val="22"/>
          <w:lang w:val="es-ES"/>
        </w:rPr>
      </w:pPr>
      <w:r w:rsidRPr="002D741C">
        <w:rPr>
          <w:color w:val="000000"/>
          <w:szCs w:val="22"/>
          <w:u w:val="single"/>
          <w:lang w:val="es-ES"/>
        </w:rPr>
        <w:t>Disfunción orgánica</w:t>
      </w:r>
    </w:p>
    <w:p w14:paraId="012BE8B9" w14:textId="77777777" w:rsidR="00287B47" w:rsidRPr="002D741C" w:rsidRDefault="002626B2" w:rsidP="00287B47">
      <w:pPr>
        <w:pStyle w:val="EndnoteText"/>
        <w:widowControl w:val="0"/>
        <w:tabs>
          <w:tab w:val="clear" w:pos="567"/>
        </w:tabs>
        <w:rPr>
          <w:color w:val="000000"/>
          <w:szCs w:val="22"/>
          <w:lang w:val="es-ES"/>
        </w:rPr>
      </w:pPr>
      <w:r w:rsidRPr="002D741C">
        <w:rPr>
          <w:color w:val="000000"/>
          <w:szCs w:val="22"/>
          <w:lang w:val="es-ES"/>
        </w:rPr>
        <w:t xml:space="preserve">Imatinib y sus metabolitos no se excretan en una proporción significativa por vía renal. </w:t>
      </w:r>
      <w:r w:rsidR="00287B47" w:rsidRPr="002D741C">
        <w:rPr>
          <w:color w:val="000000"/>
          <w:szCs w:val="22"/>
          <w:lang w:val="es-ES"/>
        </w:rPr>
        <w:t>Los pacientes con alteraci</w:t>
      </w:r>
      <w:r w:rsidR="00064105" w:rsidRPr="002D741C">
        <w:rPr>
          <w:color w:val="000000"/>
          <w:szCs w:val="22"/>
          <w:lang w:val="es-ES"/>
        </w:rPr>
        <w:t>ón de la función renal leve y mo</w:t>
      </w:r>
      <w:r w:rsidR="00287B47" w:rsidRPr="002D741C">
        <w:rPr>
          <w:color w:val="000000"/>
          <w:szCs w:val="22"/>
          <w:lang w:val="es-ES"/>
        </w:rPr>
        <w:t xml:space="preserve">derada parecen tener una exposición plasmática superior a la de los pacientes con función renal normal. El aumento es de aproximadamente </w:t>
      </w:r>
      <w:smartTag w:uri="urn:schemas-microsoft-com:office:smarttags" w:element="metricconverter">
        <w:smartTagPr>
          <w:attr w:name="ProductID" w:val="1,5 a"/>
        </w:smartTagPr>
        <w:r w:rsidR="00287B47" w:rsidRPr="002D741C">
          <w:rPr>
            <w:color w:val="000000"/>
            <w:szCs w:val="22"/>
            <w:lang w:val="es-ES"/>
          </w:rPr>
          <w:t>1,5 a</w:t>
        </w:r>
      </w:smartTag>
      <w:r w:rsidR="00287B47" w:rsidRPr="002D741C">
        <w:rPr>
          <w:color w:val="000000"/>
          <w:szCs w:val="22"/>
          <w:lang w:val="es-ES"/>
        </w:rPr>
        <w:t xml:space="preserve"> 2 veces, correspondiendo a 1,5 veces la elevación de </w:t>
      </w:r>
      <w:smartTag w:uri="urn:schemas-microsoft-com:office:smarttags" w:element="PersonName">
        <w:smartTagPr>
          <w:attr w:name="ProductID" w:val="la AGP"/>
        </w:smartTagPr>
        <w:r w:rsidR="00287B47" w:rsidRPr="002D741C">
          <w:rPr>
            <w:color w:val="000000"/>
            <w:szCs w:val="22"/>
            <w:lang w:val="es-ES"/>
          </w:rPr>
          <w:t>la AGP</w:t>
        </w:r>
      </w:smartTag>
      <w:r w:rsidR="00287B47" w:rsidRPr="002D741C">
        <w:rPr>
          <w:color w:val="000000"/>
          <w:szCs w:val="22"/>
          <w:lang w:val="es-ES"/>
        </w:rPr>
        <w:t xml:space="preserve"> plasmática, a la cual se une fuertemente imatinib. El aclaramiento del fármaco libre</w:t>
      </w:r>
      <w:r w:rsidR="00064105" w:rsidRPr="002D741C">
        <w:rPr>
          <w:color w:val="000000"/>
          <w:szCs w:val="22"/>
          <w:lang w:val="es-ES"/>
        </w:rPr>
        <w:t xml:space="preserve"> de</w:t>
      </w:r>
      <w:r w:rsidR="00287B47" w:rsidRPr="002D741C">
        <w:rPr>
          <w:color w:val="000000"/>
          <w:szCs w:val="22"/>
          <w:lang w:val="es-ES"/>
        </w:rPr>
        <w:t xml:space="preserve"> imatinib es probablemente similar entre pacientes con alteración renal y pacientes con función renal normal, puesto que la excreción renal representa sólo una vía de eliminación menor para imatinib (ver secciones 4.2 y 4.4).</w:t>
      </w:r>
    </w:p>
    <w:p w14:paraId="0C8BB1D7" w14:textId="77777777" w:rsidR="00287B47" w:rsidRPr="002D741C" w:rsidRDefault="00287B47" w:rsidP="00F00735">
      <w:pPr>
        <w:pStyle w:val="EndnoteText"/>
        <w:widowControl w:val="0"/>
        <w:tabs>
          <w:tab w:val="clear" w:pos="567"/>
        </w:tabs>
        <w:rPr>
          <w:color w:val="000000"/>
          <w:szCs w:val="22"/>
          <w:lang w:val="es-ES"/>
        </w:rPr>
      </w:pPr>
    </w:p>
    <w:p w14:paraId="66323429" w14:textId="77777777" w:rsidR="002106DD" w:rsidRPr="002D741C" w:rsidRDefault="00C73BE5" w:rsidP="00F00735">
      <w:pPr>
        <w:pStyle w:val="EndnoteText"/>
        <w:widowControl w:val="0"/>
        <w:tabs>
          <w:tab w:val="clear" w:pos="567"/>
        </w:tabs>
        <w:rPr>
          <w:color w:val="000000"/>
          <w:szCs w:val="22"/>
          <w:lang w:val="es-ES"/>
        </w:rPr>
      </w:pPr>
      <w:r w:rsidRPr="002D741C">
        <w:rPr>
          <w:color w:val="000000"/>
          <w:szCs w:val="22"/>
          <w:lang w:val="es-ES"/>
        </w:rPr>
        <w:t xml:space="preserve">Aunque los resultados de un análisis farmacocinético muestran que existe una considerable variación </w:t>
      </w:r>
      <w:r w:rsidR="005729DF" w:rsidRPr="002D741C">
        <w:rPr>
          <w:color w:val="000000"/>
          <w:szCs w:val="22"/>
          <w:lang w:val="es-ES"/>
        </w:rPr>
        <w:t>interindividual</w:t>
      </w:r>
      <w:r w:rsidRPr="002D741C">
        <w:rPr>
          <w:color w:val="000000"/>
          <w:szCs w:val="22"/>
          <w:lang w:val="es-ES"/>
        </w:rPr>
        <w:t>, la exposición media a</w:t>
      </w:r>
      <w:r w:rsidR="002106DD" w:rsidRPr="002D741C">
        <w:rPr>
          <w:color w:val="000000"/>
          <w:szCs w:val="22"/>
          <w:lang w:val="es-ES"/>
        </w:rPr>
        <w:t xml:space="preserve"> imatinib no aumentó en pacientes con varios grados de alteración hepática comparado a pacientes con función hepática normal (</w:t>
      </w:r>
      <w:r w:rsidR="00F00735" w:rsidRPr="002D741C">
        <w:rPr>
          <w:color w:val="000000"/>
          <w:szCs w:val="22"/>
          <w:lang w:val="es-ES"/>
        </w:rPr>
        <w:t xml:space="preserve">ver secciones </w:t>
      </w:r>
      <w:r w:rsidR="002106DD" w:rsidRPr="002D741C">
        <w:rPr>
          <w:color w:val="000000"/>
          <w:szCs w:val="22"/>
          <w:lang w:val="es-ES"/>
        </w:rPr>
        <w:t>4.2, 4.4 y 4.8).</w:t>
      </w:r>
    </w:p>
    <w:p w14:paraId="2F07F0EF" w14:textId="77777777" w:rsidR="002626B2" w:rsidRPr="002D741C" w:rsidRDefault="002626B2" w:rsidP="001A2F33">
      <w:pPr>
        <w:pStyle w:val="EndnoteText"/>
        <w:widowControl w:val="0"/>
        <w:tabs>
          <w:tab w:val="clear" w:pos="567"/>
        </w:tabs>
        <w:rPr>
          <w:color w:val="000000"/>
          <w:szCs w:val="22"/>
          <w:lang w:val="es-ES"/>
        </w:rPr>
      </w:pPr>
    </w:p>
    <w:p w14:paraId="5EB2CF7F" w14:textId="77777777" w:rsidR="002626B2" w:rsidRPr="002D741C" w:rsidRDefault="002626B2" w:rsidP="00C16E58">
      <w:pPr>
        <w:keepNext/>
        <w:widowControl w:val="0"/>
        <w:ind w:left="567" w:hanging="567"/>
        <w:rPr>
          <w:color w:val="000000"/>
          <w:sz w:val="22"/>
          <w:szCs w:val="22"/>
        </w:rPr>
      </w:pPr>
      <w:r w:rsidRPr="002D741C">
        <w:rPr>
          <w:b/>
          <w:color w:val="000000"/>
          <w:sz w:val="22"/>
          <w:szCs w:val="22"/>
        </w:rPr>
        <w:t>5.3</w:t>
      </w:r>
      <w:r w:rsidRPr="002D741C">
        <w:rPr>
          <w:b/>
          <w:color w:val="000000"/>
          <w:sz w:val="22"/>
          <w:szCs w:val="22"/>
        </w:rPr>
        <w:tab/>
        <w:t>Datos preclínicos sobre seguridad</w:t>
      </w:r>
    </w:p>
    <w:p w14:paraId="0CCF30B4" w14:textId="77777777" w:rsidR="002626B2" w:rsidRPr="002D741C" w:rsidRDefault="002626B2" w:rsidP="00C16E58">
      <w:pPr>
        <w:keepNext/>
        <w:widowControl w:val="0"/>
        <w:rPr>
          <w:color w:val="000000"/>
          <w:sz w:val="22"/>
          <w:szCs w:val="22"/>
        </w:rPr>
      </w:pPr>
    </w:p>
    <w:p w14:paraId="038C1CA5" w14:textId="77777777" w:rsidR="002626B2" w:rsidRPr="002D741C" w:rsidRDefault="002626B2" w:rsidP="001A2F33">
      <w:pPr>
        <w:widowControl w:val="0"/>
        <w:rPr>
          <w:color w:val="000000"/>
          <w:sz w:val="22"/>
          <w:szCs w:val="22"/>
        </w:rPr>
      </w:pPr>
      <w:r w:rsidRPr="002D741C">
        <w:rPr>
          <w:color w:val="000000"/>
          <w:sz w:val="22"/>
          <w:szCs w:val="22"/>
        </w:rPr>
        <w:t>El perfil de seguridad preclínica de imatinib fue evaluado en ratas, perros, monos y conejos.</w:t>
      </w:r>
    </w:p>
    <w:p w14:paraId="3133A2B6" w14:textId="77777777" w:rsidR="002626B2" w:rsidRPr="002D741C" w:rsidRDefault="002626B2" w:rsidP="001A2F33">
      <w:pPr>
        <w:widowControl w:val="0"/>
        <w:rPr>
          <w:color w:val="000000"/>
          <w:sz w:val="22"/>
          <w:szCs w:val="22"/>
        </w:rPr>
      </w:pPr>
    </w:p>
    <w:p w14:paraId="24F5DF82" w14:textId="77777777" w:rsidR="002626B2" w:rsidRPr="002D741C" w:rsidRDefault="002626B2" w:rsidP="001A2F33">
      <w:pPr>
        <w:widowControl w:val="0"/>
        <w:rPr>
          <w:color w:val="000000"/>
          <w:sz w:val="22"/>
          <w:szCs w:val="22"/>
        </w:rPr>
      </w:pPr>
      <w:r w:rsidRPr="002D741C">
        <w:rPr>
          <w:color w:val="000000"/>
          <w:sz w:val="22"/>
          <w:szCs w:val="22"/>
        </w:rPr>
        <w:t>Los estudios de toxicidad de dosis múltiples revelaron cambios hematológicos de leves a moderados en ratas, perros y monos, acompañados por cambios en la médula ósea de ratas y perros.</w:t>
      </w:r>
    </w:p>
    <w:p w14:paraId="078C4B55" w14:textId="77777777" w:rsidR="002626B2" w:rsidRPr="002D741C" w:rsidRDefault="002626B2" w:rsidP="001A2F33">
      <w:pPr>
        <w:widowControl w:val="0"/>
        <w:rPr>
          <w:color w:val="000000"/>
          <w:sz w:val="22"/>
          <w:szCs w:val="22"/>
        </w:rPr>
      </w:pPr>
    </w:p>
    <w:p w14:paraId="2C32ABD6" w14:textId="77777777" w:rsidR="002626B2" w:rsidRPr="002D741C" w:rsidRDefault="002626B2" w:rsidP="001A2F33">
      <w:pPr>
        <w:widowControl w:val="0"/>
        <w:rPr>
          <w:color w:val="000000"/>
          <w:sz w:val="22"/>
          <w:szCs w:val="22"/>
        </w:rPr>
      </w:pPr>
      <w:r w:rsidRPr="002D741C">
        <w:rPr>
          <w:color w:val="000000"/>
          <w:sz w:val="22"/>
          <w:szCs w:val="22"/>
        </w:rPr>
        <w:t xml:space="preserve">El hígado fue un órgano diana en ratas y perros. En ambas especies se observaron aumentos de leves a moderados en las transaminasas y leves descensos en el colesterol, triglicéridos y niveles totales de proteínas y albúmina. No se observaron cambios histopatológicos en el hígado de rata. Se observó </w:t>
      </w:r>
      <w:r w:rsidRPr="002D741C">
        <w:rPr>
          <w:color w:val="000000"/>
          <w:sz w:val="22"/>
          <w:szCs w:val="22"/>
        </w:rPr>
        <w:lastRenderedPageBreak/>
        <w:t>toxicidad hepática severa en perros tratados durante 2</w:t>
      </w:r>
      <w:r w:rsidR="00DF063A" w:rsidRPr="002D741C">
        <w:rPr>
          <w:color w:val="000000"/>
          <w:sz w:val="22"/>
          <w:szCs w:val="22"/>
        </w:rPr>
        <w:t> </w:t>
      </w:r>
      <w:r w:rsidRPr="002D741C">
        <w:rPr>
          <w:color w:val="000000"/>
          <w:sz w:val="22"/>
          <w:szCs w:val="22"/>
        </w:rPr>
        <w:t>semanas, con una elevación de los enzimas hepáticos, necrosis hepatocelular, necrosis del conducto biliar e hiperplasia del conducto biliar.</w:t>
      </w:r>
    </w:p>
    <w:p w14:paraId="2EF6EDCF" w14:textId="77777777" w:rsidR="002626B2" w:rsidRPr="002D741C" w:rsidRDefault="002626B2" w:rsidP="001A2F33">
      <w:pPr>
        <w:widowControl w:val="0"/>
        <w:rPr>
          <w:color w:val="000000"/>
          <w:sz w:val="22"/>
          <w:szCs w:val="22"/>
        </w:rPr>
      </w:pPr>
    </w:p>
    <w:p w14:paraId="520DF976" w14:textId="77777777" w:rsidR="002626B2" w:rsidRPr="002D741C" w:rsidRDefault="002626B2" w:rsidP="001A2F33">
      <w:pPr>
        <w:widowControl w:val="0"/>
        <w:rPr>
          <w:color w:val="000000"/>
          <w:sz w:val="22"/>
          <w:szCs w:val="22"/>
        </w:rPr>
      </w:pPr>
      <w:r w:rsidRPr="002D741C">
        <w:rPr>
          <w:color w:val="000000"/>
          <w:sz w:val="22"/>
          <w:szCs w:val="22"/>
        </w:rPr>
        <w:t>Se observó toxicidad renal con mineralización focal, dilatación de los túbulos renales y nefrosis tubular en monos tratados durante 2</w:t>
      </w:r>
      <w:r w:rsidR="00DF063A" w:rsidRPr="002D741C">
        <w:rPr>
          <w:color w:val="000000"/>
          <w:sz w:val="22"/>
          <w:szCs w:val="22"/>
        </w:rPr>
        <w:t> </w:t>
      </w:r>
      <w:r w:rsidRPr="002D741C">
        <w:rPr>
          <w:color w:val="000000"/>
          <w:sz w:val="22"/>
          <w:szCs w:val="22"/>
        </w:rPr>
        <w:t>semanas. En varios de estos animales se observaron aumentos del nitrógeno ureico en sangre y de la creatinina. En un estudio de 13</w:t>
      </w:r>
      <w:r w:rsidR="00DF063A" w:rsidRPr="002D741C">
        <w:rPr>
          <w:color w:val="000000"/>
          <w:sz w:val="22"/>
          <w:szCs w:val="22"/>
        </w:rPr>
        <w:t> </w:t>
      </w:r>
      <w:r w:rsidRPr="002D741C">
        <w:rPr>
          <w:color w:val="000000"/>
          <w:sz w:val="22"/>
          <w:szCs w:val="22"/>
        </w:rPr>
        <w:t>semanas en ratas, a dosis &gt;</w:t>
      </w:r>
      <w:r w:rsidR="00F11D96" w:rsidRPr="002D741C">
        <w:rPr>
          <w:color w:val="000000"/>
          <w:sz w:val="22"/>
          <w:szCs w:val="22"/>
        </w:rPr>
        <w:t> </w:t>
      </w:r>
      <w:r w:rsidRPr="002D741C">
        <w:rPr>
          <w:color w:val="000000"/>
          <w:sz w:val="22"/>
          <w:szCs w:val="22"/>
        </w:rPr>
        <w:t>6</w:t>
      </w:r>
      <w:r w:rsidR="006171A6" w:rsidRPr="002D741C">
        <w:rPr>
          <w:color w:val="000000"/>
          <w:sz w:val="22"/>
          <w:szCs w:val="22"/>
        </w:rPr>
        <w:t> mg</w:t>
      </w:r>
      <w:r w:rsidRPr="002D741C">
        <w:rPr>
          <w:color w:val="000000"/>
          <w:sz w:val="22"/>
          <w:szCs w:val="22"/>
        </w:rPr>
        <w:t>/kg se observó hiperplasia del epitelio transicional en la papila renal y en la vejiga urinaria, sin cambios en los parámetros séricos o urinarios. En el tratamiento crónico con imatinib se observó un aumento de la tasa de infecciones oportunistas.</w:t>
      </w:r>
    </w:p>
    <w:p w14:paraId="7D2806D8" w14:textId="77777777" w:rsidR="002626B2" w:rsidRPr="002D741C" w:rsidRDefault="002626B2" w:rsidP="001A2F33">
      <w:pPr>
        <w:widowControl w:val="0"/>
        <w:rPr>
          <w:color w:val="000000"/>
          <w:sz w:val="22"/>
          <w:szCs w:val="22"/>
        </w:rPr>
      </w:pPr>
    </w:p>
    <w:p w14:paraId="039B8AA7" w14:textId="77777777" w:rsidR="002626B2" w:rsidRPr="002D741C" w:rsidRDefault="002626B2" w:rsidP="001A2F33">
      <w:pPr>
        <w:widowControl w:val="0"/>
        <w:rPr>
          <w:color w:val="000000"/>
          <w:sz w:val="22"/>
          <w:szCs w:val="22"/>
        </w:rPr>
      </w:pPr>
      <w:r w:rsidRPr="002D741C">
        <w:rPr>
          <w:color w:val="000000"/>
          <w:sz w:val="22"/>
          <w:szCs w:val="22"/>
        </w:rPr>
        <w:t>En un estudio de 39</w:t>
      </w:r>
      <w:r w:rsidR="00DF063A" w:rsidRPr="002D741C">
        <w:rPr>
          <w:color w:val="000000"/>
          <w:sz w:val="22"/>
          <w:szCs w:val="22"/>
        </w:rPr>
        <w:t> </w:t>
      </w:r>
      <w:r w:rsidRPr="002D741C">
        <w:rPr>
          <w:color w:val="000000"/>
          <w:sz w:val="22"/>
          <w:szCs w:val="22"/>
        </w:rPr>
        <w:t xml:space="preserve">semanas con monos, no se estableció el </w:t>
      </w:r>
      <w:smartTag w:uri="urn:schemas-microsoft-com:office:smarttags" w:element="PersonName">
        <w:r w:rsidRPr="002D741C">
          <w:rPr>
            <w:color w:val="000000"/>
            <w:sz w:val="22"/>
            <w:szCs w:val="22"/>
          </w:rPr>
          <w:t>NO</w:t>
        </w:r>
      </w:smartTag>
      <w:r w:rsidRPr="002D741C">
        <w:rPr>
          <w:color w:val="000000"/>
          <w:sz w:val="22"/>
          <w:szCs w:val="22"/>
        </w:rPr>
        <w:t>A</w:t>
      </w:r>
      <w:smartTag w:uri="urn:schemas-microsoft-com:office:smarttags" w:element="PersonName">
        <w:r w:rsidRPr="002D741C">
          <w:rPr>
            <w:color w:val="000000"/>
            <w:sz w:val="22"/>
            <w:szCs w:val="22"/>
          </w:rPr>
          <w:t>EL</w:t>
        </w:r>
      </w:smartTag>
      <w:r w:rsidRPr="002D741C">
        <w:rPr>
          <w:color w:val="000000"/>
          <w:sz w:val="22"/>
          <w:szCs w:val="22"/>
        </w:rPr>
        <w:t xml:space="preserve"> </w:t>
      </w:r>
      <w:r w:rsidR="00216132" w:rsidRPr="002D741C">
        <w:rPr>
          <w:color w:val="000000"/>
          <w:sz w:val="22"/>
          <w:szCs w:val="22"/>
        </w:rPr>
        <w:t xml:space="preserve">(nivel sin efectos adversos observados) </w:t>
      </w:r>
      <w:r w:rsidRPr="002D741C">
        <w:rPr>
          <w:color w:val="000000"/>
          <w:sz w:val="22"/>
          <w:szCs w:val="22"/>
        </w:rPr>
        <w:t>a la dosis más baja de 15 mg/kg (aproximadamente un tercio de la dosis humana máxima de 800</w:t>
      </w:r>
      <w:r w:rsidR="006171A6" w:rsidRPr="002D741C">
        <w:rPr>
          <w:color w:val="000000"/>
          <w:sz w:val="22"/>
          <w:szCs w:val="22"/>
        </w:rPr>
        <w:t> mg</w:t>
      </w:r>
      <w:r w:rsidRPr="002D741C">
        <w:rPr>
          <w:color w:val="000000"/>
          <w:sz w:val="22"/>
          <w:szCs w:val="22"/>
        </w:rPr>
        <w:t xml:space="preserve"> en base a la superficie corporal). En estos animales el tratamiento produjo un empeoramiento de infecciones maláricas normalmente suprimidas.</w:t>
      </w:r>
    </w:p>
    <w:p w14:paraId="0122D7A7" w14:textId="77777777" w:rsidR="002626B2" w:rsidRPr="002D741C" w:rsidRDefault="002626B2" w:rsidP="001A2F33">
      <w:pPr>
        <w:widowControl w:val="0"/>
        <w:rPr>
          <w:color w:val="000000"/>
          <w:sz w:val="22"/>
          <w:szCs w:val="22"/>
        </w:rPr>
      </w:pPr>
    </w:p>
    <w:p w14:paraId="30B7D0E0" w14:textId="77777777" w:rsidR="002626B2" w:rsidRPr="002D741C" w:rsidRDefault="002626B2" w:rsidP="001A2F33">
      <w:pPr>
        <w:widowControl w:val="0"/>
        <w:rPr>
          <w:color w:val="000000"/>
          <w:sz w:val="22"/>
          <w:szCs w:val="22"/>
        </w:rPr>
      </w:pPr>
      <w:r w:rsidRPr="002D741C">
        <w:rPr>
          <w:color w:val="000000"/>
          <w:sz w:val="22"/>
          <w:szCs w:val="22"/>
        </w:rPr>
        <w:t xml:space="preserve">Imatinib no se consideró genotóxico cuando se probó en un ensayo de células bacterianas </w:t>
      </w:r>
      <w:r w:rsidRPr="002D741C">
        <w:rPr>
          <w:i/>
          <w:color w:val="000000"/>
          <w:sz w:val="22"/>
          <w:szCs w:val="22"/>
        </w:rPr>
        <w:t>in vitro</w:t>
      </w:r>
      <w:r w:rsidRPr="002D741C">
        <w:rPr>
          <w:color w:val="000000"/>
          <w:sz w:val="22"/>
          <w:szCs w:val="22"/>
        </w:rPr>
        <w:t xml:space="preserve"> (test de Ames), en un ensayo de células de mamífero</w:t>
      </w:r>
      <w:r w:rsidR="00777D3B" w:rsidRPr="002D741C">
        <w:rPr>
          <w:color w:val="000000"/>
          <w:sz w:val="22"/>
          <w:szCs w:val="22"/>
        </w:rPr>
        <w:t xml:space="preserve"> </w:t>
      </w:r>
      <w:r w:rsidRPr="002D741C">
        <w:rPr>
          <w:i/>
          <w:color w:val="000000"/>
          <w:sz w:val="22"/>
          <w:szCs w:val="22"/>
        </w:rPr>
        <w:t>in vitro</w:t>
      </w:r>
      <w:r w:rsidRPr="002D741C">
        <w:rPr>
          <w:color w:val="000000"/>
          <w:sz w:val="22"/>
          <w:szCs w:val="22"/>
        </w:rPr>
        <w:t xml:space="preserve"> (linfoma de ratón) y en una prueba </w:t>
      </w:r>
      <w:r w:rsidRPr="002D741C">
        <w:rPr>
          <w:i/>
          <w:color w:val="000000"/>
          <w:sz w:val="22"/>
          <w:szCs w:val="22"/>
        </w:rPr>
        <w:t>in vivo</w:t>
      </w:r>
      <w:r w:rsidRPr="002D741C">
        <w:rPr>
          <w:color w:val="000000"/>
          <w:sz w:val="22"/>
          <w:szCs w:val="22"/>
        </w:rPr>
        <w:t xml:space="preserve"> de micronúcleo de rata. Se obtuvieron efectos genotóxicos positivos para imatinib en una prueba de células de mamífero </w:t>
      </w:r>
      <w:r w:rsidRPr="002D741C">
        <w:rPr>
          <w:i/>
          <w:color w:val="000000"/>
          <w:sz w:val="22"/>
          <w:szCs w:val="22"/>
        </w:rPr>
        <w:t>in vitro</w:t>
      </w:r>
      <w:r w:rsidRPr="002D741C">
        <w:rPr>
          <w:color w:val="000000"/>
          <w:sz w:val="22"/>
          <w:szCs w:val="22"/>
        </w:rPr>
        <w:t xml:space="preserve"> (ovario de hámster chino) para clastogenicidad (aberración cromosómica) en presencia de activación metabólica. Dos productos intermedios del proceso de fabricación, que también están presentes en el producto final, son positivos para la mutagénesis en el test de Ames. Uno de estos productos intermedios también fue positivo en el ensayo de linfoma de ratón.</w:t>
      </w:r>
    </w:p>
    <w:p w14:paraId="16D4E57D" w14:textId="77777777" w:rsidR="002626B2" w:rsidRPr="002D741C" w:rsidRDefault="002626B2" w:rsidP="001A2F33">
      <w:pPr>
        <w:widowControl w:val="0"/>
        <w:rPr>
          <w:color w:val="000000"/>
          <w:sz w:val="22"/>
          <w:szCs w:val="22"/>
        </w:rPr>
      </w:pPr>
    </w:p>
    <w:p w14:paraId="0074AFAA" w14:textId="77777777" w:rsidR="002626B2" w:rsidRPr="002D741C" w:rsidRDefault="002626B2" w:rsidP="001A2F33">
      <w:pPr>
        <w:widowControl w:val="0"/>
        <w:rPr>
          <w:color w:val="000000"/>
          <w:sz w:val="22"/>
          <w:szCs w:val="22"/>
        </w:rPr>
      </w:pPr>
      <w:r w:rsidRPr="002D741C">
        <w:rPr>
          <w:color w:val="000000"/>
          <w:sz w:val="22"/>
          <w:szCs w:val="22"/>
        </w:rPr>
        <w:t>En un estudio de fertilidad con ratas macho tratadas durante 70</w:t>
      </w:r>
      <w:r w:rsidR="00DF063A" w:rsidRPr="002D741C">
        <w:rPr>
          <w:color w:val="000000"/>
          <w:sz w:val="22"/>
          <w:szCs w:val="22"/>
        </w:rPr>
        <w:t> </w:t>
      </w:r>
      <w:r w:rsidRPr="002D741C">
        <w:rPr>
          <w:color w:val="000000"/>
          <w:sz w:val="22"/>
          <w:szCs w:val="22"/>
        </w:rPr>
        <w:t>días antes del apareamiento, se produjo una disminución del peso de los testículos y del epidídimo y del porcentaje de esperma móvil a la dosis de 60</w:t>
      </w:r>
      <w:r w:rsidR="006171A6" w:rsidRPr="002D741C">
        <w:rPr>
          <w:color w:val="000000"/>
          <w:sz w:val="22"/>
          <w:szCs w:val="22"/>
        </w:rPr>
        <w:t> mg</w:t>
      </w:r>
      <w:r w:rsidRPr="002D741C">
        <w:rPr>
          <w:color w:val="000000"/>
          <w:sz w:val="22"/>
          <w:szCs w:val="22"/>
        </w:rPr>
        <w:t>/kg (equivalente aproximadamente a la dosis clínica máxima de 800</w:t>
      </w:r>
      <w:r w:rsidR="006171A6" w:rsidRPr="002D741C">
        <w:rPr>
          <w:color w:val="000000"/>
          <w:sz w:val="22"/>
          <w:szCs w:val="22"/>
        </w:rPr>
        <w:t> mg</w:t>
      </w:r>
      <w:r w:rsidRPr="002D741C">
        <w:rPr>
          <w:color w:val="000000"/>
          <w:sz w:val="22"/>
          <w:szCs w:val="22"/>
        </w:rPr>
        <w:t>/</w:t>
      </w:r>
      <w:r w:rsidR="008E7F71" w:rsidRPr="002D741C">
        <w:rPr>
          <w:color w:val="000000"/>
          <w:sz w:val="22"/>
          <w:szCs w:val="22"/>
        </w:rPr>
        <w:t>día</w:t>
      </w:r>
      <w:r w:rsidRPr="002D741C">
        <w:rPr>
          <w:color w:val="000000"/>
          <w:sz w:val="22"/>
          <w:szCs w:val="22"/>
        </w:rPr>
        <w:t xml:space="preserve">, en base a la superficie corporal). Esto no se observó a dosis </w:t>
      </w:r>
      <w:r w:rsidRPr="002D741C">
        <w:rPr>
          <w:color w:val="000000"/>
          <w:sz w:val="22"/>
          <w:szCs w:val="22"/>
        </w:rPr>
        <w:sym w:font="Symbol" w:char="F0A3"/>
      </w:r>
      <w:r w:rsidR="00F11D96" w:rsidRPr="002D741C">
        <w:rPr>
          <w:color w:val="000000"/>
          <w:sz w:val="22"/>
          <w:szCs w:val="22"/>
        </w:rPr>
        <w:t> </w:t>
      </w:r>
      <w:r w:rsidRPr="002D741C">
        <w:rPr>
          <w:color w:val="000000"/>
          <w:sz w:val="22"/>
          <w:szCs w:val="22"/>
        </w:rPr>
        <w:t>20</w:t>
      </w:r>
      <w:r w:rsidR="006171A6" w:rsidRPr="002D741C">
        <w:rPr>
          <w:color w:val="000000"/>
          <w:sz w:val="22"/>
          <w:szCs w:val="22"/>
        </w:rPr>
        <w:t> mg</w:t>
      </w:r>
      <w:r w:rsidRPr="002D741C">
        <w:rPr>
          <w:color w:val="000000"/>
          <w:sz w:val="22"/>
          <w:szCs w:val="22"/>
        </w:rPr>
        <w:t>/kg. En perros, a dosis orales &gt;</w:t>
      </w:r>
      <w:r w:rsidR="00F11D96" w:rsidRPr="002D741C">
        <w:rPr>
          <w:color w:val="000000"/>
          <w:sz w:val="22"/>
          <w:szCs w:val="22"/>
        </w:rPr>
        <w:t> </w:t>
      </w:r>
      <w:r w:rsidRPr="002D741C">
        <w:rPr>
          <w:color w:val="000000"/>
          <w:sz w:val="22"/>
          <w:szCs w:val="22"/>
        </w:rPr>
        <w:t>30</w:t>
      </w:r>
      <w:r w:rsidR="006171A6" w:rsidRPr="002D741C">
        <w:rPr>
          <w:color w:val="000000"/>
          <w:sz w:val="22"/>
          <w:szCs w:val="22"/>
        </w:rPr>
        <w:t> mg</w:t>
      </w:r>
      <w:r w:rsidRPr="002D741C">
        <w:rPr>
          <w:color w:val="000000"/>
          <w:sz w:val="22"/>
          <w:szCs w:val="22"/>
        </w:rPr>
        <w:t>/kg también se observó una reducción de leve a moderada en la espermatogénesis. Cuando se administraron dosis a ratas hembra 14</w:t>
      </w:r>
      <w:r w:rsidR="00DF063A" w:rsidRPr="002D741C">
        <w:rPr>
          <w:color w:val="000000"/>
          <w:sz w:val="22"/>
          <w:szCs w:val="22"/>
        </w:rPr>
        <w:t> </w:t>
      </w:r>
      <w:r w:rsidRPr="002D741C">
        <w:rPr>
          <w:color w:val="000000"/>
          <w:sz w:val="22"/>
          <w:szCs w:val="22"/>
        </w:rPr>
        <w:t>días antes del apareamiento y hasta el día</w:t>
      </w:r>
      <w:r w:rsidR="00DF063A" w:rsidRPr="002D741C">
        <w:rPr>
          <w:color w:val="000000"/>
          <w:sz w:val="22"/>
          <w:szCs w:val="22"/>
        </w:rPr>
        <w:t> </w:t>
      </w:r>
      <w:r w:rsidRPr="002D741C">
        <w:rPr>
          <w:color w:val="000000"/>
          <w:sz w:val="22"/>
          <w:szCs w:val="22"/>
        </w:rPr>
        <w:t>6 de la gestación, no hubo efecto sobre el apareamiento ni sobre el número de hembras preñadas. A la dosis de 60</w:t>
      </w:r>
      <w:r w:rsidR="006171A6" w:rsidRPr="002D741C">
        <w:rPr>
          <w:color w:val="000000"/>
          <w:sz w:val="22"/>
          <w:szCs w:val="22"/>
        </w:rPr>
        <w:t> mg</w:t>
      </w:r>
      <w:r w:rsidRPr="002D741C">
        <w:rPr>
          <w:color w:val="000000"/>
          <w:sz w:val="22"/>
          <w:szCs w:val="22"/>
        </w:rPr>
        <w:t xml:space="preserve">/kg, las ratas hembra tuvieron un significativo número de pérdidas fetales post-implantación y un reducido número de fetos vivos. Esto no se observó a dosis </w:t>
      </w:r>
      <w:r w:rsidRPr="002D741C">
        <w:rPr>
          <w:color w:val="000000"/>
          <w:sz w:val="22"/>
          <w:szCs w:val="22"/>
        </w:rPr>
        <w:sym w:font="Symbol" w:char="F0A3"/>
      </w:r>
      <w:r w:rsidR="00F11D96" w:rsidRPr="002D741C">
        <w:rPr>
          <w:color w:val="000000"/>
          <w:sz w:val="22"/>
          <w:szCs w:val="22"/>
        </w:rPr>
        <w:t> </w:t>
      </w:r>
      <w:r w:rsidRPr="002D741C">
        <w:rPr>
          <w:color w:val="000000"/>
          <w:sz w:val="22"/>
          <w:szCs w:val="22"/>
        </w:rPr>
        <w:t>20</w:t>
      </w:r>
      <w:r w:rsidR="006171A6" w:rsidRPr="002D741C">
        <w:rPr>
          <w:color w:val="000000"/>
          <w:sz w:val="22"/>
          <w:szCs w:val="22"/>
        </w:rPr>
        <w:t> mg</w:t>
      </w:r>
      <w:r w:rsidRPr="002D741C">
        <w:rPr>
          <w:color w:val="000000"/>
          <w:sz w:val="22"/>
          <w:szCs w:val="22"/>
        </w:rPr>
        <w:t>/kg.</w:t>
      </w:r>
    </w:p>
    <w:p w14:paraId="1783ADEB" w14:textId="77777777" w:rsidR="002626B2" w:rsidRPr="002D741C" w:rsidRDefault="002626B2" w:rsidP="001A2F33">
      <w:pPr>
        <w:widowControl w:val="0"/>
        <w:rPr>
          <w:color w:val="000000"/>
          <w:sz w:val="22"/>
          <w:szCs w:val="22"/>
        </w:rPr>
      </w:pPr>
    </w:p>
    <w:p w14:paraId="31B3BF17" w14:textId="77777777" w:rsidR="002626B2" w:rsidRPr="002D741C" w:rsidRDefault="002626B2" w:rsidP="001A2F33">
      <w:pPr>
        <w:widowControl w:val="0"/>
        <w:rPr>
          <w:color w:val="000000"/>
          <w:sz w:val="22"/>
          <w:szCs w:val="22"/>
        </w:rPr>
      </w:pPr>
      <w:r w:rsidRPr="002D741C">
        <w:rPr>
          <w:color w:val="000000"/>
          <w:sz w:val="22"/>
          <w:szCs w:val="22"/>
        </w:rPr>
        <w:t>En un estudio oral de desarrollo pre- y postnatal en ratas, se observaron pérdidas vaginales de sangre en el grupo de 45</w:t>
      </w:r>
      <w:r w:rsidR="006171A6" w:rsidRPr="002D741C">
        <w:rPr>
          <w:color w:val="000000"/>
          <w:sz w:val="22"/>
          <w:szCs w:val="22"/>
        </w:rPr>
        <w:t> mg</w:t>
      </w:r>
      <w:r w:rsidRPr="002D741C">
        <w:rPr>
          <w:color w:val="000000"/>
          <w:sz w:val="22"/>
          <w:szCs w:val="22"/>
        </w:rPr>
        <w:t>/kg/día en el día</w:t>
      </w:r>
      <w:r w:rsidR="00DF063A" w:rsidRPr="002D741C">
        <w:rPr>
          <w:color w:val="000000"/>
          <w:sz w:val="22"/>
          <w:szCs w:val="22"/>
        </w:rPr>
        <w:t> </w:t>
      </w:r>
      <w:r w:rsidRPr="002D741C">
        <w:rPr>
          <w:color w:val="000000"/>
          <w:sz w:val="22"/>
          <w:szCs w:val="22"/>
        </w:rPr>
        <w:t>14 o el día</w:t>
      </w:r>
      <w:r w:rsidR="00DF063A" w:rsidRPr="002D741C">
        <w:rPr>
          <w:color w:val="000000"/>
          <w:sz w:val="22"/>
          <w:szCs w:val="22"/>
        </w:rPr>
        <w:t> </w:t>
      </w:r>
      <w:r w:rsidRPr="002D741C">
        <w:rPr>
          <w:color w:val="000000"/>
          <w:sz w:val="22"/>
          <w:szCs w:val="22"/>
        </w:rPr>
        <w:t>15 de gestación. A la misma dosis, el número de crías nacidas muertas así como las que murieron entre los días</w:t>
      </w:r>
      <w:r w:rsidR="00DF063A" w:rsidRPr="002D741C">
        <w:rPr>
          <w:color w:val="000000"/>
          <w:sz w:val="22"/>
          <w:szCs w:val="22"/>
        </w:rPr>
        <w:t> </w:t>
      </w:r>
      <w:r w:rsidRPr="002D741C">
        <w:rPr>
          <w:color w:val="000000"/>
          <w:sz w:val="22"/>
          <w:szCs w:val="22"/>
        </w:rPr>
        <w:t>0 y 4 del postparto aumentó. En las crías F</w:t>
      </w:r>
      <w:r w:rsidRPr="002D741C">
        <w:rPr>
          <w:color w:val="000000"/>
          <w:sz w:val="22"/>
          <w:szCs w:val="22"/>
          <w:vertAlign w:val="subscript"/>
        </w:rPr>
        <w:t>1</w:t>
      </w:r>
      <w:r w:rsidRPr="002D741C">
        <w:rPr>
          <w:color w:val="000000"/>
          <w:sz w:val="22"/>
          <w:szCs w:val="22"/>
        </w:rPr>
        <w:t>, al mismo nivel de dosis, los pesos corporales medios se redujeron desde el nacimiento hasta el sacrificio terminal y el número de animales que alcanzaron el criterio de separación prepucial disminuyó ligeramente. La fertilidad de F</w:t>
      </w:r>
      <w:r w:rsidRPr="002D741C">
        <w:rPr>
          <w:color w:val="000000"/>
          <w:sz w:val="22"/>
          <w:szCs w:val="22"/>
          <w:vertAlign w:val="subscript"/>
        </w:rPr>
        <w:t>1</w:t>
      </w:r>
      <w:r w:rsidRPr="002D741C">
        <w:rPr>
          <w:color w:val="000000"/>
          <w:sz w:val="22"/>
          <w:szCs w:val="22"/>
        </w:rPr>
        <w:t xml:space="preserve"> no se vio afectada, mientras que a 45</w:t>
      </w:r>
      <w:r w:rsidR="006171A6" w:rsidRPr="002D741C">
        <w:rPr>
          <w:color w:val="000000"/>
          <w:sz w:val="22"/>
          <w:szCs w:val="22"/>
        </w:rPr>
        <w:t> mg</w:t>
      </w:r>
      <w:r w:rsidRPr="002D741C">
        <w:rPr>
          <w:color w:val="000000"/>
          <w:sz w:val="22"/>
          <w:szCs w:val="22"/>
        </w:rPr>
        <w:t>/kg/día se observó un número mayor de reabsorciones y un número menor de fetos viables. El nivel de dosis sin efecto</w:t>
      </w:r>
      <w:r w:rsidR="00216132" w:rsidRPr="002D741C">
        <w:rPr>
          <w:color w:val="000000"/>
          <w:sz w:val="22"/>
          <w:szCs w:val="22"/>
        </w:rPr>
        <w:t xml:space="preserve"> observado (</w:t>
      </w:r>
      <w:smartTag w:uri="urn:schemas-microsoft-com:office:smarttags" w:element="PersonName">
        <w:r w:rsidR="00216132" w:rsidRPr="002D741C">
          <w:rPr>
            <w:color w:val="000000"/>
            <w:sz w:val="22"/>
            <w:szCs w:val="22"/>
          </w:rPr>
          <w:t>NO</w:t>
        </w:r>
      </w:smartTag>
      <w:smartTag w:uri="urn:schemas-microsoft-com:office:smarttags" w:element="PersonName">
        <w:r w:rsidR="00216132" w:rsidRPr="002D741C">
          <w:rPr>
            <w:color w:val="000000"/>
            <w:sz w:val="22"/>
            <w:szCs w:val="22"/>
          </w:rPr>
          <w:t>EL</w:t>
        </w:r>
      </w:smartTag>
      <w:r w:rsidR="00216132" w:rsidRPr="002D741C">
        <w:rPr>
          <w:color w:val="000000"/>
          <w:sz w:val="22"/>
          <w:szCs w:val="22"/>
        </w:rPr>
        <w:t>)</w:t>
      </w:r>
      <w:r w:rsidRPr="002D741C">
        <w:rPr>
          <w:color w:val="000000"/>
          <w:sz w:val="22"/>
          <w:szCs w:val="22"/>
        </w:rPr>
        <w:t xml:space="preserve"> para los animales maternos y la generación F</w:t>
      </w:r>
      <w:r w:rsidRPr="002D741C">
        <w:rPr>
          <w:color w:val="000000"/>
          <w:sz w:val="22"/>
          <w:szCs w:val="22"/>
          <w:vertAlign w:val="subscript"/>
        </w:rPr>
        <w:t>1</w:t>
      </w:r>
      <w:r w:rsidRPr="002D741C">
        <w:rPr>
          <w:color w:val="000000"/>
          <w:sz w:val="22"/>
          <w:szCs w:val="22"/>
        </w:rPr>
        <w:t xml:space="preserve"> fue 15</w:t>
      </w:r>
      <w:r w:rsidR="006171A6" w:rsidRPr="002D741C">
        <w:rPr>
          <w:color w:val="000000"/>
          <w:sz w:val="22"/>
          <w:szCs w:val="22"/>
        </w:rPr>
        <w:t> mg</w:t>
      </w:r>
      <w:r w:rsidRPr="002D741C">
        <w:rPr>
          <w:color w:val="000000"/>
          <w:sz w:val="22"/>
          <w:szCs w:val="22"/>
        </w:rPr>
        <w:t>/kg/día (un cuarto de la dosis humana máxima de 800</w:t>
      </w:r>
      <w:r w:rsidR="006171A6" w:rsidRPr="002D741C">
        <w:rPr>
          <w:color w:val="000000"/>
          <w:sz w:val="22"/>
          <w:szCs w:val="22"/>
        </w:rPr>
        <w:t> mg</w:t>
      </w:r>
      <w:r w:rsidRPr="002D741C">
        <w:rPr>
          <w:color w:val="000000"/>
          <w:sz w:val="22"/>
          <w:szCs w:val="22"/>
        </w:rPr>
        <w:t>).</w:t>
      </w:r>
    </w:p>
    <w:p w14:paraId="57B6B137" w14:textId="77777777" w:rsidR="002626B2" w:rsidRPr="002D741C" w:rsidRDefault="002626B2" w:rsidP="001A2F33">
      <w:pPr>
        <w:pStyle w:val="EndnoteText"/>
        <w:widowControl w:val="0"/>
        <w:tabs>
          <w:tab w:val="clear" w:pos="567"/>
        </w:tabs>
        <w:rPr>
          <w:snapToGrid/>
          <w:color w:val="000000"/>
          <w:szCs w:val="22"/>
          <w:lang w:val="es-ES"/>
        </w:rPr>
      </w:pPr>
    </w:p>
    <w:p w14:paraId="16B97F59" w14:textId="77777777" w:rsidR="00F11D96" w:rsidRPr="002D741C" w:rsidRDefault="002626B2" w:rsidP="001A2F33">
      <w:pPr>
        <w:widowControl w:val="0"/>
        <w:rPr>
          <w:color w:val="000000"/>
          <w:sz w:val="22"/>
          <w:szCs w:val="22"/>
        </w:rPr>
      </w:pPr>
      <w:r w:rsidRPr="002D741C">
        <w:rPr>
          <w:color w:val="000000"/>
          <w:sz w:val="22"/>
          <w:szCs w:val="22"/>
        </w:rPr>
        <w:t xml:space="preserve">Cuando se administró durante la organogénesis a dosis </w:t>
      </w:r>
      <w:r w:rsidRPr="002D741C">
        <w:rPr>
          <w:color w:val="000000"/>
          <w:sz w:val="22"/>
          <w:szCs w:val="22"/>
        </w:rPr>
        <w:sym w:font="Symbol" w:char="F0B3"/>
      </w:r>
      <w:r w:rsidR="00F11D96" w:rsidRPr="002D741C">
        <w:rPr>
          <w:color w:val="000000"/>
          <w:sz w:val="22"/>
          <w:szCs w:val="22"/>
        </w:rPr>
        <w:t> </w:t>
      </w:r>
      <w:r w:rsidRPr="002D741C">
        <w:rPr>
          <w:color w:val="000000"/>
          <w:sz w:val="22"/>
          <w:szCs w:val="22"/>
        </w:rPr>
        <w:t>100</w:t>
      </w:r>
      <w:r w:rsidR="006171A6" w:rsidRPr="002D741C">
        <w:rPr>
          <w:color w:val="000000"/>
          <w:sz w:val="22"/>
          <w:szCs w:val="22"/>
        </w:rPr>
        <w:t> mg</w:t>
      </w:r>
      <w:r w:rsidRPr="002D741C">
        <w:rPr>
          <w:color w:val="000000"/>
          <w:sz w:val="22"/>
          <w:szCs w:val="22"/>
        </w:rPr>
        <w:t>/kg (equivalente aproximadamente a la dosis clínica máxima de 800</w:t>
      </w:r>
      <w:r w:rsidR="006171A6" w:rsidRPr="002D741C">
        <w:rPr>
          <w:color w:val="000000"/>
          <w:sz w:val="22"/>
          <w:szCs w:val="22"/>
        </w:rPr>
        <w:t> mg</w:t>
      </w:r>
      <w:r w:rsidRPr="002D741C">
        <w:rPr>
          <w:color w:val="000000"/>
          <w:sz w:val="22"/>
          <w:szCs w:val="22"/>
        </w:rPr>
        <w:t>/</w:t>
      </w:r>
      <w:r w:rsidR="008E7F71" w:rsidRPr="002D741C">
        <w:rPr>
          <w:color w:val="000000"/>
          <w:sz w:val="22"/>
          <w:szCs w:val="22"/>
        </w:rPr>
        <w:t>día</w:t>
      </w:r>
      <w:r w:rsidRPr="002D741C">
        <w:rPr>
          <w:color w:val="000000"/>
          <w:sz w:val="22"/>
          <w:szCs w:val="22"/>
        </w:rPr>
        <w:t xml:space="preserve">, en base a la superficie corporal) imatinib fue teratogénico en ratas. Los efectos teratogénicos incluyeron exencefalia o encefalocele, ausencia/reducción del hueso frontal y ausencia de los huesos parietales. Estos efectos no se observaron a dosis </w:t>
      </w:r>
      <w:r w:rsidRPr="002D741C">
        <w:rPr>
          <w:color w:val="000000"/>
          <w:sz w:val="22"/>
          <w:szCs w:val="22"/>
        </w:rPr>
        <w:sym w:font="Symbol" w:char="F0A3"/>
      </w:r>
      <w:r w:rsidR="00F11D96" w:rsidRPr="002D741C">
        <w:rPr>
          <w:color w:val="000000"/>
          <w:sz w:val="22"/>
          <w:szCs w:val="22"/>
        </w:rPr>
        <w:t> </w:t>
      </w:r>
      <w:r w:rsidRPr="002D741C">
        <w:rPr>
          <w:color w:val="000000"/>
          <w:sz w:val="22"/>
          <w:szCs w:val="22"/>
        </w:rPr>
        <w:t>30</w:t>
      </w:r>
      <w:r w:rsidR="006171A6" w:rsidRPr="002D741C">
        <w:rPr>
          <w:color w:val="000000"/>
          <w:sz w:val="22"/>
          <w:szCs w:val="22"/>
        </w:rPr>
        <w:t> mg</w:t>
      </w:r>
      <w:r w:rsidRPr="002D741C">
        <w:rPr>
          <w:color w:val="000000"/>
          <w:sz w:val="22"/>
          <w:szCs w:val="22"/>
        </w:rPr>
        <w:t>/kg.</w:t>
      </w:r>
    </w:p>
    <w:p w14:paraId="6557302D" w14:textId="77777777" w:rsidR="002626B2" w:rsidRPr="002D741C" w:rsidRDefault="002626B2" w:rsidP="001A2F33">
      <w:pPr>
        <w:widowControl w:val="0"/>
        <w:rPr>
          <w:color w:val="000000"/>
          <w:sz w:val="22"/>
          <w:szCs w:val="22"/>
        </w:rPr>
      </w:pPr>
    </w:p>
    <w:p w14:paraId="5CE02D0D" w14:textId="77777777" w:rsidR="00BE581E" w:rsidRPr="002D741C" w:rsidRDefault="00BE581E" w:rsidP="001A2F33">
      <w:pPr>
        <w:widowControl w:val="0"/>
        <w:rPr>
          <w:color w:val="000000"/>
          <w:sz w:val="22"/>
          <w:szCs w:val="22"/>
        </w:rPr>
      </w:pPr>
      <w:r w:rsidRPr="002D741C">
        <w:rPr>
          <w:color w:val="000000"/>
          <w:sz w:val="22"/>
          <w:szCs w:val="22"/>
        </w:rPr>
        <w:t xml:space="preserve">No se identificaron nuevos órganos diana en el estudio de toxicología del desarrollo en ratas jóvenes (día </w:t>
      </w:r>
      <w:smartTag w:uri="urn:schemas-microsoft-com:office:smarttags" w:element="metricconverter">
        <w:smartTagPr>
          <w:attr w:name="ProductID" w:val="10 a"/>
        </w:smartTagPr>
        <w:r w:rsidRPr="002D741C">
          <w:rPr>
            <w:color w:val="000000"/>
            <w:sz w:val="22"/>
            <w:szCs w:val="22"/>
          </w:rPr>
          <w:t>10 a</w:t>
        </w:r>
      </w:smartTag>
      <w:r w:rsidRPr="002D741C">
        <w:rPr>
          <w:color w:val="000000"/>
          <w:sz w:val="22"/>
          <w:szCs w:val="22"/>
        </w:rPr>
        <w:t xml:space="preserve"> 70</w:t>
      </w:r>
      <w:r w:rsidR="005F7400" w:rsidRPr="002D741C">
        <w:rPr>
          <w:color w:val="000000"/>
          <w:sz w:val="22"/>
          <w:szCs w:val="22"/>
        </w:rPr>
        <w:t> </w:t>
      </w:r>
      <w:r w:rsidRPr="002D741C">
        <w:rPr>
          <w:color w:val="000000"/>
          <w:sz w:val="22"/>
          <w:szCs w:val="22"/>
        </w:rPr>
        <w:t xml:space="preserve">postparto) respecto a los órganos diana </w:t>
      </w:r>
      <w:r w:rsidR="005F7400" w:rsidRPr="002D741C">
        <w:rPr>
          <w:color w:val="000000"/>
          <w:sz w:val="22"/>
          <w:szCs w:val="22"/>
        </w:rPr>
        <w:t xml:space="preserve">ya </w:t>
      </w:r>
      <w:r w:rsidRPr="002D741C">
        <w:rPr>
          <w:color w:val="000000"/>
          <w:sz w:val="22"/>
          <w:szCs w:val="22"/>
        </w:rPr>
        <w:t xml:space="preserve">conocidos en ratas adultas. En el estudio de toxicología </w:t>
      </w:r>
      <w:r w:rsidR="005F7400" w:rsidRPr="002D741C">
        <w:rPr>
          <w:color w:val="000000"/>
          <w:sz w:val="22"/>
          <w:szCs w:val="22"/>
        </w:rPr>
        <w:t>juvenil</w:t>
      </w:r>
      <w:r w:rsidRPr="002D741C">
        <w:rPr>
          <w:color w:val="000000"/>
          <w:sz w:val="22"/>
          <w:szCs w:val="22"/>
        </w:rPr>
        <w:t xml:space="preserve"> se observaron efectos sobre el crecimiento, retraso en la apertura vaginal y</w:t>
      </w:r>
      <w:r w:rsidR="005F7400" w:rsidRPr="002D741C">
        <w:rPr>
          <w:color w:val="000000"/>
          <w:sz w:val="22"/>
          <w:szCs w:val="22"/>
        </w:rPr>
        <w:t xml:space="preserve"> la</w:t>
      </w:r>
      <w:r w:rsidRPr="002D741C">
        <w:rPr>
          <w:color w:val="000000"/>
          <w:sz w:val="22"/>
          <w:szCs w:val="22"/>
        </w:rPr>
        <w:t xml:space="preserve"> separación p</w:t>
      </w:r>
      <w:r w:rsidR="005F7400" w:rsidRPr="002D741C">
        <w:rPr>
          <w:color w:val="000000"/>
          <w:sz w:val="22"/>
          <w:szCs w:val="22"/>
        </w:rPr>
        <w:t xml:space="preserve">repucial a aproximadamente </w:t>
      </w:r>
      <w:smartTag w:uri="urn:schemas-microsoft-com:office:smarttags" w:element="metricconverter">
        <w:smartTagPr>
          <w:attr w:name="ProductID" w:val="0,3 a"/>
        </w:smartTagPr>
        <w:r w:rsidR="005F7400" w:rsidRPr="002D741C">
          <w:rPr>
            <w:color w:val="000000"/>
            <w:sz w:val="22"/>
            <w:szCs w:val="22"/>
          </w:rPr>
          <w:t>0,3 a</w:t>
        </w:r>
      </w:smartTag>
      <w:r w:rsidRPr="002D741C">
        <w:rPr>
          <w:color w:val="000000"/>
          <w:sz w:val="22"/>
          <w:szCs w:val="22"/>
        </w:rPr>
        <w:t xml:space="preserve"> 2 veces la exposición pediátrica media a la dosis más alta recomendada de 340 mg/m</w:t>
      </w:r>
      <w:r w:rsidRPr="002D741C">
        <w:rPr>
          <w:color w:val="000000"/>
          <w:sz w:val="22"/>
          <w:szCs w:val="22"/>
          <w:vertAlign w:val="superscript"/>
        </w:rPr>
        <w:t>2</w:t>
      </w:r>
      <w:r w:rsidRPr="002D741C">
        <w:rPr>
          <w:color w:val="000000"/>
          <w:sz w:val="22"/>
          <w:szCs w:val="22"/>
        </w:rPr>
        <w:t>. Además, se observó mortalidad en animales jóvenes (alrededor de la fase de destete) a aproximadamente 2 veces la exposición pediátrica media a la dosis más alta recomendada de 340 mg/m</w:t>
      </w:r>
      <w:r w:rsidRPr="002D741C">
        <w:rPr>
          <w:color w:val="000000"/>
          <w:sz w:val="22"/>
          <w:szCs w:val="22"/>
          <w:vertAlign w:val="superscript"/>
        </w:rPr>
        <w:t>2</w:t>
      </w:r>
      <w:r w:rsidRPr="002D741C">
        <w:rPr>
          <w:color w:val="000000"/>
          <w:sz w:val="22"/>
          <w:szCs w:val="22"/>
        </w:rPr>
        <w:t>.</w:t>
      </w:r>
    </w:p>
    <w:p w14:paraId="1F2D2B7C" w14:textId="77777777" w:rsidR="00BE581E" w:rsidRPr="002D741C" w:rsidRDefault="00BE581E" w:rsidP="001A2F33">
      <w:pPr>
        <w:widowControl w:val="0"/>
        <w:rPr>
          <w:color w:val="000000"/>
          <w:sz w:val="22"/>
          <w:szCs w:val="22"/>
        </w:rPr>
      </w:pPr>
      <w:r w:rsidRPr="002D741C">
        <w:rPr>
          <w:color w:val="000000"/>
          <w:sz w:val="22"/>
          <w:szCs w:val="22"/>
        </w:rPr>
        <w:t xml:space="preserve"> </w:t>
      </w:r>
    </w:p>
    <w:p w14:paraId="22E9ECC5" w14:textId="77777777" w:rsidR="00426348" w:rsidRPr="002D741C" w:rsidRDefault="00AE67AF" w:rsidP="00216132">
      <w:pPr>
        <w:widowControl w:val="0"/>
        <w:rPr>
          <w:color w:val="000000"/>
          <w:sz w:val="22"/>
          <w:szCs w:val="22"/>
        </w:rPr>
      </w:pPr>
      <w:r w:rsidRPr="002D741C">
        <w:rPr>
          <w:color w:val="000000"/>
          <w:sz w:val="22"/>
          <w:szCs w:val="22"/>
        </w:rPr>
        <w:t>En un e</w:t>
      </w:r>
      <w:r w:rsidR="003138AF" w:rsidRPr="002D741C">
        <w:rPr>
          <w:color w:val="000000"/>
          <w:sz w:val="22"/>
          <w:szCs w:val="22"/>
        </w:rPr>
        <w:t>studio de carcinogenicidad de 2 </w:t>
      </w:r>
      <w:r w:rsidRPr="002D741C">
        <w:rPr>
          <w:color w:val="000000"/>
          <w:sz w:val="22"/>
          <w:szCs w:val="22"/>
        </w:rPr>
        <w:t xml:space="preserve">años en ratas a las que se administró </w:t>
      </w:r>
      <w:r w:rsidR="003138AF" w:rsidRPr="002D741C">
        <w:rPr>
          <w:color w:val="000000"/>
          <w:sz w:val="22"/>
          <w:szCs w:val="22"/>
        </w:rPr>
        <w:t xml:space="preserve">imatinib a dosis de 15, 30 </w:t>
      </w:r>
      <w:r w:rsidR="003138AF" w:rsidRPr="002D741C">
        <w:rPr>
          <w:color w:val="000000"/>
          <w:sz w:val="22"/>
          <w:szCs w:val="22"/>
        </w:rPr>
        <w:lastRenderedPageBreak/>
        <w:t>y 60 </w:t>
      </w:r>
      <w:r w:rsidRPr="002D741C">
        <w:rPr>
          <w:color w:val="000000"/>
          <w:sz w:val="22"/>
          <w:szCs w:val="22"/>
        </w:rPr>
        <w:t xml:space="preserve">mg/kg/día se observó una reducción </w:t>
      </w:r>
      <w:r w:rsidR="004B3D90" w:rsidRPr="002D741C">
        <w:rPr>
          <w:color w:val="000000"/>
          <w:sz w:val="22"/>
          <w:szCs w:val="22"/>
        </w:rPr>
        <w:t xml:space="preserve">de la longevidad </w:t>
      </w:r>
      <w:r w:rsidRPr="002D741C">
        <w:rPr>
          <w:color w:val="000000"/>
          <w:sz w:val="22"/>
          <w:szCs w:val="22"/>
        </w:rPr>
        <w:t xml:space="preserve">estadísticamente significativa </w:t>
      </w:r>
      <w:r w:rsidR="003138AF" w:rsidRPr="002D741C">
        <w:rPr>
          <w:color w:val="000000"/>
          <w:sz w:val="22"/>
          <w:szCs w:val="22"/>
        </w:rPr>
        <w:t>en</w:t>
      </w:r>
      <w:r w:rsidRPr="002D741C">
        <w:rPr>
          <w:color w:val="000000"/>
          <w:sz w:val="22"/>
          <w:szCs w:val="22"/>
        </w:rPr>
        <w:t xml:space="preserve"> machos a 60</w:t>
      </w:r>
      <w:r w:rsidR="00E0277A" w:rsidRPr="002D741C">
        <w:rPr>
          <w:color w:val="000000"/>
          <w:sz w:val="22"/>
          <w:szCs w:val="22"/>
        </w:rPr>
        <w:t> </w:t>
      </w:r>
      <w:r w:rsidRPr="002D741C">
        <w:rPr>
          <w:color w:val="000000"/>
          <w:sz w:val="22"/>
          <w:szCs w:val="22"/>
        </w:rPr>
        <w:t xml:space="preserve">mg/kg/día y </w:t>
      </w:r>
      <w:r w:rsidR="003138AF" w:rsidRPr="002D741C">
        <w:rPr>
          <w:color w:val="000000"/>
          <w:sz w:val="22"/>
          <w:szCs w:val="22"/>
        </w:rPr>
        <w:t xml:space="preserve">en </w:t>
      </w:r>
      <w:r w:rsidRPr="002D741C">
        <w:rPr>
          <w:color w:val="000000"/>
          <w:sz w:val="22"/>
          <w:szCs w:val="22"/>
        </w:rPr>
        <w:t xml:space="preserve">hembras a </w:t>
      </w:r>
      <w:r w:rsidR="003138AF" w:rsidRPr="002D741C">
        <w:rPr>
          <w:color w:val="000000"/>
          <w:sz w:val="22"/>
          <w:szCs w:val="22"/>
        </w:rPr>
        <w:t>≥</w:t>
      </w:r>
      <w:r w:rsidR="00E0277A" w:rsidRPr="002D741C">
        <w:rPr>
          <w:color w:val="000000"/>
          <w:sz w:val="22"/>
          <w:szCs w:val="22"/>
        </w:rPr>
        <w:t> </w:t>
      </w:r>
      <w:r w:rsidR="003138AF" w:rsidRPr="002D741C">
        <w:rPr>
          <w:color w:val="000000"/>
          <w:sz w:val="22"/>
          <w:szCs w:val="22"/>
        </w:rPr>
        <w:t>30 </w:t>
      </w:r>
      <w:r w:rsidRPr="002D741C">
        <w:rPr>
          <w:color w:val="000000"/>
          <w:sz w:val="22"/>
          <w:szCs w:val="22"/>
        </w:rPr>
        <w:t>mg/kg/día. El examen histopatológico de</w:t>
      </w:r>
      <w:r w:rsidR="00F47288" w:rsidRPr="002D741C">
        <w:rPr>
          <w:color w:val="000000"/>
          <w:sz w:val="22"/>
          <w:szCs w:val="22"/>
        </w:rPr>
        <w:t xml:space="preserve"> los animales muertos </w:t>
      </w:r>
      <w:r w:rsidRPr="002D741C">
        <w:rPr>
          <w:color w:val="000000"/>
          <w:sz w:val="22"/>
          <w:szCs w:val="22"/>
        </w:rPr>
        <w:t>reveló</w:t>
      </w:r>
      <w:r w:rsidR="00F47288" w:rsidRPr="002D741C">
        <w:rPr>
          <w:color w:val="000000"/>
          <w:sz w:val="22"/>
          <w:szCs w:val="22"/>
        </w:rPr>
        <w:t>,</w:t>
      </w:r>
      <w:r w:rsidRPr="002D741C">
        <w:rPr>
          <w:color w:val="000000"/>
          <w:sz w:val="22"/>
          <w:szCs w:val="22"/>
        </w:rPr>
        <w:t xml:space="preserve"> </w:t>
      </w:r>
      <w:r w:rsidR="00F47288" w:rsidRPr="002D741C">
        <w:rPr>
          <w:color w:val="000000"/>
          <w:sz w:val="22"/>
          <w:szCs w:val="22"/>
        </w:rPr>
        <w:t xml:space="preserve">como principales causas de muerte o razones para el sacrificio, </w:t>
      </w:r>
      <w:r w:rsidRPr="002D741C">
        <w:rPr>
          <w:color w:val="000000"/>
          <w:sz w:val="22"/>
          <w:szCs w:val="22"/>
        </w:rPr>
        <w:t xml:space="preserve">cardiomiopatía (ambos sexos), nefropatía </w:t>
      </w:r>
      <w:r w:rsidR="00F47288" w:rsidRPr="002D741C">
        <w:rPr>
          <w:color w:val="000000"/>
          <w:sz w:val="22"/>
          <w:szCs w:val="22"/>
        </w:rPr>
        <w:t xml:space="preserve">progresiva </w:t>
      </w:r>
      <w:r w:rsidRPr="002D741C">
        <w:rPr>
          <w:color w:val="000000"/>
          <w:sz w:val="22"/>
          <w:szCs w:val="22"/>
        </w:rPr>
        <w:t>crónica (hembras) y papiloma de la glándula del prepucio. Los órganos diana de cambios neoplásicos fueron los riñones, la vejiga urinaria,</w:t>
      </w:r>
      <w:r w:rsidR="00F47288" w:rsidRPr="002D741C">
        <w:rPr>
          <w:color w:val="000000"/>
          <w:sz w:val="22"/>
          <w:szCs w:val="22"/>
        </w:rPr>
        <w:t xml:space="preserve"> la </w:t>
      </w:r>
      <w:r w:rsidRPr="002D741C">
        <w:rPr>
          <w:color w:val="000000"/>
          <w:sz w:val="22"/>
          <w:szCs w:val="22"/>
        </w:rPr>
        <w:t xml:space="preserve">uretra, </w:t>
      </w:r>
      <w:r w:rsidR="00F47288" w:rsidRPr="002D741C">
        <w:rPr>
          <w:color w:val="000000"/>
          <w:sz w:val="22"/>
          <w:szCs w:val="22"/>
        </w:rPr>
        <w:t xml:space="preserve">la </w:t>
      </w:r>
      <w:r w:rsidRPr="002D741C">
        <w:rPr>
          <w:color w:val="000000"/>
          <w:sz w:val="22"/>
          <w:szCs w:val="22"/>
        </w:rPr>
        <w:t xml:space="preserve">glándula del prepucio y del clítoris, </w:t>
      </w:r>
      <w:r w:rsidR="00F47288" w:rsidRPr="002D741C">
        <w:rPr>
          <w:color w:val="000000"/>
          <w:sz w:val="22"/>
          <w:szCs w:val="22"/>
        </w:rPr>
        <w:t xml:space="preserve">el </w:t>
      </w:r>
      <w:r w:rsidRPr="002D741C">
        <w:rPr>
          <w:color w:val="000000"/>
          <w:sz w:val="22"/>
          <w:szCs w:val="22"/>
        </w:rPr>
        <w:t xml:space="preserve">intestino delgado, </w:t>
      </w:r>
      <w:bookmarkStart w:id="2" w:name="OLE_LINK1"/>
      <w:r w:rsidR="00F47288" w:rsidRPr="002D741C">
        <w:rPr>
          <w:color w:val="000000"/>
          <w:sz w:val="22"/>
          <w:szCs w:val="22"/>
        </w:rPr>
        <w:t xml:space="preserve">las </w:t>
      </w:r>
      <w:r w:rsidRPr="002D741C">
        <w:rPr>
          <w:color w:val="000000"/>
          <w:sz w:val="22"/>
          <w:szCs w:val="22"/>
        </w:rPr>
        <w:t xml:space="preserve">glándulas paratiroideas, glándulas adrenales y </w:t>
      </w:r>
      <w:r w:rsidR="00F47288" w:rsidRPr="002D741C">
        <w:rPr>
          <w:color w:val="000000"/>
          <w:sz w:val="22"/>
          <w:szCs w:val="22"/>
        </w:rPr>
        <w:t xml:space="preserve">el </w:t>
      </w:r>
      <w:r w:rsidRPr="002D741C">
        <w:rPr>
          <w:color w:val="000000"/>
          <w:sz w:val="22"/>
          <w:szCs w:val="22"/>
        </w:rPr>
        <w:t>estómago no glandular</w:t>
      </w:r>
      <w:bookmarkEnd w:id="2"/>
      <w:r w:rsidRPr="002D741C">
        <w:rPr>
          <w:color w:val="000000"/>
          <w:sz w:val="22"/>
          <w:szCs w:val="22"/>
        </w:rPr>
        <w:t>.</w:t>
      </w:r>
    </w:p>
    <w:p w14:paraId="032D084E" w14:textId="77777777" w:rsidR="00216132" w:rsidRPr="002D741C" w:rsidRDefault="00216132" w:rsidP="00216132">
      <w:pPr>
        <w:widowControl w:val="0"/>
        <w:rPr>
          <w:color w:val="000000"/>
          <w:sz w:val="22"/>
          <w:szCs w:val="22"/>
        </w:rPr>
      </w:pPr>
    </w:p>
    <w:p w14:paraId="71A4376E" w14:textId="77777777" w:rsidR="001154C0" w:rsidRPr="002D741C" w:rsidRDefault="00216132" w:rsidP="00AA49CC">
      <w:pPr>
        <w:rPr>
          <w:color w:val="000000"/>
          <w:sz w:val="22"/>
          <w:szCs w:val="22"/>
        </w:rPr>
      </w:pPr>
      <w:r w:rsidRPr="002D741C">
        <w:rPr>
          <w:color w:val="000000"/>
          <w:sz w:val="22"/>
          <w:szCs w:val="22"/>
        </w:rPr>
        <w:t xml:space="preserve">El papiloma/carcinoma de la glándula del prepucio/clítoris se observó </w:t>
      </w:r>
      <w:r w:rsidR="00D8252A" w:rsidRPr="002D741C">
        <w:rPr>
          <w:color w:val="000000"/>
          <w:sz w:val="22"/>
          <w:szCs w:val="22"/>
        </w:rPr>
        <w:t xml:space="preserve">con </w:t>
      </w:r>
      <w:r w:rsidR="007444D9" w:rsidRPr="002D741C">
        <w:rPr>
          <w:color w:val="000000"/>
          <w:sz w:val="22"/>
          <w:szCs w:val="22"/>
        </w:rPr>
        <w:t xml:space="preserve">dosis a partir de </w:t>
      </w:r>
      <w:r w:rsidRPr="002D741C">
        <w:rPr>
          <w:color w:val="000000"/>
          <w:sz w:val="22"/>
          <w:szCs w:val="22"/>
        </w:rPr>
        <w:t>30</w:t>
      </w:r>
      <w:r w:rsidR="001D179E" w:rsidRPr="002D741C">
        <w:rPr>
          <w:color w:val="000000"/>
          <w:sz w:val="22"/>
          <w:szCs w:val="22"/>
        </w:rPr>
        <w:t> </w:t>
      </w:r>
      <w:r w:rsidRPr="002D741C">
        <w:rPr>
          <w:color w:val="000000"/>
          <w:sz w:val="22"/>
          <w:szCs w:val="22"/>
        </w:rPr>
        <w:t>mg/kg/día, representando aproximadamente 0,5 ó 0,3</w:t>
      </w:r>
      <w:r w:rsidR="001D179E" w:rsidRPr="002D741C">
        <w:rPr>
          <w:color w:val="000000"/>
          <w:sz w:val="22"/>
          <w:szCs w:val="22"/>
        </w:rPr>
        <w:t> </w:t>
      </w:r>
      <w:r w:rsidRPr="002D741C">
        <w:rPr>
          <w:color w:val="000000"/>
          <w:sz w:val="22"/>
          <w:szCs w:val="22"/>
        </w:rPr>
        <w:t>veces la exposición diaria en el hombre (basada en el AUC) a 400 mg/día u 800 mg/día, respectivamente, y 0,4</w:t>
      </w:r>
      <w:r w:rsidR="001D179E" w:rsidRPr="002D741C">
        <w:rPr>
          <w:color w:val="000000"/>
          <w:sz w:val="22"/>
          <w:szCs w:val="22"/>
        </w:rPr>
        <w:t> </w:t>
      </w:r>
      <w:r w:rsidRPr="002D741C">
        <w:rPr>
          <w:color w:val="000000"/>
          <w:sz w:val="22"/>
          <w:szCs w:val="22"/>
        </w:rPr>
        <w:t>veces la exposición diaria en niños (basada en el AUC) a 340 mg/m</w:t>
      </w:r>
      <w:r w:rsidRPr="002D741C">
        <w:rPr>
          <w:color w:val="000000"/>
          <w:sz w:val="22"/>
          <w:szCs w:val="22"/>
          <w:vertAlign w:val="superscript"/>
        </w:rPr>
        <w:t>2</w:t>
      </w:r>
      <w:r w:rsidR="007444D9" w:rsidRPr="002D741C">
        <w:rPr>
          <w:color w:val="000000"/>
          <w:sz w:val="22"/>
          <w:szCs w:val="22"/>
        </w:rPr>
        <w:t>/día</w:t>
      </w:r>
      <w:r w:rsidRPr="002D741C">
        <w:rPr>
          <w:color w:val="000000"/>
          <w:sz w:val="22"/>
          <w:szCs w:val="22"/>
        </w:rPr>
        <w:t xml:space="preserve">. </w:t>
      </w:r>
      <w:r w:rsidR="008907DB" w:rsidRPr="002D741C">
        <w:rPr>
          <w:color w:val="000000"/>
          <w:sz w:val="22"/>
          <w:szCs w:val="22"/>
        </w:rPr>
        <w:t>Los niveles sin efectos observados (</w:t>
      </w:r>
      <w:smartTag w:uri="urn:schemas-microsoft-com:office:smarttags" w:element="PersonName">
        <w:r w:rsidR="008907DB" w:rsidRPr="002D741C">
          <w:rPr>
            <w:color w:val="000000"/>
            <w:sz w:val="22"/>
            <w:szCs w:val="22"/>
          </w:rPr>
          <w:t>NO</w:t>
        </w:r>
      </w:smartTag>
      <w:smartTag w:uri="urn:schemas-microsoft-com:office:smarttags" w:element="PersonName">
        <w:r w:rsidR="008907DB" w:rsidRPr="002D741C">
          <w:rPr>
            <w:color w:val="000000"/>
            <w:sz w:val="22"/>
            <w:szCs w:val="22"/>
          </w:rPr>
          <w:t>EL</w:t>
        </w:r>
      </w:smartTag>
      <w:r w:rsidR="008907DB" w:rsidRPr="002D741C">
        <w:rPr>
          <w:color w:val="000000"/>
          <w:sz w:val="22"/>
          <w:szCs w:val="22"/>
        </w:rPr>
        <w:t>) fueron 15</w:t>
      </w:r>
      <w:r w:rsidR="001D179E" w:rsidRPr="002D741C">
        <w:rPr>
          <w:color w:val="000000"/>
          <w:sz w:val="22"/>
          <w:szCs w:val="22"/>
        </w:rPr>
        <w:t> </w:t>
      </w:r>
      <w:r w:rsidR="008907DB" w:rsidRPr="002D741C">
        <w:rPr>
          <w:color w:val="000000"/>
          <w:sz w:val="22"/>
          <w:szCs w:val="22"/>
        </w:rPr>
        <w:t>mg/</w:t>
      </w:r>
      <w:r w:rsidR="001D179E" w:rsidRPr="002D741C">
        <w:rPr>
          <w:color w:val="000000"/>
          <w:sz w:val="22"/>
          <w:szCs w:val="22"/>
        </w:rPr>
        <w:t>kg/</w:t>
      </w:r>
      <w:r w:rsidR="008907DB" w:rsidRPr="002D741C">
        <w:rPr>
          <w:color w:val="000000"/>
          <w:sz w:val="22"/>
          <w:szCs w:val="22"/>
        </w:rPr>
        <w:t xml:space="preserve">día. </w:t>
      </w:r>
      <w:r w:rsidR="00F47288" w:rsidRPr="002D741C">
        <w:rPr>
          <w:color w:val="000000"/>
          <w:sz w:val="22"/>
          <w:szCs w:val="22"/>
        </w:rPr>
        <w:t xml:space="preserve">El adenoma/carcinoma renal, el papiloma de la vejiga urinaria y la uretra, los adenocarcinomas del intestino delgado, los adenomas de las glándulas paratiroideas, los tumores medulares benignos y malignos de las glándulas adrenales </w:t>
      </w:r>
      <w:r w:rsidR="001154C0" w:rsidRPr="002D741C">
        <w:rPr>
          <w:color w:val="000000"/>
          <w:sz w:val="22"/>
          <w:szCs w:val="22"/>
        </w:rPr>
        <w:t>y los papilomas/carcinomas d</w:t>
      </w:r>
      <w:r w:rsidR="00F47288" w:rsidRPr="002D741C">
        <w:rPr>
          <w:color w:val="000000"/>
          <w:sz w:val="22"/>
          <w:szCs w:val="22"/>
        </w:rPr>
        <w:t>el estómago no glandular</w:t>
      </w:r>
      <w:r w:rsidR="001154C0" w:rsidRPr="002D741C">
        <w:rPr>
          <w:color w:val="000000"/>
          <w:sz w:val="22"/>
          <w:szCs w:val="22"/>
        </w:rPr>
        <w:t xml:space="preserve"> se observaron a </w:t>
      </w:r>
      <w:r w:rsidR="001154C0" w:rsidRPr="002D741C">
        <w:rPr>
          <w:bCs/>
          <w:color w:val="000000"/>
          <w:sz w:val="22"/>
          <w:szCs w:val="22"/>
        </w:rPr>
        <w:t>60 mg/kg/</w:t>
      </w:r>
      <w:r w:rsidR="00AA49CC" w:rsidRPr="002D741C">
        <w:rPr>
          <w:bCs/>
          <w:color w:val="000000"/>
          <w:sz w:val="22"/>
          <w:szCs w:val="22"/>
        </w:rPr>
        <w:t>día</w:t>
      </w:r>
      <w:r w:rsidR="008907DB" w:rsidRPr="002D741C">
        <w:rPr>
          <w:bCs/>
          <w:color w:val="000000"/>
          <w:sz w:val="22"/>
          <w:szCs w:val="22"/>
        </w:rPr>
        <w:t>, r</w:t>
      </w:r>
      <w:r w:rsidR="00711AD2" w:rsidRPr="002D741C">
        <w:rPr>
          <w:bCs/>
          <w:color w:val="000000"/>
          <w:sz w:val="22"/>
          <w:szCs w:val="22"/>
        </w:rPr>
        <w:t>epresentando aproximadamente 1</w:t>
      </w:r>
      <w:r w:rsidR="00297109" w:rsidRPr="002D741C">
        <w:rPr>
          <w:bCs/>
          <w:color w:val="000000"/>
          <w:sz w:val="22"/>
          <w:szCs w:val="22"/>
        </w:rPr>
        <w:t>,7</w:t>
      </w:r>
      <w:r w:rsidR="00711AD2" w:rsidRPr="002D741C">
        <w:rPr>
          <w:bCs/>
          <w:color w:val="000000"/>
          <w:sz w:val="22"/>
          <w:szCs w:val="22"/>
        </w:rPr>
        <w:t> </w:t>
      </w:r>
      <w:r w:rsidR="00297109" w:rsidRPr="002D741C">
        <w:rPr>
          <w:bCs/>
          <w:color w:val="000000"/>
          <w:sz w:val="22"/>
          <w:szCs w:val="22"/>
        </w:rPr>
        <w:t>ó</w:t>
      </w:r>
      <w:r w:rsidR="00711AD2" w:rsidRPr="002D741C">
        <w:rPr>
          <w:bCs/>
          <w:color w:val="000000"/>
          <w:sz w:val="22"/>
          <w:szCs w:val="22"/>
        </w:rPr>
        <w:t xml:space="preserve"> </w:t>
      </w:r>
      <w:r w:rsidR="00297109" w:rsidRPr="002D741C">
        <w:rPr>
          <w:bCs/>
          <w:color w:val="000000"/>
          <w:sz w:val="22"/>
          <w:szCs w:val="22"/>
        </w:rPr>
        <w:t>1</w:t>
      </w:r>
      <w:r w:rsidR="001D179E" w:rsidRPr="002D741C">
        <w:rPr>
          <w:bCs/>
          <w:color w:val="000000"/>
          <w:sz w:val="22"/>
          <w:szCs w:val="22"/>
        </w:rPr>
        <w:t> </w:t>
      </w:r>
      <w:r w:rsidR="008907DB" w:rsidRPr="002D741C">
        <w:rPr>
          <w:bCs/>
          <w:color w:val="000000"/>
          <w:sz w:val="22"/>
          <w:szCs w:val="22"/>
        </w:rPr>
        <w:t>ve</w:t>
      </w:r>
      <w:r w:rsidR="00BF0496" w:rsidRPr="002D741C">
        <w:rPr>
          <w:bCs/>
          <w:color w:val="000000"/>
          <w:sz w:val="22"/>
          <w:szCs w:val="22"/>
        </w:rPr>
        <w:t>ces</w:t>
      </w:r>
      <w:r w:rsidR="008907DB" w:rsidRPr="002D741C">
        <w:rPr>
          <w:bCs/>
          <w:color w:val="000000"/>
          <w:sz w:val="22"/>
          <w:szCs w:val="22"/>
        </w:rPr>
        <w:t xml:space="preserve"> la exposición diaria en el hombre (basado en el AUC) a 400</w:t>
      </w:r>
      <w:r w:rsidR="008907DB" w:rsidRPr="002D741C">
        <w:rPr>
          <w:color w:val="000000"/>
          <w:sz w:val="22"/>
          <w:szCs w:val="22"/>
        </w:rPr>
        <w:t> mg/día ó 800 mg/día, respectivamente, y 1,2 veces la exposición diaria en niños (basada en el AUC) a 340 mg/m</w:t>
      </w:r>
      <w:r w:rsidR="008907DB" w:rsidRPr="002D741C">
        <w:rPr>
          <w:color w:val="000000"/>
          <w:sz w:val="22"/>
          <w:szCs w:val="22"/>
          <w:vertAlign w:val="superscript"/>
        </w:rPr>
        <w:t>2</w:t>
      </w:r>
      <w:r w:rsidR="00AA7F45" w:rsidRPr="002D741C">
        <w:rPr>
          <w:color w:val="000000"/>
          <w:sz w:val="22"/>
          <w:szCs w:val="22"/>
        </w:rPr>
        <w:t>/</w:t>
      </w:r>
      <w:r w:rsidR="008907DB" w:rsidRPr="002D741C">
        <w:rPr>
          <w:color w:val="000000"/>
          <w:sz w:val="22"/>
          <w:szCs w:val="22"/>
        </w:rPr>
        <w:t>día. Los niveles sin efectos observados</w:t>
      </w:r>
      <w:r w:rsidR="00C42B16" w:rsidRPr="002D741C">
        <w:rPr>
          <w:color w:val="000000"/>
          <w:sz w:val="22"/>
          <w:szCs w:val="22"/>
        </w:rPr>
        <w:t xml:space="preserve"> </w:t>
      </w:r>
      <w:r w:rsidR="008907DB" w:rsidRPr="002D741C">
        <w:rPr>
          <w:color w:val="000000"/>
          <w:sz w:val="22"/>
          <w:szCs w:val="22"/>
        </w:rPr>
        <w:t>(</w:t>
      </w:r>
      <w:smartTag w:uri="urn:schemas-microsoft-com:office:smarttags" w:element="PersonName">
        <w:r w:rsidR="008907DB" w:rsidRPr="002D741C">
          <w:rPr>
            <w:color w:val="000000"/>
            <w:sz w:val="22"/>
            <w:szCs w:val="22"/>
          </w:rPr>
          <w:t>NO</w:t>
        </w:r>
      </w:smartTag>
      <w:smartTag w:uri="urn:schemas-microsoft-com:office:smarttags" w:element="PersonName">
        <w:r w:rsidR="008907DB" w:rsidRPr="002D741C">
          <w:rPr>
            <w:color w:val="000000"/>
            <w:sz w:val="22"/>
            <w:szCs w:val="22"/>
          </w:rPr>
          <w:t>EL</w:t>
        </w:r>
      </w:smartTag>
      <w:r w:rsidR="008907DB" w:rsidRPr="002D741C">
        <w:rPr>
          <w:color w:val="000000"/>
          <w:sz w:val="22"/>
          <w:szCs w:val="22"/>
        </w:rPr>
        <w:t>) fueron 30 mg/kg/día.</w:t>
      </w:r>
    </w:p>
    <w:p w14:paraId="43EF5F6A" w14:textId="77777777" w:rsidR="00216132" w:rsidRPr="002D741C" w:rsidRDefault="00216132" w:rsidP="00F47288">
      <w:pPr>
        <w:widowControl w:val="0"/>
        <w:rPr>
          <w:color w:val="000000"/>
          <w:sz w:val="22"/>
          <w:szCs w:val="22"/>
        </w:rPr>
      </w:pPr>
    </w:p>
    <w:p w14:paraId="512C3801" w14:textId="77777777" w:rsidR="00216132" w:rsidRPr="002D741C" w:rsidRDefault="00216132" w:rsidP="00216132">
      <w:pPr>
        <w:widowControl w:val="0"/>
        <w:rPr>
          <w:color w:val="000000"/>
          <w:sz w:val="22"/>
          <w:szCs w:val="22"/>
        </w:rPr>
      </w:pPr>
      <w:r w:rsidRPr="002D741C">
        <w:rPr>
          <w:color w:val="000000"/>
          <w:sz w:val="22"/>
          <w:szCs w:val="22"/>
        </w:rPr>
        <w:t>Todavía no se ha aclarado el mecanismo ni la relevancia para el hombre de estos hallazgos en el estudio de carcinogenicidad efectuado en ratas.</w:t>
      </w:r>
    </w:p>
    <w:p w14:paraId="286D57AE" w14:textId="77777777" w:rsidR="002626B2" w:rsidRPr="002D741C" w:rsidRDefault="002626B2" w:rsidP="001A2F33">
      <w:pPr>
        <w:pStyle w:val="EndnoteText"/>
        <w:widowControl w:val="0"/>
        <w:tabs>
          <w:tab w:val="clear" w:pos="567"/>
        </w:tabs>
        <w:rPr>
          <w:color w:val="000000"/>
          <w:szCs w:val="22"/>
          <w:lang w:val="es-ES"/>
        </w:rPr>
      </w:pPr>
    </w:p>
    <w:p w14:paraId="05C97579" w14:textId="77777777" w:rsidR="001154C0" w:rsidRPr="002D741C" w:rsidRDefault="004B3D90" w:rsidP="001154C0">
      <w:pPr>
        <w:pStyle w:val="EndnoteText"/>
        <w:widowControl w:val="0"/>
        <w:tabs>
          <w:tab w:val="clear" w:pos="567"/>
        </w:tabs>
        <w:rPr>
          <w:color w:val="000000"/>
          <w:szCs w:val="22"/>
          <w:lang w:val="es-ES"/>
        </w:rPr>
      </w:pPr>
      <w:r w:rsidRPr="002D741C">
        <w:rPr>
          <w:color w:val="000000"/>
          <w:szCs w:val="22"/>
          <w:lang w:val="es-ES"/>
        </w:rPr>
        <w:t>L</w:t>
      </w:r>
      <w:r w:rsidR="001154C0" w:rsidRPr="002D741C">
        <w:rPr>
          <w:color w:val="000000"/>
          <w:szCs w:val="22"/>
          <w:lang w:val="es-ES"/>
        </w:rPr>
        <w:t>esiones no neoplásicas no identificadas en estudios preclínicos anteriores fueron el sistema cardiovascular, páncreas, órganos endocrinos y dientes. Los cambios más importantes incluyeron hipertrofia cardiaca y dilatación, que condujeron a signos de insuficiencia cardiaca en algunos animales.</w:t>
      </w:r>
    </w:p>
    <w:p w14:paraId="1CAC4C78" w14:textId="77777777" w:rsidR="001154C0" w:rsidRPr="002D741C" w:rsidRDefault="001154C0" w:rsidP="001154C0">
      <w:pPr>
        <w:pStyle w:val="EndnoteText"/>
        <w:widowControl w:val="0"/>
        <w:tabs>
          <w:tab w:val="clear" w:pos="567"/>
        </w:tabs>
        <w:rPr>
          <w:color w:val="000000"/>
          <w:szCs w:val="22"/>
          <w:lang w:val="es-ES"/>
        </w:rPr>
      </w:pPr>
    </w:p>
    <w:p w14:paraId="18FE6333" w14:textId="77777777" w:rsidR="009A10C5" w:rsidRPr="002D741C" w:rsidRDefault="009A10C5" w:rsidP="001154C0">
      <w:pPr>
        <w:pStyle w:val="EndnoteText"/>
        <w:widowControl w:val="0"/>
        <w:tabs>
          <w:tab w:val="clear" w:pos="567"/>
        </w:tabs>
        <w:rPr>
          <w:color w:val="000000"/>
          <w:szCs w:val="22"/>
          <w:lang w:val="es-ES"/>
        </w:rPr>
      </w:pPr>
      <w:r w:rsidRPr="002D741C">
        <w:rPr>
          <w:color w:val="000000"/>
          <w:szCs w:val="22"/>
          <w:lang w:val="es-ES"/>
        </w:rPr>
        <w:t>El principio activo imatinib d</w:t>
      </w:r>
      <w:r w:rsidR="00BD3A73" w:rsidRPr="002D741C">
        <w:rPr>
          <w:color w:val="000000"/>
          <w:szCs w:val="22"/>
          <w:lang w:val="es-ES"/>
        </w:rPr>
        <w:t>emuestra un riesgo ambiental para</w:t>
      </w:r>
      <w:r w:rsidRPr="002D741C">
        <w:rPr>
          <w:color w:val="000000"/>
          <w:szCs w:val="22"/>
          <w:lang w:val="es-ES"/>
        </w:rPr>
        <w:t xml:space="preserve"> </w:t>
      </w:r>
      <w:r w:rsidR="00BD3A73" w:rsidRPr="002D741C">
        <w:rPr>
          <w:color w:val="000000"/>
          <w:szCs w:val="22"/>
          <w:lang w:val="es-ES"/>
        </w:rPr>
        <w:t xml:space="preserve">los </w:t>
      </w:r>
      <w:r w:rsidRPr="002D741C">
        <w:rPr>
          <w:color w:val="000000"/>
          <w:szCs w:val="22"/>
          <w:lang w:val="es-ES"/>
        </w:rPr>
        <w:t xml:space="preserve">organismos </w:t>
      </w:r>
      <w:r w:rsidR="00BD3A73" w:rsidRPr="002D741C">
        <w:rPr>
          <w:color w:val="000000"/>
          <w:szCs w:val="22"/>
          <w:lang w:val="es-ES"/>
        </w:rPr>
        <w:t>presentes en el sedimento</w:t>
      </w:r>
      <w:r w:rsidRPr="002D741C">
        <w:rPr>
          <w:color w:val="000000"/>
          <w:szCs w:val="22"/>
          <w:lang w:val="es-ES"/>
        </w:rPr>
        <w:t>.</w:t>
      </w:r>
    </w:p>
    <w:p w14:paraId="72305991" w14:textId="77777777" w:rsidR="00F357BE" w:rsidRPr="002D741C" w:rsidRDefault="00F357BE" w:rsidP="001154C0">
      <w:pPr>
        <w:pStyle w:val="EndnoteText"/>
        <w:widowControl w:val="0"/>
        <w:tabs>
          <w:tab w:val="clear" w:pos="567"/>
        </w:tabs>
        <w:rPr>
          <w:color w:val="000000"/>
          <w:szCs w:val="22"/>
          <w:lang w:val="es-ES"/>
        </w:rPr>
      </w:pPr>
    </w:p>
    <w:p w14:paraId="43E8F8CD" w14:textId="77777777" w:rsidR="002626B2" w:rsidRPr="002D741C" w:rsidRDefault="002626B2" w:rsidP="001A2F33">
      <w:pPr>
        <w:pStyle w:val="EndnoteText"/>
        <w:widowControl w:val="0"/>
        <w:tabs>
          <w:tab w:val="clear" w:pos="567"/>
        </w:tabs>
        <w:rPr>
          <w:color w:val="000000"/>
          <w:szCs w:val="22"/>
          <w:lang w:val="es-ES"/>
        </w:rPr>
      </w:pPr>
    </w:p>
    <w:p w14:paraId="5B9DA451" w14:textId="77777777" w:rsidR="002626B2" w:rsidRPr="002D741C" w:rsidRDefault="002626B2" w:rsidP="00C16E58">
      <w:pPr>
        <w:keepNext/>
        <w:widowControl w:val="0"/>
        <w:ind w:left="567" w:hanging="567"/>
        <w:rPr>
          <w:b/>
          <w:color w:val="000000"/>
          <w:sz w:val="22"/>
          <w:szCs w:val="22"/>
        </w:rPr>
      </w:pPr>
      <w:r w:rsidRPr="002D741C">
        <w:rPr>
          <w:b/>
          <w:color w:val="000000"/>
          <w:sz w:val="22"/>
          <w:szCs w:val="22"/>
        </w:rPr>
        <w:t>6.</w:t>
      </w:r>
      <w:r w:rsidRPr="002D741C">
        <w:rPr>
          <w:b/>
          <w:color w:val="000000"/>
          <w:sz w:val="22"/>
          <w:szCs w:val="22"/>
        </w:rPr>
        <w:tab/>
        <w:t>DATOS FARMACÉUTICOS</w:t>
      </w:r>
    </w:p>
    <w:p w14:paraId="49B59B15" w14:textId="77777777" w:rsidR="002626B2" w:rsidRPr="002D741C" w:rsidRDefault="002626B2" w:rsidP="00C16E58">
      <w:pPr>
        <w:pStyle w:val="EndnoteText"/>
        <w:keepNext/>
        <w:widowControl w:val="0"/>
        <w:tabs>
          <w:tab w:val="clear" w:pos="567"/>
        </w:tabs>
        <w:rPr>
          <w:color w:val="000000"/>
          <w:szCs w:val="22"/>
          <w:lang w:val="es-ES"/>
        </w:rPr>
      </w:pPr>
    </w:p>
    <w:p w14:paraId="570B3E6F" w14:textId="77777777" w:rsidR="002626B2" w:rsidRPr="002D741C" w:rsidRDefault="002626B2" w:rsidP="00C16E58">
      <w:pPr>
        <w:keepNext/>
        <w:widowControl w:val="0"/>
        <w:ind w:left="567" w:hanging="567"/>
        <w:rPr>
          <w:color w:val="000000"/>
          <w:sz w:val="22"/>
          <w:szCs w:val="22"/>
        </w:rPr>
      </w:pPr>
      <w:r w:rsidRPr="002D741C">
        <w:rPr>
          <w:b/>
          <w:color w:val="000000"/>
          <w:sz w:val="22"/>
          <w:szCs w:val="22"/>
        </w:rPr>
        <w:t>6.1</w:t>
      </w:r>
      <w:r w:rsidRPr="002D741C">
        <w:rPr>
          <w:b/>
          <w:color w:val="000000"/>
          <w:sz w:val="22"/>
          <w:szCs w:val="22"/>
        </w:rPr>
        <w:tab/>
        <w:t>Lista de excipientes</w:t>
      </w:r>
    </w:p>
    <w:p w14:paraId="6566FEF0" w14:textId="77777777" w:rsidR="002626B2" w:rsidRPr="002D741C" w:rsidRDefault="002626B2" w:rsidP="00C16E58">
      <w:pPr>
        <w:keepNext/>
        <w:widowControl w:val="0"/>
        <w:rPr>
          <w:color w:val="000000"/>
          <w:sz w:val="22"/>
          <w:szCs w:val="22"/>
        </w:rPr>
      </w:pPr>
    </w:p>
    <w:p w14:paraId="0A579B57" w14:textId="77777777" w:rsidR="00B0797A" w:rsidRPr="002D741C" w:rsidRDefault="00B0797A" w:rsidP="00C16E58">
      <w:pPr>
        <w:keepNext/>
        <w:widowControl w:val="0"/>
        <w:tabs>
          <w:tab w:val="left" w:pos="2552"/>
        </w:tabs>
        <w:rPr>
          <w:color w:val="000000"/>
          <w:sz w:val="22"/>
          <w:szCs w:val="22"/>
        </w:rPr>
      </w:pPr>
      <w:r w:rsidRPr="002D741C">
        <w:rPr>
          <w:color w:val="000000"/>
          <w:sz w:val="22"/>
          <w:szCs w:val="22"/>
        </w:rPr>
        <w:t>Contenido de la cápsula:</w:t>
      </w:r>
      <w:r w:rsidRPr="002D741C">
        <w:rPr>
          <w:color w:val="000000"/>
          <w:sz w:val="22"/>
          <w:szCs w:val="22"/>
        </w:rPr>
        <w:tab/>
        <w:t>Celulosa microcristalina</w:t>
      </w:r>
    </w:p>
    <w:p w14:paraId="5DEF0FD3" w14:textId="77777777" w:rsidR="00B0797A" w:rsidRPr="002D741C" w:rsidRDefault="00B0797A" w:rsidP="00C16E58">
      <w:pPr>
        <w:keepNext/>
        <w:widowControl w:val="0"/>
        <w:ind w:left="2552"/>
        <w:rPr>
          <w:color w:val="000000"/>
          <w:sz w:val="22"/>
          <w:szCs w:val="22"/>
        </w:rPr>
      </w:pPr>
      <w:r w:rsidRPr="002D741C">
        <w:rPr>
          <w:color w:val="000000"/>
          <w:sz w:val="22"/>
          <w:szCs w:val="22"/>
        </w:rPr>
        <w:t>Crospovidona</w:t>
      </w:r>
    </w:p>
    <w:p w14:paraId="373F0CD6" w14:textId="77777777" w:rsidR="00B0797A" w:rsidRPr="002D741C" w:rsidRDefault="00B0797A" w:rsidP="00B0797A">
      <w:pPr>
        <w:widowControl w:val="0"/>
        <w:ind w:left="2552"/>
        <w:rPr>
          <w:color w:val="000000"/>
          <w:sz w:val="22"/>
          <w:szCs w:val="22"/>
        </w:rPr>
      </w:pPr>
      <w:r w:rsidRPr="002D741C">
        <w:rPr>
          <w:color w:val="000000"/>
          <w:sz w:val="22"/>
          <w:szCs w:val="22"/>
        </w:rPr>
        <w:t>Estearato de magnesio</w:t>
      </w:r>
    </w:p>
    <w:p w14:paraId="08DC38E6" w14:textId="77777777" w:rsidR="00B0797A" w:rsidRPr="002D741C" w:rsidRDefault="00B0797A" w:rsidP="00B0797A">
      <w:pPr>
        <w:widowControl w:val="0"/>
        <w:ind w:left="2552"/>
        <w:rPr>
          <w:color w:val="000000"/>
          <w:sz w:val="22"/>
          <w:szCs w:val="22"/>
        </w:rPr>
      </w:pPr>
      <w:r w:rsidRPr="002D741C">
        <w:rPr>
          <w:color w:val="000000"/>
          <w:sz w:val="22"/>
          <w:szCs w:val="22"/>
        </w:rPr>
        <w:t>Sílice coloidal anhidra</w:t>
      </w:r>
    </w:p>
    <w:p w14:paraId="037F8A27" w14:textId="77777777" w:rsidR="00B0797A" w:rsidRPr="002D741C" w:rsidRDefault="00B0797A" w:rsidP="00B0797A">
      <w:pPr>
        <w:widowControl w:val="0"/>
        <w:rPr>
          <w:color w:val="000000"/>
          <w:sz w:val="22"/>
          <w:szCs w:val="22"/>
        </w:rPr>
      </w:pPr>
    </w:p>
    <w:p w14:paraId="4EE3AF4B" w14:textId="77777777" w:rsidR="00B0797A" w:rsidRPr="002D741C" w:rsidRDefault="00B0797A" w:rsidP="00C16E58">
      <w:pPr>
        <w:keepNext/>
        <w:widowControl w:val="0"/>
        <w:tabs>
          <w:tab w:val="left" w:pos="2552"/>
        </w:tabs>
        <w:rPr>
          <w:color w:val="000000"/>
          <w:sz w:val="22"/>
          <w:szCs w:val="22"/>
        </w:rPr>
      </w:pPr>
      <w:r w:rsidRPr="002D741C">
        <w:rPr>
          <w:color w:val="000000"/>
          <w:sz w:val="22"/>
          <w:szCs w:val="22"/>
        </w:rPr>
        <w:t>Cubierta de la cápsula:</w:t>
      </w:r>
      <w:r w:rsidRPr="002D741C">
        <w:rPr>
          <w:color w:val="000000"/>
          <w:sz w:val="22"/>
          <w:szCs w:val="22"/>
        </w:rPr>
        <w:tab/>
        <w:t>Gelatina</w:t>
      </w:r>
    </w:p>
    <w:p w14:paraId="0FC8A1C5" w14:textId="77777777" w:rsidR="00B0797A" w:rsidRPr="002D741C" w:rsidRDefault="00B0797A" w:rsidP="00C16E58">
      <w:pPr>
        <w:keepNext/>
        <w:widowControl w:val="0"/>
        <w:ind w:left="2552"/>
        <w:rPr>
          <w:color w:val="000000"/>
          <w:sz w:val="22"/>
          <w:szCs w:val="22"/>
          <w:lang w:val="pt-BR"/>
        </w:rPr>
      </w:pPr>
      <w:r w:rsidRPr="002D741C">
        <w:rPr>
          <w:color w:val="000000"/>
          <w:sz w:val="22"/>
          <w:szCs w:val="22"/>
          <w:lang w:val="pt-BR"/>
        </w:rPr>
        <w:t>Rojo óxido de hierro (E172)</w:t>
      </w:r>
    </w:p>
    <w:p w14:paraId="1EF2CE06" w14:textId="77777777" w:rsidR="00B0797A" w:rsidRPr="002D741C" w:rsidRDefault="00B0797A" w:rsidP="00B3692A">
      <w:pPr>
        <w:keepNext/>
        <w:widowControl w:val="0"/>
        <w:ind w:left="2552"/>
        <w:rPr>
          <w:color w:val="000000"/>
          <w:sz w:val="22"/>
          <w:szCs w:val="22"/>
          <w:lang w:val="pt-BR"/>
        </w:rPr>
      </w:pPr>
      <w:r w:rsidRPr="002D741C">
        <w:rPr>
          <w:color w:val="000000"/>
          <w:sz w:val="22"/>
          <w:szCs w:val="22"/>
          <w:lang w:val="pt-BR"/>
        </w:rPr>
        <w:t>Amarillo óxido de hierro (E172)</w:t>
      </w:r>
    </w:p>
    <w:p w14:paraId="63D66C48" w14:textId="77777777" w:rsidR="00B0797A" w:rsidRPr="002D741C" w:rsidRDefault="00B0797A" w:rsidP="00B0797A">
      <w:pPr>
        <w:widowControl w:val="0"/>
        <w:ind w:left="2552"/>
        <w:rPr>
          <w:color w:val="000000"/>
          <w:sz w:val="22"/>
          <w:szCs w:val="22"/>
          <w:lang w:val="pt-BR"/>
        </w:rPr>
      </w:pPr>
      <w:r w:rsidRPr="002D741C">
        <w:rPr>
          <w:color w:val="000000"/>
          <w:sz w:val="22"/>
          <w:szCs w:val="22"/>
          <w:lang w:val="pt-BR"/>
        </w:rPr>
        <w:t>Dióxido de titanio (E171)</w:t>
      </w:r>
    </w:p>
    <w:p w14:paraId="3404F786" w14:textId="77777777" w:rsidR="00B0797A" w:rsidRPr="002D741C" w:rsidRDefault="00B0797A" w:rsidP="00B0797A">
      <w:pPr>
        <w:widowControl w:val="0"/>
        <w:rPr>
          <w:color w:val="000000"/>
          <w:sz w:val="22"/>
          <w:szCs w:val="22"/>
          <w:lang w:val="pt-BR"/>
        </w:rPr>
      </w:pPr>
    </w:p>
    <w:p w14:paraId="3D98A2B3" w14:textId="77777777" w:rsidR="00B0797A" w:rsidRPr="002D741C" w:rsidRDefault="00B0797A" w:rsidP="00B3692A">
      <w:pPr>
        <w:keepNext/>
        <w:widowControl w:val="0"/>
        <w:tabs>
          <w:tab w:val="left" w:pos="2552"/>
        </w:tabs>
        <w:rPr>
          <w:color w:val="000000"/>
          <w:sz w:val="22"/>
          <w:szCs w:val="22"/>
          <w:lang w:val="pt-BR"/>
        </w:rPr>
      </w:pPr>
      <w:r w:rsidRPr="002D741C">
        <w:rPr>
          <w:color w:val="000000"/>
          <w:sz w:val="22"/>
          <w:szCs w:val="22"/>
          <w:lang w:val="pt-BR"/>
        </w:rPr>
        <w:t>Tinta de impresión:</w:t>
      </w:r>
      <w:r w:rsidRPr="002D741C">
        <w:rPr>
          <w:color w:val="000000"/>
          <w:sz w:val="22"/>
          <w:szCs w:val="22"/>
          <w:lang w:val="pt-BR"/>
        </w:rPr>
        <w:tab/>
        <w:t>Rojo óxido de hierro (E172)</w:t>
      </w:r>
    </w:p>
    <w:p w14:paraId="23A690C2" w14:textId="77777777" w:rsidR="00B0797A" w:rsidRPr="002D741C" w:rsidRDefault="00B0797A" w:rsidP="00B0797A">
      <w:pPr>
        <w:widowControl w:val="0"/>
        <w:ind w:left="2552"/>
        <w:rPr>
          <w:color w:val="000000"/>
          <w:sz w:val="22"/>
          <w:szCs w:val="22"/>
          <w:lang w:val="pt-BR"/>
        </w:rPr>
      </w:pPr>
      <w:r w:rsidRPr="002D741C">
        <w:rPr>
          <w:color w:val="000000"/>
          <w:sz w:val="22"/>
          <w:szCs w:val="22"/>
          <w:lang w:val="pt-BR"/>
        </w:rPr>
        <w:t>Shellac</w:t>
      </w:r>
    </w:p>
    <w:p w14:paraId="480C3340" w14:textId="77777777" w:rsidR="002626B2" w:rsidRPr="002D741C" w:rsidRDefault="002626B2" w:rsidP="001A2F33">
      <w:pPr>
        <w:widowControl w:val="0"/>
        <w:rPr>
          <w:color w:val="000000"/>
          <w:sz w:val="22"/>
          <w:szCs w:val="22"/>
        </w:rPr>
      </w:pPr>
    </w:p>
    <w:p w14:paraId="1716F0C0" w14:textId="77777777" w:rsidR="002626B2" w:rsidRPr="002D741C" w:rsidRDefault="002626B2" w:rsidP="00B3692A">
      <w:pPr>
        <w:keepNext/>
        <w:widowControl w:val="0"/>
        <w:ind w:left="567" w:hanging="567"/>
        <w:rPr>
          <w:color w:val="000000"/>
          <w:sz w:val="22"/>
          <w:szCs w:val="22"/>
        </w:rPr>
      </w:pPr>
      <w:r w:rsidRPr="002D741C">
        <w:rPr>
          <w:b/>
          <w:color w:val="000000"/>
          <w:sz w:val="22"/>
          <w:szCs w:val="22"/>
        </w:rPr>
        <w:t>6.2</w:t>
      </w:r>
      <w:r w:rsidRPr="002D741C">
        <w:rPr>
          <w:b/>
          <w:color w:val="000000"/>
          <w:sz w:val="22"/>
          <w:szCs w:val="22"/>
        </w:rPr>
        <w:tab/>
        <w:t>Incompatibilidades</w:t>
      </w:r>
    </w:p>
    <w:p w14:paraId="661EA8B3" w14:textId="77777777" w:rsidR="002626B2" w:rsidRPr="002D741C" w:rsidRDefault="002626B2" w:rsidP="00B3692A">
      <w:pPr>
        <w:keepNext/>
        <w:widowControl w:val="0"/>
        <w:rPr>
          <w:color w:val="000000"/>
          <w:sz w:val="22"/>
          <w:szCs w:val="22"/>
        </w:rPr>
      </w:pPr>
    </w:p>
    <w:p w14:paraId="413AC8A6" w14:textId="77777777" w:rsidR="002626B2" w:rsidRPr="002D741C" w:rsidRDefault="002626B2" w:rsidP="00F00735">
      <w:pPr>
        <w:widowControl w:val="0"/>
        <w:rPr>
          <w:color w:val="000000"/>
          <w:sz w:val="22"/>
          <w:szCs w:val="22"/>
        </w:rPr>
      </w:pPr>
      <w:r w:rsidRPr="002D741C">
        <w:rPr>
          <w:color w:val="000000"/>
          <w:sz w:val="22"/>
          <w:szCs w:val="22"/>
        </w:rPr>
        <w:t xml:space="preserve">No </w:t>
      </w:r>
      <w:r w:rsidR="00F00735" w:rsidRPr="002D741C">
        <w:rPr>
          <w:color w:val="000000"/>
          <w:sz w:val="22"/>
          <w:szCs w:val="22"/>
        </w:rPr>
        <w:t>procede</w:t>
      </w:r>
      <w:r w:rsidRPr="002D741C">
        <w:rPr>
          <w:color w:val="000000"/>
          <w:sz w:val="22"/>
          <w:szCs w:val="22"/>
        </w:rPr>
        <w:t>.</w:t>
      </w:r>
    </w:p>
    <w:p w14:paraId="0730582F" w14:textId="77777777" w:rsidR="002626B2" w:rsidRPr="002D741C" w:rsidRDefault="002626B2" w:rsidP="001A2F33">
      <w:pPr>
        <w:pStyle w:val="EndnoteText"/>
        <w:widowControl w:val="0"/>
        <w:tabs>
          <w:tab w:val="clear" w:pos="567"/>
        </w:tabs>
        <w:rPr>
          <w:color w:val="000000"/>
          <w:szCs w:val="22"/>
          <w:lang w:val="es-ES"/>
        </w:rPr>
      </w:pPr>
    </w:p>
    <w:p w14:paraId="64B3A850" w14:textId="77777777" w:rsidR="002626B2" w:rsidRPr="002D741C" w:rsidRDefault="002626B2" w:rsidP="00B3692A">
      <w:pPr>
        <w:keepNext/>
        <w:widowControl w:val="0"/>
        <w:ind w:left="567" w:hanging="567"/>
        <w:rPr>
          <w:color w:val="000000"/>
          <w:sz w:val="22"/>
          <w:szCs w:val="22"/>
        </w:rPr>
      </w:pPr>
      <w:r w:rsidRPr="002D741C">
        <w:rPr>
          <w:b/>
          <w:color w:val="000000"/>
          <w:sz w:val="22"/>
          <w:szCs w:val="22"/>
        </w:rPr>
        <w:t>6.3</w:t>
      </w:r>
      <w:r w:rsidRPr="002D741C">
        <w:rPr>
          <w:b/>
          <w:color w:val="000000"/>
          <w:sz w:val="22"/>
          <w:szCs w:val="22"/>
        </w:rPr>
        <w:tab/>
        <w:t>Periodo de validez</w:t>
      </w:r>
    </w:p>
    <w:p w14:paraId="5B4CE977" w14:textId="77777777" w:rsidR="002626B2" w:rsidRPr="002D741C" w:rsidRDefault="002626B2" w:rsidP="00B3692A">
      <w:pPr>
        <w:keepNext/>
        <w:widowControl w:val="0"/>
        <w:rPr>
          <w:color w:val="000000"/>
          <w:sz w:val="22"/>
          <w:szCs w:val="22"/>
        </w:rPr>
      </w:pPr>
    </w:p>
    <w:p w14:paraId="30A5635B" w14:textId="77777777" w:rsidR="002626B2" w:rsidRPr="002D741C" w:rsidRDefault="002626B2" w:rsidP="001A2F33">
      <w:pPr>
        <w:pStyle w:val="EndnoteText"/>
        <w:widowControl w:val="0"/>
        <w:tabs>
          <w:tab w:val="clear" w:pos="567"/>
        </w:tabs>
        <w:rPr>
          <w:color w:val="000000"/>
          <w:szCs w:val="22"/>
          <w:lang w:val="es-ES"/>
        </w:rPr>
      </w:pPr>
      <w:r w:rsidRPr="002D741C">
        <w:rPr>
          <w:color w:val="000000"/>
          <w:szCs w:val="22"/>
          <w:lang w:val="es-ES"/>
        </w:rPr>
        <w:t>2</w:t>
      </w:r>
      <w:r w:rsidR="00DF063A" w:rsidRPr="002D741C">
        <w:rPr>
          <w:color w:val="000000"/>
          <w:szCs w:val="22"/>
          <w:lang w:val="es-ES"/>
        </w:rPr>
        <w:t> </w:t>
      </w:r>
      <w:r w:rsidRPr="002D741C">
        <w:rPr>
          <w:color w:val="000000"/>
          <w:szCs w:val="22"/>
          <w:lang w:val="es-ES"/>
        </w:rPr>
        <w:t>años.</w:t>
      </w:r>
    </w:p>
    <w:p w14:paraId="53E16DD4" w14:textId="77777777" w:rsidR="002626B2" w:rsidRPr="002D741C" w:rsidRDefault="002626B2" w:rsidP="001A2F33">
      <w:pPr>
        <w:pStyle w:val="EndnoteText"/>
        <w:widowControl w:val="0"/>
        <w:tabs>
          <w:tab w:val="clear" w:pos="567"/>
        </w:tabs>
        <w:rPr>
          <w:color w:val="000000"/>
          <w:szCs w:val="22"/>
          <w:lang w:val="es-ES"/>
        </w:rPr>
      </w:pPr>
    </w:p>
    <w:p w14:paraId="0A3F3AB5" w14:textId="77777777" w:rsidR="002626B2" w:rsidRPr="002D741C" w:rsidRDefault="002626B2" w:rsidP="00B3692A">
      <w:pPr>
        <w:keepNext/>
        <w:widowControl w:val="0"/>
        <w:ind w:left="567" w:hanging="567"/>
        <w:rPr>
          <w:color w:val="000000"/>
          <w:sz w:val="22"/>
          <w:szCs w:val="22"/>
        </w:rPr>
      </w:pPr>
      <w:r w:rsidRPr="002D741C">
        <w:rPr>
          <w:b/>
          <w:color w:val="000000"/>
          <w:sz w:val="22"/>
          <w:szCs w:val="22"/>
        </w:rPr>
        <w:lastRenderedPageBreak/>
        <w:t>6.4</w:t>
      </w:r>
      <w:r w:rsidRPr="002D741C">
        <w:rPr>
          <w:b/>
          <w:color w:val="000000"/>
          <w:sz w:val="22"/>
          <w:szCs w:val="22"/>
        </w:rPr>
        <w:tab/>
        <w:t>Precauciones especiales de conservación</w:t>
      </w:r>
    </w:p>
    <w:p w14:paraId="36BBD951" w14:textId="77777777" w:rsidR="002626B2" w:rsidRPr="002D741C" w:rsidRDefault="002626B2" w:rsidP="00B3692A">
      <w:pPr>
        <w:keepNext/>
        <w:widowControl w:val="0"/>
        <w:rPr>
          <w:color w:val="000000"/>
          <w:sz w:val="22"/>
          <w:szCs w:val="22"/>
        </w:rPr>
      </w:pPr>
    </w:p>
    <w:p w14:paraId="5F8CCEAB" w14:textId="77777777" w:rsidR="002626B2" w:rsidRPr="002D741C" w:rsidRDefault="002626B2" w:rsidP="001A2F33">
      <w:pPr>
        <w:widowControl w:val="0"/>
        <w:rPr>
          <w:color w:val="000000"/>
          <w:sz w:val="22"/>
          <w:szCs w:val="22"/>
        </w:rPr>
      </w:pPr>
      <w:r w:rsidRPr="002D741C">
        <w:rPr>
          <w:color w:val="000000"/>
          <w:sz w:val="22"/>
          <w:szCs w:val="22"/>
        </w:rPr>
        <w:t xml:space="preserve">No conservar a temperatura superior a </w:t>
      </w:r>
      <w:smartTag w:uri="urn:schemas-microsoft-com:office:smarttags" w:element="metricconverter">
        <w:smartTagPr>
          <w:attr w:name="ProductID" w:val="30ﾰC"/>
        </w:smartTagPr>
        <w:r w:rsidRPr="002D741C">
          <w:rPr>
            <w:color w:val="000000"/>
            <w:sz w:val="22"/>
            <w:szCs w:val="22"/>
          </w:rPr>
          <w:t>30°C</w:t>
        </w:r>
      </w:smartTag>
      <w:r w:rsidRPr="002D741C">
        <w:rPr>
          <w:color w:val="000000"/>
          <w:sz w:val="22"/>
          <w:szCs w:val="22"/>
        </w:rPr>
        <w:t>.</w:t>
      </w:r>
    </w:p>
    <w:p w14:paraId="37E15295" w14:textId="77777777" w:rsidR="002626B2" w:rsidRPr="002D741C" w:rsidRDefault="002626B2" w:rsidP="001A2F33">
      <w:pPr>
        <w:pStyle w:val="EndnoteText"/>
        <w:widowControl w:val="0"/>
        <w:tabs>
          <w:tab w:val="clear" w:pos="567"/>
        </w:tabs>
        <w:rPr>
          <w:color w:val="000000"/>
          <w:szCs w:val="22"/>
          <w:lang w:val="es-ES"/>
        </w:rPr>
      </w:pPr>
    </w:p>
    <w:p w14:paraId="5A29FD83" w14:textId="77777777" w:rsidR="002626B2" w:rsidRPr="002D741C" w:rsidRDefault="002626B2" w:rsidP="001A2F33">
      <w:pPr>
        <w:pStyle w:val="EndnoteText"/>
        <w:widowControl w:val="0"/>
        <w:tabs>
          <w:tab w:val="clear" w:pos="567"/>
        </w:tabs>
        <w:rPr>
          <w:color w:val="000000"/>
          <w:szCs w:val="22"/>
          <w:lang w:val="es-ES"/>
        </w:rPr>
      </w:pPr>
      <w:r w:rsidRPr="002D741C">
        <w:rPr>
          <w:color w:val="000000"/>
          <w:szCs w:val="22"/>
          <w:lang w:val="es-ES"/>
        </w:rPr>
        <w:t>Conservar</w:t>
      </w:r>
      <w:r w:rsidRPr="002D741C">
        <w:rPr>
          <w:b/>
          <w:color w:val="000000"/>
          <w:szCs w:val="22"/>
          <w:lang w:val="es-ES"/>
        </w:rPr>
        <w:t xml:space="preserve"> </w:t>
      </w:r>
      <w:r w:rsidRPr="002D741C">
        <w:rPr>
          <w:color w:val="000000"/>
          <w:szCs w:val="22"/>
          <w:lang w:val="es-ES"/>
        </w:rPr>
        <w:t>en el embalaje original</w:t>
      </w:r>
      <w:r w:rsidR="00B37D06" w:rsidRPr="002D741C">
        <w:rPr>
          <w:color w:val="000000"/>
          <w:szCs w:val="22"/>
          <w:lang w:val="es-ES"/>
        </w:rPr>
        <w:t xml:space="preserve"> para protegerlo de la humedad</w:t>
      </w:r>
      <w:r w:rsidRPr="002D741C">
        <w:rPr>
          <w:color w:val="000000"/>
          <w:szCs w:val="22"/>
          <w:lang w:val="es-ES"/>
        </w:rPr>
        <w:t>.</w:t>
      </w:r>
    </w:p>
    <w:p w14:paraId="17EF6D33" w14:textId="77777777" w:rsidR="002626B2" w:rsidRPr="002D741C" w:rsidRDefault="002626B2" w:rsidP="001A2F33">
      <w:pPr>
        <w:widowControl w:val="0"/>
        <w:rPr>
          <w:color w:val="000000"/>
          <w:sz w:val="22"/>
          <w:szCs w:val="22"/>
        </w:rPr>
      </w:pPr>
    </w:p>
    <w:p w14:paraId="573CF280" w14:textId="77777777" w:rsidR="002626B2" w:rsidRPr="002D741C" w:rsidRDefault="005B76AA" w:rsidP="00B3692A">
      <w:pPr>
        <w:keepNext/>
        <w:widowControl w:val="0"/>
        <w:ind w:left="567" w:hanging="567"/>
        <w:rPr>
          <w:b/>
          <w:color w:val="000000"/>
          <w:sz w:val="22"/>
          <w:szCs w:val="22"/>
        </w:rPr>
      </w:pPr>
      <w:r w:rsidRPr="002D741C">
        <w:rPr>
          <w:b/>
          <w:color w:val="000000"/>
          <w:sz w:val="22"/>
          <w:szCs w:val="22"/>
        </w:rPr>
        <w:t>6.5</w:t>
      </w:r>
      <w:r w:rsidRPr="002D741C">
        <w:rPr>
          <w:b/>
          <w:color w:val="000000"/>
          <w:sz w:val="22"/>
          <w:szCs w:val="22"/>
        </w:rPr>
        <w:tab/>
      </w:r>
      <w:r w:rsidR="002626B2" w:rsidRPr="002D741C">
        <w:rPr>
          <w:b/>
          <w:color w:val="000000"/>
          <w:sz w:val="22"/>
          <w:szCs w:val="22"/>
        </w:rPr>
        <w:t xml:space="preserve">Naturaleza y contenido del </w:t>
      </w:r>
      <w:r w:rsidR="0015777F" w:rsidRPr="002D741C">
        <w:rPr>
          <w:b/>
          <w:color w:val="000000"/>
          <w:sz w:val="22"/>
          <w:szCs w:val="22"/>
        </w:rPr>
        <w:t>envase</w:t>
      </w:r>
    </w:p>
    <w:p w14:paraId="58300273" w14:textId="77777777" w:rsidR="002626B2" w:rsidRPr="002D741C" w:rsidRDefault="002626B2" w:rsidP="00B3692A">
      <w:pPr>
        <w:keepNext/>
        <w:widowControl w:val="0"/>
        <w:rPr>
          <w:color w:val="000000"/>
          <w:sz w:val="22"/>
          <w:szCs w:val="22"/>
        </w:rPr>
      </w:pPr>
    </w:p>
    <w:p w14:paraId="44DAC979" w14:textId="77777777" w:rsidR="002626B2" w:rsidRPr="002D741C" w:rsidRDefault="002626B2" w:rsidP="001A2F33">
      <w:pPr>
        <w:widowControl w:val="0"/>
        <w:rPr>
          <w:color w:val="000000"/>
          <w:sz w:val="22"/>
          <w:szCs w:val="22"/>
        </w:rPr>
      </w:pPr>
      <w:r w:rsidRPr="002D741C">
        <w:rPr>
          <w:color w:val="000000"/>
          <w:sz w:val="22"/>
          <w:szCs w:val="22"/>
        </w:rPr>
        <w:t>Blister de PVC/aluminio.</w:t>
      </w:r>
    </w:p>
    <w:p w14:paraId="186FFCAE" w14:textId="77777777" w:rsidR="002626B2" w:rsidRPr="002D741C" w:rsidRDefault="002626B2" w:rsidP="001A2F33">
      <w:pPr>
        <w:widowControl w:val="0"/>
        <w:rPr>
          <w:color w:val="000000"/>
          <w:sz w:val="22"/>
          <w:szCs w:val="22"/>
        </w:rPr>
      </w:pPr>
    </w:p>
    <w:p w14:paraId="06522203" w14:textId="77777777" w:rsidR="00B0797A" w:rsidRPr="002D741C" w:rsidRDefault="00B0797A" w:rsidP="00B0797A">
      <w:pPr>
        <w:pStyle w:val="EndnoteText"/>
        <w:widowControl w:val="0"/>
        <w:tabs>
          <w:tab w:val="clear" w:pos="567"/>
        </w:tabs>
        <w:rPr>
          <w:color w:val="000000"/>
          <w:szCs w:val="22"/>
          <w:lang w:val="es-ES"/>
        </w:rPr>
      </w:pPr>
      <w:r w:rsidRPr="002D741C">
        <w:rPr>
          <w:color w:val="000000"/>
          <w:szCs w:val="22"/>
          <w:lang w:val="es-ES"/>
        </w:rPr>
        <w:t xml:space="preserve">Envases </w:t>
      </w:r>
      <w:r w:rsidR="00F53D23" w:rsidRPr="002D741C">
        <w:rPr>
          <w:color w:val="000000"/>
          <w:szCs w:val="22"/>
          <w:lang w:val="es-ES"/>
        </w:rPr>
        <w:t>que contienen</w:t>
      </w:r>
      <w:r w:rsidRPr="002D741C">
        <w:rPr>
          <w:color w:val="000000"/>
          <w:szCs w:val="22"/>
          <w:lang w:val="es-ES"/>
        </w:rPr>
        <w:t xml:space="preserve"> 24, 48, 96, 120 y 180 cápsulas.</w:t>
      </w:r>
    </w:p>
    <w:p w14:paraId="17EF93AD" w14:textId="77777777" w:rsidR="00B0797A" w:rsidRPr="002D741C" w:rsidRDefault="00B0797A" w:rsidP="00B0797A">
      <w:pPr>
        <w:pStyle w:val="EndnoteText"/>
        <w:widowControl w:val="0"/>
        <w:tabs>
          <w:tab w:val="clear" w:pos="567"/>
        </w:tabs>
        <w:rPr>
          <w:color w:val="000000"/>
          <w:szCs w:val="22"/>
          <w:lang w:val="es-ES"/>
        </w:rPr>
      </w:pPr>
    </w:p>
    <w:p w14:paraId="5D010B5E" w14:textId="77777777" w:rsidR="00B0797A" w:rsidRPr="002D741C" w:rsidRDefault="00B0797A" w:rsidP="001A2F33">
      <w:pPr>
        <w:widowControl w:val="0"/>
        <w:rPr>
          <w:color w:val="000000"/>
          <w:sz w:val="22"/>
          <w:szCs w:val="22"/>
          <w:lang w:val="es-ES"/>
        </w:rPr>
      </w:pPr>
      <w:r w:rsidRPr="002D741C">
        <w:rPr>
          <w:color w:val="000000"/>
          <w:sz w:val="22"/>
          <w:szCs w:val="22"/>
          <w:lang w:val="es-ES"/>
        </w:rPr>
        <w:t>Puede que solamente estén comercializados algunos tamaños de envases.</w:t>
      </w:r>
    </w:p>
    <w:p w14:paraId="0C1E05D8" w14:textId="77777777" w:rsidR="002626B2" w:rsidRPr="002D741C" w:rsidRDefault="002626B2" w:rsidP="001A2F33">
      <w:pPr>
        <w:widowControl w:val="0"/>
        <w:rPr>
          <w:color w:val="000000"/>
          <w:sz w:val="22"/>
          <w:szCs w:val="22"/>
        </w:rPr>
      </w:pPr>
    </w:p>
    <w:p w14:paraId="76D2EA22" w14:textId="77777777" w:rsidR="002626B2" w:rsidRPr="002D741C" w:rsidRDefault="002626B2" w:rsidP="00B3692A">
      <w:pPr>
        <w:keepNext/>
        <w:widowControl w:val="0"/>
        <w:ind w:left="567" w:hanging="567"/>
        <w:rPr>
          <w:color w:val="000000"/>
          <w:sz w:val="22"/>
          <w:szCs w:val="22"/>
        </w:rPr>
      </w:pPr>
      <w:r w:rsidRPr="002D741C">
        <w:rPr>
          <w:b/>
          <w:color w:val="000000"/>
          <w:sz w:val="22"/>
          <w:szCs w:val="22"/>
        </w:rPr>
        <w:t>6.6</w:t>
      </w:r>
      <w:r w:rsidRPr="002D741C">
        <w:rPr>
          <w:b/>
          <w:color w:val="000000"/>
          <w:sz w:val="22"/>
          <w:szCs w:val="22"/>
        </w:rPr>
        <w:tab/>
      </w:r>
      <w:r w:rsidR="00480725" w:rsidRPr="002D741C">
        <w:rPr>
          <w:b/>
          <w:color w:val="000000"/>
          <w:sz w:val="22"/>
          <w:szCs w:val="22"/>
        </w:rPr>
        <w:t>Precauciones especiales de eliminación</w:t>
      </w:r>
    </w:p>
    <w:p w14:paraId="146D232C" w14:textId="77777777" w:rsidR="002626B2" w:rsidRPr="002D741C" w:rsidRDefault="002626B2" w:rsidP="00B3692A">
      <w:pPr>
        <w:pStyle w:val="EndnoteText"/>
        <w:keepNext/>
        <w:widowControl w:val="0"/>
        <w:tabs>
          <w:tab w:val="clear" w:pos="567"/>
        </w:tabs>
        <w:rPr>
          <w:color w:val="000000"/>
          <w:szCs w:val="22"/>
          <w:lang w:val="es-ES"/>
        </w:rPr>
      </w:pPr>
    </w:p>
    <w:p w14:paraId="39EB1C89" w14:textId="77777777" w:rsidR="002626B2" w:rsidRPr="002D741C" w:rsidRDefault="009A10C5" w:rsidP="001A2F33">
      <w:pPr>
        <w:pStyle w:val="EndnoteText"/>
        <w:widowControl w:val="0"/>
        <w:tabs>
          <w:tab w:val="clear" w:pos="567"/>
        </w:tabs>
        <w:rPr>
          <w:color w:val="000000"/>
          <w:szCs w:val="22"/>
          <w:lang w:val="es-ES"/>
        </w:rPr>
      </w:pPr>
      <w:r w:rsidRPr="002D741C">
        <w:rPr>
          <w:color w:val="000000"/>
          <w:szCs w:val="22"/>
          <w:lang w:val="es-ES"/>
        </w:rPr>
        <w:t xml:space="preserve">La eliminación del medicamento no utilizado </w:t>
      </w:r>
      <w:r w:rsidR="008851BB" w:rsidRPr="002D741C">
        <w:rPr>
          <w:color w:val="000000"/>
          <w:szCs w:val="22"/>
          <w:lang w:val="es-ES"/>
        </w:rPr>
        <w:t>y de todos los materiales que hayan estado en contacto con él se realizará de acuerdo con la normativa local.</w:t>
      </w:r>
    </w:p>
    <w:p w14:paraId="0BB28D8A" w14:textId="77777777" w:rsidR="002626B2" w:rsidRPr="002D741C" w:rsidRDefault="002626B2" w:rsidP="001A2F33">
      <w:pPr>
        <w:pStyle w:val="EndnoteText"/>
        <w:widowControl w:val="0"/>
        <w:tabs>
          <w:tab w:val="clear" w:pos="567"/>
        </w:tabs>
        <w:rPr>
          <w:color w:val="000000"/>
          <w:szCs w:val="22"/>
          <w:lang w:val="es-ES"/>
        </w:rPr>
      </w:pPr>
    </w:p>
    <w:p w14:paraId="5BEC8B79" w14:textId="77777777" w:rsidR="008677C0" w:rsidRPr="002D741C" w:rsidRDefault="008677C0" w:rsidP="001A2F33">
      <w:pPr>
        <w:pStyle w:val="EndnoteText"/>
        <w:widowControl w:val="0"/>
        <w:tabs>
          <w:tab w:val="clear" w:pos="567"/>
        </w:tabs>
        <w:rPr>
          <w:color w:val="000000"/>
          <w:szCs w:val="22"/>
          <w:lang w:val="es-ES"/>
        </w:rPr>
      </w:pPr>
    </w:p>
    <w:p w14:paraId="1CAF7E78" w14:textId="77777777" w:rsidR="002626B2" w:rsidRPr="002D741C" w:rsidRDefault="002626B2" w:rsidP="00B3692A">
      <w:pPr>
        <w:keepNext/>
        <w:widowControl w:val="0"/>
        <w:ind w:left="567" w:hanging="567"/>
        <w:rPr>
          <w:color w:val="000000"/>
          <w:sz w:val="22"/>
          <w:szCs w:val="22"/>
        </w:rPr>
      </w:pPr>
      <w:r w:rsidRPr="002D741C">
        <w:rPr>
          <w:b/>
          <w:color w:val="000000"/>
          <w:sz w:val="22"/>
          <w:szCs w:val="22"/>
        </w:rPr>
        <w:t>7.</w:t>
      </w:r>
      <w:r w:rsidRPr="002D741C">
        <w:rPr>
          <w:b/>
          <w:color w:val="000000"/>
          <w:sz w:val="22"/>
          <w:szCs w:val="22"/>
        </w:rPr>
        <w:tab/>
        <w:t>T</w:t>
      </w:r>
      <w:smartTag w:uri="urn:schemas-microsoft-com:office:smarttags" w:element="PersonName">
        <w:r w:rsidRPr="002D741C">
          <w:rPr>
            <w:b/>
            <w:color w:val="000000"/>
            <w:sz w:val="22"/>
            <w:szCs w:val="22"/>
          </w:rPr>
          <w:t>IT</w:t>
        </w:r>
      </w:smartTag>
      <w:r w:rsidRPr="002D741C">
        <w:rPr>
          <w:b/>
          <w:color w:val="000000"/>
          <w:sz w:val="22"/>
          <w:szCs w:val="22"/>
        </w:rPr>
        <w:t xml:space="preserve">ULAR </w:t>
      </w:r>
      <w:smartTag w:uri="urn:schemas-microsoft-com:office:smarttags" w:element="PersonName">
        <w:r w:rsidRPr="002D741C">
          <w:rPr>
            <w:b/>
            <w:color w:val="000000"/>
            <w:sz w:val="22"/>
            <w:szCs w:val="22"/>
          </w:rPr>
          <w:t>DE</w:t>
        </w:r>
      </w:smartTag>
      <w:r w:rsidRPr="002D741C">
        <w:rPr>
          <w:b/>
          <w:color w:val="000000"/>
          <w:sz w:val="22"/>
          <w:szCs w:val="22"/>
        </w:rPr>
        <w:t xml:space="preserve"> </w:t>
      </w:r>
      <w:smartTag w:uri="urn:schemas-microsoft-com:office:smarttags" w:element="PersonName">
        <w:smartTagPr>
          <w:attr w:name="ProductID" w:val="LA AUTORIZACIￓN DE"/>
        </w:smartTagPr>
        <w:r w:rsidRPr="002D741C">
          <w:rPr>
            <w:b/>
            <w:color w:val="000000"/>
            <w:sz w:val="22"/>
            <w:szCs w:val="22"/>
          </w:rPr>
          <w:t xml:space="preserve">LA AUTORIZACIÓN </w:t>
        </w:r>
        <w:smartTag w:uri="urn:schemas-microsoft-com:office:smarttags" w:element="PersonName">
          <w:r w:rsidRPr="002D741C">
            <w:rPr>
              <w:b/>
              <w:color w:val="000000"/>
              <w:sz w:val="22"/>
              <w:szCs w:val="22"/>
            </w:rPr>
            <w:t>DE</w:t>
          </w:r>
        </w:smartTag>
      </w:smartTag>
      <w:r w:rsidRPr="002D741C">
        <w:rPr>
          <w:b/>
          <w:color w:val="000000"/>
          <w:sz w:val="22"/>
          <w:szCs w:val="22"/>
        </w:rPr>
        <w:t xml:space="preserve"> COMERCIALIZACIÓN</w:t>
      </w:r>
    </w:p>
    <w:p w14:paraId="13938F73" w14:textId="77777777" w:rsidR="002626B2" w:rsidRPr="002D741C" w:rsidRDefault="002626B2" w:rsidP="00B3692A">
      <w:pPr>
        <w:pStyle w:val="EndnoteText"/>
        <w:keepNext/>
        <w:widowControl w:val="0"/>
        <w:tabs>
          <w:tab w:val="clear" w:pos="567"/>
        </w:tabs>
        <w:rPr>
          <w:color w:val="000000"/>
          <w:szCs w:val="22"/>
          <w:lang w:val="es-ES"/>
        </w:rPr>
      </w:pPr>
    </w:p>
    <w:p w14:paraId="1EF2D7B1" w14:textId="77777777" w:rsidR="002626B2" w:rsidRPr="002D741C" w:rsidRDefault="002626B2" w:rsidP="00B3692A">
      <w:pPr>
        <w:keepNext/>
        <w:widowControl w:val="0"/>
        <w:rPr>
          <w:color w:val="000000"/>
          <w:sz w:val="22"/>
          <w:szCs w:val="22"/>
          <w:lang w:val="en-US"/>
        </w:rPr>
      </w:pPr>
      <w:r w:rsidRPr="002D741C">
        <w:rPr>
          <w:color w:val="000000"/>
          <w:sz w:val="22"/>
          <w:szCs w:val="22"/>
          <w:lang w:val="en-US"/>
        </w:rPr>
        <w:t>Novartis Europharm Limited</w:t>
      </w:r>
    </w:p>
    <w:p w14:paraId="65495B85" w14:textId="77777777" w:rsidR="005127D7" w:rsidRPr="002D741C" w:rsidRDefault="005127D7" w:rsidP="005127D7">
      <w:pPr>
        <w:keepNext/>
        <w:widowControl w:val="0"/>
        <w:rPr>
          <w:color w:val="000000"/>
          <w:sz w:val="22"/>
          <w:szCs w:val="22"/>
          <w:lang w:val="en-US"/>
        </w:rPr>
      </w:pPr>
      <w:r w:rsidRPr="002D741C">
        <w:rPr>
          <w:color w:val="000000"/>
          <w:sz w:val="22"/>
          <w:szCs w:val="22"/>
          <w:lang w:val="en-US"/>
        </w:rPr>
        <w:t>Vista Building</w:t>
      </w:r>
    </w:p>
    <w:p w14:paraId="4A48DC53" w14:textId="77777777" w:rsidR="005127D7" w:rsidRPr="002D741C" w:rsidRDefault="005127D7" w:rsidP="005127D7">
      <w:pPr>
        <w:keepNext/>
        <w:widowControl w:val="0"/>
        <w:rPr>
          <w:color w:val="000000"/>
          <w:sz w:val="22"/>
          <w:szCs w:val="22"/>
          <w:lang w:val="en-US"/>
        </w:rPr>
      </w:pPr>
      <w:r w:rsidRPr="002D741C">
        <w:rPr>
          <w:color w:val="000000"/>
          <w:sz w:val="22"/>
          <w:szCs w:val="22"/>
          <w:lang w:val="en-US"/>
        </w:rPr>
        <w:t>Elm Park, Merrion Road</w:t>
      </w:r>
    </w:p>
    <w:p w14:paraId="68394247" w14:textId="77777777" w:rsidR="005127D7" w:rsidRPr="002D741C" w:rsidRDefault="005127D7" w:rsidP="005127D7">
      <w:pPr>
        <w:keepNext/>
        <w:widowControl w:val="0"/>
        <w:rPr>
          <w:color w:val="000000"/>
          <w:sz w:val="22"/>
          <w:szCs w:val="22"/>
        </w:rPr>
      </w:pPr>
      <w:r w:rsidRPr="002D741C">
        <w:rPr>
          <w:color w:val="000000"/>
          <w:sz w:val="22"/>
          <w:szCs w:val="22"/>
        </w:rPr>
        <w:t>Dublin 4</w:t>
      </w:r>
    </w:p>
    <w:p w14:paraId="77B08DBC" w14:textId="77777777" w:rsidR="005127D7" w:rsidRPr="002D741C" w:rsidRDefault="005127D7" w:rsidP="005127D7">
      <w:pPr>
        <w:rPr>
          <w:color w:val="000000"/>
          <w:sz w:val="22"/>
          <w:szCs w:val="22"/>
        </w:rPr>
      </w:pPr>
      <w:r w:rsidRPr="002D741C">
        <w:rPr>
          <w:color w:val="000000"/>
          <w:sz w:val="22"/>
          <w:szCs w:val="22"/>
        </w:rPr>
        <w:t>Irlanda</w:t>
      </w:r>
    </w:p>
    <w:p w14:paraId="4B3A4D5F" w14:textId="77777777" w:rsidR="002626B2" w:rsidRPr="002D741C" w:rsidRDefault="002626B2" w:rsidP="001A2F33">
      <w:pPr>
        <w:pStyle w:val="EndnoteText"/>
        <w:widowControl w:val="0"/>
        <w:tabs>
          <w:tab w:val="clear" w:pos="567"/>
        </w:tabs>
        <w:rPr>
          <w:color w:val="000000"/>
          <w:szCs w:val="22"/>
          <w:lang w:val="es-ES_tradnl"/>
        </w:rPr>
      </w:pPr>
    </w:p>
    <w:p w14:paraId="16B71AE4" w14:textId="77777777" w:rsidR="002626B2" w:rsidRPr="002D741C" w:rsidRDefault="002626B2" w:rsidP="001A2F33">
      <w:pPr>
        <w:pStyle w:val="EndnoteText"/>
        <w:widowControl w:val="0"/>
        <w:tabs>
          <w:tab w:val="clear" w:pos="567"/>
        </w:tabs>
        <w:rPr>
          <w:color w:val="000000"/>
          <w:szCs w:val="22"/>
          <w:lang w:val="es-ES_tradnl"/>
        </w:rPr>
      </w:pPr>
    </w:p>
    <w:p w14:paraId="098F6D74" w14:textId="77777777" w:rsidR="002626B2" w:rsidRPr="002D741C" w:rsidRDefault="002626B2" w:rsidP="00B3692A">
      <w:pPr>
        <w:pStyle w:val="BodyTextIndent"/>
        <w:keepNext/>
        <w:widowControl w:val="0"/>
        <w:rPr>
          <w:color w:val="000000"/>
          <w:szCs w:val="22"/>
          <w:lang w:val="es-ES"/>
        </w:rPr>
      </w:pPr>
      <w:r w:rsidRPr="002D741C">
        <w:rPr>
          <w:color w:val="000000"/>
          <w:szCs w:val="22"/>
          <w:lang w:val="es-ES"/>
        </w:rPr>
        <w:t>8.</w:t>
      </w:r>
      <w:r w:rsidRPr="002D741C">
        <w:rPr>
          <w:color w:val="000000"/>
          <w:szCs w:val="22"/>
          <w:lang w:val="es-ES"/>
        </w:rPr>
        <w:tab/>
        <w:t>NÚME</w:t>
      </w:r>
      <w:smartTag w:uri="urn:schemas-microsoft-com:office:smarttags" w:element="PersonName">
        <w:r w:rsidRPr="002D741C">
          <w:rPr>
            <w:color w:val="000000"/>
            <w:szCs w:val="22"/>
            <w:lang w:val="es-ES"/>
          </w:rPr>
          <w:t>RO</w:t>
        </w:r>
      </w:smartTag>
      <w:r w:rsidRPr="002D741C">
        <w:rPr>
          <w:color w:val="000000"/>
          <w:szCs w:val="22"/>
          <w:lang w:val="es-ES"/>
        </w:rPr>
        <w:t xml:space="preserve">(S) </w:t>
      </w:r>
      <w:smartTag w:uri="urn:schemas-microsoft-com:office:smarttags" w:element="PersonName">
        <w:r w:rsidRPr="002D741C">
          <w:rPr>
            <w:color w:val="000000"/>
            <w:szCs w:val="22"/>
            <w:lang w:val="es-ES"/>
          </w:rPr>
          <w:t>DE</w:t>
        </w:r>
      </w:smartTag>
      <w:r w:rsidRPr="002D741C">
        <w:rPr>
          <w:color w:val="000000"/>
          <w:szCs w:val="22"/>
          <w:lang w:val="es-ES"/>
        </w:rPr>
        <w:t xml:space="preserve"> AUTORIZACIÓN </w:t>
      </w:r>
      <w:smartTag w:uri="urn:schemas-microsoft-com:office:smarttags" w:element="PersonName">
        <w:r w:rsidRPr="002D741C">
          <w:rPr>
            <w:color w:val="000000"/>
            <w:szCs w:val="22"/>
            <w:lang w:val="es-ES"/>
          </w:rPr>
          <w:t>DE</w:t>
        </w:r>
      </w:smartTag>
      <w:r w:rsidRPr="002D741C">
        <w:rPr>
          <w:color w:val="000000"/>
          <w:szCs w:val="22"/>
          <w:lang w:val="es-ES"/>
        </w:rPr>
        <w:t xml:space="preserve"> COMERCIALIZACIÓN</w:t>
      </w:r>
    </w:p>
    <w:p w14:paraId="5E66BFB3" w14:textId="77777777" w:rsidR="002626B2" w:rsidRPr="002D741C" w:rsidRDefault="002626B2" w:rsidP="00B3692A">
      <w:pPr>
        <w:keepNext/>
        <w:widowControl w:val="0"/>
        <w:rPr>
          <w:color w:val="000000"/>
          <w:sz w:val="22"/>
          <w:szCs w:val="22"/>
        </w:rPr>
      </w:pPr>
    </w:p>
    <w:p w14:paraId="731F3BF2" w14:textId="77777777" w:rsidR="00B0797A" w:rsidRPr="002D741C" w:rsidRDefault="00B0797A" w:rsidP="00B0797A">
      <w:pPr>
        <w:widowControl w:val="0"/>
        <w:rPr>
          <w:color w:val="000000"/>
          <w:sz w:val="22"/>
          <w:szCs w:val="22"/>
        </w:rPr>
      </w:pPr>
      <w:r w:rsidRPr="002D741C">
        <w:rPr>
          <w:color w:val="000000"/>
          <w:sz w:val="22"/>
          <w:szCs w:val="22"/>
        </w:rPr>
        <w:t>EU/1/01/198/002-006</w:t>
      </w:r>
    </w:p>
    <w:p w14:paraId="104B98E5" w14:textId="77777777" w:rsidR="002626B2" w:rsidRPr="002D741C" w:rsidRDefault="002626B2" w:rsidP="001A2F33">
      <w:pPr>
        <w:widowControl w:val="0"/>
        <w:rPr>
          <w:color w:val="000000"/>
          <w:sz w:val="22"/>
          <w:szCs w:val="22"/>
        </w:rPr>
      </w:pPr>
    </w:p>
    <w:p w14:paraId="3F3544E9" w14:textId="77777777" w:rsidR="002626B2" w:rsidRPr="002D741C" w:rsidRDefault="002626B2" w:rsidP="001A2F33">
      <w:pPr>
        <w:widowControl w:val="0"/>
        <w:rPr>
          <w:color w:val="000000"/>
          <w:sz w:val="22"/>
          <w:szCs w:val="22"/>
        </w:rPr>
      </w:pPr>
    </w:p>
    <w:p w14:paraId="79A16F90" w14:textId="77777777" w:rsidR="002626B2" w:rsidRPr="002D741C" w:rsidRDefault="002626B2" w:rsidP="00B3692A">
      <w:pPr>
        <w:keepNext/>
        <w:widowControl w:val="0"/>
        <w:ind w:left="567" w:hanging="567"/>
        <w:rPr>
          <w:color w:val="000000"/>
          <w:sz w:val="22"/>
          <w:szCs w:val="22"/>
        </w:rPr>
      </w:pPr>
      <w:r w:rsidRPr="002D741C">
        <w:rPr>
          <w:b/>
          <w:color w:val="000000"/>
          <w:sz w:val="22"/>
          <w:szCs w:val="22"/>
        </w:rPr>
        <w:t>9.</w:t>
      </w:r>
      <w:r w:rsidRPr="002D741C">
        <w:rPr>
          <w:b/>
          <w:color w:val="000000"/>
          <w:sz w:val="22"/>
          <w:szCs w:val="22"/>
        </w:rPr>
        <w:tab/>
        <w:t xml:space="preserve">FECHA </w:t>
      </w:r>
      <w:smartTag w:uri="urn:schemas-microsoft-com:office:smarttags" w:element="PersonName">
        <w:r w:rsidRPr="002D741C">
          <w:rPr>
            <w:b/>
            <w:color w:val="000000"/>
            <w:sz w:val="22"/>
            <w:szCs w:val="22"/>
          </w:rPr>
          <w:t>DE</w:t>
        </w:r>
      </w:smartTag>
      <w:r w:rsidRPr="002D741C">
        <w:rPr>
          <w:b/>
          <w:color w:val="000000"/>
          <w:sz w:val="22"/>
          <w:szCs w:val="22"/>
        </w:rPr>
        <w:t xml:space="preserve"> </w:t>
      </w:r>
      <w:smartTag w:uri="urn:schemas-microsoft-com:office:smarttags" w:element="PersonName">
        <w:smartTagPr>
          <w:attr w:name="ProductID" w:val="LA PRIMERA AUTORIZACIￓN"/>
        </w:smartTagPr>
        <w:r w:rsidRPr="002D741C">
          <w:rPr>
            <w:b/>
            <w:color w:val="000000"/>
            <w:sz w:val="22"/>
            <w:szCs w:val="22"/>
          </w:rPr>
          <w:t>LA PRIMERA AUTORIZACIÓN</w:t>
        </w:r>
      </w:smartTag>
      <w:r w:rsidRPr="002D741C">
        <w:rPr>
          <w:b/>
          <w:color w:val="000000"/>
          <w:sz w:val="22"/>
          <w:szCs w:val="22"/>
        </w:rPr>
        <w:t>/RE</w:t>
      </w:r>
      <w:smartTag w:uri="urn:schemas-microsoft-com:office:smarttags" w:element="PersonName">
        <w:r w:rsidRPr="002D741C">
          <w:rPr>
            <w:b/>
            <w:color w:val="000000"/>
            <w:sz w:val="22"/>
            <w:szCs w:val="22"/>
          </w:rPr>
          <w:t>NO</w:t>
        </w:r>
      </w:smartTag>
      <w:r w:rsidRPr="002D741C">
        <w:rPr>
          <w:b/>
          <w:color w:val="000000"/>
          <w:sz w:val="22"/>
          <w:szCs w:val="22"/>
        </w:rPr>
        <w:t xml:space="preserve">VACIÓN </w:t>
      </w:r>
      <w:smartTag w:uri="urn:schemas-microsoft-com:office:smarttags" w:element="PersonName">
        <w:r w:rsidRPr="002D741C">
          <w:rPr>
            <w:b/>
            <w:color w:val="000000"/>
            <w:sz w:val="22"/>
            <w:szCs w:val="22"/>
          </w:rPr>
          <w:t>DE</w:t>
        </w:r>
      </w:smartTag>
      <w:r w:rsidRPr="002D741C">
        <w:rPr>
          <w:b/>
          <w:color w:val="000000"/>
          <w:sz w:val="22"/>
          <w:szCs w:val="22"/>
        </w:rPr>
        <w:t xml:space="preserve"> </w:t>
      </w:r>
      <w:smartTag w:uri="urn:schemas-microsoft-com:office:smarttags" w:element="PersonName">
        <w:smartTagPr>
          <w:attr w:name="ProductID" w:val="LA AUTORIZACIￓN"/>
        </w:smartTagPr>
        <w:r w:rsidRPr="002D741C">
          <w:rPr>
            <w:b/>
            <w:color w:val="000000"/>
            <w:sz w:val="22"/>
            <w:szCs w:val="22"/>
          </w:rPr>
          <w:t>LA AUTORIZACIÓN</w:t>
        </w:r>
      </w:smartTag>
    </w:p>
    <w:p w14:paraId="4141EE1C" w14:textId="77777777" w:rsidR="002626B2" w:rsidRPr="002D741C" w:rsidRDefault="002626B2" w:rsidP="00B3692A">
      <w:pPr>
        <w:keepNext/>
        <w:widowControl w:val="0"/>
        <w:rPr>
          <w:color w:val="000000"/>
          <w:sz w:val="22"/>
          <w:szCs w:val="22"/>
        </w:rPr>
      </w:pPr>
    </w:p>
    <w:p w14:paraId="19587952" w14:textId="77777777" w:rsidR="002626B2" w:rsidRPr="002D741C" w:rsidRDefault="00B37D06" w:rsidP="00B3692A">
      <w:pPr>
        <w:keepNext/>
        <w:widowControl w:val="0"/>
        <w:rPr>
          <w:color w:val="000000"/>
          <w:sz w:val="22"/>
          <w:szCs w:val="22"/>
        </w:rPr>
      </w:pPr>
      <w:r w:rsidRPr="002D741C">
        <w:rPr>
          <w:color w:val="000000"/>
          <w:sz w:val="22"/>
          <w:szCs w:val="22"/>
        </w:rPr>
        <w:t xml:space="preserve">Fecha de la primera autorización: </w:t>
      </w:r>
      <w:r w:rsidR="002626B2" w:rsidRPr="002D741C">
        <w:rPr>
          <w:color w:val="000000"/>
          <w:sz w:val="22"/>
          <w:szCs w:val="22"/>
        </w:rPr>
        <w:t>07</w:t>
      </w:r>
      <w:r w:rsidR="006D3553" w:rsidRPr="002D741C">
        <w:rPr>
          <w:color w:val="000000"/>
          <w:sz w:val="22"/>
          <w:szCs w:val="22"/>
        </w:rPr>
        <w:t xml:space="preserve"> Noviembre </w:t>
      </w:r>
      <w:r w:rsidR="002626B2" w:rsidRPr="002D741C">
        <w:rPr>
          <w:color w:val="000000"/>
          <w:sz w:val="22"/>
          <w:szCs w:val="22"/>
        </w:rPr>
        <w:t>2001</w:t>
      </w:r>
    </w:p>
    <w:p w14:paraId="72330DC3" w14:textId="77777777" w:rsidR="002626B2" w:rsidRPr="002D741C" w:rsidRDefault="00B37D06" w:rsidP="001A2F33">
      <w:pPr>
        <w:widowControl w:val="0"/>
        <w:rPr>
          <w:iCs/>
          <w:color w:val="000000"/>
          <w:sz w:val="22"/>
          <w:szCs w:val="22"/>
        </w:rPr>
      </w:pPr>
      <w:r w:rsidRPr="002D741C">
        <w:rPr>
          <w:color w:val="000000"/>
          <w:sz w:val="22"/>
          <w:szCs w:val="22"/>
          <w:lang w:val="es-ES"/>
        </w:rPr>
        <w:t xml:space="preserve">Fecha de la </w:t>
      </w:r>
      <w:r w:rsidR="006D3553" w:rsidRPr="002D741C">
        <w:rPr>
          <w:color w:val="000000"/>
          <w:sz w:val="22"/>
          <w:szCs w:val="22"/>
          <w:lang w:val="es-ES"/>
        </w:rPr>
        <w:t xml:space="preserve">última </w:t>
      </w:r>
      <w:r w:rsidRPr="002D741C">
        <w:rPr>
          <w:color w:val="000000"/>
          <w:sz w:val="22"/>
          <w:szCs w:val="22"/>
          <w:lang w:val="es-ES"/>
        </w:rPr>
        <w:t>renovación:</w:t>
      </w:r>
      <w:r w:rsidR="00287B47" w:rsidRPr="002D741C">
        <w:rPr>
          <w:color w:val="000000"/>
          <w:sz w:val="22"/>
          <w:szCs w:val="22"/>
          <w:lang w:val="es-ES"/>
        </w:rPr>
        <w:t xml:space="preserve"> 07</w:t>
      </w:r>
      <w:r w:rsidR="006D3553" w:rsidRPr="002D741C">
        <w:rPr>
          <w:color w:val="000000"/>
          <w:sz w:val="22"/>
          <w:szCs w:val="22"/>
          <w:lang w:val="es-ES"/>
        </w:rPr>
        <w:t xml:space="preserve"> Noviembre </w:t>
      </w:r>
      <w:r w:rsidR="00287B47" w:rsidRPr="002D741C">
        <w:rPr>
          <w:color w:val="000000"/>
          <w:sz w:val="22"/>
          <w:szCs w:val="22"/>
          <w:lang w:val="es-ES"/>
        </w:rPr>
        <w:t>2006</w:t>
      </w:r>
    </w:p>
    <w:p w14:paraId="2BA3DCEA" w14:textId="77777777" w:rsidR="002626B2" w:rsidRPr="002D741C" w:rsidRDefault="002626B2" w:rsidP="001A2F33">
      <w:pPr>
        <w:widowControl w:val="0"/>
        <w:rPr>
          <w:color w:val="000000"/>
          <w:sz w:val="22"/>
          <w:szCs w:val="22"/>
        </w:rPr>
      </w:pPr>
    </w:p>
    <w:p w14:paraId="485EC636" w14:textId="77777777" w:rsidR="008409F1" w:rsidRPr="002D741C" w:rsidRDefault="008409F1" w:rsidP="001A2F33">
      <w:pPr>
        <w:widowControl w:val="0"/>
        <w:rPr>
          <w:color w:val="000000"/>
          <w:sz w:val="22"/>
          <w:szCs w:val="22"/>
        </w:rPr>
      </w:pPr>
    </w:p>
    <w:p w14:paraId="76E6F136" w14:textId="77777777" w:rsidR="002626B2" w:rsidRPr="002D741C" w:rsidRDefault="002626B2" w:rsidP="001A2F33">
      <w:pPr>
        <w:widowControl w:val="0"/>
        <w:ind w:left="567" w:hanging="567"/>
        <w:rPr>
          <w:color w:val="000000"/>
          <w:sz w:val="22"/>
          <w:szCs w:val="22"/>
        </w:rPr>
      </w:pPr>
      <w:r w:rsidRPr="002D741C">
        <w:rPr>
          <w:b/>
          <w:color w:val="000000"/>
          <w:sz w:val="22"/>
          <w:szCs w:val="22"/>
        </w:rPr>
        <w:t>10.</w:t>
      </w:r>
      <w:r w:rsidRPr="002D741C">
        <w:rPr>
          <w:b/>
          <w:color w:val="000000"/>
          <w:sz w:val="22"/>
          <w:szCs w:val="22"/>
        </w:rPr>
        <w:tab/>
        <w:t xml:space="preserve">FECHA </w:t>
      </w:r>
      <w:smartTag w:uri="urn:schemas-microsoft-com:office:smarttags" w:element="PersonName">
        <w:r w:rsidRPr="002D741C">
          <w:rPr>
            <w:b/>
            <w:color w:val="000000"/>
            <w:sz w:val="22"/>
            <w:szCs w:val="22"/>
          </w:rPr>
          <w:t>DE</w:t>
        </w:r>
      </w:smartTag>
      <w:r w:rsidRPr="002D741C">
        <w:rPr>
          <w:b/>
          <w:color w:val="000000"/>
          <w:sz w:val="22"/>
          <w:szCs w:val="22"/>
        </w:rPr>
        <w:t xml:space="preserve"> </w:t>
      </w:r>
      <w:smartTag w:uri="urn:schemas-microsoft-com:office:smarttags" w:element="PersonName">
        <w:smartTagPr>
          <w:attr w:name="ProductID" w:val="LA REVISIￓN DEL"/>
        </w:smartTagPr>
        <w:r w:rsidRPr="002D741C">
          <w:rPr>
            <w:b/>
            <w:color w:val="000000"/>
            <w:sz w:val="22"/>
            <w:szCs w:val="22"/>
          </w:rPr>
          <w:t>LA REV</w:t>
        </w:r>
        <w:smartTag w:uri="urn:schemas-microsoft-com:office:smarttags" w:element="PersonName">
          <w:r w:rsidRPr="002D741C">
            <w:rPr>
              <w:b/>
              <w:color w:val="000000"/>
              <w:sz w:val="22"/>
              <w:szCs w:val="22"/>
            </w:rPr>
            <w:t>I</w:t>
          </w:r>
          <w:smartTag w:uri="urn:schemas-microsoft-com:office:smarttags" w:element="PersonName">
            <w:r w:rsidRPr="002D741C">
              <w:rPr>
                <w:b/>
                <w:color w:val="000000"/>
                <w:sz w:val="22"/>
                <w:szCs w:val="22"/>
              </w:rPr>
              <w:t>S</w:t>
            </w:r>
          </w:smartTag>
        </w:smartTag>
        <w:r w:rsidRPr="002D741C">
          <w:rPr>
            <w:b/>
            <w:color w:val="000000"/>
            <w:sz w:val="22"/>
            <w:szCs w:val="22"/>
          </w:rPr>
          <w:t xml:space="preserve">IÓN </w:t>
        </w:r>
        <w:smartTag w:uri="urn:schemas-microsoft-com:office:smarttags" w:element="stockticker">
          <w:smartTag w:uri="urn:schemas-microsoft-com:office:smarttags" w:element="PersonName">
            <w:r w:rsidRPr="002D741C">
              <w:rPr>
                <w:b/>
                <w:color w:val="000000"/>
                <w:sz w:val="22"/>
                <w:szCs w:val="22"/>
              </w:rPr>
              <w:t>D</w:t>
            </w:r>
            <w:smartTag w:uri="urn:schemas-microsoft-com:office:smarttags" w:element="PersonName">
              <w:r w:rsidRPr="002D741C">
                <w:rPr>
                  <w:b/>
                  <w:color w:val="000000"/>
                  <w:sz w:val="22"/>
                  <w:szCs w:val="22"/>
                </w:rPr>
                <w:t>E</w:t>
              </w:r>
            </w:smartTag>
          </w:smartTag>
          <w:r w:rsidRPr="002D741C">
            <w:rPr>
              <w:b/>
              <w:color w:val="000000"/>
              <w:sz w:val="22"/>
              <w:szCs w:val="22"/>
            </w:rPr>
            <w:t>L</w:t>
          </w:r>
        </w:smartTag>
      </w:smartTag>
      <w:r w:rsidRPr="002D741C">
        <w:rPr>
          <w:b/>
          <w:color w:val="000000"/>
          <w:sz w:val="22"/>
          <w:szCs w:val="22"/>
        </w:rPr>
        <w:t xml:space="preserve"> TEXTO</w:t>
      </w:r>
    </w:p>
    <w:p w14:paraId="14C09E87" w14:textId="77777777" w:rsidR="00F71026" w:rsidRPr="002D741C" w:rsidRDefault="00F71026" w:rsidP="00F53855">
      <w:pPr>
        <w:widowControl w:val="0"/>
        <w:ind w:left="567" w:hanging="567"/>
        <w:rPr>
          <w:color w:val="000000"/>
          <w:sz w:val="22"/>
          <w:szCs w:val="22"/>
        </w:rPr>
      </w:pPr>
    </w:p>
    <w:p w14:paraId="3C8E68E6" w14:textId="77777777" w:rsidR="00F71026" w:rsidRPr="002D741C" w:rsidRDefault="00F71026" w:rsidP="00F71026">
      <w:pPr>
        <w:widowControl w:val="0"/>
        <w:rPr>
          <w:color w:val="000000"/>
          <w:sz w:val="22"/>
          <w:szCs w:val="22"/>
        </w:rPr>
      </w:pPr>
    </w:p>
    <w:p w14:paraId="3E5B20D0" w14:textId="77777777" w:rsidR="00B45BBB" w:rsidRPr="002D741C" w:rsidRDefault="00F71026" w:rsidP="00F71026">
      <w:pPr>
        <w:widowControl w:val="0"/>
        <w:rPr>
          <w:noProof/>
          <w:color w:val="000000"/>
          <w:sz w:val="22"/>
          <w:szCs w:val="22"/>
        </w:rPr>
      </w:pPr>
      <w:r w:rsidRPr="002D741C">
        <w:rPr>
          <w:color w:val="000000"/>
          <w:sz w:val="22"/>
          <w:szCs w:val="22"/>
        </w:rPr>
        <w:t xml:space="preserve">La información detallada de este medicamento está disponible en la página web de </w:t>
      </w:r>
      <w:smartTag w:uri="urn:schemas-microsoft-com:office:smarttags" w:element="PersonName">
        <w:smartTagPr>
          <w:attr w:name="ProductID" w:val="la ￼￼￼￼Agencia Europea"/>
        </w:smartTagPr>
        <w:r w:rsidRPr="002D741C">
          <w:rPr>
            <w:color w:val="000000"/>
            <w:sz w:val="22"/>
            <w:szCs w:val="22"/>
          </w:rPr>
          <w:t>la Agencia Europea</w:t>
        </w:r>
      </w:smartTag>
      <w:r w:rsidRPr="002D741C">
        <w:rPr>
          <w:color w:val="000000"/>
          <w:sz w:val="22"/>
          <w:szCs w:val="22"/>
        </w:rPr>
        <w:t xml:space="preserve"> de Medicamentos </w:t>
      </w:r>
      <w:r w:rsidR="007C52AD" w:rsidRPr="002D741C">
        <w:rPr>
          <w:noProof/>
          <w:color w:val="000000"/>
          <w:sz w:val="22"/>
          <w:szCs w:val="22"/>
        </w:rPr>
        <w:t>http://www.ema.europa.eu</w:t>
      </w:r>
      <w:r w:rsidR="00EA6877" w:rsidRPr="002D741C">
        <w:rPr>
          <w:noProof/>
          <w:color w:val="000000"/>
          <w:sz w:val="22"/>
          <w:szCs w:val="22"/>
        </w:rPr>
        <w:t>.</w:t>
      </w:r>
    </w:p>
    <w:p w14:paraId="49069C8F" w14:textId="77777777" w:rsidR="00EA6877" w:rsidRPr="002D741C" w:rsidRDefault="00EA6877" w:rsidP="00F71026">
      <w:pPr>
        <w:widowControl w:val="0"/>
        <w:rPr>
          <w:color w:val="000000"/>
          <w:sz w:val="22"/>
          <w:szCs w:val="22"/>
        </w:rPr>
      </w:pPr>
    </w:p>
    <w:p w14:paraId="1DB1015A" w14:textId="77777777" w:rsidR="00536276" w:rsidRPr="002D741C" w:rsidRDefault="002626B2" w:rsidP="00536276">
      <w:pPr>
        <w:rPr>
          <w:sz w:val="22"/>
          <w:szCs w:val="22"/>
        </w:rPr>
      </w:pPr>
      <w:r w:rsidRPr="002D741C">
        <w:rPr>
          <w:b/>
          <w:color w:val="000000"/>
          <w:sz w:val="22"/>
          <w:szCs w:val="22"/>
        </w:rPr>
        <w:br w:type="page"/>
      </w:r>
      <w:r w:rsidR="00B34E6C" w:rsidRPr="002D741C">
        <w:rPr>
          <w:noProof/>
          <w:sz w:val="22"/>
          <w:szCs w:val="22"/>
          <w:lang w:val="en-GB" w:eastAsia="en-GB"/>
        </w:rPr>
        <w:lastRenderedPageBreak/>
        <w:drawing>
          <wp:inline distT="0" distB="0" distL="0" distR="0" wp14:anchorId="2AD415AF" wp14:editId="2550B58A">
            <wp:extent cx="198755" cy="174625"/>
            <wp:effectExtent l="0" t="0" r="0" b="0"/>
            <wp:docPr id="4" name="Picture 1" descr="C:\Users\horemansk\AppData\Local\Microsoft\Windows\Temporary Internet Files\Content.Word\BT_1000x858p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oremansk\AppData\Local\Microsoft\Windows\Temporary Internet Files\Content.Word\BT_1000x858px.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8755" cy="174625"/>
                    </a:xfrm>
                    <a:prstGeom prst="rect">
                      <a:avLst/>
                    </a:prstGeom>
                    <a:noFill/>
                    <a:ln>
                      <a:noFill/>
                    </a:ln>
                  </pic:spPr>
                </pic:pic>
              </a:graphicData>
            </a:graphic>
          </wp:inline>
        </w:drawing>
      </w:r>
      <w:r w:rsidR="00536276" w:rsidRPr="002D741C">
        <w:rPr>
          <w:sz w:val="22"/>
          <w:szCs w:val="22"/>
        </w:rPr>
        <w:t>Este medicamento está sujeto a seguimiento adicional</w:t>
      </w:r>
      <w:r w:rsidR="00536276" w:rsidRPr="002D741C">
        <w:rPr>
          <w:bCs/>
          <w:color w:val="000000"/>
          <w:sz w:val="22"/>
          <w:szCs w:val="22"/>
          <w:lang w:val="es-ES" w:eastAsia="fr-LU"/>
        </w:rPr>
        <w:t>,</w:t>
      </w:r>
      <w:r w:rsidR="00536276" w:rsidRPr="002D741C">
        <w:rPr>
          <w:sz w:val="22"/>
          <w:szCs w:val="22"/>
        </w:rPr>
        <w:t xml:space="preserve"> lo que agilizará la detección de nueva información sobre su seguridad. Se invita a los profesionales sanitarios a notificar las sospechas de reacciones adversas. Ver la sección 4.8, en la que se incluye información sobre cómo notificarlas.</w:t>
      </w:r>
    </w:p>
    <w:p w14:paraId="2A8DA6A6" w14:textId="77777777" w:rsidR="00536276" w:rsidRPr="002D741C" w:rsidRDefault="00536276" w:rsidP="00536276">
      <w:pPr>
        <w:rPr>
          <w:sz w:val="22"/>
          <w:szCs w:val="22"/>
        </w:rPr>
      </w:pPr>
    </w:p>
    <w:p w14:paraId="173EF6B0" w14:textId="77777777" w:rsidR="00536276" w:rsidRPr="002D741C" w:rsidRDefault="00536276" w:rsidP="00536276">
      <w:pPr>
        <w:rPr>
          <w:sz w:val="22"/>
          <w:szCs w:val="22"/>
        </w:rPr>
      </w:pPr>
    </w:p>
    <w:p w14:paraId="658A833F" w14:textId="77777777" w:rsidR="00DE24EB" w:rsidRPr="002D741C" w:rsidRDefault="00DE24EB" w:rsidP="00350D20">
      <w:pPr>
        <w:widowControl w:val="0"/>
        <w:rPr>
          <w:color w:val="000000"/>
          <w:sz w:val="22"/>
          <w:szCs w:val="22"/>
        </w:rPr>
      </w:pPr>
      <w:r w:rsidRPr="002D741C">
        <w:rPr>
          <w:b/>
          <w:color w:val="000000"/>
          <w:sz w:val="22"/>
          <w:szCs w:val="22"/>
        </w:rPr>
        <w:t>1.</w:t>
      </w:r>
      <w:r w:rsidRPr="002D741C">
        <w:rPr>
          <w:b/>
          <w:color w:val="000000"/>
          <w:sz w:val="22"/>
          <w:szCs w:val="22"/>
        </w:rPr>
        <w:tab/>
      </w:r>
      <w:smartTag w:uri="urn:schemas-microsoft-com:office:smarttags" w:element="PersonName">
        <w:r w:rsidR="00F53855" w:rsidRPr="002D741C">
          <w:rPr>
            <w:b/>
            <w:color w:val="000000"/>
            <w:sz w:val="22"/>
            <w:szCs w:val="22"/>
          </w:rPr>
          <w:t>NO</w:t>
        </w:r>
      </w:smartTag>
      <w:r w:rsidR="00F53855" w:rsidRPr="002D741C">
        <w:rPr>
          <w:b/>
          <w:color w:val="000000"/>
          <w:sz w:val="22"/>
          <w:szCs w:val="22"/>
        </w:rPr>
        <w:t xml:space="preserve">MBRE </w:t>
      </w:r>
      <w:smartTag w:uri="urn:schemas-microsoft-com:office:smarttags" w:element="stockticker">
        <w:smartTag w:uri="urn:schemas-microsoft-com:office:smarttags" w:element="PersonName">
          <w:r w:rsidRPr="002D741C">
            <w:rPr>
              <w:b/>
              <w:color w:val="000000"/>
              <w:sz w:val="22"/>
              <w:szCs w:val="22"/>
            </w:rPr>
            <w:t>D</w:t>
          </w:r>
          <w:smartTag w:uri="urn:schemas-microsoft-com:office:smarttags" w:element="PersonName">
            <w:r w:rsidRPr="002D741C">
              <w:rPr>
                <w:b/>
                <w:color w:val="000000"/>
                <w:sz w:val="22"/>
                <w:szCs w:val="22"/>
              </w:rPr>
              <w:t>E</w:t>
            </w:r>
          </w:smartTag>
        </w:smartTag>
        <w:r w:rsidRPr="002D741C">
          <w:rPr>
            <w:b/>
            <w:color w:val="000000"/>
            <w:sz w:val="22"/>
            <w:szCs w:val="22"/>
          </w:rPr>
          <w:t>L</w:t>
        </w:r>
      </w:smartTag>
      <w:r w:rsidRPr="002D741C">
        <w:rPr>
          <w:b/>
          <w:color w:val="000000"/>
          <w:sz w:val="22"/>
          <w:szCs w:val="22"/>
        </w:rPr>
        <w:t xml:space="preserve"> MEDICAMENTO</w:t>
      </w:r>
    </w:p>
    <w:p w14:paraId="0DD9E267" w14:textId="77777777" w:rsidR="00DE24EB" w:rsidRPr="002D741C" w:rsidRDefault="00DE24EB" w:rsidP="00DE24EB">
      <w:pPr>
        <w:widowControl w:val="0"/>
        <w:rPr>
          <w:i/>
          <w:color w:val="000000"/>
          <w:sz w:val="22"/>
          <w:szCs w:val="22"/>
        </w:rPr>
      </w:pPr>
    </w:p>
    <w:p w14:paraId="7ACF4D13" w14:textId="77777777" w:rsidR="00DE24EB" w:rsidRPr="002D741C" w:rsidRDefault="001029A0" w:rsidP="001029A0">
      <w:pPr>
        <w:widowControl w:val="0"/>
        <w:rPr>
          <w:color w:val="000000"/>
          <w:sz w:val="22"/>
          <w:szCs w:val="22"/>
        </w:rPr>
      </w:pPr>
      <w:r w:rsidRPr="002D741C">
        <w:rPr>
          <w:color w:val="000000"/>
          <w:sz w:val="22"/>
          <w:szCs w:val="22"/>
        </w:rPr>
        <w:t xml:space="preserve">Glivec </w:t>
      </w:r>
      <w:r w:rsidR="00DE24EB" w:rsidRPr="002D741C">
        <w:rPr>
          <w:color w:val="000000"/>
          <w:sz w:val="22"/>
          <w:szCs w:val="22"/>
        </w:rPr>
        <w:t>100</w:t>
      </w:r>
      <w:r w:rsidR="006171A6" w:rsidRPr="002D741C">
        <w:rPr>
          <w:color w:val="000000"/>
          <w:sz w:val="22"/>
          <w:szCs w:val="22"/>
        </w:rPr>
        <w:t> mg</w:t>
      </w:r>
      <w:r w:rsidR="00DE24EB" w:rsidRPr="002D741C">
        <w:rPr>
          <w:color w:val="000000"/>
          <w:sz w:val="22"/>
          <w:szCs w:val="22"/>
        </w:rPr>
        <w:t xml:space="preserve"> comprimidos recubiertos con película</w:t>
      </w:r>
    </w:p>
    <w:p w14:paraId="7DCCD2ED" w14:textId="77777777" w:rsidR="00676217" w:rsidRPr="002D741C" w:rsidRDefault="00676217" w:rsidP="00676217">
      <w:pPr>
        <w:widowControl w:val="0"/>
        <w:rPr>
          <w:color w:val="000000"/>
          <w:sz w:val="22"/>
          <w:szCs w:val="22"/>
        </w:rPr>
      </w:pPr>
      <w:r w:rsidRPr="002D741C">
        <w:rPr>
          <w:color w:val="000000"/>
          <w:sz w:val="22"/>
          <w:szCs w:val="22"/>
        </w:rPr>
        <w:t>Glivec 400 mg comprimidos recubiertos con película</w:t>
      </w:r>
    </w:p>
    <w:p w14:paraId="35C4C635" w14:textId="77777777" w:rsidR="00DE24EB" w:rsidRPr="002D741C" w:rsidRDefault="00DE24EB" w:rsidP="00DE24EB">
      <w:pPr>
        <w:widowControl w:val="0"/>
        <w:rPr>
          <w:color w:val="000000"/>
          <w:sz w:val="22"/>
          <w:szCs w:val="22"/>
        </w:rPr>
      </w:pPr>
    </w:p>
    <w:p w14:paraId="58F4BFAF" w14:textId="77777777" w:rsidR="00DE24EB" w:rsidRPr="002D741C" w:rsidRDefault="00DE24EB" w:rsidP="00DE24EB">
      <w:pPr>
        <w:pStyle w:val="EndnoteText"/>
        <w:widowControl w:val="0"/>
        <w:tabs>
          <w:tab w:val="clear" w:pos="567"/>
        </w:tabs>
        <w:rPr>
          <w:color w:val="000000"/>
          <w:szCs w:val="22"/>
          <w:lang w:val="es-ES"/>
        </w:rPr>
      </w:pPr>
    </w:p>
    <w:p w14:paraId="406A9403" w14:textId="77777777" w:rsidR="00DE24EB" w:rsidRPr="002D741C" w:rsidRDefault="00DE24EB" w:rsidP="00AD13BE">
      <w:pPr>
        <w:keepNext/>
        <w:widowControl w:val="0"/>
        <w:ind w:left="567" w:hanging="567"/>
        <w:rPr>
          <w:color w:val="000000"/>
          <w:sz w:val="22"/>
          <w:szCs w:val="22"/>
        </w:rPr>
      </w:pPr>
      <w:r w:rsidRPr="002D741C">
        <w:rPr>
          <w:b/>
          <w:color w:val="000000"/>
          <w:sz w:val="22"/>
          <w:szCs w:val="22"/>
        </w:rPr>
        <w:t>2.</w:t>
      </w:r>
      <w:r w:rsidRPr="002D741C">
        <w:rPr>
          <w:b/>
          <w:color w:val="000000"/>
          <w:sz w:val="22"/>
          <w:szCs w:val="22"/>
        </w:rPr>
        <w:tab/>
        <w:t>COMPO</w:t>
      </w:r>
      <w:smartTag w:uri="urn:schemas-microsoft-com:office:smarttags" w:element="PersonName">
        <w:r w:rsidRPr="002D741C">
          <w:rPr>
            <w:b/>
            <w:color w:val="000000"/>
            <w:sz w:val="22"/>
            <w:szCs w:val="22"/>
          </w:rPr>
          <w:t>SI</w:t>
        </w:r>
      </w:smartTag>
      <w:r w:rsidRPr="002D741C">
        <w:rPr>
          <w:b/>
          <w:color w:val="000000"/>
          <w:sz w:val="22"/>
          <w:szCs w:val="22"/>
        </w:rPr>
        <w:t>CIÓN CUAL</w:t>
      </w:r>
      <w:smartTag w:uri="urn:schemas-microsoft-com:office:smarttags" w:element="PersonName">
        <w:r w:rsidRPr="002D741C">
          <w:rPr>
            <w:b/>
            <w:color w:val="000000"/>
            <w:sz w:val="22"/>
            <w:szCs w:val="22"/>
          </w:rPr>
          <w:t>IT</w:t>
        </w:r>
      </w:smartTag>
      <w:r w:rsidRPr="002D741C">
        <w:rPr>
          <w:b/>
          <w:color w:val="000000"/>
          <w:sz w:val="22"/>
          <w:szCs w:val="22"/>
        </w:rPr>
        <w:t>ATIVA Y CUANT</w:t>
      </w:r>
      <w:smartTag w:uri="urn:schemas-microsoft-com:office:smarttags" w:element="PersonName">
        <w:r w:rsidRPr="002D741C">
          <w:rPr>
            <w:b/>
            <w:color w:val="000000"/>
            <w:sz w:val="22"/>
            <w:szCs w:val="22"/>
          </w:rPr>
          <w:t>IT</w:t>
        </w:r>
      </w:smartTag>
      <w:r w:rsidRPr="002D741C">
        <w:rPr>
          <w:b/>
          <w:color w:val="000000"/>
          <w:sz w:val="22"/>
          <w:szCs w:val="22"/>
        </w:rPr>
        <w:t>ATIVA</w:t>
      </w:r>
    </w:p>
    <w:p w14:paraId="53BCFF18" w14:textId="77777777" w:rsidR="00DE24EB" w:rsidRPr="002D741C" w:rsidRDefault="00DE24EB" w:rsidP="00AD13BE">
      <w:pPr>
        <w:keepNext/>
        <w:widowControl w:val="0"/>
        <w:rPr>
          <w:color w:val="000000"/>
          <w:sz w:val="22"/>
          <w:szCs w:val="22"/>
        </w:rPr>
      </w:pPr>
    </w:p>
    <w:p w14:paraId="14932AEA" w14:textId="77777777" w:rsidR="00676217" w:rsidRPr="002D741C" w:rsidRDefault="00676217" w:rsidP="00AD13BE">
      <w:pPr>
        <w:keepNext/>
        <w:widowControl w:val="0"/>
        <w:rPr>
          <w:color w:val="000000"/>
          <w:sz w:val="22"/>
          <w:szCs w:val="22"/>
          <w:u w:val="single"/>
        </w:rPr>
      </w:pPr>
      <w:r w:rsidRPr="002D741C">
        <w:rPr>
          <w:color w:val="000000"/>
          <w:sz w:val="22"/>
          <w:szCs w:val="22"/>
          <w:u w:val="single"/>
        </w:rPr>
        <w:t>Glivec 100 mg comprimidos recubiertos con película</w:t>
      </w:r>
    </w:p>
    <w:p w14:paraId="6CE21BC3" w14:textId="77777777" w:rsidR="00DE24EB" w:rsidRPr="002D741C" w:rsidRDefault="00DE24EB" w:rsidP="00DE24EB">
      <w:pPr>
        <w:widowControl w:val="0"/>
        <w:rPr>
          <w:color w:val="000000"/>
          <w:sz w:val="22"/>
          <w:szCs w:val="22"/>
        </w:rPr>
      </w:pPr>
      <w:r w:rsidRPr="002D741C">
        <w:rPr>
          <w:color w:val="000000"/>
          <w:sz w:val="22"/>
          <w:szCs w:val="22"/>
        </w:rPr>
        <w:t>Cada comprimido recubierto con película contiene 100</w:t>
      </w:r>
      <w:r w:rsidR="006171A6" w:rsidRPr="002D741C">
        <w:rPr>
          <w:color w:val="000000"/>
          <w:sz w:val="22"/>
          <w:szCs w:val="22"/>
        </w:rPr>
        <w:t> mg</w:t>
      </w:r>
      <w:r w:rsidRPr="002D741C">
        <w:rPr>
          <w:color w:val="000000"/>
          <w:sz w:val="22"/>
          <w:szCs w:val="22"/>
        </w:rPr>
        <w:t xml:space="preserve"> de imatinib (como mesilato).</w:t>
      </w:r>
    </w:p>
    <w:p w14:paraId="394FEFFE" w14:textId="77777777" w:rsidR="00DE24EB" w:rsidRPr="002D741C" w:rsidRDefault="00DE24EB" w:rsidP="00DE24EB">
      <w:pPr>
        <w:widowControl w:val="0"/>
        <w:rPr>
          <w:color w:val="000000"/>
          <w:sz w:val="22"/>
          <w:szCs w:val="22"/>
        </w:rPr>
      </w:pPr>
    </w:p>
    <w:p w14:paraId="4AB6A955" w14:textId="77777777" w:rsidR="00676217" w:rsidRPr="002D741C" w:rsidRDefault="00676217" w:rsidP="00AD13BE">
      <w:pPr>
        <w:keepNext/>
        <w:widowControl w:val="0"/>
        <w:rPr>
          <w:color w:val="000000"/>
          <w:sz w:val="22"/>
          <w:szCs w:val="22"/>
          <w:u w:val="single"/>
        </w:rPr>
      </w:pPr>
      <w:r w:rsidRPr="002D741C">
        <w:rPr>
          <w:color w:val="000000"/>
          <w:sz w:val="22"/>
          <w:szCs w:val="22"/>
          <w:u w:val="single"/>
        </w:rPr>
        <w:t>Glivec 400 mg comprimidos recubiertos con película</w:t>
      </w:r>
    </w:p>
    <w:p w14:paraId="5C8AF559" w14:textId="77777777" w:rsidR="00676217" w:rsidRPr="002D741C" w:rsidRDefault="00676217" w:rsidP="00676217">
      <w:pPr>
        <w:widowControl w:val="0"/>
        <w:rPr>
          <w:color w:val="000000"/>
          <w:sz w:val="22"/>
          <w:szCs w:val="22"/>
        </w:rPr>
      </w:pPr>
      <w:r w:rsidRPr="002D741C">
        <w:rPr>
          <w:color w:val="000000"/>
          <w:sz w:val="22"/>
          <w:szCs w:val="22"/>
        </w:rPr>
        <w:t>Cada comprimido recubierto con película contiene 400 mg de imatinib (como mesilato).</w:t>
      </w:r>
    </w:p>
    <w:p w14:paraId="59F33E82" w14:textId="77777777" w:rsidR="00676217" w:rsidRPr="002D741C" w:rsidRDefault="00676217" w:rsidP="00355539">
      <w:pPr>
        <w:widowControl w:val="0"/>
        <w:rPr>
          <w:color w:val="000000"/>
          <w:sz w:val="22"/>
          <w:szCs w:val="22"/>
        </w:rPr>
      </w:pPr>
    </w:p>
    <w:p w14:paraId="63B1DFA2" w14:textId="77777777" w:rsidR="00DE24EB" w:rsidRPr="002D741C" w:rsidRDefault="001029A0" w:rsidP="00355539">
      <w:pPr>
        <w:widowControl w:val="0"/>
        <w:rPr>
          <w:color w:val="000000"/>
          <w:sz w:val="22"/>
          <w:szCs w:val="22"/>
        </w:rPr>
      </w:pPr>
      <w:r w:rsidRPr="002D741C">
        <w:rPr>
          <w:color w:val="000000"/>
          <w:sz w:val="22"/>
          <w:szCs w:val="22"/>
        </w:rPr>
        <w:t xml:space="preserve">Para </w:t>
      </w:r>
      <w:r w:rsidR="00BF797D" w:rsidRPr="002D741C">
        <w:rPr>
          <w:color w:val="000000"/>
          <w:sz w:val="22"/>
          <w:szCs w:val="22"/>
        </w:rPr>
        <w:t xml:space="preserve">consultar </w:t>
      </w:r>
      <w:r w:rsidRPr="002D741C">
        <w:rPr>
          <w:color w:val="000000"/>
          <w:sz w:val="22"/>
          <w:szCs w:val="22"/>
        </w:rPr>
        <w:t>la l</w:t>
      </w:r>
      <w:r w:rsidR="00DE24EB" w:rsidRPr="002D741C">
        <w:rPr>
          <w:color w:val="000000"/>
          <w:sz w:val="22"/>
          <w:szCs w:val="22"/>
        </w:rPr>
        <w:t xml:space="preserve">ista </w:t>
      </w:r>
      <w:r w:rsidRPr="002D741C">
        <w:rPr>
          <w:color w:val="000000"/>
          <w:sz w:val="22"/>
          <w:szCs w:val="22"/>
        </w:rPr>
        <w:t xml:space="preserve">completa </w:t>
      </w:r>
      <w:r w:rsidR="00DE24EB" w:rsidRPr="002D741C">
        <w:rPr>
          <w:color w:val="000000"/>
          <w:sz w:val="22"/>
          <w:szCs w:val="22"/>
        </w:rPr>
        <w:t>de excipientes</w:t>
      </w:r>
      <w:r w:rsidR="00882C95" w:rsidRPr="002D741C">
        <w:rPr>
          <w:color w:val="000000"/>
          <w:sz w:val="22"/>
          <w:szCs w:val="22"/>
        </w:rPr>
        <w:t>,</w:t>
      </w:r>
      <w:r w:rsidRPr="002D741C">
        <w:rPr>
          <w:color w:val="000000"/>
          <w:sz w:val="22"/>
          <w:szCs w:val="22"/>
        </w:rPr>
        <w:t xml:space="preserve"> ver sección</w:t>
      </w:r>
      <w:r w:rsidR="00DE24EB" w:rsidRPr="002D741C">
        <w:rPr>
          <w:color w:val="000000"/>
          <w:sz w:val="22"/>
          <w:szCs w:val="22"/>
        </w:rPr>
        <w:t xml:space="preserve"> 6.1</w:t>
      </w:r>
      <w:r w:rsidR="00081B45" w:rsidRPr="002D741C">
        <w:rPr>
          <w:color w:val="000000"/>
          <w:sz w:val="22"/>
          <w:szCs w:val="22"/>
        </w:rPr>
        <w:t>.</w:t>
      </w:r>
    </w:p>
    <w:p w14:paraId="39DD44F6" w14:textId="77777777" w:rsidR="00DE24EB" w:rsidRPr="002D741C" w:rsidRDefault="00DE24EB" w:rsidP="00DE24EB">
      <w:pPr>
        <w:widowControl w:val="0"/>
        <w:rPr>
          <w:color w:val="000000"/>
          <w:sz w:val="22"/>
          <w:szCs w:val="22"/>
        </w:rPr>
      </w:pPr>
    </w:p>
    <w:p w14:paraId="78AB558C" w14:textId="77777777" w:rsidR="00DE24EB" w:rsidRPr="002D741C" w:rsidRDefault="00DE24EB" w:rsidP="00DE24EB">
      <w:pPr>
        <w:widowControl w:val="0"/>
        <w:rPr>
          <w:color w:val="000000"/>
          <w:sz w:val="22"/>
          <w:szCs w:val="22"/>
        </w:rPr>
      </w:pPr>
    </w:p>
    <w:p w14:paraId="5FFDE74D" w14:textId="77777777" w:rsidR="00DE24EB" w:rsidRPr="002D741C" w:rsidRDefault="00DE24EB" w:rsidP="00AD13BE">
      <w:pPr>
        <w:keepNext/>
        <w:widowControl w:val="0"/>
        <w:ind w:left="567" w:hanging="567"/>
        <w:rPr>
          <w:caps/>
          <w:color w:val="000000"/>
          <w:sz w:val="22"/>
          <w:szCs w:val="22"/>
        </w:rPr>
      </w:pPr>
      <w:r w:rsidRPr="002D741C">
        <w:rPr>
          <w:b/>
          <w:color w:val="000000"/>
          <w:sz w:val="22"/>
          <w:szCs w:val="22"/>
        </w:rPr>
        <w:t>3.</w:t>
      </w:r>
      <w:r w:rsidRPr="002D741C">
        <w:rPr>
          <w:b/>
          <w:color w:val="000000"/>
          <w:sz w:val="22"/>
          <w:szCs w:val="22"/>
        </w:rPr>
        <w:tab/>
        <w:t>FORMA FARMACÉUTICA</w:t>
      </w:r>
    </w:p>
    <w:p w14:paraId="2A9F5029" w14:textId="77777777" w:rsidR="00DE24EB" w:rsidRPr="002D741C" w:rsidRDefault="00DE24EB" w:rsidP="00AD13BE">
      <w:pPr>
        <w:pStyle w:val="EndnoteText"/>
        <w:keepNext/>
        <w:widowControl w:val="0"/>
        <w:tabs>
          <w:tab w:val="clear" w:pos="567"/>
        </w:tabs>
        <w:rPr>
          <w:color w:val="000000"/>
          <w:szCs w:val="22"/>
          <w:lang w:val="es-ES"/>
        </w:rPr>
      </w:pPr>
    </w:p>
    <w:p w14:paraId="3CD310E8" w14:textId="77777777" w:rsidR="00DE24EB" w:rsidRPr="002D741C" w:rsidRDefault="00DE24EB" w:rsidP="00355539">
      <w:pPr>
        <w:widowControl w:val="0"/>
        <w:rPr>
          <w:color w:val="000000"/>
          <w:sz w:val="22"/>
          <w:szCs w:val="22"/>
        </w:rPr>
      </w:pPr>
      <w:r w:rsidRPr="002D741C">
        <w:rPr>
          <w:color w:val="000000"/>
          <w:sz w:val="22"/>
          <w:szCs w:val="22"/>
        </w:rPr>
        <w:t>Comprimido recubierto con película</w:t>
      </w:r>
    </w:p>
    <w:p w14:paraId="083C7039" w14:textId="77777777" w:rsidR="00DE24EB" w:rsidRPr="002D741C" w:rsidRDefault="00DE24EB" w:rsidP="00DE24EB">
      <w:pPr>
        <w:widowControl w:val="0"/>
        <w:rPr>
          <w:color w:val="000000"/>
          <w:sz w:val="22"/>
          <w:szCs w:val="22"/>
        </w:rPr>
      </w:pPr>
    </w:p>
    <w:p w14:paraId="11A9E951" w14:textId="77777777" w:rsidR="00676217" w:rsidRPr="002D741C" w:rsidRDefault="00676217" w:rsidP="00AD13BE">
      <w:pPr>
        <w:keepNext/>
        <w:widowControl w:val="0"/>
        <w:rPr>
          <w:color w:val="000000"/>
          <w:sz w:val="22"/>
          <w:szCs w:val="22"/>
          <w:u w:val="single"/>
        </w:rPr>
      </w:pPr>
      <w:r w:rsidRPr="002D741C">
        <w:rPr>
          <w:color w:val="000000"/>
          <w:sz w:val="22"/>
          <w:szCs w:val="22"/>
          <w:u w:val="single"/>
        </w:rPr>
        <w:t>Glivec 100 mg comprimidos recubiertos con película</w:t>
      </w:r>
    </w:p>
    <w:p w14:paraId="3E687B27" w14:textId="77777777" w:rsidR="00DE24EB" w:rsidRPr="002D741C" w:rsidRDefault="00DE24EB" w:rsidP="00DE24EB">
      <w:pPr>
        <w:widowControl w:val="0"/>
        <w:rPr>
          <w:color w:val="000000"/>
          <w:sz w:val="22"/>
          <w:szCs w:val="22"/>
        </w:rPr>
      </w:pPr>
      <w:r w:rsidRPr="002D741C">
        <w:rPr>
          <w:color w:val="000000"/>
          <w:sz w:val="22"/>
          <w:szCs w:val="22"/>
        </w:rPr>
        <w:t xml:space="preserve">Comprimido recubierto con película de color amarillo muy oscuro a naranja-pardo, redondo con la marca </w:t>
      </w:r>
      <w:r w:rsidR="00777D3B" w:rsidRPr="002D741C">
        <w:rPr>
          <w:color w:val="000000"/>
          <w:sz w:val="22"/>
          <w:szCs w:val="22"/>
        </w:rPr>
        <w:t>«</w:t>
      </w:r>
      <w:smartTag w:uri="urn:schemas-microsoft-com:office:smarttags" w:element="stockticker">
        <w:r w:rsidRPr="002D741C">
          <w:rPr>
            <w:color w:val="000000"/>
            <w:sz w:val="22"/>
            <w:szCs w:val="22"/>
          </w:rPr>
          <w:t>NVR</w:t>
        </w:r>
      </w:smartTag>
      <w:r w:rsidR="00777D3B" w:rsidRPr="002D741C">
        <w:rPr>
          <w:color w:val="000000"/>
          <w:sz w:val="22"/>
          <w:szCs w:val="22"/>
        </w:rPr>
        <w:t>»</w:t>
      </w:r>
      <w:r w:rsidRPr="002D741C">
        <w:rPr>
          <w:color w:val="000000"/>
          <w:sz w:val="22"/>
          <w:szCs w:val="22"/>
        </w:rPr>
        <w:t xml:space="preserve"> en una cara y </w:t>
      </w:r>
      <w:r w:rsidR="00777D3B" w:rsidRPr="002D741C">
        <w:rPr>
          <w:color w:val="000000"/>
          <w:sz w:val="22"/>
          <w:szCs w:val="22"/>
        </w:rPr>
        <w:t>«</w:t>
      </w:r>
      <w:r w:rsidRPr="002D741C">
        <w:rPr>
          <w:color w:val="000000"/>
          <w:sz w:val="22"/>
          <w:szCs w:val="22"/>
        </w:rPr>
        <w:t>SA</w:t>
      </w:r>
      <w:r w:rsidR="00777D3B" w:rsidRPr="002D741C">
        <w:rPr>
          <w:color w:val="000000"/>
          <w:sz w:val="22"/>
          <w:szCs w:val="22"/>
        </w:rPr>
        <w:t>»</w:t>
      </w:r>
      <w:r w:rsidRPr="002D741C">
        <w:rPr>
          <w:color w:val="000000"/>
          <w:sz w:val="22"/>
          <w:szCs w:val="22"/>
        </w:rPr>
        <w:t xml:space="preserve"> y ranura en la otra.</w:t>
      </w:r>
    </w:p>
    <w:p w14:paraId="49495FE2" w14:textId="77777777" w:rsidR="00676217" w:rsidRPr="002D741C" w:rsidRDefault="00676217" w:rsidP="00676217">
      <w:pPr>
        <w:widowControl w:val="0"/>
        <w:rPr>
          <w:color w:val="000000"/>
          <w:sz w:val="22"/>
          <w:szCs w:val="22"/>
        </w:rPr>
      </w:pPr>
    </w:p>
    <w:p w14:paraId="1EF03D57" w14:textId="77777777" w:rsidR="00676217" w:rsidRPr="002D741C" w:rsidRDefault="00676217" w:rsidP="00AD13BE">
      <w:pPr>
        <w:keepNext/>
        <w:widowControl w:val="0"/>
        <w:rPr>
          <w:color w:val="000000"/>
          <w:sz w:val="22"/>
          <w:szCs w:val="22"/>
          <w:u w:val="single"/>
        </w:rPr>
      </w:pPr>
      <w:r w:rsidRPr="002D741C">
        <w:rPr>
          <w:color w:val="000000"/>
          <w:sz w:val="22"/>
          <w:szCs w:val="22"/>
          <w:u w:val="single"/>
        </w:rPr>
        <w:t>Glivec 400 mg comprimidos recubiertos con película</w:t>
      </w:r>
    </w:p>
    <w:p w14:paraId="016DFD17" w14:textId="77777777" w:rsidR="00676217" w:rsidRPr="002D741C" w:rsidRDefault="00676217" w:rsidP="00676217">
      <w:pPr>
        <w:widowControl w:val="0"/>
        <w:rPr>
          <w:color w:val="000000"/>
          <w:sz w:val="22"/>
          <w:szCs w:val="22"/>
        </w:rPr>
      </w:pPr>
      <w:r w:rsidRPr="002D741C">
        <w:rPr>
          <w:color w:val="000000"/>
          <w:sz w:val="22"/>
          <w:szCs w:val="22"/>
        </w:rPr>
        <w:t>Comprimido recubierto con película de color amarillo muy oscuro a naranja-pardo, oval</w:t>
      </w:r>
      <w:r w:rsidR="005B11A7" w:rsidRPr="002D741C">
        <w:rPr>
          <w:color w:val="000000"/>
          <w:sz w:val="22"/>
          <w:szCs w:val="22"/>
        </w:rPr>
        <w:t>ado</w:t>
      </w:r>
      <w:r w:rsidRPr="002D741C">
        <w:rPr>
          <w:color w:val="000000"/>
          <w:sz w:val="22"/>
          <w:szCs w:val="22"/>
        </w:rPr>
        <w:t>, biconvexo</w:t>
      </w:r>
      <w:r w:rsidR="005B11A7" w:rsidRPr="002D741C">
        <w:rPr>
          <w:color w:val="000000"/>
          <w:sz w:val="22"/>
          <w:szCs w:val="22"/>
        </w:rPr>
        <w:t xml:space="preserve">, </w:t>
      </w:r>
      <w:r w:rsidRPr="002D741C">
        <w:rPr>
          <w:color w:val="000000"/>
          <w:sz w:val="22"/>
          <w:szCs w:val="22"/>
        </w:rPr>
        <w:t>de bordes biselados con la marca «glivec» en una cara.</w:t>
      </w:r>
    </w:p>
    <w:p w14:paraId="7392FD98" w14:textId="77777777" w:rsidR="00DE24EB" w:rsidRPr="002D741C" w:rsidRDefault="00DE24EB" w:rsidP="00DE24EB">
      <w:pPr>
        <w:widowControl w:val="0"/>
        <w:rPr>
          <w:color w:val="000000"/>
          <w:sz w:val="22"/>
          <w:szCs w:val="22"/>
        </w:rPr>
      </w:pPr>
    </w:p>
    <w:p w14:paraId="6917B0CB" w14:textId="77777777" w:rsidR="00DE24EB" w:rsidRPr="002D741C" w:rsidRDefault="00DE24EB" w:rsidP="00DE24EB">
      <w:pPr>
        <w:widowControl w:val="0"/>
        <w:rPr>
          <w:color w:val="000000"/>
          <w:sz w:val="22"/>
          <w:szCs w:val="22"/>
        </w:rPr>
      </w:pPr>
    </w:p>
    <w:p w14:paraId="4CE65BCC" w14:textId="77777777" w:rsidR="006D54C0" w:rsidRPr="002D741C" w:rsidRDefault="006D54C0" w:rsidP="00AD13BE">
      <w:pPr>
        <w:keepNext/>
        <w:widowControl w:val="0"/>
        <w:ind w:left="567" w:hanging="567"/>
        <w:rPr>
          <w:caps/>
          <w:color w:val="000000"/>
          <w:sz w:val="22"/>
          <w:szCs w:val="22"/>
        </w:rPr>
      </w:pPr>
      <w:r w:rsidRPr="002D741C">
        <w:rPr>
          <w:b/>
          <w:caps/>
          <w:color w:val="000000"/>
          <w:sz w:val="22"/>
          <w:szCs w:val="22"/>
        </w:rPr>
        <w:t>4.</w:t>
      </w:r>
      <w:r w:rsidRPr="002D741C">
        <w:rPr>
          <w:b/>
          <w:caps/>
          <w:color w:val="000000"/>
          <w:sz w:val="22"/>
          <w:szCs w:val="22"/>
        </w:rPr>
        <w:tab/>
        <w:t>DATOS CLÍNICOS</w:t>
      </w:r>
    </w:p>
    <w:p w14:paraId="3C5C8B35" w14:textId="77777777" w:rsidR="006D54C0" w:rsidRPr="002D741C" w:rsidRDefault="006D54C0" w:rsidP="00AD13BE">
      <w:pPr>
        <w:pStyle w:val="EndnoteText"/>
        <w:keepNext/>
        <w:widowControl w:val="0"/>
        <w:tabs>
          <w:tab w:val="clear" w:pos="567"/>
        </w:tabs>
        <w:rPr>
          <w:color w:val="000000"/>
          <w:szCs w:val="22"/>
          <w:lang w:val="es-ES"/>
        </w:rPr>
      </w:pPr>
    </w:p>
    <w:p w14:paraId="455551E3" w14:textId="77777777" w:rsidR="006D54C0" w:rsidRPr="002D741C" w:rsidRDefault="006D54C0" w:rsidP="00AD13BE">
      <w:pPr>
        <w:keepNext/>
        <w:widowControl w:val="0"/>
        <w:ind w:left="567" w:hanging="567"/>
        <w:rPr>
          <w:color w:val="000000"/>
          <w:sz w:val="22"/>
          <w:szCs w:val="22"/>
        </w:rPr>
      </w:pPr>
      <w:r w:rsidRPr="002D741C">
        <w:rPr>
          <w:b/>
          <w:color w:val="000000"/>
          <w:sz w:val="22"/>
          <w:szCs w:val="22"/>
        </w:rPr>
        <w:t>4.1</w:t>
      </w:r>
      <w:r w:rsidRPr="002D741C">
        <w:rPr>
          <w:b/>
          <w:color w:val="000000"/>
          <w:sz w:val="22"/>
          <w:szCs w:val="22"/>
        </w:rPr>
        <w:tab/>
        <w:t>Indicaciones terapéuticas</w:t>
      </w:r>
    </w:p>
    <w:p w14:paraId="75333EF0" w14:textId="77777777" w:rsidR="006D54C0" w:rsidRPr="002D741C" w:rsidRDefault="006D54C0" w:rsidP="00AD13BE">
      <w:pPr>
        <w:pStyle w:val="EndnoteText"/>
        <w:keepNext/>
        <w:widowControl w:val="0"/>
        <w:tabs>
          <w:tab w:val="clear" w:pos="567"/>
        </w:tabs>
        <w:rPr>
          <w:color w:val="000000"/>
          <w:szCs w:val="22"/>
          <w:lang w:val="es-ES"/>
        </w:rPr>
      </w:pPr>
    </w:p>
    <w:p w14:paraId="4A027659" w14:textId="77777777" w:rsidR="006D54C0" w:rsidRPr="002D741C" w:rsidRDefault="006D54C0" w:rsidP="00AD13BE">
      <w:pPr>
        <w:pStyle w:val="EndnoteText"/>
        <w:keepNext/>
        <w:widowControl w:val="0"/>
        <w:tabs>
          <w:tab w:val="clear" w:pos="567"/>
        </w:tabs>
        <w:rPr>
          <w:color w:val="000000"/>
          <w:szCs w:val="22"/>
          <w:lang w:val="es-ES"/>
        </w:rPr>
      </w:pPr>
      <w:r w:rsidRPr="002D741C">
        <w:rPr>
          <w:color w:val="000000"/>
          <w:szCs w:val="22"/>
          <w:lang w:val="es-ES"/>
        </w:rPr>
        <w:t>Glivec está indicado en el tratamiento de</w:t>
      </w:r>
    </w:p>
    <w:p w14:paraId="5B83033B" w14:textId="77777777" w:rsidR="006D54C0" w:rsidRPr="002D741C" w:rsidRDefault="006D54C0" w:rsidP="004374F7">
      <w:pPr>
        <w:pStyle w:val="EndnoteText"/>
        <w:widowControl w:val="0"/>
        <w:numPr>
          <w:ilvl w:val="0"/>
          <w:numId w:val="11"/>
        </w:numPr>
        <w:tabs>
          <w:tab w:val="clear" w:pos="567"/>
          <w:tab w:val="clear" w:pos="720"/>
        </w:tabs>
        <w:ind w:left="567" w:hanging="567"/>
        <w:rPr>
          <w:color w:val="000000"/>
          <w:szCs w:val="22"/>
          <w:lang w:val="es-ES"/>
        </w:rPr>
      </w:pPr>
      <w:r w:rsidRPr="002D741C">
        <w:rPr>
          <w:color w:val="000000"/>
          <w:szCs w:val="22"/>
          <w:lang w:val="es-ES"/>
        </w:rPr>
        <w:t>pacientes adultos y pediátricos con leucemia mieloide crónica (LMC), cromosoma Filadelfia positivo (Ph +) (bcr-abl) de diagnóstico reciente para los que no se considera como tratamiento de primera línea el trasplante de médula ósea.</w:t>
      </w:r>
    </w:p>
    <w:p w14:paraId="4C1FD28A" w14:textId="77777777" w:rsidR="006D54C0" w:rsidRPr="002D741C" w:rsidRDefault="006D54C0" w:rsidP="004374F7">
      <w:pPr>
        <w:pStyle w:val="EndnoteText"/>
        <w:widowControl w:val="0"/>
        <w:numPr>
          <w:ilvl w:val="0"/>
          <w:numId w:val="11"/>
        </w:numPr>
        <w:tabs>
          <w:tab w:val="clear" w:pos="567"/>
          <w:tab w:val="clear" w:pos="720"/>
        </w:tabs>
        <w:ind w:left="567" w:hanging="567"/>
        <w:rPr>
          <w:color w:val="000000"/>
          <w:szCs w:val="22"/>
          <w:lang w:val="es-ES"/>
        </w:rPr>
      </w:pPr>
      <w:r w:rsidRPr="002D741C">
        <w:rPr>
          <w:color w:val="000000"/>
          <w:szCs w:val="22"/>
          <w:lang w:val="es-ES"/>
        </w:rPr>
        <w:t>pacientes adultos y pediátricos con LMC Ph + en fase crónica tras el fallo del tratamiento con interferón-alfa, o en fase acelerada o crisis blástica.</w:t>
      </w:r>
    </w:p>
    <w:p w14:paraId="7BDCC561" w14:textId="77777777" w:rsidR="006D54C0" w:rsidRPr="002D741C" w:rsidRDefault="006D54C0" w:rsidP="004374F7">
      <w:pPr>
        <w:pStyle w:val="EndnoteText"/>
        <w:widowControl w:val="0"/>
        <w:numPr>
          <w:ilvl w:val="0"/>
          <w:numId w:val="11"/>
        </w:numPr>
        <w:tabs>
          <w:tab w:val="clear" w:pos="720"/>
          <w:tab w:val="num" w:pos="567"/>
        </w:tabs>
        <w:ind w:left="567" w:hanging="567"/>
        <w:rPr>
          <w:color w:val="000000"/>
          <w:szCs w:val="22"/>
          <w:lang w:val="es-ES"/>
        </w:rPr>
      </w:pPr>
      <w:r w:rsidRPr="002D741C">
        <w:rPr>
          <w:color w:val="000000"/>
          <w:szCs w:val="22"/>
          <w:lang w:val="es-ES"/>
        </w:rPr>
        <w:t xml:space="preserve">pacientes adultos </w:t>
      </w:r>
      <w:r w:rsidR="00A8564A" w:rsidRPr="002D741C">
        <w:rPr>
          <w:color w:val="000000"/>
          <w:szCs w:val="22"/>
          <w:lang w:val="es-ES"/>
        </w:rPr>
        <w:t xml:space="preserve">y pediátricos </w:t>
      </w:r>
      <w:r w:rsidRPr="002D741C">
        <w:rPr>
          <w:color w:val="000000"/>
          <w:szCs w:val="22"/>
          <w:lang w:val="es-ES"/>
        </w:rPr>
        <w:t>con leucemia linfoblástica aguda cromosoma Filadelfia positivo (LLA Ph+) de diagnóstico reciente, integrado con quimioterapia.</w:t>
      </w:r>
    </w:p>
    <w:p w14:paraId="5F8D24DB" w14:textId="77777777" w:rsidR="006D54C0" w:rsidRPr="002D741C" w:rsidRDefault="006D54C0" w:rsidP="004374F7">
      <w:pPr>
        <w:pStyle w:val="EndnoteText"/>
        <w:widowControl w:val="0"/>
        <w:numPr>
          <w:ilvl w:val="0"/>
          <w:numId w:val="11"/>
        </w:numPr>
        <w:tabs>
          <w:tab w:val="clear" w:pos="720"/>
          <w:tab w:val="num" w:pos="567"/>
        </w:tabs>
        <w:ind w:left="567" w:hanging="567"/>
        <w:rPr>
          <w:color w:val="000000"/>
          <w:szCs w:val="22"/>
          <w:lang w:val="es-ES"/>
        </w:rPr>
      </w:pPr>
      <w:r w:rsidRPr="002D741C">
        <w:rPr>
          <w:color w:val="000000"/>
          <w:szCs w:val="22"/>
          <w:lang w:val="es-ES"/>
        </w:rPr>
        <w:t>pacientes adultos con LLA Ph+ refractaria o en recaída, como monoterapia.</w:t>
      </w:r>
    </w:p>
    <w:p w14:paraId="44CBC0E5" w14:textId="77777777" w:rsidR="006D54C0" w:rsidRPr="002D741C" w:rsidRDefault="006D54C0" w:rsidP="004374F7">
      <w:pPr>
        <w:pStyle w:val="EndnoteText"/>
        <w:widowControl w:val="0"/>
        <w:numPr>
          <w:ilvl w:val="0"/>
          <w:numId w:val="11"/>
        </w:numPr>
        <w:tabs>
          <w:tab w:val="clear" w:pos="720"/>
          <w:tab w:val="num" w:pos="567"/>
        </w:tabs>
        <w:ind w:left="567" w:hanging="567"/>
        <w:rPr>
          <w:color w:val="000000"/>
          <w:szCs w:val="22"/>
          <w:lang w:val="es-ES"/>
        </w:rPr>
      </w:pPr>
      <w:r w:rsidRPr="002D741C">
        <w:rPr>
          <w:color w:val="000000"/>
          <w:szCs w:val="22"/>
          <w:lang w:val="es-ES"/>
        </w:rPr>
        <w:t>pacientes adultos con síndromes mielodisplásicos/mieloproliferativos (</w:t>
      </w:r>
      <w:smartTag w:uri="urn:schemas-microsoft-com:office:smarttags" w:element="stockticker">
        <w:r w:rsidRPr="002D741C">
          <w:rPr>
            <w:color w:val="000000"/>
            <w:szCs w:val="22"/>
            <w:lang w:val="es-ES"/>
          </w:rPr>
          <w:t>SMD</w:t>
        </w:r>
      </w:smartTag>
      <w:r w:rsidRPr="002D741C">
        <w:rPr>
          <w:color w:val="000000"/>
          <w:szCs w:val="22"/>
          <w:lang w:val="es-ES"/>
        </w:rPr>
        <w:t>/</w:t>
      </w:r>
      <w:smartTag w:uri="urn:schemas-microsoft-com:office:smarttags" w:element="stockticker">
        <w:r w:rsidRPr="002D741C">
          <w:rPr>
            <w:color w:val="000000"/>
            <w:szCs w:val="22"/>
            <w:lang w:val="es-ES"/>
          </w:rPr>
          <w:t>SMP</w:t>
        </w:r>
      </w:smartTag>
      <w:r w:rsidRPr="002D741C">
        <w:rPr>
          <w:color w:val="000000"/>
          <w:szCs w:val="22"/>
          <w:lang w:val="es-ES"/>
        </w:rPr>
        <w:t>) asociados con el reordenamiento del gen del receptor del factor de crecimiento derivado de las plaquetas (PDG</w:t>
      </w:r>
      <w:smartTag w:uri="urn:schemas-microsoft-com:office:smarttags" w:element="PersonName">
        <w:r w:rsidRPr="002D741C">
          <w:rPr>
            <w:color w:val="000000"/>
            <w:szCs w:val="22"/>
            <w:lang w:val="es-ES"/>
          </w:rPr>
          <w:t>FR</w:t>
        </w:r>
      </w:smartTag>
      <w:r w:rsidRPr="002D741C">
        <w:rPr>
          <w:color w:val="000000"/>
          <w:szCs w:val="22"/>
          <w:lang w:val="es-ES"/>
        </w:rPr>
        <w:t>).</w:t>
      </w:r>
    </w:p>
    <w:p w14:paraId="57B3FB24" w14:textId="77777777" w:rsidR="006D54C0" w:rsidRPr="002D741C" w:rsidRDefault="006D54C0" w:rsidP="004374F7">
      <w:pPr>
        <w:pStyle w:val="EndnoteText"/>
        <w:widowControl w:val="0"/>
        <w:numPr>
          <w:ilvl w:val="0"/>
          <w:numId w:val="11"/>
        </w:numPr>
        <w:tabs>
          <w:tab w:val="clear" w:pos="720"/>
          <w:tab w:val="num" w:pos="567"/>
        </w:tabs>
        <w:ind w:left="567" w:hanging="567"/>
        <w:rPr>
          <w:color w:val="000000"/>
          <w:szCs w:val="22"/>
          <w:lang w:val="es-ES"/>
        </w:rPr>
      </w:pPr>
      <w:r w:rsidRPr="002D741C">
        <w:rPr>
          <w:color w:val="000000"/>
          <w:szCs w:val="22"/>
          <w:lang w:val="es-ES"/>
        </w:rPr>
        <w:t>pacientes adultos con síndrome hipereosinofílico (SHE) avanzado y/o leucemia eosinofílica crónica (LEC) con reordenación de</w:t>
      </w:r>
      <w:r w:rsidRPr="002D741C">
        <w:rPr>
          <w:color w:val="000000"/>
          <w:lang w:val="es-ES_tradnl"/>
        </w:rPr>
        <w:t xml:space="preserve"> </w:t>
      </w:r>
      <w:smartTag w:uri="urn:schemas-microsoft-com:office:smarttags" w:element="PersonName">
        <w:r w:rsidRPr="002D741C">
          <w:rPr>
            <w:color w:val="000000"/>
            <w:lang w:val="es-ES_tradnl"/>
          </w:rPr>
          <w:t>FI</w:t>
        </w:r>
      </w:smartTag>
      <w:r w:rsidRPr="002D741C">
        <w:rPr>
          <w:color w:val="000000"/>
          <w:lang w:val="es-ES_tradnl"/>
        </w:rPr>
        <w:t>P1L1-PDG</w:t>
      </w:r>
      <w:smartTag w:uri="urn:schemas-microsoft-com:office:smarttags" w:element="PersonName">
        <w:r w:rsidRPr="002D741C">
          <w:rPr>
            <w:color w:val="000000"/>
            <w:lang w:val="es-ES_tradnl"/>
          </w:rPr>
          <w:t>FR</w:t>
        </w:r>
      </w:smartTag>
      <w:r w:rsidRPr="002D741C">
        <w:rPr>
          <w:color w:val="000000"/>
          <w:lang w:val="en-US"/>
        </w:rPr>
        <w:sym w:font="Symbol" w:char="F061"/>
      </w:r>
      <w:r w:rsidRPr="002D741C">
        <w:rPr>
          <w:color w:val="000000"/>
          <w:lang w:val="es-ES_tradnl"/>
        </w:rPr>
        <w:t>.</w:t>
      </w:r>
    </w:p>
    <w:p w14:paraId="2EB667C6" w14:textId="77777777" w:rsidR="006D54C0" w:rsidRPr="002D741C" w:rsidRDefault="006D54C0" w:rsidP="006D54C0">
      <w:pPr>
        <w:pStyle w:val="EndnoteText"/>
        <w:widowControl w:val="0"/>
        <w:tabs>
          <w:tab w:val="clear" w:pos="567"/>
        </w:tabs>
        <w:rPr>
          <w:color w:val="000000"/>
          <w:szCs w:val="22"/>
          <w:lang w:val="es-ES_tradnl"/>
        </w:rPr>
      </w:pPr>
    </w:p>
    <w:p w14:paraId="26B7ECA6" w14:textId="77777777" w:rsidR="006D54C0" w:rsidRPr="002D741C" w:rsidRDefault="006D54C0" w:rsidP="006D54C0">
      <w:pPr>
        <w:pStyle w:val="EndnoteText"/>
        <w:widowControl w:val="0"/>
        <w:tabs>
          <w:tab w:val="clear" w:pos="567"/>
        </w:tabs>
        <w:rPr>
          <w:color w:val="000000"/>
          <w:szCs w:val="22"/>
          <w:lang w:val="es-ES"/>
        </w:rPr>
      </w:pPr>
      <w:r w:rsidRPr="002D741C">
        <w:rPr>
          <w:color w:val="000000"/>
          <w:szCs w:val="22"/>
          <w:lang w:val="es-ES"/>
        </w:rPr>
        <w:t>No se ha determinado el efecto de Glivec en el resultado del trasplante de médula ósea.</w:t>
      </w:r>
    </w:p>
    <w:p w14:paraId="78FE6E59" w14:textId="77777777" w:rsidR="006D54C0" w:rsidRPr="002D741C" w:rsidRDefault="006D54C0" w:rsidP="006D54C0">
      <w:pPr>
        <w:pStyle w:val="EndnoteText"/>
        <w:widowControl w:val="0"/>
        <w:tabs>
          <w:tab w:val="clear" w:pos="567"/>
        </w:tabs>
        <w:rPr>
          <w:color w:val="000000"/>
          <w:szCs w:val="22"/>
          <w:lang w:val="es-ES"/>
        </w:rPr>
      </w:pPr>
    </w:p>
    <w:p w14:paraId="53DC4890" w14:textId="77777777" w:rsidR="006D54C0" w:rsidRPr="002D741C" w:rsidRDefault="006D54C0" w:rsidP="00AD13BE">
      <w:pPr>
        <w:pStyle w:val="EndnoteText"/>
        <w:keepNext/>
        <w:widowControl w:val="0"/>
        <w:tabs>
          <w:tab w:val="clear" w:pos="567"/>
        </w:tabs>
        <w:rPr>
          <w:color w:val="000000"/>
          <w:szCs w:val="22"/>
          <w:lang w:val="es-ES"/>
        </w:rPr>
      </w:pPr>
      <w:r w:rsidRPr="002D741C">
        <w:rPr>
          <w:color w:val="000000"/>
          <w:szCs w:val="22"/>
          <w:lang w:val="es-ES"/>
        </w:rPr>
        <w:lastRenderedPageBreak/>
        <w:t>Glivec está indicado para</w:t>
      </w:r>
    </w:p>
    <w:p w14:paraId="44D89C72" w14:textId="77777777" w:rsidR="006D54C0" w:rsidRPr="002D741C" w:rsidRDefault="006D54C0" w:rsidP="004374F7">
      <w:pPr>
        <w:pStyle w:val="EndnoteText"/>
        <w:widowControl w:val="0"/>
        <w:numPr>
          <w:ilvl w:val="0"/>
          <w:numId w:val="12"/>
        </w:numPr>
        <w:tabs>
          <w:tab w:val="clear" w:pos="567"/>
          <w:tab w:val="clear" w:pos="720"/>
        </w:tabs>
        <w:ind w:left="567" w:hanging="567"/>
        <w:rPr>
          <w:color w:val="000000"/>
          <w:szCs w:val="22"/>
          <w:lang w:val="es-ES"/>
        </w:rPr>
      </w:pPr>
      <w:r w:rsidRPr="002D741C">
        <w:rPr>
          <w:color w:val="000000"/>
          <w:szCs w:val="22"/>
          <w:lang w:val="es-ES"/>
        </w:rPr>
        <w:t>el tratamiento de pacientes adultos con tumores del estroma gastrointestinal (G</w:t>
      </w:r>
      <w:smartTag w:uri="urn:schemas-microsoft-com:office:smarttags" w:element="PersonName">
        <w:r w:rsidRPr="002D741C">
          <w:rPr>
            <w:color w:val="000000"/>
            <w:szCs w:val="22"/>
            <w:lang w:val="es-ES"/>
          </w:rPr>
          <w:t>IS</w:t>
        </w:r>
      </w:smartTag>
      <w:r w:rsidRPr="002D741C">
        <w:rPr>
          <w:color w:val="000000"/>
          <w:szCs w:val="22"/>
          <w:lang w:val="es-ES"/>
        </w:rPr>
        <w:t>T) malignos no resecables y/o metastásicos Kit (CD 117) positivos.</w:t>
      </w:r>
    </w:p>
    <w:p w14:paraId="44F69CFA" w14:textId="77777777" w:rsidR="006D54C0" w:rsidRPr="002D741C" w:rsidRDefault="006D54C0" w:rsidP="004374F7">
      <w:pPr>
        <w:pStyle w:val="EndnoteText"/>
        <w:widowControl w:val="0"/>
        <w:numPr>
          <w:ilvl w:val="0"/>
          <w:numId w:val="12"/>
        </w:numPr>
        <w:tabs>
          <w:tab w:val="clear" w:pos="567"/>
          <w:tab w:val="clear" w:pos="720"/>
        </w:tabs>
        <w:ind w:left="567" w:hanging="567"/>
        <w:rPr>
          <w:color w:val="000000"/>
          <w:szCs w:val="22"/>
          <w:lang w:val="es-ES"/>
        </w:rPr>
      </w:pPr>
      <w:r w:rsidRPr="002D741C">
        <w:rPr>
          <w:color w:val="000000"/>
          <w:szCs w:val="22"/>
          <w:lang w:val="es-ES"/>
        </w:rPr>
        <w:t>el tratamiento adyuvante de pacientes adultos que presentan un riesgo significativo de recaída después de la resección de G</w:t>
      </w:r>
      <w:smartTag w:uri="urn:schemas-microsoft-com:office:smarttags" w:element="PersonName">
        <w:r w:rsidRPr="002D741C">
          <w:rPr>
            <w:color w:val="000000"/>
            <w:szCs w:val="22"/>
            <w:lang w:val="es-ES"/>
          </w:rPr>
          <w:t>IS</w:t>
        </w:r>
      </w:smartTag>
      <w:r w:rsidRPr="002D741C">
        <w:rPr>
          <w:color w:val="000000"/>
          <w:szCs w:val="22"/>
          <w:lang w:val="es-ES"/>
        </w:rPr>
        <w:t>T Kit (CD117) positivo. Los pacientes que tienen un riesgo bajo o muy bajo de recaída no deben recibir tratamiento adyuvante.</w:t>
      </w:r>
    </w:p>
    <w:p w14:paraId="43F0FB50" w14:textId="77777777" w:rsidR="006D54C0" w:rsidRPr="002D741C" w:rsidRDefault="006D54C0" w:rsidP="004374F7">
      <w:pPr>
        <w:pStyle w:val="EndnoteText"/>
        <w:widowControl w:val="0"/>
        <w:numPr>
          <w:ilvl w:val="0"/>
          <w:numId w:val="12"/>
        </w:numPr>
        <w:tabs>
          <w:tab w:val="clear" w:pos="567"/>
          <w:tab w:val="clear" w:pos="720"/>
        </w:tabs>
        <w:ind w:left="567" w:hanging="567"/>
        <w:rPr>
          <w:color w:val="000000"/>
          <w:szCs w:val="22"/>
          <w:lang w:val="es-ES"/>
        </w:rPr>
      </w:pPr>
      <w:r w:rsidRPr="002D741C">
        <w:rPr>
          <w:color w:val="000000"/>
          <w:szCs w:val="22"/>
          <w:lang w:val="es-ES"/>
        </w:rPr>
        <w:t>el tratamiento de pacientes adultos con dermatofibrosarcoma protuberans (DFSP) no resecable y pacientes adultos con DFSP recurrente y/o metastásico que no son de elección para cirugía.</w:t>
      </w:r>
    </w:p>
    <w:p w14:paraId="0EE5F366" w14:textId="77777777" w:rsidR="006D54C0" w:rsidRPr="002D741C" w:rsidRDefault="006D54C0" w:rsidP="006D54C0">
      <w:pPr>
        <w:pStyle w:val="EndnoteText"/>
        <w:widowControl w:val="0"/>
        <w:tabs>
          <w:tab w:val="clear" w:pos="567"/>
        </w:tabs>
        <w:rPr>
          <w:color w:val="000000"/>
          <w:szCs w:val="22"/>
          <w:lang w:val="es-ES"/>
        </w:rPr>
      </w:pPr>
    </w:p>
    <w:p w14:paraId="26B74089" w14:textId="77777777" w:rsidR="006D54C0" w:rsidRPr="002D741C" w:rsidRDefault="006D54C0" w:rsidP="006D54C0">
      <w:pPr>
        <w:pStyle w:val="EndnoteText"/>
        <w:widowControl w:val="0"/>
        <w:tabs>
          <w:tab w:val="clear" w:pos="567"/>
        </w:tabs>
        <w:rPr>
          <w:color w:val="000000"/>
          <w:szCs w:val="22"/>
          <w:lang w:val="es-ES"/>
        </w:rPr>
      </w:pPr>
      <w:r w:rsidRPr="002D741C">
        <w:rPr>
          <w:color w:val="000000"/>
          <w:szCs w:val="22"/>
          <w:lang w:val="es-ES"/>
        </w:rPr>
        <w:t xml:space="preserve">En pacientes adultos y pediátricos, la efectividad de Glivec se basa en las tasas de respuesta hematológica y citogenética globales y en la supervivencia sin progresión en LMC, en las tasas de respuesta hematológica y citogenética en LLA Ph+, </w:t>
      </w:r>
      <w:smartTag w:uri="urn:schemas-microsoft-com:office:smarttags" w:element="stockticker">
        <w:r w:rsidRPr="002D741C">
          <w:rPr>
            <w:color w:val="000000"/>
            <w:szCs w:val="22"/>
            <w:lang w:val="es-ES"/>
          </w:rPr>
          <w:t>SMD</w:t>
        </w:r>
      </w:smartTag>
      <w:r w:rsidRPr="002D741C">
        <w:rPr>
          <w:color w:val="000000"/>
          <w:szCs w:val="22"/>
          <w:lang w:val="es-ES"/>
        </w:rPr>
        <w:t>/</w:t>
      </w:r>
      <w:smartTag w:uri="urn:schemas-microsoft-com:office:smarttags" w:element="stockticker">
        <w:r w:rsidRPr="002D741C">
          <w:rPr>
            <w:color w:val="000000"/>
            <w:szCs w:val="22"/>
            <w:lang w:val="es-ES"/>
          </w:rPr>
          <w:t>SMP</w:t>
        </w:r>
      </w:smartTag>
      <w:r w:rsidRPr="002D741C">
        <w:rPr>
          <w:color w:val="000000"/>
          <w:szCs w:val="22"/>
          <w:lang w:val="es-ES"/>
        </w:rPr>
        <w:t>, en las tasas de respuesta hematológica en SHE/LEC y en las tasas de respuesta objetiva en pacientes adultos con G</w:t>
      </w:r>
      <w:smartTag w:uri="urn:schemas-microsoft-com:office:smarttags" w:element="PersonName">
        <w:r w:rsidRPr="002D741C">
          <w:rPr>
            <w:color w:val="000000"/>
            <w:szCs w:val="22"/>
            <w:lang w:val="es-ES"/>
          </w:rPr>
          <w:t>IS</w:t>
        </w:r>
      </w:smartTag>
      <w:r w:rsidRPr="002D741C">
        <w:rPr>
          <w:color w:val="000000"/>
          <w:szCs w:val="22"/>
          <w:lang w:val="es-ES"/>
        </w:rPr>
        <w:t>T no resecable y/o metastásico y DFSP y en la supervivencia libre de recurrencia en adyuvancia de G</w:t>
      </w:r>
      <w:smartTag w:uri="urn:schemas-microsoft-com:office:smarttags" w:element="PersonName">
        <w:r w:rsidRPr="002D741C">
          <w:rPr>
            <w:color w:val="000000"/>
            <w:szCs w:val="22"/>
            <w:lang w:val="es-ES"/>
          </w:rPr>
          <w:t>IS</w:t>
        </w:r>
      </w:smartTag>
      <w:r w:rsidRPr="002D741C">
        <w:rPr>
          <w:color w:val="000000"/>
          <w:szCs w:val="22"/>
          <w:lang w:val="es-ES"/>
        </w:rPr>
        <w:t xml:space="preserve">T. La experiencia con Glivec en pacientes con </w:t>
      </w:r>
      <w:smartTag w:uri="urn:schemas-microsoft-com:office:smarttags" w:element="stockticker">
        <w:r w:rsidRPr="002D741C">
          <w:rPr>
            <w:color w:val="000000"/>
            <w:szCs w:val="22"/>
            <w:lang w:val="es-ES"/>
          </w:rPr>
          <w:t>SMD</w:t>
        </w:r>
      </w:smartTag>
      <w:r w:rsidRPr="002D741C">
        <w:rPr>
          <w:color w:val="000000"/>
          <w:szCs w:val="22"/>
          <w:lang w:val="es-ES"/>
        </w:rPr>
        <w:t>/</w:t>
      </w:r>
      <w:smartTag w:uri="urn:schemas-microsoft-com:office:smarttags" w:element="stockticker">
        <w:r w:rsidRPr="002D741C">
          <w:rPr>
            <w:color w:val="000000"/>
            <w:szCs w:val="22"/>
            <w:lang w:val="es-ES"/>
          </w:rPr>
          <w:t>SMP</w:t>
        </w:r>
      </w:smartTag>
      <w:r w:rsidRPr="002D741C">
        <w:rPr>
          <w:color w:val="000000"/>
          <w:szCs w:val="22"/>
          <w:lang w:val="es-ES"/>
        </w:rPr>
        <w:t xml:space="preserve"> asociados con el reordenamiento del gen del PDG</w:t>
      </w:r>
      <w:smartTag w:uri="urn:schemas-microsoft-com:office:smarttags" w:element="PersonName">
        <w:r w:rsidRPr="002D741C">
          <w:rPr>
            <w:color w:val="000000"/>
            <w:szCs w:val="22"/>
            <w:lang w:val="es-ES"/>
          </w:rPr>
          <w:t>FR</w:t>
        </w:r>
      </w:smartTag>
      <w:r w:rsidRPr="002D741C">
        <w:rPr>
          <w:color w:val="000000"/>
          <w:szCs w:val="22"/>
          <w:lang w:val="es-ES"/>
        </w:rPr>
        <w:t xml:space="preserve"> es muy limitada (ver sección 5.1). Excepto en LMC de diagnóstico reciente en fase crónica, no existen ensayos controlados que demuestren el beneficio clínico o el aumento de la supervivencia para estas enfermedades.</w:t>
      </w:r>
    </w:p>
    <w:p w14:paraId="5F338F40" w14:textId="77777777" w:rsidR="006D54C0" w:rsidRPr="002D741C" w:rsidRDefault="006D54C0" w:rsidP="006D54C0">
      <w:pPr>
        <w:pStyle w:val="EndnoteText"/>
        <w:widowControl w:val="0"/>
        <w:tabs>
          <w:tab w:val="clear" w:pos="567"/>
        </w:tabs>
        <w:rPr>
          <w:color w:val="000000"/>
          <w:szCs w:val="22"/>
          <w:lang w:val="es-ES"/>
        </w:rPr>
      </w:pPr>
    </w:p>
    <w:p w14:paraId="580B6F07" w14:textId="77777777" w:rsidR="006D54C0" w:rsidRPr="002D741C" w:rsidRDefault="006D54C0" w:rsidP="00AD13BE">
      <w:pPr>
        <w:keepNext/>
        <w:widowControl w:val="0"/>
        <w:ind w:left="567" w:hanging="567"/>
        <w:rPr>
          <w:color w:val="000000"/>
          <w:sz w:val="22"/>
          <w:szCs w:val="22"/>
        </w:rPr>
      </w:pPr>
      <w:r w:rsidRPr="002D741C">
        <w:rPr>
          <w:b/>
          <w:color w:val="000000"/>
          <w:sz w:val="22"/>
          <w:szCs w:val="22"/>
        </w:rPr>
        <w:t>4.2</w:t>
      </w:r>
      <w:r w:rsidRPr="002D741C">
        <w:rPr>
          <w:b/>
          <w:color w:val="000000"/>
          <w:sz w:val="22"/>
          <w:szCs w:val="22"/>
        </w:rPr>
        <w:tab/>
        <w:t>Posología y forma de administración</w:t>
      </w:r>
    </w:p>
    <w:p w14:paraId="49AF4525" w14:textId="77777777" w:rsidR="006D54C0" w:rsidRPr="002D741C" w:rsidRDefault="006D54C0" w:rsidP="00AD13BE">
      <w:pPr>
        <w:pStyle w:val="EndnoteText"/>
        <w:keepNext/>
        <w:widowControl w:val="0"/>
        <w:tabs>
          <w:tab w:val="clear" w:pos="567"/>
        </w:tabs>
        <w:rPr>
          <w:color w:val="000000"/>
          <w:szCs w:val="22"/>
          <w:lang w:val="es-ES"/>
        </w:rPr>
      </w:pPr>
    </w:p>
    <w:p w14:paraId="63FC81F8" w14:textId="77777777" w:rsidR="00DE24EB" w:rsidRPr="002D741C" w:rsidRDefault="00DE24EB" w:rsidP="005135FB">
      <w:pPr>
        <w:pStyle w:val="EndnoteText"/>
        <w:widowControl w:val="0"/>
        <w:tabs>
          <w:tab w:val="clear" w:pos="567"/>
        </w:tabs>
        <w:rPr>
          <w:color w:val="000000"/>
          <w:szCs w:val="22"/>
          <w:lang w:val="es-ES"/>
        </w:rPr>
      </w:pPr>
      <w:r w:rsidRPr="002D741C">
        <w:rPr>
          <w:color w:val="000000"/>
          <w:szCs w:val="22"/>
          <w:lang w:val="es-ES"/>
        </w:rPr>
        <w:t xml:space="preserve">El tratamiento debe ser iniciado por un médico experimentado en el tratamiento de pacientes con </w:t>
      </w:r>
      <w:r w:rsidR="005135FB" w:rsidRPr="002D741C">
        <w:rPr>
          <w:color w:val="000000"/>
          <w:szCs w:val="22"/>
          <w:lang w:val="es-ES"/>
        </w:rPr>
        <w:t>procesos malignos hematológicos y sarcomas malignos, según el caso</w:t>
      </w:r>
      <w:r w:rsidRPr="002D741C">
        <w:rPr>
          <w:color w:val="000000"/>
          <w:szCs w:val="22"/>
          <w:lang w:val="es-ES"/>
        </w:rPr>
        <w:t>.</w:t>
      </w:r>
    </w:p>
    <w:p w14:paraId="6912E5A7" w14:textId="77777777" w:rsidR="00DE24EB" w:rsidRPr="002D741C" w:rsidRDefault="00DE24EB" w:rsidP="00DE24EB">
      <w:pPr>
        <w:pStyle w:val="EndnoteText"/>
        <w:widowControl w:val="0"/>
        <w:tabs>
          <w:tab w:val="clear" w:pos="567"/>
        </w:tabs>
        <w:rPr>
          <w:color w:val="000000"/>
          <w:szCs w:val="22"/>
          <w:lang w:val="es-ES"/>
        </w:rPr>
      </w:pPr>
    </w:p>
    <w:p w14:paraId="15011A5A" w14:textId="77777777" w:rsidR="00676217" w:rsidRPr="002D741C" w:rsidRDefault="00676217" w:rsidP="00676217">
      <w:pPr>
        <w:pStyle w:val="EndnoteText"/>
        <w:widowControl w:val="0"/>
        <w:tabs>
          <w:tab w:val="clear" w:pos="567"/>
        </w:tabs>
        <w:rPr>
          <w:color w:val="000000"/>
          <w:szCs w:val="22"/>
          <w:lang w:val="es-ES"/>
        </w:rPr>
      </w:pPr>
      <w:r w:rsidRPr="002D741C">
        <w:rPr>
          <w:color w:val="000000"/>
          <w:szCs w:val="22"/>
          <w:lang w:val="es-ES"/>
        </w:rPr>
        <w:t>Para dosis distintas de 400 mg y 800 mg (v</w:t>
      </w:r>
      <w:r w:rsidR="005A3E72" w:rsidRPr="002D741C">
        <w:rPr>
          <w:color w:val="000000"/>
          <w:szCs w:val="22"/>
          <w:lang w:val="es-ES"/>
        </w:rPr>
        <w:t>er</w:t>
      </w:r>
      <w:r w:rsidRPr="002D741C">
        <w:rPr>
          <w:color w:val="000000"/>
          <w:szCs w:val="22"/>
          <w:lang w:val="es-ES"/>
        </w:rPr>
        <w:t xml:space="preserve"> la recomendación posológica siguiente) </w:t>
      </w:r>
      <w:r w:rsidR="00664E0A" w:rsidRPr="002D741C">
        <w:rPr>
          <w:color w:val="000000"/>
          <w:szCs w:val="22"/>
          <w:lang w:val="es-ES"/>
        </w:rPr>
        <w:t>esta</w:t>
      </w:r>
      <w:r w:rsidRPr="002D741C">
        <w:rPr>
          <w:color w:val="000000"/>
          <w:szCs w:val="22"/>
          <w:lang w:val="es-ES"/>
        </w:rPr>
        <w:t xml:space="preserve"> disponible un comprimido divisible de 100 mg.</w:t>
      </w:r>
    </w:p>
    <w:p w14:paraId="665CAAA3" w14:textId="77777777" w:rsidR="00DE24EB" w:rsidRPr="002D741C" w:rsidRDefault="00DE24EB" w:rsidP="00DE24EB">
      <w:pPr>
        <w:pStyle w:val="EndnoteText"/>
        <w:widowControl w:val="0"/>
        <w:tabs>
          <w:tab w:val="clear" w:pos="567"/>
        </w:tabs>
        <w:rPr>
          <w:color w:val="000000"/>
          <w:szCs w:val="22"/>
          <w:lang w:val="es-ES"/>
        </w:rPr>
      </w:pPr>
      <w:r w:rsidRPr="002D741C">
        <w:rPr>
          <w:color w:val="000000"/>
          <w:szCs w:val="22"/>
          <w:lang w:val="es-ES"/>
        </w:rPr>
        <w:t>Para dosis de 400</w:t>
      </w:r>
      <w:r w:rsidR="006171A6" w:rsidRPr="002D741C">
        <w:rPr>
          <w:color w:val="000000"/>
          <w:szCs w:val="22"/>
          <w:lang w:val="es-ES"/>
        </w:rPr>
        <w:t> mg</w:t>
      </w:r>
      <w:r w:rsidRPr="002D741C">
        <w:rPr>
          <w:color w:val="000000"/>
          <w:szCs w:val="22"/>
          <w:lang w:val="es-ES"/>
        </w:rPr>
        <w:t xml:space="preserve"> y superiores (véase la recomendación posológica siguiente) se encuentra disponible un comprimido de 400</w:t>
      </w:r>
      <w:r w:rsidR="006171A6" w:rsidRPr="002D741C">
        <w:rPr>
          <w:color w:val="000000"/>
          <w:szCs w:val="22"/>
          <w:lang w:val="es-ES"/>
        </w:rPr>
        <w:t> mg</w:t>
      </w:r>
      <w:r w:rsidRPr="002D741C">
        <w:rPr>
          <w:color w:val="000000"/>
          <w:szCs w:val="22"/>
          <w:lang w:val="es-ES"/>
        </w:rPr>
        <w:t xml:space="preserve"> (no divisible).</w:t>
      </w:r>
    </w:p>
    <w:p w14:paraId="0C0B150C" w14:textId="77777777" w:rsidR="00DE24EB" w:rsidRPr="002D741C" w:rsidRDefault="00DE24EB" w:rsidP="00DE24EB">
      <w:pPr>
        <w:pStyle w:val="EndnoteText"/>
        <w:widowControl w:val="0"/>
        <w:tabs>
          <w:tab w:val="clear" w:pos="567"/>
        </w:tabs>
        <w:rPr>
          <w:color w:val="000000"/>
          <w:szCs w:val="22"/>
          <w:lang w:val="es-ES"/>
        </w:rPr>
      </w:pPr>
    </w:p>
    <w:p w14:paraId="20331B11" w14:textId="77777777" w:rsidR="00EB7D4D" w:rsidRPr="002D741C" w:rsidRDefault="00FA4053" w:rsidP="00D861CA">
      <w:pPr>
        <w:pStyle w:val="EndnoteText"/>
        <w:widowControl w:val="0"/>
        <w:tabs>
          <w:tab w:val="clear" w:pos="567"/>
        </w:tabs>
        <w:rPr>
          <w:color w:val="000000"/>
          <w:szCs w:val="22"/>
          <w:lang w:val="es-ES"/>
        </w:rPr>
      </w:pPr>
      <w:r w:rsidRPr="002D741C">
        <w:rPr>
          <w:color w:val="000000"/>
          <w:szCs w:val="22"/>
          <w:lang w:val="es-ES"/>
        </w:rPr>
        <w:t>La dosis prescrita debe ser administrada oralmente con alimentos y con un gran vaso de agua para minimizar el riesgo de irritaciones gastrointestinales</w:t>
      </w:r>
      <w:r w:rsidR="000D5F31" w:rsidRPr="002D741C">
        <w:rPr>
          <w:color w:val="000000"/>
          <w:szCs w:val="22"/>
          <w:lang w:val="es-ES"/>
        </w:rPr>
        <w:t>.</w:t>
      </w:r>
      <w:r w:rsidR="00DE24EB" w:rsidRPr="002D741C">
        <w:rPr>
          <w:color w:val="000000"/>
          <w:szCs w:val="22"/>
          <w:lang w:val="es-ES"/>
        </w:rPr>
        <w:t xml:space="preserve"> </w:t>
      </w:r>
      <w:r w:rsidRPr="002D741C">
        <w:rPr>
          <w:color w:val="000000"/>
          <w:szCs w:val="22"/>
          <w:lang w:val="es-ES"/>
        </w:rPr>
        <w:t>Dosis de 400 mg ó 600 mg deben administrarse una vez al día, mientras que una dosis diaria de 800 mg debe administrarse en dosis de 400 mg dos veces al día, por la mañana y por la noche</w:t>
      </w:r>
      <w:r w:rsidR="000D5F31" w:rsidRPr="002D741C">
        <w:rPr>
          <w:color w:val="000000"/>
          <w:szCs w:val="22"/>
          <w:lang w:val="es-ES"/>
        </w:rPr>
        <w:t>.</w:t>
      </w:r>
    </w:p>
    <w:p w14:paraId="63A22D5F" w14:textId="77777777" w:rsidR="00072129" w:rsidRPr="002D741C" w:rsidRDefault="00072129" w:rsidP="00D861CA">
      <w:pPr>
        <w:pStyle w:val="EndnoteText"/>
        <w:widowControl w:val="0"/>
        <w:tabs>
          <w:tab w:val="clear" w:pos="567"/>
        </w:tabs>
        <w:rPr>
          <w:color w:val="000000"/>
          <w:szCs w:val="22"/>
          <w:lang w:val="es-ES_tradnl"/>
        </w:rPr>
      </w:pPr>
    </w:p>
    <w:p w14:paraId="5FB37951" w14:textId="77777777" w:rsidR="00DE24EB" w:rsidRPr="002D741C" w:rsidRDefault="00DE24EB" w:rsidP="00DE24EB">
      <w:pPr>
        <w:pStyle w:val="EndnoteText"/>
        <w:widowControl w:val="0"/>
        <w:tabs>
          <w:tab w:val="clear" w:pos="567"/>
        </w:tabs>
        <w:rPr>
          <w:color w:val="000000"/>
          <w:szCs w:val="22"/>
          <w:lang w:val="es-ES"/>
        </w:rPr>
      </w:pPr>
      <w:r w:rsidRPr="002D741C">
        <w:rPr>
          <w:color w:val="000000"/>
          <w:szCs w:val="22"/>
          <w:lang w:val="es-ES"/>
        </w:rPr>
        <w:t xml:space="preserve">Para los pacientes incapaces de tragar los comprimidos, éstos se pueden dispersar en un vaso de agua </w:t>
      </w:r>
      <w:r w:rsidR="005871DA" w:rsidRPr="002D741C">
        <w:rPr>
          <w:color w:val="000000"/>
          <w:szCs w:val="22"/>
          <w:lang w:val="es-ES"/>
        </w:rPr>
        <w:t xml:space="preserve">sin gas </w:t>
      </w:r>
      <w:r w:rsidRPr="002D741C">
        <w:rPr>
          <w:color w:val="000000"/>
          <w:szCs w:val="22"/>
          <w:lang w:val="es-ES"/>
        </w:rPr>
        <w:t>o de zumo de manzana. La cantidad requerida de comprimidos se deberá colocar en un volumen adecuado de bebida (aproximadamente 50</w:t>
      </w:r>
      <w:r w:rsidR="00DF063A" w:rsidRPr="002D741C">
        <w:rPr>
          <w:color w:val="000000"/>
          <w:szCs w:val="22"/>
          <w:lang w:val="es-ES"/>
        </w:rPr>
        <w:t> ml</w:t>
      </w:r>
      <w:r w:rsidRPr="002D741C">
        <w:rPr>
          <w:color w:val="000000"/>
          <w:szCs w:val="22"/>
          <w:lang w:val="es-ES"/>
        </w:rPr>
        <w:t xml:space="preserve"> para un comprimido de 100</w:t>
      </w:r>
      <w:r w:rsidR="006171A6" w:rsidRPr="002D741C">
        <w:rPr>
          <w:color w:val="000000"/>
          <w:szCs w:val="22"/>
          <w:lang w:val="es-ES"/>
        </w:rPr>
        <w:t> mg</w:t>
      </w:r>
      <w:r w:rsidRPr="002D741C">
        <w:rPr>
          <w:color w:val="000000"/>
          <w:szCs w:val="22"/>
          <w:lang w:val="es-ES"/>
        </w:rPr>
        <w:t xml:space="preserve"> y 200</w:t>
      </w:r>
      <w:r w:rsidR="00DF063A" w:rsidRPr="002D741C">
        <w:rPr>
          <w:color w:val="000000"/>
          <w:szCs w:val="22"/>
          <w:lang w:val="es-ES"/>
        </w:rPr>
        <w:t> ml</w:t>
      </w:r>
      <w:r w:rsidRPr="002D741C">
        <w:rPr>
          <w:color w:val="000000"/>
          <w:szCs w:val="22"/>
          <w:lang w:val="es-ES"/>
        </w:rPr>
        <w:t xml:space="preserve"> para un comprimido de 400</w:t>
      </w:r>
      <w:r w:rsidR="006171A6" w:rsidRPr="002D741C">
        <w:rPr>
          <w:color w:val="000000"/>
          <w:szCs w:val="22"/>
          <w:lang w:val="es-ES"/>
        </w:rPr>
        <w:t> mg</w:t>
      </w:r>
      <w:r w:rsidRPr="002D741C">
        <w:rPr>
          <w:color w:val="000000"/>
          <w:szCs w:val="22"/>
          <w:lang w:val="es-ES"/>
        </w:rPr>
        <w:t>) y removerse con una cuchara. Debe administrarse la suspensión inmediatamente después de la disgregación completa del comprimido.</w:t>
      </w:r>
    </w:p>
    <w:p w14:paraId="0341F02C" w14:textId="77777777" w:rsidR="00DE24EB" w:rsidRPr="002D741C" w:rsidRDefault="00DE24EB" w:rsidP="00DE24EB">
      <w:pPr>
        <w:pStyle w:val="EndnoteText"/>
        <w:widowControl w:val="0"/>
        <w:tabs>
          <w:tab w:val="clear" w:pos="567"/>
        </w:tabs>
        <w:rPr>
          <w:color w:val="000000"/>
          <w:szCs w:val="22"/>
          <w:lang w:val="es-ES"/>
        </w:rPr>
      </w:pPr>
    </w:p>
    <w:p w14:paraId="13A77000" w14:textId="77777777" w:rsidR="006D54C0" w:rsidRPr="002D741C" w:rsidRDefault="006D54C0" w:rsidP="00AD13BE">
      <w:pPr>
        <w:pStyle w:val="EndnoteText"/>
        <w:keepNext/>
        <w:widowControl w:val="0"/>
        <w:tabs>
          <w:tab w:val="clear" w:pos="567"/>
        </w:tabs>
        <w:rPr>
          <w:color w:val="000000"/>
          <w:szCs w:val="22"/>
          <w:u w:val="single"/>
          <w:lang w:val="es-ES"/>
        </w:rPr>
      </w:pPr>
      <w:r w:rsidRPr="002D741C">
        <w:rPr>
          <w:color w:val="000000"/>
          <w:szCs w:val="22"/>
          <w:u w:val="single"/>
          <w:lang w:val="es-ES"/>
        </w:rPr>
        <w:t>Posología para LMC en pacientes adultos</w:t>
      </w:r>
    </w:p>
    <w:p w14:paraId="19806355" w14:textId="77777777" w:rsidR="006D54C0" w:rsidRPr="002D741C" w:rsidRDefault="006D54C0" w:rsidP="006D54C0">
      <w:pPr>
        <w:pStyle w:val="EndnoteText"/>
        <w:widowControl w:val="0"/>
        <w:tabs>
          <w:tab w:val="clear" w:pos="567"/>
        </w:tabs>
        <w:rPr>
          <w:color w:val="000000"/>
          <w:szCs w:val="22"/>
          <w:lang w:val="es-ES"/>
        </w:rPr>
      </w:pPr>
      <w:r w:rsidRPr="002D741C">
        <w:rPr>
          <w:color w:val="000000"/>
          <w:szCs w:val="22"/>
          <w:lang w:val="es-ES"/>
        </w:rPr>
        <w:t xml:space="preserve">La dosis recomendada de Glivec para pacientes </w:t>
      </w:r>
      <w:r w:rsidR="00A875CE" w:rsidRPr="002D741C">
        <w:rPr>
          <w:color w:val="000000"/>
          <w:szCs w:val="22"/>
          <w:lang w:val="es-ES"/>
        </w:rPr>
        <w:t xml:space="preserve">adultos </w:t>
      </w:r>
      <w:r w:rsidRPr="002D741C">
        <w:rPr>
          <w:color w:val="000000"/>
          <w:szCs w:val="22"/>
          <w:lang w:val="es-ES"/>
        </w:rPr>
        <w:t xml:space="preserve">con LMC en fase crónica es de 400 mg/día. La fase crónica de </w:t>
      </w:r>
      <w:smartTag w:uri="urn:schemas-microsoft-com:office:smarttags" w:element="PersonName">
        <w:smartTagPr>
          <w:attr w:name="ProductID" w:val="la LMC"/>
        </w:smartTagPr>
        <w:r w:rsidRPr="002D741C">
          <w:rPr>
            <w:color w:val="000000"/>
            <w:szCs w:val="22"/>
            <w:lang w:val="es-ES"/>
          </w:rPr>
          <w:t>la LMC</w:t>
        </w:r>
      </w:smartTag>
      <w:r w:rsidRPr="002D741C">
        <w:rPr>
          <w:color w:val="000000"/>
          <w:szCs w:val="22"/>
          <w:lang w:val="es-ES"/>
        </w:rPr>
        <w:t xml:space="preserve"> está definida por los siguientes criterios: blastos &lt; 15% en sangre y en médula ósea, basófilos en sangre periférica &lt; 20%, plaquetas &gt; 100 x 10</w:t>
      </w:r>
      <w:r w:rsidRPr="002D741C">
        <w:rPr>
          <w:color w:val="000000"/>
          <w:szCs w:val="22"/>
          <w:vertAlign w:val="superscript"/>
          <w:lang w:val="es-ES"/>
        </w:rPr>
        <w:t>9</w:t>
      </w:r>
      <w:r w:rsidRPr="002D741C">
        <w:rPr>
          <w:color w:val="000000"/>
          <w:szCs w:val="22"/>
          <w:lang w:val="es-ES"/>
        </w:rPr>
        <w:t>/l.</w:t>
      </w:r>
    </w:p>
    <w:p w14:paraId="6D6F6840" w14:textId="77777777" w:rsidR="006D54C0" w:rsidRPr="002D741C" w:rsidRDefault="006D54C0" w:rsidP="006D54C0">
      <w:pPr>
        <w:pStyle w:val="EndnoteText"/>
        <w:widowControl w:val="0"/>
        <w:tabs>
          <w:tab w:val="clear" w:pos="567"/>
        </w:tabs>
        <w:rPr>
          <w:color w:val="000000"/>
          <w:szCs w:val="22"/>
          <w:lang w:val="es-ES"/>
        </w:rPr>
      </w:pPr>
    </w:p>
    <w:p w14:paraId="65FF5E2D" w14:textId="77777777" w:rsidR="006D54C0" w:rsidRPr="002D741C" w:rsidRDefault="006D54C0" w:rsidP="006D54C0">
      <w:pPr>
        <w:pStyle w:val="EndnoteText"/>
        <w:widowControl w:val="0"/>
        <w:tabs>
          <w:tab w:val="clear" w:pos="567"/>
        </w:tabs>
        <w:rPr>
          <w:color w:val="000000"/>
          <w:szCs w:val="22"/>
          <w:lang w:val="es-ES"/>
        </w:rPr>
      </w:pPr>
      <w:r w:rsidRPr="002D741C">
        <w:rPr>
          <w:color w:val="000000"/>
          <w:szCs w:val="22"/>
          <w:lang w:val="es-ES"/>
        </w:rPr>
        <w:t xml:space="preserve">La dosis recomendada de Glivec para pacientes </w:t>
      </w:r>
      <w:r w:rsidR="00A875CE" w:rsidRPr="002D741C">
        <w:rPr>
          <w:color w:val="000000"/>
          <w:szCs w:val="22"/>
          <w:lang w:val="es-ES"/>
        </w:rPr>
        <w:t xml:space="preserve">adultos </w:t>
      </w:r>
      <w:r w:rsidRPr="002D741C">
        <w:rPr>
          <w:color w:val="000000"/>
          <w:szCs w:val="22"/>
          <w:lang w:val="es-ES"/>
        </w:rPr>
        <w:t xml:space="preserve">en fase acelerada es de 600 mg/día. La fase acelerada está definida por la presencia de cualquiera de los siguientes parámetros: blastos </w:t>
      </w:r>
      <w:r w:rsidRPr="002D741C">
        <w:rPr>
          <w:color w:val="000000"/>
          <w:szCs w:val="22"/>
          <w:lang w:val="es-ES"/>
        </w:rPr>
        <w:sym w:font="Symbol" w:char="F0B3"/>
      </w:r>
      <w:r w:rsidRPr="002D741C">
        <w:rPr>
          <w:color w:val="000000"/>
          <w:szCs w:val="22"/>
          <w:lang w:val="es-ES"/>
        </w:rPr>
        <w:t xml:space="preserve"> 15% pero &lt; 30% en sangre o en médula ósea, blastos más promielocitos </w:t>
      </w:r>
      <w:r w:rsidRPr="002D741C">
        <w:rPr>
          <w:color w:val="000000"/>
          <w:szCs w:val="22"/>
          <w:lang w:val="es-ES"/>
        </w:rPr>
        <w:sym w:font="Symbol" w:char="F0B3"/>
      </w:r>
      <w:r w:rsidRPr="002D741C">
        <w:rPr>
          <w:color w:val="000000"/>
          <w:szCs w:val="22"/>
          <w:lang w:val="es-ES"/>
        </w:rPr>
        <w:t xml:space="preserve"> 30% en sangre o en médula ósea (siempre que blastos &lt; 30%), basófilos en sangre periférica </w:t>
      </w:r>
      <w:r w:rsidRPr="002D741C">
        <w:rPr>
          <w:color w:val="000000"/>
          <w:szCs w:val="22"/>
          <w:lang w:val="es-ES"/>
        </w:rPr>
        <w:sym w:font="Symbol" w:char="F0B3"/>
      </w:r>
      <w:r w:rsidRPr="002D741C">
        <w:rPr>
          <w:color w:val="000000"/>
          <w:szCs w:val="22"/>
          <w:lang w:val="es-ES"/>
        </w:rPr>
        <w:t> 20%, plaquetas &lt; 100 x 10</w:t>
      </w:r>
      <w:r w:rsidRPr="002D741C">
        <w:rPr>
          <w:color w:val="000000"/>
          <w:szCs w:val="22"/>
          <w:vertAlign w:val="superscript"/>
          <w:lang w:val="es-ES"/>
        </w:rPr>
        <w:t>9</w:t>
      </w:r>
      <w:r w:rsidRPr="002D741C">
        <w:rPr>
          <w:color w:val="000000"/>
          <w:szCs w:val="22"/>
          <w:lang w:val="es-ES"/>
        </w:rPr>
        <w:t>/l no relacionados con el tratamiento.</w:t>
      </w:r>
    </w:p>
    <w:p w14:paraId="10CCD92A" w14:textId="77777777" w:rsidR="006D54C0" w:rsidRPr="002D741C" w:rsidRDefault="006D54C0" w:rsidP="006D54C0">
      <w:pPr>
        <w:pStyle w:val="EndnoteText"/>
        <w:widowControl w:val="0"/>
        <w:tabs>
          <w:tab w:val="clear" w:pos="567"/>
        </w:tabs>
        <w:rPr>
          <w:color w:val="000000"/>
          <w:szCs w:val="22"/>
          <w:lang w:val="es-ES"/>
        </w:rPr>
      </w:pPr>
    </w:p>
    <w:p w14:paraId="1DB3DA8E" w14:textId="77777777" w:rsidR="006D54C0" w:rsidRPr="002D741C" w:rsidRDefault="006D54C0" w:rsidP="006D54C0">
      <w:pPr>
        <w:pStyle w:val="EndnoteText"/>
        <w:widowControl w:val="0"/>
        <w:tabs>
          <w:tab w:val="clear" w:pos="567"/>
        </w:tabs>
        <w:rPr>
          <w:color w:val="000000"/>
          <w:szCs w:val="22"/>
          <w:lang w:val="es-ES"/>
        </w:rPr>
      </w:pPr>
      <w:r w:rsidRPr="002D741C">
        <w:rPr>
          <w:color w:val="000000"/>
          <w:szCs w:val="22"/>
          <w:lang w:val="es-ES"/>
        </w:rPr>
        <w:t xml:space="preserve">La dosis recomendada de Glivec para pacientes </w:t>
      </w:r>
      <w:r w:rsidR="00A875CE" w:rsidRPr="002D741C">
        <w:rPr>
          <w:color w:val="000000"/>
          <w:szCs w:val="22"/>
          <w:lang w:val="es-ES"/>
        </w:rPr>
        <w:t xml:space="preserve">adultos </w:t>
      </w:r>
      <w:r w:rsidRPr="002D741C">
        <w:rPr>
          <w:color w:val="000000"/>
          <w:szCs w:val="22"/>
          <w:lang w:val="es-ES"/>
        </w:rPr>
        <w:t xml:space="preserve">en crisis blástica es de 600 mg/día. La crisis blástica está definida como blastos </w:t>
      </w:r>
      <w:r w:rsidRPr="002D741C">
        <w:rPr>
          <w:color w:val="000000"/>
          <w:szCs w:val="22"/>
          <w:lang w:val="es-ES"/>
        </w:rPr>
        <w:sym w:font="Symbol" w:char="F0B3"/>
      </w:r>
      <w:r w:rsidRPr="002D741C">
        <w:rPr>
          <w:color w:val="000000"/>
          <w:szCs w:val="22"/>
          <w:lang w:val="es-ES"/>
        </w:rPr>
        <w:t> 30% en sangre o médula ósea, o enfermedad extramedular diferente a la hepatosplenomegalia.</w:t>
      </w:r>
    </w:p>
    <w:p w14:paraId="17D43934" w14:textId="77777777" w:rsidR="006D54C0" w:rsidRPr="002D741C" w:rsidRDefault="006D54C0" w:rsidP="006D54C0">
      <w:pPr>
        <w:pStyle w:val="EndnoteText"/>
        <w:widowControl w:val="0"/>
        <w:tabs>
          <w:tab w:val="clear" w:pos="567"/>
        </w:tabs>
        <w:rPr>
          <w:color w:val="000000"/>
          <w:szCs w:val="22"/>
          <w:lang w:val="es-ES"/>
        </w:rPr>
      </w:pPr>
    </w:p>
    <w:p w14:paraId="43A33B89" w14:textId="77777777" w:rsidR="006D54C0" w:rsidRPr="002D741C" w:rsidRDefault="006D54C0" w:rsidP="006D54C0">
      <w:pPr>
        <w:pStyle w:val="EndnoteText"/>
        <w:widowControl w:val="0"/>
        <w:tabs>
          <w:tab w:val="clear" w:pos="567"/>
        </w:tabs>
        <w:rPr>
          <w:color w:val="000000"/>
          <w:szCs w:val="22"/>
          <w:lang w:val="es-ES"/>
        </w:rPr>
      </w:pPr>
      <w:r w:rsidRPr="002D741C">
        <w:rPr>
          <w:color w:val="000000"/>
          <w:szCs w:val="22"/>
          <w:lang w:val="es-ES"/>
        </w:rPr>
        <w:t xml:space="preserve">Duración del tratamiento: En los ensayos clínicos, el tratamiento con Glivec se continuó hasta la progresión de la enfermedad. No se ha estudiado el efecto de la interrupción del tratamiento después </w:t>
      </w:r>
      <w:r w:rsidRPr="002D741C">
        <w:rPr>
          <w:color w:val="000000"/>
          <w:szCs w:val="22"/>
          <w:lang w:val="es-ES"/>
        </w:rPr>
        <w:lastRenderedPageBreak/>
        <w:t>de conseguir una respuesta citogenética completa.</w:t>
      </w:r>
    </w:p>
    <w:p w14:paraId="682FC0B9" w14:textId="77777777" w:rsidR="006D54C0" w:rsidRPr="002D741C" w:rsidRDefault="006D54C0" w:rsidP="006D54C0">
      <w:pPr>
        <w:pStyle w:val="EndnoteText"/>
        <w:widowControl w:val="0"/>
        <w:tabs>
          <w:tab w:val="clear" w:pos="567"/>
        </w:tabs>
        <w:rPr>
          <w:color w:val="000000"/>
          <w:szCs w:val="22"/>
          <w:lang w:val="es-ES"/>
        </w:rPr>
      </w:pPr>
    </w:p>
    <w:p w14:paraId="0B015DC4" w14:textId="77777777" w:rsidR="006D54C0" w:rsidRPr="002D741C" w:rsidRDefault="006D54C0" w:rsidP="006D54C0">
      <w:pPr>
        <w:pStyle w:val="EndnoteText"/>
        <w:widowControl w:val="0"/>
        <w:tabs>
          <w:tab w:val="clear" w:pos="567"/>
        </w:tabs>
        <w:rPr>
          <w:color w:val="000000"/>
          <w:szCs w:val="22"/>
          <w:lang w:val="es-ES"/>
        </w:rPr>
      </w:pPr>
      <w:r w:rsidRPr="002D741C">
        <w:rPr>
          <w:color w:val="000000"/>
          <w:szCs w:val="22"/>
          <w:lang w:val="es-ES"/>
        </w:rPr>
        <w:t>Los aumentos de la dosis de 400 mg a 600 mg ó 800 mg en pacientes en fase crónica de la enfermedad, o de 600 mg hasta un máximo de 800 mg (administrados en dosis de 400 mg dos veces al día) en pacientes en fase acelerada o crisis blástica, pueden considerarse en ausencia de reacciones adversas severas y neutropenia o trombocitopenia severas no relacionadas con la leucemia, en las siguientes circunstancias: progresión de la enfermedad (en cualquier momento); si no se consigue una respuesta hematológica satisfactoria después de por lo menos 3 meses de tratamiento; si no se consigue una respuesta citogenética después de 12 meses de tratamiento, o pérdida de la respuesta hematológica y/o citogenética alcanzada previamente. Debido a la posibilidad de un aumento de la incidencia de reacciones adversas a dosis superiores, los pacientes deben ser estrechamente controlados tras la escalada de dosis.</w:t>
      </w:r>
    </w:p>
    <w:p w14:paraId="4E76D289" w14:textId="77777777" w:rsidR="006D54C0" w:rsidRPr="002D741C" w:rsidRDefault="006D54C0" w:rsidP="006D54C0">
      <w:pPr>
        <w:pStyle w:val="EndnoteText"/>
        <w:widowControl w:val="0"/>
        <w:tabs>
          <w:tab w:val="clear" w:pos="567"/>
        </w:tabs>
        <w:rPr>
          <w:color w:val="000000"/>
          <w:szCs w:val="22"/>
          <w:lang w:val="es-ES"/>
        </w:rPr>
      </w:pPr>
    </w:p>
    <w:p w14:paraId="3F77C3A9" w14:textId="77777777" w:rsidR="006D54C0" w:rsidRPr="002D741C" w:rsidRDefault="006D54C0" w:rsidP="00AD13BE">
      <w:pPr>
        <w:pStyle w:val="EndnoteText"/>
        <w:keepNext/>
        <w:widowControl w:val="0"/>
        <w:tabs>
          <w:tab w:val="clear" w:pos="567"/>
        </w:tabs>
        <w:rPr>
          <w:color w:val="000000"/>
          <w:szCs w:val="22"/>
          <w:u w:val="single"/>
          <w:lang w:val="es-ES"/>
        </w:rPr>
      </w:pPr>
      <w:r w:rsidRPr="002D741C">
        <w:rPr>
          <w:color w:val="000000"/>
          <w:szCs w:val="22"/>
          <w:u w:val="single"/>
          <w:lang w:val="es-ES"/>
        </w:rPr>
        <w:t>Posología para LMC en niños</w:t>
      </w:r>
    </w:p>
    <w:p w14:paraId="709A07D4" w14:textId="77777777" w:rsidR="006D54C0" w:rsidRPr="002D741C" w:rsidRDefault="006D54C0" w:rsidP="006D54C0">
      <w:pPr>
        <w:pStyle w:val="EndnoteText"/>
        <w:widowControl w:val="0"/>
        <w:tabs>
          <w:tab w:val="clear" w:pos="567"/>
        </w:tabs>
        <w:rPr>
          <w:color w:val="000000"/>
          <w:szCs w:val="22"/>
          <w:lang w:val="es-ES"/>
        </w:rPr>
      </w:pPr>
      <w:r w:rsidRPr="002D741C">
        <w:rPr>
          <w:color w:val="000000"/>
          <w:szCs w:val="22"/>
          <w:lang w:val="es-ES"/>
        </w:rPr>
        <w:t>La dosificación en niños deberá basarse en la superficie corporal (mg/m</w:t>
      </w:r>
      <w:r w:rsidRPr="002D741C">
        <w:rPr>
          <w:color w:val="000000"/>
          <w:szCs w:val="22"/>
          <w:vertAlign w:val="superscript"/>
          <w:lang w:val="es-ES"/>
        </w:rPr>
        <w:t>2</w:t>
      </w:r>
      <w:r w:rsidRPr="002D741C">
        <w:rPr>
          <w:color w:val="000000"/>
          <w:szCs w:val="22"/>
          <w:lang w:val="es-ES"/>
        </w:rPr>
        <w:t>). Se recomienda una dosis de 340 mg/m</w:t>
      </w:r>
      <w:r w:rsidRPr="002D741C">
        <w:rPr>
          <w:color w:val="000000"/>
          <w:szCs w:val="22"/>
          <w:vertAlign w:val="superscript"/>
          <w:lang w:val="es-ES"/>
        </w:rPr>
        <w:t>2</w:t>
      </w:r>
      <w:r w:rsidRPr="002D741C">
        <w:rPr>
          <w:color w:val="000000"/>
          <w:szCs w:val="22"/>
          <w:lang w:val="es-ES"/>
        </w:rPr>
        <w:t xml:space="preserve"> al día en niños con LMC en fase crónica y LMC en fases avanzadas (sin superar la dosis total de 800 mg). El tratamiento puede administrarse una vez al día o, alternativamente, puede dividirse la dosis en dos administraciones – una por la mañana y otra por la noche. La recomendación posológica se basa actualmente en un número pequeño de pacientes pediátricos (ver secciones 5.1 y 5.2). No existe experiencia en el tratamiento de niños menores de 2 años de edad.</w:t>
      </w:r>
    </w:p>
    <w:p w14:paraId="602B3D42" w14:textId="77777777" w:rsidR="006D54C0" w:rsidRPr="002D741C" w:rsidRDefault="006D54C0" w:rsidP="006D54C0">
      <w:pPr>
        <w:pStyle w:val="EndnoteText"/>
        <w:widowControl w:val="0"/>
        <w:tabs>
          <w:tab w:val="clear" w:pos="567"/>
        </w:tabs>
        <w:rPr>
          <w:color w:val="000000"/>
          <w:szCs w:val="22"/>
          <w:lang w:val="es-ES"/>
        </w:rPr>
      </w:pPr>
    </w:p>
    <w:p w14:paraId="75DA06E2" w14:textId="77777777" w:rsidR="006D54C0" w:rsidRPr="002D741C" w:rsidRDefault="006D54C0" w:rsidP="006D54C0">
      <w:pPr>
        <w:pStyle w:val="EndnoteText"/>
        <w:widowControl w:val="0"/>
        <w:tabs>
          <w:tab w:val="clear" w:pos="567"/>
        </w:tabs>
        <w:rPr>
          <w:color w:val="000000"/>
          <w:szCs w:val="22"/>
          <w:lang w:val="es-ES"/>
        </w:rPr>
      </w:pPr>
      <w:r w:rsidRPr="002D741C">
        <w:rPr>
          <w:color w:val="000000"/>
          <w:szCs w:val="22"/>
          <w:lang w:val="es-ES"/>
        </w:rPr>
        <w:t>Se pueden considerar aumentos de dosis de 340 mg/</w:t>
      </w:r>
      <w:r w:rsidRPr="002D741C">
        <w:rPr>
          <w:color w:val="000000"/>
          <w:szCs w:val="22"/>
          <w:lang w:val="es-ES_tradnl"/>
        </w:rPr>
        <w:t>m</w:t>
      </w:r>
      <w:r w:rsidRPr="002D741C">
        <w:rPr>
          <w:color w:val="000000"/>
          <w:szCs w:val="22"/>
          <w:vertAlign w:val="superscript"/>
          <w:lang w:val="es-ES_tradnl"/>
        </w:rPr>
        <w:t>2</w:t>
      </w:r>
      <w:r w:rsidRPr="002D741C">
        <w:rPr>
          <w:color w:val="000000"/>
          <w:szCs w:val="22"/>
          <w:lang w:val="es-ES_tradnl"/>
        </w:rPr>
        <w:t xml:space="preserve"> diarios a 570 </w:t>
      </w:r>
      <w:r w:rsidRPr="002D741C">
        <w:rPr>
          <w:color w:val="000000"/>
          <w:szCs w:val="22"/>
          <w:lang w:val="es-ES"/>
        </w:rPr>
        <w:t>mg/</w:t>
      </w:r>
      <w:r w:rsidRPr="002D741C">
        <w:rPr>
          <w:color w:val="000000"/>
          <w:szCs w:val="22"/>
          <w:lang w:val="es-ES_tradnl"/>
        </w:rPr>
        <w:t>m</w:t>
      </w:r>
      <w:r w:rsidRPr="002D741C">
        <w:rPr>
          <w:color w:val="000000"/>
          <w:szCs w:val="22"/>
          <w:vertAlign w:val="superscript"/>
          <w:lang w:val="es-ES_tradnl"/>
        </w:rPr>
        <w:t>2</w:t>
      </w:r>
      <w:r w:rsidRPr="002D741C">
        <w:rPr>
          <w:color w:val="000000"/>
          <w:szCs w:val="22"/>
          <w:lang w:val="es-ES_tradnl"/>
        </w:rPr>
        <w:t xml:space="preserve"> diarios (sin superar la dosis total de 800 mg) en niños, en ausencia de reacciones adversas graves y de neutropenia o trombocitopenia no relacionados con la leucemia, en las siguientes circunstancias: progresión de la enfermedad (en cualquier momento); si no se consigue una respuesta hematológica satisfactoria después de por lo menos 3 meses de tratamiento, si no se consigue una respuesta citogenética después de 12 meses de tratamiento, o pérdida de respuesta hematológica y/o citogenética alcanzada previamente. </w:t>
      </w:r>
      <w:r w:rsidRPr="002D741C">
        <w:rPr>
          <w:color w:val="000000"/>
          <w:szCs w:val="22"/>
          <w:lang w:val="es-ES"/>
        </w:rPr>
        <w:t>Debido a la posibilidad de un aumento de la incidencia de reacciones adversas a dosis superiores, los pacientes deben ser estrechamente controlados tras la escalada de dosis.</w:t>
      </w:r>
    </w:p>
    <w:p w14:paraId="4846FA3F" w14:textId="77777777" w:rsidR="006D54C0" w:rsidRPr="002D741C" w:rsidRDefault="006D54C0" w:rsidP="006D54C0">
      <w:pPr>
        <w:pStyle w:val="EndnoteText"/>
        <w:widowControl w:val="0"/>
        <w:tabs>
          <w:tab w:val="clear" w:pos="567"/>
        </w:tabs>
        <w:rPr>
          <w:color w:val="000000"/>
          <w:szCs w:val="22"/>
          <w:u w:val="single"/>
          <w:lang w:val="es-ES"/>
        </w:rPr>
      </w:pPr>
    </w:p>
    <w:p w14:paraId="65FB1D53" w14:textId="77777777" w:rsidR="006D54C0" w:rsidRPr="002D741C" w:rsidRDefault="006D54C0" w:rsidP="00AD13BE">
      <w:pPr>
        <w:pStyle w:val="EndnoteText"/>
        <w:keepNext/>
        <w:widowControl w:val="0"/>
        <w:tabs>
          <w:tab w:val="clear" w:pos="567"/>
        </w:tabs>
        <w:rPr>
          <w:color w:val="000000"/>
          <w:szCs w:val="22"/>
          <w:u w:val="single"/>
          <w:lang w:val="es-ES"/>
        </w:rPr>
      </w:pPr>
      <w:r w:rsidRPr="002D741C">
        <w:rPr>
          <w:color w:val="000000"/>
          <w:szCs w:val="22"/>
          <w:u w:val="single"/>
          <w:lang w:val="es-ES"/>
        </w:rPr>
        <w:t>Posología para LLA Ph+</w:t>
      </w:r>
      <w:r w:rsidR="00A8564A" w:rsidRPr="002D741C">
        <w:rPr>
          <w:color w:val="000000"/>
          <w:szCs w:val="22"/>
          <w:u w:val="single"/>
          <w:lang w:val="es-ES"/>
        </w:rPr>
        <w:t xml:space="preserve"> en pacientes adultos</w:t>
      </w:r>
    </w:p>
    <w:p w14:paraId="6DA0DC35" w14:textId="77777777" w:rsidR="006D54C0" w:rsidRPr="002D741C" w:rsidRDefault="006D54C0" w:rsidP="006D54C0">
      <w:pPr>
        <w:pStyle w:val="EndnoteText"/>
        <w:widowControl w:val="0"/>
        <w:tabs>
          <w:tab w:val="clear" w:pos="567"/>
        </w:tabs>
        <w:rPr>
          <w:color w:val="000000"/>
          <w:szCs w:val="22"/>
          <w:lang w:val="es-ES"/>
        </w:rPr>
      </w:pPr>
      <w:r w:rsidRPr="002D741C">
        <w:rPr>
          <w:color w:val="000000"/>
          <w:szCs w:val="22"/>
          <w:lang w:val="es-ES"/>
        </w:rPr>
        <w:t xml:space="preserve">La dosis recomendada de Glivec para pacientes </w:t>
      </w:r>
      <w:r w:rsidR="00A875CE" w:rsidRPr="002D741C">
        <w:rPr>
          <w:color w:val="000000"/>
          <w:szCs w:val="22"/>
          <w:lang w:val="es-ES"/>
        </w:rPr>
        <w:t xml:space="preserve">adultos </w:t>
      </w:r>
      <w:r w:rsidRPr="002D741C">
        <w:rPr>
          <w:color w:val="000000"/>
          <w:szCs w:val="22"/>
          <w:lang w:val="es-ES"/>
        </w:rPr>
        <w:t>con LLA Ph+ es de 600 mg/día. Los hematólogos con experiencia en el manejo de esta enfermedad deben supervisar el tratamiento durante todas las fases.</w:t>
      </w:r>
    </w:p>
    <w:p w14:paraId="4F2CBC0A" w14:textId="77777777" w:rsidR="006D54C0" w:rsidRPr="002D741C" w:rsidRDefault="006D54C0" w:rsidP="006D54C0">
      <w:pPr>
        <w:pStyle w:val="EndnoteText"/>
        <w:widowControl w:val="0"/>
        <w:tabs>
          <w:tab w:val="clear" w:pos="567"/>
        </w:tabs>
        <w:rPr>
          <w:color w:val="000000"/>
          <w:szCs w:val="22"/>
          <w:lang w:val="es-ES"/>
        </w:rPr>
      </w:pPr>
    </w:p>
    <w:p w14:paraId="02369CEF" w14:textId="77777777" w:rsidR="006D54C0" w:rsidRPr="002D741C" w:rsidRDefault="006D54C0" w:rsidP="006D54C0">
      <w:pPr>
        <w:pStyle w:val="EndnoteText"/>
        <w:widowControl w:val="0"/>
        <w:tabs>
          <w:tab w:val="clear" w:pos="567"/>
        </w:tabs>
        <w:rPr>
          <w:color w:val="000000"/>
          <w:szCs w:val="22"/>
          <w:lang w:val="es-ES"/>
        </w:rPr>
      </w:pPr>
      <w:r w:rsidRPr="002D741C">
        <w:rPr>
          <w:color w:val="000000"/>
          <w:szCs w:val="22"/>
          <w:lang w:val="es-ES"/>
        </w:rPr>
        <w:t>Pauta de tratamiento: En base a los datos existentes, Glivec ha demostrado ser eficaz y seguro cuando se administró a dosis de 600 mg/día combinado con quimioterapia en la fase de inducción, las fases de consolidación y mantenimiento de la quimioterapia (ver sección 5.1) para pacientes adultos con LLA Ph+ de diagnóstico reciente. La duración del tratamiento con Glivec puede variar con el programa de tratamiento seleccionado, pero generalmente las exposiciones más prolongadas a Glivec han mostrado mejores resultados.</w:t>
      </w:r>
    </w:p>
    <w:p w14:paraId="042F3360" w14:textId="77777777" w:rsidR="006D54C0" w:rsidRPr="002D741C" w:rsidRDefault="006D54C0" w:rsidP="006D54C0">
      <w:pPr>
        <w:pStyle w:val="EndnoteText"/>
        <w:widowControl w:val="0"/>
        <w:tabs>
          <w:tab w:val="clear" w:pos="567"/>
        </w:tabs>
        <w:rPr>
          <w:color w:val="000000"/>
          <w:szCs w:val="22"/>
          <w:lang w:val="es-ES"/>
        </w:rPr>
      </w:pPr>
    </w:p>
    <w:p w14:paraId="21D2A659" w14:textId="77777777" w:rsidR="006D54C0" w:rsidRPr="002D741C" w:rsidRDefault="006D54C0" w:rsidP="006D54C0">
      <w:pPr>
        <w:pStyle w:val="EndnoteText"/>
        <w:widowControl w:val="0"/>
        <w:tabs>
          <w:tab w:val="clear" w:pos="567"/>
        </w:tabs>
        <w:rPr>
          <w:color w:val="000000"/>
          <w:szCs w:val="22"/>
          <w:lang w:val="es-ES"/>
        </w:rPr>
      </w:pPr>
      <w:r w:rsidRPr="002D741C">
        <w:rPr>
          <w:color w:val="000000"/>
          <w:szCs w:val="22"/>
          <w:lang w:val="es-ES"/>
        </w:rPr>
        <w:t>Para pacientes adultos con LLA Ph+ refractaria o en recaída, la monoterapia con Glivec a 600 mg/día es segura, eficaz y puede administrarse hasta la progresión de la enfermedad.</w:t>
      </w:r>
    </w:p>
    <w:p w14:paraId="29445ED8" w14:textId="77777777" w:rsidR="00A8564A" w:rsidRPr="002D741C" w:rsidRDefault="00A8564A" w:rsidP="00A8564A">
      <w:pPr>
        <w:pStyle w:val="EndnoteText"/>
        <w:widowControl w:val="0"/>
        <w:tabs>
          <w:tab w:val="clear" w:pos="567"/>
        </w:tabs>
        <w:rPr>
          <w:color w:val="000000"/>
          <w:szCs w:val="22"/>
          <w:u w:val="single"/>
          <w:lang w:val="es-ES"/>
        </w:rPr>
      </w:pPr>
    </w:p>
    <w:p w14:paraId="3EF749BE" w14:textId="77777777" w:rsidR="00A8564A" w:rsidRPr="002D741C" w:rsidRDefault="00A8564A" w:rsidP="00AD13BE">
      <w:pPr>
        <w:pStyle w:val="EndnoteText"/>
        <w:keepNext/>
        <w:widowControl w:val="0"/>
        <w:tabs>
          <w:tab w:val="clear" w:pos="567"/>
        </w:tabs>
        <w:rPr>
          <w:color w:val="000000"/>
          <w:szCs w:val="22"/>
          <w:u w:val="single"/>
          <w:lang w:val="es-ES"/>
        </w:rPr>
      </w:pPr>
      <w:r w:rsidRPr="002D741C">
        <w:rPr>
          <w:color w:val="000000"/>
          <w:szCs w:val="22"/>
          <w:u w:val="single"/>
          <w:lang w:val="es-ES"/>
        </w:rPr>
        <w:t>Posología para LLA Ph+ en niños</w:t>
      </w:r>
    </w:p>
    <w:p w14:paraId="2FD4C1DF" w14:textId="77777777" w:rsidR="00A8564A" w:rsidRPr="002D741C" w:rsidRDefault="00A8564A" w:rsidP="00A8564A">
      <w:pPr>
        <w:pStyle w:val="EndnoteText"/>
        <w:widowControl w:val="0"/>
        <w:tabs>
          <w:tab w:val="clear" w:pos="567"/>
        </w:tabs>
        <w:rPr>
          <w:color w:val="000000"/>
          <w:szCs w:val="22"/>
          <w:lang w:val="es-ES"/>
        </w:rPr>
      </w:pPr>
      <w:r w:rsidRPr="002D741C">
        <w:rPr>
          <w:color w:val="000000"/>
          <w:szCs w:val="22"/>
          <w:lang w:val="es-ES"/>
        </w:rPr>
        <w:t>La dosis para niños se debe basar en el área de superficie corporal (mg/m</w:t>
      </w:r>
      <w:r w:rsidRPr="002D741C">
        <w:rPr>
          <w:color w:val="000000"/>
          <w:szCs w:val="22"/>
          <w:vertAlign w:val="superscript"/>
          <w:lang w:val="es-ES"/>
        </w:rPr>
        <w:t>2</w:t>
      </w:r>
      <w:r w:rsidRPr="002D741C">
        <w:rPr>
          <w:color w:val="000000"/>
          <w:szCs w:val="22"/>
          <w:lang w:val="es-ES"/>
        </w:rPr>
        <w:t>). Se recomienda la dosis de 340 mg/m</w:t>
      </w:r>
      <w:r w:rsidRPr="002D741C">
        <w:rPr>
          <w:color w:val="000000"/>
          <w:szCs w:val="22"/>
          <w:vertAlign w:val="superscript"/>
          <w:lang w:val="es-ES"/>
        </w:rPr>
        <w:t>2</w:t>
      </w:r>
      <w:r w:rsidRPr="002D741C">
        <w:rPr>
          <w:color w:val="000000"/>
          <w:szCs w:val="22"/>
          <w:lang w:val="es-ES"/>
        </w:rPr>
        <w:t xml:space="preserve"> diaria para niños con LLA Ph+ (sin superar la dosis total de 600 mg).</w:t>
      </w:r>
    </w:p>
    <w:p w14:paraId="101E60E1" w14:textId="77777777" w:rsidR="00D90D0A" w:rsidRPr="002D741C" w:rsidRDefault="00D90D0A" w:rsidP="006D54C0">
      <w:pPr>
        <w:pStyle w:val="EndnoteText"/>
        <w:widowControl w:val="0"/>
        <w:tabs>
          <w:tab w:val="clear" w:pos="567"/>
        </w:tabs>
        <w:rPr>
          <w:color w:val="000000"/>
          <w:szCs w:val="22"/>
          <w:u w:val="single"/>
          <w:lang w:val="es-ES"/>
        </w:rPr>
      </w:pPr>
    </w:p>
    <w:p w14:paraId="78775B8C" w14:textId="77777777" w:rsidR="006D54C0" w:rsidRPr="002D741C" w:rsidRDefault="006D54C0" w:rsidP="00AD13BE">
      <w:pPr>
        <w:pStyle w:val="EndnoteText"/>
        <w:keepNext/>
        <w:widowControl w:val="0"/>
        <w:tabs>
          <w:tab w:val="clear" w:pos="567"/>
        </w:tabs>
        <w:rPr>
          <w:color w:val="000000"/>
          <w:szCs w:val="22"/>
          <w:u w:val="single"/>
          <w:lang w:val="es-ES"/>
        </w:rPr>
      </w:pPr>
      <w:r w:rsidRPr="002D741C">
        <w:rPr>
          <w:color w:val="000000"/>
          <w:szCs w:val="22"/>
          <w:u w:val="single"/>
          <w:lang w:val="es-ES"/>
        </w:rPr>
        <w:t xml:space="preserve">Posología para </w:t>
      </w:r>
      <w:smartTag w:uri="urn:schemas-microsoft-com:office:smarttags" w:element="stockticker">
        <w:r w:rsidRPr="002D741C">
          <w:rPr>
            <w:color w:val="000000"/>
            <w:szCs w:val="22"/>
            <w:u w:val="single"/>
            <w:lang w:val="es-ES"/>
          </w:rPr>
          <w:t>SMD</w:t>
        </w:r>
      </w:smartTag>
      <w:r w:rsidRPr="002D741C">
        <w:rPr>
          <w:color w:val="000000"/>
          <w:szCs w:val="22"/>
          <w:u w:val="single"/>
          <w:lang w:val="es-ES"/>
        </w:rPr>
        <w:t>/</w:t>
      </w:r>
      <w:smartTag w:uri="urn:schemas-microsoft-com:office:smarttags" w:element="stockticker">
        <w:r w:rsidRPr="002D741C">
          <w:rPr>
            <w:color w:val="000000"/>
            <w:szCs w:val="22"/>
            <w:u w:val="single"/>
            <w:lang w:val="es-ES"/>
          </w:rPr>
          <w:t>SMP</w:t>
        </w:r>
      </w:smartTag>
    </w:p>
    <w:p w14:paraId="15FFF276" w14:textId="77777777" w:rsidR="006D54C0" w:rsidRPr="002D741C" w:rsidRDefault="006D54C0" w:rsidP="006D54C0">
      <w:pPr>
        <w:pStyle w:val="EndnoteText"/>
        <w:widowControl w:val="0"/>
        <w:tabs>
          <w:tab w:val="clear" w:pos="567"/>
        </w:tabs>
        <w:rPr>
          <w:color w:val="000000"/>
          <w:szCs w:val="22"/>
          <w:lang w:val="es-ES"/>
        </w:rPr>
      </w:pPr>
      <w:r w:rsidRPr="002D741C">
        <w:rPr>
          <w:color w:val="000000"/>
          <w:szCs w:val="22"/>
          <w:lang w:val="es-ES"/>
        </w:rPr>
        <w:t xml:space="preserve">La dosis recomendada de Glivec para pacientes </w:t>
      </w:r>
      <w:r w:rsidR="00A875CE" w:rsidRPr="002D741C">
        <w:rPr>
          <w:color w:val="000000"/>
          <w:szCs w:val="22"/>
          <w:lang w:val="es-ES"/>
        </w:rPr>
        <w:t xml:space="preserve">adultos </w:t>
      </w:r>
      <w:r w:rsidRPr="002D741C">
        <w:rPr>
          <w:color w:val="000000"/>
          <w:szCs w:val="22"/>
          <w:lang w:val="es-ES"/>
        </w:rPr>
        <w:t xml:space="preserve">con </w:t>
      </w:r>
      <w:smartTag w:uri="urn:schemas-microsoft-com:office:smarttags" w:element="stockticker">
        <w:r w:rsidRPr="002D741C">
          <w:rPr>
            <w:color w:val="000000"/>
            <w:szCs w:val="22"/>
            <w:lang w:val="es-ES"/>
          </w:rPr>
          <w:t>SMD</w:t>
        </w:r>
      </w:smartTag>
      <w:r w:rsidRPr="002D741C">
        <w:rPr>
          <w:color w:val="000000"/>
          <w:szCs w:val="22"/>
          <w:lang w:val="es-ES"/>
        </w:rPr>
        <w:t>/</w:t>
      </w:r>
      <w:smartTag w:uri="urn:schemas-microsoft-com:office:smarttags" w:element="stockticker">
        <w:r w:rsidRPr="002D741C">
          <w:rPr>
            <w:color w:val="000000"/>
            <w:szCs w:val="22"/>
            <w:lang w:val="es-ES"/>
          </w:rPr>
          <w:t>SMP</w:t>
        </w:r>
      </w:smartTag>
      <w:r w:rsidRPr="002D741C">
        <w:rPr>
          <w:color w:val="000000"/>
          <w:szCs w:val="22"/>
          <w:lang w:val="es-ES"/>
        </w:rPr>
        <w:t xml:space="preserve"> es de 400 mg/día.</w:t>
      </w:r>
    </w:p>
    <w:p w14:paraId="1705623A" w14:textId="77777777" w:rsidR="006D54C0" w:rsidRPr="002D741C" w:rsidRDefault="006D54C0" w:rsidP="006D54C0">
      <w:pPr>
        <w:pStyle w:val="EndnoteText"/>
        <w:widowControl w:val="0"/>
        <w:tabs>
          <w:tab w:val="clear" w:pos="567"/>
        </w:tabs>
        <w:rPr>
          <w:color w:val="000000"/>
          <w:szCs w:val="22"/>
          <w:lang w:val="es-ES"/>
        </w:rPr>
      </w:pPr>
    </w:p>
    <w:p w14:paraId="4495F7E1" w14:textId="77777777" w:rsidR="006D54C0" w:rsidRPr="002D741C" w:rsidRDefault="006D54C0" w:rsidP="006D54C0">
      <w:pPr>
        <w:pStyle w:val="EndnoteText"/>
        <w:widowControl w:val="0"/>
        <w:tabs>
          <w:tab w:val="clear" w:pos="567"/>
        </w:tabs>
        <w:rPr>
          <w:color w:val="000000"/>
          <w:szCs w:val="22"/>
          <w:lang w:val="es-ES"/>
        </w:rPr>
      </w:pPr>
      <w:r w:rsidRPr="002D741C">
        <w:rPr>
          <w:color w:val="000000"/>
          <w:szCs w:val="22"/>
          <w:lang w:val="es-ES"/>
        </w:rPr>
        <w:t>Duración del tratamiento: En el único ensayo clínico realizado hasta ahora, el tratamiento con Glivec continuó hasta la progresión de la enfermedad (ver sección 5.1). En el momento del análisis, la duración mediana del tratamiento era de 47 meses (24 días – 60 meses).</w:t>
      </w:r>
    </w:p>
    <w:p w14:paraId="48533E0B" w14:textId="77777777" w:rsidR="006D54C0" w:rsidRPr="002D741C" w:rsidRDefault="006D54C0" w:rsidP="006D54C0">
      <w:pPr>
        <w:pStyle w:val="EndnoteText"/>
        <w:widowControl w:val="0"/>
        <w:tabs>
          <w:tab w:val="clear" w:pos="567"/>
        </w:tabs>
        <w:rPr>
          <w:color w:val="000000"/>
          <w:szCs w:val="22"/>
          <w:lang w:val="es-ES"/>
        </w:rPr>
      </w:pPr>
    </w:p>
    <w:p w14:paraId="3C7FF487" w14:textId="77777777" w:rsidR="006D54C0" w:rsidRPr="002D741C" w:rsidRDefault="006D54C0" w:rsidP="00AD13BE">
      <w:pPr>
        <w:pStyle w:val="EndnoteText"/>
        <w:keepNext/>
        <w:widowControl w:val="0"/>
        <w:tabs>
          <w:tab w:val="clear" w:pos="567"/>
        </w:tabs>
        <w:rPr>
          <w:color w:val="000000"/>
          <w:szCs w:val="22"/>
          <w:u w:val="single"/>
          <w:lang w:val="es-ES"/>
        </w:rPr>
      </w:pPr>
      <w:r w:rsidRPr="002D741C">
        <w:rPr>
          <w:color w:val="000000"/>
          <w:szCs w:val="22"/>
          <w:u w:val="single"/>
          <w:lang w:val="es-ES"/>
        </w:rPr>
        <w:lastRenderedPageBreak/>
        <w:t>Posología para SHE/LEC</w:t>
      </w:r>
    </w:p>
    <w:p w14:paraId="13D4B24B" w14:textId="77777777" w:rsidR="006D54C0" w:rsidRPr="002D741C" w:rsidRDefault="006D54C0" w:rsidP="006D54C0">
      <w:pPr>
        <w:pStyle w:val="EndnoteText"/>
        <w:widowControl w:val="0"/>
        <w:tabs>
          <w:tab w:val="clear" w:pos="567"/>
        </w:tabs>
        <w:rPr>
          <w:color w:val="000000"/>
          <w:szCs w:val="22"/>
          <w:lang w:val="es-ES"/>
        </w:rPr>
      </w:pPr>
      <w:r w:rsidRPr="002D741C">
        <w:rPr>
          <w:color w:val="000000"/>
          <w:szCs w:val="22"/>
          <w:lang w:val="es-ES"/>
        </w:rPr>
        <w:t xml:space="preserve">La dosis recomendada de Glivec es de 100 mg/día para pacientes </w:t>
      </w:r>
      <w:r w:rsidR="00A875CE" w:rsidRPr="002D741C">
        <w:rPr>
          <w:color w:val="000000"/>
          <w:szCs w:val="22"/>
          <w:lang w:val="es-ES"/>
        </w:rPr>
        <w:t xml:space="preserve">adultos </w:t>
      </w:r>
      <w:r w:rsidRPr="002D741C">
        <w:rPr>
          <w:color w:val="000000"/>
          <w:szCs w:val="22"/>
          <w:lang w:val="es-ES"/>
        </w:rPr>
        <w:t>con SHE/LEC.</w:t>
      </w:r>
    </w:p>
    <w:p w14:paraId="61C89327" w14:textId="77777777" w:rsidR="006D54C0" w:rsidRPr="002D741C" w:rsidRDefault="006D54C0" w:rsidP="006D54C0">
      <w:pPr>
        <w:pStyle w:val="EndnoteText"/>
        <w:widowControl w:val="0"/>
        <w:tabs>
          <w:tab w:val="clear" w:pos="567"/>
        </w:tabs>
        <w:rPr>
          <w:color w:val="000000"/>
          <w:szCs w:val="22"/>
          <w:lang w:val="es-ES"/>
        </w:rPr>
      </w:pPr>
    </w:p>
    <w:p w14:paraId="66C229F0" w14:textId="77777777" w:rsidR="006D54C0" w:rsidRPr="002D741C" w:rsidRDefault="006D54C0" w:rsidP="006D54C0">
      <w:pPr>
        <w:pStyle w:val="EndnoteText"/>
        <w:widowControl w:val="0"/>
        <w:tabs>
          <w:tab w:val="clear" w:pos="567"/>
        </w:tabs>
        <w:rPr>
          <w:rFonts w:eastAsia="MS Mincho"/>
          <w:color w:val="000000"/>
          <w:szCs w:val="22"/>
          <w:lang w:val="es-ES_tradnl" w:eastAsia="ja-JP"/>
        </w:rPr>
      </w:pPr>
      <w:r w:rsidRPr="002D741C">
        <w:rPr>
          <w:color w:val="000000"/>
          <w:szCs w:val="22"/>
          <w:lang w:val="es-ES_tradnl"/>
        </w:rPr>
        <w:t xml:space="preserve">Se puede considerar un aumento de dosis de 100 mg a 400 mg en ausencia de reacciones adversas al fármaco </w:t>
      </w:r>
      <w:r w:rsidRPr="002D741C">
        <w:rPr>
          <w:rFonts w:eastAsia="MS Mincho"/>
          <w:color w:val="000000"/>
          <w:szCs w:val="22"/>
          <w:lang w:val="es-ES_tradnl" w:eastAsia="ja-JP"/>
        </w:rPr>
        <w:t>si las valoraciones demuestran una respuesta insuficiente al tratamiento.</w:t>
      </w:r>
    </w:p>
    <w:p w14:paraId="41CFD62C" w14:textId="77777777" w:rsidR="006D54C0" w:rsidRPr="002D741C" w:rsidRDefault="006D54C0" w:rsidP="006D54C0">
      <w:pPr>
        <w:pStyle w:val="EndnoteText"/>
        <w:widowControl w:val="0"/>
        <w:tabs>
          <w:tab w:val="clear" w:pos="567"/>
        </w:tabs>
        <w:rPr>
          <w:rFonts w:eastAsia="MS Mincho"/>
          <w:color w:val="000000"/>
          <w:szCs w:val="22"/>
          <w:lang w:val="es-ES_tradnl" w:eastAsia="ja-JP"/>
        </w:rPr>
      </w:pPr>
    </w:p>
    <w:p w14:paraId="5D5824BC" w14:textId="77777777" w:rsidR="006D54C0" w:rsidRPr="002D741C" w:rsidRDefault="006D54C0" w:rsidP="006D54C0">
      <w:pPr>
        <w:pStyle w:val="EndnoteText"/>
        <w:widowControl w:val="0"/>
        <w:tabs>
          <w:tab w:val="clear" w:pos="567"/>
        </w:tabs>
        <w:rPr>
          <w:rFonts w:eastAsia="MS Mincho"/>
          <w:color w:val="000000"/>
          <w:szCs w:val="22"/>
          <w:lang w:val="es-ES_tradnl" w:eastAsia="ja-JP"/>
        </w:rPr>
      </w:pPr>
      <w:r w:rsidRPr="002D741C">
        <w:rPr>
          <w:rFonts w:eastAsia="MS Mincho"/>
          <w:color w:val="000000"/>
          <w:szCs w:val="22"/>
          <w:lang w:val="es-ES_tradnl" w:eastAsia="ja-JP"/>
        </w:rPr>
        <w:t>El tratamiento debe prolongarse mientras continúe el beneficio para el paciente.</w:t>
      </w:r>
    </w:p>
    <w:p w14:paraId="19861678" w14:textId="77777777" w:rsidR="006D54C0" w:rsidRPr="002D741C" w:rsidRDefault="006D54C0" w:rsidP="006D54C0">
      <w:pPr>
        <w:pStyle w:val="EndnoteText"/>
        <w:widowControl w:val="0"/>
        <w:tabs>
          <w:tab w:val="clear" w:pos="567"/>
        </w:tabs>
        <w:rPr>
          <w:color w:val="000000"/>
          <w:szCs w:val="22"/>
          <w:lang w:val="es-ES"/>
        </w:rPr>
      </w:pPr>
    </w:p>
    <w:p w14:paraId="4818A8B9" w14:textId="77777777" w:rsidR="006D54C0" w:rsidRPr="002D741C" w:rsidRDefault="006D54C0" w:rsidP="00AD13BE">
      <w:pPr>
        <w:pStyle w:val="EndnoteText"/>
        <w:keepNext/>
        <w:widowControl w:val="0"/>
        <w:tabs>
          <w:tab w:val="clear" w:pos="567"/>
        </w:tabs>
        <w:rPr>
          <w:color w:val="000000"/>
          <w:szCs w:val="22"/>
          <w:u w:val="single"/>
          <w:lang w:val="es-ES"/>
        </w:rPr>
      </w:pPr>
      <w:r w:rsidRPr="002D741C">
        <w:rPr>
          <w:color w:val="000000"/>
          <w:szCs w:val="22"/>
          <w:u w:val="single"/>
          <w:lang w:val="es-ES"/>
        </w:rPr>
        <w:t>Posología para G</w:t>
      </w:r>
      <w:smartTag w:uri="urn:schemas-microsoft-com:office:smarttags" w:element="PersonName">
        <w:r w:rsidRPr="002D741C">
          <w:rPr>
            <w:color w:val="000000"/>
            <w:szCs w:val="22"/>
            <w:u w:val="single"/>
            <w:lang w:val="es-ES"/>
          </w:rPr>
          <w:t>IS</w:t>
        </w:r>
      </w:smartTag>
      <w:r w:rsidRPr="002D741C">
        <w:rPr>
          <w:color w:val="000000"/>
          <w:szCs w:val="22"/>
          <w:u w:val="single"/>
          <w:lang w:val="es-ES"/>
        </w:rPr>
        <w:t>T</w:t>
      </w:r>
    </w:p>
    <w:p w14:paraId="750DA4B5" w14:textId="77777777" w:rsidR="006D54C0" w:rsidRPr="002D741C" w:rsidRDefault="006D54C0" w:rsidP="006D54C0">
      <w:pPr>
        <w:pStyle w:val="EndnoteText"/>
        <w:widowControl w:val="0"/>
        <w:tabs>
          <w:tab w:val="clear" w:pos="567"/>
        </w:tabs>
        <w:rPr>
          <w:color w:val="000000"/>
          <w:szCs w:val="22"/>
          <w:lang w:val="es-ES"/>
        </w:rPr>
      </w:pPr>
      <w:r w:rsidRPr="002D741C">
        <w:rPr>
          <w:color w:val="000000"/>
          <w:szCs w:val="22"/>
          <w:lang w:val="es-ES"/>
        </w:rPr>
        <w:t xml:space="preserve">La dosis recomendada de Glivec para pacientes </w:t>
      </w:r>
      <w:r w:rsidR="00A875CE" w:rsidRPr="002D741C">
        <w:rPr>
          <w:color w:val="000000"/>
          <w:szCs w:val="22"/>
          <w:lang w:val="es-ES"/>
        </w:rPr>
        <w:t xml:space="preserve">adultos </w:t>
      </w:r>
      <w:r w:rsidRPr="002D741C">
        <w:rPr>
          <w:color w:val="000000"/>
          <w:szCs w:val="22"/>
          <w:lang w:val="es-ES"/>
        </w:rPr>
        <w:t>con G</w:t>
      </w:r>
      <w:smartTag w:uri="urn:schemas-microsoft-com:office:smarttags" w:element="PersonName">
        <w:r w:rsidRPr="002D741C">
          <w:rPr>
            <w:color w:val="000000"/>
            <w:szCs w:val="22"/>
            <w:lang w:val="es-ES"/>
          </w:rPr>
          <w:t>IS</w:t>
        </w:r>
      </w:smartTag>
      <w:r w:rsidRPr="002D741C">
        <w:rPr>
          <w:color w:val="000000"/>
          <w:szCs w:val="22"/>
          <w:lang w:val="es-ES"/>
        </w:rPr>
        <w:t>T maligno no resecable y/o metastásico es de 400 mg/día.</w:t>
      </w:r>
    </w:p>
    <w:p w14:paraId="2774BC5A" w14:textId="77777777" w:rsidR="006D54C0" w:rsidRPr="002D741C" w:rsidRDefault="006D54C0" w:rsidP="006D54C0">
      <w:pPr>
        <w:pStyle w:val="EndnoteText"/>
        <w:widowControl w:val="0"/>
        <w:tabs>
          <w:tab w:val="clear" w:pos="567"/>
        </w:tabs>
        <w:rPr>
          <w:color w:val="000000"/>
          <w:szCs w:val="22"/>
          <w:lang w:val="es-ES"/>
        </w:rPr>
      </w:pPr>
    </w:p>
    <w:p w14:paraId="446A8144" w14:textId="77777777" w:rsidR="006D54C0" w:rsidRPr="002D741C" w:rsidRDefault="006D54C0" w:rsidP="006D54C0">
      <w:pPr>
        <w:pStyle w:val="EndnoteText"/>
        <w:widowControl w:val="0"/>
        <w:tabs>
          <w:tab w:val="clear" w:pos="567"/>
        </w:tabs>
        <w:rPr>
          <w:color w:val="000000"/>
          <w:szCs w:val="22"/>
          <w:lang w:val="es-ES"/>
        </w:rPr>
      </w:pPr>
      <w:r w:rsidRPr="002D741C">
        <w:rPr>
          <w:color w:val="000000"/>
          <w:szCs w:val="22"/>
          <w:lang w:val="es-ES"/>
        </w:rPr>
        <w:t>Existen datos limitados sobre el efecto del aumento de la dosis desde 400 mg a 600 mg ó 800 mg en pacientes que muestran progresión con la primera de las dosis (ver sección 5.1).</w:t>
      </w:r>
    </w:p>
    <w:p w14:paraId="44EDECDD" w14:textId="77777777" w:rsidR="006D54C0" w:rsidRPr="002D741C" w:rsidRDefault="006D54C0" w:rsidP="006D54C0">
      <w:pPr>
        <w:pStyle w:val="EndnoteText"/>
        <w:widowControl w:val="0"/>
        <w:tabs>
          <w:tab w:val="clear" w:pos="567"/>
        </w:tabs>
        <w:rPr>
          <w:color w:val="000000"/>
          <w:szCs w:val="22"/>
          <w:lang w:val="es-ES"/>
        </w:rPr>
      </w:pPr>
    </w:p>
    <w:p w14:paraId="76A4A7FC" w14:textId="77777777" w:rsidR="006D54C0" w:rsidRPr="002D741C" w:rsidRDefault="006D54C0" w:rsidP="006D54C0">
      <w:pPr>
        <w:pStyle w:val="EndnoteText"/>
        <w:widowControl w:val="0"/>
        <w:tabs>
          <w:tab w:val="clear" w:pos="567"/>
        </w:tabs>
        <w:rPr>
          <w:color w:val="000000"/>
          <w:szCs w:val="22"/>
          <w:lang w:val="es-ES"/>
        </w:rPr>
      </w:pPr>
      <w:r w:rsidRPr="002D741C">
        <w:rPr>
          <w:color w:val="000000"/>
          <w:szCs w:val="22"/>
          <w:lang w:val="es-ES"/>
        </w:rPr>
        <w:t>Duración del tratamiento: En los ensayos clínicos en pacientes con G</w:t>
      </w:r>
      <w:smartTag w:uri="urn:schemas-microsoft-com:office:smarttags" w:element="PersonName">
        <w:r w:rsidRPr="002D741C">
          <w:rPr>
            <w:color w:val="000000"/>
            <w:szCs w:val="22"/>
            <w:lang w:val="es-ES"/>
          </w:rPr>
          <w:t>IS</w:t>
        </w:r>
      </w:smartTag>
      <w:r w:rsidRPr="002D741C">
        <w:rPr>
          <w:color w:val="000000"/>
          <w:szCs w:val="22"/>
          <w:lang w:val="es-ES"/>
        </w:rPr>
        <w:t>T, el tratamiento con Glivec continuó hasta la progresión de la enfermedad. En el momento del análisis, la duración del tratamiento era de 7 meses de mediana (7 días a 13 meses). No ha sido investigado el efecto de la interrupción del tratamiento después de alcanzar una respuesta.</w:t>
      </w:r>
    </w:p>
    <w:p w14:paraId="25CD5640" w14:textId="77777777" w:rsidR="006D54C0" w:rsidRPr="002D741C" w:rsidRDefault="006D54C0" w:rsidP="006D54C0">
      <w:pPr>
        <w:pStyle w:val="EndnoteText"/>
        <w:widowControl w:val="0"/>
        <w:tabs>
          <w:tab w:val="clear" w:pos="567"/>
        </w:tabs>
        <w:rPr>
          <w:color w:val="000000"/>
          <w:szCs w:val="22"/>
          <w:lang w:val="es-ES"/>
        </w:rPr>
      </w:pPr>
    </w:p>
    <w:p w14:paraId="517297B6" w14:textId="77777777" w:rsidR="006D54C0" w:rsidRPr="002D741C" w:rsidRDefault="006D54C0" w:rsidP="006D54C0">
      <w:pPr>
        <w:pStyle w:val="EndnoteText"/>
        <w:widowControl w:val="0"/>
        <w:tabs>
          <w:tab w:val="clear" w:pos="567"/>
        </w:tabs>
        <w:rPr>
          <w:color w:val="000000"/>
          <w:szCs w:val="22"/>
          <w:lang w:val="es-ES"/>
        </w:rPr>
      </w:pPr>
      <w:r w:rsidRPr="002D741C">
        <w:rPr>
          <w:color w:val="000000"/>
          <w:szCs w:val="22"/>
          <w:lang w:val="es-ES"/>
        </w:rPr>
        <w:t>La dosis recomendada de Glivec es de 400 mg/día para el tratamiento adyuvante de pacientes adultos después de la resección del G</w:t>
      </w:r>
      <w:smartTag w:uri="urn:schemas-microsoft-com:office:smarttags" w:element="PersonName">
        <w:r w:rsidRPr="002D741C">
          <w:rPr>
            <w:color w:val="000000"/>
            <w:szCs w:val="22"/>
            <w:lang w:val="es-ES"/>
          </w:rPr>
          <w:t>IS</w:t>
        </w:r>
      </w:smartTag>
      <w:r w:rsidRPr="002D741C">
        <w:rPr>
          <w:color w:val="000000"/>
          <w:szCs w:val="22"/>
          <w:lang w:val="es-ES"/>
        </w:rPr>
        <w:t xml:space="preserve">T. No se ha establecido todavía la duración óptima del tratamiento. La duración del tratamiento en el ensayo clínico que apoya esta indicación fue de </w:t>
      </w:r>
      <w:r w:rsidR="008E5FF0" w:rsidRPr="002D741C">
        <w:rPr>
          <w:color w:val="000000"/>
          <w:szCs w:val="22"/>
          <w:lang w:val="es-ES"/>
        </w:rPr>
        <w:t>36 </w:t>
      </w:r>
      <w:r w:rsidRPr="002D741C">
        <w:rPr>
          <w:color w:val="000000"/>
          <w:szCs w:val="22"/>
          <w:lang w:val="es-ES"/>
        </w:rPr>
        <w:t>meses</w:t>
      </w:r>
      <w:r w:rsidR="008E5FF0" w:rsidRPr="002D741C">
        <w:rPr>
          <w:color w:val="000000"/>
          <w:szCs w:val="22"/>
          <w:lang w:val="es-ES"/>
        </w:rPr>
        <w:t xml:space="preserve"> (ver sección 5.1)</w:t>
      </w:r>
      <w:r w:rsidRPr="002D741C">
        <w:rPr>
          <w:color w:val="000000"/>
          <w:szCs w:val="22"/>
          <w:lang w:val="es-ES"/>
        </w:rPr>
        <w:t>.</w:t>
      </w:r>
    </w:p>
    <w:p w14:paraId="3432FF61" w14:textId="77777777" w:rsidR="006D54C0" w:rsidRPr="002D741C" w:rsidRDefault="006D54C0" w:rsidP="006D54C0">
      <w:pPr>
        <w:pStyle w:val="EndnoteText"/>
        <w:widowControl w:val="0"/>
        <w:tabs>
          <w:tab w:val="clear" w:pos="567"/>
        </w:tabs>
        <w:rPr>
          <w:color w:val="000000"/>
          <w:szCs w:val="22"/>
          <w:lang w:val="es-ES"/>
        </w:rPr>
      </w:pPr>
    </w:p>
    <w:p w14:paraId="237BF30C" w14:textId="77777777" w:rsidR="006D54C0" w:rsidRPr="002D741C" w:rsidRDefault="006D54C0" w:rsidP="00AD13BE">
      <w:pPr>
        <w:pStyle w:val="EndnoteText"/>
        <w:keepNext/>
        <w:widowControl w:val="0"/>
        <w:tabs>
          <w:tab w:val="clear" w:pos="567"/>
        </w:tabs>
        <w:rPr>
          <w:color w:val="000000"/>
          <w:szCs w:val="22"/>
          <w:u w:val="single"/>
          <w:lang w:val="es-ES"/>
        </w:rPr>
      </w:pPr>
      <w:r w:rsidRPr="002D741C">
        <w:rPr>
          <w:color w:val="000000"/>
          <w:szCs w:val="22"/>
          <w:u w:val="single"/>
          <w:lang w:val="es-ES"/>
        </w:rPr>
        <w:t>Posología para DFSP</w:t>
      </w:r>
    </w:p>
    <w:p w14:paraId="6527DFC9" w14:textId="77777777" w:rsidR="006D54C0" w:rsidRPr="002D741C" w:rsidRDefault="006D54C0" w:rsidP="006D54C0">
      <w:pPr>
        <w:pStyle w:val="EndnoteText"/>
        <w:widowControl w:val="0"/>
        <w:tabs>
          <w:tab w:val="clear" w:pos="567"/>
        </w:tabs>
        <w:rPr>
          <w:color w:val="000000"/>
          <w:szCs w:val="22"/>
          <w:lang w:val="es-ES"/>
        </w:rPr>
      </w:pPr>
      <w:r w:rsidRPr="002D741C">
        <w:rPr>
          <w:color w:val="000000"/>
          <w:szCs w:val="22"/>
          <w:lang w:val="es-ES"/>
        </w:rPr>
        <w:t xml:space="preserve">La dosis recomendada de Glivec para pacientes </w:t>
      </w:r>
      <w:r w:rsidR="00A875CE" w:rsidRPr="002D741C">
        <w:rPr>
          <w:color w:val="000000"/>
          <w:szCs w:val="22"/>
          <w:lang w:val="es-ES"/>
        </w:rPr>
        <w:t xml:space="preserve">adultos </w:t>
      </w:r>
      <w:r w:rsidRPr="002D741C">
        <w:rPr>
          <w:color w:val="000000"/>
          <w:szCs w:val="22"/>
          <w:lang w:val="es-ES"/>
        </w:rPr>
        <w:t>con DFSP es de 800 mg/día.</w:t>
      </w:r>
    </w:p>
    <w:p w14:paraId="45C10659" w14:textId="77777777" w:rsidR="006D54C0" w:rsidRPr="002D741C" w:rsidRDefault="006D54C0" w:rsidP="006D54C0">
      <w:pPr>
        <w:pStyle w:val="EndnoteText"/>
        <w:widowControl w:val="0"/>
        <w:tabs>
          <w:tab w:val="clear" w:pos="567"/>
        </w:tabs>
        <w:rPr>
          <w:color w:val="000000"/>
          <w:szCs w:val="22"/>
          <w:lang w:val="es-ES"/>
        </w:rPr>
      </w:pPr>
    </w:p>
    <w:p w14:paraId="191D667E" w14:textId="77777777" w:rsidR="006D54C0" w:rsidRPr="002D741C" w:rsidRDefault="006D54C0" w:rsidP="00AD13BE">
      <w:pPr>
        <w:pStyle w:val="EndnoteText"/>
        <w:keepNext/>
        <w:widowControl w:val="0"/>
        <w:tabs>
          <w:tab w:val="clear" w:pos="567"/>
        </w:tabs>
        <w:rPr>
          <w:i/>
          <w:color w:val="000000"/>
          <w:szCs w:val="22"/>
          <w:lang w:val="es-ES"/>
        </w:rPr>
      </w:pPr>
      <w:r w:rsidRPr="002D741C">
        <w:rPr>
          <w:color w:val="000000"/>
          <w:szCs w:val="22"/>
          <w:u w:val="single"/>
          <w:lang w:val="es-ES"/>
        </w:rPr>
        <w:t>Ajuste de dosis para las reacciones adversas</w:t>
      </w:r>
    </w:p>
    <w:p w14:paraId="17F1A14E" w14:textId="77777777" w:rsidR="006D54C0" w:rsidRPr="002D741C" w:rsidRDefault="006D54C0" w:rsidP="00AD13BE">
      <w:pPr>
        <w:pStyle w:val="EndnoteText"/>
        <w:keepNext/>
        <w:widowControl w:val="0"/>
        <w:tabs>
          <w:tab w:val="clear" w:pos="567"/>
        </w:tabs>
        <w:rPr>
          <w:i/>
          <w:color w:val="000000"/>
          <w:szCs w:val="22"/>
          <w:lang w:val="es-ES"/>
        </w:rPr>
      </w:pPr>
      <w:r w:rsidRPr="002D741C">
        <w:rPr>
          <w:i/>
          <w:color w:val="000000"/>
          <w:szCs w:val="22"/>
          <w:lang w:val="es-ES"/>
        </w:rPr>
        <w:t>Reacciones adversas no hematológicas</w:t>
      </w:r>
    </w:p>
    <w:p w14:paraId="2BC5E349" w14:textId="77777777" w:rsidR="006D54C0" w:rsidRPr="002D741C" w:rsidRDefault="006D54C0" w:rsidP="006D54C0">
      <w:pPr>
        <w:pStyle w:val="EndnoteText"/>
        <w:widowControl w:val="0"/>
        <w:tabs>
          <w:tab w:val="clear" w:pos="567"/>
        </w:tabs>
        <w:rPr>
          <w:color w:val="000000"/>
          <w:szCs w:val="22"/>
          <w:lang w:val="es-ES"/>
        </w:rPr>
      </w:pPr>
      <w:r w:rsidRPr="002D741C">
        <w:rPr>
          <w:color w:val="000000"/>
          <w:szCs w:val="22"/>
          <w:lang w:val="es-ES"/>
        </w:rPr>
        <w:t>Si se desarrolla una reacción adversa severa no hematológica con el uso de Glivec, el tratamiento se interrumpirá hasta que la reacción se haya resuelto. Después, el tratamiento puede reanudarse según corresponda dependiendo de la severidad inicial de la reacción.</w:t>
      </w:r>
    </w:p>
    <w:p w14:paraId="61AD38F7" w14:textId="77777777" w:rsidR="006D54C0" w:rsidRPr="002D741C" w:rsidRDefault="006D54C0" w:rsidP="006D54C0">
      <w:pPr>
        <w:pStyle w:val="EndnoteText"/>
        <w:widowControl w:val="0"/>
        <w:tabs>
          <w:tab w:val="clear" w:pos="567"/>
        </w:tabs>
        <w:rPr>
          <w:color w:val="000000"/>
          <w:szCs w:val="22"/>
          <w:lang w:val="es-ES"/>
        </w:rPr>
      </w:pPr>
    </w:p>
    <w:p w14:paraId="4D6F4694" w14:textId="77777777" w:rsidR="006D54C0" w:rsidRPr="002D741C" w:rsidRDefault="006D54C0" w:rsidP="006D54C0">
      <w:pPr>
        <w:pStyle w:val="EndnoteText"/>
        <w:widowControl w:val="0"/>
        <w:tabs>
          <w:tab w:val="clear" w:pos="567"/>
        </w:tabs>
        <w:rPr>
          <w:color w:val="000000"/>
          <w:szCs w:val="22"/>
          <w:lang w:val="es-ES"/>
        </w:rPr>
      </w:pPr>
      <w:r w:rsidRPr="002D741C">
        <w:rPr>
          <w:color w:val="000000"/>
          <w:szCs w:val="22"/>
          <w:lang w:val="es-ES"/>
        </w:rPr>
        <w:t xml:space="preserve">Si se producen aumentos en la bilirrubina &gt; 3 veces el límite superior normal institucional (LSNI) o en las transaminasas hepáticas &gt; 5 veces el LSNI, Glivec debería interrumpirse hasta que los niveles de bilirrubina hayan vuelto a &lt; 1,5 veces el LSNI y los niveles de transaminasas a &lt; 2,5 veces el LSNI. El tratamiento con Glivec puede entonces continuarse a la dosis diaria reducida. En adultos la dosis deberá reducirse de 400 mg a 300 mg ó de 600 mg a 400 mg, o de 800 mg a 600 mg, y en niños de </w:t>
      </w:r>
      <w:smartTag w:uri="urn:schemas-microsoft-com:office:smarttags" w:element="metricconverter">
        <w:smartTagPr>
          <w:attr w:name="ProductID" w:val="340 a"/>
        </w:smartTagPr>
        <w:r w:rsidRPr="002D741C">
          <w:rPr>
            <w:color w:val="000000"/>
            <w:szCs w:val="22"/>
            <w:lang w:val="es-ES"/>
          </w:rPr>
          <w:t>340 a</w:t>
        </w:r>
      </w:smartTag>
      <w:r w:rsidRPr="002D741C">
        <w:rPr>
          <w:color w:val="000000"/>
          <w:szCs w:val="22"/>
          <w:lang w:val="es-ES"/>
        </w:rPr>
        <w:t xml:space="preserve"> 260 mg/m</w:t>
      </w:r>
      <w:r w:rsidRPr="002D741C">
        <w:rPr>
          <w:color w:val="000000"/>
          <w:szCs w:val="22"/>
          <w:vertAlign w:val="superscript"/>
          <w:lang w:val="es-ES"/>
        </w:rPr>
        <w:t>2</w:t>
      </w:r>
      <w:r w:rsidRPr="002D741C">
        <w:rPr>
          <w:color w:val="000000"/>
          <w:szCs w:val="22"/>
          <w:lang w:val="es-ES"/>
        </w:rPr>
        <w:t>/día.</w:t>
      </w:r>
    </w:p>
    <w:p w14:paraId="40F3765B" w14:textId="77777777" w:rsidR="006D54C0" w:rsidRPr="002D741C" w:rsidRDefault="006D54C0" w:rsidP="006D54C0">
      <w:pPr>
        <w:pStyle w:val="EndnoteText"/>
        <w:widowControl w:val="0"/>
        <w:tabs>
          <w:tab w:val="clear" w:pos="567"/>
        </w:tabs>
        <w:rPr>
          <w:color w:val="000000"/>
          <w:szCs w:val="22"/>
          <w:lang w:val="es-ES"/>
        </w:rPr>
      </w:pPr>
    </w:p>
    <w:p w14:paraId="57104BB0" w14:textId="77777777" w:rsidR="006D54C0" w:rsidRPr="002D741C" w:rsidRDefault="006D54C0" w:rsidP="00AD13BE">
      <w:pPr>
        <w:pStyle w:val="EndnoteText"/>
        <w:keepNext/>
        <w:widowControl w:val="0"/>
        <w:tabs>
          <w:tab w:val="clear" w:pos="567"/>
        </w:tabs>
        <w:rPr>
          <w:i/>
          <w:color w:val="000000"/>
          <w:szCs w:val="22"/>
          <w:lang w:val="es-ES"/>
        </w:rPr>
      </w:pPr>
      <w:r w:rsidRPr="002D741C">
        <w:rPr>
          <w:i/>
          <w:color w:val="000000"/>
          <w:szCs w:val="22"/>
          <w:lang w:val="es-ES"/>
        </w:rPr>
        <w:t>Reacciones adversas hematológicas</w:t>
      </w:r>
    </w:p>
    <w:p w14:paraId="2734757B" w14:textId="77777777" w:rsidR="006D54C0" w:rsidRPr="002D741C" w:rsidRDefault="006D54C0" w:rsidP="006D54C0">
      <w:pPr>
        <w:pStyle w:val="EndnoteText"/>
        <w:widowControl w:val="0"/>
        <w:tabs>
          <w:tab w:val="clear" w:pos="567"/>
        </w:tabs>
        <w:rPr>
          <w:color w:val="000000"/>
          <w:szCs w:val="22"/>
          <w:lang w:val="es-ES"/>
        </w:rPr>
      </w:pPr>
      <w:r w:rsidRPr="002D741C">
        <w:rPr>
          <w:color w:val="000000"/>
          <w:szCs w:val="22"/>
          <w:lang w:val="es-ES"/>
        </w:rPr>
        <w:t>Se recomienda la reducción de dosis o la interrupción del tratamiento si se produce neutropenia y trombocitopenia severas, tal como se indica en la siguiente tabla.</w:t>
      </w:r>
    </w:p>
    <w:p w14:paraId="228BC1A8" w14:textId="77777777" w:rsidR="006D54C0" w:rsidRPr="002D741C" w:rsidRDefault="006D54C0" w:rsidP="006D54C0">
      <w:pPr>
        <w:pStyle w:val="EndnoteText"/>
        <w:widowControl w:val="0"/>
        <w:tabs>
          <w:tab w:val="clear" w:pos="567"/>
        </w:tabs>
        <w:rPr>
          <w:color w:val="000000"/>
          <w:szCs w:val="22"/>
          <w:lang w:val="es-ES"/>
        </w:rPr>
      </w:pPr>
    </w:p>
    <w:p w14:paraId="669118EE" w14:textId="77777777" w:rsidR="006D54C0" w:rsidRPr="002D741C" w:rsidRDefault="006D54C0" w:rsidP="00AD13BE">
      <w:pPr>
        <w:pStyle w:val="EndnoteText"/>
        <w:keepNext/>
        <w:widowControl w:val="0"/>
        <w:tabs>
          <w:tab w:val="clear" w:pos="567"/>
        </w:tabs>
        <w:rPr>
          <w:color w:val="000000"/>
          <w:szCs w:val="22"/>
          <w:lang w:val="es-ES"/>
        </w:rPr>
      </w:pPr>
      <w:r w:rsidRPr="002D741C">
        <w:rPr>
          <w:bCs/>
          <w:color w:val="000000"/>
          <w:szCs w:val="22"/>
          <w:lang w:val="es-ES"/>
        </w:rPr>
        <w:t>Ajuste de dosis por neutropenia y trombocitopenia</w:t>
      </w:r>
      <w:r w:rsidRPr="002D741C">
        <w:rPr>
          <w:color w:val="000000"/>
          <w:szCs w:val="22"/>
          <w:lang w:val="es-ES"/>
        </w:rPr>
        <w:t>:</w:t>
      </w:r>
    </w:p>
    <w:p w14:paraId="67764690" w14:textId="77777777" w:rsidR="004D1872" w:rsidRPr="002D741C" w:rsidRDefault="004D1872" w:rsidP="00AD13BE">
      <w:pPr>
        <w:pStyle w:val="EndnoteText"/>
        <w:keepNext/>
        <w:widowControl w:val="0"/>
        <w:tabs>
          <w:tab w:val="clear" w:pos="567"/>
        </w:tabs>
        <w:rPr>
          <w:color w:val="000000"/>
          <w:szCs w:val="22"/>
          <w:lang w:val="es-ES"/>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68"/>
        <w:gridCol w:w="2410"/>
        <w:gridCol w:w="4394"/>
      </w:tblGrid>
      <w:tr w:rsidR="004D1872" w:rsidRPr="002D741C" w14:paraId="7A226D2F" w14:textId="77777777" w:rsidTr="00AD13BE">
        <w:trPr>
          <w:cantSplit/>
        </w:trPr>
        <w:tc>
          <w:tcPr>
            <w:tcW w:w="2268" w:type="dxa"/>
          </w:tcPr>
          <w:p w14:paraId="3F7DF5ED" w14:textId="77777777" w:rsidR="004D1872" w:rsidRPr="002D741C" w:rsidRDefault="004D1872" w:rsidP="008255DF">
            <w:pPr>
              <w:pStyle w:val="EndnoteText"/>
              <w:widowControl w:val="0"/>
              <w:tabs>
                <w:tab w:val="clear" w:pos="567"/>
              </w:tabs>
              <w:rPr>
                <w:color w:val="000000"/>
                <w:szCs w:val="22"/>
                <w:lang w:val="en-US"/>
              </w:rPr>
            </w:pPr>
            <w:r w:rsidRPr="002D741C">
              <w:rPr>
                <w:color w:val="000000"/>
                <w:szCs w:val="22"/>
                <w:lang w:val="en-US"/>
              </w:rPr>
              <w:t>SHE/LEC (dosis inicial 100 mg)</w:t>
            </w:r>
          </w:p>
        </w:tc>
        <w:tc>
          <w:tcPr>
            <w:tcW w:w="2410" w:type="dxa"/>
          </w:tcPr>
          <w:p w14:paraId="5E50695A" w14:textId="77777777" w:rsidR="004D1872" w:rsidRPr="002D741C" w:rsidRDefault="004D1872" w:rsidP="008255DF">
            <w:pPr>
              <w:pStyle w:val="EndnoteText"/>
              <w:widowControl w:val="0"/>
              <w:tabs>
                <w:tab w:val="clear" w:pos="567"/>
              </w:tabs>
              <w:rPr>
                <w:color w:val="000000"/>
                <w:szCs w:val="22"/>
                <w:lang w:val="es-ES"/>
              </w:rPr>
            </w:pPr>
            <w:r w:rsidRPr="002D741C">
              <w:rPr>
                <w:color w:val="000000"/>
                <w:szCs w:val="22"/>
                <w:lang w:val="es-ES"/>
              </w:rPr>
              <w:t>RAN &lt; 1,0 x 10</w:t>
            </w:r>
            <w:r w:rsidRPr="002D741C">
              <w:rPr>
                <w:color w:val="000000"/>
                <w:szCs w:val="22"/>
                <w:vertAlign w:val="superscript"/>
                <w:lang w:val="es-ES"/>
              </w:rPr>
              <w:t>9</w:t>
            </w:r>
            <w:r w:rsidRPr="002D741C">
              <w:rPr>
                <w:color w:val="000000"/>
                <w:szCs w:val="22"/>
                <w:lang w:val="es-ES"/>
              </w:rPr>
              <w:t>/l</w:t>
            </w:r>
          </w:p>
          <w:p w14:paraId="4DE67CE2" w14:textId="77777777" w:rsidR="004D1872" w:rsidRPr="002D741C" w:rsidRDefault="004D1872" w:rsidP="008255DF">
            <w:pPr>
              <w:pStyle w:val="EndnoteText"/>
              <w:widowControl w:val="0"/>
              <w:tabs>
                <w:tab w:val="clear" w:pos="567"/>
              </w:tabs>
              <w:rPr>
                <w:color w:val="000000"/>
                <w:szCs w:val="22"/>
                <w:lang w:val="es-ES"/>
              </w:rPr>
            </w:pPr>
            <w:r w:rsidRPr="002D741C">
              <w:rPr>
                <w:color w:val="000000"/>
                <w:szCs w:val="22"/>
                <w:lang w:val="es-ES"/>
              </w:rPr>
              <w:t>y/o</w:t>
            </w:r>
          </w:p>
          <w:p w14:paraId="1E51C61E" w14:textId="77777777" w:rsidR="004D1872" w:rsidRPr="002D741C" w:rsidRDefault="004D1872" w:rsidP="008255DF">
            <w:pPr>
              <w:pStyle w:val="EndnoteText"/>
              <w:widowControl w:val="0"/>
              <w:tabs>
                <w:tab w:val="clear" w:pos="567"/>
              </w:tabs>
              <w:rPr>
                <w:color w:val="000000"/>
                <w:szCs w:val="22"/>
                <w:lang w:val="es-ES_tradnl"/>
              </w:rPr>
            </w:pPr>
            <w:r w:rsidRPr="002D741C">
              <w:rPr>
                <w:color w:val="000000"/>
                <w:szCs w:val="22"/>
                <w:lang w:val="es-ES"/>
              </w:rPr>
              <w:t>plaquetas &lt; 50 x 10</w:t>
            </w:r>
            <w:r w:rsidRPr="002D741C">
              <w:rPr>
                <w:color w:val="000000"/>
                <w:szCs w:val="22"/>
                <w:vertAlign w:val="superscript"/>
                <w:lang w:val="es-ES"/>
              </w:rPr>
              <w:t>9</w:t>
            </w:r>
            <w:r w:rsidRPr="002D741C">
              <w:rPr>
                <w:color w:val="000000"/>
                <w:szCs w:val="22"/>
                <w:lang w:val="es-ES"/>
              </w:rPr>
              <w:t>/l</w:t>
            </w:r>
          </w:p>
        </w:tc>
        <w:tc>
          <w:tcPr>
            <w:tcW w:w="4394" w:type="dxa"/>
          </w:tcPr>
          <w:p w14:paraId="422A2279" w14:textId="77777777" w:rsidR="004D1872" w:rsidRPr="002D741C" w:rsidRDefault="004D1872" w:rsidP="008255DF">
            <w:pPr>
              <w:pStyle w:val="EndnoteText"/>
              <w:widowControl w:val="0"/>
              <w:tabs>
                <w:tab w:val="clear" w:pos="567"/>
              </w:tabs>
              <w:ind w:left="548" w:hanging="514"/>
              <w:rPr>
                <w:color w:val="000000"/>
                <w:szCs w:val="22"/>
                <w:lang w:val="es-ES"/>
              </w:rPr>
            </w:pPr>
            <w:r w:rsidRPr="002D741C">
              <w:rPr>
                <w:color w:val="000000"/>
                <w:szCs w:val="22"/>
                <w:lang w:val="es-ES_tradnl"/>
              </w:rPr>
              <w:t>1.</w:t>
            </w:r>
            <w:r w:rsidRPr="002D741C">
              <w:rPr>
                <w:color w:val="000000"/>
                <w:szCs w:val="22"/>
                <w:lang w:val="es-ES_tradnl"/>
              </w:rPr>
              <w:tab/>
            </w:r>
            <w:r w:rsidRPr="002D741C">
              <w:rPr>
                <w:color w:val="000000"/>
                <w:szCs w:val="22"/>
                <w:lang w:val="es-ES"/>
              </w:rPr>
              <w:t xml:space="preserve">Interrumpir Glivec hasta que RAN </w:t>
            </w:r>
            <w:r w:rsidRPr="002D741C">
              <w:rPr>
                <w:color w:val="000000"/>
                <w:szCs w:val="22"/>
                <w:lang w:val="es-ES"/>
              </w:rPr>
              <w:sym w:font="Symbol" w:char="F0B3"/>
            </w:r>
            <w:r w:rsidRPr="002D741C">
              <w:rPr>
                <w:color w:val="000000"/>
                <w:szCs w:val="22"/>
                <w:lang w:val="es-ES"/>
              </w:rPr>
              <w:t> 1,5 x 10</w:t>
            </w:r>
            <w:r w:rsidRPr="002D741C">
              <w:rPr>
                <w:color w:val="000000"/>
                <w:szCs w:val="22"/>
                <w:vertAlign w:val="superscript"/>
                <w:lang w:val="es-ES"/>
              </w:rPr>
              <w:t>9</w:t>
            </w:r>
            <w:r w:rsidRPr="002D741C">
              <w:rPr>
                <w:color w:val="000000"/>
                <w:szCs w:val="22"/>
                <w:lang w:val="es-ES"/>
              </w:rPr>
              <w:t xml:space="preserve">/l y plaquetas </w:t>
            </w:r>
            <w:r w:rsidRPr="002D741C">
              <w:rPr>
                <w:color w:val="000000"/>
                <w:szCs w:val="22"/>
                <w:lang w:val="es-ES"/>
              </w:rPr>
              <w:sym w:font="Symbol" w:char="F0B3"/>
            </w:r>
            <w:r w:rsidRPr="002D741C">
              <w:rPr>
                <w:color w:val="000000"/>
                <w:szCs w:val="22"/>
                <w:lang w:val="es-ES"/>
              </w:rPr>
              <w:t> 75 x 10</w:t>
            </w:r>
            <w:r w:rsidRPr="002D741C">
              <w:rPr>
                <w:color w:val="000000"/>
                <w:szCs w:val="22"/>
                <w:vertAlign w:val="superscript"/>
                <w:lang w:val="es-ES"/>
              </w:rPr>
              <w:t>9</w:t>
            </w:r>
            <w:r w:rsidRPr="002D741C">
              <w:rPr>
                <w:color w:val="000000"/>
                <w:szCs w:val="22"/>
                <w:lang w:val="es-ES"/>
              </w:rPr>
              <w:t>/l.</w:t>
            </w:r>
          </w:p>
          <w:p w14:paraId="657950EC" w14:textId="77777777" w:rsidR="004D1872" w:rsidRPr="002D741C" w:rsidRDefault="004D1872" w:rsidP="008255DF">
            <w:pPr>
              <w:pStyle w:val="EndnoteText"/>
              <w:widowControl w:val="0"/>
              <w:tabs>
                <w:tab w:val="clear" w:pos="567"/>
              </w:tabs>
              <w:ind w:left="548" w:hanging="514"/>
              <w:rPr>
                <w:color w:val="000000"/>
                <w:szCs w:val="22"/>
                <w:lang w:val="es-ES_tradnl"/>
              </w:rPr>
            </w:pPr>
            <w:r w:rsidRPr="002D741C">
              <w:rPr>
                <w:color w:val="000000"/>
                <w:szCs w:val="22"/>
                <w:lang w:val="es-ES"/>
              </w:rPr>
              <w:t>2.</w:t>
            </w:r>
            <w:r w:rsidRPr="002D741C">
              <w:rPr>
                <w:color w:val="000000"/>
                <w:szCs w:val="22"/>
                <w:lang w:val="es-ES"/>
              </w:rPr>
              <w:tab/>
              <w:t>Reanudar el tratamiento con Glivec a la dosis previa (antes de la reacción adversa).</w:t>
            </w:r>
          </w:p>
        </w:tc>
      </w:tr>
      <w:tr w:rsidR="004D1872" w:rsidRPr="002D741C" w14:paraId="719E9815" w14:textId="77777777" w:rsidTr="00AD13BE">
        <w:trPr>
          <w:cantSplit/>
        </w:trPr>
        <w:tc>
          <w:tcPr>
            <w:tcW w:w="2268" w:type="dxa"/>
          </w:tcPr>
          <w:p w14:paraId="15C3A328" w14:textId="77777777" w:rsidR="004D1872" w:rsidRPr="002D741C" w:rsidRDefault="004D1872" w:rsidP="008255DF">
            <w:pPr>
              <w:pStyle w:val="EndnoteText"/>
              <w:widowControl w:val="0"/>
              <w:tabs>
                <w:tab w:val="clear" w:pos="567"/>
              </w:tabs>
              <w:rPr>
                <w:color w:val="000000"/>
                <w:szCs w:val="22"/>
                <w:lang w:val="es-ES"/>
              </w:rPr>
            </w:pPr>
            <w:r w:rsidRPr="002D741C">
              <w:rPr>
                <w:color w:val="000000"/>
                <w:szCs w:val="22"/>
                <w:lang w:val="es-ES"/>
              </w:rPr>
              <w:lastRenderedPageBreak/>
              <w:t xml:space="preserve">LMC fase crónica, </w:t>
            </w:r>
            <w:smartTag w:uri="urn:schemas-microsoft-com:office:smarttags" w:element="stockticker">
              <w:r w:rsidRPr="002D741C">
                <w:rPr>
                  <w:color w:val="000000"/>
                  <w:szCs w:val="22"/>
                  <w:lang w:val="es-ES"/>
                </w:rPr>
                <w:t>SMD</w:t>
              </w:r>
            </w:smartTag>
            <w:r w:rsidRPr="002D741C">
              <w:rPr>
                <w:color w:val="000000"/>
                <w:szCs w:val="22"/>
                <w:lang w:val="es-ES"/>
              </w:rPr>
              <w:t>/</w:t>
            </w:r>
            <w:smartTag w:uri="urn:schemas-microsoft-com:office:smarttags" w:element="stockticker">
              <w:r w:rsidRPr="002D741C">
                <w:rPr>
                  <w:color w:val="000000"/>
                  <w:szCs w:val="22"/>
                  <w:lang w:val="es-ES"/>
                </w:rPr>
                <w:t>SMP</w:t>
              </w:r>
            </w:smartTag>
            <w:r w:rsidRPr="002D741C">
              <w:rPr>
                <w:color w:val="000000"/>
                <w:szCs w:val="22"/>
                <w:lang w:val="es-ES"/>
              </w:rPr>
              <w:t xml:space="preserve"> y G</w:t>
            </w:r>
            <w:smartTag w:uri="urn:schemas-microsoft-com:office:smarttags" w:element="PersonName">
              <w:r w:rsidRPr="002D741C">
                <w:rPr>
                  <w:color w:val="000000"/>
                  <w:szCs w:val="22"/>
                  <w:lang w:val="es-ES"/>
                </w:rPr>
                <w:t>IS</w:t>
              </w:r>
            </w:smartTag>
            <w:r w:rsidRPr="002D741C">
              <w:rPr>
                <w:color w:val="000000"/>
                <w:szCs w:val="22"/>
                <w:lang w:val="es-ES"/>
              </w:rPr>
              <w:t>T</w:t>
            </w:r>
          </w:p>
          <w:p w14:paraId="0D56EB68" w14:textId="77777777" w:rsidR="004D1872" w:rsidRPr="002D741C" w:rsidRDefault="004D1872" w:rsidP="008255DF">
            <w:pPr>
              <w:pStyle w:val="EndnoteText"/>
              <w:widowControl w:val="0"/>
              <w:tabs>
                <w:tab w:val="clear" w:pos="567"/>
              </w:tabs>
              <w:rPr>
                <w:color w:val="000000"/>
                <w:szCs w:val="22"/>
                <w:lang w:val="es-ES"/>
              </w:rPr>
            </w:pPr>
            <w:r w:rsidRPr="002D741C">
              <w:rPr>
                <w:color w:val="000000"/>
                <w:szCs w:val="22"/>
                <w:lang w:val="es-ES"/>
              </w:rPr>
              <w:t>(dosis inicial 400 mg)</w:t>
            </w:r>
          </w:p>
          <w:p w14:paraId="5A91BF42" w14:textId="77777777" w:rsidR="004D1872" w:rsidRPr="002D741C" w:rsidRDefault="004D1872" w:rsidP="008255DF">
            <w:pPr>
              <w:pStyle w:val="EndnoteText"/>
              <w:widowControl w:val="0"/>
              <w:tabs>
                <w:tab w:val="clear" w:pos="567"/>
              </w:tabs>
              <w:rPr>
                <w:color w:val="000000"/>
                <w:szCs w:val="22"/>
                <w:lang w:val="es-ES_tradnl"/>
              </w:rPr>
            </w:pPr>
            <w:r w:rsidRPr="002D741C">
              <w:rPr>
                <w:color w:val="000000"/>
                <w:szCs w:val="22"/>
                <w:lang w:val="es-ES_tradnl"/>
              </w:rPr>
              <w:t>SHE/LEC (a dosis de 400 mg)</w:t>
            </w:r>
          </w:p>
        </w:tc>
        <w:tc>
          <w:tcPr>
            <w:tcW w:w="2410" w:type="dxa"/>
          </w:tcPr>
          <w:p w14:paraId="246335F3" w14:textId="77777777" w:rsidR="004D1872" w:rsidRPr="002D741C" w:rsidRDefault="004D1872" w:rsidP="008255DF">
            <w:pPr>
              <w:pStyle w:val="EndnoteText"/>
              <w:widowControl w:val="0"/>
              <w:tabs>
                <w:tab w:val="clear" w:pos="567"/>
              </w:tabs>
              <w:rPr>
                <w:color w:val="000000"/>
                <w:szCs w:val="22"/>
                <w:lang w:val="es-ES"/>
              </w:rPr>
            </w:pPr>
            <w:r w:rsidRPr="002D741C">
              <w:rPr>
                <w:color w:val="000000"/>
                <w:szCs w:val="22"/>
                <w:lang w:val="es-ES"/>
              </w:rPr>
              <w:t>RAN &lt; 1,0 x 10</w:t>
            </w:r>
            <w:r w:rsidRPr="002D741C">
              <w:rPr>
                <w:color w:val="000000"/>
                <w:szCs w:val="22"/>
                <w:vertAlign w:val="superscript"/>
                <w:lang w:val="es-ES"/>
              </w:rPr>
              <w:t>9</w:t>
            </w:r>
            <w:r w:rsidRPr="002D741C">
              <w:rPr>
                <w:color w:val="000000"/>
                <w:szCs w:val="22"/>
                <w:lang w:val="es-ES"/>
              </w:rPr>
              <w:t>/l</w:t>
            </w:r>
          </w:p>
          <w:p w14:paraId="0D195F22" w14:textId="77777777" w:rsidR="004D1872" w:rsidRPr="002D741C" w:rsidRDefault="004D1872" w:rsidP="008255DF">
            <w:pPr>
              <w:pStyle w:val="EndnoteText"/>
              <w:widowControl w:val="0"/>
              <w:tabs>
                <w:tab w:val="clear" w:pos="567"/>
              </w:tabs>
              <w:rPr>
                <w:color w:val="000000"/>
                <w:szCs w:val="22"/>
                <w:lang w:val="es-ES"/>
              </w:rPr>
            </w:pPr>
            <w:r w:rsidRPr="002D741C">
              <w:rPr>
                <w:color w:val="000000"/>
                <w:szCs w:val="22"/>
                <w:lang w:val="es-ES"/>
              </w:rPr>
              <w:t>y/o</w:t>
            </w:r>
          </w:p>
          <w:p w14:paraId="21634324" w14:textId="77777777" w:rsidR="004D1872" w:rsidRPr="002D741C" w:rsidRDefault="004D1872" w:rsidP="008255DF">
            <w:pPr>
              <w:pStyle w:val="EndnoteText"/>
              <w:widowControl w:val="0"/>
              <w:tabs>
                <w:tab w:val="clear" w:pos="567"/>
              </w:tabs>
              <w:rPr>
                <w:color w:val="000000"/>
                <w:szCs w:val="22"/>
                <w:lang w:val="es-ES"/>
              </w:rPr>
            </w:pPr>
            <w:r w:rsidRPr="002D741C">
              <w:rPr>
                <w:color w:val="000000"/>
                <w:szCs w:val="22"/>
                <w:lang w:val="es-ES"/>
              </w:rPr>
              <w:t>plaquetas &lt; 50 x 10</w:t>
            </w:r>
            <w:r w:rsidRPr="002D741C">
              <w:rPr>
                <w:color w:val="000000"/>
                <w:szCs w:val="22"/>
                <w:vertAlign w:val="superscript"/>
                <w:lang w:val="es-ES"/>
              </w:rPr>
              <w:t>9</w:t>
            </w:r>
            <w:r w:rsidRPr="002D741C">
              <w:rPr>
                <w:color w:val="000000"/>
                <w:szCs w:val="22"/>
                <w:lang w:val="es-ES"/>
              </w:rPr>
              <w:t>/l</w:t>
            </w:r>
          </w:p>
        </w:tc>
        <w:tc>
          <w:tcPr>
            <w:tcW w:w="4394" w:type="dxa"/>
          </w:tcPr>
          <w:p w14:paraId="781380DC" w14:textId="77777777" w:rsidR="004D1872" w:rsidRPr="002D741C" w:rsidRDefault="004D1872" w:rsidP="008255DF">
            <w:pPr>
              <w:pStyle w:val="EndnoteText"/>
              <w:widowControl w:val="0"/>
              <w:tabs>
                <w:tab w:val="clear" w:pos="567"/>
              </w:tabs>
              <w:ind w:left="548" w:hanging="514"/>
              <w:rPr>
                <w:color w:val="000000"/>
                <w:szCs w:val="22"/>
                <w:lang w:val="es-ES"/>
              </w:rPr>
            </w:pPr>
            <w:r w:rsidRPr="002D741C">
              <w:rPr>
                <w:color w:val="000000"/>
                <w:szCs w:val="22"/>
                <w:lang w:val="es-ES"/>
              </w:rPr>
              <w:t>1.</w:t>
            </w:r>
            <w:r w:rsidRPr="002D741C">
              <w:rPr>
                <w:color w:val="000000"/>
                <w:szCs w:val="22"/>
                <w:lang w:val="es-ES"/>
              </w:rPr>
              <w:tab/>
              <w:t xml:space="preserve">Interrumpir Glivec hasta que RAN </w:t>
            </w:r>
            <w:r w:rsidRPr="002D741C">
              <w:rPr>
                <w:color w:val="000000"/>
                <w:szCs w:val="22"/>
                <w:lang w:val="es-ES"/>
              </w:rPr>
              <w:sym w:font="Symbol" w:char="F0B3"/>
            </w:r>
            <w:r w:rsidRPr="002D741C">
              <w:rPr>
                <w:color w:val="000000"/>
                <w:szCs w:val="22"/>
                <w:lang w:val="es-ES"/>
              </w:rPr>
              <w:t> 1,5 x 10</w:t>
            </w:r>
            <w:r w:rsidRPr="002D741C">
              <w:rPr>
                <w:color w:val="000000"/>
                <w:szCs w:val="22"/>
                <w:vertAlign w:val="superscript"/>
                <w:lang w:val="es-ES"/>
              </w:rPr>
              <w:t>9</w:t>
            </w:r>
            <w:r w:rsidRPr="002D741C">
              <w:rPr>
                <w:color w:val="000000"/>
                <w:szCs w:val="22"/>
                <w:lang w:val="es-ES"/>
              </w:rPr>
              <w:t xml:space="preserve">/l y plaquetas </w:t>
            </w:r>
            <w:r w:rsidRPr="002D741C">
              <w:rPr>
                <w:color w:val="000000"/>
                <w:szCs w:val="22"/>
                <w:lang w:val="es-ES"/>
              </w:rPr>
              <w:sym w:font="Symbol" w:char="F0B3"/>
            </w:r>
            <w:r w:rsidRPr="002D741C">
              <w:rPr>
                <w:color w:val="000000"/>
                <w:szCs w:val="22"/>
                <w:lang w:val="es-ES"/>
              </w:rPr>
              <w:t> 75 x 10</w:t>
            </w:r>
            <w:r w:rsidRPr="002D741C">
              <w:rPr>
                <w:color w:val="000000"/>
                <w:szCs w:val="22"/>
                <w:vertAlign w:val="superscript"/>
                <w:lang w:val="es-ES"/>
              </w:rPr>
              <w:t>9</w:t>
            </w:r>
            <w:r w:rsidRPr="002D741C">
              <w:rPr>
                <w:color w:val="000000"/>
                <w:szCs w:val="22"/>
                <w:lang w:val="es-ES"/>
              </w:rPr>
              <w:t>/l.</w:t>
            </w:r>
          </w:p>
          <w:p w14:paraId="1F436E63" w14:textId="77777777" w:rsidR="004D1872" w:rsidRPr="002D741C" w:rsidRDefault="004D1872" w:rsidP="008255DF">
            <w:pPr>
              <w:pStyle w:val="EndnoteText"/>
              <w:widowControl w:val="0"/>
              <w:tabs>
                <w:tab w:val="clear" w:pos="567"/>
              </w:tabs>
              <w:ind w:left="548" w:hanging="514"/>
              <w:rPr>
                <w:color w:val="000000"/>
                <w:szCs w:val="22"/>
                <w:lang w:val="es-ES"/>
              </w:rPr>
            </w:pPr>
            <w:r w:rsidRPr="002D741C">
              <w:rPr>
                <w:color w:val="000000"/>
                <w:szCs w:val="22"/>
                <w:lang w:val="es-ES"/>
              </w:rPr>
              <w:t>2.</w:t>
            </w:r>
            <w:r w:rsidRPr="002D741C">
              <w:rPr>
                <w:color w:val="000000"/>
                <w:szCs w:val="22"/>
                <w:lang w:val="es-ES"/>
              </w:rPr>
              <w:tab/>
              <w:t>Reanudar el tratamiento con Glivec a la dosis previa (antes de la reacción adversa).</w:t>
            </w:r>
          </w:p>
          <w:p w14:paraId="78EE862E" w14:textId="77777777" w:rsidR="004D1872" w:rsidRPr="002D741C" w:rsidRDefault="004D1872" w:rsidP="008255DF">
            <w:pPr>
              <w:pStyle w:val="EndnoteText"/>
              <w:widowControl w:val="0"/>
              <w:tabs>
                <w:tab w:val="clear" w:pos="567"/>
              </w:tabs>
              <w:ind w:left="548" w:hanging="514"/>
              <w:rPr>
                <w:color w:val="000000"/>
                <w:szCs w:val="22"/>
                <w:lang w:val="es-ES"/>
              </w:rPr>
            </w:pPr>
            <w:r w:rsidRPr="002D741C">
              <w:rPr>
                <w:color w:val="000000"/>
                <w:szCs w:val="22"/>
                <w:lang w:val="es-ES"/>
              </w:rPr>
              <w:t>3.</w:t>
            </w:r>
            <w:r w:rsidRPr="002D741C">
              <w:rPr>
                <w:color w:val="000000"/>
                <w:szCs w:val="22"/>
                <w:lang w:val="es-ES"/>
              </w:rPr>
              <w:tab/>
              <w:t>Si recurre la situación de RAN &lt; 1,0 x 10</w:t>
            </w:r>
            <w:r w:rsidRPr="002D741C">
              <w:rPr>
                <w:color w:val="000000"/>
                <w:szCs w:val="22"/>
                <w:vertAlign w:val="superscript"/>
                <w:lang w:val="es-ES"/>
              </w:rPr>
              <w:t>9</w:t>
            </w:r>
            <w:r w:rsidRPr="002D741C">
              <w:rPr>
                <w:color w:val="000000"/>
                <w:szCs w:val="22"/>
                <w:lang w:val="es-ES"/>
              </w:rPr>
              <w:t>/l y/o plaquetas &lt; 50 x 10</w:t>
            </w:r>
            <w:r w:rsidRPr="002D741C">
              <w:rPr>
                <w:color w:val="000000"/>
                <w:szCs w:val="22"/>
                <w:vertAlign w:val="superscript"/>
                <w:lang w:val="es-ES"/>
              </w:rPr>
              <w:t>9</w:t>
            </w:r>
            <w:r w:rsidRPr="002D741C">
              <w:rPr>
                <w:color w:val="000000"/>
                <w:szCs w:val="22"/>
                <w:lang w:val="es-ES"/>
              </w:rPr>
              <w:t>/l, repetir el paso 1 y reanudar Glivec a la dosis reducida de 300 mg.</w:t>
            </w:r>
          </w:p>
        </w:tc>
      </w:tr>
      <w:tr w:rsidR="004D1872" w:rsidRPr="002D741C" w14:paraId="71553B08" w14:textId="77777777" w:rsidTr="00AD13BE">
        <w:trPr>
          <w:cantSplit/>
        </w:trPr>
        <w:tc>
          <w:tcPr>
            <w:tcW w:w="2268" w:type="dxa"/>
            <w:tcBorders>
              <w:bottom w:val="nil"/>
            </w:tcBorders>
          </w:tcPr>
          <w:p w14:paraId="6C3D43C1" w14:textId="77777777" w:rsidR="004D1872" w:rsidRPr="002D741C" w:rsidRDefault="004D1872" w:rsidP="008255DF">
            <w:pPr>
              <w:pStyle w:val="EndnoteText"/>
              <w:widowControl w:val="0"/>
              <w:tabs>
                <w:tab w:val="clear" w:pos="567"/>
              </w:tabs>
              <w:rPr>
                <w:color w:val="000000"/>
                <w:szCs w:val="22"/>
                <w:lang w:val="pt-BR"/>
              </w:rPr>
            </w:pPr>
            <w:r w:rsidRPr="002D741C">
              <w:rPr>
                <w:color w:val="000000"/>
                <w:szCs w:val="22"/>
                <w:lang w:val="pt-BR"/>
              </w:rPr>
              <w:t>LMC fase crónica pediátrica</w:t>
            </w:r>
          </w:p>
          <w:p w14:paraId="055D3323" w14:textId="77777777" w:rsidR="004D1872" w:rsidRPr="002D741C" w:rsidRDefault="004D1872" w:rsidP="008255DF">
            <w:pPr>
              <w:pStyle w:val="EndnoteText"/>
              <w:widowControl w:val="0"/>
              <w:tabs>
                <w:tab w:val="clear" w:pos="567"/>
              </w:tabs>
              <w:rPr>
                <w:color w:val="000000"/>
                <w:szCs w:val="22"/>
                <w:lang w:val="pt-BR"/>
              </w:rPr>
            </w:pPr>
            <w:r w:rsidRPr="002D741C">
              <w:rPr>
                <w:color w:val="000000"/>
                <w:szCs w:val="22"/>
                <w:lang w:val="pt-BR"/>
              </w:rPr>
              <w:t>(a dosis de 340 mg/m</w:t>
            </w:r>
            <w:r w:rsidRPr="002D741C">
              <w:rPr>
                <w:color w:val="000000"/>
                <w:szCs w:val="22"/>
                <w:vertAlign w:val="superscript"/>
                <w:lang w:val="pt-BR"/>
              </w:rPr>
              <w:t>2</w:t>
            </w:r>
            <w:r w:rsidRPr="002D741C">
              <w:rPr>
                <w:color w:val="000000"/>
                <w:szCs w:val="22"/>
                <w:lang w:val="pt-BR"/>
              </w:rPr>
              <w:t>)</w:t>
            </w:r>
          </w:p>
        </w:tc>
        <w:tc>
          <w:tcPr>
            <w:tcW w:w="2410" w:type="dxa"/>
            <w:tcBorders>
              <w:bottom w:val="nil"/>
            </w:tcBorders>
          </w:tcPr>
          <w:p w14:paraId="637F681B" w14:textId="77777777" w:rsidR="004D1872" w:rsidRPr="002D741C" w:rsidRDefault="004D1872" w:rsidP="008255DF">
            <w:pPr>
              <w:pStyle w:val="Table"/>
              <w:spacing w:before="0" w:after="0"/>
              <w:rPr>
                <w:rFonts w:ascii="Times New Roman" w:hAnsi="Times New Roman"/>
                <w:color w:val="000000"/>
                <w:sz w:val="22"/>
                <w:szCs w:val="22"/>
                <w:lang w:val="es-ES_tradnl"/>
              </w:rPr>
            </w:pPr>
            <w:r w:rsidRPr="002D741C">
              <w:rPr>
                <w:rFonts w:ascii="Times New Roman" w:hAnsi="Times New Roman"/>
                <w:color w:val="000000"/>
                <w:sz w:val="22"/>
                <w:szCs w:val="22"/>
                <w:lang w:val="es-ES_tradnl"/>
              </w:rPr>
              <w:t>RAN &lt; 1,0 x 10</w:t>
            </w:r>
            <w:r w:rsidRPr="002D741C">
              <w:rPr>
                <w:rFonts w:ascii="Times New Roman" w:hAnsi="Times New Roman"/>
                <w:color w:val="000000"/>
                <w:sz w:val="22"/>
                <w:szCs w:val="22"/>
                <w:vertAlign w:val="superscript"/>
                <w:lang w:val="es-ES_tradnl"/>
              </w:rPr>
              <w:t>9</w:t>
            </w:r>
            <w:r w:rsidRPr="002D741C">
              <w:rPr>
                <w:rFonts w:ascii="Times New Roman" w:hAnsi="Times New Roman"/>
                <w:color w:val="000000"/>
                <w:sz w:val="22"/>
                <w:szCs w:val="22"/>
                <w:lang w:val="es-ES_tradnl"/>
              </w:rPr>
              <w:t>/l</w:t>
            </w:r>
          </w:p>
          <w:p w14:paraId="29C9BBF6" w14:textId="77777777" w:rsidR="004D1872" w:rsidRPr="002D741C" w:rsidRDefault="004D1872" w:rsidP="008255DF">
            <w:pPr>
              <w:pStyle w:val="Table"/>
              <w:spacing w:before="0" w:after="0"/>
              <w:rPr>
                <w:rFonts w:ascii="Times New Roman" w:hAnsi="Times New Roman"/>
                <w:color w:val="000000"/>
                <w:sz w:val="22"/>
                <w:szCs w:val="22"/>
                <w:lang w:val="es-ES_tradnl"/>
              </w:rPr>
            </w:pPr>
            <w:r w:rsidRPr="002D741C">
              <w:rPr>
                <w:rFonts w:ascii="Times New Roman" w:hAnsi="Times New Roman"/>
                <w:color w:val="000000"/>
                <w:sz w:val="22"/>
                <w:szCs w:val="22"/>
                <w:lang w:val="es-ES_tradnl"/>
              </w:rPr>
              <w:t>y/o</w:t>
            </w:r>
          </w:p>
          <w:p w14:paraId="3B3C9247" w14:textId="77777777" w:rsidR="004D1872" w:rsidRPr="002D741C" w:rsidRDefault="004D1872" w:rsidP="008255DF">
            <w:pPr>
              <w:pStyle w:val="Table"/>
              <w:spacing w:before="0" w:after="0"/>
              <w:rPr>
                <w:rFonts w:ascii="Times New Roman" w:hAnsi="Times New Roman"/>
                <w:color w:val="000000"/>
                <w:sz w:val="22"/>
                <w:szCs w:val="22"/>
                <w:lang w:val="es-ES_tradnl"/>
              </w:rPr>
            </w:pPr>
            <w:r w:rsidRPr="002D741C">
              <w:rPr>
                <w:rFonts w:ascii="Times New Roman" w:hAnsi="Times New Roman"/>
                <w:color w:val="000000"/>
                <w:sz w:val="22"/>
                <w:szCs w:val="22"/>
                <w:lang w:val="es-ES_tradnl"/>
              </w:rPr>
              <w:t>plaquetas &lt; 50 x 10</w:t>
            </w:r>
            <w:r w:rsidRPr="002D741C">
              <w:rPr>
                <w:rFonts w:ascii="Times New Roman" w:hAnsi="Times New Roman"/>
                <w:color w:val="000000"/>
                <w:sz w:val="22"/>
                <w:szCs w:val="22"/>
                <w:vertAlign w:val="superscript"/>
                <w:lang w:val="es-ES_tradnl"/>
              </w:rPr>
              <w:t>9</w:t>
            </w:r>
            <w:r w:rsidRPr="002D741C">
              <w:rPr>
                <w:rFonts w:ascii="Times New Roman" w:hAnsi="Times New Roman"/>
                <w:color w:val="000000"/>
                <w:sz w:val="22"/>
                <w:szCs w:val="22"/>
                <w:lang w:val="es-ES_tradnl"/>
              </w:rPr>
              <w:t>/l</w:t>
            </w:r>
          </w:p>
          <w:p w14:paraId="1DC47354" w14:textId="77777777" w:rsidR="004D1872" w:rsidRPr="002D741C" w:rsidDel="00F4499A" w:rsidRDefault="004D1872" w:rsidP="008255DF">
            <w:pPr>
              <w:pStyle w:val="EndnoteText"/>
              <w:widowControl w:val="0"/>
              <w:tabs>
                <w:tab w:val="clear" w:pos="567"/>
              </w:tabs>
              <w:rPr>
                <w:color w:val="000000"/>
                <w:szCs w:val="22"/>
                <w:vertAlign w:val="superscript"/>
                <w:lang w:val="es-ES_tradnl"/>
              </w:rPr>
            </w:pPr>
          </w:p>
        </w:tc>
        <w:tc>
          <w:tcPr>
            <w:tcW w:w="4394" w:type="dxa"/>
            <w:tcBorders>
              <w:bottom w:val="nil"/>
            </w:tcBorders>
          </w:tcPr>
          <w:p w14:paraId="14892693" w14:textId="77777777" w:rsidR="004D1872" w:rsidRPr="002D741C" w:rsidRDefault="004D1872" w:rsidP="008255DF">
            <w:pPr>
              <w:pStyle w:val="EndnoteText"/>
              <w:widowControl w:val="0"/>
              <w:tabs>
                <w:tab w:val="clear" w:pos="567"/>
              </w:tabs>
              <w:ind w:left="548" w:hanging="514"/>
              <w:rPr>
                <w:color w:val="000000"/>
                <w:szCs w:val="22"/>
                <w:lang w:val="es-ES"/>
              </w:rPr>
            </w:pPr>
            <w:r w:rsidRPr="002D741C">
              <w:rPr>
                <w:color w:val="000000"/>
                <w:szCs w:val="22"/>
                <w:lang w:val="es-ES_tradnl"/>
              </w:rPr>
              <w:t>1.</w:t>
            </w:r>
            <w:r w:rsidRPr="002D741C">
              <w:rPr>
                <w:color w:val="000000"/>
                <w:szCs w:val="22"/>
                <w:lang w:val="es-ES_tradnl"/>
              </w:rPr>
              <w:tab/>
            </w:r>
            <w:r w:rsidRPr="002D741C">
              <w:rPr>
                <w:color w:val="000000"/>
                <w:szCs w:val="22"/>
                <w:lang w:val="es-ES"/>
              </w:rPr>
              <w:t xml:space="preserve">Interrumpir Glivec hasta que RAN </w:t>
            </w:r>
            <w:r w:rsidRPr="002D741C">
              <w:rPr>
                <w:color w:val="000000"/>
                <w:szCs w:val="22"/>
                <w:lang w:val="es-ES"/>
              </w:rPr>
              <w:sym w:font="Symbol" w:char="F0B3"/>
            </w:r>
            <w:r w:rsidRPr="002D741C">
              <w:rPr>
                <w:color w:val="000000"/>
                <w:szCs w:val="22"/>
                <w:lang w:val="es-ES"/>
              </w:rPr>
              <w:t> 1,5 x 10</w:t>
            </w:r>
            <w:r w:rsidRPr="002D741C">
              <w:rPr>
                <w:color w:val="000000"/>
                <w:szCs w:val="22"/>
                <w:vertAlign w:val="superscript"/>
                <w:lang w:val="es-ES"/>
              </w:rPr>
              <w:t>9</w:t>
            </w:r>
            <w:r w:rsidRPr="002D741C">
              <w:rPr>
                <w:color w:val="000000"/>
                <w:szCs w:val="22"/>
                <w:lang w:val="es-ES"/>
              </w:rPr>
              <w:t xml:space="preserve">/l y plaquetas </w:t>
            </w:r>
            <w:r w:rsidRPr="002D741C">
              <w:rPr>
                <w:color w:val="000000"/>
                <w:szCs w:val="22"/>
                <w:lang w:val="es-ES"/>
              </w:rPr>
              <w:sym w:font="Symbol" w:char="F0B3"/>
            </w:r>
            <w:r w:rsidRPr="002D741C">
              <w:rPr>
                <w:color w:val="000000"/>
                <w:szCs w:val="22"/>
                <w:lang w:val="es-ES"/>
              </w:rPr>
              <w:t> 75 x 10</w:t>
            </w:r>
            <w:r w:rsidRPr="002D741C">
              <w:rPr>
                <w:color w:val="000000"/>
                <w:szCs w:val="22"/>
                <w:vertAlign w:val="superscript"/>
                <w:lang w:val="es-ES"/>
              </w:rPr>
              <w:t>9</w:t>
            </w:r>
            <w:r w:rsidRPr="002D741C">
              <w:rPr>
                <w:color w:val="000000"/>
                <w:szCs w:val="22"/>
                <w:lang w:val="es-ES"/>
              </w:rPr>
              <w:t>/l.</w:t>
            </w:r>
          </w:p>
          <w:p w14:paraId="6C998CB2" w14:textId="77777777" w:rsidR="004D1872" w:rsidRPr="002D741C" w:rsidRDefault="004D1872" w:rsidP="008255DF">
            <w:pPr>
              <w:pStyle w:val="EndnoteText"/>
              <w:widowControl w:val="0"/>
              <w:tabs>
                <w:tab w:val="clear" w:pos="567"/>
              </w:tabs>
              <w:ind w:left="548" w:hanging="514"/>
              <w:rPr>
                <w:color w:val="000000"/>
                <w:szCs w:val="22"/>
                <w:lang w:val="es-ES"/>
              </w:rPr>
            </w:pPr>
            <w:r w:rsidRPr="002D741C">
              <w:rPr>
                <w:color w:val="000000"/>
                <w:szCs w:val="22"/>
                <w:lang w:val="es-ES"/>
              </w:rPr>
              <w:t>2.</w:t>
            </w:r>
            <w:r w:rsidRPr="002D741C">
              <w:rPr>
                <w:color w:val="000000"/>
                <w:szCs w:val="22"/>
                <w:lang w:val="es-ES"/>
              </w:rPr>
              <w:tab/>
              <w:t>Reanudar el tratamiento con Glivec a la dosis previa (antes de la reacción adversa).</w:t>
            </w:r>
          </w:p>
          <w:p w14:paraId="59B78AD0" w14:textId="77777777" w:rsidR="004D1872" w:rsidRPr="002D741C" w:rsidRDefault="004D1872" w:rsidP="008255DF">
            <w:pPr>
              <w:pStyle w:val="EndnoteText"/>
              <w:widowControl w:val="0"/>
              <w:tabs>
                <w:tab w:val="clear" w:pos="567"/>
              </w:tabs>
              <w:ind w:left="548" w:hanging="514"/>
              <w:rPr>
                <w:color w:val="000000"/>
                <w:szCs w:val="22"/>
                <w:lang w:val="es-ES_tradnl"/>
              </w:rPr>
            </w:pPr>
            <w:r w:rsidRPr="002D741C">
              <w:rPr>
                <w:color w:val="000000"/>
                <w:szCs w:val="22"/>
                <w:lang w:val="es-ES"/>
              </w:rPr>
              <w:t>3.</w:t>
            </w:r>
            <w:r w:rsidRPr="002D741C">
              <w:rPr>
                <w:color w:val="000000"/>
                <w:szCs w:val="22"/>
                <w:lang w:val="es-ES"/>
              </w:rPr>
              <w:tab/>
              <w:t>Si recurre la situación de RAN &lt; 1,0 x 10</w:t>
            </w:r>
            <w:r w:rsidRPr="002D741C">
              <w:rPr>
                <w:color w:val="000000"/>
                <w:szCs w:val="22"/>
                <w:vertAlign w:val="superscript"/>
                <w:lang w:val="es-ES"/>
              </w:rPr>
              <w:t>9</w:t>
            </w:r>
            <w:r w:rsidRPr="002D741C">
              <w:rPr>
                <w:color w:val="000000"/>
                <w:szCs w:val="22"/>
                <w:lang w:val="es-ES"/>
              </w:rPr>
              <w:t>/l y/o plaquetas &lt; 50 x 10</w:t>
            </w:r>
            <w:r w:rsidRPr="002D741C">
              <w:rPr>
                <w:color w:val="000000"/>
                <w:szCs w:val="22"/>
                <w:vertAlign w:val="superscript"/>
                <w:lang w:val="es-ES"/>
              </w:rPr>
              <w:t>9</w:t>
            </w:r>
            <w:r w:rsidRPr="002D741C">
              <w:rPr>
                <w:color w:val="000000"/>
                <w:szCs w:val="22"/>
                <w:lang w:val="es-ES"/>
              </w:rPr>
              <w:t>/l, repetir el paso 1 y reanudar Glivec a la dosis reducida de 260 mg/m</w:t>
            </w:r>
            <w:r w:rsidRPr="002D741C">
              <w:rPr>
                <w:color w:val="000000"/>
                <w:szCs w:val="22"/>
                <w:vertAlign w:val="superscript"/>
                <w:lang w:val="es-ES"/>
              </w:rPr>
              <w:t>2</w:t>
            </w:r>
            <w:r w:rsidRPr="002D741C">
              <w:rPr>
                <w:color w:val="000000"/>
                <w:szCs w:val="22"/>
                <w:lang w:val="es-ES"/>
              </w:rPr>
              <w:t>.</w:t>
            </w:r>
          </w:p>
        </w:tc>
      </w:tr>
      <w:tr w:rsidR="004D1872" w:rsidRPr="002D741C" w14:paraId="3ECBA211" w14:textId="77777777" w:rsidTr="00AD13BE">
        <w:trPr>
          <w:cantSplit/>
        </w:trPr>
        <w:tc>
          <w:tcPr>
            <w:tcW w:w="2268" w:type="dxa"/>
            <w:tcBorders>
              <w:bottom w:val="nil"/>
            </w:tcBorders>
          </w:tcPr>
          <w:p w14:paraId="6DC68A34" w14:textId="77777777" w:rsidR="004D1872" w:rsidRPr="002D741C" w:rsidRDefault="004D1872" w:rsidP="008255DF">
            <w:pPr>
              <w:pStyle w:val="EndnoteText"/>
              <w:widowControl w:val="0"/>
              <w:tabs>
                <w:tab w:val="clear" w:pos="567"/>
              </w:tabs>
              <w:rPr>
                <w:color w:val="000000"/>
                <w:szCs w:val="22"/>
                <w:lang w:val="es-ES"/>
              </w:rPr>
            </w:pPr>
            <w:r w:rsidRPr="002D741C">
              <w:rPr>
                <w:color w:val="000000"/>
                <w:szCs w:val="22"/>
                <w:lang w:val="es-ES"/>
              </w:rPr>
              <w:t>LMC fase acelerada y crisis blástica y LLA Ph+ (dosis inicial 600 mg)</w:t>
            </w:r>
          </w:p>
        </w:tc>
        <w:tc>
          <w:tcPr>
            <w:tcW w:w="2410" w:type="dxa"/>
            <w:tcBorders>
              <w:bottom w:val="nil"/>
            </w:tcBorders>
          </w:tcPr>
          <w:p w14:paraId="74B0E719" w14:textId="77777777" w:rsidR="004D1872" w:rsidRPr="002D741C" w:rsidRDefault="004D1872" w:rsidP="008255DF">
            <w:pPr>
              <w:pStyle w:val="EndnoteText"/>
              <w:widowControl w:val="0"/>
              <w:tabs>
                <w:tab w:val="clear" w:pos="567"/>
              </w:tabs>
              <w:rPr>
                <w:color w:val="000000"/>
                <w:szCs w:val="22"/>
                <w:lang w:val="es-ES"/>
              </w:rPr>
            </w:pPr>
            <w:r w:rsidRPr="002D741C">
              <w:rPr>
                <w:color w:val="000000"/>
                <w:szCs w:val="22"/>
                <w:vertAlign w:val="superscript"/>
                <w:lang w:val="es-ES"/>
              </w:rPr>
              <w:t>a</w:t>
            </w:r>
            <w:r w:rsidRPr="002D741C">
              <w:rPr>
                <w:color w:val="000000"/>
                <w:szCs w:val="22"/>
                <w:lang w:val="es-ES"/>
              </w:rPr>
              <w:t>RAN&lt; 0,5 x 10</w:t>
            </w:r>
            <w:r w:rsidRPr="002D741C">
              <w:rPr>
                <w:color w:val="000000"/>
                <w:szCs w:val="22"/>
                <w:vertAlign w:val="superscript"/>
                <w:lang w:val="es-ES"/>
              </w:rPr>
              <w:t>9</w:t>
            </w:r>
            <w:r w:rsidRPr="002D741C">
              <w:rPr>
                <w:color w:val="000000"/>
                <w:szCs w:val="22"/>
                <w:lang w:val="es-ES"/>
              </w:rPr>
              <w:t>/l</w:t>
            </w:r>
          </w:p>
          <w:p w14:paraId="419E8DD0" w14:textId="77777777" w:rsidR="004D1872" w:rsidRPr="002D741C" w:rsidRDefault="004D1872" w:rsidP="008255DF">
            <w:pPr>
              <w:pStyle w:val="EndnoteText"/>
              <w:widowControl w:val="0"/>
              <w:tabs>
                <w:tab w:val="clear" w:pos="567"/>
              </w:tabs>
              <w:rPr>
                <w:color w:val="000000"/>
                <w:szCs w:val="22"/>
                <w:lang w:val="es-ES"/>
              </w:rPr>
            </w:pPr>
            <w:r w:rsidRPr="002D741C">
              <w:rPr>
                <w:color w:val="000000"/>
                <w:szCs w:val="22"/>
                <w:lang w:val="es-ES"/>
              </w:rPr>
              <w:t>y/o</w:t>
            </w:r>
          </w:p>
          <w:p w14:paraId="7AB33568" w14:textId="77777777" w:rsidR="004D1872" w:rsidRPr="002D741C" w:rsidRDefault="004D1872" w:rsidP="008255DF">
            <w:pPr>
              <w:pStyle w:val="EndnoteText"/>
              <w:widowControl w:val="0"/>
              <w:tabs>
                <w:tab w:val="clear" w:pos="567"/>
              </w:tabs>
              <w:rPr>
                <w:color w:val="000000"/>
                <w:szCs w:val="22"/>
                <w:lang w:val="es-ES"/>
              </w:rPr>
            </w:pPr>
            <w:r w:rsidRPr="002D741C">
              <w:rPr>
                <w:color w:val="000000"/>
                <w:szCs w:val="22"/>
                <w:lang w:val="es-ES"/>
              </w:rPr>
              <w:t>plaquetas &lt; 10 x 10</w:t>
            </w:r>
            <w:r w:rsidRPr="002D741C">
              <w:rPr>
                <w:color w:val="000000"/>
                <w:szCs w:val="22"/>
                <w:vertAlign w:val="superscript"/>
                <w:lang w:val="es-ES"/>
              </w:rPr>
              <w:t>9</w:t>
            </w:r>
            <w:r w:rsidRPr="002D741C">
              <w:rPr>
                <w:color w:val="000000"/>
                <w:szCs w:val="22"/>
                <w:lang w:val="es-ES"/>
              </w:rPr>
              <w:t>/l</w:t>
            </w:r>
          </w:p>
        </w:tc>
        <w:tc>
          <w:tcPr>
            <w:tcW w:w="4394" w:type="dxa"/>
            <w:tcBorders>
              <w:bottom w:val="nil"/>
            </w:tcBorders>
          </w:tcPr>
          <w:p w14:paraId="4814D69C" w14:textId="77777777" w:rsidR="004D1872" w:rsidRPr="002D741C" w:rsidRDefault="004D1872" w:rsidP="008255DF">
            <w:pPr>
              <w:pStyle w:val="EndnoteText"/>
              <w:widowControl w:val="0"/>
              <w:tabs>
                <w:tab w:val="clear" w:pos="567"/>
              </w:tabs>
              <w:ind w:left="547" w:hanging="547"/>
              <w:rPr>
                <w:color w:val="000000"/>
                <w:szCs w:val="22"/>
                <w:lang w:val="es-ES"/>
              </w:rPr>
            </w:pPr>
            <w:r w:rsidRPr="002D741C">
              <w:rPr>
                <w:color w:val="000000"/>
                <w:szCs w:val="22"/>
                <w:lang w:val="es-ES"/>
              </w:rPr>
              <w:t>1.</w:t>
            </w:r>
            <w:r w:rsidRPr="002D741C">
              <w:rPr>
                <w:color w:val="000000"/>
                <w:szCs w:val="22"/>
                <w:lang w:val="es-ES"/>
              </w:rPr>
              <w:tab/>
              <w:t>Comprobar si la citopenia está relacionada con la leucemia (aspirado de médula ósea o biopsia).</w:t>
            </w:r>
          </w:p>
          <w:p w14:paraId="6279F403" w14:textId="77777777" w:rsidR="004D1872" w:rsidRPr="002D741C" w:rsidRDefault="004D1872" w:rsidP="008255DF">
            <w:pPr>
              <w:pStyle w:val="EndnoteText"/>
              <w:widowControl w:val="0"/>
              <w:tabs>
                <w:tab w:val="clear" w:pos="567"/>
              </w:tabs>
              <w:ind w:left="547" w:hanging="547"/>
              <w:rPr>
                <w:color w:val="000000"/>
                <w:szCs w:val="22"/>
                <w:lang w:val="es-ES"/>
              </w:rPr>
            </w:pPr>
            <w:r w:rsidRPr="002D741C">
              <w:rPr>
                <w:color w:val="000000"/>
                <w:szCs w:val="22"/>
                <w:lang w:val="es-ES"/>
              </w:rPr>
              <w:t>2.</w:t>
            </w:r>
            <w:r w:rsidRPr="002D741C">
              <w:rPr>
                <w:color w:val="000000"/>
                <w:szCs w:val="22"/>
                <w:lang w:val="es-ES"/>
              </w:rPr>
              <w:tab/>
              <w:t>Si la citopenia no está relacionada con la leucemia reducir la dosis de Glivec a 400 mg.</w:t>
            </w:r>
          </w:p>
          <w:p w14:paraId="7B931305" w14:textId="77777777" w:rsidR="004D1872" w:rsidRPr="002D741C" w:rsidRDefault="004D1872" w:rsidP="008255DF">
            <w:pPr>
              <w:pStyle w:val="EndnoteText"/>
              <w:widowControl w:val="0"/>
              <w:tabs>
                <w:tab w:val="clear" w:pos="567"/>
              </w:tabs>
              <w:ind w:left="547" w:hanging="547"/>
              <w:rPr>
                <w:color w:val="000000"/>
                <w:szCs w:val="22"/>
                <w:lang w:val="es-ES"/>
              </w:rPr>
            </w:pPr>
            <w:r w:rsidRPr="002D741C">
              <w:rPr>
                <w:color w:val="000000"/>
                <w:szCs w:val="22"/>
                <w:lang w:val="es-ES"/>
              </w:rPr>
              <w:t>3.</w:t>
            </w:r>
            <w:r w:rsidRPr="002D741C">
              <w:rPr>
                <w:color w:val="000000"/>
                <w:szCs w:val="22"/>
                <w:lang w:val="es-ES"/>
              </w:rPr>
              <w:tab/>
              <w:t>Si la citopenia persiste durante 2 semanas, reducir hasta 300 mg.</w:t>
            </w:r>
          </w:p>
          <w:p w14:paraId="544D914A" w14:textId="77777777" w:rsidR="004D1872" w:rsidRPr="002D741C" w:rsidRDefault="004D1872" w:rsidP="008255DF">
            <w:pPr>
              <w:pStyle w:val="EndnoteText"/>
              <w:widowControl w:val="0"/>
              <w:tabs>
                <w:tab w:val="clear" w:pos="567"/>
              </w:tabs>
              <w:ind w:left="547" w:hanging="547"/>
              <w:rPr>
                <w:color w:val="000000"/>
                <w:szCs w:val="22"/>
                <w:lang w:val="es-ES"/>
              </w:rPr>
            </w:pPr>
            <w:r w:rsidRPr="002D741C">
              <w:rPr>
                <w:color w:val="000000"/>
                <w:szCs w:val="22"/>
                <w:lang w:val="es-ES"/>
              </w:rPr>
              <w:t>4.</w:t>
            </w:r>
            <w:r w:rsidRPr="002D741C">
              <w:rPr>
                <w:color w:val="000000"/>
                <w:szCs w:val="22"/>
                <w:lang w:val="es-ES"/>
              </w:rPr>
              <w:tab/>
              <w:t xml:space="preserve">Si la citopenia persiste durante 4 semanas y sigue sin estar relacionada con la leucemia, interrumpir Glivec hasta que RAN </w:t>
            </w:r>
            <w:r w:rsidRPr="002D741C">
              <w:rPr>
                <w:color w:val="000000"/>
                <w:szCs w:val="22"/>
                <w:lang w:val="es-ES"/>
              </w:rPr>
              <w:sym w:font="Symbol" w:char="F0B3"/>
            </w:r>
            <w:r w:rsidRPr="002D741C">
              <w:rPr>
                <w:color w:val="000000"/>
                <w:szCs w:val="22"/>
                <w:lang w:val="es-ES"/>
              </w:rPr>
              <w:t> 1 x 10</w:t>
            </w:r>
            <w:r w:rsidRPr="002D741C">
              <w:rPr>
                <w:color w:val="000000"/>
                <w:szCs w:val="22"/>
                <w:vertAlign w:val="superscript"/>
                <w:lang w:val="es-ES"/>
              </w:rPr>
              <w:t>9</w:t>
            </w:r>
            <w:r w:rsidRPr="002D741C">
              <w:rPr>
                <w:color w:val="000000"/>
                <w:szCs w:val="22"/>
                <w:lang w:val="es-ES"/>
              </w:rPr>
              <w:t xml:space="preserve">/l y plaquetas </w:t>
            </w:r>
            <w:r w:rsidRPr="002D741C">
              <w:rPr>
                <w:color w:val="000000"/>
                <w:szCs w:val="22"/>
                <w:lang w:val="es-ES"/>
              </w:rPr>
              <w:sym w:font="Symbol" w:char="F0B3"/>
            </w:r>
            <w:r w:rsidRPr="002D741C">
              <w:rPr>
                <w:color w:val="000000"/>
                <w:szCs w:val="22"/>
                <w:lang w:val="es-ES"/>
              </w:rPr>
              <w:t> 20 x 10</w:t>
            </w:r>
            <w:r w:rsidRPr="002D741C">
              <w:rPr>
                <w:color w:val="000000"/>
                <w:szCs w:val="22"/>
                <w:vertAlign w:val="superscript"/>
                <w:lang w:val="es-ES"/>
              </w:rPr>
              <w:t>9</w:t>
            </w:r>
            <w:r w:rsidRPr="002D741C">
              <w:rPr>
                <w:color w:val="000000"/>
                <w:szCs w:val="22"/>
                <w:lang w:val="es-ES"/>
              </w:rPr>
              <w:t>/l, entonces reanudar el tratamiento con 300 mg.</w:t>
            </w:r>
          </w:p>
        </w:tc>
      </w:tr>
      <w:tr w:rsidR="004D1872" w:rsidRPr="002D741C" w14:paraId="673516A3" w14:textId="77777777" w:rsidTr="00AD13BE">
        <w:trPr>
          <w:cantSplit/>
        </w:trPr>
        <w:tc>
          <w:tcPr>
            <w:tcW w:w="2268" w:type="dxa"/>
            <w:tcBorders>
              <w:bottom w:val="nil"/>
            </w:tcBorders>
          </w:tcPr>
          <w:p w14:paraId="25154C61" w14:textId="77777777" w:rsidR="004D1872" w:rsidRPr="002D741C" w:rsidRDefault="004D1872" w:rsidP="008255DF">
            <w:pPr>
              <w:pStyle w:val="EndnoteText"/>
              <w:widowControl w:val="0"/>
              <w:tabs>
                <w:tab w:val="clear" w:pos="567"/>
              </w:tabs>
              <w:rPr>
                <w:color w:val="000000"/>
                <w:szCs w:val="22"/>
                <w:lang w:val="es-ES"/>
              </w:rPr>
            </w:pPr>
            <w:r w:rsidRPr="002D741C">
              <w:rPr>
                <w:color w:val="000000"/>
                <w:szCs w:val="22"/>
                <w:lang w:val="es-ES"/>
              </w:rPr>
              <w:t>LMC pediátrica fase acelerada y crisis blástica</w:t>
            </w:r>
          </w:p>
          <w:p w14:paraId="3D1FF5C9" w14:textId="77777777" w:rsidR="004D1872" w:rsidRPr="002D741C" w:rsidRDefault="004D1872" w:rsidP="008255DF">
            <w:pPr>
              <w:pStyle w:val="EndnoteText"/>
              <w:widowControl w:val="0"/>
              <w:tabs>
                <w:tab w:val="clear" w:pos="567"/>
              </w:tabs>
              <w:rPr>
                <w:color w:val="000000"/>
                <w:szCs w:val="22"/>
                <w:lang w:val="pt-BR"/>
              </w:rPr>
            </w:pPr>
            <w:r w:rsidRPr="002D741C">
              <w:rPr>
                <w:color w:val="000000"/>
                <w:szCs w:val="22"/>
                <w:lang w:val="pt-BR"/>
              </w:rPr>
              <w:t>(dosis inicial 340 mg/m</w:t>
            </w:r>
            <w:r w:rsidRPr="002D741C">
              <w:rPr>
                <w:color w:val="000000"/>
                <w:szCs w:val="22"/>
                <w:vertAlign w:val="superscript"/>
                <w:lang w:val="pt-BR"/>
              </w:rPr>
              <w:t>2</w:t>
            </w:r>
            <w:r w:rsidRPr="002D741C">
              <w:rPr>
                <w:color w:val="000000"/>
                <w:szCs w:val="22"/>
                <w:lang w:val="pt-BR"/>
              </w:rPr>
              <w:t>)</w:t>
            </w:r>
          </w:p>
        </w:tc>
        <w:tc>
          <w:tcPr>
            <w:tcW w:w="2410" w:type="dxa"/>
            <w:tcBorders>
              <w:bottom w:val="nil"/>
            </w:tcBorders>
          </w:tcPr>
          <w:p w14:paraId="0E2503FA" w14:textId="77777777" w:rsidR="004D1872" w:rsidRPr="002D741C" w:rsidRDefault="004D1872" w:rsidP="008255DF">
            <w:pPr>
              <w:pStyle w:val="EndnoteText"/>
              <w:widowControl w:val="0"/>
              <w:rPr>
                <w:color w:val="000000"/>
                <w:szCs w:val="22"/>
                <w:lang w:val="es-ES_tradnl"/>
              </w:rPr>
            </w:pPr>
            <w:r w:rsidRPr="002D741C">
              <w:rPr>
                <w:color w:val="000000"/>
                <w:szCs w:val="22"/>
                <w:vertAlign w:val="superscript"/>
                <w:lang w:val="es-ES"/>
              </w:rPr>
              <w:t>a</w:t>
            </w:r>
            <w:r w:rsidRPr="002D741C">
              <w:rPr>
                <w:color w:val="000000"/>
                <w:szCs w:val="22"/>
                <w:lang w:val="es-ES_tradnl"/>
              </w:rPr>
              <w:t>RAN &lt; 0,5 x 10</w:t>
            </w:r>
            <w:r w:rsidRPr="002D741C">
              <w:rPr>
                <w:color w:val="000000"/>
                <w:szCs w:val="22"/>
                <w:vertAlign w:val="superscript"/>
                <w:lang w:val="es-ES_tradnl"/>
              </w:rPr>
              <w:t>9</w:t>
            </w:r>
            <w:r w:rsidRPr="002D741C">
              <w:rPr>
                <w:color w:val="000000"/>
                <w:szCs w:val="22"/>
                <w:lang w:val="es-ES_tradnl"/>
              </w:rPr>
              <w:t>/l</w:t>
            </w:r>
          </w:p>
          <w:p w14:paraId="3D164D23" w14:textId="77777777" w:rsidR="004D1872" w:rsidRPr="002D741C" w:rsidRDefault="004D1872" w:rsidP="008255DF">
            <w:pPr>
              <w:pStyle w:val="EndnoteText"/>
              <w:widowControl w:val="0"/>
              <w:rPr>
                <w:color w:val="000000"/>
                <w:szCs w:val="22"/>
                <w:lang w:val="es-ES_tradnl"/>
              </w:rPr>
            </w:pPr>
            <w:r w:rsidRPr="002D741C">
              <w:rPr>
                <w:color w:val="000000"/>
                <w:szCs w:val="22"/>
                <w:lang w:val="es-ES_tradnl"/>
              </w:rPr>
              <w:t>y/o</w:t>
            </w:r>
          </w:p>
          <w:p w14:paraId="1B99FDDA" w14:textId="77777777" w:rsidR="004D1872" w:rsidRPr="002D741C" w:rsidRDefault="004D1872" w:rsidP="008255DF">
            <w:pPr>
              <w:pStyle w:val="EndnoteText"/>
              <w:widowControl w:val="0"/>
              <w:rPr>
                <w:color w:val="000000"/>
                <w:szCs w:val="22"/>
                <w:lang w:val="es-ES_tradnl"/>
              </w:rPr>
            </w:pPr>
            <w:r w:rsidRPr="002D741C">
              <w:rPr>
                <w:color w:val="000000"/>
                <w:szCs w:val="22"/>
                <w:lang w:val="es-ES_tradnl"/>
              </w:rPr>
              <w:t>plaquetas &lt; 10 x 10</w:t>
            </w:r>
            <w:r w:rsidRPr="002D741C">
              <w:rPr>
                <w:color w:val="000000"/>
                <w:szCs w:val="22"/>
                <w:vertAlign w:val="superscript"/>
                <w:lang w:val="es-ES_tradnl"/>
              </w:rPr>
              <w:t>9</w:t>
            </w:r>
            <w:r w:rsidRPr="002D741C">
              <w:rPr>
                <w:color w:val="000000"/>
                <w:szCs w:val="22"/>
                <w:lang w:val="es-ES_tradnl"/>
              </w:rPr>
              <w:t>/l</w:t>
            </w:r>
          </w:p>
          <w:p w14:paraId="7DAC4844" w14:textId="77777777" w:rsidR="004D1872" w:rsidRPr="002D741C" w:rsidRDefault="004D1872" w:rsidP="008255DF">
            <w:pPr>
              <w:pStyle w:val="EndnoteText"/>
              <w:widowControl w:val="0"/>
              <w:tabs>
                <w:tab w:val="clear" w:pos="567"/>
              </w:tabs>
              <w:rPr>
                <w:color w:val="000000"/>
                <w:szCs w:val="22"/>
                <w:lang w:val="es-ES_tradnl"/>
              </w:rPr>
            </w:pPr>
          </w:p>
        </w:tc>
        <w:tc>
          <w:tcPr>
            <w:tcW w:w="4394" w:type="dxa"/>
            <w:tcBorders>
              <w:bottom w:val="nil"/>
            </w:tcBorders>
          </w:tcPr>
          <w:p w14:paraId="555D621F" w14:textId="77777777" w:rsidR="004D1872" w:rsidRPr="002D741C" w:rsidRDefault="004D1872" w:rsidP="008255DF">
            <w:pPr>
              <w:pStyle w:val="EndnoteText"/>
              <w:widowControl w:val="0"/>
              <w:tabs>
                <w:tab w:val="clear" w:pos="567"/>
              </w:tabs>
              <w:ind w:left="547" w:hanging="547"/>
              <w:rPr>
                <w:color w:val="000000"/>
                <w:szCs w:val="22"/>
                <w:lang w:val="es-ES"/>
              </w:rPr>
            </w:pPr>
            <w:r w:rsidRPr="002D741C">
              <w:rPr>
                <w:color w:val="000000"/>
                <w:szCs w:val="22"/>
                <w:lang w:val="es-ES"/>
              </w:rPr>
              <w:t>1.</w:t>
            </w:r>
            <w:r w:rsidRPr="002D741C">
              <w:rPr>
                <w:color w:val="000000"/>
                <w:szCs w:val="22"/>
                <w:lang w:val="es-ES"/>
              </w:rPr>
              <w:tab/>
              <w:t>Comprobar si la citopenia está relacionada con la leucemia (aspirado de médula ósea o biopsia).</w:t>
            </w:r>
          </w:p>
          <w:p w14:paraId="7A8A1E31" w14:textId="77777777" w:rsidR="004D1872" w:rsidRPr="002D741C" w:rsidRDefault="004D1872" w:rsidP="008255DF">
            <w:pPr>
              <w:pStyle w:val="EndnoteText"/>
              <w:widowControl w:val="0"/>
              <w:tabs>
                <w:tab w:val="clear" w:pos="567"/>
              </w:tabs>
              <w:ind w:left="547" w:hanging="547"/>
              <w:rPr>
                <w:color w:val="000000"/>
                <w:szCs w:val="22"/>
                <w:lang w:val="es-ES"/>
              </w:rPr>
            </w:pPr>
            <w:r w:rsidRPr="002D741C">
              <w:rPr>
                <w:color w:val="000000"/>
                <w:szCs w:val="22"/>
                <w:lang w:val="es-ES"/>
              </w:rPr>
              <w:t>2.</w:t>
            </w:r>
            <w:r w:rsidRPr="002D741C">
              <w:rPr>
                <w:color w:val="000000"/>
                <w:szCs w:val="22"/>
                <w:lang w:val="es-ES"/>
              </w:rPr>
              <w:tab/>
              <w:t>Si la citopenia no está relacionada con la leucemia reducir la dosis de Glivec a 260 mg/</w:t>
            </w:r>
            <w:r w:rsidRPr="002D741C">
              <w:rPr>
                <w:color w:val="000000"/>
                <w:szCs w:val="22"/>
                <w:lang w:val="es-ES_tradnl"/>
              </w:rPr>
              <w:t>m</w:t>
            </w:r>
            <w:r w:rsidRPr="002D741C">
              <w:rPr>
                <w:color w:val="000000"/>
                <w:szCs w:val="22"/>
                <w:vertAlign w:val="superscript"/>
                <w:lang w:val="es-ES_tradnl"/>
              </w:rPr>
              <w:t>2</w:t>
            </w:r>
            <w:r w:rsidRPr="002D741C">
              <w:rPr>
                <w:color w:val="000000"/>
                <w:szCs w:val="22"/>
                <w:lang w:val="es-ES"/>
              </w:rPr>
              <w:t>.</w:t>
            </w:r>
          </w:p>
          <w:p w14:paraId="1FB54353" w14:textId="77777777" w:rsidR="004D1872" w:rsidRPr="002D741C" w:rsidRDefault="004D1872" w:rsidP="008255DF">
            <w:pPr>
              <w:pStyle w:val="EndnoteText"/>
              <w:widowControl w:val="0"/>
              <w:tabs>
                <w:tab w:val="clear" w:pos="567"/>
              </w:tabs>
              <w:ind w:left="547" w:hanging="547"/>
              <w:rPr>
                <w:color w:val="000000"/>
                <w:szCs w:val="22"/>
                <w:lang w:val="es-ES"/>
              </w:rPr>
            </w:pPr>
            <w:r w:rsidRPr="002D741C">
              <w:rPr>
                <w:color w:val="000000"/>
                <w:szCs w:val="22"/>
                <w:lang w:val="es-ES"/>
              </w:rPr>
              <w:t>3.</w:t>
            </w:r>
            <w:r w:rsidRPr="002D741C">
              <w:rPr>
                <w:color w:val="000000"/>
                <w:szCs w:val="22"/>
                <w:lang w:val="es-ES"/>
              </w:rPr>
              <w:tab/>
              <w:t>Si la citopenia persiste durante 2 semanas, reducir hasta 200 mg/</w:t>
            </w:r>
            <w:r w:rsidRPr="002D741C">
              <w:rPr>
                <w:color w:val="000000"/>
                <w:szCs w:val="22"/>
                <w:lang w:val="es-ES_tradnl"/>
              </w:rPr>
              <w:t>m</w:t>
            </w:r>
            <w:r w:rsidRPr="002D741C">
              <w:rPr>
                <w:color w:val="000000"/>
                <w:szCs w:val="22"/>
                <w:vertAlign w:val="superscript"/>
                <w:lang w:val="es-ES_tradnl"/>
              </w:rPr>
              <w:t>2</w:t>
            </w:r>
            <w:r w:rsidRPr="002D741C">
              <w:rPr>
                <w:color w:val="000000"/>
                <w:szCs w:val="22"/>
                <w:lang w:val="es-ES"/>
              </w:rPr>
              <w:t>.</w:t>
            </w:r>
          </w:p>
          <w:p w14:paraId="07E49502" w14:textId="77777777" w:rsidR="004D1872" w:rsidRPr="002D741C" w:rsidRDefault="004D1872" w:rsidP="008255DF">
            <w:pPr>
              <w:pStyle w:val="EndnoteText"/>
              <w:widowControl w:val="0"/>
              <w:tabs>
                <w:tab w:val="clear" w:pos="567"/>
              </w:tabs>
              <w:ind w:left="534" w:hanging="534"/>
              <w:rPr>
                <w:color w:val="000000"/>
                <w:szCs w:val="22"/>
                <w:lang w:val="es-ES_tradnl"/>
              </w:rPr>
            </w:pPr>
            <w:r w:rsidRPr="002D741C">
              <w:rPr>
                <w:color w:val="000000"/>
                <w:szCs w:val="22"/>
                <w:lang w:val="es-ES"/>
              </w:rPr>
              <w:t>4.</w:t>
            </w:r>
            <w:r w:rsidRPr="002D741C">
              <w:rPr>
                <w:color w:val="000000"/>
                <w:szCs w:val="22"/>
                <w:lang w:val="es-ES"/>
              </w:rPr>
              <w:tab/>
              <w:t xml:space="preserve">Si la citopenia persiste durante 4 semanas y sigue sin estar relacionada con la leucemia, interrumpir Glivec hasta que RAN </w:t>
            </w:r>
            <w:r w:rsidRPr="002D741C">
              <w:rPr>
                <w:color w:val="000000"/>
                <w:szCs w:val="22"/>
                <w:lang w:val="es-ES"/>
              </w:rPr>
              <w:sym w:font="Symbol" w:char="F0B3"/>
            </w:r>
            <w:r w:rsidRPr="002D741C">
              <w:rPr>
                <w:color w:val="000000"/>
                <w:szCs w:val="22"/>
                <w:lang w:val="es-ES"/>
              </w:rPr>
              <w:t> 1 x 10</w:t>
            </w:r>
            <w:r w:rsidRPr="002D741C">
              <w:rPr>
                <w:color w:val="000000"/>
                <w:szCs w:val="22"/>
                <w:vertAlign w:val="superscript"/>
                <w:lang w:val="es-ES"/>
              </w:rPr>
              <w:t>9</w:t>
            </w:r>
            <w:r w:rsidRPr="002D741C">
              <w:rPr>
                <w:color w:val="000000"/>
                <w:szCs w:val="22"/>
                <w:lang w:val="es-ES"/>
              </w:rPr>
              <w:t xml:space="preserve">/l y plaquetas </w:t>
            </w:r>
            <w:r w:rsidRPr="002D741C">
              <w:rPr>
                <w:color w:val="000000"/>
                <w:szCs w:val="22"/>
                <w:lang w:val="es-ES"/>
              </w:rPr>
              <w:sym w:font="Symbol" w:char="F0B3"/>
            </w:r>
            <w:r w:rsidRPr="002D741C">
              <w:rPr>
                <w:color w:val="000000"/>
                <w:szCs w:val="22"/>
                <w:lang w:val="es-ES"/>
              </w:rPr>
              <w:t> 20 x 10</w:t>
            </w:r>
            <w:r w:rsidRPr="002D741C">
              <w:rPr>
                <w:color w:val="000000"/>
                <w:szCs w:val="22"/>
                <w:vertAlign w:val="superscript"/>
                <w:lang w:val="es-ES"/>
              </w:rPr>
              <w:t>9</w:t>
            </w:r>
            <w:r w:rsidRPr="002D741C">
              <w:rPr>
                <w:color w:val="000000"/>
                <w:szCs w:val="22"/>
                <w:lang w:val="es-ES"/>
              </w:rPr>
              <w:t>/l, entonces reanudar el tratamiento con 200 mg/</w:t>
            </w:r>
            <w:r w:rsidRPr="002D741C">
              <w:rPr>
                <w:color w:val="000000"/>
                <w:szCs w:val="22"/>
                <w:lang w:val="es-ES_tradnl"/>
              </w:rPr>
              <w:t>m</w:t>
            </w:r>
            <w:r w:rsidRPr="002D741C">
              <w:rPr>
                <w:color w:val="000000"/>
                <w:szCs w:val="22"/>
                <w:vertAlign w:val="superscript"/>
                <w:lang w:val="es-ES_tradnl"/>
              </w:rPr>
              <w:t>2</w:t>
            </w:r>
            <w:r w:rsidRPr="002D741C">
              <w:rPr>
                <w:color w:val="000000"/>
                <w:szCs w:val="22"/>
                <w:lang w:val="es-ES"/>
              </w:rPr>
              <w:t>.</w:t>
            </w:r>
          </w:p>
        </w:tc>
      </w:tr>
      <w:tr w:rsidR="004D1872" w:rsidRPr="002D741C" w14:paraId="1661F4A3" w14:textId="77777777" w:rsidTr="00AD13BE">
        <w:trPr>
          <w:cantSplit/>
          <w:trHeight w:val="926"/>
        </w:trPr>
        <w:tc>
          <w:tcPr>
            <w:tcW w:w="2268" w:type="dxa"/>
            <w:tcBorders>
              <w:bottom w:val="nil"/>
            </w:tcBorders>
          </w:tcPr>
          <w:p w14:paraId="7AB24BCB" w14:textId="77777777" w:rsidR="004D1872" w:rsidRPr="002D741C" w:rsidRDefault="004D1872" w:rsidP="00AD13BE">
            <w:pPr>
              <w:pStyle w:val="EndnoteText"/>
              <w:keepNext/>
              <w:widowControl w:val="0"/>
              <w:tabs>
                <w:tab w:val="clear" w:pos="567"/>
              </w:tabs>
              <w:rPr>
                <w:color w:val="000000"/>
                <w:szCs w:val="22"/>
                <w:lang w:val="es-ES"/>
              </w:rPr>
            </w:pPr>
            <w:r w:rsidRPr="002D741C">
              <w:rPr>
                <w:color w:val="000000"/>
                <w:szCs w:val="22"/>
                <w:lang w:val="es-ES"/>
              </w:rPr>
              <w:t>DFSP</w:t>
            </w:r>
          </w:p>
          <w:p w14:paraId="2512B01F" w14:textId="77777777" w:rsidR="004D1872" w:rsidRPr="002D741C" w:rsidRDefault="004D1872" w:rsidP="00AD13BE">
            <w:pPr>
              <w:pStyle w:val="EndnoteText"/>
              <w:keepNext/>
              <w:widowControl w:val="0"/>
              <w:tabs>
                <w:tab w:val="clear" w:pos="567"/>
              </w:tabs>
              <w:rPr>
                <w:color w:val="000000"/>
                <w:szCs w:val="22"/>
                <w:lang w:val="es-ES"/>
              </w:rPr>
            </w:pPr>
            <w:r w:rsidRPr="002D741C">
              <w:rPr>
                <w:color w:val="000000"/>
                <w:szCs w:val="22"/>
                <w:lang w:val="es-ES"/>
              </w:rPr>
              <w:t>(a una dosis de 800 mg)</w:t>
            </w:r>
          </w:p>
        </w:tc>
        <w:tc>
          <w:tcPr>
            <w:tcW w:w="2410" w:type="dxa"/>
            <w:tcBorders>
              <w:bottom w:val="nil"/>
            </w:tcBorders>
          </w:tcPr>
          <w:p w14:paraId="58FB5506" w14:textId="77777777" w:rsidR="004D1872" w:rsidRPr="002D741C" w:rsidRDefault="004D1872" w:rsidP="00AD13BE">
            <w:pPr>
              <w:pStyle w:val="EndnoteText"/>
              <w:keepNext/>
              <w:widowControl w:val="0"/>
              <w:tabs>
                <w:tab w:val="clear" w:pos="567"/>
              </w:tabs>
              <w:rPr>
                <w:color w:val="000000"/>
                <w:szCs w:val="22"/>
                <w:lang w:val="es-ES"/>
              </w:rPr>
            </w:pPr>
            <w:r w:rsidRPr="002D741C">
              <w:rPr>
                <w:color w:val="000000"/>
                <w:szCs w:val="22"/>
                <w:lang w:val="es-ES"/>
              </w:rPr>
              <w:t>RAN &lt; 1,0 x 10</w:t>
            </w:r>
            <w:r w:rsidRPr="002D741C">
              <w:rPr>
                <w:color w:val="000000"/>
                <w:szCs w:val="22"/>
                <w:vertAlign w:val="superscript"/>
                <w:lang w:val="es-ES"/>
              </w:rPr>
              <w:t>9 </w:t>
            </w:r>
            <w:r w:rsidRPr="002D741C">
              <w:rPr>
                <w:color w:val="000000"/>
                <w:szCs w:val="22"/>
                <w:lang w:val="es-ES"/>
              </w:rPr>
              <w:t>/l</w:t>
            </w:r>
          </w:p>
          <w:p w14:paraId="3CF9B720" w14:textId="77777777" w:rsidR="004D1872" w:rsidRPr="002D741C" w:rsidRDefault="004D1872" w:rsidP="00AD13BE">
            <w:pPr>
              <w:pStyle w:val="EndnoteText"/>
              <w:keepNext/>
              <w:widowControl w:val="0"/>
              <w:tabs>
                <w:tab w:val="clear" w:pos="567"/>
              </w:tabs>
              <w:rPr>
                <w:color w:val="000000"/>
                <w:szCs w:val="22"/>
                <w:lang w:val="es-ES"/>
              </w:rPr>
            </w:pPr>
            <w:r w:rsidRPr="002D741C">
              <w:rPr>
                <w:color w:val="000000"/>
                <w:szCs w:val="22"/>
                <w:lang w:val="es-ES"/>
              </w:rPr>
              <w:t>y/o plaquetas &lt; 50 x 10</w:t>
            </w:r>
            <w:r w:rsidRPr="002D741C">
              <w:rPr>
                <w:color w:val="000000"/>
                <w:szCs w:val="22"/>
                <w:vertAlign w:val="superscript"/>
                <w:lang w:val="es-ES"/>
              </w:rPr>
              <w:t>9</w:t>
            </w:r>
            <w:r w:rsidRPr="002D741C">
              <w:rPr>
                <w:color w:val="000000"/>
                <w:szCs w:val="22"/>
                <w:lang w:val="es-ES"/>
              </w:rPr>
              <w:t>/l</w:t>
            </w:r>
          </w:p>
        </w:tc>
        <w:tc>
          <w:tcPr>
            <w:tcW w:w="4394" w:type="dxa"/>
            <w:tcBorders>
              <w:bottom w:val="nil"/>
            </w:tcBorders>
          </w:tcPr>
          <w:p w14:paraId="52F30856" w14:textId="77777777" w:rsidR="004D1872" w:rsidRPr="002D741C" w:rsidRDefault="004D1872" w:rsidP="00AD13BE">
            <w:pPr>
              <w:pStyle w:val="EndnoteText"/>
              <w:keepNext/>
              <w:widowControl w:val="0"/>
              <w:tabs>
                <w:tab w:val="clear" w:pos="567"/>
              </w:tabs>
              <w:ind w:left="534" w:hanging="534"/>
              <w:rPr>
                <w:color w:val="000000"/>
                <w:szCs w:val="22"/>
                <w:lang w:val="es-ES"/>
              </w:rPr>
            </w:pPr>
            <w:r w:rsidRPr="002D741C">
              <w:rPr>
                <w:color w:val="000000"/>
                <w:szCs w:val="22"/>
                <w:lang w:val="es-ES"/>
              </w:rPr>
              <w:t>1.</w:t>
            </w:r>
            <w:r w:rsidRPr="002D741C">
              <w:rPr>
                <w:color w:val="000000"/>
                <w:szCs w:val="22"/>
                <w:lang w:val="es-ES"/>
              </w:rPr>
              <w:tab/>
              <w:t xml:space="preserve">Interrumpir Glivec hasta que RAN </w:t>
            </w:r>
            <w:r w:rsidRPr="002D741C">
              <w:rPr>
                <w:color w:val="000000"/>
                <w:szCs w:val="22"/>
                <w:lang w:val="es-ES"/>
              </w:rPr>
              <w:sym w:font="Symbol" w:char="F0B3"/>
            </w:r>
            <w:r w:rsidRPr="002D741C">
              <w:rPr>
                <w:color w:val="000000"/>
                <w:szCs w:val="22"/>
                <w:lang w:val="es-ES"/>
              </w:rPr>
              <w:t> 1,5 x 10</w:t>
            </w:r>
            <w:r w:rsidRPr="002D741C">
              <w:rPr>
                <w:color w:val="000000"/>
                <w:szCs w:val="22"/>
                <w:vertAlign w:val="superscript"/>
                <w:lang w:val="es-ES"/>
              </w:rPr>
              <w:t>9</w:t>
            </w:r>
            <w:r w:rsidRPr="002D741C">
              <w:rPr>
                <w:color w:val="000000"/>
                <w:szCs w:val="22"/>
                <w:lang w:val="es-ES"/>
              </w:rPr>
              <w:t xml:space="preserve">/l y plaquetas </w:t>
            </w:r>
            <w:r w:rsidRPr="002D741C">
              <w:rPr>
                <w:color w:val="000000"/>
                <w:szCs w:val="22"/>
                <w:lang w:val="es-ES"/>
              </w:rPr>
              <w:sym w:font="Symbol" w:char="F0B3"/>
            </w:r>
            <w:r w:rsidRPr="002D741C">
              <w:rPr>
                <w:color w:val="000000"/>
                <w:szCs w:val="22"/>
                <w:lang w:val="es-ES"/>
              </w:rPr>
              <w:t> 75 x 10</w:t>
            </w:r>
            <w:r w:rsidRPr="002D741C">
              <w:rPr>
                <w:color w:val="000000"/>
                <w:szCs w:val="22"/>
                <w:vertAlign w:val="superscript"/>
                <w:lang w:val="es-ES"/>
              </w:rPr>
              <w:t>9</w:t>
            </w:r>
            <w:r w:rsidRPr="002D741C">
              <w:rPr>
                <w:color w:val="000000"/>
                <w:szCs w:val="22"/>
                <w:lang w:val="es-ES"/>
              </w:rPr>
              <w:t>/l</w:t>
            </w:r>
          </w:p>
          <w:p w14:paraId="5093B08B" w14:textId="77777777" w:rsidR="004D1872" w:rsidRPr="002D741C" w:rsidRDefault="004D1872" w:rsidP="00AD13BE">
            <w:pPr>
              <w:pStyle w:val="EndnoteText"/>
              <w:keepNext/>
              <w:widowControl w:val="0"/>
              <w:tabs>
                <w:tab w:val="clear" w:pos="567"/>
              </w:tabs>
              <w:ind w:left="534" w:hanging="534"/>
              <w:rPr>
                <w:color w:val="000000"/>
                <w:szCs w:val="22"/>
                <w:lang w:val="es-ES"/>
              </w:rPr>
            </w:pPr>
            <w:r w:rsidRPr="002D741C">
              <w:rPr>
                <w:color w:val="000000"/>
                <w:szCs w:val="22"/>
                <w:lang w:val="es-ES"/>
              </w:rPr>
              <w:t>2.</w:t>
            </w:r>
            <w:r w:rsidRPr="002D741C">
              <w:rPr>
                <w:color w:val="000000"/>
                <w:szCs w:val="22"/>
                <w:lang w:val="es-ES"/>
              </w:rPr>
              <w:tab/>
              <w:t>Reanudar el tratamiento con Glivec a 600 mg.</w:t>
            </w:r>
          </w:p>
          <w:p w14:paraId="4CE8B483" w14:textId="77777777" w:rsidR="004D1872" w:rsidRPr="002D741C" w:rsidRDefault="004D1872" w:rsidP="00AD13BE">
            <w:pPr>
              <w:pStyle w:val="EndnoteText"/>
              <w:keepNext/>
              <w:widowControl w:val="0"/>
              <w:tabs>
                <w:tab w:val="clear" w:pos="567"/>
                <w:tab w:val="left" w:pos="459"/>
              </w:tabs>
              <w:ind w:left="534" w:hanging="534"/>
              <w:rPr>
                <w:color w:val="000000"/>
                <w:szCs w:val="22"/>
                <w:lang w:val="es-ES"/>
              </w:rPr>
            </w:pPr>
            <w:r w:rsidRPr="002D741C">
              <w:rPr>
                <w:color w:val="000000"/>
                <w:szCs w:val="22"/>
                <w:lang w:val="es-ES"/>
              </w:rPr>
              <w:t>3.</w:t>
            </w:r>
            <w:r w:rsidRPr="002D741C">
              <w:rPr>
                <w:color w:val="000000"/>
                <w:szCs w:val="22"/>
                <w:lang w:val="es-ES"/>
              </w:rPr>
              <w:tab/>
              <w:t>Si recurre la situación de RAN &lt; 1,0 x 10</w:t>
            </w:r>
            <w:r w:rsidRPr="002D741C">
              <w:rPr>
                <w:color w:val="000000"/>
                <w:szCs w:val="22"/>
                <w:vertAlign w:val="superscript"/>
                <w:lang w:val="es-ES"/>
              </w:rPr>
              <w:t>9</w:t>
            </w:r>
            <w:r w:rsidRPr="002D741C">
              <w:rPr>
                <w:color w:val="000000"/>
                <w:szCs w:val="22"/>
                <w:lang w:val="es-ES"/>
              </w:rPr>
              <w:t>/l y/o plaquetas &lt; 50 x 10</w:t>
            </w:r>
            <w:r w:rsidRPr="002D741C">
              <w:rPr>
                <w:color w:val="000000"/>
                <w:szCs w:val="22"/>
                <w:vertAlign w:val="superscript"/>
                <w:lang w:val="es-ES"/>
              </w:rPr>
              <w:t>9</w:t>
            </w:r>
            <w:r w:rsidRPr="002D741C">
              <w:rPr>
                <w:color w:val="000000"/>
                <w:szCs w:val="22"/>
                <w:lang w:val="es-ES"/>
              </w:rPr>
              <w:t>/l, repetir el paso 1 y reanudar Glivec a la dosis reducida de 400 mg.</w:t>
            </w:r>
          </w:p>
        </w:tc>
      </w:tr>
      <w:tr w:rsidR="004D1872" w:rsidRPr="002D741C" w14:paraId="6B8A3F4C" w14:textId="77777777" w:rsidTr="00AD13BE">
        <w:trPr>
          <w:cantSplit/>
        </w:trPr>
        <w:tc>
          <w:tcPr>
            <w:tcW w:w="9072" w:type="dxa"/>
            <w:gridSpan w:val="3"/>
            <w:tcBorders>
              <w:bottom w:val="nil"/>
            </w:tcBorders>
          </w:tcPr>
          <w:p w14:paraId="46F2CC09" w14:textId="77777777" w:rsidR="004D1872" w:rsidRPr="002D741C" w:rsidRDefault="004D1872" w:rsidP="00AD13BE">
            <w:pPr>
              <w:pStyle w:val="EndnoteText"/>
              <w:keepNext/>
              <w:widowControl w:val="0"/>
              <w:tabs>
                <w:tab w:val="clear" w:pos="567"/>
              </w:tabs>
              <w:rPr>
                <w:color w:val="000000"/>
                <w:szCs w:val="22"/>
                <w:lang w:val="es-ES"/>
              </w:rPr>
            </w:pPr>
            <w:r w:rsidRPr="002D741C">
              <w:rPr>
                <w:color w:val="000000"/>
                <w:szCs w:val="22"/>
                <w:lang w:val="es-ES"/>
              </w:rPr>
              <w:t>RAN = Recuento absoluto de neutrófilos</w:t>
            </w:r>
          </w:p>
        </w:tc>
      </w:tr>
      <w:tr w:rsidR="004D1872" w:rsidRPr="002D741C" w14:paraId="0FAF0F02" w14:textId="77777777" w:rsidTr="00AD13BE">
        <w:trPr>
          <w:cantSplit/>
        </w:trPr>
        <w:tc>
          <w:tcPr>
            <w:tcW w:w="9072" w:type="dxa"/>
            <w:gridSpan w:val="3"/>
            <w:tcBorders>
              <w:top w:val="nil"/>
            </w:tcBorders>
          </w:tcPr>
          <w:p w14:paraId="31AB3222" w14:textId="77777777" w:rsidR="004D1872" w:rsidRPr="002D741C" w:rsidRDefault="004D1872" w:rsidP="008255DF">
            <w:pPr>
              <w:pStyle w:val="EndnoteText"/>
              <w:widowControl w:val="0"/>
              <w:tabs>
                <w:tab w:val="clear" w:pos="567"/>
              </w:tabs>
              <w:rPr>
                <w:color w:val="000000"/>
                <w:szCs w:val="22"/>
                <w:lang w:val="es-ES"/>
              </w:rPr>
            </w:pPr>
            <w:r w:rsidRPr="002D741C">
              <w:rPr>
                <w:color w:val="000000"/>
                <w:szCs w:val="22"/>
                <w:vertAlign w:val="superscript"/>
                <w:lang w:val="es-ES"/>
              </w:rPr>
              <w:t>a</w:t>
            </w:r>
            <w:r w:rsidRPr="002D741C">
              <w:rPr>
                <w:color w:val="000000"/>
                <w:szCs w:val="22"/>
                <w:lang w:val="es-ES"/>
              </w:rPr>
              <w:t xml:space="preserve"> que ocurra al menos después de 1 mes de tratamiento</w:t>
            </w:r>
          </w:p>
        </w:tc>
      </w:tr>
    </w:tbl>
    <w:p w14:paraId="49DF6C3C" w14:textId="77777777" w:rsidR="00D34476" w:rsidRPr="002D741C" w:rsidRDefault="00D34476" w:rsidP="00D34476">
      <w:pPr>
        <w:pStyle w:val="EndnoteText"/>
        <w:widowControl w:val="0"/>
        <w:tabs>
          <w:tab w:val="clear" w:pos="567"/>
        </w:tabs>
        <w:rPr>
          <w:color w:val="000000"/>
          <w:szCs w:val="22"/>
          <w:lang w:val="es-ES_tradnl"/>
        </w:rPr>
      </w:pPr>
    </w:p>
    <w:p w14:paraId="1B480F98" w14:textId="77777777" w:rsidR="00D34476" w:rsidRPr="002D741C" w:rsidRDefault="00D34476" w:rsidP="00D34476">
      <w:pPr>
        <w:pStyle w:val="EndnoteText"/>
        <w:widowControl w:val="0"/>
        <w:tabs>
          <w:tab w:val="clear" w:pos="567"/>
        </w:tabs>
        <w:rPr>
          <w:color w:val="000000"/>
          <w:szCs w:val="22"/>
          <w:u w:val="single"/>
          <w:lang w:val="es-ES"/>
        </w:rPr>
      </w:pPr>
      <w:r w:rsidRPr="002D741C">
        <w:rPr>
          <w:color w:val="000000"/>
          <w:szCs w:val="22"/>
          <w:u w:val="single"/>
          <w:lang w:val="es-ES"/>
        </w:rPr>
        <w:t>Poblaciones especiales</w:t>
      </w:r>
    </w:p>
    <w:p w14:paraId="368AECDF" w14:textId="77777777" w:rsidR="006555DE" w:rsidRPr="002D741C" w:rsidRDefault="00D34476" w:rsidP="00D34476">
      <w:pPr>
        <w:pStyle w:val="EndnoteText"/>
        <w:widowControl w:val="0"/>
        <w:tabs>
          <w:tab w:val="clear" w:pos="567"/>
        </w:tabs>
        <w:rPr>
          <w:color w:val="000000"/>
          <w:szCs w:val="22"/>
          <w:lang w:val="es-ES"/>
        </w:rPr>
      </w:pPr>
      <w:r w:rsidRPr="002D741C">
        <w:rPr>
          <w:i/>
          <w:color w:val="000000"/>
          <w:szCs w:val="22"/>
          <w:lang w:val="es-ES"/>
        </w:rPr>
        <w:t>Uso en pediatría:</w:t>
      </w:r>
      <w:r w:rsidRPr="002D741C">
        <w:rPr>
          <w:color w:val="000000"/>
          <w:szCs w:val="22"/>
          <w:lang w:val="es-ES"/>
        </w:rPr>
        <w:t xml:space="preserve"> No hay experiencia en niños con LMC menores de 2 años de edad</w:t>
      </w:r>
      <w:r w:rsidR="00A8564A" w:rsidRPr="002D741C">
        <w:rPr>
          <w:color w:val="000000"/>
          <w:szCs w:val="22"/>
          <w:lang w:val="es-ES"/>
        </w:rPr>
        <w:t xml:space="preserve"> y con LLA Ph+ menores de 1 año de edad</w:t>
      </w:r>
      <w:r w:rsidRPr="002D741C">
        <w:rPr>
          <w:color w:val="000000"/>
          <w:szCs w:val="22"/>
          <w:lang w:val="es-ES"/>
        </w:rPr>
        <w:t xml:space="preserve"> (ver sección 5.1). </w:t>
      </w:r>
      <w:r w:rsidR="00A8564A" w:rsidRPr="002D741C">
        <w:rPr>
          <w:color w:val="000000"/>
          <w:szCs w:val="22"/>
          <w:lang w:val="es-ES"/>
        </w:rPr>
        <w:t>L</w:t>
      </w:r>
      <w:r w:rsidRPr="002D741C">
        <w:rPr>
          <w:color w:val="000000"/>
          <w:szCs w:val="22"/>
          <w:lang w:val="es-ES"/>
        </w:rPr>
        <w:t xml:space="preserve">a experiencia en niños con </w:t>
      </w:r>
      <w:smartTag w:uri="urn:schemas-microsoft-com:office:smarttags" w:element="stockticker">
        <w:r w:rsidRPr="002D741C">
          <w:rPr>
            <w:color w:val="000000"/>
            <w:szCs w:val="22"/>
            <w:lang w:val="es-ES"/>
          </w:rPr>
          <w:t>SMD</w:t>
        </w:r>
      </w:smartTag>
      <w:r w:rsidRPr="002D741C">
        <w:rPr>
          <w:color w:val="000000"/>
          <w:szCs w:val="22"/>
          <w:lang w:val="es-ES"/>
        </w:rPr>
        <w:t>/SMP</w:t>
      </w:r>
      <w:r w:rsidR="006555DE" w:rsidRPr="002D741C">
        <w:rPr>
          <w:color w:val="000000"/>
          <w:szCs w:val="22"/>
          <w:lang w:val="es-ES"/>
        </w:rPr>
        <w:t>,</w:t>
      </w:r>
      <w:r w:rsidRPr="002D741C">
        <w:rPr>
          <w:color w:val="000000"/>
          <w:szCs w:val="22"/>
          <w:lang w:val="es-ES"/>
        </w:rPr>
        <w:t xml:space="preserve"> DFSP</w:t>
      </w:r>
      <w:r w:rsidR="006555DE" w:rsidRPr="002D741C">
        <w:rPr>
          <w:color w:val="000000"/>
          <w:szCs w:val="22"/>
          <w:lang w:val="es-ES"/>
        </w:rPr>
        <w:t>, G</w:t>
      </w:r>
      <w:smartTag w:uri="urn:schemas-microsoft-com:office:smarttags" w:element="PersonName">
        <w:r w:rsidR="006555DE" w:rsidRPr="002D741C">
          <w:rPr>
            <w:color w:val="000000"/>
            <w:szCs w:val="22"/>
            <w:lang w:val="es-ES"/>
          </w:rPr>
          <w:t>IS</w:t>
        </w:r>
      </w:smartTag>
      <w:r w:rsidR="006555DE" w:rsidRPr="002D741C">
        <w:rPr>
          <w:color w:val="000000"/>
          <w:szCs w:val="22"/>
          <w:lang w:val="es-ES"/>
        </w:rPr>
        <w:t>T y SHE/LEC</w:t>
      </w:r>
      <w:r w:rsidRPr="002D741C">
        <w:rPr>
          <w:color w:val="000000"/>
          <w:szCs w:val="22"/>
          <w:lang w:val="es-ES"/>
        </w:rPr>
        <w:t xml:space="preserve"> es muy limitada.</w:t>
      </w:r>
    </w:p>
    <w:p w14:paraId="0AADF8C3" w14:textId="77777777" w:rsidR="00D34476" w:rsidRPr="002D741C" w:rsidRDefault="00D34476" w:rsidP="00D34476">
      <w:pPr>
        <w:pStyle w:val="EndnoteText"/>
        <w:widowControl w:val="0"/>
        <w:tabs>
          <w:tab w:val="clear" w:pos="567"/>
        </w:tabs>
        <w:rPr>
          <w:color w:val="000000"/>
          <w:szCs w:val="22"/>
          <w:lang w:val="es-ES"/>
        </w:rPr>
      </w:pPr>
    </w:p>
    <w:p w14:paraId="4F2D0AD5" w14:textId="77777777" w:rsidR="006555DE" w:rsidRPr="002D741C" w:rsidRDefault="006555DE" w:rsidP="00D34476">
      <w:pPr>
        <w:pStyle w:val="EndnoteText"/>
        <w:widowControl w:val="0"/>
        <w:tabs>
          <w:tab w:val="clear" w:pos="567"/>
        </w:tabs>
        <w:rPr>
          <w:color w:val="000000"/>
          <w:szCs w:val="22"/>
          <w:lang w:val="es-ES"/>
        </w:rPr>
      </w:pPr>
      <w:r w:rsidRPr="002D741C">
        <w:rPr>
          <w:color w:val="000000"/>
          <w:szCs w:val="22"/>
          <w:lang w:val="es-ES"/>
        </w:rPr>
        <w:t>No se ha establecido la seguridad y eficacia de imanitib en niños menores de 18 años con SMD/SMP, DFSP, G</w:t>
      </w:r>
      <w:smartTag w:uri="urn:schemas-microsoft-com:office:smarttags" w:element="PersonName">
        <w:r w:rsidRPr="002D741C">
          <w:rPr>
            <w:color w:val="000000"/>
            <w:szCs w:val="22"/>
            <w:lang w:val="es-ES"/>
          </w:rPr>
          <w:t>IS</w:t>
        </w:r>
      </w:smartTag>
      <w:r w:rsidRPr="002D741C">
        <w:rPr>
          <w:color w:val="000000"/>
          <w:szCs w:val="22"/>
          <w:lang w:val="es-ES"/>
        </w:rPr>
        <w:t>T y SHE/LEC en los ensayos clínicos. Los datos publicados actualmente disponibles se resumen en la sección 5.1; sin embargo, no se puede hacer una recomendación posológica.</w:t>
      </w:r>
    </w:p>
    <w:p w14:paraId="0E057DDA" w14:textId="77777777" w:rsidR="006555DE" w:rsidRPr="002D741C" w:rsidRDefault="006555DE" w:rsidP="00D34476">
      <w:pPr>
        <w:pStyle w:val="EndnoteText"/>
        <w:widowControl w:val="0"/>
        <w:tabs>
          <w:tab w:val="clear" w:pos="567"/>
        </w:tabs>
        <w:rPr>
          <w:color w:val="000000"/>
          <w:szCs w:val="22"/>
          <w:lang w:val="es-ES"/>
        </w:rPr>
      </w:pPr>
    </w:p>
    <w:p w14:paraId="03B9B9F7" w14:textId="77777777" w:rsidR="00D34476" w:rsidRPr="002D741C" w:rsidRDefault="00D34476" w:rsidP="00D34476">
      <w:pPr>
        <w:pStyle w:val="EndnoteText"/>
        <w:widowControl w:val="0"/>
        <w:tabs>
          <w:tab w:val="clear" w:pos="567"/>
        </w:tabs>
        <w:rPr>
          <w:color w:val="000000"/>
          <w:szCs w:val="22"/>
          <w:lang w:val="es-ES"/>
        </w:rPr>
      </w:pPr>
      <w:r w:rsidRPr="002D741C">
        <w:rPr>
          <w:i/>
          <w:color w:val="000000"/>
          <w:szCs w:val="22"/>
          <w:lang w:val="es-ES"/>
        </w:rPr>
        <w:t>Insuficiencia hepática:</w:t>
      </w:r>
      <w:r w:rsidRPr="002D741C">
        <w:rPr>
          <w:color w:val="000000"/>
          <w:szCs w:val="22"/>
          <w:lang w:val="es-ES"/>
        </w:rPr>
        <w:t xml:space="preserve"> Imatinib es metabolizado principalmente por el hígado. Los pacientes con alteración hepática leve, moderada o grave deberán recibir la dosis mínima recomendada de 400 mg diarios. La dosis puede reducirse en caso que no sea bien tolerada (ver secciones 4.4, 4.8 y 5.2).</w:t>
      </w:r>
    </w:p>
    <w:p w14:paraId="071FDAD4" w14:textId="77777777" w:rsidR="00D34476" w:rsidRPr="002D741C" w:rsidRDefault="00D34476" w:rsidP="00D34476">
      <w:pPr>
        <w:pStyle w:val="EndnoteText"/>
        <w:widowControl w:val="0"/>
        <w:tabs>
          <w:tab w:val="clear" w:pos="567"/>
        </w:tabs>
        <w:rPr>
          <w:color w:val="000000"/>
          <w:szCs w:val="22"/>
          <w:lang w:val="es-ES"/>
        </w:rPr>
      </w:pPr>
    </w:p>
    <w:p w14:paraId="6C1A9CED" w14:textId="77777777" w:rsidR="00D34476" w:rsidRPr="002D741C" w:rsidRDefault="00D34476" w:rsidP="00AD13BE">
      <w:pPr>
        <w:pStyle w:val="EndnoteText"/>
        <w:keepNext/>
        <w:widowControl w:val="0"/>
        <w:tabs>
          <w:tab w:val="clear" w:pos="567"/>
        </w:tabs>
        <w:rPr>
          <w:color w:val="000000"/>
          <w:szCs w:val="22"/>
          <w:lang w:val="es-ES"/>
        </w:rPr>
      </w:pPr>
      <w:r w:rsidRPr="002D741C">
        <w:rPr>
          <w:color w:val="000000"/>
          <w:szCs w:val="22"/>
          <w:lang w:val="es-ES"/>
        </w:rPr>
        <w:t>Clasificación de la función hepática:</w:t>
      </w:r>
    </w:p>
    <w:p w14:paraId="54032CDA" w14:textId="77777777" w:rsidR="00D34476" w:rsidRPr="002D741C" w:rsidRDefault="00D34476" w:rsidP="00AD13BE">
      <w:pPr>
        <w:pStyle w:val="EndnoteText"/>
        <w:keepNext/>
        <w:widowControl w:val="0"/>
        <w:tabs>
          <w:tab w:val="clear" w:pos="567"/>
        </w:tabs>
        <w:rPr>
          <w:bCs/>
          <w:color w:val="000000"/>
          <w:szCs w:val="22"/>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97"/>
        <w:gridCol w:w="5764"/>
      </w:tblGrid>
      <w:tr w:rsidR="00D34476" w:rsidRPr="002D741C" w14:paraId="3A0055AB" w14:textId="77777777" w:rsidTr="00AD13BE">
        <w:trPr>
          <w:cantSplit/>
        </w:trPr>
        <w:tc>
          <w:tcPr>
            <w:tcW w:w="3369" w:type="dxa"/>
          </w:tcPr>
          <w:p w14:paraId="18DC91AC" w14:textId="77777777" w:rsidR="00D34476" w:rsidRPr="002D741C" w:rsidRDefault="00D34476" w:rsidP="00AD13BE">
            <w:pPr>
              <w:pStyle w:val="Text"/>
              <w:keepNext/>
              <w:tabs>
                <w:tab w:val="left" w:pos="567"/>
              </w:tabs>
              <w:spacing w:before="0" w:line="260" w:lineRule="exact"/>
              <w:jc w:val="left"/>
              <w:rPr>
                <w:color w:val="000000"/>
                <w:sz w:val="22"/>
                <w:szCs w:val="22"/>
                <w:lang w:val="en-GB"/>
              </w:rPr>
            </w:pPr>
            <w:r w:rsidRPr="002D741C">
              <w:rPr>
                <w:color w:val="000000"/>
                <w:sz w:val="22"/>
                <w:szCs w:val="22"/>
              </w:rPr>
              <w:t>Alteración hepática</w:t>
            </w:r>
          </w:p>
        </w:tc>
        <w:tc>
          <w:tcPr>
            <w:tcW w:w="5918" w:type="dxa"/>
          </w:tcPr>
          <w:p w14:paraId="60CD2B3B" w14:textId="77777777" w:rsidR="00D34476" w:rsidRPr="002D741C" w:rsidRDefault="00D34476" w:rsidP="00AD13BE">
            <w:pPr>
              <w:pStyle w:val="Text"/>
              <w:keepNext/>
              <w:tabs>
                <w:tab w:val="left" w:pos="567"/>
              </w:tabs>
              <w:spacing w:before="0" w:line="260" w:lineRule="exact"/>
              <w:jc w:val="left"/>
              <w:rPr>
                <w:color w:val="000000"/>
                <w:sz w:val="22"/>
                <w:szCs w:val="22"/>
                <w:lang w:val="en-GB"/>
              </w:rPr>
            </w:pPr>
            <w:r w:rsidRPr="002D741C">
              <w:rPr>
                <w:color w:val="000000"/>
                <w:sz w:val="22"/>
                <w:szCs w:val="22"/>
              </w:rPr>
              <w:t>Pruebas de función hepática</w:t>
            </w:r>
          </w:p>
        </w:tc>
      </w:tr>
      <w:tr w:rsidR="00D34476" w:rsidRPr="002D741C" w14:paraId="33DE946A" w14:textId="77777777" w:rsidTr="00AD13BE">
        <w:trPr>
          <w:cantSplit/>
        </w:trPr>
        <w:tc>
          <w:tcPr>
            <w:tcW w:w="3369" w:type="dxa"/>
          </w:tcPr>
          <w:p w14:paraId="39E355CA" w14:textId="77777777" w:rsidR="00D34476" w:rsidRPr="002D741C" w:rsidRDefault="00D34476" w:rsidP="00AD13BE">
            <w:pPr>
              <w:pStyle w:val="Text"/>
              <w:keepNext/>
              <w:tabs>
                <w:tab w:val="left" w:pos="567"/>
              </w:tabs>
              <w:spacing w:before="0" w:line="260" w:lineRule="exact"/>
              <w:jc w:val="left"/>
              <w:rPr>
                <w:color w:val="000000"/>
                <w:sz w:val="22"/>
                <w:szCs w:val="22"/>
                <w:lang w:val="en-GB"/>
              </w:rPr>
            </w:pPr>
            <w:r w:rsidRPr="002D741C">
              <w:rPr>
                <w:color w:val="000000"/>
                <w:sz w:val="22"/>
                <w:szCs w:val="22"/>
              </w:rPr>
              <w:t>Leve</w:t>
            </w:r>
          </w:p>
        </w:tc>
        <w:tc>
          <w:tcPr>
            <w:tcW w:w="5918" w:type="dxa"/>
          </w:tcPr>
          <w:p w14:paraId="615F09F6" w14:textId="77777777" w:rsidR="00D34476" w:rsidRPr="002D741C" w:rsidRDefault="00D34476" w:rsidP="00AD13BE">
            <w:pPr>
              <w:keepNext/>
              <w:tabs>
                <w:tab w:val="left" w:pos="567"/>
              </w:tabs>
              <w:rPr>
                <w:snapToGrid w:val="0"/>
                <w:color w:val="000000"/>
                <w:sz w:val="22"/>
                <w:szCs w:val="22"/>
              </w:rPr>
            </w:pPr>
            <w:r w:rsidRPr="002D741C">
              <w:rPr>
                <w:snapToGrid w:val="0"/>
                <w:color w:val="000000"/>
                <w:sz w:val="22"/>
                <w:szCs w:val="22"/>
              </w:rPr>
              <w:t>Bilirrubina total: = 1,5 LSNI</w:t>
            </w:r>
          </w:p>
          <w:p w14:paraId="160E0B92" w14:textId="77777777" w:rsidR="00D34476" w:rsidRPr="002D741C" w:rsidRDefault="00D34476" w:rsidP="00AD13BE">
            <w:pPr>
              <w:pStyle w:val="Text"/>
              <w:keepNext/>
              <w:tabs>
                <w:tab w:val="left" w:pos="567"/>
              </w:tabs>
              <w:spacing w:before="0" w:line="260" w:lineRule="exact"/>
              <w:jc w:val="left"/>
              <w:rPr>
                <w:color w:val="000000"/>
                <w:sz w:val="22"/>
                <w:szCs w:val="22"/>
                <w:lang w:val="es-ES_tradnl"/>
              </w:rPr>
            </w:pPr>
            <w:r w:rsidRPr="002D741C">
              <w:rPr>
                <w:snapToGrid w:val="0"/>
                <w:color w:val="000000"/>
                <w:sz w:val="22"/>
                <w:szCs w:val="22"/>
                <w:lang w:val="es-ES_tradnl"/>
              </w:rPr>
              <w:t>A</w:t>
            </w:r>
            <w:r w:rsidRPr="002D741C">
              <w:rPr>
                <w:snapToGrid w:val="0"/>
                <w:color w:val="000000"/>
                <w:sz w:val="22"/>
                <w:szCs w:val="22"/>
              </w:rPr>
              <w:t>ST: &gt; LSNI (puede ser normal o &lt; LSNI si la bilirrubina total es &gt; LSNI)</w:t>
            </w:r>
          </w:p>
        </w:tc>
      </w:tr>
      <w:tr w:rsidR="00D34476" w:rsidRPr="002D741C" w14:paraId="6871D1C3" w14:textId="77777777" w:rsidTr="00AD13BE">
        <w:trPr>
          <w:cantSplit/>
        </w:trPr>
        <w:tc>
          <w:tcPr>
            <w:tcW w:w="3369" w:type="dxa"/>
          </w:tcPr>
          <w:p w14:paraId="7CF07F12" w14:textId="77777777" w:rsidR="00D34476" w:rsidRPr="002D741C" w:rsidRDefault="00D34476" w:rsidP="00AD13BE">
            <w:pPr>
              <w:pStyle w:val="Text"/>
              <w:keepNext/>
              <w:tabs>
                <w:tab w:val="left" w:pos="567"/>
              </w:tabs>
              <w:spacing w:before="0" w:line="260" w:lineRule="exact"/>
              <w:jc w:val="left"/>
              <w:rPr>
                <w:color w:val="000000"/>
                <w:sz w:val="22"/>
                <w:szCs w:val="22"/>
                <w:lang w:val="en-GB"/>
              </w:rPr>
            </w:pPr>
            <w:r w:rsidRPr="002D741C">
              <w:rPr>
                <w:color w:val="000000"/>
                <w:sz w:val="22"/>
                <w:szCs w:val="22"/>
              </w:rPr>
              <w:t>Moderada</w:t>
            </w:r>
          </w:p>
        </w:tc>
        <w:tc>
          <w:tcPr>
            <w:tcW w:w="5918" w:type="dxa"/>
          </w:tcPr>
          <w:p w14:paraId="3147CA34" w14:textId="77777777" w:rsidR="00D34476" w:rsidRPr="002D741C" w:rsidRDefault="00D34476" w:rsidP="00AD13BE">
            <w:pPr>
              <w:keepNext/>
              <w:tabs>
                <w:tab w:val="left" w:pos="567"/>
              </w:tabs>
              <w:rPr>
                <w:snapToGrid w:val="0"/>
                <w:color w:val="000000"/>
                <w:sz w:val="22"/>
                <w:szCs w:val="22"/>
              </w:rPr>
            </w:pPr>
            <w:r w:rsidRPr="002D741C">
              <w:rPr>
                <w:snapToGrid w:val="0"/>
                <w:color w:val="000000"/>
                <w:sz w:val="22"/>
                <w:szCs w:val="22"/>
              </w:rPr>
              <w:t>Bilirrubina total: &gt; 1,5</w:t>
            </w:r>
            <w:r w:rsidRPr="002D741C">
              <w:rPr>
                <w:color w:val="000000"/>
                <w:sz w:val="22"/>
                <w:szCs w:val="22"/>
              </w:rPr>
              <w:t>–</w:t>
            </w:r>
            <w:r w:rsidRPr="002D741C">
              <w:rPr>
                <w:snapToGrid w:val="0"/>
                <w:color w:val="000000"/>
                <w:sz w:val="22"/>
                <w:szCs w:val="22"/>
              </w:rPr>
              <w:t>3,0 LSNI</w:t>
            </w:r>
          </w:p>
          <w:p w14:paraId="2A24FFB0" w14:textId="77777777" w:rsidR="00D34476" w:rsidRPr="002D741C" w:rsidRDefault="00D34476" w:rsidP="00AD13BE">
            <w:pPr>
              <w:pStyle w:val="Text"/>
              <w:keepNext/>
              <w:tabs>
                <w:tab w:val="left" w:pos="567"/>
              </w:tabs>
              <w:spacing w:before="0" w:line="260" w:lineRule="exact"/>
              <w:jc w:val="left"/>
              <w:rPr>
                <w:color w:val="000000"/>
                <w:sz w:val="22"/>
                <w:szCs w:val="22"/>
                <w:lang w:val="es-ES_tradnl"/>
              </w:rPr>
            </w:pPr>
            <w:r w:rsidRPr="002D741C">
              <w:rPr>
                <w:snapToGrid w:val="0"/>
                <w:color w:val="000000"/>
                <w:sz w:val="22"/>
                <w:szCs w:val="22"/>
              </w:rPr>
              <w:t>AST: ninguna</w:t>
            </w:r>
          </w:p>
        </w:tc>
      </w:tr>
      <w:tr w:rsidR="00D34476" w:rsidRPr="002D741C" w14:paraId="0B27B2AA" w14:textId="77777777" w:rsidTr="00AD13BE">
        <w:trPr>
          <w:cantSplit/>
        </w:trPr>
        <w:tc>
          <w:tcPr>
            <w:tcW w:w="3369" w:type="dxa"/>
          </w:tcPr>
          <w:p w14:paraId="718902F9" w14:textId="77777777" w:rsidR="00D34476" w:rsidRPr="002D741C" w:rsidRDefault="00D34476" w:rsidP="00AD13BE">
            <w:pPr>
              <w:pStyle w:val="Text"/>
              <w:keepNext/>
              <w:tabs>
                <w:tab w:val="left" w:pos="567"/>
              </w:tabs>
              <w:spacing w:before="0" w:line="260" w:lineRule="exact"/>
              <w:jc w:val="left"/>
              <w:rPr>
                <w:color w:val="000000"/>
                <w:sz w:val="22"/>
                <w:szCs w:val="22"/>
                <w:lang w:val="en-GB"/>
              </w:rPr>
            </w:pPr>
            <w:r w:rsidRPr="002D741C">
              <w:rPr>
                <w:color w:val="000000"/>
                <w:sz w:val="22"/>
                <w:szCs w:val="22"/>
              </w:rPr>
              <w:t>Grave</w:t>
            </w:r>
          </w:p>
        </w:tc>
        <w:tc>
          <w:tcPr>
            <w:tcW w:w="5918" w:type="dxa"/>
          </w:tcPr>
          <w:p w14:paraId="30440232" w14:textId="77777777" w:rsidR="00D34476" w:rsidRPr="002D741C" w:rsidRDefault="00D34476" w:rsidP="00AD13BE">
            <w:pPr>
              <w:keepNext/>
              <w:tabs>
                <w:tab w:val="left" w:pos="567"/>
              </w:tabs>
              <w:rPr>
                <w:snapToGrid w:val="0"/>
                <w:color w:val="000000"/>
                <w:sz w:val="22"/>
                <w:szCs w:val="22"/>
              </w:rPr>
            </w:pPr>
            <w:r w:rsidRPr="002D741C">
              <w:rPr>
                <w:snapToGrid w:val="0"/>
                <w:color w:val="000000"/>
                <w:sz w:val="22"/>
                <w:szCs w:val="22"/>
              </w:rPr>
              <w:t>Bilirrubina total: &gt; 3</w:t>
            </w:r>
            <w:r w:rsidRPr="002D741C">
              <w:rPr>
                <w:color w:val="000000"/>
                <w:sz w:val="22"/>
                <w:szCs w:val="22"/>
              </w:rPr>
              <w:t>–</w:t>
            </w:r>
            <w:r w:rsidRPr="002D741C">
              <w:rPr>
                <w:snapToGrid w:val="0"/>
                <w:color w:val="000000"/>
                <w:sz w:val="22"/>
                <w:szCs w:val="22"/>
              </w:rPr>
              <w:t>10 LSNI</w:t>
            </w:r>
          </w:p>
          <w:p w14:paraId="3C14F5D5" w14:textId="77777777" w:rsidR="00D34476" w:rsidRPr="002D741C" w:rsidRDefault="00D34476" w:rsidP="00AD13BE">
            <w:pPr>
              <w:pStyle w:val="Text"/>
              <w:keepNext/>
              <w:tabs>
                <w:tab w:val="left" w:pos="567"/>
              </w:tabs>
              <w:spacing w:before="0" w:line="260" w:lineRule="exact"/>
              <w:jc w:val="left"/>
              <w:rPr>
                <w:color w:val="000000"/>
                <w:sz w:val="22"/>
                <w:szCs w:val="22"/>
                <w:lang w:val="es-ES_tradnl"/>
              </w:rPr>
            </w:pPr>
            <w:r w:rsidRPr="002D741C">
              <w:rPr>
                <w:snapToGrid w:val="0"/>
                <w:color w:val="000000"/>
                <w:sz w:val="22"/>
                <w:szCs w:val="22"/>
              </w:rPr>
              <w:t>AST: ninguna</w:t>
            </w:r>
          </w:p>
        </w:tc>
      </w:tr>
    </w:tbl>
    <w:p w14:paraId="0CFDE5C6" w14:textId="77777777" w:rsidR="00D34476" w:rsidRPr="002D741C" w:rsidRDefault="00D34476" w:rsidP="00AD13BE">
      <w:pPr>
        <w:pStyle w:val="Text"/>
        <w:keepNext/>
        <w:spacing w:before="0"/>
        <w:jc w:val="left"/>
        <w:rPr>
          <w:color w:val="000000"/>
          <w:sz w:val="22"/>
          <w:szCs w:val="22"/>
        </w:rPr>
      </w:pPr>
      <w:r w:rsidRPr="002D741C">
        <w:rPr>
          <w:color w:val="000000"/>
          <w:sz w:val="22"/>
          <w:szCs w:val="22"/>
        </w:rPr>
        <w:t>LSNI = límite superior normal institucional</w:t>
      </w:r>
    </w:p>
    <w:p w14:paraId="03649162" w14:textId="77777777" w:rsidR="00D34476" w:rsidRPr="002D741C" w:rsidRDefault="00D34476" w:rsidP="00D34476">
      <w:pPr>
        <w:autoSpaceDE w:val="0"/>
        <w:autoSpaceDN w:val="0"/>
        <w:adjustRightInd w:val="0"/>
        <w:ind w:left="993" w:hanging="993"/>
        <w:rPr>
          <w:rFonts w:eastAsia="MS Mincho"/>
          <w:bCs/>
          <w:color w:val="000000"/>
          <w:sz w:val="22"/>
          <w:szCs w:val="22"/>
          <w:lang w:eastAsia="ja-JP"/>
        </w:rPr>
      </w:pPr>
      <w:r w:rsidRPr="002D741C">
        <w:rPr>
          <w:rFonts w:eastAsia="MS Mincho"/>
          <w:bCs/>
          <w:color w:val="000000"/>
          <w:sz w:val="22"/>
          <w:szCs w:val="22"/>
          <w:lang w:eastAsia="ja-JP"/>
        </w:rPr>
        <w:t xml:space="preserve">AST = </w:t>
      </w:r>
      <w:r w:rsidRPr="002D741C">
        <w:rPr>
          <w:color w:val="000000"/>
          <w:sz w:val="22"/>
          <w:szCs w:val="22"/>
        </w:rPr>
        <w:t>aspartato aminotransferasa</w:t>
      </w:r>
    </w:p>
    <w:p w14:paraId="442A15C6" w14:textId="77777777" w:rsidR="00D34476" w:rsidRPr="002D741C" w:rsidRDefault="00D34476" w:rsidP="00D34476">
      <w:pPr>
        <w:pStyle w:val="EndnoteText"/>
        <w:widowControl w:val="0"/>
        <w:tabs>
          <w:tab w:val="clear" w:pos="567"/>
        </w:tabs>
        <w:rPr>
          <w:color w:val="000000"/>
          <w:szCs w:val="22"/>
          <w:lang w:val="es-ES"/>
        </w:rPr>
      </w:pPr>
    </w:p>
    <w:p w14:paraId="1D92171C" w14:textId="77777777" w:rsidR="00D34476" w:rsidRPr="002D741C" w:rsidRDefault="00D34476" w:rsidP="00D34476">
      <w:pPr>
        <w:pStyle w:val="EndnoteText"/>
        <w:widowControl w:val="0"/>
        <w:tabs>
          <w:tab w:val="clear" w:pos="567"/>
        </w:tabs>
        <w:rPr>
          <w:color w:val="000000"/>
          <w:szCs w:val="22"/>
          <w:lang w:val="es-ES"/>
        </w:rPr>
      </w:pPr>
      <w:r w:rsidRPr="002D741C">
        <w:rPr>
          <w:i/>
          <w:color w:val="000000"/>
          <w:szCs w:val="22"/>
          <w:lang w:val="es-ES"/>
        </w:rPr>
        <w:t>Insuficiencia renal:</w:t>
      </w:r>
      <w:r w:rsidRPr="002D741C">
        <w:rPr>
          <w:color w:val="000000"/>
          <w:szCs w:val="22"/>
          <w:lang w:val="es-ES"/>
        </w:rPr>
        <w:t xml:space="preserve"> Los pacientes con alteración renal o en diálisis deberán recibir la dosis mínima recomendada de 400 mg diarios como dosis inicial. Sin embargo, en estos pacientes se recomienda precaución. La dosis puede reducirse en caso que no sea bien tolerada. Si se tolera, la dosis puede aumentarse por falta de eficacia (ver secciones 4.4 y 5.2).</w:t>
      </w:r>
    </w:p>
    <w:p w14:paraId="088D6045" w14:textId="77777777" w:rsidR="00D34476" w:rsidRPr="002D741C" w:rsidRDefault="00D34476" w:rsidP="00D34476">
      <w:pPr>
        <w:pStyle w:val="EndnoteText"/>
        <w:widowControl w:val="0"/>
        <w:tabs>
          <w:tab w:val="clear" w:pos="567"/>
        </w:tabs>
        <w:rPr>
          <w:color w:val="000000"/>
          <w:szCs w:val="22"/>
          <w:lang w:val="es-ES"/>
        </w:rPr>
      </w:pPr>
    </w:p>
    <w:p w14:paraId="32B2FB67" w14:textId="77777777" w:rsidR="00D34476" w:rsidRPr="002D741C" w:rsidRDefault="00D34476" w:rsidP="00D34476">
      <w:pPr>
        <w:pStyle w:val="EndnoteText"/>
        <w:widowControl w:val="0"/>
        <w:tabs>
          <w:tab w:val="clear" w:pos="567"/>
        </w:tabs>
        <w:rPr>
          <w:color w:val="000000"/>
          <w:szCs w:val="22"/>
          <w:lang w:val="es-ES"/>
        </w:rPr>
      </w:pPr>
      <w:r w:rsidRPr="002D741C">
        <w:rPr>
          <w:i/>
          <w:color w:val="000000"/>
          <w:szCs w:val="22"/>
          <w:lang w:val="es-ES"/>
        </w:rPr>
        <w:t>Pacientes de edad avanzada:</w:t>
      </w:r>
      <w:r w:rsidRPr="002D741C">
        <w:rPr>
          <w:color w:val="000000"/>
          <w:szCs w:val="22"/>
          <w:lang w:val="es-ES"/>
        </w:rPr>
        <w:t xml:space="preserve"> No se ha estudiado la farmacocinética de imatinib específicamente en personas de edad avanzada. En los ensayos clínicos en pacientes adultos, que incluyeron más de un 20% de pacientes de 65 años o mayores, no se han observado diferencias significativas en la farmacocinética relacionadas con la edad. No es necesaria una recomendación específica de dosis en pacientes de edad avanzada.</w:t>
      </w:r>
    </w:p>
    <w:p w14:paraId="17636B13" w14:textId="77777777" w:rsidR="00D34476" w:rsidRPr="002D741C" w:rsidRDefault="00D34476" w:rsidP="00D34476">
      <w:pPr>
        <w:pStyle w:val="EndnoteText"/>
        <w:widowControl w:val="0"/>
        <w:tabs>
          <w:tab w:val="clear" w:pos="567"/>
        </w:tabs>
        <w:rPr>
          <w:color w:val="000000"/>
          <w:szCs w:val="22"/>
          <w:lang w:val="es-ES"/>
        </w:rPr>
      </w:pPr>
    </w:p>
    <w:p w14:paraId="5C0F6469" w14:textId="77777777" w:rsidR="00C45062" w:rsidRPr="002D741C" w:rsidRDefault="00C45062" w:rsidP="00AD13BE">
      <w:pPr>
        <w:keepNext/>
        <w:widowControl w:val="0"/>
        <w:ind w:left="567" w:hanging="567"/>
        <w:rPr>
          <w:color w:val="000000"/>
          <w:sz w:val="22"/>
          <w:szCs w:val="22"/>
        </w:rPr>
      </w:pPr>
      <w:r w:rsidRPr="002D741C">
        <w:rPr>
          <w:b/>
          <w:color w:val="000000"/>
          <w:sz w:val="22"/>
          <w:szCs w:val="22"/>
        </w:rPr>
        <w:t>4.3</w:t>
      </w:r>
      <w:r w:rsidRPr="002D741C">
        <w:rPr>
          <w:b/>
          <w:color w:val="000000"/>
          <w:sz w:val="22"/>
          <w:szCs w:val="22"/>
        </w:rPr>
        <w:tab/>
        <w:t>Contraindicaciones</w:t>
      </w:r>
    </w:p>
    <w:p w14:paraId="558BE5F0" w14:textId="77777777" w:rsidR="00C45062" w:rsidRPr="002D741C" w:rsidRDefault="00C45062" w:rsidP="00AD13BE">
      <w:pPr>
        <w:pStyle w:val="EndnoteText"/>
        <w:keepNext/>
        <w:widowControl w:val="0"/>
        <w:tabs>
          <w:tab w:val="clear" w:pos="567"/>
        </w:tabs>
        <w:rPr>
          <w:color w:val="000000"/>
          <w:szCs w:val="22"/>
          <w:lang w:val="es-ES"/>
        </w:rPr>
      </w:pPr>
    </w:p>
    <w:p w14:paraId="73010133" w14:textId="77777777" w:rsidR="00C45062" w:rsidRPr="002D741C" w:rsidRDefault="00C45062" w:rsidP="00C45062">
      <w:pPr>
        <w:pStyle w:val="EndnoteText"/>
        <w:widowControl w:val="0"/>
        <w:tabs>
          <w:tab w:val="clear" w:pos="567"/>
        </w:tabs>
        <w:rPr>
          <w:color w:val="000000"/>
          <w:szCs w:val="22"/>
          <w:lang w:val="es-ES"/>
        </w:rPr>
      </w:pPr>
      <w:r w:rsidRPr="002D741C">
        <w:rPr>
          <w:color w:val="000000"/>
          <w:szCs w:val="22"/>
          <w:lang w:val="es-ES"/>
        </w:rPr>
        <w:t>Hipersensibilidad al principio activo o a alguno de los excipientes incluidos en la sección 6.1.</w:t>
      </w:r>
    </w:p>
    <w:p w14:paraId="0897F9A4" w14:textId="77777777" w:rsidR="00C45062" w:rsidRPr="002D741C" w:rsidRDefault="00C45062" w:rsidP="00C45062">
      <w:pPr>
        <w:pStyle w:val="EndnoteText"/>
        <w:widowControl w:val="0"/>
        <w:tabs>
          <w:tab w:val="clear" w:pos="567"/>
        </w:tabs>
        <w:rPr>
          <w:color w:val="000000"/>
          <w:szCs w:val="22"/>
          <w:lang w:val="es-ES"/>
        </w:rPr>
      </w:pPr>
    </w:p>
    <w:p w14:paraId="4950C2A6" w14:textId="77777777" w:rsidR="00C45062" w:rsidRPr="002D741C" w:rsidRDefault="00C45062" w:rsidP="00AD13BE">
      <w:pPr>
        <w:keepNext/>
        <w:widowControl w:val="0"/>
        <w:ind w:left="567" w:hanging="567"/>
        <w:rPr>
          <w:color w:val="000000"/>
          <w:sz w:val="22"/>
          <w:szCs w:val="22"/>
        </w:rPr>
      </w:pPr>
      <w:r w:rsidRPr="002D741C">
        <w:rPr>
          <w:b/>
          <w:color w:val="000000"/>
          <w:sz w:val="22"/>
          <w:szCs w:val="22"/>
        </w:rPr>
        <w:t>4.4</w:t>
      </w:r>
      <w:r w:rsidRPr="002D741C">
        <w:rPr>
          <w:b/>
          <w:color w:val="000000"/>
          <w:sz w:val="22"/>
          <w:szCs w:val="22"/>
        </w:rPr>
        <w:tab/>
        <w:t>Advertencias y precauciones especiales de empleo</w:t>
      </w:r>
    </w:p>
    <w:p w14:paraId="3A482B61" w14:textId="77777777" w:rsidR="00C45062" w:rsidRPr="002D741C" w:rsidRDefault="00C45062" w:rsidP="00AD13BE">
      <w:pPr>
        <w:pStyle w:val="EndnoteText"/>
        <w:keepNext/>
        <w:widowControl w:val="0"/>
        <w:tabs>
          <w:tab w:val="clear" w:pos="567"/>
        </w:tabs>
        <w:rPr>
          <w:color w:val="000000"/>
          <w:szCs w:val="22"/>
          <w:lang w:val="es-ES"/>
        </w:rPr>
      </w:pPr>
    </w:p>
    <w:p w14:paraId="7DB4F03E" w14:textId="77777777" w:rsidR="00C45062" w:rsidRPr="002D741C" w:rsidRDefault="00C45062" w:rsidP="00C45062">
      <w:pPr>
        <w:pStyle w:val="EndnoteText"/>
        <w:widowControl w:val="0"/>
        <w:tabs>
          <w:tab w:val="clear" w:pos="567"/>
        </w:tabs>
        <w:rPr>
          <w:color w:val="000000"/>
          <w:szCs w:val="22"/>
          <w:lang w:val="es-ES"/>
        </w:rPr>
      </w:pPr>
      <w:r w:rsidRPr="002D741C">
        <w:rPr>
          <w:color w:val="000000"/>
          <w:szCs w:val="22"/>
          <w:lang w:val="es-ES"/>
        </w:rPr>
        <w:t xml:space="preserve">Cuando se administra Glivec con otros medicamentos existe un potencial de interacciones entre fármacos. Se debe tener precaución al tomar Glivec con inhibidores de la proteasa, antifúngicos azólicos, algunos macrólidos (ver sección 4.5), sustratos de </w:t>
      </w:r>
      <w:smartTag w:uri="urn:schemas-microsoft-com:office:smarttags" w:element="PersonName">
        <w:r w:rsidRPr="002D741C">
          <w:rPr>
            <w:color w:val="000000"/>
            <w:szCs w:val="22"/>
            <w:lang w:val="es-ES"/>
          </w:rPr>
          <w:t>CY</w:t>
        </w:r>
      </w:smartTag>
      <w:r w:rsidRPr="002D741C">
        <w:rPr>
          <w:color w:val="000000"/>
          <w:szCs w:val="22"/>
          <w:lang w:val="es-ES"/>
        </w:rPr>
        <w:t>P3A4 con un estrecho margen terapéutico (p.ej. ciclosporina, pimocida, tacrolimus, sirolimus, ergotamina, diergotamina, fentanilo, alfentanilo, terfenadina, bortezomib, docetaxel, quinidina) o warfarina y otros derivados cumarínicos (ver sección 4.5).</w:t>
      </w:r>
    </w:p>
    <w:p w14:paraId="217169B8" w14:textId="77777777" w:rsidR="00C45062" w:rsidRPr="002D741C" w:rsidRDefault="00C45062" w:rsidP="00C45062">
      <w:pPr>
        <w:pStyle w:val="EndnoteText"/>
        <w:widowControl w:val="0"/>
        <w:tabs>
          <w:tab w:val="clear" w:pos="567"/>
        </w:tabs>
        <w:rPr>
          <w:color w:val="000000"/>
          <w:szCs w:val="22"/>
          <w:lang w:val="es-ES"/>
        </w:rPr>
      </w:pPr>
    </w:p>
    <w:p w14:paraId="16F1809A" w14:textId="77777777" w:rsidR="00C45062" w:rsidRPr="002D741C" w:rsidRDefault="00C45062" w:rsidP="00C45062">
      <w:pPr>
        <w:pStyle w:val="EndnoteText"/>
        <w:widowControl w:val="0"/>
        <w:tabs>
          <w:tab w:val="clear" w:pos="567"/>
        </w:tabs>
        <w:rPr>
          <w:color w:val="000000"/>
          <w:szCs w:val="22"/>
          <w:lang w:val="es-ES"/>
        </w:rPr>
      </w:pPr>
      <w:r w:rsidRPr="002D741C">
        <w:rPr>
          <w:color w:val="000000"/>
          <w:szCs w:val="22"/>
          <w:lang w:val="es-ES"/>
        </w:rPr>
        <w:t xml:space="preserve">El uso concomitante de imatinib y medicamentos que inducen el </w:t>
      </w:r>
      <w:smartTag w:uri="urn:schemas-microsoft-com:office:smarttags" w:element="PersonName">
        <w:r w:rsidRPr="002D741C">
          <w:rPr>
            <w:color w:val="000000"/>
            <w:szCs w:val="22"/>
            <w:lang w:val="es-ES"/>
          </w:rPr>
          <w:t>CY</w:t>
        </w:r>
      </w:smartTag>
      <w:r w:rsidRPr="002D741C">
        <w:rPr>
          <w:color w:val="000000"/>
          <w:szCs w:val="22"/>
          <w:lang w:val="es-ES"/>
        </w:rPr>
        <w:t xml:space="preserve">P3A4 (p. ej. dexametasona, fenitoína, carbamazepina, rifampicina, fenobarbital o </w:t>
      </w:r>
      <w:r w:rsidRPr="002D741C">
        <w:rPr>
          <w:i/>
          <w:color w:val="000000"/>
          <w:szCs w:val="22"/>
          <w:lang w:val="es-ES"/>
        </w:rPr>
        <w:t>Hypericum perforatum</w:t>
      </w:r>
      <w:r w:rsidRPr="002D741C">
        <w:rPr>
          <w:color w:val="000000"/>
          <w:szCs w:val="22"/>
          <w:lang w:val="es-ES"/>
        </w:rPr>
        <w:t xml:space="preserve">, también conocido como hierba de San Juan) puede reducir significativamente la exposición a Glivec, aumentando potencialmente el riesgo de fallo terapéutico. Por lo tanto, deberá evitarse el uso concomitante de inductores potentes del </w:t>
      </w:r>
      <w:smartTag w:uri="urn:schemas-microsoft-com:office:smarttags" w:element="PersonName">
        <w:r w:rsidRPr="002D741C">
          <w:rPr>
            <w:color w:val="000000"/>
            <w:szCs w:val="22"/>
            <w:lang w:val="es-ES"/>
          </w:rPr>
          <w:t>CY</w:t>
        </w:r>
      </w:smartTag>
      <w:r w:rsidRPr="002D741C">
        <w:rPr>
          <w:color w:val="000000"/>
          <w:szCs w:val="22"/>
          <w:lang w:val="es-ES"/>
        </w:rPr>
        <w:t>P3A4 e imatinib (ver sección 4.5).</w:t>
      </w:r>
    </w:p>
    <w:p w14:paraId="49DF55BB" w14:textId="77777777" w:rsidR="00C45062" w:rsidRPr="002D741C" w:rsidRDefault="00C45062" w:rsidP="00C45062">
      <w:pPr>
        <w:pStyle w:val="EndnoteText"/>
        <w:widowControl w:val="0"/>
        <w:tabs>
          <w:tab w:val="clear" w:pos="567"/>
        </w:tabs>
        <w:rPr>
          <w:color w:val="000000"/>
          <w:szCs w:val="22"/>
          <w:lang w:val="es-ES"/>
        </w:rPr>
      </w:pPr>
    </w:p>
    <w:p w14:paraId="17E8D335" w14:textId="77777777" w:rsidR="00C45062" w:rsidRPr="002D741C" w:rsidRDefault="00C45062" w:rsidP="00AD13BE">
      <w:pPr>
        <w:pStyle w:val="EndnoteText"/>
        <w:keepNext/>
        <w:widowControl w:val="0"/>
        <w:tabs>
          <w:tab w:val="clear" w:pos="567"/>
        </w:tabs>
        <w:rPr>
          <w:color w:val="000000"/>
          <w:szCs w:val="22"/>
          <w:u w:val="single"/>
          <w:lang w:val="es-ES"/>
        </w:rPr>
      </w:pPr>
      <w:r w:rsidRPr="002D741C">
        <w:rPr>
          <w:color w:val="000000"/>
          <w:szCs w:val="22"/>
          <w:u w:val="single"/>
          <w:lang w:val="es-ES"/>
        </w:rPr>
        <w:lastRenderedPageBreak/>
        <w:t>Hipotiroidismo</w:t>
      </w:r>
    </w:p>
    <w:p w14:paraId="59FB5DC9" w14:textId="77777777" w:rsidR="00C45062" w:rsidRPr="002D741C" w:rsidRDefault="00C45062" w:rsidP="00C45062">
      <w:pPr>
        <w:pStyle w:val="EndnoteText"/>
        <w:widowControl w:val="0"/>
        <w:tabs>
          <w:tab w:val="clear" w:pos="567"/>
        </w:tabs>
        <w:rPr>
          <w:color w:val="000000"/>
          <w:szCs w:val="22"/>
          <w:lang w:val="es-ES"/>
        </w:rPr>
      </w:pPr>
      <w:r w:rsidRPr="002D741C">
        <w:rPr>
          <w:color w:val="000000"/>
          <w:szCs w:val="22"/>
          <w:lang w:val="es-ES"/>
        </w:rPr>
        <w:t>Durante el tratamiento con Glivec se han notificado casos clínicos de hipotiroidismo en pacientes tiroidectomizados y que reciben tratamiento de sustitución con levotiroxina (ver sección 4.5). En estos pacientes deberán controlarse estrechamente los niveles de de hormona estimulante del tiroides (niveles de TSH).</w:t>
      </w:r>
    </w:p>
    <w:p w14:paraId="1B49D771" w14:textId="77777777" w:rsidR="00C45062" w:rsidRPr="002D741C" w:rsidRDefault="00C45062" w:rsidP="00C45062">
      <w:pPr>
        <w:pStyle w:val="EndnoteText"/>
        <w:widowControl w:val="0"/>
        <w:tabs>
          <w:tab w:val="clear" w:pos="567"/>
        </w:tabs>
        <w:rPr>
          <w:color w:val="000000"/>
          <w:szCs w:val="22"/>
          <w:lang w:val="es-ES"/>
        </w:rPr>
      </w:pPr>
    </w:p>
    <w:p w14:paraId="7ADAC158" w14:textId="77777777" w:rsidR="00C45062" w:rsidRPr="002D741C" w:rsidRDefault="00C45062" w:rsidP="00AD13BE">
      <w:pPr>
        <w:pStyle w:val="EndnoteText"/>
        <w:keepNext/>
        <w:widowControl w:val="0"/>
        <w:tabs>
          <w:tab w:val="clear" w:pos="567"/>
        </w:tabs>
        <w:rPr>
          <w:color w:val="000000"/>
          <w:szCs w:val="22"/>
          <w:u w:val="single"/>
          <w:lang w:val="es-ES"/>
        </w:rPr>
      </w:pPr>
      <w:r w:rsidRPr="002D741C">
        <w:rPr>
          <w:color w:val="000000"/>
          <w:szCs w:val="22"/>
          <w:u w:val="single"/>
          <w:lang w:val="es-ES"/>
        </w:rPr>
        <w:t>Hepatotoxicidad</w:t>
      </w:r>
    </w:p>
    <w:p w14:paraId="35384F1F" w14:textId="77777777" w:rsidR="00C45062" w:rsidRPr="002D741C" w:rsidRDefault="00C45062" w:rsidP="00C45062">
      <w:pPr>
        <w:pStyle w:val="EndnoteText"/>
        <w:widowControl w:val="0"/>
        <w:tabs>
          <w:tab w:val="clear" w:pos="567"/>
        </w:tabs>
        <w:rPr>
          <w:color w:val="000000"/>
          <w:szCs w:val="22"/>
          <w:lang w:val="es-ES"/>
        </w:rPr>
      </w:pPr>
      <w:r w:rsidRPr="002D741C">
        <w:rPr>
          <w:color w:val="000000"/>
          <w:szCs w:val="22"/>
          <w:lang w:val="es-ES"/>
        </w:rPr>
        <w:t>El metabolismo de Glivec es principalmente hepático, y sólo un 13% de la excreción es a través de los riñones. En pacientes con alteración hepática (leve, moderada o grave) deben monitorizarse cuidadosamente los recuentos en sangre periférica y los enzimas hepáticos (ver secciones 4.2, 4.8 y 5.2). Debe tenerse en cuenta que los pacientes con G</w:t>
      </w:r>
      <w:smartTag w:uri="urn:schemas-microsoft-com:office:smarttags" w:element="PersonName">
        <w:r w:rsidRPr="002D741C">
          <w:rPr>
            <w:color w:val="000000"/>
            <w:szCs w:val="22"/>
            <w:lang w:val="es-ES"/>
          </w:rPr>
          <w:t>IS</w:t>
        </w:r>
      </w:smartTag>
      <w:r w:rsidRPr="002D741C">
        <w:rPr>
          <w:color w:val="000000"/>
          <w:szCs w:val="22"/>
          <w:lang w:val="es-ES"/>
        </w:rPr>
        <w:t>T pueden presentar metástasis hepáticas que pueden dar lugar a una insuficiencia hepática.</w:t>
      </w:r>
    </w:p>
    <w:p w14:paraId="4C401F5E" w14:textId="77777777" w:rsidR="00C45062" w:rsidRPr="002D741C" w:rsidRDefault="00C45062" w:rsidP="00C45062">
      <w:pPr>
        <w:pStyle w:val="EndnoteText"/>
        <w:widowControl w:val="0"/>
        <w:tabs>
          <w:tab w:val="clear" w:pos="567"/>
        </w:tabs>
        <w:rPr>
          <w:color w:val="000000"/>
          <w:szCs w:val="22"/>
          <w:lang w:val="es-ES"/>
        </w:rPr>
      </w:pPr>
    </w:p>
    <w:p w14:paraId="53004173" w14:textId="77777777" w:rsidR="00C45062" w:rsidRPr="002D741C" w:rsidRDefault="00C45062" w:rsidP="00C45062">
      <w:pPr>
        <w:pStyle w:val="EndnoteText"/>
        <w:widowControl w:val="0"/>
        <w:tabs>
          <w:tab w:val="clear" w:pos="567"/>
        </w:tabs>
        <w:rPr>
          <w:color w:val="000000"/>
          <w:szCs w:val="22"/>
          <w:lang w:val="es-ES"/>
        </w:rPr>
      </w:pPr>
      <w:r w:rsidRPr="002D741C">
        <w:rPr>
          <w:color w:val="000000"/>
          <w:szCs w:val="22"/>
          <w:lang w:val="es-ES"/>
        </w:rPr>
        <w:t>Se han observado casos de daño hepático, incluyendo fallo hepático y necrosis hepática con imatinib. Cuando se combina imatinib con regímenes de quimioterapia a dosis altas, se ha detectado un aumento de las reacciones hepáticas graves. Deberá monitorizarse estrechamente la función hepática cuando imatinib se combine con regímenes de quimioterapia que se sabe que también están asociados a alteraciones hepáticas (ver secciones 4.5 y 4.8).</w:t>
      </w:r>
    </w:p>
    <w:p w14:paraId="4BDBAC9F" w14:textId="77777777" w:rsidR="00C45062" w:rsidRPr="002D741C" w:rsidRDefault="00C45062" w:rsidP="00C45062">
      <w:pPr>
        <w:pStyle w:val="EndnoteText"/>
        <w:widowControl w:val="0"/>
        <w:tabs>
          <w:tab w:val="clear" w:pos="567"/>
        </w:tabs>
        <w:rPr>
          <w:color w:val="000000"/>
          <w:szCs w:val="22"/>
          <w:lang w:val="es-ES"/>
        </w:rPr>
      </w:pPr>
    </w:p>
    <w:p w14:paraId="457A336B" w14:textId="77777777" w:rsidR="00C45062" w:rsidRPr="002D741C" w:rsidRDefault="00C45062" w:rsidP="00AD13BE">
      <w:pPr>
        <w:pStyle w:val="EndnoteText"/>
        <w:keepNext/>
        <w:widowControl w:val="0"/>
        <w:tabs>
          <w:tab w:val="clear" w:pos="567"/>
        </w:tabs>
        <w:rPr>
          <w:color w:val="000000"/>
          <w:szCs w:val="22"/>
          <w:u w:val="single"/>
          <w:lang w:val="es-ES"/>
        </w:rPr>
      </w:pPr>
      <w:r w:rsidRPr="002D741C">
        <w:rPr>
          <w:color w:val="000000"/>
          <w:szCs w:val="22"/>
          <w:u w:val="single"/>
          <w:lang w:val="es-ES"/>
        </w:rPr>
        <w:t>Retención de líquidos</w:t>
      </w:r>
    </w:p>
    <w:p w14:paraId="7C1359AC" w14:textId="77777777" w:rsidR="00C45062" w:rsidRPr="002D741C" w:rsidRDefault="00C45062" w:rsidP="00C45062">
      <w:pPr>
        <w:pStyle w:val="EndnoteText"/>
        <w:widowControl w:val="0"/>
        <w:tabs>
          <w:tab w:val="clear" w:pos="567"/>
        </w:tabs>
        <w:rPr>
          <w:color w:val="000000"/>
          <w:szCs w:val="22"/>
          <w:lang w:val="es-ES"/>
        </w:rPr>
      </w:pPr>
      <w:r w:rsidRPr="002D741C">
        <w:rPr>
          <w:color w:val="000000"/>
          <w:szCs w:val="22"/>
          <w:lang w:val="es-ES"/>
        </w:rPr>
        <w:t>Se han notificado casos de retención severa de líquidos (efusión pleural, edema, edema pulmonar, ascitis, edema superficial) en aproximadamente 2,5% de los pacientes de LMC de diagnóstico reciente tratados con Glivec, por lo que es altamente recomendable pesar a los pacientes de forma regular. Deberá estudiarse cuidadosamente un aumento rápido e inesperado de peso, y si se considera necesario, deberán llevarse a cabo medidas terapéuticas y de soporte. En los ensayos clínicos, hubo un aumento de la incidencia de estos acontecimientos en pacientes de edad avanzada y en aquéllos con una historia previa de enfermedad cardíaca. Por lo tanto, deberá tenerse precaución en pacientes con disfunción cardíaca.</w:t>
      </w:r>
    </w:p>
    <w:p w14:paraId="0D641878" w14:textId="77777777" w:rsidR="00C45062" w:rsidRPr="002D741C" w:rsidRDefault="00C45062" w:rsidP="00C45062">
      <w:pPr>
        <w:pStyle w:val="EndnoteText"/>
        <w:widowControl w:val="0"/>
        <w:tabs>
          <w:tab w:val="clear" w:pos="567"/>
        </w:tabs>
        <w:rPr>
          <w:color w:val="000000"/>
          <w:szCs w:val="22"/>
          <w:lang w:val="es-ES"/>
        </w:rPr>
      </w:pPr>
    </w:p>
    <w:p w14:paraId="540B662B" w14:textId="77777777" w:rsidR="00C45062" w:rsidRPr="002D741C" w:rsidRDefault="00C45062" w:rsidP="00AD13BE">
      <w:pPr>
        <w:pStyle w:val="EndnoteText"/>
        <w:keepNext/>
        <w:widowControl w:val="0"/>
        <w:tabs>
          <w:tab w:val="clear" w:pos="567"/>
        </w:tabs>
        <w:rPr>
          <w:color w:val="000000"/>
          <w:szCs w:val="22"/>
          <w:u w:val="single"/>
          <w:lang w:val="es-ES"/>
        </w:rPr>
      </w:pPr>
      <w:r w:rsidRPr="002D741C">
        <w:rPr>
          <w:color w:val="000000"/>
          <w:szCs w:val="22"/>
          <w:u w:val="single"/>
          <w:lang w:val="es-ES"/>
        </w:rPr>
        <w:t>Pacientes con enfermedad cardíaca</w:t>
      </w:r>
    </w:p>
    <w:p w14:paraId="545B70C3" w14:textId="77777777" w:rsidR="00C45062" w:rsidRPr="002D741C" w:rsidRDefault="00C45062" w:rsidP="00C45062">
      <w:pPr>
        <w:pStyle w:val="EndnoteText"/>
        <w:widowControl w:val="0"/>
        <w:tabs>
          <w:tab w:val="clear" w:pos="567"/>
        </w:tabs>
        <w:rPr>
          <w:color w:val="000000"/>
          <w:szCs w:val="22"/>
          <w:lang w:val="es-ES"/>
        </w:rPr>
      </w:pPr>
      <w:r w:rsidRPr="002D741C">
        <w:rPr>
          <w:color w:val="000000"/>
          <w:szCs w:val="22"/>
          <w:lang w:val="es-ES"/>
        </w:rPr>
        <w:t>Los pacientes con enfermedad cardiaca, factores de riesgo para insuficiencia cardiaca o antecedentes de insuficiencia renal deben ser controlados cuidadosamente y cualquier paciente con signos y síntomas consistentes con insuficiencia cardiaca o renal deberá ser evaluado y tratado.</w:t>
      </w:r>
    </w:p>
    <w:p w14:paraId="5301CD51" w14:textId="77777777" w:rsidR="00C45062" w:rsidRPr="002D741C" w:rsidRDefault="00C45062" w:rsidP="00C45062">
      <w:pPr>
        <w:pStyle w:val="EndnoteText"/>
        <w:widowControl w:val="0"/>
        <w:tabs>
          <w:tab w:val="clear" w:pos="567"/>
        </w:tabs>
        <w:rPr>
          <w:color w:val="000000"/>
          <w:szCs w:val="22"/>
          <w:lang w:val="es-ES"/>
        </w:rPr>
      </w:pPr>
    </w:p>
    <w:p w14:paraId="072E8C86" w14:textId="77777777" w:rsidR="00C45062" w:rsidRPr="002D741C" w:rsidRDefault="00C45062" w:rsidP="00C45062">
      <w:pPr>
        <w:pStyle w:val="EndnoteText"/>
        <w:widowControl w:val="0"/>
        <w:tabs>
          <w:tab w:val="clear" w:pos="567"/>
        </w:tabs>
        <w:rPr>
          <w:color w:val="000000"/>
          <w:szCs w:val="22"/>
          <w:lang w:val="es-ES"/>
        </w:rPr>
      </w:pPr>
      <w:r w:rsidRPr="002D741C">
        <w:rPr>
          <w:color w:val="000000"/>
          <w:szCs w:val="22"/>
          <w:lang w:val="es-ES"/>
        </w:rPr>
        <w:t>En pacientes con síndrome hipereosinofílico (HES) con infiltración oculta de células HES dentro del miocardio, se han asociado casos aislados de shock cardiogénico /disfunción ventricular izquierda con degranulación de las células HES tras el inicio del tratamiento con imatinib. Se notificó que la situación era reversible tras la administración de corticosteroides sistémicos, medidas de soporte circulatorio y la retirada temporal de imatinib. Puesto que se han notificado reacciones adversas cardiacas de forma poco frecuente con imatinib, se deberá evaluar cuidadosamente la relación beneficio/riesgo del tratamiento con imatinib en los pacientes con SHE/LEC antes de iniciar el tratamiento.</w:t>
      </w:r>
    </w:p>
    <w:p w14:paraId="1FD199F8" w14:textId="77777777" w:rsidR="00C45062" w:rsidRPr="002D741C" w:rsidRDefault="00C45062" w:rsidP="00C45062">
      <w:pPr>
        <w:pStyle w:val="EndnoteText"/>
        <w:widowControl w:val="0"/>
        <w:tabs>
          <w:tab w:val="clear" w:pos="567"/>
        </w:tabs>
        <w:rPr>
          <w:color w:val="000000"/>
          <w:szCs w:val="22"/>
          <w:lang w:val="es-ES"/>
        </w:rPr>
      </w:pPr>
    </w:p>
    <w:p w14:paraId="470C75CB" w14:textId="77777777" w:rsidR="00C45062" w:rsidRPr="002D741C" w:rsidRDefault="00C45062" w:rsidP="00C45062">
      <w:pPr>
        <w:pStyle w:val="EndnoteText"/>
        <w:widowControl w:val="0"/>
        <w:tabs>
          <w:tab w:val="clear" w:pos="567"/>
        </w:tabs>
        <w:rPr>
          <w:color w:val="000000"/>
          <w:szCs w:val="22"/>
          <w:lang w:val="es-ES"/>
        </w:rPr>
      </w:pPr>
      <w:r w:rsidRPr="002D741C">
        <w:rPr>
          <w:color w:val="000000"/>
          <w:szCs w:val="22"/>
          <w:lang w:val="es-ES"/>
        </w:rPr>
        <w:t>Los síndromes mielodisplásicos/mieloproliferativos con reordenamiento del gen PDG</w:t>
      </w:r>
      <w:smartTag w:uri="urn:schemas-microsoft-com:office:smarttags" w:element="PersonName">
        <w:r w:rsidRPr="002D741C">
          <w:rPr>
            <w:color w:val="000000"/>
            <w:szCs w:val="22"/>
            <w:lang w:val="es-ES"/>
          </w:rPr>
          <w:t>FR</w:t>
        </w:r>
      </w:smartTag>
      <w:r w:rsidRPr="002D741C">
        <w:rPr>
          <w:color w:val="000000"/>
          <w:szCs w:val="22"/>
          <w:lang w:val="es-ES"/>
        </w:rPr>
        <w:t xml:space="preserve"> podrían estar asociados con eosinofilia. Se deberá considerar por lo tanto, la evaluación por parte de un cardiólogo, la realización de un ecocardiograma y la determinación de troponina sérica en pacientes con SHE/LEC, y en pacientes con </w:t>
      </w:r>
      <w:smartTag w:uri="urn:schemas-microsoft-com:office:smarttags" w:element="stockticker">
        <w:r w:rsidRPr="002D741C">
          <w:rPr>
            <w:color w:val="000000"/>
            <w:szCs w:val="22"/>
            <w:lang w:val="es-ES"/>
          </w:rPr>
          <w:t>SMD</w:t>
        </w:r>
      </w:smartTag>
      <w:r w:rsidRPr="002D741C">
        <w:rPr>
          <w:color w:val="000000"/>
          <w:szCs w:val="22"/>
          <w:lang w:val="es-ES"/>
        </w:rPr>
        <w:t>/</w:t>
      </w:r>
      <w:smartTag w:uri="urn:schemas-microsoft-com:office:smarttags" w:element="stockticker">
        <w:r w:rsidRPr="002D741C">
          <w:rPr>
            <w:color w:val="000000"/>
            <w:szCs w:val="22"/>
            <w:lang w:val="es-ES"/>
          </w:rPr>
          <w:t>SMP</w:t>
        </w:r>
      </w:smartTag>
      <w:r w:rsidRPr="002D741C">
        <w:rPr>
          <w:color w:val="000000"/>
          <w:szCs w:val="22"/>
          <w:lang w:val="es-ES"/>
        </w:rPr>
        <w:t xml:space="preserve"> asociados con eosinofilia, antes de administrar imatinib. Si alguno no es normal, al inicio del tratamiento deberá considerarse el seguimiento por parte de un cardiólogo y el uso profiláctico de corticosteroides sistémicos (1</w:t>
      </w:r>
      <w:r w:rsidRPr="002D741C">
        <w:rPr>
          <w:color w:val="000000"/>
          <w:szCs w:val="22"/>
          <w:lang w:val="es-ES"/>
        </w:rPr>
        <w:noBreakHyphen/>
        <w:t>2 mg/kg) durante una a dos semanas de forma concomitante con imatinib.</w:t>
      </w:r>
    </w:p>
    <w:p w14:paraId="440FB726" w14:textId="77777777" w:rsidR="00C45062" w:rsidRPr="002D741C" w:rsidRDefault="00C45062" w:rsidP="00C45062">
      <w:pPr>
        <w:pStyle w:val="EndnoteText"/>
        <w:widowControl w:val="0"/>
        <w:tabs>
          <w:tab w:val="clear" w:pos="567"/>
        </w:tabs>
        <w:rPr>
          <w:color w:val="000000"/>
          <w:szCs w:val="22"/>
          <w:lang w:val="es-ES"/>
        </w:rPr>
      </w:pPr>
    </w:p>
    <w:p w14:paraId="29F214CF" w14:textId="77777777" w:rsidR="00C45062" w:rsidRPr="002D741C" w:rsidRDefault="00C45062" w:rsidP="00AD13BE">
      <w:pPr>
        <w:pStyle w:val="EndnoteText"/>
        <w:keepNext/>
        <w:widowControl w:val="0"/>
        <w:tabs>
          <w:tab w:val="clear" w:pos="567"/>
        </w:tabs>
        <w:rPr>
          <w:color w:val="000000"/>
          <w:szCs w:val="22"/>
          <w:u w:val="single"/>
          <w:lang w:val="es-ES"/>
        </w:rPr>
      </w:pPr>
      <w:r w:rsidRPr="002D741C">
        <w:rPr>
          <w:color w:val="000000"/>
          <w:szCs w:val="22"/>
          <w:u w:val="single"/>
          <w:lang w:val="es-ES"/>
        </w:rPr>
        <w:t>Hemorragia gastrointestinal</w:t>
      </w:r>
    </w:p>
    <w:p w14:paraId="4715012C" w14:textId="77777777" w:rsidR="00C45062" w:rsidRPr="002D741C" w:rsidRDefault="00C45062" w:rsidP="00C45062">
      <w:pPr>
        <w:pStyle w:val="EndnoteText"/>
        <w:widowControl w:val="0"/>
        <w:tabs>
          <w:tab w:val="clear" w:pos="567"/>
        </w:tabs>
        <w:rPr>
          <w:color w:val="000000"/>
          <w:szCs w:val="22"/>
          <w:lang w:val="es-ES"/>
        </w:rPr>
      </w:pPr>
      <w:r w:rsidRPr="002D741C">
        <w:rPr>
          <w:color w:val="000000"/>
          <w:szCs w:val="22"/>
          <w:lang w:val="es-ES"/>
        </w:rPr>
        <w:t>En el estudio en pacientes con G</w:t>
      </w:r>
      <w:smartTag w:uri="urn:schemas-microsoft-com:office:smarttags" w:element="PersonName">
        <w:r w:rsidRPr="002D741C">
          <w:rPr>
            <w:color w:val="000000"/>
            <w:szCs w:val="22"/>
            <w:lang w:val="es-ES"/>
          </w:rPr>
          <w:t>IS</w:t>
        </w:r>
      </w:smartTag>
      <w:r w:rsidRPr="002D741C">
        <w:rPr>
          <w:color w:val="000000"/>
          <w:szCs w:val="22"/>
          <w:lang w:val="es-ES"/>
        </w:rPr>
        <w:t>T no resecable y/o metastásico, se notificaron tanto hemorragias gastrointestinales como intra-tumorales (ver sección 4.8). En base a los datos disponibles, no se han identificado factores de predisposición (por ejemplo: tamaño del tumor, localización del tumor, trastornos de la coagulación) que supongan a los pacientes con G</w:t>
      </w:r>
      <w:smartTag w:uri="urn:schemas-microsoft-com:office:smarttags" w:element="PersonName">
        <w:r w:rsidRPr="002D741C">
          <w:rPr>
            <w:color w:val="000000"/>
            <w:szCs w:val="22"/>
            <w:lang w:val="es-ES"/>
          </w:rPr>
          <w:t>IS</w:t>
        </w:r>
      </w:smartTag>
      <w:r w:rsidRPr="002D741C">
        <w:rPr>
          <w:color w:val="000000"/>
          <w:szCs w:val="22"/>
          <w:lang w:val="es-ES"/>
        </w:rPr>
        <w:t xml:space="preserve">T un mayor riesgo para cualquier tipo de hemorragia. Dado que la vascularidad aumentada y la propensión a hemorragias es parte de la </w:t>
      </w:r>
      <w:r w:rsidRPr="002D741C">
        <w:rPr>
          <w:color w:val="000000"/>
          <w:szCs w:val="22"/>
          <w:lang w:val="es-ES"/>
        </w:rPr>
        <w:lastRenderedPageBreak/>
        <w:t>naturaleza y el curso clínico de G</w:t>
      </w:r>
      <w:smartTag w:uri="urn:schemas-microsoft-com:office:smarttags" w:element="PersonName">
        <w:r w:rsidRPr="002D741C">
          <w:rPr>
            <w:color w:val="000000"/>
            <w:szCs w:val="22"/>
            <w:lang w:val="es-ES"/>
          </w:rPr>
          <w:t>IS</w:t>
        </w:r>
      </w:smartTag>
      <w:r w:rsidRPr="002D741C">
        <w:rPr>
          <w:color w:val="000000"/>
          <w:szCs w:val="22"/>
          <w:lang w:val="es-ES"/>
        </w:rPr>
        <w:t>T, deberán aplicarse prácticas y procedimientos estandarizados para el control y el manejo de las hemorragias en todos los pacientes.</w:t>
      </w:r>
    </w:p>
    <w:p w14:paraId="0BDAC2C3" w14:textId="77777777" w:rsidR="00536276" w:rsidRPr="002D741C" w:rsidRDefault="00536276" w:rsidP="00536276">
      <w:pPr>
        <w:pStyle w:val="EndnoteText"/>
        <w:widowControl w:val="0"/>
        <w:tabs>
          <w:tab w:val="clear" w:pos="567"/>
        </w:tabs>
        <w:rPr>
          <w:color w:val="000000"/>
          <w:szCs w:val="22"/>
          <w:lang w:val="es-ES"/>
        </w:rPr>
      </w:pPr>
    </w:p>
    <w:p w14:paraId="626E7B25" w14:textId="77777777" w:rsidR="00536276" w:rsidRPr="002D741C" w:rsidRDefault="00536276" w:rsidP="00536276">
      <w:pPr>
        <w:widowControl w:val="0"/>
        <w:rPr>
          <w:snapToGrid w:val="0"/>
          <w:color w:val="000000"/>
          <w:sz w:val="22"/>
          <w:szCs w:val="22"/>
          <w:lang w:val="es-ES"/>
        </w:rPr>
      </w:pPr>
      <w:r w:rsidRPr="002D741C">
        <w:rPr>
          <w:snapToGrid w:val="0"/>
          <w:color w:val="000000"/>
          <w:sz w:val="22"/>
          <w:szCs w:val="22"/>
          <w:lang w:val="es-ES"/>
        </w:rPr>
        <w:t>Además, se han notificado casos de ectasia vascular antral gástrica (EVAG), una causa rara de hemorragia gastrointestinal, en la experiencia postcomercialización en pacientes con LMC, LLA y otras enfermedades (ver sección 4.8). En caso necesario, se puede considerar la interrupción del tratamiento con Glivec.</w:t>
      </w:r>
    </w:p>
    <w:p w14:paraId="43771F25" w14:textId="77777777" w:rsidR="00C45062" w:rsidRPr="002D741C" w:rsidRDefault="00C45062" w:rsidP="00C45062">
      <w:pPr>
        <w:pStyle w:val="EndnoteText"/>
        <w:widowControl w:val="0"/>
        <w:tabs>
          <w:tab w:val="clear" w:pos="567"/>
        </w:tabs>
        <w:rPr>
          <w:color w:val="000000"/>
          <w:szCs w:val="22"/>
          <w:lang w:val="es-ES"/>
        </w:rPr>
      </w:pPr>
    </w:p>
    <w:p w14:paraId="4BF2AD13" w14:textId="77777777" w:rsidR="00C45062" w:rsidRPr="002D741C" w:rsidRDefault="00C45062" w:rsidP="00AD13BE">
      <w:pPr>
        <w:pStyle w:val="EndnoteText"/>
        <w:keepNext/>
        <w:widowControl w:val="0"/>
        <w:tabs>
          <w:tab w:val="clear" w:pos="567"/>
        </w:tabs>
        <w:rPr>
          <w:color w:val="000000"/>
          <w:szCs w:val="22"/>
          <w:u w:val="single"/>
          <w:lang w:val="es-ES"/>
        </w:rPr>
      </w:pPr>
      <w:r w:rsidRPr="002D741C">
        <w:rPr>
          <w:color w:val="000000"/>
          <w:szCs w:val="22"/>
          <w:u w:val="single"/>
          <w:lang w:val="es-ES"/>
        </w:rPr>
        <w:t>Síndrome de lisis tumoral</w:t>
      </w:r>
    </w:p>
    <w:p w14:paraId="37E69B8D" w14:textId="77777777" w:rsidR="00C45062" w:rsidRPr="002D741C" w:rsidRDefault="00C45062" w:rsidP="00C45062">
      <w:pPr>
        <w:pStyle w:val="EndnoteText"/>
        <w:widowControl w:val="0"/>
        <w:tabs>
          <w:tab w:val="clear" w:pos="567"/>
        </w:tabs>
        <w:rPr>
          <w:color w:val="000000"/>
          <w:szCs w:val="22"/>
          <w:lang w:val="es-ES"/>
        </w:rPr>
      </w:pPr>
      <w:r w:rsidRPr="002D741C">
        <w:rPr>
          <w:color w:val="000000"/>
          <w:szCs w:val="22"/>
          <w:lang w:val="es-ES"/>
        </w:rPr>
        <w:t>Antes de iniciar el tratamiento con Glivec, se recomienda la corrección de la deshidratación clínicamente signficativa y el tratamiento de los niveles altos de ácido úrico, debido a la posible aparición del síndrome de lisis tumoral (S</w:t>
      </w:r>
      <w:smartTag w:uri="urn:schemas-microsoft-com:office:smarttags" w:element="PersonName">
        <w:r w:rsidRPr="002D741C">
          <w:rPr>
            <w:color w:val="000000"/>
            <w:szCs w:val="22"/>
            <w:lang w:val="es-ES"/>
          </w:rPr>
          <w:t>LT</w:t>
        </w:r>
      </w:smartTag>
      <w:r w:rsidRPr="002D741C">
        <w:rPr>
          <w:color w:val="000000"/>
          <w:szCs w:val="22"/>
          <w:lang w:val="es-ES"/>
        </w:rPr>
        <w:t>) (ver sección 4.8).</w:t>
      </w:r>
    </w:p>
    <w:p w14:paraId="24EA4E69" w14:textId="77777777" w:rsidR="0057412D" w:rsidRPr="002D741C" w:rsidRDefault="0057412D" w:rsidP="0057412D">
      <w:pPr>
        <w:pStyle w:val="EndnoteText"/>
        <w:widowControl w:val="0"/>
        <w:rPr>
          <w:color w:val="000000"/>
          <w:szCs w:val="22"/>
          <w:u w:val="single"/>
          <w:lang w:val="es-ES"/>
        </w:rPr>
      </w:pPr>
    </w:p>
    <w:p w14:paraId="4BCED1FC" w14:textId="77777777" w:rsidR="0057412D" w:rsidRPr="002D741C" w:rsidRDefault="0057412D" w:rsidP="00FA7D21">
      <w:pPr>
        <w:pStyle w:val="EndnoteText"/>
        <w:keepNext/>
        <w:widowControl w:val="0"/>
        <w:rPr>
          <w:color w:val="000000"/>
          <w:szCs w:val="22"/>
          <w:u w:val="single"/>
          <w:lang w:val="es-ES"/>
        </w:rPr>
      </w:pPr>
      <w:r w:rsidRPr="002D741C">
        <w:rPr>
          <w:color w:val="000000"/>
          <w:szCs w:val="22"/>
          <w:u w:val="single"/>
          <w:lang w:val="es-ES"/>
        </w:rPr>
        <w:t>Reactivación del virus de la hepatitis B</w:t>
      </w:r>
    </w:p>
    <w:p w14:paraId="585A8118" w14:textId="77777777" w:rsidR="0057412D" w:rsidRPr="002D741C" w:rsidRDefault="0057412D" w:rsidP="0057412D">
      <w:pPr>
        <w:pStyle w:val="EndnoteText"/>
        <w:widowControl w:val="0"/>
        <w:rPr>
          <w:color w:val="000000"/>
          <w:szCs w:val="22"/>
          <w:lang w:val="es-ES"/>
        </w:rPr>
      </w:pPr>
      <w:r w:rsidRPr="002D741C">
        <w:rPr>
          <w:color w:val="000000"/>
          <w:szCs w:val="22"/>
          <w:lang w:val="es-ES"/>
        </w:rPr>
        <w:t>Se han producido reactivaciones de la hepatitis B en pacientes que son portadores crónicos de este virus después de que los pacientes hayan recibido inhibidores de la tirosina quinasa BCR-ABL. En algunos casos se produjo insuficiencia hepática aguda o hepatitis fulminante que dio lugar a un trasplante de hígado o a un desenlace mortal.</w:t>
      </w:r>
    </w:p>
    <w:p w14:paraId="231759AD" w14:textId="77777777" w:rsidR="001D5D1B" w:rsidRPr="002D741C" w:rsidRDefault="001D5D1B" w:rsidP="0057412D">
      <w:pPr>
        <w:pStyle w:val="EndnoteText"/>
        <w:widowControl w:val="0"/>
        <w:rPr>
          <w:color w:val="000000"/>
          <w:szCs w:val="22"/>
          <w:lang w:val="es-ES"/>
        </w:rPr>
      </w:pPr>
    </w:p>
    <w:p w14:paraId="51D80129" w14:textId="77777777" w:rsidR="0057412D" w:rsidRPr="002D741C" w:rsidRDefault="0057412D" w:rsidP="0057412D">
      <w:pPr>
        <w:pStyle w:val="EndnoteText"/>
        <w:widowControl w:val="0"/>
        <w:rPr>
          <w:color w:val="000000"/>
          <w:szCs w:val="22"/>
          <w:lang w:val="es-ES"/>
        </w:rPr>
      </w:pPr>
      <w:r w:rsidRPr="002D741C">
        <w:rPr>
          <w:color w:val="000000"/>
          <w:szCs w:val="22"/>
          <w:lang w:val="es-ES"/>
        </w:rPr>
        <w:t>Los pacientes se deben someter a pruebas para detectar la infección por VHB antes de comenzar el tratamiento con Glivec. Se debe consultar a expertos en enfermedades hepáticas y en el tratamiento de la hepatitis B antes de comenzar el tratamiento en pacientes con una serología positiva para hepatitis B (incluyendo a los pacientes con enfermedad activa) y pacientes que den un resultado positivo en una prueba de infección por VHB durante el tratamiento. Los portadores del VHB que necesiten tratamiento con Glivec se deben someter a una estrecha monitorización para detectar signos y síntomas de infección activa por VHB a lo largo de todo el tratamiento y durante varios meses después de finalizar el tratamiento (ver sección</w:t>
      </w:r>
      <w:r w:rsidR="00FA7D21" w:rsidRPr="002D741C">
        <w:rPr>
          <w:color w:val="000000"/>
          <w:szCs w:val="22"/>
          <w:lang w:val="es-ES"/>
        </w:rPr>
        <w:t> </w:t>
      </w:r>
      <w:r w:rsidRPr="002D741C">
        <w:rPr>
          <w:color w:val="000000"/>
          <w:szCs w:val="22"/>
          <w:lang w:val="es-ES"/>
        </w:rPr>
        <w:t>4.8).</w:t>
      </w:r>
    </w:p>
    <w:p w14:paraId="66B16E63" w14:textId="77777777" w:rsidR="00000067" w:rsidRPr="002D741C" w:rsidRDefault="00000067" w:rsidP="0057412D">
      <w:pPr>
        <w:pStyle w:val="EndnoteText"/>
        <w:widowControl w:val="0"/>
        <w:rPr>
          <w:color w:val="000000"/>
          <w:szCs w:val="22"/>
          <w:lang w:val="es-ES_tradnl"/>
        </w:rPr>
      </w:pPr>
    </w:p>
    <w:p w14:paraId="3FE4CCC4" w14:textId="77777777" w:rsidR="00000067" w:rsidRPr="002D741C" w:rsidRDefault="00000067" w:rsidP="004A36AB">
      <w:pPr>
        <w:pStyle w:val="EndnoteText"/>
        <w:keepNext/>
        <w:widowControl w:val="0"/>
        <w:tabs>
          <w:tab w:val="clear" w:pos="567"/>
        </w:tabs>
        <w:rPr>
          <w:color w:val="000000"/>
          <w:szCs w:val="22"/>
          <w:lang w:val="es-ES"/>
        </w:rPr>
      </w:pPr>
      <w:r w:rsidRPr="002D741C">
        <w:rPr>
          <w:color w:val="000000"/>
          <w:szCs w:val="22"/>
          <w:u w:val="single"/>
          <w:lang w:val="es-ES"/>
        </w:rPr>
        <w:t>Fototoxicidad</w:t>
      </w:r>
    </w:p>
    <w:p w14:paraId="47905E42" w14:textId="77777777" w:rsidR="00000067" w:rsidRPr="002D741C" w:rsidRDefault="00000067" w:rsidP="00000067">
      <w:pPr>
        <w:pStyle w:val="EndnoteText"/>
        <w:widowControl w:val="0"/>
        <w:rPr>
          <w:color w:val="000000"/>
          <w:szCs w:val="22"/>
          <w:lang w:val="es-ES_tradnl"/>
        </w:rPr>
      </w:pPr>
      <w:r w:rsidRPr="002D741C">
        <w:rPr>
          <w:color w:val="000000"/>
          <w:szCs w:val="22"/>
          <w:lang w:val="es-ES"/>
        </w:rPr>
        <w:t>Se debe evitar o minimizar la exposición directa al sol debido al riesgo de fototoxicidad asociada al tratamiento con imatinib. Se debe in</w:t>
      </w:r>
      <w:r w:rsidR="00CA0833" w:rsidRPr="002D741C">
        <w:rPr>
          <w:color w:val="000000"/>
          <w:szCs w:val="22"/>
          <w:lang w:val="es-ES"/>
        </w:rPr>
        <w:t>dicar</w:t>
      </w:r>
      <w:r w:rsidRPr="002D741C">
        <w:rPr>
          <w:color w:val="000000"/>
          <w:szCs w:val="22"/>
          <w:lang w:val="es-ES"/>
        </w:rPr>
        <w:t xml:space="preserve"> a los pacientes </w:t>
      </w:r>
      <w:r w:rsidR="00CA0833" w:rsidRPr="002D741C">
        <w:rPr>
          <w:color w:val="000000"/>
          <w:szCs w:val="22"/>
          <w:lang w:val="es-ES"/>
        </w:rPr>
        <w:t xml:space="preserve">que tomen medidas tales como </w:t>
      </w:r>
      <w:r w:rsidR="00A833C7" w:rsidRPr="002D741C">
        <w:rPr>
          <w:color w:val="000000"/>
          <w:szCs w:val="22"/>
          <w:lang w:val="es-ES"/>
        </w:rPr>
        <w:t xml:space="preserve">ropa protectora </w:t>
      </w:r>
      <w:r w:rsidRPr="002D741C">
        <w:rPr>
          <w:color w:val="000000"/>
          <w:szCs w:val="22"/>
          <w:lang w:val="es-ES"/>
        </w:rPr>
        <w:t xml:space="preserve">y </w:t>
      </w:r>
      <w:r w:rsidR="00CA0833" w:rsidRPr="002D741C">
        <w:rPr>
          <w:color w:val="000000"/>
          <w:szCs w:val="22"/>
          <w:lang w:val="es-ES"/>
        </w:rPr>
        <w:t xml:space="preserve">protector </w:t>
      </w:r>
      <w:r w:rsidRPr="002D741C">
        <w:rPr>
          <w:color w:val="000000"/>
          <w:szCs w:val="22"/>
          <w:lang w:val="es-ES"/>
        </w:rPr>
        <w:t>solar con factor de protección alto</w:t>
      </w:r>
      <w:r w:rsidR="00947BDB" w:rsidRPr="002D741C">
        <w:rPr>
          <w:color w:val="000000"/>
          <w:szCs w:val="22"/>
          <w:lang w:val="es-ES"/>
        </w:rPr>
        <w:t xml:space="preserve"> (SPF, por sus siglas en inglés)</w:t>
      </w:r>
      <w:r w:rsidRPr="002D741C">
        <w:rPr>
          <w:color w:val="000000"/>
          <w:szCs w:val="22"/>
          <w:lang w:val="es-ES"/>
        </w:rPr>
        <w:t>.</w:t>
      </w:r>
    </w:p>
    <w:p w14:paraId="087CE8C4" w14:textId="77777777" w:rsidR="003844CB" w:rsidRPr="002D741C" w:rsidRDefault="003844CB" w:rsidP="003844CB">
      <w:pPr>
        <w:pStyle w:val="EndnoteText"/>
        <w:widowControl w:val="0"/>
        <w:tabs>
          <w:tab w:val="clear" w:pos="567"/>
        </w:tabs>
        <w:rPr>
          <w:color w:val="000000"/>
          <w:szCs w:val="22"/>
          <w:lang w:val="es-ES_tradnl"/>
        </w:rPr>
      </w:pPr>
    </w:p>
    <w:p w14:paraId="3AFA5210" w14:textId="77777777" w:rsidR="002418A0" w:rsidRPr="00E93116" w:rsidRDefault="002418A0" w:rsidP="002418A0">
      <w:pPr>
        <w:pStyle w:val="EndnoteText"/>
        <w:keepNext/>
        <w:widowControl w:val="0"/>
        <w:tabs>
          <w:tab w:val="clear" w:pos="567"/>
        </w:tabs>
        <w:rPr>
          <w:color w:val="000000"/>
          <w:szCs w:val="22"/>
          <w:u w:val="single"/>
          <w:lang w:val="es-ES"/>
        </w:rPr>
      </w:pPr>
      <w:r w:rsidRPr="00E93116">
        <w:rPr>
          <w:color w:val="000000"/>
          <w:szCs w:val="22"/>
          <w:u w:val="single"/>
          <w:lang w:val="es-ES"/>
        </w:rPr>
        <w:t>Microangiopatía trombótica</w:t>
      </w:r>
    </w:p>
    <w:p w14:paraId="302B05C2" w14:textId="77777777" w:rsidR="002418A0" w:rsidRPr="002D741C" w:rsidRDefault="002418A0" w:rsidP="002418A0">
      <w:pPr>
        <w:pStyle w:val="EndnoteText"/>
        <w:widowControl w:val="0"/>
        <w:tabs>
          <w:tab w:val="clear" w:pos="567"/>
        </w:tabs>
        <w:rPr>
          <w:color w:val="000000"/>
          <w:szCs w:val="22"/>
          <w:lang w:val="es-ES"/>
        </w:rPr>
      </w:pPr>
      <w:r w:rsidRPr="002D741C">
        <w:rPr>
          <w:color w:val="000000"/>
          <w:szCs w:val="22"/>
          <w:lang w:val="es-ES"/>
        </w:rPr>
        <w:t>Los inhibidores de la tirosina quinasa BCR-ABL se asocian a microangiopatía trombótica (MAT), incluyendo los informes de casos individuales de Glivec (ver sección 4.8). Si en un paciente en tratamiento con Glivec aparecen hallazgos clínicos o de laboratorio asociados a MAT, se debe interrumpir el tratamiento y hacer una evaluación exhaustiva de MAT, incluyendo la actividad ADAMTS13 y la determinación de anticuerpos anti- ADAMTS13. Si los anticuerpos anti-ADAMTS13 se elevan cuando hay una baja actividad ADAMTS13, no debe reanudarse el tratamiento con Glivec.</w:t>
      </w:r>
    </w:p>
    <w:p w14:paraId="7D88A410" w14:textId="77777777" w:rsidR="00C45062" w:rsidRPr="002D741C" w:rsidRDefault="00C45062" w:rsidP="00C45062">
      <w:pPr>
        <w:pStyle w:val="EndnoteText"/>
        <w:widowControl w:val="0"/>
        <w:tabs>
          <w:tab w:val="clear" w:pos="567"/>
        </w:tabs>
        <w:rPr>
          <w:color w:val="000000"/>
          <w:szCs w:val="22"/>
          <w:lang w:val="es-ES"/>
        </w:rPr>
      </w:pPr>
    </w:p>
    <w:p w14:paraId="7E0AE9AD" w14:textId="77777777" w:rsidR="00C45062" w:rsidRPr="002D741C" w:rsidRDefault="00C45062" w:rsidP="00AD13BE">
      <w:pPr>
        <w:pStyle w:val="EndnoteText"/>
        <w:keepNext/>
        <w:widowControl w:val="0"/>
        <w:tabs>
          <w:tab w:val="clear" w:pos="567"/>
        </w:tabs>
        <w:rPr>
          <w:color w:val="000000"/>
          <w:szCs w:val="22"/>
          <w:lang w:val="es-ES"/>
        </w:rPr>
      </w:pPr>
      <w:r w:rsidRPr="002D741C">
        <w:rPr>
          <w:color w:val="000000"/>
          <w:szCs w:val="22"/>
          <w:u w:val="single"/>
          <w:lang w:val="es-ES"/>
        </w:rPr>
        <w:t>Pruebas de laboratorio</w:t>
      </w:r>
    </w:p>
    <w:p w14:paraId="03B39966" w14:textId="77777777" w:rsidR="00C45062" w:rsidRPr="002D741C" w:rsidRDefault="00C45062" w:rsidP="00C45062">
      <w:pPr>
        <w:pStyle w:val="EndnoteText"/>
        <w:widowControl w:val="0"/>
        <w:tabs>
          <w:tab w:val="clear" w:pos="567"/>
        </w:tabs>
        <w:rPr>
          <w:color w:val="000000"/>
          <w:szCs w:val="22"/>
          <w:lang w:val="es-ES"/>
        </w:rPr>
      </w:pPr>
      <w:r w:rsidRPr="002D741C">
        <w:rPr>
          <w:color w:val="000000"/>
          <w:szCs w:val="22"/>
          <w:lang w:val="es-ES"/>
        </w:rPr>
        <w:t>Durante el tratamiento con Glivec deben realizarse regularmente recuentos sanguíneos completos. El tratamiento con Glivec de pacientes con LMC se ha asociado con neutropenia o trombocitopenia. Sin embargo, la presencia de estas citopenias está probablemente relacionada con la fase de la enfermedad que se esté tratando, siendo más frecuentes en pacientes en fase acelerada de LMC o crisis blástica, en comparación con pacientes en fase crónica de LMC. El tratamiento con Glivec puede ser interrumpido o la dosis reducida, tal como se recomienda en la sección 4.2.</w:t>
      </w:r>
    </w:p>
    <w:p w14:paraId="1C1081CC" w14:textId="77777777" w:rsidR="00C45062" w:rsidRPr="002D741C" w:rsidRDefault="00C45062" w:rsidP="00C45062">
      <w:pPr>
        <w:pStyle w:val="EndnoteText"/>
        <w:widowControl w:val="0"/>
        <w:tabs>
          <w:tab w:val="clear" w:pos="567"/>
        </w:tabs>
        <w:rPr>
          <w:color w:val="000000"/>
          <w:szCs w:val="22"/>
          <w:lang w:val="es-ES"/>
        </w:rPr>
      </w:pPr>
    </w:p>
    <w:p w14:paraId="40503B3D" w14:textId="77777777" w:rsidR="00C45062" w:rsidRPr="002D741C" w:rsidRDefault="00C45062" w:rsidP="00C45062">
      <w:pPr>
        <w:pStyle w:val="EndnoteText"/>
        <w:widowControl w:val="0"/>
        <w:tabs>
          <w:tab w:val="clear" w:pos="567"/>
        </w:tabs>
        <w:rPr>
          <w:color w:val="000000"/>
          <w:szCs w:val="22"/>
          <w:lang w:val="es-ES"/>
        </w:rPr>
      </w:pPr>
      <w:r w:rsidRPr="002D741C">
        <w:rPr>
          <w:color w:val="000000"/>
          <w:szCs w:val="22"/>
          <w:lang w:val="es-ES"/>
        </w:rPr>
        <w:t>La función hepática (transaminasas, bilirrubina, fosfatasa alcalina) debe ser controlada regularmente en pacientes que estén recibiendo Glivec.</w:t>
      </w:r>
    </w:p>
    <w:p w14:paraId="60FD5B9D" w14:textId="77777777" w:rsidR="00C45062" w:rsidRPr="002D741C" w:rsidRDefault="00C45062" w:rsidP="00C45062">
      <w:pPr>
        <w:pStyle w:val="EndnoteText"/>
        <w:widowControl w:val="0"/>
        <w:tabs>
          <w:tab w:val="clear" w:pos="567"/>
        </w:tabs>
        <w:rPr>
          <w:color w:val="000000"/>
          <w:szCs w:val="22"/>
          <w:lang w:val="es-ES"/>
        </w:rPr>
      </w:pPr>
    </w:p>
    <w:p w14:paraId="72B088AC" w14:textId="77777777" w:rsidR="00C45062" w:rsidRPr="002D741C" w:rsidRDefault="00C45062" w:rsidP="00C45062">
      <w:pPr>
        <w:pStyle w:val="EndnoteText"/>
        <w:widowControl w:val="0"/>
        <w:tabs>
          <w:tab w:val="clear" w:pos="567"/>
        </w:tabs>
        <w:rPr>
          <w:color w:val="000000"/>
          <w:szCs w:val="22"/>
          <w:lang w:val="es-ES_tradnl"/>
        </w:rPr>
      </w:pPr>
      <w:r w:rsidRPr="002D741C">
        <w:rPr>
          <w:color w:val="000000"/>
          <w:szCs w:val="22"/>
          <w:lang w:val="es-ES"/>
        </w:rPr>
        <w:t xml:space="preserve">En pacientes con alteración de la función renal, la exposición plasmática a imatinib parece ser superior que en pacientes con función renal normal, probablemente debido a un elevado nivel plasmático de glicoproteina alfa-ácida (GAA), una proteina de unión a imatinib, en estos pacientes. Los pacientes con alteración renal deberán recibir la dosis inicial mínima. Los pacientes con alteración renal grave </w:t>
      </w:r>
      <w:r w:rsidRPr="002D741C">
        <w:rPr>
          <w:color w:val="000000"/>
          <w:szCs w:val="22"/>
          <w:lang w:val="es-ES"/>
        </w:rPr>
        <w:lastRenderedPageBreak/>
        <w:t>deberán tratarse con precaución. La dosis puede reducirse si no es bien tolerada (ver secciones 4.2 y 5.2).</w:t>
      </w:r>
    </w:p>
    <w:p w14:paraId="79782B3D" w14:textId="77777777" w:rsidR="00C45062" w:rsidRPr="002D741C" w:rsidRDefault="00C45062" w:rsidP="00C45062">
      <w:pPr>
        <w:pStyle w:val="EndnoteText"/>
        <w:widowControl w:val="0"/>
        <w:tabs>
          <w:tab w:val="clear" w:pos="567"/>
        </w:tabs>
        <w:rPr>
          <w:color w:val="000000"/>
          <w:szCs w:val="22"/>
          <w:lang w:val="es-ES"/>
        </w:rPr>
      </w:pPr>
    </w:p>
    <w:p w14:paraId="121FADA3" w14:textId="77777777" w:rsidR="00953613" w:rsidRPr="002D741C" w:rsidRDefault="00953613" w:rsidP="00953613">
      <w:pPr>
        <w:pStyle w:val="EndnoteText"/>
        <w:widowControl w:val="0"/>
        <w:tabs>
          <w:tab w:val="clear" w:pos="567"/>
        </w:tabs>
        <w:rPr>
          <w:color w:val="000000"/>
          <w:szCs w:val="22"/>
          <w:lang w:val="es-ES"/>
        </w:rPr>
      </w:pPr>
      <w:r w:rsidRPr="002D741C">
        <w:rPr>
          <w:color w:val="000000"/>
          <w:szCs w:val="22"/>
          <w:lang w:val="es-ES_tradnl"/>
        </w:rPr>
        <w:t xml:space="preserve">El tratamiento a largo plazo con imatinib puede estar asociado con una </w:t>
      </w:r>
      <w:r w:rsidRPr="002D741C">
        <w:rPr>
          <w:color w:val="000000"/>
          <w:szCs w:val="22"/>
          <w:lang w:val="es-ES"/>
        </w:rPr>
        <w:t>disminución</w:t>
      </w:r>
      <w:r w:rsidRPr="002D741C">
        <w:rPr>
          <w:color w:val="000000"/>
          <w:szCs w:val="22"/>
          <w:lang w:val="es-ES_tradnl"/>
        </w:rPr>
        <w:t xml:space="preserve"> cl</w:t>
      </w:r>
      <w:r w:rsidRPr="002D741C">
        <w:rPr>
          <w:color w:val="000000"/>
          <w:szCs w:val="22"/>
          <w:lang w:val="es-ES"/>
        </w:rPr>
        <w:t xml:space="preserve">ínicamente significativa de la función renal. Por consiguiente, la función renal </w:t>
      </w:r>
      <w:r w:rsidR="00DD7929" w:rsidRPr="002D741C">
        <w:rPr>
          <w:color w:val="000000"/>
          <w:szCs w:val="22"/>
          <w:lang w:val="es-ES"/>
        </w:rPr>
        <w:t xml:space="preserve">se </w:t>
      </w:r>
      <w:r w:rsidRPr="002D741C">
        <w:rPr>
          <w:color w:val="000000"/>
          <w:szCs w:val="22"/>
          <w:lang w:val="es-ES"/>
        </w:rPr>
        <w:t xml:space="preserve">debe evaluar antes del inicio del tratamiento con imatinib y controlarla estrechamente durante el tratamiento, prestando especial atención a los pacientes que presenten factores de riesgo de alteración renal. Si se observa alteración renal, </w:t>
      </w:r>
      <w:r w:rsidR="00DD7929" w:rsidRPr="002D741C">
        <w:rPr>
          <w:color w:val="000000"/>
          <w:szCs w:val="22"/>
          <w:lang w:val="es-ES"/>
        </w:rPr>
        <w:t xml:space="preserve">se </w:t>
      </w:r>
      <w:r w:rsidRPr="002D741C">
        <w:rPr>
          <w:color w:val="000000"/>
          <w:szCs w:val="22"/>
          <w:lang w:val="es-ES"/>
        </w:rPr>
        <w:t>debe instaurar el tratamiento y las medidas oportunas de acuerdo con las guías terapéuticas estándar.</w:t>
      </w:r>
    </w:p>
    <w:p w14:paraId="6454FE09" w14:textId="77777777" w:rsidR="00953613" w:rsidRPr="002D741C" w:rsidRDefault="00953613" w:rsidP="00C45062">
      <w:pPr>
        <w:pStyle w:val="EndnoteText"/>
        <w:widowControl w:val="0"/>
        <w:tabs>
          <w:tab w:val="clear" w:pos="567"/>
        </w:tabs>
        <w:rPr>
          <w:color w:val="000000"/>
          <w:szCs w:val="22"/>
          <w:lang w:val="es-ES"/>
        </w:rPr>
      </w:pPr>
    </w:p>
    <w:p w14:paraId="2BA28579" w14:textId="77777777" w:rsidR="00C45062" w:rsidRPr="002D741C" w:rsidRDefault="00C45062" w:rsidP="00AD13BE">
      <w:pPr>
        <w:pStyle w:val="EndnoteText"/>
        <w:keepNext/>
        <w:widowControl w:val="0"/>
        <w:tabs>
          <w:tab w:val="clear" w:pos="567"/>
        </w:tabs>
        <w:rPr>
          <w:color w:val="000000"/>
          <w:szCs w:val="22"/>
          <w:u w:val="single"/>
          <w:lang w:val="es-ES"/>
        </w:rPr>
      </w:pPr>
      <w:r w:rsidRPr="002D741C">
        <w:rPr>
          <w:color w:val="000000"/>
          <w:szCs w:val="22"/>
          <w:u w:val="single"/>
          <w:lang w:val="es-ES"/>
        </w:rPr>
        <w:t>Población pediátrica</w:t>
      </w:r>
    </w:p>
    <w:p w14:paraId="14E74382" w14:textId="77777777" w:rsidR="00C45062" w:rsidRPr="002D741C" w:rsidRDefault="00C45062" w:rsidP="00C45062">
      <w:pPr>
        <w:pStyle w:val="EndnoteText"/>
        <w:widowControl w:val="0"/>
        <w:tabs>
          <w:tab w:val="clear" w:pos="567"/>
        </w:tabs>
        <w:rPr>
          <w:color w:val="000000"/>
          <w:szCs w:val="22"/>
          <w:lang w:val="es-ES"/>
        </w:rPr>
      </w:pPr>
      <w:r w:rsidRPr="002D741C">
        <w:rPr>
          <w:color w:val="000000"/>
          <w:szCs w:val="22"/>
          <w:lang w:val="es-ES"/>
        </w:rPr>
        <w:t xml:space="preserve">Se han recogido casos de retraso del crecimiento en niños y pre adolescentes tratados con imatinib. </w:t>
      </w:r>
      <w:r w:rsidR="00247C11" w:rsidRPr="002D741C">
        <w:rPr>
          <w:color w:val="000000"/>
          <w:szCs w:val="22"/>
          <w:lang w:val="es-ES"/>
        </w:rPr>
        <w:t xml:space="preserve">En un estudio observacional de LMC en población pediátrica, se notificó una disminución estadísticamente significativa (pero de poca relevancia clínica) en las puntuaciones medias de la desviación estándar de altura después de 12 y 24 meses de tratamiento en dos pequeños subgrupos, independientes del estado de pubertad o del género. </w:t>
      </w:r>
      <w:r w:rsidR="0080666D" w:rsidRPr="002D741C">
        <w:rPr>
          <w:color w:val="000000"/>
          <w:szCs w:val="22"/>
          <w:lang w:val="es-ES"/>
        </w:rPr>
        <w:t>S</w:t>
      </w:r>
      <w:r w:rsidRPr="002D741C">
        <w:rPr>
          <w:color w:val="000000"/>
          <w:szCs w:val="22"/>
          <w:lang w:val="es-ES"/>
        </w:rPr>
        <w:t>e recomienda un control estrecho del crecimiento de los niños que reciben tratamiento con imatinib (ver sección 4.8).</w:t>
      </w:r>
    </w:p>
    <w:p w14:paraId="07158FD2" w14:textId="77777777" w:rsidR="00C45062" w:rsidRPr="002D741C" w:rsidRDefault="00C45062" w:rsidP="00C45062">
      <w:pPr>
        <w:pStyle w:val="EndnoteText"/>
        <w:widowControl w:val="0"/>
        <w:tabs>
          <w:tab w:val="clear" w:pos="567"/>
        </w:tabs>
        <w:rPr>
          <w:color w:val="000000"/>
          <w:szCs w:val="22"/>
          <w:lang w:val="es-ES"/>
        </w:rPr>
      </w:pPr>
    </w:p>
    <w:p w14:paraId="613B2A9A" w14:textId="77777777" w:rsidR="00C45062" w:rsidRPr="002D741C" w:rsidRDefault="00C45062" w:rsidP="00AD13BE">
      <w:pPr>
        <w:keepNext/>
        <w:widowControl w:val="0"/>
        <w:ind w:left="567" w:hanging="567"/>
        <w:rPr>
          <w:color w:val="000000"/>
          <w:sz w:val="22"/>
          <w:szCs w:val="22"/>
        </w:rPr>
      </w:pPr>
      <w:r w:rsidRPr="002D741C">
        <w:rPr>
          <w:b/>
          <w:color w:val="000000"/>
          <w:sz w:val="22"/>
          <w:szCs w:val="22"/>
        </w:rPr>
        <w:t>4.5</w:t>
      </w:r>
      <w:r w:rsidRPr="002D741C">
        <w:rPr>
          <w:b/>
          <w:color w:val="000000"/>
          <w:sz w:val="22"/>
          <w:szCs w:val="22"/>
        </w:rPr>
        <w:tab/>
        <w:t>Interacción con otros medicamentos y otras formas de interacción</w:t>
      </w:r>
    </w:p>
    <w:p w14:paraId="35DE4271" w14:textId="77777777" w:rsidR="00C45062" w:rsidRPr="002D741C" w:rsidRDefault="00C45062" w:rsidP="00AD13BE">
      <w:pPr>
        <w:pStyle w:val="EndnoteText"/>
        <w:keepNext/>
        <w:widowControl w:val="0"/>
        <w:tabs>
          <w:tab w:val="clear" w:pos="567"/>
        </w:tabs>
        <w:rPr>
          <w:color w:val="000000"/>
          <w:szCs w:val="22"/>
          <w:lang w:val="es-ES"/>
        </w:rPr>
      </w:pPr>
    </w:p>
    <w:p w14:paraId="2AA7C37E" w14:textId="77777777" w:rsidR="00C45062" w:rsidRPr="002D741C" w:rsidRDefault="00C45062" w:rsidP="00AD13BE">
      <w:pPr>
        <w:pStyle w:val="EndnoteText"/>
        <w:keepNext/>
        <w:widowControl w:val="0"/>
        <w:tabs>
          <w:tab w:val="clear" w:pos="567"/>
        </w:tabs>
        <w:rPr>
          <w:color w:val="000000"/>
          <w:szCs w:val="22"/>
          <w:u w:val="single"/>
          <w:lang w:val="es-ES"/>
        </w:rPr>
      </w:pPr>
      <w:r w:rsidRPr="002D741C">
        <w:rPr>
          <w:bCs/>
          <w:color w:val="000000"/>
          <w:szCs w:val="22"/>
          <w:u w:val="single"/>
          <w:lang w:val="es-ES"/>
        </w:rPr>
        <w:t>Principios activos</w:t>
      </w:r>
      <w:r w:rsidRPr="002D741C">
        <w:rPr>
          <w:color w:val="000000"/>
          <w:szCs w:val="22"/>
          <w:u w:val="single"/>
          <w:lang w:val="es-ES"/>
        </w:rPr>
        <w:t xml:space="preserve"> que pueden </w:t>
      </w:r>
      <w:r w:rsidRPr="002D741C">
        <w:rPr>
          <w:b/>
          <w:color w:val="000000"/>
          <w:szCs w:val="22"/>
          <w:u w:val="single"/>
          <w:lang w:val="es-ES"/>
        </w:rPr>
        <w:t>aumentar</w:t>
      </w:r>
      <w:r w:rsidRPr="002D741C">
        <w:rPr>
          <w:color w:val="000000"/>
          <w:szCs w:val="22"/>
          <w:u w:val="single"/>
          <w:lang w:val="es-ES"/>
        </w:rPr>
        <w:t xml:space="preserve"> las concentraciones plasmáticas de imatinib:</w:t>
      </w:r>
    </w:p>
    <w:p w14:paraId="01037578" w14:textId="77777777" w:rsidR="00C45062" w:rsidRPr="002D741C" w:rsidRDefault="00C45062" w:rsidP="00C45062">
      <w:pPr>
        <w:pStyle w:val="EndnoteText"/>
        <w:widowControl w:val="0"/>
        <w:tabs>
          <w:tab w:val="clear" w:pos="567"/>
        </w:tabs>
        <w:rPr>
          <w:color w:val="000000"/>
          <w:szCs w:val="22"/>
          <w:lang w:val="es-ES"/>
        </w:rPr>
      </w:pPr>
      <w:r w:rsidRPr="002D741C">
        <w:rPr>
          <w:color w:val="000000"/>
          <w:szCs w:val="22"/>
          <w:lang w:val="es-ES"/>
        </w:rPr>
        <w:t xml:space="preserve">Las sustancias que inhiben la actividad del citocromo P450, isoenzima </w:t>
      </w:r>
      <w:smartTag w:uri="urn:schemas-microsoft-com:office:smarttags" w:element="PersonName">
        <w:r w:rsidRPr="002D741C">
          <w:rPr>
            <w:color w:val="000000"/>
            <w:szCs w:val="22"/>
            <w:lang w:val="es-ES"/>
          </w:rPr>
          <w:t>CY</w:t>
        </w:r>
      </w:smartTag>
      <w:r w:rsidRPr="002D741C">
        <w:rPr>
          <w:color w:val="000000"/>
          <w:szCs w:val="22"/>
          <w:lang w:val="es-ES"/>
        </w:rPr>
        <w:t>P3A4 (p. ej. inhibidores de la proteasa como indinavir, lopinavir/ritonavir, ritonavir, saquinavir, telaprevir, nelfinavir, boceprevir; antifúngicos azólicos incluyendo ketoconazol, itraconazol, posaconazol, voriconazol; algunos macrólidos como eritromicina, claritromicina y telitromicina) podrían reducir el metabolismo y aumentar las concentraciones de imatinib. Hubo un aumento significativo en la exposición a imatinib (</w:t>
      </w:r>
      <w:smartTag w:uri="urn:schemas-microsoft-com:office:smarttags" w:element="PersonName">
        <w:smartTagPr>
          <w:attr w:name="ProductID" w:val="la Cm￡x"/>
        </w:smartTagPr>
        <w:r w:rsidRPr="002D741C">
          <w:rPr>
            <w:color w:val="000000"/>
            <w:szCs w:val="22"/>
            <w:lang w:val="es-ES"/>
          </w:rPr>
          <w:t>la C</w:t>
        </w:r>
        <w:r w:rsidRPr="002D741C">
          <w:rPr>
            <w:color w:val="000000"/>
            <w:szCs w:val="22"/>
            <w:vertAlign w:val="subscript"/>
            <w:lang w:val="es-ES"/>
          </w:rPr>
          <w:t>máx</w:t>
        </w:r>
      </w:smartTag>
      <w:r w:rsidRPr="002D741C">
        <w:rPr>
          <w:color w:val="000000"/>
          <w:szCs w:val="22"/>
          <w:lang w:val="es-ES"/>
        </w:rPr>
        <w:t xml:space="preserve"> y AUC medias de imatinib aumentaron en un 26% y 40%, respectivamente) en sujetos sanos cuando fue administrado conjuntamente con una dosis única de ketoconazol (un inhibidor del </w:t>
      </w:r>
      <w:smartTag w:uri="urn:schemas-microsoft-com:office:smarttags" w:element="PersonName">
        <w:r w:rsidRPr="002D741C">
          <w:rPr>
            <w:color w:val="000000"/>
            <w:szCs w:val="22"/>
            <w:lang w:val="es-ES"/>
          </w:rPr>
          <w:t>CY</w:t>
        </w:r>
      </w:smartTag>
      <w:r w:rsidRPr="002D741C">
        <w:rPr>
          <w:color w:val="000000"/>
          <w:szCs w:val="22"/>
          <w:lang w:val="es-ES"/>
        </w:rPr>
        <w:t xml:space="preserve">P3A4). Deberá tenerse precaución cuando se administre Glivec con inhibidores de la familia del </w:t>
      </w:r>
      <w:smartTag w:uri="urn:schemas-microsoft-com:office:smarttags" w:element="PersonName">
        <w:r w:rsidRPr="002D741C">
          <w:rPr>
            <w:color w:val="000000"/>
            <w:szCs w:val="22"/>
            <w:lang w:val="es-ES"/>
          </w:rPr>
          <w:t>CY</w:t>
        </w:r>
      </w:smartTag>
      <w:r w:rsidRPr="002D741C">
        <w:rPr>
          <w:color w:val="000000"/>
          <w:szCs w:val="22"/>
          <w:lang w:val="es-ES"/>
        </w:rPr>
        <w:t>P3A4.</w:t>
      </w:r>
    </w:p>
    <w:p w14:paraId="7CBE3503" w14:textId="77777777" w:rsidR="00C45062" w:rsidRPr="002D741C" w:rsidRDefault="00C45062" w:rsidP="00C45062">
      <w:pPr>
        <w:pStyle w:val="EndnoteText"/>
        <w:widowControl w:val="0"/>
        <w:tabs>
          <w:tab w:val="clear" w:pos="567"/>
        </w:tabs>
        <w:rPr>
          <w:color w:val="000000"/>
          <w:szCs w:val="22"/>
          <w:lang w:val="es-ES"/>
        </w:rPr>
      </w:pPr>
    </w:p>
    <w:p w14:paraId="2804ABAE" w14:textId="77777777" w:rsidR="00C45062" w:rsidRPr="002D741C" w:rsidRDefault="00C45062" w:rsidP="00AD13BE">
      <w:pPr>
        <w:pStyle w:val="EndnoteText"/>
        <w:keepNext/>
        <w:widowControl w:val="0"/>
        <w:tabs>
          <w:tab w:val="clear" w:pos="567"/>
        </w:tabs>
        <w:rPr>
          <w:color w:val="000000"/>
          <w:szCs w:val="22"/>
          <w:u w:val="single"/>
          <w:lang w:val="es-ES"/>
        </w:rPr>
      </w:pPr>
      <w:r w:rsidRPr="002D741C">
        <w:rPr>
          <w:color w:val="000000"/>
          <w:szCs w:val="22"/>
          <w:u w:val="single"/>
          <w:lang w:val="es-ES"/>
        </w:rPr>
        <w:t xml:space="preserve">Principios activos que pueden </w:t>
      </w:r>
      <w:r w:rsidRPr="002D741C">
        <w:rPr>
          <w:b/>
          <w:color w:val="000000"/>
          <w:szCs w:val="22"/>
          <w:u w:val="single"/>
          <w:lang w:val="es-ES"/>
        </w:rPr>
        <w:t>reducir</w:t>
      </w:r>
      <w:r w:rsidRPr="002D741C">
        <w:rPr>
          <w:color w:val="000000"/>
          <w:szCs w:val="22"/>
          <w:u w:val="single"/>
          <w:lang w:val="es-ES"/>
        </w:rPr>
        <w:t xml:space="preserve"> las concentraciones plasmáticas de imatinib:</w:t>
      </w:r>
    </w:p>
    <w:p w14:paraId="563AED54" w14:textId="77777777" w:rsidR="00C45062" w:rsidRPr="002D741C" w:rsidRDefault="00C45062" w:rsidP="00C45062">
      <w:pPr>
        <w:pStyle w:val="Text"/>
        <w:widowControl w:val="0"/>
        <w:spacing w:before="0"/>
        <w:jc w:val="left"/>
        <w:rPr>
          <w:color w:val="000000"/>
          <w:sz w:val="22"/>
          <w:szCs w:val="22"/>
        </w:rPr>
      </w:pPr>
      <w:r w:rsidRPr="002D741C">
        <w:rPr>
          <w:color w:val="000000"/>
          <w:sz w:val="22"/>
          <w:szCs w:val="22"/>
        </w:rPr>
        <w:t xml:space="preserve">Las sustancias que son inductoras de la actividad del </w:t>
      </w:r>
      <w:smartTag w:uri="urn:schemas-microsoft-com:office:smarttags" w:element="PersonName">
        <w:r w:rsidRPr="002D741C">
          <w:rPr>
            <w:color w:val="000000"/>
            <w:sz w:val="22"/>
            <w:szCs w:val="22"/>
          </w:rPr>
          <w:t>CY</w:t>
        </w:r>
      </w:smartTag>
      <w:r w:rsidRPr="002D741C">
        <w:rPr>
          <w:color w:val="000000"/>
          <w:sz w:val="22"/>
          <w:szCs w:val="22"/>
        </w:rPr>
        <w:t xml:space="preserve">P3A4 (p. ej. dexametasona, fenitoína, carbamazepina, rifampicina, fenobarbital, fosfenitoína, primidona o </w:t>
      </w:r>
      <w:r w:rsidRPr="002D741C">
        <w:rPr>
          <w:i/>
          <w:color w:val="000000"/>
          <w:sz w:val="22"/>
          <w:szCs w:val="22"/>
        </w:rPr>
        <w:t>Hypericum perforatum</w:t>
      </w:r>
      <w:r w:rsidRPr="002D741C">
        <w:rPr>
          <w:color w:val="000000"/>
          <w:sz w:val="22"/>
          <w:szCs w:val="22"/>
        </w:rPr>
        <w:t xml:space="preserve">, también conocido como hierba de San Juan) puede reducir significativamente la exposición a Glivec, aumentando potencialmente el riesgo de fallo terapéutico. El tratamiento previo con dosis múltiples de rifampicina, 600 mg seguidos de una dosis única de 400 mg de Glivec, representa una reducción en </w:t>
      </w:r>
      <w:smartTag w:uri="urn:schemas-microsoft-com:office:smarttags" w:element="PersonName">
        <w:smartTagPr>
          <w:attr w:name="ProductID" w:val="la Cm￡x"/>
        </w:smartTagPr>
        <w:r w:rsidRPr="002D741C">
          <w:rPr>
            <w:color w:val="000000"/>
            <w:sz w:val="22"/>
            <w:szCs w:val="22"/>
          </w:rPr>
          <w:t>la C</w:t>
        </w:r>
        <w:r w:rsidRPr="002D741C">
          <w:rPr>
            <w:color w:val="000000"/>
            <w:sz w:val="22"/>
            <w:szCs w:val="22"/>
            <w:vertAlign w:val="subscript"/>
          </w:rPr>
          <w:t>máx</w:t>
        </w:r>
      </w:smartTag>
      <w:r w:rsidRPr="002D741C">
        <w:rPr>
          <w:color w:val="000000"/>
          <w:sz w:val="22"/>
          <w:szCs w:val="22"/>
        </w:rPr>
        <w:t>, y AUC</w:t>
      </w:r>
      <w:r w:rsidRPr="002D741C">
        <w:rPr>
          <w:color w:val="000000"/>
          <w:sz w:val="22"/>
          <w:szCs w:val="22"/>
          <w:vertAlign w:val="subscript"/>
        </w:rPr>
        <w:t>(0-</w:t>
      </w:r>
      <w:r w:rsidRPr="002D741C">
        <w:rPr>
          <w:color w:val="000000"/>
          <w:sz w:val="22"/>
          <w:szCs w:val="22"/>
          <w:vertAlign w:val="subscript"/>
        </w:rPr>
        <w:sym w:font="Symbol" w:char="F0A5"/>
      </w:r>
      <w:r w:rsidRPr="002D741C">
        <w:rPr>
          <w:color w:val="000000"/>
          <w:sz w:val="22"/>
          <w:szCs w:val="22"/>
          <w:vertAlign w:val="subscript"/>
        </w:rPr>
        <w:t>)</w:t>
      </w:r>
      <w:r w:rsidRPr="002D741C">
        <w:rPr>
          <w:color w:val="000000"/>
          <w:sz w:val="22"/>
          <w:szCs w:val="22"/>
        </w:rPr>
        <w:t xml:space="preserve"> de al menos el 54% y 74% de los valores respectivos sin el tratamiento con rifampicina. Se observaron unos resultados similares en pacientes con gliomas malignos tratados con Glivec mientras tomaban fármacos antiepilépticos inductores enzimáticos como carbamazepina, oxcarbazepina y fenitoína. </w:t>
      </w:r>
      <w:r w:rsidRPr="002D741C">
        <w:rPr>
          <w:color w:val="000000"/>
          <w:sz w:val="22"/>
          <w:szCs w:val="22"/>
          <w:lang w:val="es-ES_tradnl"/>
        </w:rPr>
        <w:t xml:space="preserve">El AUC plasmática de imatinib disminuyó un 73% en comparación con pacientes que no estaban siendo tratados con fármacos antiepilépticos inductores enzimáticos. </w:t>
      </w:r>
      <w:r w:rsidRPr="002D741C">
        <w:rPr>
          <w:color w:val="000000"/>
          <w:sz w:val="22"/>
          <w:szCs w:val="22"/>
        </w:rPr>
        <w:t xml:space="preserve">Deberá evitarse el uso concomitante de rifampicina u otro inductor potente del </w:t>
      </w:r>
      <w:smartTag w:uri="urn:schemas-microsoft-com:office:smarttags" w:element="PersonName">
        <w:r w:rsidRPr="002D741C">
          <w:rPr>
            <w:color w:val="000000"/>
            <w:sz w:val="22"/>
            <w:szCs w:val="22"/>
          </w:rPr>
          <w:t>CY</w:t>
        </w:r>
      </w:smartTag>
      <w:r w:rsidRPr="002D741C">
        <w:rPr>
          <w:color w:val="000000"/>
          <w:sz w:val="22"/>
          <w:szCs w:val="22"/>
        </w:rPr>
        <w:t>P3A4 e imatinib.</w:t>
      </w:r>
    </w:p>
    <w:p w14:paraId="2DAF956B" w14:textId="77777777" w:rsidR="00C45062" w:rsidRPr="002D741C" w:rsidRDefault="00C45062" w:rsidP="00C45062">
      <w:pPr>
        <w:pStyle w:val="EndnoteText"/>
        <w:widowControl w:val="0"/>
        <w:tabs>
          <w:tab w:val="clear" w:pos="567"/>
        </w:tabs>
        <w:rPr>
          <w:color w:val="000000"/>
          <w:szCs w:val="22"/>
          <w:lang w:val="es-ES"/>
        </w:rPr>
      </w:pPr>
    </w:p>
    <w:p w14:paraId="440404E9" w14:textId="77777777" w:rsidR="00C45062" w:rsidRPr="002D741C" w:rsidRDefault="00C45062" w:rsidP="00AD13BE">
      <w:pPr>
        <w:pStyle w:val="EndnoteText"/>
        <w:keepNext/>
        <w:widowControl w:val="0"/>
        <w:tabs>
          <w:tab w:val="clear" w:pos="567"/>
        </w:tabs>
        <w:rPr>
          <w:color w:val="000000"/>
          <w:szCs w:val="22"/>
          <w:lang w:val="es-ES"/>
        </w:rPr>
      </w:pPr>
      <w:r w:rsidRPr="002D741C">
        <w:rPr>
          <w:b/>
          <w:color w:val="000000"/>
          <w:szCs w:val="22"/>
          <w:lang w:val="es-ES"/>
        </w:rPr>
        <w:t>Principios activos a los que Glivec puede alterar su concentración plasmática</w:t>
      </w:r>
    </w:p>
    <w:p w14:paraId="693D2CB8" w14:textId="77777777" w:rsidR="00C45062" w:rsidRPr="002D741C" w:rsidRDefault="00C45062" w:rsidP="00C45062">
      <w:pPr>
        <w:pStyle w:val="EndnoteText"/>
        <w:widowControl w:val="0"/>
        <w:tabs>
          <w:tab w:val="clear" w:pos="567"/>
        </w:tabs>
        <w:rPr>
          <w:color w:val="000000"/>
          <w:szCs w:val="22"/>
          <w:lang w:val="es-ES"/>
        </w:rPr>
      </w:pPr>
      <w:r w:rsidRPr="002D741C">
        <w:rPr>
          <w:color w:val="000000"/>
          <w:szCs w:val="22"/>
          <w:lang w:val="es-ES"/>
        </w:rPr>
        <w:t xml:space="preserve">Imatinib aumenta </w:t>
      </w:r>
      <w:smartTag w:uri="urn:schemas-microsoft-com:office:smarttags" w:element="PersonName">
        <w:smartTagPr>
          <w:attr w:name="ProductID" w:val="la Cm￡x"/>
        </w:smartTagPr>
        <w:r w:rsidRPr="002D741C">
          <w:rPr>
            <w:color w:val="000000"/>
            <w:szCs w:val="22"/>
            <w:lang w:val="es-ES"/>
          </w:rPr>
          <w:t>la C</w:t>
        </w:r>
        <w:r w:rsidRPr="002D741C">
          <w:rPr>
            <w:color w:val="000000"/>
            <w:szCs w:val="22"/>
            <w:vertAlign w:val="subscript"/>
            <w:lang w:val="es-ES"/>
          </w:rPr>
          <w:t>máx</w:t>
        </w:r>
      </w:smartTag>
      <w:r w:rsidRPr="002D741C">
        <w:rPr>
          <w:color w:val="000000"/>
          <w:szCs w:val="22"/>
          <w:lang w:val="es-ES"/>
        </w:rPr>
        <w:t xml:space="preserve"> y AUC medias de simvastatina (sustrato del </w:t>
      </w:r>
      <w:smartTag w:uri="urn:schemas-microsoft-com:office:smarttags" w:element="PersonName">
        <w:r w:rsidRPr="002D741C">
          <w:rPr>
            <w:color w:val="000000"/>
            <w:szCs w:val="22"/>
            <w:lang w:val="es-ES"/>
          </w:rPr>
          <w:t>CY</w:t>
        </w:r>
      </w:smartTag>
      <w:r w:rsidRPr="002D741C">
        <w:rPr>
          <w:color w:val="000000"/>
          <w:szCs w:val="22"/>
          <w:lang w:val="es-ES"/>
        </w:rPr>
        <w:t xml:space="preserve">P3A4) 2 y 3,5 veces, respectivamente, lo que indica que imatinib inhibe el </w:t>
      </w:r>
      <w:smartTag w:uri="urn:schemas-microsoft-com:office:smarttags" w:element="PersonName">
        <w:r w:rsidRPr="002D741C">
          <w:rPr>
            <w:color w:val="000000"/>
            <w:szCs w:val="22"/>
            <w:lang w:val="es-ES"/>
          </w:rPr>
          <w:t>CY</w:t>
        </w:r>
      </w:smartTag>
      <w:r w:rsidRPr="002D741C">
        <w:rPr>
          <w:color w:val="000000"/>
          <w:szCs w:val="22"/>
          <w:lang w:val="es-ES"/>
        </w:rPr>
        <w:t xml:space="preserve">P3A4. Por lo tanto, se recomienda precaución cuando se administre Glivec con sustratos del </w:t>
      </w:r>
      <w:smartTag w:uri="urn:schemas-microsoft-com:office:smarttags" w:element="PersonName">
        <w:r w:rsidRPr="002D741C">
          <w:rPr>
            <w:color w:val="000000"/>
            <w:szCs w:val="22"/>
            <w:lang w:val="es-ES"/>
          </w:rPr>
          <w:t>CY</w:t>
        </w:r>
      </w:smartTag>
      <w:r w:rsidRPr="002D741C">
        <w:rPr>
          <w:color w:val="000000"/>
          <w:szCs w:val="22"/>
          <w:lang w:val="es-ES"/>
        </w:rPr>
        <w:t xml:space="preserve">P3A4 con un estrecho margen terapéutico (p. ej. ciclosporina, pimozida, tacrolimus, sirolimus, ergotamina, diergotamina, fentanilo, alfentanilo, terfenadina, bortezomib, docetaxel y quinidina). Glivec puede aumentar la concentración plasmática de otros fármacos metabolizados por el </w:t>
      </w:r>
      <w:smartTag w:uri="urn:schemas-microsoft-com:office:smarttags" w:element="PersonName">
        <w:r w:rsidRPr="002D741C">
          <w:rPr>
            <w:color w:val="000000"/>
            <w:szCs w:val="22"/>
            <w:lang w:val="es-ES"/>
          </w:rPr>
          <w:t>CY</w:t>
        </w:r>
      </w:smartTag>
      <w:r w:rsidRPr="002D741C">
        <w:rPr>
          <w:color w:val="000000"/>
          <w:szCs w:val="22"/>
          <w:lang w:val="es-ES"/>
        </w:rPr>
        <w:t xml:space="preserve">P3A4 (p. ej. triazolo-benzodiazepinas, dihidropiridina, bloqueantes de los canales de calcio, ciertos inhibidores de </w:t>
      </w:r>
      <w:smartTag w:uri="urn:schemas-microsoft-com:office:smarttags" w:element="PersonName">
        <w:smartTagPr>
          <w:attr w:name="ProductID" w:val="la HMG-CoA"/>
        </w:smartTagPr>
        <w:r w:rsidRPr="002D741C">
          <w:rPr>
            <w:color w:val="000000"/>
            <w:szCs w:val="22"/>
            <w:lang w:val="es-ES"/>
          </w:rPr>
          <w:t xml:space="preserve">la </w:t>
        </w:r>
        <w:smartTag w:uri="urn:schemas-microsoft-com:office:smarttags" w:element="stockticker">
          <w:r w:rsidRPr="002D741C">
            <w:rPr>
              <w:color w:val="000000"/>
              <w:szCs w:val="22"/>
              <w:lang w:val="es-ES"/>
            </w:rPr>
            <w:t>HMG</w:t>
          </w:r>
        </w:smartTag>
        <w:r w:rsidRPr="002D741C">
          <w:rPr>
            <w:color w:val="000000"/>
            <w:szCs w:val="22"/>
            <w:lang w:val="es-ES"/>
          </w:rPr>
          <w:t>-CoA</w:t>
        </w:r>
      </w:smartTag>
      <w:r w:rsidRPr="002D741C">
        <w:rPr>
          <w:color w:val="000000"/>
          <w:szCs w:val="22"/>
          <w:lang w:val="es-ES"/>
        </w:rPr>
        <w:t xml:space="preserve"> reductasa, es decir, estatinas, etc.).</w:t>
      </w:r>
    </w:p>
    <w:p w14:paraId="6AE97305" w14:textId="77777777" w:rsidR="00C45062" w:rsidRPr="002D741C" w:rsidRDefault="00C45062" w:rsidP="00C45062">
      <w:pPr>
        <w:pStyle w:val="EndnoteText"/>
        <w:widowControl w:val="0"/>
        <w:tabs>
          <w:tab w:val="clear" w:pos="567"/>
        </w:tabs>
        <w:rPr>
          <w:color w:val="000000"/>
          <w:szCs w:val="22"/>
          <w:lang w:val="es-ES"/>
        </w:rPr>
      </w:pPr>
    </w:p>
    <w:p w14:paraId="18EE8167" w14:textId="77777777" w:rsidR="00C45062" w:rsidRPr="002D741C" w:rsidRDefault="00C45062" w:rsidP="00C45062">
      <w:pPr>
        <w:pStyle w:val="EndnoteText"/>
        <w:widowControl w:val="0"/>
        <w:tabs>
          <w:tab w:val="clear" w:pos="567"/>
        </w:tabs>
        <w:rPr>
          <w:color w:val="000000"/>
          <w:szCs w:val="22"/>
          <w:lang w:val="es-ES"/>
        </w:rPr>
      </w:pPr>
      <w:r w:rsidRPr="002D741C">
        <w:rPr>
          <w:color w:val="000000"/>
          <w:szCs w:val="22"/>
          <w:lang w:val="es-ES"/>
        </w:rPr>
        <w:t>Los pacientes que precisen anticoagulantes deberán recibir heparina de bajo peso molecular o estándar en vez de derivados cumarínicos como warfarina, debido al riesgo aumentado conocido de hemorragia en combinación con el uso de imatinib (p.ej. hemorragia).</w:t>
      </w:r>
    </w:p>
    <w:p w14:paraId="10E70631" w14:textId="77777777" w:rsidR="00C45062" w:rsidRPr="002D741C" w:rsidRDefault="00C45062" w:rsidP="00C45062">
      <w:pPr>
        <w:pStyle w:val="EndnoteText"/>
        <w:widowControl w:val="0"/>
        <w:tabs>
          <w:tab w:val="clear" w:pos="567"/>
        </w:tabs>
        <w:rPr>
          <w:color w:val="000000"/>
          <w:szCs w:val="22"/>
          <w:lang w:val="es-ES"/>
        </w:rPr>
      </w:pPr>
    </w:p>
    <w:p w14:paraId="09E53B01" w14:textId="0D053510" w:rsidR="00C45062" w:rsidRPr="002D741C" w:rsidRDefault="00C45062" w:rsidP="00C45062">
      <w:pPr>
        <w:pStyle w:val="EndnoteText"/>
        <w:widowControl w:val="0"/>
        <w:tabs>
          <w:tab w:val="clear" w:pos="567"/>
        </w:tabs>
        <w:rPr>
          <w:color w:val="000000"/>
          <w:szCs w:val="22"/>
          <w:lang w:val="es-ES"/>
        </w:rPr>
      </w:pPr>
      <w:r w:rsidRPr="002D741C">
        <w:rPr>
          <w:i/>
          <w:color w:val="000000"/>
          <w:szCs w:val="22"/>
          <w:lang w:val="es-ES"/>
        </w:rPr>
        <w:t>In vitro</w:t>
      </w:r>
      <w:r w:rsidRPr="002D741C">
        <w:rPr>
          <w:color w:val="000000"/>
          <w:szCs w:val="22"/>
          <w:lang w:val="es-ES"/>
        </w:rPr>
        <w:t xml:space="preserve">, Glivec inhibe la actividad del citocromo P450, isoenzima </w:t>
      </w:r>
      <w:smartTag w:uri="urn:schemas-microsoft-com:office:smarttags" w:element="PersonName">
        <w:r w:rsidRPr="002D741C">
          <w:rPr>
            <w:color w:val="000000"/>
            <w:szCs w:val="22"/>
            <w:lang w:val="es-ES"/>
          </w:rPr>
          <w:t>CY</w:t>
        </w:r>
      </w:smartTag>
      <w:r w:rsidRPr="002D741C">
        <w:rPr>
          <w:color w:val="000000"/>
          <w:szCs w:val="22"/>
          <w:lang w:val="es-ES"/>
        </w:rPr>
        <w:t xml:space="preserve">P2D6 a concentraciones similares a las que afectan la actividad del </w:t>
      </w:r>
      <w:smartTag w:uri="urn:schemas-microsoft-com:office:smarttags" w:element="PersonName">
        <w:r w:rsidRPr="002D741C">
          <w:rPr>
            <w:color w:val="000000"/>
            <w:szCs w:val="22"/>
            <w:lang w:val="es-ES"/>
          </w:rPr>
          <w:t>CY</w:t>
        </w:r>
      </w:smartTag>
      <w:r w:rsidRPr="002D741C">
        <w:rPr>
          <w:color w:val="000000"/>
          <w:szCs w:val="22"/>
          <w:lang w:val="es-ES"/>
        </w:rPr>
        <w:t xml:space="preserve">P3A4. </w:t>
      </w:r>
      <w:r w:rsidRPr="002D741C">
        <w:rPr>
          <w:rStyle w:val="TextChar"/>
          <w:color w:val="000000"/>
          <w:sz w:val="22"/>
        </w:rPr>
        <w:t xml:space="preserve">Las </w:t>
      </w:r>
      <w:r w:rsidRPr="002D741C">
        <w:rPr>
          <w:color w:val="000000"/>
          <w:szCs w:val="22"/>
          <w:lang w:val="es-ES_tradnl"/>
        </w:rPr>
        <w:t xml:space="preserve">dosis de imatinib de 400 mg dos veces al día mostraron un efecto inhibidor sobre el metabolismo de metoprolol mediado por </w:t>
      </w:r>
      <w:smartTag w:uri="urn:schemas-microsoft-com:office:smarttags" w:element="PersonName">
        <w:r w:rsidRPr="002D741C">
          <w:rPr>
            <w:color w:val="000000"/>
            <w:szCs w:val="22"/>
            <w:lang w:val="es-ES_tradnl"/>
          </w:rPr>
          <w:t>CY</w:t>
        </w:r>
      </w:smartTag>
      <w:r w:rsidRPr="002D741C">
        <w:rPr>
          <w:color w:val="000000"/>
          <w:szCs w:val="22"/>
          <w:lang w:val="es-ES_tradnl"/>
        </w:rPr>
        <w:t>P2D6, con un aumento de la C</w:t>
      </w:r>
      <w:r w:rsidRPr="002D741C">
        <w:rPr>
          <w:color w:val="000000"/>
          <w:szCs w:val="22"/>
          <w:vertAlign w:val="subscript"/>
          <w:lang w:val="es-ES_tradnl"/>
        </w:rPr>
        <w:t>max</w:t>
      </w:r>
      <w:r w:rsidRPr="002D741C">
        <w:rPr>
          <w:color w:val="000000"/>
          <w:szCs w:val="22"/>
          <w:lang w:val="es-ES_tradnl"/>
        </w:rPr>
        <w:t xml:space="preserve"> y del AUC de metoprolol de aproximadamente un 23% (IC 90% [1,16</w:t>
      </w:r>
      <w:r w:rsidRPr="002D741C">
        <w:rPr>
          <w:color w:val="000000"/>
          <w:szCs w:val="22"/>
          <w:lang w:val="es-ES_tradnl"/>
        </w:rPr>
        <w:noBreakHyphen/>
        <w:t xml:space="preserve">1,30]). No parecen ser necesarios ajustes de dosis cuando imatinib se administra conjuntamente con sustratos de </w:t>
      </w:r>
      <w:smartTag w:uri="urn:schemas-microsoft-com:office:smarttags" w:element="PersonName">
        <w:r w:rsidRPr="002D741C">
          <w:rPr>
            <w:color w:val="000000"/>
            <w:szCs w:val="22"/>
            <w:lang w:val="es-ES_tradnl"/>
          </w:rPr>
          <w:t>CY</w:t>
        </w:r>
      </w:smartTag>
      <w:r w:rsidRPr="002D741C">
        <w:rPr>
          <w:color w:val="000000"/>
          <w:szCs w:val="22"/>
          <w:lang w:val="es-ES_tradnl"/>
        </w:rPr>
        <w:t xml:space="preserve">P2D6, sin embargo se recomienda precaución para sustratos de </w:t>
      </w:r>
      <w:smartTag w:uri="urn:schemas-microsoft-com:office:smarttags" w:element="PersonName">
        <w:r w:rsidRPr="002D741C">
          <w:rPr>
            <w:color w:val="000000"/>
            <w:szCs w:val="22"/>
            <w:lang w:val="es-ES_tradnl"/>
          </w:rPr>
          <w:t>CY</w:t>
        </w:r>
      </w:smartTag>
      <w:r w:rsidRPr="002D741C">
        <w:rPr>
          <w:color w:val="000000"/>
          <w:szCs w:val="22"/>
          <w:lang w:val="es-ES_tradnl"/>
        </w:rPr>
        <w:t>P2D6 con un estrecho margen terapéutico como metoprolol. En pacientes tratados con metoprolol deberá considerarse la supervisión clínica.</w:t>
      </w:r>
    </w:p>
    <w:p w14:paraId="3A15477E" w14:textId="77777777" w:rsidR="00C45062" w:rsidRPr="002D741C" w:rsidRDefault="00C45062" w:rsidP="00C45062">
      <w:pPr>
        <w:pStyle w:val="EndnoteText"/>
        <w:widowControl w:val="0"/>
        <w:tabs>
          <w:tab w:val="clear" w:pos="567"/>
        </w:tabs>
        <w:rPr>
          <w:i/>
          <w:iCs/>
          <w:color w:val="000000"/>
          <w:szCs w:val="22"/>
          <w:lang w:val="es-ES"/>
        </w:rPr>
      </w:pPr>
    </w:p>
    <w:p w14:paraId="5D64741B" w14:textId="77777777" w:rsidR="00C45062" w:rsidRPr="008D0368" w:rsidRDefault="00C45062" w:rsidP="00C45062">
      <w:pPr>
        <w:pStyle w:val="EndnoteText"/>
        <w:widowControl w:val="0"/>
        <w:tabs>
          <w:tab w:val="clear" w:pos="567"/>
        </w:tabs>
        <w:rPr>
          <w:color w:val="000000"/>
          <w:szCs w:val="22"/>
          <w:lang w:val="es-ES"/>
        </w:rPr>
      </w:pPr>
      <w:r w:rsidRPr="002D741C">
        <w:rPr>
          <w:i/>
          <w:iCs/>
          <w:color w:val="000000"/>
          <w:szCs w:val="22"/>
          <w:lang w:val="es-ES"/>
        </w:rPr>
        <w:t xml:space="preserve">In vitro, </w:t>
      </w:r>
      <w:r w:rsidRPr="002D741C">
        <w:rPr>
          <w:color w:val="000000"/>
          <w:szCs w:val="22"/>
          <w:lang w:val="es-ES"/>
        </w:rPr>
        <w:t xml:space="preserve">Glivec inhibe </w:t>
      </w:r>
      <w:smartTag w:uri="urn:schemas-microsoft-com:office:smarttags" w:element="PersonName">
        <w:smartTagPr>
          <w:attr w:name="ProductID" w:val="la O-glucuronidaci￳n"/>
        </w:smartTagPr>
        <w:r w:rsidRPr="002D741C">
          <w:rPr>
            <w:color w:val="000000"/>
            <w:szCs w:val="22"/>
            <w:lang w:val="es-ES"/>
          </w:rPr>
          <w:t>la O-glucuronidación</w:t>
        </w:r>
      </w:smartTag>
      <w:r w:rsidRPr="002D741C">
        <w:rPr>
          <w:color w:val="000000"/>
          <w:szCs w:val="22"/>
          <w:lang w:val="es-ES"/>
        </w:rPr>
        <w:t xml:space="preserve"> de paracetamol con un valor Ki de 58,5 micromoles/l. Esta inhibición no se ha observado </w:t>
      </w:r>
      <w:r w:rsidRPr="002D741C">
        <w:rPr>
          <w:i/>
          <w:color w:val="000000"/>
          <w:szCs w:val="22"/>
          <w:lang w:val="es-ES"/>
        </w:rPr>
        <w:t>in vivo</w:t>
      </w:r>
      <w:r w:rsidRPr="002D741C">
        <w:rPr>
          <w:color w:val="000000"/>
          <w:szCs w:val="22"/>
          <w:lang w:val="es-ES"/>
        </w:rPr>
        <w:t xml:space="preserve"> después de la administración de Glivec 400 mg y paracetamol 1000 mg. </w:t>
      </w:r>
      <w:r w:rsidRPr="008D0368">
        <w:rPr>
          <w:color w:val="000000"/>
          <w:szCs w:val="22"/>
          <w:lang w:val="es-ES"/>
        </w:rPr>
        <w:t>No se han estudiado dosis más altas de Glivec y paracetamol.</w:t>
      </w:r>
    </w:p>
    <w:p w14:paraId="71C706A6" w14:textId="77777777" w:rsidR="00C45062" w:rsidRPr="008D0368" w:rsidRDefault="00C45062" w:rsidP="00C45062">
      <w:pPr>
        <w:pStyle w:val="EndnoteText"/>
        <w:widowControl w:val="0"/>
        <w:tabs>
          <w:tab w:val="clear" w:pos="567"/>
        </w:tabs>
        <w:rPr>
          <w:color w:val="000000"/>
          <w:szCs w:val="22"/>
          <w:lang w:val="es-ES"/>
        </w:rPr>
      </w:pPr>
    </w:p>
    <w:p w14:paraId="7B56FC25" w14:textId="77777777" w:rsidR="00C45062" w:rsidRPr="008D0368" w:rsidRDefault="00C45062" w:rsidP="00C45062">
      <w:pPr>
        <w:pStyle w:val="EndnoteText"/>
        <w:widowControl w:val="0"/>
        <w:tabs>
          <w:tab w:val="clear" w:pos="567"/>
        </w:tabs>
        <w:rPr>
          <w:color w:val="000000"/>
          <w:szCs w:val="22"/>
          <w:lang w:val="es-ES"/>
        </w:rPr>
      </w:pPr>
      <w:r w:rsidRPr="008D0368">
        <w:rPr>
          <w:color w:val="000000"/>
          <w:szCs w:val="22"/>
          <w:lang w:val="es-ES"/>
        </w:rPr>
        <w:t>Por lo tanto, deberá tenerse precaución cuando se use dosis altas de Glivec y paracetamol de forma concomitante.</w:t>
      </w:r>
    </w:p>
    <w:p w14:paraId="531422BB" w14:textId="77777777" w:rsidR="00C45062" w:rsidRPr="008D0368" w:rsidRDefault="00C45062" w:rsidP="00C45062">
      <w:pPr>
        <w:pStyle w:val="EndnoteText"/>
        <w:widowControl w:val="0"/>
        <w:tabs>
          <w:tab w:val="clear" w:pos="567"/>
        </w:tabs>
        <w:rPr>
          <w:color w:val="000000"/>
          <w:szCs w:val="22"/>
          <w:lang w:val="es-ES"/>
        </w:rPr>
      </w:pPr>
    </w:p>
    <w:p w14:paraId="4685538C" w14:textId="77777777" w:rsidR="00C45062" w:rsidRPr="008D0368" w:rsidRDefault="00C45062" w:rsidP="00C45062">
      <w:pPr>
        <w:pStyle w:val="EndnoteText"/>
        <w:widowControl w:val="0"/>
        <w:tabs>
          <w:tab w:val="clear" w:pos="567"/>
        </w:tabs>
        <w:rPr>
          <w:color w:val="000000"/>
          <w:szCs w:val="22"/>
          <w:lang w:val="es-ES"/>
        </w:rPr>
      </w:pPr>
      <w:r w:rsidRPr="008D0368">
        <w:rPr>
          <w:color w:val="000000"/>
          <w:szCs w:val="22"/>
          <w:lang w:val="es-ES"/>
        </w:rPr>
        <w:t>En pacientes tiroidectomizados que reciben tratamiento con levotiroxina, puede disminuir la exposición plasmática de levotiroxina cuando se administra Glivec conjuntamente (ver sección 4.4). Por lo tanto, se recomienda precaución. Sin embargo, en la actualidad se desconoce el mecanismo de la interacción observada.</w:t>
      </w:r>
    </w:p>
    <w:p w14:paraId="03E3061E" w14:textId="77777777" w:rsidR="00C45062" w:rsidRPr="008D0368" w:rsidRDefault="00C45062" w:rsidP="00C45062">
      <w:pPr>
        <w:pStyle w:val="EndnoteText"/>
        <w:widowControl w:val="0"/>
        <w:tabs>
          <w:tab w:val="clear" w:pos="567"/>
        </w:tabs>
        <w:rPr>
          <w:color w:val="000000"/>
          <w:szCs w:val="22"/>
          <w:lang w:val="es-ES"/>
        </w:rPr>
      </w:pPr>
    </w:p>
    <w:p w14:paraId="376E61B9" w14:textId="77777777" w:rsidR="00C45062" w:rsidRPr="008D0368" w:rsidRDefault="00C45062" w:rsidP="00C45062">
      <w:pPr>
        <w:pStyle w:val="EndnoteText"/>
        <w:widowControl w:val="0"/>
        <w:tabs>
          <w:tab w:val="clear" w:pos="567"/>
        </w:tabs>
        <w:rPr>
          <w:color w:val="000000"/>
          <w:szCs w:val="22"/>
          <w:lang w:val="es-ES"/>
        </w:rPr>
      </w:pPr>
      <w:r w:rsidRPr="008D0368">
        <w:rPr>
          <w:color w:val="000000"/>
          <w:szCs w:val="22"/>
          <w:lang w:val="es-ES"/>
        </w:rPr>
        <w:t>Existe experiencia clínica sobre la administración conjunta de Glivec con quimioterapia en pacientes con LLA Ph+ (ver sección 5.1), pero las interacciones fármaco-fármaco entre imatinib y regimenes de quimioterapia no están bien caracterizadas. Los acontecimientos adversos de imatinib, p.ej. hepatotoxicidad, mielosupresión u otros, pueden aumentar y se ha notificado que el uso concomitante con L-asparaginasa puede estar asociado con una hepatotoxicidad aumentada (ver sección 4.8). Por tanto, el uso de Glivec en combinación requiere una precaución especial.</w:t>
      </w:r>
    </w:p>
    <w:p w14:paraId="20A7D239" w14:textId="77777777" w:rsidR="00C45062" w:rsidRPr="008D0368" w:rsidRDefault="00C45062" w:rsidP="00C45062">
      <w:pPr>
        <w:pStyle w:val="EndnoteText"/>
        <w:widowControl w:val="0"/>
        <w:tabs>
          <w:tab w:val="clear" w:pos="567"/>
        </w:tabs>
        <w:rPr>
          <w:color w:val="000000"/>
          <w:szCs w:val="22"/>
          <w:lang w:val="es-ES"/>
        </w:rPr>
      </w:pPr>
    </w:p>
    <w:p w14:paraId="61388A47" w14:textId="77777777" w:rsidR="00C45062" w:rsidRPr="008D0368" w:rsidRDefault="00C45062" w:rsidP="00AD13BE">
      <w:pPr>
        <w:keepNext/>
        <w:widowControl w:val="0"/>
        <w:ind w:left="567" w:hanging="567"/>
        <w:rPr>
          <w:color w:val="000000"/>
          <w:sz w:val="22"/>
          <w:szCs w:val="22"/>
        </w:rPr>
      </w:pPr>
      <w:r w:rsidRPr="008D0368">
        <w:rPr>
          <w:b/>
          <w:color w:val="000000"/>
          <w:sz w:val="22"/>
          <w:szCs w:val="22"/>
        </w:rPr>
        <w:t>4.6</w:t>
      </w:r>
      <w:r w:rsidRPr="008D0368">
        <w:rPr>
          <w:b/>
          <w:color w:val="000000"/>
          <w:sz w:val="22"/>
          <w:szCs w:val="22"/>
        </w:rPr>
        <w:tab/>
        <w:t>Fertilidad, embarazo y lactancia</w:t>
      </w:r>
    </w:p>
    <w:p w14:paraId="511DC120" w14:textId="77777777" w:rsidR="00C45062" w:rsidRPr="008D0368" w:rsidRDefault="00C45062" w:rsidP="00AD13BE">
      <w:pPr>
        <w:pStyle w:val="EndnoteText"/>
        <w:keepNext/>
        <w:widowControl w:val="0"/>
        <w:rPr>
          <w:color w:val="000000"/>
          <w:szCs w:val="22"/>
          <w:lang w:val="es-ES"/>
        </w:rPr>
      </w:pPr>
    </w:p>
    <w:p w14:paraId="7D86C1B6" w14:textId="77777777" w:rsidR="00C45062" w:rsidRPr="008D0368" w:rsidRDefault="00C45062" w:rsidP="00AD13BE">
      <w:pPr>
        <w:pStyle w:val="EndnoteText"/>
        <w:keepNext/>
        <w:widowControl w:val="0"/>
        <w:rPr>
          <w:color w:val="000000"/>
          <w:szCs w:val="22"/>
          <w:u w:val="single"/>
          <w:lang w:val="es-ES"/>
        </w:rPr>
      </w:pPr>
      <w:r w:rsidRPr="008D0368">
        <w:rPr>
          <w:color w:val="000000"/>
          <w:szCs w:val="22"/>
          <w:u w:val="single"/>
          <w:lang w:val="es-ES"/>
        </w:rPr>
        <w:t>Mujeres en edad fértil</w:t>
      </w:r>
    </w:p>
    <w:p w14:paraId="35C26232" w14:textId="2E33F497" w:rsidR="00C45062" w:rsidRPr="008D0368" w:rsidRDefault="00C45062" w:rsidP="00C45062">
      <w:pPr>
        <w:pStyle w:val="EndnoteText"/>
        <w:widowControl w:val="0"/>
        <w:rPr>
          <w:color w:val="000000"/>
          <w:szCs w:val="22"/>
          <w:lang w:val="es-ES"/>
        </w:rPr>
      </w:pPr>
      <w:r w:rsidRPr="008D0368">
        <w:rPr>
          <w:color w:val="000000"/>
          <w:szCs w:val="22"/>
          <w:lang w:val="es-ES"/>
        </w:rPr>
        <w:t>Las mujeres en edad fértil han de ser advertidas de que utilicen métodos anticonceptivos eficaces durante el tratamiento</w:t>
      </w:r>
      <w:r w:rsidR="000A0CB1" w:rsidRPr="008D0368">
        <w:rPr>
          <w:color w:val="000000"/>
          <w:szCs w:val="22"/>
          <w:lang w:val="es-ES"/>
        </w:rPr>
        <w:t xml:space="preserve"> con Glivec y hasta</w:t>
      </w:r>
      <w:r w:rsidR="003C61DA" w:rsidRPr="008D0368">
        <w:rPr>
          <w:color w:val="000000"/>
          <w:szCs w:val="22"/>
          <w:lang w:val="es-ES"/>
        </w:rPr>
        <w:t xml:space="preserve"> </w:t>
      </w:r>
      <w:r w:rsidR="000A0CB1" w:rsidRPr="008D0368">
        <w:rPr>
          <w:color w:val="000000"/>
          <w:szCs w:val="22"/>
          <w:lang w:val="es-ES"/>
        </w:rPr>
        <w:t>15</w:t>
      </w:r>
      <w:r w:rsidR="000A0CB1" w:rsidRPr="008D0368">
        <w:rPr>
          <w:lang w:val="es-ES"/>
        </w:rPr>
        <w:t> días después de interrumpir el tratamiento</w:t>
      </w:r>
      <w:r w:rsidRPr="008D0368">
        <w:rPr>
          <w:color w:val="000000"/>
          <w:szCs w:val="22"/>
          <w:lang w:val="es-ES"/>
        </w:rPr>
        <w:t>.</w:t>
      </w:r>
    </w:p>
    <w:p w14:paraId="7D3DF466" w14:textId="77777777" w:rsidR="00C45062" w:rsidRPr="008D0368" w:rsidRDefault="00C45062" w:rsidP="00C45062">
      <w:pPr>
        <w:pStyle w:val="EndnoteText"/>
        <w:widowControl w:val="0"/>
        <w:rPr>
          <w:color w:val="000000"/>
          <w:szCs w:val="22"/>
          <w:u w:val="single"/>
          <w:lang w:val="es-ES"/>
        </w:rPr>
      </w:pPr>
    </w:p>
    <w:p w14:paraId="4CD5DDE5" w14:textId="77777777" w:rsidR="00C45062" w:rsidRPr="008D0368" w:rsidRDefault="00C45062" w:rsidP="00AD13BE">
      <w:pPr>
        <w:pStyle w:val="EndnoteText"/>
        <w:keepNext/>
        <w:widowControl w:val="0"/>
        <w:rPr>
          <w:color w:val="000000"/>
          <w:szCs w:val="22"/>
          <w:lang w:val="es-ES"/>
        </w:rPr>
      </w:pPr>
      <w:r w:rsidRPr="008D0368">
        <w:rPr>
          <w:color w:val="000000"/>
          <w:szCs w:val="22"/>
          <w:u w:val="single"/>
          <w:lang w:val="es-ES"/>
        </w:rPr>
        <w:t>Embarazo</w:t>
      </w:r>
    </w:p>
    <w:p w14:paraId="43AE894F" w14:textId="1BD14BE8" w:rsidR="00C45062" w:rsidRPr="002D741C" w:rsidRDefault="00C45062" w:rsidP="00C45062">
      <w:pPr>
        <w:pStyle w:val="EndnoteText"/>
        <w:widowControl w:val="0"/>
        <w:rPr>
          <w:color w:val="000000"/>
          <w:szCs w:val="22"/>
          <w:lang w:val="es-ES"/>
        </w:rPr>
      </w:pPr>
      <w:r w:rsidRPr="008D0368">
        <w:rPr>
          <w:color w:val="000000"/>
          <w:szCs w:val="22"/>
          <w:lang w:val="es-ES"/>
        </w:rPr>
        <w:t xml:space="preserve">Existen datos limitados sobre la utilización de imatinib en mujeres embarazadas. </w:t>
      </w:r>
      <w:r w:rsidR="00F42C0E" w:rsidRPr="008D0368">
        <w:rPr>
          <w:color w:val="000000"/>
          <w:szCs w:val="22"/>
          <w:lang w:val="es-ES"/>
        </w:rPr>
        <w:t xml:space="preserve">Durante la fase pos comercialización, ha habido notificaciones de abortos espontaneosy anormalidades congénitas en mujeres que habían tomado Glivec. </w:t>
      </w:r>
      <w:r w:rsidRPr="008D0368">
        <w:rPr>
          <w:color w:val="000000"/>
          <w:szCs w:val="22"/>
          <w:lang w:val="es-ES"/>
        </w:rPr>
        <w:t>Sin embarg</w:t>
      </w:r>
      <w:r w:rsidRPr="002D741C">
        <w:rPr>
          <w:color w:val="000000"/>
          <w:szCs w:val="22"/>
          <w:lang w:val="es-ES"/>
        </w:rPr>
        <w:t>o, los estudios realizados en animales han mostrado toxicidad para la reproducción (ver sección</w:t>
      </w:r>
      <w:r w:rsidR="000A0CB1" w:rsidRPr="002D741C">
        <w:rPr>
          <w:lang w:val="es-ES"/>
        </w:rPr>
        <w:t> </w:t>
      </w:r>
      <w:r w:rsidRPr="002D741C">
        <w:rPr>
          <w:color w:val="000000"/>
          <w:szCs w:val="22"/>
          <w:lang w:val="es-ES"/>
        </w:rPr>
        <w:t>5.3) y se desconoce el riesgo para el feto. No debe utilizarse Glivec durante el embarazo a no ser que fuese claramente necesario. Si se utiliza durante el embarazo, la paciente ha de ser informada del riesgo potencial para el feto.</w:t>
      </w:r>
    </w:p>
    <w:p w14:paraId="19D683DA" w14:textId="77777777" w:rsidR="00C45062" w:rsidRPr="002D741C" w:rsidRDefault="00C45062" w:rsidP="00C45062">
      <w:pPr>
        <w:pStyle w:val="EndnoteText"/>
        <w:widowControl w:val="0"/>
        <w:rPr>
          <w:color w:val="000000"/>
          <w:szCs w:val="22"/>
          <w:lang w:val="es-ES"/>
        </w:rPr>
      </w:pPr>
    </w:p>
    <w:p w14:paraId="558D081A" w14:textId="77777777" w:rsidR="00C45062" w:rsidRPr="002D741C" w:rsidRDefault="00C45062" w:rsidP="00AD13BE">
      <w:pPr>
        <w:pStyle w:val="EndnoteText"/>
        <w:keepNext/>
        <w:widowControl w:val="0"/>
        <w:rPr>
          <w:color w:val="000000"/>
          <w:szCs w:val="22"/>
          <w:lang w:val="es-ES"/>
        </w:rPr>
      </w:pPr>
      <w:r w:rsidRPr="002D741C">
        <w:rPr>
          <w:color w:val="000000"/>
          <w:szCs w:val="22"/>
          <w:u w:val="single"/>
          <w:lang w:val="es-ES"/>
        </w:rPr>
        <w:t>Lactancia</w:t>
      </w:r>
    </w:p>
    <w:p w14:paraId="1E7CB958" w14:textId="4759B363" w:rsidR="00C45062" w:rsidRPr="002D741C" w:rsidRDefault="00C45062" w:rsidP="00C45062">
      <w:pPr>
        <w:pStyle w:val="EndnoteText"/>
        <w:widowControl w:val="0"/>
        <w:rPr>
          <w:lang w:val="es-ES"/>
        </w:rPr>
      </w:pPr>
      <w:r w:rsidRPr="002D741C">
        <w:rPr>
          <w:color w:val="000000"/>
          <w:szCs w:val="22"/>
          <w:lang w:val="es-ES"/>
        </w:rPr>
        <w:t>Existe información limitada sobre la distribución de imatinib en la leche humana. Estudios en dos mujeres en periodo de lactancia revelaron que tanto imatinib como su metabolito activo pueden excretarse en la leche humana. La proporción leche-plasma, estudiada en una única paciente, se ha establecido que es de 0,5 para imatinib y 0,9 para el metabolito, sugiriendo una mayor distribución del metabolito en la leche. Considerando la concentración combinada de imatinib y el metabolito y la cantidad máxima diaria de toma de leche por parte de los lactantes, la exposición total se espera que sea baja (</w:t>
      </w:r>
      <w:r w:rsidRPr="002D741C">
        <w:rPr>
          <w:lang w:val="es-ES"/>
        </w:rPr>
        <w:t>~10% de una dosis terapéutica). Sin embargo, puesto que se desconocen los efectos de una exposición a dosis bajas de imatinib por parte del lactante, las mujeres no deben dar el pecho a sus hijos</w:t>
      </w:r>
      <w:r w:rsidR="000A0CB1">
        <w:rPr>
          <w:lang w:val="es-ES"/>
        </w:rPr>
        <w:t xml:space="preserve"> durante el tratamiento con Glivec </w:t>
      </w:r>
      <w:r w:rsidR="000A0CB1">
        <w:rPr>
          <w:color w:val="000000"/>
          <w:szCs w:val="22"/>
          <w:lang w:val="es-ES"/>
        </w:rPr>
        <w:t>ni hasta 15</w:t>
      </w:r>
      <w:r w:rsidR="000A0CB1" w:rsidRPr="002D741C">
        <w:rPr>
          <w:lang w:val="es-ES"/>
        </w:rPr>
        <w:t> </w:t>
      </w:r>
      <w:r w:rsidR="000A0CB1">
        <w:rPr>
          <w:lang w:val="es-ES"/>
        </w:rPr>
        <w:t>días después de interrumpirlo</w:t>
      </w:r>
      <w:r w:rsidRPr="002D741C">
        <w:rPr>
          <w:lang w:val="es-ES"/>
        </w:rPr>
        <w:t>.</w:t>
      </w:r>
    </w:p>
    <w:p w14:paraId="31DF2E06" w14:textId="77777777" w:rsidR="00C45062" w:rsidRPr="002D741C" w:rsidRDefault="00C45062" w:rsidP="00C45062">
      <w:pPr>
        <w:pStyle w:val="EndnoteText"/>
        <w:widowControl w:val="0"/>
        <w:rPr>
          <w:lang w:val="es-ES"/>
        </w:rPr>
      </w:pPr>
    </w:p>
    <w:p w14:paraId="59F579D7" w14:textId="77777777" w:rsidR="00C45062" w:rsidRPr="002D741C" w:rsidRDefault="00C45062" w:rsidP="00AD13BE">
      <w:pPr>
        <w:pStyle w:val="EndnoteText"/>
        <w:keepNext/>
        <w:widowControl w:val="0"/>
        <w:rPr>
          <w:u w:val="single"/>
          <w:lang w:val="es-ES"/>
        </w:rPr>
      </w:pPr>
      <w:r w:rsidRPr="002D741C">
        <w:rPr>
          <w:u w:val="single"/>
          <w:lang w:val="es-ES"/>
        </w:rPr>
        <w:t>Fertilidad</w:t>
      </w:r>
    </w:p>
    <w:p w14:paraId="395008E5" w14:textId="77777777" w:rsidR="00C45062" w:rsidRPr="002D741C" w:rsidRDefault="00C45062" w:rsidP="00C45062">
      <w:pPr>
        <w:pStyle w:val="EndnoteText"/>
        <w:widowControl w:val="0"/>
        <w:rPr>
          <w:color w:val="000000"/>
          <w:szCs w:val="22"/>
          <w:lang w:val="es-ES"/>
        </w:rPr>
      </w:pPr>
      <w:r w:rsidRPr="002D741C">
        <w:rPr>
          <w:lang w:val="es-ES"/>
        </w:rPr>
        <w:t>En estudios preclínicos no se vio afectada la fertilidad de las ratas machos y hembras</w:t>
      </w:r>
      <w:r w:rsidR="000A0CB1">
        <w:rPr>
          <w:lang w:val="es-ES"/>
        </w:rPr>
        <w:t>, aunque sí se observaron efectos en los parámetros reproductivos</w:t>
      </w:r>
      <w:r w:rsidRPr="002D741C">
        <w:rPr>
          <w:lang w:val="es-ES"/>
        </w:rPr>
        <w:t xml:space="preserve"> (ver sección 5.3). No se han realizado estudios en </w:t>
      </w:r>
      <w:r w:rsidRPr="002D741C">
        <w:rPr>
          <w:lang w:val="es-ES"/>
        </w:rPr>
        <w:lastRenderedPageBreak/>
        <w:t>pacientes tratados con Glivec y su efecto sobre la fertilidad y la gametogénesis. Los pacientes preocupados sobre su fertilidad durante el tratamiento con Glivec deberán consultar con su médico.</w:t>
      </w:r>
    </w:p>
    <w:p w14:paraId="4E720039" w14:textId="77777777" w:rsidR="00C45062" w:rsidRPr="002D741C" w:rsidRDefault="00C45062" w:rsidP="00C45062">
      <w:pPr>
        <w:pStyle w:val="EndnoteText"/>
        <w:widowControl w:val="0"/>
        <w:rPr>
          <w:color w:val="000000"/>
          <w:szCs w:val="22"/>
          <w:lang w:val="es-ES"/>
        </w:rPr>
      </w:pPr>
    </w:p>
    <w:p w14:paraId="067F6C0B" w14:textId="77777777" w:rsidR="00C45062" w:rsidRPr="002D741C" w:rsidRDefault="00C45062" w:rsidP="00AD13BE">
      <w:pPr>
        <w:keepNext/>
        <w:widowControl w:val="0"/>
        <w:ind w:left="567" w:hanging="567"/>
        <w:rPr>
          <w:color w:val="000000"/>
          <w:sz w:val="22"/>
          <w:szCs w:val="22"/>
        </w:rPr>
      </w:pPr>
      <w:r w:rsidRPr="002D741C">
        <w:rPr>
          <w:b/>
          <w:color w:val="000000"/>
          <w:sz w:val="22"/>
          <w:szCs w:val="22"/>
        </w:rPr>
        <w:t>4.7</w:t>
      </w:r>
      <w:r w:rsidRPr="002D741C">
        <w:rPr>
          <w:b/>
          <w:color w:val="000000"/>
          <w:sz w:val="22"/>
          <w:szCs w:val="22"/>
        </w:rPr>
        <w:tab/>
        <w:t>Efectos sobre la capacidad para conducir y utilizar máquinas</w:t>
      </w:r>
    </w:p>
    <w:p w14:paraId="61609399" w14:textId="77777777" w:rsidR="00C45062" w:rsidRPr="002D741C" w:rsidRDefault="00C45062" w:rsidP="00AD13BE">
      <w:pPr>
        <w:pStyle w:val="EndnoteText"/>
        <w:keepNext/>
        <w:widowControl w:val="0"/>
        <w:tabs>
          <w:tab w:val="clear" w:pos="567"/>
        </w:tabs>
        <w:rPr>
          <w:color w:val="000000"/>
          <w:szCs w:val="22"/>
          <w:lang w:val="es-ES"/>
        </w:rPr>
      </w:pPr>
    </w:p>
    <w:p w14:paraId="510B37DC" w14:textId="77777777" w:rsidR="00C45062" w:rsidRPr="002D741C" w:rsidRDefault="00C45062" w:rsidP="00C45062">
      <w:pPr>
        <w:pStyle w:val="EndnoteText"/>
        <w:widowControl w:val="0"/>
        <w:tabs>
          <w:tab w:val="clear" w:pos="567"/>
        </w:tabs>
        <w:rPr>
          <w:color w:val="000000"/>
          <w:szCs w:val="22"/>
          <w:lang w:val="es-ES"/>
        </w:rPr>
      </w:pPr>
      <w:r w:rsidRPr="002D741C">
        <w:rPr>
          <w:color w:val="000000"/>
          <w:szCs w:val="22"/>
          <w:lang w:val="es-ES"/>
        </w:rPr>
        <w:t>Los pacientes deben ser advertidos de que durante el tratamiento con imatinib pueden tener reacciones adversas tales como mareos, visión borrosa o somnolencia. Por lo tanto, debe recomendarse precaución cuando se conduzca un coche o se utilice maquinaria.</w:t>
      </w:r>
    </w:p>
    <w:p w14:paraId="366AE69D" w14:textId="77777777" w:rsidR="00C45062" w:rsidRPr="002D741C" w:rsidRDefault="00C45062" w:rsidP="00C45062">
      <w:pPr>
        <w:pStyle w:val="EndnoteText"/>
        <w:widowControl w:val="0"/>
        <w:tabs>
          <w:tab w:val="clear" w:pos="567"/>
        </w:tabs>
        <w:rPr>
          <w:color w:val="000000"/>
          <w:szCs w:val="22"/>
          <w:lang w:val="es-ES"/>
        </w:rPr>
      </w:pPr>
    </w:p>
    <w:p w14:paraId="3E1DD9E5" w14:textId="77777777" w:rsidR="00C45062" w:rsidRPr="002D741C" w:rsidRDefault="00C45062" w:rsidP="00AD13BE">
      <w:pPr>
        <w:keepNext/>
        <w:widowControl w:val="0"/>
        <w:ind w:left="567" w:hanging="567"/>
        <w:rPr>
          <w:b/>
          <w:color w:val="000000"/>
          <w:sz w:val="22"/>
          <w:szCs w:val="22"/>
        </w:rPr>
      </w:pPr>
      <w:r w:rsidRPr="002D741C">
        <w:rPr>
          <w:b/>
          <w:color w:val="000000"/>
          <w:sz w:val="22"/>
          <w:szCs w:val="22"/>
        </w:rPr>
        <w:t>4.8</w:t>
      </w:r>
      <w:r w:rsidRPr="002D741C">
        <w:rPr>
          <w:b/>
          <w:color w:val="000000"/>
          <w:sz w:val="22"/>
          <w:szCs w:val="22"/>
        </w:rPr>
        <w:tab/>
        <w:t>Reacciones adversas</w:t>
      </w:r>
    </w:p>
    <w:p w14:paraId="1A3CFD43" w14:textId="77777777" w:rsidR="00C45062" w:rsidRPr="002D741C" w:rsidRDefault="00C45062" w:rsidP="00AD13BE">
      <w:pPr>
        <w:pStyle w:val="EndnoteText"/>
        <w:keepNext/>
        <w:widowControl w:val="0"/>
        <w:tabs>
          <w:tab w:val="clear" w:pos="567"/>
        </w:tabs>
        <w:rPr>
          <w:color w:val="000000"/>
          <w:szCs w:val="22"/>
          <w:lang w:val="es-ES"/>
        </w:rPr>
      </w:pPr>
    </w:p>
    <w:p w14:paraId="30CCA95D" w14:textId="77777777" w:rsidR="00C45062" w:rsidRPr="002D741C" w:rsidRDefault="00C45062" w:rsidP="00C45062">
      <w:pPr>
        <w:pStyle w:val="EndnoteText"/>
        <w:widowControl w:val="0"/>
        <w:tabs>
          <w:tab w:val="clear" w:pos="567"/>
        </w:tabs>
        <w:rPr>
          <w:color w:val="000000"/>
          <w:szCs w:val="22"/>
          <w:lang w:val="es-ES"/>
        </w:rPr>
      </w:pPr>
      <w:r w:rsidRPr="002D741C">
        <w:rPr>
          <w:color w:val="000000"/>
          <w:szCs w:val="22"/>
          <w:lang w:val="es-ES"/>
        </w:rPr>
        <w:t>Los pacientes en fases avanzadas de procesos malignos pueden tener múltiple sintomatología clínica que puede hacer difícil la atribución de causalidad de las reacciones adversas, dada la variedad de síntomas relacionados con la enfermedad subyacente, su progresión y la administración conjunta de numerosos medicamentos.</w:t>
      </w:r>
    </w:p>
    <w:p w14:paraId="368A2D34" w14:textId="77777777" w:rsidR="00C45062" w:rsidRPr="002D741C" w:rsidRDefault="00C45062" w:rsidP="00C45062">
      <w:pPr>
        <w:pStyle w:val="EndnoteText"/>
        <w:widowControl w:val="0"/>
        <w:tabs>
          <w:tab w:val="clear" w:pos="567"/>
        </w:tabs>
        <w:rPr>
          <w:color w:val="000000"/>
          <w:szCs w:val="22"/>
          <w:lang w:val="es-ES"/>
        </w:rPr>
      </w:pPr>
    </w:p>
    <w:p w14:paraId="6DF4E440" w14:textId="77777777" w:rsidR="00C45062" w:rsidRPr="002D741C" w:rsidRDefault="00C45062" w:rsidP="00C45062">
      <w:pPr>
        <w:pStyle w:val="EndnoteText"/>
        <w:widowControl w:val="0"/>
        <w:tabs>
          <w:tab w:val="clear" w:pos="567"/>
        </w:tabs>
        <w:rPr>
          <w:color w:val="000000"/>
          <w:szCs w:val="22"/>
          <w:lang w:val="es-ES"/>
        </w:rPr>
      </w:pPr>
      <w:r w:rsidRPr="002D741C">
        <w:rPr>
          <w:color w:val="000000"/>
          <w:szCs w:val="22"/>
          <w:lang w:val="es-ES"/>
        </w:rPr>
        <w:t>En los ensayos clínicos en LMC, la interrupción del tratamiento debido a las reacciones adversas relacionadas con el fármaco se observó en el 2,4% de los pacientes de diagnóstico reciente, el 4% de los pacientes en fase crónica tardía tras el fallo del tratamiento con interferón, el 4% de los pacientes en fase acelerada tras el fallo del tratamiento con interferón y el 5% de los pacientes en crisis blástica tras el fallo del tratamiento con interferón. En G</w:t>
      </w:r>
      <w:smartTag w:uri="urn:schemas-microsoft-com:office:smarttags" w:element="PersonName">
        <w:r w:rsidRPr="002D741C">
          <w:rPr>
            <w:color w:val="000000"/>
            <w:szCs w:val="22"/>
            <w:lang w:val="es-ES"/>
          </w:rPr>
          <w:t>IS</w:t>
        </w:r>
      </w:smartTag>
      <w:r w:rsidRPr="002D741C">
        <w:rPr>
          <w:color w:val="000000"/>
          <w:szCs w:val="22"/>
          <w:lang w:val="es-ES"/>
        </w:rPr>
        <w:t>T el 4% de los pacientes interrumpió la medicación del estudio debido a reacciones adversas del fármaco.</w:t>
      </w:r>
    </w:p>
    <w:p w14:paraId="66E56C93" w14:textId="77777777" w:rsidR="00C45062" w:rsidRPr="002D741C" w:rsidRDefault="00C45062" w:rsidP="00C45062">
      <w:pPr>
        <w:pStyle w:val="EndnoteText"/>
        <w:widowControl w:val="0"/>
        <w:tabs>
          <w:tab w:val="clear" w:pos="567"/>
        </w:tabs>
        <w:rPr>
          <w:color w:val="000000"/>
          <w:szCs w:val="22"/>
          <w:lang w:val="es-ES"/>
        </w:rPr>
      </w:pPr>
    </w:p>
    <w:p w14:paraId="0A833107" w14:textId="77777777" w:rsidR="00C45062" w:rsidRPr="002D741C" w:rsidRDefault="00C45062" w:rsidP="00C45062">
      <w:pPr>
        <w:pStyle w:val="EndnoteText"/>
        <w:widowControl w:val="0"/>
        <w:tabs>
          <w:tab w:val="clear" w:pos="567"/>
        </w:tabs>
        <w:rPr>
          <w:color w:val="000000"/>
          <w:szCs w:val="22"/>
          <w:lang w:val="es-ES"/>
        </w:rPr>
      </w:pPr>
      <w:r w:rsidRPr="002D741C">
        <w:rPr>
          <w:color w:val="000000"/>
          <w:szCs w:val="22"/>
          <w:lang w:val="es-ES"/>
        </w:rPr>
        <w:t>Las reacciones adversas en todas las indicaciones fueron similares con dos excepciones. Se observó más mielosupresión en pacientes con LMC que con G</w:t>
      </w:r>
      <w:smartTag w:uri="urn:schemas-microsoft-com:office:smarttags" w:element="PersonName">
        <w:r w:rsidRPr="002D741C">
          <w:rPr>
            <w:color w:val="000000"/>
            <w:szCs w:val="22"/>
            <w:lang w:val="es-ES"/>
          </w:rPr>
          <w:t>IS</w:t>
        </w:r>
      </w:smartTag>
      <w:r w:rsidRPr="002D741C">
        <w:rPr>
          <w:color w:val="000000"/>
          <w:szCs w:val="22"/>
          <w:lang w:val="es-ES"/>
        </w:rPr>
        <w:t>T, lo que probablemente sea debido a la enfermedad subyacente. En el estudio en pacientes con G</w:t>
      </w:r>
      <w:smartTag w:uri="urn:schemas-microsoft-com:office:smarttags" w:element="PersonName">
        <w:r w:rsidRPr="002D741C">
          <w:rPr>
            <w:color w:val="000000"/>
            <w:szCs w:val="22"/>
            <w:lang w:val="es-ES"/>
          </w:rPr>
          <w:t>IS</w:t>
        </w:r>
      </w:smartTag>
      <w:r w:rsidRPr="002D741C">
        <w:rPr>
          <w:color w:val="000000"/>
          <w:szCs w:val="22"/>
          <w:lang w:val="es-ES"/>
        </w:rPr>
        <w:t>T no resecable y/o metastásico, 7 (5%) pacientes presentaron Criterios de Toxicidad Comunes (</w:t>
      </w:r>
      <w:smartTag w:uri="urn:schemas-microsoft-com:office:smarttags" w:element="stockticker">
        <w:r w:rsidRPr="002D741C">
          <w:rPr>
            <w:color w:val="000000"/>
            <w:szCs w:val="22"/>
            <w:lang w:val="es-ES"/>
          </w:rPr>
          <w:t>CTC</w:t>
        </w:r>
      </w:smartTag>
      <w:r w:rsidRPr="002D741C">
        <w:rPr>
          <w:color w:val="000000"/>
          <w:szCs w:val="22"/>
          <w:lang w:val="es-ES"/>
        </w:rPr>
        <w:t>) de grado 3 / 4: hemorragias gastrointestinales (3 pacientes), hemorragias intra-tumorales (3 pacientes) o ambas (1 paciente). La localización del tumor gastrointestinal podría haber sido la causa de las hemorragias gastrointestinales (ver sección 4.4). Las hemorragias gastrointestinales y tumorales podrían ser graves y en ocasiones fatales. Las reacciones adversas relacionadas con el tratamiento notificadas más comúnmente (</w:t>
      </w:r>
      <w:r w:rsidRPr="002D741C">
        <w:rPr>
          <w:color w:val="000000"/>
          <w:szCs w:val="22"/>
          <w:lang w:val="es-ES"/>
        </w:rPr>
        <w:sym w:font="Symbol" w:char="F0B3"/>
      </w:r>
      <w:r w:rsidRPr="002D741C">
        <w:rPr>
          <w:color w:val="000000"/>
          <w:szCs w:val="22"/>
          <w:lang w:val="es-ES"/>
        </w:rPr>
        <w:t> 10%) en ambas patologías fueron leves: náuseas, vómitos, diarrea, dolor abdominal, fatiga, mialgia, calambres musculares y erupción. Un hallazgo común en todos los estudios fueron los edemas superficiales, siendo descritos principalmente como edemas periorbitales o de los miembros inferiores. Sin embargo, estos edemas raramente fueron severos y pudieron ser tratados con diuréticos, otras medidas de soporte o reduciendo la dosis de Glivec.</w:t>
      </w:r>
    </w:p>
    <w:p w14:paraId="65FC830D" w14:textId="77777777" w:rsidR="00C45062" w:rsidRPr="002D741C" w:rsidRDefault="00C45062" w:rsidP="00C45062">
      <w:pPr>
        <w:pStyle w:val="EndnoteText"/>
        <w:widowControl w:val="0"/>
        <w:tabs>
          <w:tab w:val="clear" w:pos="567"/>
        </w:tabs>
        <w:rPr>
          <w:color w:val="000000"/>
          <w:szCs w:val="22"/>
          <w:lang w:val="es-ES"/>
        </w:rPr>
      </w:pPr>
    </w:p>
    <w:p w14:paraId="233C7BB1" w14:textId="77777777" w:rsidR="00C45062" w:rsidRPr="002D741C" w:rsidRDefault="00C45062" w:rsidP="00C45062">
      <w:pPr>
        <w:pStyle w:val="EndnoteText"/>
        <w:widowControl w:val="0"/>
        <w:tabs>
          <w:tab w:val="clear" w:pos="567"/>
        </w:tabs>
        <w:rPr>
          <w:color w:val="000000"/>
          <w:szCs w:val="22"/>
          <w:lang w:val="es-ES"/>
        </w:rPr>
      </w:pPr>
      <w:r w:rsidRPr="002D741C">
        <w:rPr>
          <w:color w:val="000000"/>
          <w:szCs w:val="22"/>
          <w:lang w:val="es-ES"/>
        </w:rPr>
        <w:t>Cuando se combinó imatinib con quimioterapia a altas dosis en pacientes con LLA Ph+, se observó toxicidad hepática transitoria en forma de elevación de las transaminasas e hiperbilirrubinemia. Teniendo en cuenta la limitada base de datos de seguridad, las reacciones adversas notificadas hasta ahora en niños son consistentes con el perfil de seguridad conocido en pacientes adultos con LLA Ph+. La base de datos para niños con LLA Ph+ es muy limitada aunque no se han identificado nuevos problemas de seguridad.</w:t>
      </w:r>
    </w:p>
    <w:p w14:paraId="6261F357" w14:textId="77777777" w:rsidR="00C45062" w:rsidRPr="002D741C" w:rsidRDefault="00C45062" w:rsidP="00C45062">
      <w:pPr>
        <w:pStyle w:val="EndnoteText"/>
        <w:widowControl w:val="0"/>
        <w:tabs>
          <w:tab w:val="clear" w:pos="567"/>
        </w:tabs>
        <w:rPr>
          <w:color w:val="000000"/>
          <w:szCs w:val="22"/>
          <w:lang w:val="es-ES"/>
        </w:rPr>
      </w:pPr>
    </w:p>
    <w:p w14:paraId="62C139BA" w14:textId="77777777" w:rsidR="00C45062" w:rsidRPr="002D741C" w:rsidRDefault="00C45062" w:rsidP="00C45062">
      <w:pPr>
        <w:pStyle w:val="EndnoteText"/>
        <w:widowControl w:val="0"/>
        <w:tabs>
          <w:tab w:val="clear" w:pos="567"/>
        </w:tabs>
        <w:rPr>
          <w:color w:val="000000"/>
          <w:szCs w:val="22"/>
          <w:lang w:val="es-ES"/>
        </w:rPr>
      </w:pPr>
      <w:r w:rsidRPr="002D741C">
        <w:rPr>
          <w:color w:val="000000"/>
          <w:szCs w:val="22"/>
          <w:lang w:val="es-ES"/>
        </w:rPr>
        <w:t>Diversas reacciones adversas tales como efusión pleural, ascitis, edema pulmonar y aumento rápido de peso con o sin edema superficial pueden ser descritos de forma conjunta como «retención de líquidos». Estas reacciones pueden normalmente ser tratadas retirando temporalmente el tratamiento con Glivec, y administrando diuréticos y otras medidas terapéuticas de soporte. Sin embargo, algunas de estas reacciones pueden ser graves o comportar riesgo para la vida. Diversos pacientes con crisis blástica murieron con una historia clínica compleja de efusión pleural, insuficiencia cardíaca congestiva y fallo renal. En los ensayos clínicos pediátricos no se observaron hallazgos especiales respecto a la seguridad.</w:t>
      </w:r>
    </w:p>
    <w:p w14:paraId="29D08EB5" w14:textId="77777777" w:rsidR="00C45062" w:rsidRPr="002D741C" w:rsidRDefault="00C45062" w:rsidP="00C45062">
      <w:pPr>
        <w:pStyle w:val="EndnoteText"/>
        <w:widowControl w:val="0"/>
        <w:tabs>
          <w:tab w:val="clear" w:pos="567"/>
        </w:tabs>
        <w:rPr>
          <w:color w:val="000000"/>
          <w:szCs w:val="22"/>
          <w:lang w:val="es-ES"/>
        </w:rPr>
      </w:pPr>
    </w:p>
    <w:p w14:paraId="40FF6C14" w14:textId="77777777" w:rsidR="00C45062" w:rsidRPr="002D741C" w:rsidRDefault="00C45062" w:rsidP="00AD13BE">
      <w:pPr>
        <w:pStyle w:val="EndnoteText"/>
        <w:keepNext/>
        <w:widowControl w:val="0"/>
        <w:tabs>
          <w:tab w:val="clear" w:pos="567"/>
        </w:tabs>
        <w:rPr>
          <w:b/>
          <w:color w:val="000000"/>
          <w:szCs w:val="22"/>
          <w:lang w:val="es-ES"/>
        </w:rPr>
      </w:pPr>
      <w:r w:rsidRPr="002D741C">
        <w:rPr>
          <w:b/>
          <w:color w:val="000000"/>
          <w:szCs w:val="22"/>
          <w:lang w:val="es-ES"/>
        </w:rPr>
        <w:t>Reacciones adversas</w:t>
      </w:r>
    </w:p>
    <w:p w14:paraId="21E20931" w14:textId="77777777" w:rsidR="00C45062" w:rsidRPr="002D741C" w:rsidRDefault="00C45062" w:rsidP="00C45062">
      <w:pPr>
        <w:pStyle w:val="EndnoteText"/>
        <w:widowControl w:val="0"/>
        <w:tabs>
          <w:tab w:val="clear" w:pos="567"/>
        </w:tabs>
        <w:rPr>
          <w:color w:val="000000"/>
          <w:szCs w:val="22"/>
          <w:lang w:val="es-ES"/>
        </w:rPr>
      </w:pPr>
      <w:r w:rsidRPr="002D741C">
        <w:rPr>
          <w:color w:val="000000"/>
          <w:szCs w:val="22"/>
          <w:lang w:val="es-ES"/>
        </w:rPr>
        <w:t>Se detallan a continuación las reacciones adversas notificadas, excepto los casos aislados, por órganos y sistemas y por frecuencia. Las categorías de frecuencias se definen utilizando la siguiente convención: muy frecuentes (</w:t>
      </w:r>
      <w:r w:rsidRPr="002D741C">
        <w:rPr>
          <w:szCs w:val="22"/>
          <w:lang w:val="es-ES"/>
        </w:rPr>
        <w:t>≥</w:t>
      </w:r>
      <w:r w:rsidRPr="002D741C">
        <w:rPr>
          <w:color w:val="000000"/>
          <w:szCs w:val="22"/>
          <w:lang w:val="es-ES"/>
        </w:rPr>
        <w:t>1/10), frecuentes (</w:t>
      </w:r>
      <w:r w:rsidRPr="002D741C">
        <w:rPr>
          <w:szCs w:val="22"/>
          <w:lang w:val="es-ES"/>
        </w:rPr>
        <w:t>≥</w:t>
      </w:r>
      <w:r w:rsidRPr="002D741C">
        <w:rPr>
          <w:color w:val="000000"/>
          <w:szCs w:val="22"/>
          <w:lang w:val="es-ES"/>
        </w:rPr>
        <w:t>1/100 a &lt;1/10), poco frecuentes (</w:t>
      </w:r>
      <w:r w:rsidRPr="002D741C">
        <w:rPr>
          <w:szCs w:val="22"/>
          <w:lang w:val="es-ES"/>
        </w:rPr>
        <w:t>≥</w:t>
      </w:r>
      <w:r w:rsidRPr="002D741C">
        <w:rPr>
          <w:color w:val="000000"/>
          <w:szCs w:val="22"/>
          <w:lang w:val="es-ES"/>
        </w:rPr>
        <w:t xml:space="preserve">1/1.000 a </w:t>
      </w:r>
      <w:r w:rsidRPr="002D741C">
        <w:rPr>
          <w:color w:val="000000"/>
          <w:szCs w:val="22"/>
          <w:lang w:val="es-ES"/>
        </w:rPr>
        <w:lastRenderedPageBreak/>
        <w:t>&lt;1/100), raras (</w:t>
      </w:r>
      <w:r w:rsidRPr="002D741C">
        <w:rPr>
          <w:szCs w:val="22"/>
          <w:lang w:val="es-ES"/>
        </w:rPr>
        <w:t xml:space="preserve">≥1/10.000 a </w:t>
      </w:r>
      <w:r w:rsidRPr="002D741C">
        <w:rPr>
          <w:color w:val="000000"/>
          <w:szCs w:val="22"/>
          <w:lang w:val="es-ES"/>
        </w:rPr>
        <w:t xml:space="preserve">&lt;1/1.000), muy raras (&lt;1/10.000), frecuencia </w:t>
      </w:r>
      <w:r w:rsidRPr="002D741C">
        <w:rPr>
          <w:noProof/>
          <w:color w:val="000000"/>
          <w:lang w:val="es-ES"/>
        </w:rPr>
        <w:t>no conocida (no puede estimarse a partir de los datos disponibles)</w:t>
      </w:r>
      <w:r w:rsidRPr="002D741C">
        <w:rPr>
          <w:color w:val="000000"/>
          <w:szCs w:val="22"/>
          <w:lang w:val="es-ES"/>
        </w:rPr>
        <w:t>.</w:t>
      </w:r>
    </w:p>
    <w:p w14:paraId="7787730A" w14:textId="77777777" w:rsidR="00C45062" w:rsidRPr="002D741C" w:rsidRDefault="00C45062" w:rsidP="00C45062">
      <w:pPr>
        <w:pStyle w:val="EndnoteText"/>
        <w:widowControl w:val="0"/>
        <w:tabs>
          <w:tab w:val="clear" w:pos="567"/>
        </w:tabs>
        <w:rPr>
          <w:color w:val="000000"/>
          <w:szCs w:val="22"/>
          <w:lang w:val="es-ES"/>
        </w:rPr>
      </w:pPr>
    </w:p>
    <w:p w14:paraId="22554976" w14:textId="77777777" w:rsidR="00C45062" w:rsidRPr="002D741C" w:rsidRDefault="00C45062" w:rsidP="00C45062">
      <w:pPr>
        <w:pStyle w:val="EndnoteText"/>
        <w:widowControl w:val="0"/>
        <w:tabs>
          <w:tab w:val="clear" w:pos="567"/>
        </w:tabs>
        <w:rPr>
          <w:color w:val="000000"/>
          <w:szCs w:val="22"/>
          <w:lang w:val="es-ES"/>
        </w:rPr>
      </w:pPr>
      <w:r w:rsidRPr="002D741C">
        <w:rPr>
          <w:color w:val="000000"/>
          <w:szCs w:val="22"/>
          <w:lang w:val="es-ES"/>
        </w:rPr>
        <w:t>Las reacciones adversas se enumeran en orden decreciente de frecuencia dentro de cada intervalo de frecuencia.</w:t>
      </w:r>
    </w:p>
    <w:p w14:paraId="3CEFED0A" w14:textId="77777777" w:rsidR="00C45062" w:rsidRPr="002D741C" w:rsidRDefault="00C45062" w:rsidP="00C45062">
      <w:pPr>
        <w:pStyle w:val="EndnoteText"/>
        <w:widowControl w:val="0"/>
        <w:tabs>
          <w:tab w:val="clear" w:pos="567"/>
        </w:tabs>
        <w:rPr>
          <w:color w:val="000000"/>
          <w:szCs w:val="22"/>
          <w:lang w:val="es-ES_tradnl"/>
        </w:rPr>
      </w:pPr>
    </w:p>
    <w:p w14:paraId="5B6562CF" w14:textId="77777777" w:rsidR="00C45062" w:rsidRPr="002D741C" w:rsidRDefault="00C45062" w:rsidP="00C45062">
      <w:pPr>
        <w:pStyle w:val="EndnoteText"/>
        <w:widowControl w:val="0"/>
        <w:tabs>
          <w:tab w:val="clear" w:pos="567"/>
        </w:tabs>
        <w:rPr>
          <w:color w:val="000000"/>
          <w:szCs w:val="22"/>
          <w:lang w:val="es-ES_tradnl"/>
        </w:rPr>
      </w:pPr>
      <w:r w:rsidRPr="002D741C">
        <w:rPr>
          <w:color w:val="000000"/>
          <w:szCs w:val="22"/>
          <w:lang w:val="es-ES_tradnl"/>
        </w:rPr>
        <w:t xml:space="preserve">Las reacciones adversas y sus frecuencias se presentan en </w:t>
      </w:r>
      <w:smartTag w:uri="urn:schemas-microsoft-com:office:smarttags" w:element="PersonName">
        <w:smartTagPr>
          <w:attr w:name="ProductID" w:val="la Tabla"/>
        </w:smartTagPr>
        <w:r w:rsidRPr="002D741C">
          <w:rPr>
            <w:color w:val="000000"/>
            <w:szCs w:val="22"/>
            <w:lang w:val="es-ES_tradnl"/>
          </w:rPr>
          <w:t>la Tabla</w:t>
        </w:r>
      </w:smartTag>
      <w:r w:rsidRPr="002D741C">
        <w:rPr>
          <w:color w:val="000000"/>
          <w:szCs w:val="22"/>
          <w:lang w:val="es-ES_tradnl"/>
        </w:rPr>
        <w:t> 1.</w:t>
      </w:r>
    </w:p>
    <w:p w14:paraId="5B8C98A8" w14:textId="77777777" w:rsidR="00C45062" w:rsidRPr="002D741C" w:rsidRDefault="00C45062" w:rsidP="00C45062">
      <w:pPr>
        <w:pStyle w:val="EndnoteText"/>
        <w:widowControl w:val="0"/>
        <w:tabs>
          <w:tab w:val="clear" w:pos="567"/>
        </w:tabs>
        <w:rPr>
          <w:color w:val="000000"/>
          <w:szCs w:val="22"/>
          <w:lang w:val="es-ES_tradnl"/>
        </w:rPr>
      </w:pPr>
    </w:p>
    <w:p w14:paraId="3BC94FBB" w14:textId="77777777" w:rsidR="00C45062" w:rsidRPr="002D741C" w:rsidRDefault="00C45062" w:rsidP="00C45062">
      <w:pPr>
        <w:pStyle w:val="Heading4"/>
        <w:widowControl w:val="0"/>
        <w:tabs>
          <w:tab w:val="clear" w:pos="567"/>
          <w:tab w:val="left" w:pos="1134"/>
        </w:tabs>
        <w:spacing w:line="240" w:lineRule="auto"/>
        <w:rPr>
          <w:color w:val="000000"/>
          <w:szCs w:val="22"/>
        </w:rPr>
      </w:pPr>
      <w:r w:rsidRPr="002D741C">
        <w:rPr>
          <w:color w:val="000000"/>
          <w:szCs w:val="22"/>
        </w:rPr>
        <w:t>Tabla 1</w:t>
      </w:r>
      <w:r w:rsidRPr="002D741C">
        <w:rPr>
          <w:color w:val="000000"/>
          <w:szCs w:val="22"/>
        </w:rPr>
        <w:tab/>
      </w:r>
      <w:r w:rsidR="00483CB7" w:rsidRPr="002D741C">
        <w:rPr>
          <w:color w:val="000000"/>
          <w:szCs w:val="22"/>
        </w:rPr>
        <w:t>Tabla resumen de r</w:t>
      </w:r>
      <w:r w:rsidRPr="002D741C">
        <w:rPr>
          <w:color w:val="000000"/>
          <w:szCs w:val="22"/>
        </w:rPr>
        <w:t>eacciones adversas</w:t>
      </w:r>
    </w:p>
    <w:p w14:paraId="35048596" w14:textId="77777777" w:rsidR="00C45062" w:rsidRPr="002D741C" w:rsidRDefault="00C45062" w:rsidP="00AD13BE">
      <w:pPr>
        <w:keepNext/>
        <w:rPr>
          <w:color w:val="000000"/>
          <w:sz w:val="22"/>
          <w:szCs w:val="22"/>
        </w:rPr>
      </w:pP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5"/>
        <w:gridCol w:w="7087"/>
      </w:tblGrid>
      <w:tr w:rsidR="00C45062" w:rsidRPr="002D741C" w14:paraId="66192B93" w14:textId="77777777" w:rsidTr="00AD13BE">
        <w:trPr>
          <w:cantSplit/>
        </w:trPr>
        <w:tc>
          <w:tcPr>
            <w:tcW w:w="9322" w:type="dxa"/>
            <w:gridSpan w:val="2"/>
          </w:tcPr>
          <w:p w14:paraId="09859E5E" w14:textId="77777777" w:rsidR="00C45062" w:rsidRPr="002D741C" w:rsidRDefault="00C45062" w:rsidP="00AD13BE">
            <w:pPr>
              <w:keepNext/>
              <w:widowControl w:val="0"/>
              <w:tabs>
                <w:tab w:val="left" w:pos="567"/>
              </w:tabs>
              <w:spacing w:line="260" w:lineRule="exact"/>
              <w:rPr>
                <w:b/>
                <w:color w:val="000000"/>
                <w:sz w:val="22"/>
                <w:szCs w:val="22"/>
                <w:lang w:val="es-ES"/>
              </w:rPr>
            </w:pPr>
            <w:r w:rsidRPr="002D741C">
              <w:rPr>
                <w:b/>
                <w:color w:val="000000"/>
                <w:sz w:val="22"/>
                <w:szCs w:val="22"/>
                <w:lang w:val="es-ES"/>
              </w:rPr>
              <w:t>Infecciones e infestaciones</w:t>
            </w:r>
          </w:p>
        </w:tc>
      </w:tr>
      <w:tr w:rsidR="00C45062" w:rsidRPr="002D741C" w14:paraId="10A73EDB" w14:textId="77777777" w:rsidTr="00AD13BE">
        <w:trPr>
          <w:cantSplit/>
        </w:trPr>
        <w:tc>
          <w:tcPr>
            <w:tcW w:w="2235" w:type="dxa"/>
          </w:tcPr>
          <w:p w14:paraId="6EA9A5C7" w14:textId="77777777" w:rsidR="00C45062" w:rsidRPr="002D741C" w:rsidRDefault="00C45062" w:rsidP="00AD13BE">
            <w:pPr>
              <w:keepNext/>
              <w:widowControl w:val="0"/>
              <w:tabs>
                <w:tab w:val="left" w:pos="567"/>
              </w:tabs>
              <w:spacing w:line="260" w:lineRule="exact"/>
              <w:rPr>
                <w:i/>
                <w:color w:val="000000"/>
                <w:sz w:val="22"/>
                <w:szCs w:val="22"/>
                <w:lang w:val="es-ES"/>
              </w:rPr>
            </w:pPr>
            <w:r w:rsidRPr="002D741C">
              <w:rPr>
                <w:i/>
                <w:color w:val="000000"/>
                <w:sz w:val="22"/>
                <w:szCs w:val="22"/>
                <w:lang w:val="es-ES"/>
              </w:rPr>
              <w:t>Poco frecuentes:</w:t>
            </w:r>
          </w:p>
        </w:tc>
        <w:tc>
          <w:tcPr>
            <w:tcW w:w="7087" w:type="dxa"/>
          </w:tcPr>
          <w:p w14:paraId="7D49BB66" w14:textId="77777777" w:rsidR="00C45062" w:rsidRPr="002D741C" w:rsidRDefault="00C45062" w:rsidP="00AD13BE">
            <w:pPr>
              <w:keepNext/>
              <w:widowControl w:val="0"/>
              <w:tabs>
                <w:tab w:val="left" w:pos="567"/>
              </w:tabs>
              <w:spacing w:line="260" w:lineRule="exact"/>
              <w:rPr>
                <w:color w:val="000000"/>
                <w:sz w:val="22"/>
                <w:szCs w:val="22"/>
                <w:lang w:val="es-ES"/>
              </w:rPr>
            </w:pPr>
            <w:r w:rsidRPr="002D741C">
              <w:rPr>
                <w:color w:val="000000"/>
                <w:sz w:val="22"/>
                <w:szCs w:val="22"/>
                <w:lang w:val="es-ES"/>
              </w:rPr>
              <w:t>Herpes zoster, herpes simplex, nasofaringitis, neumonía</w:t>
            </w:r>
            <w:r w:rsidRPr="002D741C">
              <w:rPr>
                <w:color w:val="000000"/>
                <w:sz w:val="22"/>
                <w:szCs w:val="22"/>
                <w:vertAlign w:val="superscript"/>
                <w:lang w:val="es-ES"/>
              </w:rPr>
              <w:t>1</w:t>
            </w:r>
            <w:r w:rsidRPr="002D741C">
              <w:rPr>
                <w:color w:val="000000"/>
                <w:sz w:val="22"/>
                <w:szCs w:val="22"/>
                <w:lang w:val="es-ES"/>
              </w:rPr>
              <w:t>, sinusitis, celulitis, infección del tracto respiratorio superior, influenza, infección del tracto urinario, gastroenteritis, sepsis</w:t>
            </w:r>
          </w:p>
        </w:tc>
      </w:tr>
      <w:tr w:rsidR="00C45062" w:rsidRPr="002D741C" w14:paraId="544CE0C6" w14:textId="77777777" w:rsidTr="00AD13BE">
        <w:trPr>
          <w:cantSplit/>
        </w:trPr>
        <w:tc>
          <w:tcPr>
            <w:tcW w:w="2235" w:type="dxa"/>
          </w:tcPr>
          <w:p w14:paraId="7B230257" w14:textId="77777777" w:rsidR="00C45062" w:rsidRPr="002D741C" w:rsidRDefault="00C45062" w:rsidP="00AD13BE">
            <w:pPr>
              <w:keepNext/>
              <w:widowControl w:val="0"/>
              <w:tabs>
                <w:tab w:val="left" w:pos="567"/>
              </w:tabs>
              <w:spacing w:line="260" w:lineRule="exact"/>
              <w:rPr>
                <w:i/>
                <w:color w:val="000000"/>
                <w:sz w:val="22"/>
                <w:szCs w:val="22"/>
                <w:lang w:val="es-ES"/>
              </w:rPr>
            </w:pPr>
            <w:r w:rsidRPr="002D741C">
              <w:rPr>
                <w:i/>
                <w:color w:val="000000"/>
                <w:sz w:val="22"/>
                <w:szCs w:val="22"/>
                <w:lang w:val="es-ES"/>
              </w:rPr>
              <w:t>Raras:</w:t>
            </w:r>
          </w:p>
        </w:tc>
        <w:tc>
          <w:tcPr>
            <w:tcW w:w="7087" w:type="dxa"/>
          </w:tcPr>
          <w:p w14:paraId="091DB8F2" w14:textId="77777777" w:rsidR="00C45062" w:rsidRPr="002D741C" w:rsidRDefault="00C45062" w:rsidP="00AD13BE">
            <w:pPr>
              <w:keepNext/>
              <w:widowControl w:val="0"/>
              <w:tabs>
                <w:tab w:val="left" w:pos="567"/>
              </w:tabs>
              <w:spacing w:line="260" w:lineRule="exact"/>
              <w:rPr>
                <w:color w:val="000000"/>
                <w:sz w:val="22"/>
                <w:szCs w:val="22"/>
                <w:lang w:val="es-ES"/>
              </w:rPr>
            </w:pPr>
            <w:r w:rsidRPr="002D741C">
              <w:rPr>
                <w:color w:val="000000"/>
                <w:sz w:val="22"/>
                <w:szCs w:val="22"/>
                <w:lang w:val="es-ES"/>
              </w:rPr>
              <w:t>Infección fúngica</w:t>
            </w:r>
          </w:p>
        </w:tc>
      </w:tr>
      <w:tr w:rsidR="0057412D" w:rsidRPr="002D741C" w14:paraId="1A481799" w14:textId="77777777" w:rsidTr="00AD13BE">
        <w:trPr>
          <w:cantSplit/>
        </w:trPr>
        <w:tc>
          <w:tcPr>
            <w:tcW w:w="2235" w:type="dxa"/>
          </w:tcPr>
          <w:p w14:paraId="2457E300" w14:textId="77777777" w:rsidR="0057412D" w:rsidRPr="002D741C" w:rsidRDefault="0057412D" w:rsidP="0036729F">
            <w:pPr>
              <w:tabs>
                <w:tab w:val="left" w:pos="567"/>
              </w:tabs>
              <w:spacing w:line="260" w:lineRule="exact"/>
              <w:rPr>
                <w:i/>
                <w:color w:val="000000"/>
                <w:sz w:val="22"/>
                <w:szCs w:val="22"/>
                <w:lang w:val="es-ES"/>
              </w:rPr>
            </w:pPr>
            <w:r w:rsidRPr="002D741C">
              <w:rPr>
                <w:i/>
                <w:color w:val="000000"/>
                <w:sz w:val="22"/>
                <w:szCs w:val="22"/>
                <w:lang w:val="es-ES"/>
              </w:rPr>
              <w:t>Frecuencia no conocida:</w:t>
            </w:r>
          </w:p>
        </w:tc>
        <w:tc>
          <w:tcPr>
            <w:tcW w:w="7087" w:type="dxa"/>
          </w:tcPr>
          <w:p w14:paraId="5AAC2D06" w14:textId="77777777" w:rsidR="0057412D" w:rsidRPr="002D741C" w:rsidRDefault="0057412D" w:rsidP="0036729F">
            <w:pPr>
              <w:tabs>
                <w:tab w:val="left" w:pos="567"/>
              </w:tabs>
              <w:spacing w:line="260" w:lineRule="exact"/>
              <w:rPr>
                <w:color w:val="000000"/>
                <w:sz w:val="22"/>
                <w:szCs w:val="22"/>
                <w:lang w:val="es-ES"/>
              </w:rPr>
            </w:pPr>
            <w:r w:rsidRPr="002D741C">
              <w:rPr>
                <w:color w:val="000000"/>
                <w:sz w:val="22"/>
                <w:szCs w:val="22"/>
                <w:lang w:val="es-ES"/>
              </w:rPr>
              <w:t>Reactivación del virus de la hepatitis B*</w:t>
            </w:r>
          </w:p>
        </w:tc>
      </w:tr>
      <w:tr w:rsidR="00C45062" w:rsidRPr="002D741C" w14:paraId="476A06E0" w14:textId="77777777" w:rsidTr="00AD13BE">
        <w:trPr>
          <w:cantSplit/>
        </w:trPr>
        <w:tc>
          <w:tcPr>
            <w:tcW w:w="9322" w:type="dxa"/>
            <w:gridSpan w:val="2"/>
          </w:tcPr>
          <w:p w14:paraId="5ABE08F2" w14:textId="77777777" w:rsidR="00C45062" w:rsidRPr="002D741C" w:rsidRDefault="00C45062" w:rsidP="00AD13BE">
            <w:pPr>
              <w:keepNext/>
              <w:widowControl w:val="0"/>
              <w:tabs>
                <w:tab w:val="left" w:pos="567"/>
              </w:tabs>
              <w:spacing w:line="260" w:lineRule="exact"/>
              <w:rPr>
                <w:b/>
                <w:color w:val="000000"/>
                <w:sz w:val="22"/>
                <w:szCs w:val="22"/>
                <w:lang w:val="es-ES"/>
              </w:rPr>
            </w:pPr>
            <w:r w:rsidRPr="002D741C">
              <w:rPr>
                <w:b/>
                <w:color w:val="000000"/>
                <w:sz w:val="22"/>
                <w:szCs w:val="22"/>
                <w:lang w:val="es-ES"/>
              </w:rPr>
              <w:t>Neoplasias benignas, malignas y no especificadas (incluyendo quistes y pólipos)</w:t>
            </w:r>
          </w:p>
        </w:tc>
      </w:tr>
      <w:tr w:rsidR="00C45062" w:rsidRPr="002D741C" w14:paraId="0B49D36A" w14:textId="77777777" w:rsidTr="00AD13BE">
        <w:trPr>
          <w:cantSplit/>
        </w:trPr>
        <w:tc>
          <w:tcPr>
            <w:tcW w:w="2235" w:type="dxa"/>
          </w:tcPr>
          <w:p w14:paraId="4996ACD8" w14:textId="77777777" w:rsidR="00C45062" w:rsidRPr="002D741C" w:rsidRDefault="00C45062" w:rsidP="00AD13BE">
            <w:pPr>
              <w:keepNext/>
              <w:widowControl w:val="0"/>
              <w:tabs>
                <w:tab w:val="left" w:pos="567"/>
              </w:tabs>
              <w:spacing w:line="260" w:lineRule="exact"/>
              <w:rPr>
                <w:i/>
                <w:color w:val="000000"/>
                <w:sz w:val="22"/>
                <w:szCs w:val="22"/>
                <w:lang w:val="es-ES"/>
              </w:rPr>
            </w:pPr>
            <w:r w:rsidRPr="002D741C">
              <w:rPr>
                <w:i/>
                <w:color w:val="000000"/>
                <w:sz w:val="22"/>
                <w:szCs w:val="22"/>
                <w:lang w:val="es-ES"/>
              </w:rPr>
              <w:t>Raras</w:t>
            </w:r>
          </w:p>
        </w:tc>
        <w:tc>
          <w:tcPr>
            <w:tcW w:w="7087" w:type="dxa"/>
          </w:tcPr>
          <w:p w14:paraId="3471C2C5" w14:textId="77777777" w:rsidR="00C45062" w:rsidRPr="002D741C" w:rsidRDefault="00C45062" w:rsidP="00AD13BE">
            <w:pPr>
              <w:keepNext/>
              <w:widowControl w:val="0"/>
              <w:tabs>
                <w:tab w:val="left" w:pos="567"/>
              </w:tabs>
              <w:spacing w:line="260" w:lineRule="exact"/>
              <w:rPr>
                <w:color w:val="000000"/>
                <w:sz w:val="22"/>
                <w:szCs w:val="22"/>
                <w:lang w:val="es-ES"/>
              </w:rPr>
            </w:pPr>
            <w:r w:rsidRPr="002D741C">
              <w:rPr>
                <w:color w:val="000000"/>
                <w:sz w:val="22"/>
                <w:szCs w:val="22"/>
                <w:lang w:val="es-ES"/>
              </w:rPr>
              <w:t>Síndrome de lisis tumoral</w:t>
            </w:r>
          </w:p>
        </w:tc>
      </w:tr>
      <w:tr w:rsidR="00483CB7" w:rsidRPr="002D741C" w14:paraId="4956AA69" w14:textId="77777777" w:rsidTr="00AD13BE">
        <w:trPr>
          <w:cantSplit/>
        </w:trPr>
        <w:tc>
          <w:tcPr>
            <w:tcW w:w="2235" w:type="dxa"/>
          </w:tcPr>
          <w:p w14:paraId="2A4046CD" w14:textId="77777777" w:rsidR="00483CB7" w:rsidRPr="002D741C" w:rsidRDefault="00483CB7" w:rsidP="00F22369">
            <w:pPr>
              <w:tabs>
                <w:tab w:val="left" w:pos="567"/>
              </w:tabs>
              <w:spacing w:line="260" w:lineRule="exact"/>
              <w:rPr>
                <w:i/>
                <w:color w:val="000000"/>
                <w:sz w:val="22"/>
                <w:szCs w:val="22"/>
                <w:lang w:val="es-ES"/>
              </w:rPr>
            </w:pPr>
            <w:r w:rsidRPr="002D741C">
              <w:rPr>
                <w:i/>
                <w:color w:val="000000"/>
                <w:sz w:val="22"/>
                <w:szCs w:val="22"/>
                <w:lang w:val="es-ES"/>
              </w:rPr>
              <w:t>Frecuencia no conocida:</w:t>
            </w:r>
          </w:p>
        </w:tc>
        <w:tc>
          <w:tcPr>
            <w:tcW w:w="7087" w:type="dxa"/>
          </w:tcPr>
          <w:p w14:paraId="7EE8F046" w14:textId="77777777" w:rsidR="00483CB7" w:rsidRPr="002D741C" w:rsidRDefault="00483CB7" w:rsidP="00F22369">
            <w:pPr>
              <w:tabs>
                <w:tab w:val="left" w:pos="567"/>
              </w:tabs>
              <w:spacing w:line="260" w:lineRule="exact"/>
              <w:rPr>
                <w:color w:val="000000"/>
                <w:sz w:val="22"/>
                <w:szCs w:val="22"/>
                <w:lang w:val="es-ES"/>
              </w:rPr>
            </w:pPr>
            <w:r w:rsidRPr="002D741C">
              <w:rPr>
                <w:color w:val="000000"/>
                <w:sz w:val="22"/>
                <w:szCs w:val="22"/>
                <w:lang w:val="es-ES"/>
              </w:rPr>
              <w:t>Hemorragia tumoral/necrosis tumoral*</w:t>
            </w:r>
          </w:p>
        </w:tc>
      </w:tr>
      <w:tr w:rsidR="00483CB7" w:rsidRPr="002D741C" w14:paraId="191DB1C6" w14:textId="77777777" w:rsidTr="00AD13BE">
        <w:trPr>
          <w:cantSplit/>
        </w:trPr>
        <w:tc>
          <w:tcPr>
            <w:tcW w:w="9322" w:type="dxa"/>
            <w:gridSpan w:val="2"/>
          </w:tcPr>
          <w:p w14:paraId="1CD45716" w14:textId="77777777" w:rsidR="00483CB7" w:rsidRPr="002D741C" w:rsidRDefault="00483CB7" w:rsidP="00AD13BE">
            <w:pPr>
              <w:keepNext/>
              <w:widowControl w:val="0"/>
              <w:tabs>
                <w:tab w:val="left" w:pos="567"/>
              </w:tabs>
              <w:spacing w:line="260" w:lineRule="exact"/>
              <w:rPr>
                <w:b/>
                <w:color w:val="000000"/>
                <w:sz w:val="22"/>
                <w:szCs w:val="22"/>
                <w:lang w:val="es-ES"/>
              </w:rPr>
            </w:pPr>
            <w:r w:rsidRPr="002D741C">
              <w:rPr>
                <w:b/>
                <w:color w:val="000000"/>
                <w:sz w:val="22"/>
                <w:szCs w:val="22"/>
                <w:lang w:val="es-ES"/>
              </w:rPr>
              <w:t>Trastornos del sistema inmunológico</w:t>
            </w:r>
          </w:p>
        </w:tc>
      </w:tr>
      <w:tr w:rsidR="00483CB7" w:rsidRPr="002D741C" w14:paraId="670C6F01" w14:textId="77777777" w:rsidTr="00AD13BE">
        <w:trPr>
          <w:cantSplit/>
        </w:trPr>
        <w:tc>
          <w:tcPr>
            <w:tcW w:w="2235" w:type="dxa"/>
          </w:tcPr>
          <w:p w14:paraId="2339B70C" w14:textId="77777777" w:rsidR="00483CB7" w:rsidRPr="002D741C" w:rsidRDefault="00483CB7" w:rsidP="00F22369">
            <w:pPr>
              <w:tabs>
                <w:tab w:val="left" w:pos="567"/>
              </w:tabs>
              <w:spacing w:line="260" w:lineRule="exact"/>
              <w:rPr>
                <w:b/>
                <w:color w:val="000000"/>
                <w:sz w:val="22"/>
                <w:szCs w:val="22"/>
                <w:lang w:val="es-ES"/>
              </w:rPr>
            </w:pPr>
            <w:r w:rsidRPr="002D741C">
              <w:rPr>
                <w:i/>
                <w:color w:val="000000"/>
                <w:sz w:val="22"/>
                <w:szCs w:val="22"/>
                <w:lang w:val="es-ES"/>
              </w:rPr>
              <w:t>Frecuencia no conocida:</w:t>
            </w:r>
          </w:p>
        </w:tc>
        <w:tc>
          <w:tcPr>
            <w:tcW w:w="7087" w:type="dxa"/>
          </w:tcPr>
          <w:p w14:paraId="78301116" w14:textId="77777777" w:rsidR="00483CB7" w:rsidRPr="002D741C" w:rsidRDefault="00483CB7" w:rsidP="00F22369">
            <w:pPr>
              <w:tabs>
                <w:tab w:val="left" w:pos="567"/>
              </w:tabs>
              <w:spacing w:line="260" w:lineRule="exact"/>
              <w:rPr>
                <w:b/>
                <w:color w:val="000000"/>
                <w:sz w:val="22"/>
                <w:szCs w:val="22"/>
                <w:lang w:val="es-ES"/>
              </w:rPr>
            </w:pPr>
            <w:r w:rsidRPr="002D741C">
              <w:rPr>
                <w:color w:val="000000"/>
                <w:sz w:val="22"/>
                <w:szCs w:val="22"/>
                <w:lang w:val="es-ES"/>
              </w:rPr>
              <w:t>Shock anafiláctico*</w:t>
            </w:r>
          </w:p>
        </w:tc>
      </w:tr>
      <w:tr w:rsidR="00483CB7" w:rsidRPr="002D741C" w14:paraId="45023DDF" w14:textId="77777777" w:rsidTr="00AD13BE">
        <w:trPr>
          <w:cantSplit/>
        </w:trPr>
        <w:tc>
          <w:tcPr>
            <w:tcW w:w="9322" w:type="dxa"/>
            <w:gridSpan w:val="2"/>
          </w:tcPr>
          <w:p w14:paraId="630B567F" w14:textId="77777777" w:rsidR="00483CB7" w:rsidRPr="002D741C" w:rsidRDefault="00483CB7" w:rsidP="00AD13BE">
            <w:pPr>
              <w:keepNext/>
              <w:widowControl w:val="0"/>
              <w:tabs>
                <w:tab w:val="left" w:pos="567"/>
              </w:tabs>
              <w:spacing w:line="260" w:lineRule="exact"/>
              <w:rPr>
                <w:color w:val="000000"/>
                <w:sz w:val="22"/>
              </w:rPr>
            </w:pPr>
            <w:r w:rsidRPr="002D741C">
              <w:rPr>
                <w:b/>
                <w:color w:val="000000"/>
                <w:sz w:val="22"/>
                <w:szCs w:val="22"/>
                <w:lang w:val="es-ES"/>
              </w:rPr>
              <w:t>Trastornos de la sangre y del sistema linfático</w:t>
            </w:r>
          </w:p>
        </w:tc>
      </w:tr>
      <w:tr w:rsidR="00483CB7" w:rsidRPr="002D741C" w14:paraId="0F322C64" w14:textId="77777777" w:rsidTr="00AD13BE">
        <w:trPr>
          <w:cantSplit/>
        </w:trPr>
        <w:tc>
          <w:tcPr>
            <w:tcW w:w="2235" w:type="dxa"/>
          </w:tcPr>
          <w:p w14:paraId="020C77E5" w14:textId="77777777" w:rsidR="00483CB7" w:rsidRPr="002D741C" w:rsidRDefault="00483CB7" w:rsidP="00AD13BE">
            <w:pPr>
              <w:keepNext/>
              <w:widowControl w:val="0"/>
              <w:tabs>
                <w:tab w:val="left" w:pos="567"/>
              </w:tabs>
              <w:spacing w:line="260" w:lineRule="exact"/>
              <w:rPr>
                <w:color w:val="000000"/>
                <w:sz w:val="22"/>
                <w:lang w:val="en-GB"/>
              </w:rPr>
            </w:pPr>
            <w:r w:rsidRPr="002D741C">
              <w:rPr>
                <w:i/>
                <w:color w:val="000000"/>
                <w:sz w:val="22"/>
                <w:szCs w:val="22"/>
                <w:lang w:val="en-GB"/>
              </w:rPr>
              <w:t>Muy frecuentes:</w:t>
            </w:r>
          </w:p>
        </w:tc>
        <w:tc>
          <w:tcPr>
            <w:tcW w:w="7087" w:type="dxa"/>
          </w:tcPr>
          <w:p w14:paraId="3360448A" w14:textId="77777777" w:rsidR="00483CB7" w:rsidRPr="002D741C" w:rsidRDefault="00483CB7" w:rsidP="00AD13BE">
            <w:pPr>
              <w:keepNext/>
              <w:widowControl w:val="0"/>
              <w:tabs>
                <w:tab w:val="left" w:pos="567"/>
              </w:tabs>
              <w:spacing w:line="260" w:lineRule="exact"/>
              <w:rPr>
                <w:color w:val="000000"/>
                <w:sz w:val="22"/>
                <w:lang w:val="en-GB"/>
              </w:rPr>
            </w:pPr>
            <w:r w:rsidRPr="002D741C">
              <w:rPr>
                <w:color w:val="000000"/>
                <w:sz w:val="22"/>
                <w:szCs w:val="22"/>
              </w:rPr>
              <w:t>Neutropenia, trombocitopenia, anemia</w:t>
            </w:r>
          </w:p>
        </w:tc>
      </w:tr>
      <w:tr w:rsidR="00483CB7" w:rsidRPr="002D741C" w14:paraId="0BADC1BA" w14:textId="77777777" w:rsidTr="00AD13BE">
        <w:trPr>
          <w:cantSplit/>
        </w:trPr>
        <w:tc>
          <w:tcPr>
            <w:tcW w:w="2235" w:type="dxa"/>
          </w:tcPr>
          <w:p w14:paraId="12DDC309" w14:textId="77777777" w:rsidR="00483CB7" w:rsidRPr="002D741C" w:rsidRDefault="00483CB7" w:rsidP="00AD13BE">
            <w:pPr>
              <w:keepNext/>
              <w:widowControl w:val="0"/>
              <w:tabs>
                <w:tab w:val="left" w:pos="567"/>
              </w:tabs>
              <w:spacing w:line="260" w:lineRule="exact"/>
              <w:rPr>
                <w:color w:val="000000"/>
                <w:sz w:val="22"/>
                <w:lang w:val="en-GB"/>
              </w:rPr>
            </w:pPr>
            <w:r w:rsidRPr="002D741C">
              <w:rPr>
                <w:i/>
                <w:color w:val="000000"/>
                <w:sz w:val="22"/>
                <w:szCs w:val="22"/>
                <w:lang w:val="en-GB"/>
              </w:rPr>
              <w:t>Frecuentes:</w:t>
            </w:r>
          </w:p>
        </w:tc>
        <w:tc>
          <w:tcPr>
            <w:tcW w:w="7087" w:type="dxa"/>
          </w:tcPr>
          <w:p w14:paraId="608FE76A" w14:textId="77777777" w:rsidR="00483CB7" w:rsidRPr="002D741C" w:rsidRDefault="00483CB7" w:rsidP="00AD13BE">
            <w:pPr>
              <w:keepNext/>
              <w:widowControl w:val="0"/>
              <w:tabs>
                <w:tab w:val="left" w:pos="567"/>
              </w:tabs>
              <w:spacing w:line="260" w:lineRule="exact"/>
              <w:rPr>
                <w:color w:val="000000"/>
                <w:sz w:val="22"/>
                <w:lang w:val="en-GB"/>
              </w:rPr>
            </w:pPr>
            <w:r w:rsidRPr="002D741C">
              <w:rPr>
                <w:color w:val="000000"/>
                <w:sz w:val="22"/>
                <w:szCs w:val="22"/>
                <w:lang w:val="it-IT"/>
              </w:rPr>
              <w:t>Pancitopenia, neutropenia febril</w:t>
            </w:r>
          </w:p>
        </w:tc>
      </w:tr>
      <w:tr w:rsidR="00483CB7" w:rsidRPr="002D741C" w14:paraId="5E984FB6" w14:textId="77777777" w:rsidTr="00AD13BE">
        <w:trPr>
          <w:cantSplit/>
        </w:trPr>
        <w:tc>
          <w:tcPr>
            <w:tcW w:w="2235" w:type="dxa"/>
          </w:tcPr>
          <w:p w14:paraId="23EDA57C" w14:textId="77777777" w:rsidR="00483CB7" w:rsidRPr="002D741C" w:rsidRDefault="00483CB7" w:rsidP="00AD13BE">
            <w:pPr>
              <w:keepNext/>
              <w:widowControl w:val="0"/>
              <w:tabs>
                <w:tab w:val="left" w:pos="567"/>
              </w:tabs>
              <w:spacing w:line="260" w:lineRule="exact"/>
              <w:rPr>
                <w:color w:val="000000"/>
                <w:sz w:val="22"/>
                <w:lang w:val="en-GB"/>
              </w:rPr>
            </w:pPr>
            <w:r w:rsidRPr="002D741C">
              <w:rPr>
                <w:i/>
                <w:color w:val="000000"/>
                <w:sz w:val="22"/>
                <w:szCs w:val="22"/>
                <w:lang w:val="en-GB"/>
              </w:rPr>
              <w:t>Poco frecuentes:</w:t>
            </w:r>
          </w:p>
        </w:tc>
        <w:tc>
          <w:tcPr>
            <w:tcW w:w="7087" w:type="dxa"/>
          </w:tcPr>
          <w:p w14:paraId="6EF24043" w14:textId="77777777" w:rsidR="00483CB7" w:rsidRPr="002D741C" w:rsidRDefault="00483CB7" w:rsidP="00AD13BE">
            <w:pPr>
              <w:keepNext/>
              <w:widowControl w:val="0"/>
              <w:tabs>
                <w:tab w:val="left" w:pos="567"/>
              </w:tabs>
              <w:spacing w:line="260" w:lineRule="exact"/>
              <w:rPr>
                <w:color w:val="000000"/>
                <w:sz w:val="22"/>
              </w:rPr>
            </w:pPr>
            <w:r w:rsidRPr="002D741C">
              <w:rPr>
                <w:color w:val="000000"/>
                <w:sz w:val="22"/>
                <w:szCs w:val="22"/>
              </w:rPr>
              <w:t>Trombocitemia, linfopenia, depresión de la médula ósea, eosinofilia, linfoadenopatía</w:t>
            </w:r>
          </w:p>
        </w:tc>
      </w:tr>
      <w:tr w:rsidR="00483CB7" w:rsidRPr="002D741C" w14:paraId="0185E64F" w14:textId="77777777" w:rsidTr="00AD13BE">
        <w:trPr>
          <w:cantSplit/>
        </w:trPr>
        <w:tc>
          <w:tcPr>
            <w:tcW w:w="2235" w:type="dxa"/>
          </w:tcPr>
          <w:p w14:paraId="1436DF3F" w14:textId="77777777" w:rsidR="00483CB7" w:rsidRPr="002D741C" w:rsidRDefault="00483CB7" w:rsidP="00F22369">
            <w:pPr>
              <w:tabs>
                <w:tab w:val="left" w:pos="567"/>
              </w:tabs>
              <w:spacing w:line="260" w:lineRule="exact"/>
              <w:rPr>
                <w:i/>
                <w:color w:val="000000"/>
                <w:sz w:val="22"/>
                <w:lang w:val="en-GB"/>
              </w:rPr>
            </w:pPr>
            <w:r w:rsidRPr="002D741C">
              <w:rPr>
                <w:i/>
                <w:color w:val="000000"/>
                <w:sz w:val="22"/>
                <w:lang w:val="en-GB"/>
              </w:rPr>
              <w:t>Raras:</w:t>
            </w:r>
          </w:p>
        </w:tc>
        <w:tc>
          <w:tcPr>
            <w:tcW w:w="7087" w:type="dxa"/>
          </w:tcPr>
          <w:p w14:paraId="181F3D78" w14:textId="77777777" w:rsidR="00483CB7" w:rsidRPr="002D741C" w:rsidRDefault="00483CB7" w:rsidP="00F22369">
            <w:pPr>
              <w:tabs>
                <w:tab w:val="left" w:pos="567"/>
              </w:tabs>
              <w:spacing w:line="260" w:lineRule="exact"/>
              <w:rPr>
                <w:color w:val="000000"/>
                <w:sz w:val="22"/>
                <w:lang w:val="en-GB"/>
              </w:rPr>
            </w:pPr>
            <w:r w:rsidRPr="002D741C">
              <w:rPr>
                <w:color w:val="000000"/>
                <w:sz w:val="22"/>
                <w:lang w:val="en-GB"/>
              </w:rPr>
              <w:t>Anemia hemolítica</w:t>
            </w:r>
            <w:r w:rsidR="003844CB" w:rsidRPr="002D741C">
              <w:rPr>
                <w:color w:val="000000"/>
                <w:sz w:val="22"/>
                <w:lang w:val="en-GB"/>
              </w:rPr>
              <w:t>, microangiopatía trombótica</w:t>
            </w:r>
          </w:p>
        </w:tc>
      </w:tr>
      <w:tr w:rsidR="00483CB7" w:rsidRPr="002D741C" w14:paraId="4021143C" w14:textId="77777777" w:rsidTr="00AD13BE">
        <w:trPr>
          <w:cantSplit/>
        </w:trPr>
        <w:tc>
          <w:tcPr>
            <w:tcW w:w="9322" w:type="dxa"/>
            <w:gridSpan w:val="2"/>
          </w:tcPr>
          <w:p w14:paraId="08E123A5" w14:textId="77777777" w:rsidR="00483CB7" w:rsidRPr="002D741C" w:rsidRDefault="00483CB7" w:rsidP="00AD13BE">
            <w:pPr>
              <w:keepNext/>
              <w:widowControl w:val="0"/>
              <w:tabs>
                <w:tab w:val="left" w:pos="567"/>
              </w:tabs>
              <w:spacing w:line="260" w:lineRule="exact"/>
              <w:rPr>
                <w:b/>
                <w:color w:val="000000"/>
                <w:sz w:val="22"/>
                <w:szCs w:val="22"/>
                <w:lang w:val="es-ES"/>
              </w:rPr>
            </w:pPr>
            <w:r w:rsidRPr="002D741C">
              <w:rPr>
                <w:b/>
                <w:color w:val="000000"/>
                <w:sz w:val="22"/>
                <w:szCs w:val="22"/>
                <w:lang w:val="es-ES"/>
              </w:rPr>
              <w:t>Trastornos del metabolismo y de la nutrición</w:t>
            </w:r>
          </w:p>
        </w:tc>
      </w:tr>
      <w:tr w:rsidR="00483CB7" w:rsidRPr="002D741C" w14:paraId="5A4AEC2C" w14:textId="77777777" w:rsidTr="00AD13BE">
        <w:trPr>
          <w:cantSplit/>
        </w:trPr>
        <w:tc>
          <w:tcPr>
            <w:tcW w:w="2235" w:type="dxa"/>
          </w:tcPr>
          <w:p w14:paraId="501215FA" w14:textId="77777777" w:rsidR="00483CB7" w:rsidRPr="002D741C" w:rsidRDefault="00483CB7" w:rsidP="00AD13BE">
            <w:pPr>
              <w:keepNext/>
              <w:widowControl w:val="0"/>
              <w:tabs>
                <w:tab w:val="left" w:pos="567"/>
              </w:tabs>
              <w:spacing w:line="260" w:lineRule="exact"/>
              <w:rPr>
                <w:i/>
                <w:color w:val="000000"/>
                <w:sz w:val="22"/>
                <w:szCs w:val="22"/>
                <w:lang w:val="fr-FR"/>
              </w:rPr>
            </w:pPr>
            <w:r w:rsidRPr="002D741C">
              <w:rPr>
                <w:i/>
                <w:color w:val="000000"/>
                <w:sz w:val="22"/>
                <w:szCs w:val="22"/>
                <w:lang w:val="fr-FR"/>
              </w:rPr>
              <w:t>Frecuentes:</w:t>
            </w:r>
          </w:p>
        </w:tc>
        <w:tc>
          <w:tcPr>
            <w:tcW w:w="7087" w:type="dxa"/>
          </w:tcPr>
          <w:p w14:paraId="60E2079D" w14:textId="77777777" w:rsidR="00483CB7" w:rsidRPr="002D741C" w:rsidRDefault="00483CB7" w:rsidP="00AD13BE">
            <w:pPr>
              <w:keepNext/>
              <w:widowControl w:val="0"/>
              <w:tabs>
                <w:tab w:val="left" w:pos="567"/>
              </w:tabs>
              <w:spacing w:line="260" w:lineRule="exact"/>
              <w:rPr>
                <w:color w:val="000000"/>
                <w:sz w:val="22"/>
                <w:szCs w:val="22"/>
                <w:lang w:val="fr-FR"/>
              </w:rPr>
            </w:pPr>
            <w:r w:rsidRPr="002D741C">
              <w:rPr>
                <w:color w:val="000000"/>
                <w:sz w:val="22"/>
                <w:szCs w:val="22"/>
                <w:lang w:val="fr-FR"/>
              </w:rPr>
              <w:t>Anorexia</w:t>
            </w:r>
          </w:p>
        </w:tc>
      </w:tr>
      <w:tr w:rsidR="00483CB7" w:rsidRPr="002D741C" w14:paraId="18BC17CA" w14:textId="77777777" w:rsidTr="00AD13BE">
        <w:trPr>
          <w:cantSplit/>
        </w:trPr>
        <w:tc>
          <w:tcPr>
            <w:tcW w:w="2235" w:type="dxa"/>
          </w:tcPr>
          <w:p w14:paraId="07534189" w14:textId="77777777" w:rsidR="00483CB7" w:rsidRPr="002D741C" w:rsidRDefault="00483CB7" w:rsidP="00AD13BE">
            <w:pPr>
              <w:keepNext/>
              <w:widowControl w:val="0"/>
              <w:tabs>
                <w:tab w:val="left" w:pos="567"/>
              </w:tabs>
              <w:spacing w:line="260" w:lineRule="exact"/>
              <w:rPr>
                <w:i/>
                <w:color w:val="000000"/>
                <w:sz w:val="22"/>
                <w:szCs w:val="22"/>
                <w:lang w:val="fr-FR"/>
              </w:rPr>
            </w:pPr>
            <w:r w:rsidRPr="002D741C">
              <w:rPr>
                <w:i/>
                <w:color w:val="000000"/>
                <w:sz w:val="22"/>
                <w:szCs w:val="22"/>
                <w:lang w:val="fr-FR"/>
              </w:rPr>
              <w:t>Poco frecuentes :</w:t>
            </w:r>
          </w:p>
        </w:tc>
        <w:tc>
          <w:tcPr>
            <w:tcW w:w="7087" w:type="dxa"/>
          </w:tcPr>
          <w:p w14:paraId="2005C750" w14:textId="77777777" w:rsidR="00483CB7" w:rsidRPr="002D741C" w:rsidRDefault="00483CB7" w:rsidP="00AD13BE">
            <w:pPr>
              <w:keepNext/>
              <w:widowControl w:val="0"/>
              <w:tabs>
                <w:tab w:val="left" w:pos="567"/>
              </w:tabs>
              <w:spacing w:line="260" w:lineRule="exact"/>
              <w:rPr>
                <w:color w:val="000000"/>
                <w:sz w:val="22"/>
                <w:szCs w:val="22"/>
                <w:lang w:val="es-ES"/>
              </w:rPr>
            </w:pPr>
            <w:r w:rsidRPr="002D741C">
              <w:rPr>
                <w:color w:val="000000"/>
                <w:sz w:val="22"/>
                <w:szCs w:val="22"/>
                <w:lang w:val="es-ES"/>
              </w:rPr>
              <w:t>Hipocalemia, aumento del apetito, hipofosfatemia, disminución del apetito, deshidratación, gota, hiperuricemia, hipercalcemia, hiperglucemia, hiponatremia</w:t>
            </w:r>
          </w:p>
        </w:tc>
      </w:tr>
      <w:tr w:rsidR="00483CB7" w:rsidRPr="002D741C" w14:paraId="547D11BD" w14:textId="77777777" w:rsidTr="00AD13BE">
        <w:trPr>
          <w:cantSplit/>
        </w:trPr>
        <w:tc>
          <w:tcPr>
            <w:tcW w:w="2235" w:type="dxa"/>
          </w:tcPr>
          <w:p w14:paraId="02E95E0E" w14:textId="77777777" w:rsidR="00483CB7" w:rsidRPr="002D741C" w:rsidRDefault="00483CB7" w:rsidP="00F22369">
            <w:pPr>
              <w:tabs>
                <w:tab w:val="left" w:pos="567"/>
              </w:tabs>
              <w:spacing w:line="260" w:lineRule="exact"/>
              <w:rPr>
                <w:i/>
                <w:color w:val="000000"/>
                <w:sz w:val="22"/>
                <w:szCs w:val="22"/>
                <w:lang w:val="fr-FR"/>
              </w:rPr>
            </w:pPr>
            <w:r w:rsidRPr="002D741C">
              <w:rPr>
                <w:i/>
                <w:color w:val="000000"/>
                <w:sz w:val="22"/>
                <w:szCs w:val="22"/>
                <w:lang w:val="fr-FR"/>
              </w:rPr>
              <w:t>Raras:</w:t>
            </w:r>
          </w:p>
        </w:tc>
        <w:tc>
          <w:tcPr>
            <w:tcW w:w="7087" w:type="dxa"/>
          </w:tcPr>
          <w:p w14:paraId="4DC9DF01" w14:textId="77777777" w:rsidR="00483CB7" w:rsidRPr="002D741C" w:rsidRDefault="00483CB7" w:rsidP="00F22369">
            <w:pPr>
              <w:tabs>
                <w:tab w:val="left" w:pos="567"/>
              </w:tabs>
              <w:spacing w:line="260" w:lineRule="exact"/>
              <w:rPr>
                <w:color w:val="000000"/>
                <w:sz w:val="22"/>
                <w:szCs w:val="22"/>
                <w:lang w:val="fr-FR"/>
              </w:rPr>
            </w:pPr>
            <w:r w:rsidRPr="002D741C">
              <w:rPr>
                <w:color w:val="000000"/>
                <w:sz w:val="22"/>
                <w:szCs w:val="22"/>
                <w:lang w:val="fr-FR"/>
              </w:rPr>
              <w:t>Hipercalemia, hipomagnesemia</w:t>
            </w:r>
          </w:p>
        </w:tc>
      </w:tr>
      <w:tr w:rsidR="00483CB7" w:rsidRPr="002D741C" w14:paraId="73F42BC9" w14:textId="77777777" w:rsidTr="00AD13BE">
        <w:trPr>
          <w:cantSplit/>
        </w:trPr>
        <w:tc>
          <w:tcPr>
            <w:tcW w:w="9322" w:type="dxa"/>
            <w:gridSpan w:val="2"/>
          </w:tcPr>
          <w:p w14:paraId="5D1E717A" w14:textId="77777777" w:rsidR="00483CB7" w:rsidRPr="002D741C" w:rsidRDefault="00483CB7" w:rsidP="00AD13BE">
            <w:pPr>
              <w:keepNext/>
              <w:widowControl w:val="0"/>
              <w:tabs>
                <w:tab w:val="left" w:pos="567"/>
              </w:tabs>
              <w:spacing w:line="260" w:lineRule="exact"/>
              <w:rPr>
                <w:b/>
                <w:color w:val="000000"/>
                <w:sz w:val="22"/>
                <w:szCs w:val="22"/>
                <w:lang w:val="fr-FR"/>
              </w:rPr>
            </w:pPr>
            <w:r w:rsidRPr="002D741C">
              <w:rPr>
                <w:b/>
                <w:color w:val="000000"/>
                <w:sz w:val="22"/>
                <w:szCs w:val="22"/>
                <w:lang w:val="fr-FR"/>
              </w:rPr>
              <w:t>Trastornos psiquiátricos</w:t>
            </w:r>
          </w:p>
        </w:tc>
      </w:tr>
      <w:tr w:rsidR="00483CB7" w:rsidRPr="002D741C" w14:paraId="152DF63A" w14:textId="77777777" w:rsidTr="00AD13BE">
        <w:trPr>
          <w:cantSplit/>
        </w:trPr>
        <w:tc>
          <w:tcPr>
            <w:tcW w:w="2235" w:type="dxa"/>
          </w:tcPr>
          <w:p w14:paraId="7940AF62" w14:textId="77777777" w:rsidR="00483CB7" w:rsidRPr="002D741C" w:rsidRDefault="00483CB7" w:rsidP="00AD13BE">
            <w:pPr>
              <w:keepNext/>
              <w:widowControl w:val="0"/>
              <w:tabs>
                <w:tab w:val="left" w:pos="567"/>
              </w:tabs>
              <w:spacing w:line="260" w:lineRule="exact"/>
              <w:rPr>
                <w:i/>
                <w:color w:val="000000"/>
                <w:sz w:val="22"/>
                <w:szCs w:val="22"/>
                <w:lang w:val="fr-FR"/>
              </w:rPr>
            </w:pPr>
            <w:r w:rsidRPr="002D741C">
              <w:rPr>
                <w:i/>
                <w:color w:val="000000"/>
                <w:sz w:val="22"/>
                <w:szCs w:val="22"/>
                <w:lang w:val="fr-FR"/>
              </w:rPr>
              <w:t>Frecuentes:</w:t>
            </w:r>
          </w:p>
        </w:tc>
        <w:tc>
          <w:tcPr>
            <w:tcW w:w="7087" w:type="dxa"/>
          </w:tcPr>
          <w:p w14:paraId="41953C10" w14:textId="77777777" w:rsidR="00483CB7" w:rsidRPr="002D741C" w:rsidRDefault="00483CB7" w:rsidP="00AD13BE">
            <w:pPr>
              <w:keepNext/>
              <w:widowControl w:val="0"/>
              <w:tabs>
                <w:tab w:val="left" w:pos="567"/>
              </w:tabs>
              <w:spacing w:line="260" w:lineRule="exact"/>
              <w:rPr>
                <w:color w:val="000000"/>
                <w:sz w:val="22"/>
                <w:szCs w:val="22"/>
                <w:lang w:val="fr-FR"/>
              </w:rPr>
            </w:pPr>
            <w:r w:rsidRPr="002D741C">
              <w:rPr>
                <w:color w:val="000000"/>
                <w:sz w:val="22"/>
                <w:szCs w:val="22"/>
                <w:lang w:val="fr-FR"/>
              </w:rPr>
              <w:t>Insomnio</w:t>
            </w:r>
          </w:p>
        </w:tc>
      </w:tr>
      <w:tr w:rsidR="00483CB7" w:rsidRPr="002D741C" w14:paraId="789153DE" w14:textId="77777777" w:rsidTr="00AD13BE">
        <w:trPr>
          <w:cantSplit/>
        </w:trPr>
        <w:tc>
          <w:tcPr>
            <w:tcW w:w="2235" w:type="dxa"/>
          </w:tcPr>
          <w:p w14:paraId="1F4BBC54" w14:textId="77777777" w:rsidR="00483CB7" w:rsidRPr="002D741C" w:rsidRDefault="00483CB7" w:rsidP="00AD13BE">
            <w:pPr>
              <w:keepNext/>
              <w:widowControl w:val="0"/>
              <w:tabs>
                <w:tab w:val="left" w:pos="567"/>
              </w:tabs>
              <w:spacing w:line="260" w:lineRule="exact"/>
              <w:rPr>
                <w:i/>
                <w:color w:val="000000"/>
                <w:sz w:val="22"/>
                <w:szCs w:val="22"/>
                <w:lang w:val="fr-FR"/>
              </w:rPr>
            </w:pPr>
            <w:r w:rsidRPr="002D741C">
              <w:rPr>
                <w:i/>
                <w:color w:val="000000"/>
                <w:sz w:val="22"/>
                <w:szCs w:val="22"/>
                <w:lang w:val="fr-FR"/>
              </w:rPr>
              <w:t>Poco frecuentes:</w:t>
            </w:r>
          </w:p>
        </w:tc>
        <w:tc>
          <w:tcPr>
            <w:tcW w:w="7087" w:type="dxa"/>
          </w:tcPr>
          <w:p w14:paraId="3784B144" w14:textId="77777777" w:rsidR="00483CB7" w:rsidRPr="002D741C" w:rsidRDefault="00483CB7" w:rsidP="00AD13BE">
            <w:pPr>
              <w:keepNext/>
              <w:widowControl w:val="0"/>
              <w:tabs>
                <w:tab w:val="left" w:pos="567"/>
              </w:tabs>
              <w:spacing w:line="260" w:lineRule="exact"/>
              <w:rPr>
                <w:color w:val="000000"/>
                <w:sz w:val="22"/>
                <w:szCs w:val="22"/>
                <w:lang w:val="es-ES"/>
              </w:rPr>
            </w:pPr>
            <w:r w:rsidRPr="002D741C">
              <w:rPr>
                <w:color w:val="000000"/>
                <w:sz w:val="22"/>
                <w:szCs w:val="22"/>
                <w:lang w:val="es-ES"/>
              </w:rPr>
              <w:t>Depresión, disminución de la líbido, ansiedad</w:t>
            </w:r>
          </w:p>
        </w:tc>
      </w:tr>
      <w:tr w:rsidR="00483CB7" w:rsidRPr="002D741C" w14:paraId="47610F53" w14:textId="77777777" w:rsidTr="00AD13BE">
        <w:trPr>
          <w:cantSplit/>
        </w:trPr>
        <w:tc>
          <w:tcPr>
            <w:tcW w:w="2235" w:type="dxa"/>
          </w:tcPr>
          <w:p w14:paraId="7A4B6780" w14:textId="77777777" w:rsidR="00483CB7" w:rsidRPr="002D741C" w:rsidRDefault="00483CB7" w:rsidP="00F22369">
            <w:pPr>
              <w:tabs>
                <w:tab w:val="left" w:pos="567"/>
              </w:tabs>
              <w:spacing w:line="260" w:lineRule="exact"/>
              <w:rPr>
                <w:i/>
                <w:color w:val="000000"/>
                <w:sz w:val="22"/>
                <w:szCs w:val="22"/>
                <w:lang w:val="fr-FR"/>
              </w:rPr>
            </w:pPr>
            <w:r w:rsidRPr="002D741C">
              <w:rPr>
                <w:i/>
                <w:color w:val="000000"/>
                <w:sz w:val="22"/>
                <w:szCs w:val="22"/>
                <w:lang w:val="fr-FR"/>
              </w:rPr>
              <w:t>Raras:</w:t>
            </w:r>
          </w:p>
        </w:tc>
        <w:tc>
          <w:tcPr>
            <w:tcW w:w="7087" w:type="dxa"/>
          </w:tcPr>
          <w:p w14:paraId="39CEA372" w14:textId="77777777" w:rsidR="00483CB7" w:rsidRPr="002D741C" w:rsidRDefault="00483CB7" w:rsidP="00F22369">
            <w:pPr>
              <w:tabs>
                <w:tab w:val="left" w:pos="567"/>
              </w:tabs>
              <w:spacing w:line="260" w:lineRule="exact"/>
              <w:rPr>
                <w:color w:val="000000"/>
                <w:sz w:val="22"/>
                <w:szCs w:val="22"/>
                <w:lang w:val="fr-FR"/>
              </w:rPr>
            </w:pPr>
            <w:r w:rsidRPr="002D741C">
              <w:rPr>
                <w:color w:val="000000"/>
                <w:sz w:val="22"/>
                <w:szCs w:val="22"/>
                <w:lang w:val="fr-FR"/>
              </w:rPr>
              <w:t>Confusión</w:t>
            </w:r>
          </w:p>
        </w:tc>
      </w:tr>
      <w:tr w:rsidR="00483CB7" w:rsidRPr="002D741C" w14:paraId="19AE005E" w14:textId="77777777" w:rsidTr="00AD13BE">
        <w:trPr>
          <w:cantSplit/>
        </w:trPr>
        <w:tc>
          <w:tcPr>
            <w:tcW w:w="9322" w:type="dxa"/>
            <w:gridSpan w:val="2"/>
          </w:tcPr>
          <w:p w14:paraId="7195C4DB" w14:textId="77777777" w:rsidR="00483CB7" w:rsidRPr="002D741C" w:rsidRDefault="00483CB7" w:rsidP="00AD13BE">
            <w:pPr>
              <w:keepNext/>
              <w:widowControl w:val="0"/>
              <w:tabs>
                <w:tab w:val="left" w:pos="567"/>
              </w:tabs>
              <w:spacing w:line="260" w:lineRule="exact"/>
              <w:rPr>
                <w:color w:val="000000"/>
                <w:sz w:val="22"/>
                <w:lang w:val="en-GB"/>
              </w:rPr>
            </w:pPr>
            <w:r w:rsidRPr="002D741C">
              <w:rPr>
                <w:b/>
                <w:color w:val="000000"/>
                <w:sz w:val="22"/>
                <w:szCs w:val="22"/>
                <w:lang w:val="fr-FR"/>
              </w:rPr>
              <w:t>Trastornos del sistema nervioso</w:t>
            </w:r>
          </w:p>
        </w:tc>
      </w:tr>
      <w:tr w:rsidR="00483CB7" w:rsidRPr="002D741C" w14:paraId="2F9C8BB4" w14:textId="77777777" w:rsidTr="00AD13BE">
        <w:trPr>
          <w:cantSplit/>
        </w:trPr>
        <w:tc>
          <w:tcPr>
            <w:tcW w:w="2235" w:type="dxa"/>
          </w:tcPr>
          <w:p w14:paraId="4350E4E6" w14:textId="77777777" w:rsidR="00483CB7" w:rsidRPr="002D741C" w:rsidRDefault="00483CB7" w:rsidP="00AD13BE">
            <w:pPr>
              <w:keepNext/>
              <w:widowControl w:val="0"/>
              <w:tabs>
                <w:tab w:val="left" w:pos="567"/>
              </w:tabs>
              <w:spacing w:line="260" w:lineRule="exact"/>
              <w:rPr>
                <w:color w:val="000000"/>
                <w:sz w:val="22"/>
                <w:lang w:val="en-GB"/>
              </w:rPr>
            </w:pPr>
            <w:r w:rsidRPr="002D741C">
              <w:rPr>
                <w:i/>
                <w:color w:val="000000"/>
                <w:sz w:val="22"/>
                <w:szCs w:val="22"/>
              </w:rPr>
              <w:t>Muy frecuentes</w:t>
            </w:r>
            <w:r w:rsidRPr="002D741C">
              <w:rPr>
                <w:i/>
                <w:color w:val="000000"/>
                <w:szCs w:val="22"/>
              </w:rPr>
              <w:t>:</w:t>
            </w:r>
          </w:p>
        </w:tc>
        <w:tc>
          <w:tcPr>
            <w:tcW w:w="7087" w:type="dxa"/>
          </w:tcPr>
          <w:p w14:paraId="116A21BA" w14:textId="77777777" w:rsidR="00483CB7" w:rsidRPr="002D741C" w:rsidRDefault="00483CB7" w:rsidP="00AD13BE">
            <w:pPr>
              <w:keepNext/>
              <w:widowControl w:val="0"/>
              <w:tabs>
                <w:tab w:val="left" w:pos="567"/>
              </w:tabs>
              <w:spacing w:line="260" w:lineRule="exact"/>
              <w:rPr>
                <w:color w:val="000000"/>
                <w:sz w:val="22"/>
                <w:lang w:val="en-GB"/>
              </w:rPr>
            </w:pPr>
            <w:r w:rsidRPr="002D741C">
              <w:rPr>
                <w:color w:val="000000"/>
                <w:sz w:val="22"/>
                <w:szCs w:val="22"/>
                <w:lang w:val="en-GB"/>
              </w:rPr>
              <w:t>Cefalea</w:t>
            </w:r>
            <w:r w:rsidRPr="002D741C">
              <w:rPr>
                <w:color w:val="000000"/>
                <w:sz w:val="22"/>
                <w:szCs w:val="22"/>
                <w:vertAlign w:val="superscript"/>
                <w:lang w:val="en-GB"/>
              </w:rPr>
              <w:t>2</w:t>
            </w:r>
          </w:p>
        </w:tc>
      </w:tr>
      <w:tr w:rsidR="00483CB7" w:rsidRPr="002D741C" w14:paraId="1F5F4014" w14:textId="77777777" w:rsidTr="00AD13BE">
        <w:trPr>
          <w:cantSplit/>
        </w:trPr>
        <w:tc>
          <w:tcPr>
            <w:tcW w:w="2235" w:type="dxa"/>
          </w:tcPr>
          <w:p w14:paraId="23A83589" w14:textId="77777777" w:rsidR="00483CB7" w:rsidRPr="002D741C" w:rsidRDefault="00483CB7" w:rsidP="00AD13BE">
            <w:pPr>
              <w:keepNext/>
              <w:widowControl w:val="0"/>
              <w:tabs>
                <w:tab w:val="left" w:pos="567"/>
              </w:tabs>
              <w:spacing w:line="260" w:lineRule="exact"/>
              <w:rPr>
                <w:color w:val="000000"/>
                <w:sz w:val="22"/>
                <w:szCs w:val="22"/>
                <w:lang w:val="en-GB"/>
              </w:rPr>
            </w:pPr>
            <w:r w:rsidRPr="002D741C">
              <w:rPr>
                <w:i/>
                <w:color w:val="000000"/>
                <w:sz w:val="22"/>
                <w:szCs w:val="22"/>
              </w:rPr>
              <w:t>Frecuentes:</w:t>
            </w:r>
          </w:p>
        </w:tc>
        <w:tc>
          <w:tcPr>
            <w:tcW w:w="7087" w:type="dxa"/>
          </w:tcPr>
          <w:p w14:paraId="071A84A4" w14:textId="77777777" w:rsidR="00483CB7" w:rsidRPr="002D741C" w:rsidRDefault="00483CB7" w:rsidP="00AD13BE">
            <w:pPr>
              <w:keepNext/>
              <w:widowControl w:val="0"/>
              <w:tabs>
                <w:tab w:val="left" w:pos="567"/>
              </w:tabs>
              <w:spacing w:line="260" w:lineRule="exact"/>
              <w:rPr>
                <w:color w:val="000000"/>
                <w:sz w:val="22"/>
                <w:szCs w:val="22"/>
              </w:rPr>
            </w:pPr>
            <w:r w:rsidRPr="002D741C">
              <w:rPr>
                <w:color w:val="000000"/>
                <w:sz w:val="22"/>
                <w:szCs w:val="22"/>
              </w:rPr>
              <w:t>Mareo, parestesia, alteraciones del gusto, hipoestesia</w:t>
            </w:r>
          </w:p>
        </w:tc>
      </w:tr>
      <w:tr w:rsidR="00483CB7" w:rsidRPr="002D741C" w14:paraId="0AAF5076" w14:textId="77777777" w:rsidTr="00AD13BE">
        <w:trPr>
          <w:cantSplit/>
        </w:trPr>
        <w:tc>
          <w:tcPr>
            <w:tcW w:w="2235" w:type="dxa"/>
          </w:tcPr>
          <w:p w14:paraId="2429F118" w14:textId="77777777" w:rsidR="00483CB7" w:rsidRPr="002D741C" w:rsidRDefault="00483CB7" w:rsidP="00AD13BE">
            <w:pPr>
              <w:keepNext/>
              <w:widowControl w:val="0"/>
              <w:tabs>
                <w:tab w:val="left" w:pos="567"/>
              </w:tabs>
              <w:spacing w:line="260" w:lineRule="exact"/>
              <w:rPr>
                <w:color w:val="000000"/>
                <w:sz w:val="22"/>
                <w:lang w:val="en-GB"/>
              </w:rPr>
            </w:pPr>
            <w:r w:rsidRPr="002D741C">
              <w:rPr>
                <w:i/>
                <w:color w:val="000000"/>
                <w:sz w:val="22"/>
                <w:szCs w:val="22"/>
                <w:lang w:val="en-GB"/>
              </w:rPr>
              <w:t>Poco frecuentes:</w:t>
            </w:r>
          </w:p>
        </w:tc>
        <w:tc>
          <w:tcPr>
            <w:tcW w:w="7087" w:type="dxa"/>
          </w:tcPr>
          <w:p w14:paraId="7812F78A" w14:textId="77777777" w:rsidR="00483CB7" w:rsidRPr="002D741C" w:rsidRDefault="00483CB7" w:rsidP="00AD13BE">
            <w:pPr>
              <w:keepNext/>
              <w:widowControl w:val="0"/>
              <w:tabs>
                <w:tab w:val="left" w:pos="567"/>
              </w:tabs>
              <w:spacing w:line="260" w:lineRule="exact"/>
              <w:rPr>
                <w:color w:val="000000"/>
                <w:sz w:val="22"/>
              </w:rPr>
            </w:pPr>
            <w:r w:rsidRPr="002D741C">
              <w:rPr>
                <w:color w:val="000000"/>
                <w:sz w:val="22"/>
                <w:szCs w:val="22"/>
              </w:rPr>
              <w:t xml:space="preserve">Migraña, somnolencia, síncope, neuropatía periférica, alteración de la memoria, ciática, síndrome de piernas inquietas, temblor, hemorragia cerebral </w:t>
            </w:r>
          </w:p>
        </w:tc>
      </w:tr>
      <w:tr w:rsidR="00483CB7" w:rsidRPr="002D741C" w14:paraId="1715E0DB" w14:textId="77777777" w:rsidTr="00AD13BE">
        <w:trPr>
          <w:cantSplit/>
        </w:trPr>
        <w:tc>
          <w:tcPr>
            <w:tcW w:w="2235" w:type="dxa"/>
          </w:tcPr>
          <w:p w14:paraId="02AE84EE" w14:textId="77777777" w:rsidR="00483CB7" w:rsidRPr="002D741C" w:rsidRDefault="00483CB7" w:rsidP="00AD13BE">
            <w:pPr>
              <w:keepNext/>
              <w:widowControl w:val="0"/>
              <w:tabs>
                <w:tab w:val="left" w:pos="567"/>
              </w:tabs>
              <w:spacing w:line="260" w:lineRule="exact"/>
              <w:rPr>
                <w:color w:val="000000"/>
                <w:sz w:val="22"/>
                <w:lang w:val="en-GB"/>
              </w:rPr>
            </w:pPr>
            <w:r w:rsidRPr="002D741C">
              <w:rPr>
                <w:i/>
                <w:color w:val="000000"/>
                <w:sz w:val="22"/>
                <w:szCs w:val="22"/>
                <w:lang w:val="en-GB"/>
              </w:rPr>
              <w:t>Raras:</w:t>
            </w:r>
          </w:p>
        </w:tc>
        <w:tc>
          <w:tcPr>
            <w:tcW w:w="7087" w:type="dxa"/>
          </w:tcPr>
          <w:p w14:paraId="7C2E4B90" w14:textId="77777777" w:rsidR="00483CB7" w:rsidRPr="002D741C" w:rsidRDefault="00483CB7" w:rsidP="00AD13BE">
            <w:pPr>
              <w:keepNext/>
              <w:widowControl w:val="0"/>
              <w:tabs>
                <w:tab w:val="left" w:pos="567"/>
              </w:tabs>
              <w:spacing w:line="260" w:lineRule="exact"/>
              <w:rPr>
                <w:color w:val="000000"/>
                <w:sz w:val="22"/>
                <w:szCs w:val="22"/>
              </w:rPr>
            </w:pPr>
            <w:r w:rsidRPr="002D741C">
              <w:rPr>
                <w:color w:val="000000"/>
                <w:sz w:val="22"/>
                <w:szCs w:val="22"/>
              </w:rPr>
              <w:t>Aumento de la presión intracraneal, convulsiones, neuritis óptica</w:t>
            </w:r>
          </w:p>
        </w:tc>
      </w:tr>
      <w:tr w:rsidR="00483CB7" w:rsidRPr="002D741C" w14:paraId="66263DB4" w14:textId="77777777" w:rsidTr="00AD13BE">
        <w:trPr>
          <w:cantSplit/>
        </w:trPr>
        <w:tc>
          <w:tcPr>
            <w:tcW w:w="2235" w:type="dxa"/>
          </w:tcPr>
          <w:p w14:paraId="3D60009C" w14:textId="77777777" w:rsidR="00483CB7" w:rsidRPr="002D741C" w:rsidRDefault="00483CB7" w:rsidP="00F22369">
            <w:pPr>
              <w:tabs>
                <w:tab w:val="left" w:pos="567"/>
              </w:tabs>
              <w:spacing w:line="260" w:lineRule="exact"/>
              <w:rPr>
                <w:i/>
                <w:color w:val="000000"/>
                <w:sz w:val="22"/>
                <w:szCs w:val="22"/>
                <w:lang w:val="en-GB"/>
              </w:rPr>
            </w:pPr>
            <w:r w:rsidRPr="002D741C">
              <w:rPr>
                <w:i/>
                <w:color w:val="000000"/>
                <w:sz w:val="22"/>
                <w:szCs w:val="22"/>
                <w:lang w:val="en-GB"/>
              </w:rPr>
              <w:t>Frecuencia no conocida:</w:t>
            </w:r>
          </w:p>
        </w:tc>
        <w:tc>
          <w:tcPr>
            <w:tcW w:w="7087" w:type="dxa"/>
          </w:tcPr>
          <w:p w14:paraId="27042C5A" w14:textId="77777777" w:rsidR="00483CB7" w:rsidRPr="002D741C" w:rsidRDefault="00483CB7" w:rsidP="00F22369">
            <w:pPr>
              <w:tabs>
                <w:tab w:val="left" w:pos="567"/>
              </w:tabs>
              <w:spacing w:line="260" w:lineRule="exact"/>
              <w:rPr>
                <w:color w:val="000000"/>
                <w:sz w:val="22"/>
                <w:szCs w:val="22"/>
              </w:rPr>
            </w:pPr>
            <w:r w:rsidRPr="002D741C">
              <w:rPr>
                <w:color w:val="000000"/>
                <w:sz w:val="22"/>
                <w:szCs w:val="22"/>
              </w:rPr>
              <w:t>Edema cerebral*</w:t>
            </w:r>
          </w:p>
        </w:tc>
      </w:tr>
      <w:tr w:rsidR="00483CB7" w:rsidRPr="002D741C" w14:paraId="559A81D6" w14:textId="77777777" w:rsidTr="00AD13BE">
        <w:trPr>
          <w:cantSplit/>
        </w:trPr>
        <w:tc>
          <w:tcPr>
            <w:tcW w:w="9322" w:type="dxa"/>
            <w:gridSpan w:val="2"/>
          </w:tcPr>
          <w:p w14:paraId="641A0764" w14:textId="77777777" w:rsidR="00483CB7" w:rsidRPr="002D741C" w:rsidRDefault="00483CB7" w:rsidP="00AD13BE">
            <w:pPr>
              <w:keepNext/>
              <w:widowControl w:val="0"/>
              <w:tabs>
                <w:tab w:val="left" w:pos="567"/>
              </w:tabs>
              <w:spacing w:line="260" w:lineRule="exact"/>
              <w:rPr>
                <w:color w:val="000000"/>
                <w:sz w:val="22"/>
                <w:lang w:val="en-GB"/>
              </w:rPr>
            </w:pPr>
            <w:r w:rsidRPr="002D741C">
              <w:rPr>
                <w:b/>
                <w:color w:val="000000"/>
                <w:sz w:val="22"/>
                <w:szCs w:val="22"/>
                <w:lang w:val="it-IT"/>
              </w:rPr>
              <w:lastRenderedPageBreak/>
              <w:t>Trastornos oculares</w:t>
            </w:r>
          </w:p>
        </w:tc>
      </w:tr>
      <w:tr w:rsidR="00483CB7" w:rsidRPr="002D741C" w14:paraId="568451D8" w14:textId="77777777" w:rsidTr="00AD13BE">
        <w:trPr>
          <w:cantSplit/>
        </w:trPr>
        <w:tc>
          <w:tcPr>
            <w:tcW w:w="2235" w:type="dxa"/>
          </w:tcPr>
          <w:p w14:paraId="2373C7E9" w14:textId="77777777" w:rsidR="00483CB7" w:rsidRPr="002D741C" w:rsidRDefault="00483CB7" w:rsidP="00AD13BE">
            <w:pPr>
              <w:keepNext/>
              <w:widowControl w:val="0"/>
              <w:tabs>
                <w:tab w:val="left" w:pos="567"/>
              </w:tabs>
              <w:spacing w:line="260" w:lineRule="exact"/>
              <w:rPr>
                <w:color w:val="000000"/>
                <w:sz w:val="22"/>
                <w:lang w:val="en-GB"/>
              </w:rPr>
            </w:pPr>
            <w:r w:rsidRPr="002D741C">
              <w:rPr>
                <w:i/>
                <w:color w:val="000000"/>
                <w:sz w:val="22"/>
                <w:szCs w:val="22"/>
                <w:lang w:val="en-GB"/>
              </w:rPr>
              <w:t>Frecuentes:</w:t>
            </w:r>
          </w:p>
        </w:tc>
        <w:tc>
          <w:tcPr>
            <w:tcW w:w="7087" w:type="dxa"/>
          </w:tcPr>
          <w:p w14:paraId="2BC8EEF7" w14:textId="77777777" w:rsidR="00483CB7" w:rsidRPr="002D741C" w:rsidRDefault="00483CB7" w:rsidP="00AD13BE">
            <w:pPr>
              <w:keepNext/>
              <w:widowControl w:val="0"/>
              <w:tabs>
                <w:tab w:val="left" w:pos="567"/>
              </w:tabs>
              <w:spacing w:line="260" w:lineRule="exact"/>
              <w:rPr>
                <w:color w:val="000000"/>
                <w:sz w:val="22"/>
              </w:rPr>
            </w:pPr>
            <w:r w:rsidRPr="002D741C">
              <w:rPr>
                <w:color w:val="000000"/>
                <w:sz w:val="22"/>
                <w:szCs w:val="22"/>
              </w:rPr>
              <w:t>Edema palpebral, aumento del lagrimeo, hemorragia conjuntival, conjuntivitis, ojo seco, visión borrosa</w:t>
            </w:r>
          </w:p>
        </w:tc>
      </w:tr>
      <w:tr w:rsidR="00483CB7" w:rsidRPr="002D741C" w14:paraId="5587B8C9" w14:textId="77777777" w:rsidTr="00AD13BE">
        <w:trPr>
          <w:cantSplit/>
        </w:trPr>
        <w:tc>
          <w:tcPr>
            <w:tcW w:w="2235" w:type="dxa"/>
          </w:tcPr>
          <w:p w14:paraId="2D44BCB0" w14:textId="77777777" w:rsidR="00483CB7" w:rsidRPr="002D741C" w:rsidRDefault="00483CB7" w:rsidP="00AD13BE">
            <w:pPr>
              <w:keepNext/>
              <w:widowControl w:val="0"/>
              <w:tabs>
                <w:tab w:val="left" w:pos="567"/>
              </w:tabs>
              <w:spacing w:line="260" w:lineRule="exact"/>
              <w:rPr>
                <w:color w:val="000000"/>
                <w:sz w:val="22"/>
                <w:lang w:val="en-GB"/>
              </w:rPr>
            </w:pPr>
            <w:r w:rsidRPr="002D741C">
              <w:rPr>
                <w:i/>
                <w:color w:val="000000"/>
                <w:sz w:val="22"/>
                <w:szCs w:val="22"/>
                <w:lang w:val="en-GB"/>
              </w:rPr>
              <w:t>Poco frecuentes:</w:t>
            </w:r>
          </w:p>
        </w:tc>
        <w:tc>
          <w:tcPr>
            <w:tcW w:w="7087" w:type="dxa"/>
          </w:tcPr>
          <w:p w14:paraId="41077106" w14:textId="77777777" w:rsidR="00483CB7" w:rsidRPr="002D741C" w:rsidRDefault="00483CB7" w:rsidP="00AD13BE">
            <w:pPr>
              <w:keepNext/>
              <w:widowControl w:val="0"/>
              <w:tabs>
                <w:tab w:val="left" w:pos="567"/>
              </w:tabs>
              <w:spacing w:line="260" w:lineRule="exact"/>
              <w:rPr>
                <w:color w:val="000000"/>
                <w:sz w:val="22"/>
              </w:rPr>
            </w:pPr>
            <w:r w:rsidRPr="002D741C">
              <w:rPr>
                <w:color w:val="000000"/>
                <w:sz w:val="22"/>
                <w:szCs w:val="22"/>
              </w:rPr>
              <w:t>Irritación ocular, dolor ocular, edema orbital, hemorragia escleral, hemorragia retiniana, blefaritis, edema macular</w:t>
            </w:r>
          </w:p>
        </w:tc>
      </w:tr>
      <w:tr w:rsidR="00483CB7" w:rsidRPr="002D741C" w14:paraId="56A28DF3" w14:textId="77777777" w:rsidTr="00AD13BE">
        <w:trPr>
          <w:cantSplit/>
        </w:trPr>
        <w:tc>
          <w:tcPr>
            <w:tcW w:w="2235" w:type="dxa"/>
          </w:tcPr>
          <w:p w14:paraId="52C8ED68" w14:textId="77777777" w:rsidR="00483CB7" w:rsidRPr="002D741C" w:rsidRDefault="00483CB7" w:rsidP="00AD13BE">
            <w:pPr>
              <w:keepNext/>
              <w:tabs>
                <w:tab w:val="left" w:pos="567"/>
              </w:tabs>
              <w:spacing w:line="260" w:lineRule="exact"/>
              <w:rPr>
                <w:color w:val="000000"/>
                <w:sz w:val="22"/>
                <w:lang w:val="en-GB"/>
              </w:rPr>
            </w:pPr>
            <w:r w:rsidRPr="002D741C">
              <w:rPr>
                <w:i/>
                <w:color w:val="000000"/>
                <w:sz w:val="22"/>
                <w:szCs w:val="22"/>
                <w:lang w:val="en-GB"/>
              </w:rPr>
              <w:t>Raras:</w:t>
            </w:r>
          </w:p>
        </w:tc>
        <w:tc>
          <w:tcPr>
            <w:tcW w:w="7087" w:type="dxa"/>
          </w:tcPr>
          <w:p w14:paraId="01488853" w14:textId="77777777" w:rsidR="00483CB7" w:rsidRPr="002D741C" w:rsidRDefault="00483CB7" w:rsidP="00AD13BE">
            <w:pPr>
              <w:keepNext/>
              <w:tabs>
                <w:tab w:val="left" w:pos="567"/>
              </w:tabs>
              <w:spacing w:line="260" w:lineRule="exact"/>
              <w:rPr>
                <w:color w:val="000000"/>
                <w:sz w:val="22"/>
                <w:lang w:val="en-GB"/>
              </w:rPr>
            </w:pPr>
            <w:r w:rsidRPr="002D741C">
              <w:rPr>
                <w:color w:val="000000"/>
                <w:sz w:val="22"/>
                <w:szCs w:val="22"/>
                <w:lang w:val="en-GB"/>
              </w:rPr>
              <w:t>Catarata, glaucoma, papiloedema</w:t>
            </w:r>
          </w:p>
        </w:tc>
      </w:tr>
      <w:tr w:rsidR="00483CB7" w:rsidRPr="002D741C" w14:paraId="0E18403F" w14:textId="77777777" w:rsidTr="00AD13BE">
        <w:trPr>
          <w:cantSplit/>
        </w:trPr>
        <w:tc>
          <w:tcPr>
            <w:tcW w:w="2235" w:type="dxa"/>
          </w:tcPr>
          <w:p w14:paraId="352C8D27" w14:textId="77777777" w:rsidR="00483CB7" w:rsidRPr="002D741C" w:rsidRDefault="00483CB7" w:rsidP="00F22369">
            <w:pPr>
              <w:tabs>
                <w:tab w:val="left" w:pos="567"/>
              </w:tabs>
              <w:spacing w:line="260" w:lineRule="exact"/>
              <w:rPr>
                <w:i/>
                <w:color w:val="000000"/>
                <w:sz w:val="22"/>
                <w:szCs w:val="22"/>
                <w:lang w:val="en-GB"/>
              </w:rPr>
            </w:pPr>
            <w:r w:rsidRPr="002D741C">
              <w:rPr>
                <w:i/>
                <w:color w:val="000000"/>
                <w:sz w:val="22"/>
                <w:szCs w:val="22"/>
                <w:lang w:val="en-GB"/>
              </w:rPr>
              <w:t>Frecuencia no conocida:</w:t>
            </w:r>
          </w:p>
        </w:tc>
        <w:tc>
          <w:tcPr>
            <w:tcW w:w="7087" w:type="dxa"/>
          </w:tcPr>
          <w:p w14:paraId="092FE95D" w14:textId="77777777" w:rsidR="00483CB7" w:rsidRPr="002D741C" w:rsidRDefault="00483CB7" w:rsidP="00F22369">
            <w:pPr>
              <w:tabs>
                <w:tab w:val="left" w:pos="567"/>
              </w:tabs>
              <w:spacing w:line="260" w:lineRule="exact"/>
              <w:rPr>
                <w:color w:val="000000"/>
                <w:sz w:val="22"/>
                <w:szCs w:val="22"/>
                <w:lang w:val="en-GB"/>
              </w:rPr>
            </w:pPr>
            <w:r w:rsidRPr="002D741C">
              <w:rPr>
                <w:color w:val="000000"/>
                <w:sz w:val="22"/>
                <w:szCs w:val="22"/>
                <w:lang w:val="en-GB"/>
              </w:rPr>
              <w:t>Hemorragia vítrea*</w:t>
            </w:r>
          </w:p>
        </w:tc>
      </w:tr>
      <w:tr w:rsidR="00483CB7" w:rsidRPr="002D741C" w14:paraId="75CD7E2D" w14:textId="77777777" w:rsidTr="00AD13BE">
        <w:trPr>
          <w:cantSplit/>
        </w:trPr>
        <w:tc>
          <w:tcPr>
            <w:tcW w:w="9322" w:type="dxa"/>
            <w:gridSpan w:val="2"/>
          </w:tcPr>
          <w:p w14:paraId="536571D9" w14:textId="77777777" w:rsidR="00483CB7" w:rsidRPr="002D741C" w:rsidRDefault="00483CB7" w:rsidP="00AD13BE">
            <w:pPr>
              <w:keepNext/>
              <w:widowControl w:val="0"/>
              <w:tabs>
                <w:tab w:val="left" w:pos="567"/>
              </w:tabs>
              <w:spacing w:line="260" w:lineRule="exact"/>
              <w:rPr>
                <w:color w:val="000000"/>
                <w:sz w:val="22"/>
              </w:rPr>
            </w:pPr>
            <w:r w:rsidRPr="002D741C">
              <w:rPr>
                <w:b/>
                <w:color w:val="000000"/>
                <w:sz w:val="22"/>
                <w:szCs w:val="22"/>
                <w:lang w:val="es-ES"/>
              </w:rPr>
              <w:t>Trastornos del oído y del laberinto</w:t>
            </w:r>
          </w:p>
        </w:tc>
      </w:tr>
      <w:tr w:rsidR="00483CB7" w:rsidRPr="002D741C" w14:paraId="1CB6F7EA" w14:textId="77777777" w:rsidTr="00AD13BE">
        <w:trPr>
          <w:cantSplit/>
        </w:trPr>
        <w:tc>
          <w:tcPr>
            <w:tcW w:w="2235" w:type="dxa"/>
          </w:tcPr>
          <w:p w14:paraId="676E7736" w14:textId="77777777" w:rsidR="00483CB7" w:rsidRPr="002D741C" w:rsidRDefault="00483CB7" w:rsidP="00F22369">
            <w:pPr>
              <w:tabs>
                <w:tab w:val="left" w:pos="567"/>
              </w:tabs>
              <w:spacing w:line="260" w:lineRule="exact"/>
              <w:rPr>
                <w:color w:val="000000"/>
                <w:sz w:val="22"/>
                <w:lang w:val="en-GB"/>
              </w:rPr>
            </w:pPr>
            <w:r w:rsidRPr="002D741C">
              <w:rPr>
                <w:i/>
                <w:color w:val="000000"/>
                <w:sz w:val="22"/>
                <w:szCs w:val="22"/>
                <w:lang w:val="en-GB"/>
              </w:rPr>
              <w:t>Poco frecuentes:</w:t>
            </w:r>
          </w:p>
        </w:tc>
        <w:tc>
          <w:tcPr>
            <w:tcW w:w="7087" w:type="dxa"/>
          </w:tcPr>
          <w:p w14:paraId="13E03DFE" w14:textId="77777777" w:rsidR="00483CB7" w:rsidRPr="002D741C" w:rsidRDefault="00483CB7" w:rsidP="00F22369">
            <w:pPr>
              <w:tabs>
                <w:tab w:val="left" w:pos="567"/>
              </w:tabs>
              <w:spacing w:line="260" w:lineRule="exact"/>
              <w:rPr>
                <w:color w:val="000000"/>
                <w:sz w:val="22"/>
                <w:lang w:val="pt-BR"/>
              </w:rPr>
            </w:pPr>
            <w:r w:rsidRPr="002D741C">
              <w:rPr>
                <w:color w:val="000000"/>
                <w:sz w:val="22"/>
                <w:szCs w:val="22"/>
                <w:lang w:val="pt-BR"/>
              </w:rPr>
              <w:t>Vértigo, tinnitus, pérdida de audición</w:t>
            </w:r>
          </w:p>
        </w:tc>
      </w:tr>
      <w:tr w:rsidR="00483CB7" w:rsidRPr="002D741C" w14:paraId="0079D156" w14:textId="77777777" w:rsidTr="00AD13BE">
        <w:trPr>
          <w:cantSplit/>
        </w:trPr>
        <w:tc>
          <w:tcPr>
            <w:tcW w:w="9322" w:type="dxa"/>
            <w:gridSpan w:val="2"/>
          </w:tcPr>
          <w:p w14:paraId="3251A027" w14:textId="77777777" w:rsidR="00483CB7" w:rsidRPr="002D741C" w:rsidRDefault="00483CB7" w:rsidP="00AD13BE">
            <w:pPr>
              <w:keepNext/>
              <w:widowControl w:val="0"/>
              <w:tabs>
                <w:tab w:val="left" w:pos="567"/>
              </w:tabs>
              <w:spacing w:line="260" w:lineRule="exact"/>
              <w:rPr>
                <w:b/>
                <w:noProof/>
                <w:color w:val="000000"/>
                <w:sz w:val="22"/>
                <w:szCs w:val="22"/>
                <w:lang w:val="es-ES"/>
              </w:rPr>
            </w:pPr>
            <w:r w:rsidRPr="002D741C">
              <w:rPr>
                <w:b/>
                <w:noProof/>
                <w:color w:val="000000"/>
                <w:sz w:val="22"/>
                <w:szCs w:val="22"/>
                <w:lang w:val="es-ES"/>
              </w:rPr>
              <w:t>Trastornos cardiacos</w:t>
            </w:r>
          </w:p>
        </w:tc>
      </w:tr>
      <w:tr w:rsidR="00483CB7" w:rsidRPr="002D741C" w14:paraId="16971F48" w14:textId="77777777" w:rsidTr="00AD13BE">
        <w:trPr>
          <w:cantSplit/>
        </w:trPr>
        <w:tc>
          <w:tcPr>
            <w:tcW w:w="2235" w:type="dxa"/>
          </w:tcPr>
          <w:p w14:paraId="5C608990" w14:textId="77777777" w:rsidR="00483CB7" w:rsidRPr="002D741C" w:rsidRDefault="00483CB7" w:rsidP="00AD13BE">
            <w:pPr>
              <w:keepNext/>
              <w:widowControl w:val="0"/>
              <w:tabs>
                <w:tab w:val="left" w:pos="567"/>
              </w:tabs>
              <w:spacing w:line="260" w:lineRule="exact"/>
              <w:rPr>
                <w:i/>
                <w:noProof/>
                <w:color w:val="000000"/>
                <w:sz w:val="22"/>
                <w:szCs w:val="22"/>
                <w:lang w:val="es-ES"/>
              </w:rPr>
            </w:pPr>
            <w:r w:rsidRPr="002D741C">
              <w:rPr>
                <w:i/>
                <w:noProof/>
                <w:color w:val="000000"/>
                <w:sz w:val="22"/>
                <w:szCs w:val="22"/>
                <w:lang w:val="es-ES"/>
              </w:rPr>
              <w:t>Poco frecuentes:</w:t>
            </w:r>
          </w:p>
        </w:tc>
        <w:tc>
          <w:tcPr>
            <w:tcW w:w="7087" w:type="dxa"/>
          </w:tcPr>
          <w:p w14:paraId="7E8A316D" w14:textId="77777777" w:rsidR="00483CB7" w:rsidRPr="002D741C" w:rsidRDefault="00483CB7" w:rsidP="00AD13BE">
            <w:pPr>
              <w:keepNext/>
              <w:widowControl w:val="0"/>
              <w:tabs>
                <w:tab w:val="left" w:pos="567"/>
              </w:tabs>
              <w:spacing w:line="260" w:lineRule="exact"/>
              <w:rPr>
                <w:noProof/>
                <w:color w:val="000000"/>
                <w:sz w:val="22"/>
                <w:szCs w:val="22"/>
                <w:lang w:val="es-ES"/>
              </w:rPr>
            </w:pPr>
            <w:r w:rsidRPr="002D741C">
              <w:rPr>
                <w:noProof/>
                <w:color w:val="000000"/>
                <w:sz w:val="22"/>
                <w:szCs w:val="22"/>
                <w:lang w:val="es-ES"/>
              </w:rPr>
              <w:t>Palpitaciones, taquicardia, insuficiencia cardiaca congestiva</w:t>
            </w:r>
            <w:r w:rsidRPr="002D741C">
              <w:rPr>
                <w:noProof/>
                <w:color w:val="000000"/>
                <w:sz w:val="22"/>
                <w:szCs w:val="22"/>
                <w:vertAlign w:val="superscript"/>
                <w:lang w:val="es-ES"/>
              </w:rPr>
              <w:t>3</w:t>
            </w:r>
            <w:r w:rsidRPr="002D741C">
              <w:rPr>
                <w:noProof/>
                <w:color w:val="000000"/>
                <w:sz w:val="22"/>
                <w:szCs w:val="22"/>
                <w:lang w:val="es-ES"/>
              </w:rPr>
              <w:t>, edema pulmonar</w:t>
            </w:r>
          </w:p>
        </w:tc>
      </w:tr>
      <w:tr w:rsidR="00483CB7" w:rsidRPr="002D741C" w14:paraId="0A455814" w14:textId="77777777" w:rsidTr="00AD13BE">
        <w:trPr>
          <w:cantSplit/>
        </w:trPr>
        <w:tc>
          <w:tcPr>
            <w:tcW w:w="2235" w:type="dxa"/>
          </w:tcPr>
          <w:p w14:paraId="3E97CA39" w14:textId="77777777" w:rsidR="00483CB7" w:rsidRPr="002D741C" w:rsidRDefault="00483CB7" w:rsidP="00AD13BE">
            <w:pPr>
              <w:keepNext/>
              <w:widowControl w:val="0"/>
              <w:tabs>
                <w:tab w:val="left" w:pos="567"/>
              </w:tabs>
              <w:spacing w:line="260" w:lineRule="exact"/>
              <w:rPr>
                <w:i/>
                <w:noProof/>
                <w:color w:val="000000"/>
                <w:sz w:val="22"/>
                <w:szCs w:val="22"/>
                <w:lang w:val="es-ES"/>
              </w:rPr>
            </w:pPr>
            <w:r w:rsidRPr="002D741C">
              <w:rPr>
                <w:i/>
                <w:noProof/>
                <w:color w:val="000000"/>
                <w:sz w:val="22"/>
                <w:szCs w:val="22"/>
                <w:lang w:val="es-ES"/>
              </w:rPr>
              <w:t>Raras:</w:t>
            </w:r>
          </w:p>
        </w:tc>
        <w:tc>
          <w:tcPr>
            <w:tcW w:w="7087" w:type="dxa"/>
          </w:tcPr>
          <w:p w14:paraId="6035C7F8" w14:textId="77777777" w:rsidR="00483CB7" w:rsidRPr="002D741C" w:rsidRDefault="00483CB7" w:rsidP="00AD13BE">
            <w:pPr>
              <w:keepNext/>
              <w:widowControl w:val="0"/>
              <w:tabs>
                <w:tab w:val="left" w:pos="567"/>
              </w:tabs>
              <w:spacing w:line="260" w:lineRule="exact"/>
              <w:rPr>
                <w:noProof/>
                <w:color w:val="000000"/>
                <w:sz w:val="22"/>
                <w:szCs w:val="22"/>
                <w:lang w:val="es-ES"/>
              </w:rPr>
            </w:pPr>
            <w:r w:rsidRPr="002D741C">
              <w:rPr>
                <w:noProof/>
                <w:color w:val="000000"/>
                <w:sz w:val="22"/>
                <w:szCs w:val="22"/>
                <w:lang w:val="es-ES"/>
              </w:rPr>
              <w:t>Arritmia, fibrilación auricular, paro cardiaco, infarto de miocardio, angina de pecho, derrame pericárdico</w:t>
            </w:r>
          </w:p>
        </w:tc>
      </w:tr>
      <w:tr w:rsidR="00483CB7" w:rsidRPr="002D741C" w14:paraId="048DB702" w14:textId="77777777" w:rsidTr="00AD13BE">
        <w:trPr>
          <w:cantSplit/>
        </w:trPr>
        <w:tc>
          <w:tcPr>
            <w:tcW w:w="2235" w:type="dxa"/>
          </w:tcPr>
          <w:p w14:paraId="2150A8B8" w14:textId="77777777" w:rsidR="00483CB7" w:rsidRPr="002D741C" w:rsidRDefault="00483CB7" w:rsidP="00F22369">
            <w:pPr>
              <w:tabs>
                <w:tab w:val="left" w:pos="567"/>
              </w:tabs>
              <w:spacing w:line="260" w:lineRule="exact"/>
              <w:rPr>
                <w:i/>
                <w:noProof/>
                <w:color w:val="000000"/>
                <w:sz w:val="22"/>
                <w:szCs w:val="22"/>
                <w:lang w:val="es-ES"/>
              </w:rPr>
            </w:pPr>
            <w:r w:rsidRPr="002D741C">
              <w:rPr>
                <w:i/>
                <w:noProof/>
                <w:color w:val="000000"/>
                <w:sz w:val="22"/>
                <w:szCs w:val="22"/>
                <w:lang w:val="es-ES"/>
              </w:rPr>
              <w:t>Frecuencia no conocida:</w:t>
            </w:r>
          </w:p>
        </w:tc>
        <w:tc>
          <w:tcPr>
            <w:tcW w:w="7087" w:type="dxa"/>
          </w:tcPr>
          <w:p w14:paraId="2E657030" w14:textId="77777777" w:rsidR="00483CB7" w:rsidRPr="002D741C" w:rsidRDefault="00483CB7" w:rsidP="00F22369">
            <w:pPr>
              <w:tabs>
                <w:tab w:val="left" w:pos="567"/>
              </w:tabs>
              <w:spacing w:line="260" w:lineRule="exact"/>
              <w:rPr>
                <w:noProof/>
                <w:color w:val="000000"/>
                <w:sz w:val="22"/>
                <w:szCs w:val="22"/>
                <w:lang w:val="es-ES"/>
              </w:rPr>
            </w:pPr>
            <w:r w:rsidRPr="002D741C">
              <w:rPr>
                <w:noProof/>
                <w:color w:val="000000"/>
                <w:sz w:val="22"/>
                <w:szCs w:val="22"/>
                <w:lang w:val="es-ES"/>
              </w:rPr>
              <w:t>Pericarditis*, tamponamiento cardiaco*</w:t>
            </w:r>
          </w:p>
        </w:tc>
      </w:tr>
      <w:tr w:rsidR="00483CB7" w:rsidRPr="002D741C" w14:paraId="1BAB6EDB" w14:textId="77777777" w:rsidTr="00AD13BE">
        <w:trPr>
          <w:cantSplit/>
        </w:trPr>
        <w:tc>
          <w:tcPr>
            <w:tcW w:w="9322" w:type="dxa"/>
            <w:gridSpan w:val="2"/>
          </w:tcPr>
          <w:p w14:paraId="4BB28BD6" w14:textId="77777777" w:rsidR="00483CB7" w:rsidRPr="002D741C" w:rsidRDefault="00483CB7" w:rsidP="00AD13BE">
            <w:pPr>
              <w:keepNext/>
              <w:widowControl w:val="0"/>
              <w:tabs>
                <w:tab w:val="left" w:pos="567"/>
              </w:tabs>
              <w:spacing w:line="260" w:lineRule="exact"/>
              <w:rPr>
                <w:b/>
                <w:noProof/>
                <w:color w:val="000000"/>
                <w:sz w:val="22"/>
                <w:szCs w:val="22"/>
                <w:lang w:val="es-ES"/>
              </w:rPr>
            </w:pPr>
            <w:r w:rsidRPr="002D741C">
              <w:rPr>
                <w:b/>
                <w:noProof/>
                <w:color w:val="000000"/>
                <w:sz w:val="22"/>
                <w:szCs w:val="22"/>
                <w:lang w:val="es-ES"/>
              </w:rPr>
              <w:t>Trastornos vasculares</w:t>
            </w:r>
            <w:r w:rsidRPr="002D741C">
              <w:rPr>
                <w:rFonts w:ascii="Times New Roman Bold" w:hAnsi="Times New Roman Bold"/>
                <w:b/>
                <w:noProof/>
                <w:color w:val="000000"/>
                <w:sz w:val="22"/>
                <w:szCs w:val="22"/>
                <w:vertAlign w:val="superscript"/>
                <w:lang w:val="es-ES"/>
              </w:rPr>
              <w:t>4</w:t>
            </w:r>
          </w:p>
        </w:tc>
      </w:tr>
      <w:tr w:rsidR="00483CB7" w:rsidRPr="002D741C" w14:paraId="5C979411" w14:textId="77777777" w:rsidTr="00AD13BE">
        <w:trPr>
          <w:cantSplit/>
        </w:trPr>
        <w:tc>
          <w:tcPr>
            <w:tcW w:w="2235" w:type="dxa"/>
          </w:tcPr>
          <w:p w14:paraId="1AC8806F" w14:textId="77777777" w:rsidR="00483CB7" w:rsidRPr="002D741C" w:rsidRDefault="00483CB7" w:rsidP="00AD13BE">
            <w:pPr>
              <w:keepNext/>
              <w:widowControl w:val="0"/>
              <w:tabs>
                <w:tab w:val="left" w:pos="567"/>
              </w:tabs>
              <w:spacing w:line="260" w:lineRule="exact"/>
              <w:rPr>
                <w:i/>
                <w:noProof/>
                <w:color w:val="000000"/>
                <w:sz w:val="22"/>
                <w:szCs w:val="22"/>
                <w:lang w:val="es-ES"/>
              </w:rPr>
            </w:pPr>
            <w:r w:rsidRPr="002D741C">
              <w:rPr>
                <w:i/>
                <w:noProof/>
                <w:color w:val="000000"/>
                <w:sz w:val="22"/>
                <w:szCs w:val="22"/>
                <w:lang w:val="es-ES"/>
              </w:rPr>
              <w:t>Frecuentes:</w:t>
            </w:r>
          </w:p>
        </w:tc>
        <w:tc>
          <w:tcPr>
            <w:tcW w:w="7087" w:type="dxa"/>
          </w:tcPr>
          <w:p w14:paraId="18F3D0A2" w14:textId="77777777" w:rsidR="00483CB7" w:rsidRPr="002D741C" w:rsidRDefault="00483CB7" w:rsidP="00AD13BE">
            <w:pPr>
              <w:keepNext/>
              <w:widowControl w:val="0"/>
              <w:tabs>
                <w:tab w:val="left" w:pos="567"/>
              </w:tabs>
              <w:spacing w:line="260" w:lineRule="exact"/>
              <w:rPr>
                <w:noProof/>
                <w:color w:val="000000"/>
                <w:sz w:val="22"/>
                <w:szCs w:val="22"/>
                <w:lang w:val="es-ES"/>
              </w:rPr>
            </w:pPr>
            <w:r w:rsidRPr="002D741C">
              <w:rPr>
                <w:noProof/>
                <w:color w:val="000000"/>
                <w:sz w:val="22"/>
                <w:szCs w:val="22"/>
                <w:lang w:val="es-ES"/>
              </w:rPr>
              <w:t>Sofocos, hemorragia</w:t>
            </w:r>
          </w:p>
        </w:tc>
      </w:tr>
      <w:tr w:rsidR="00483CB7" w:rsidRPr="002D741C" w14:paraId="2931499A" w14:textId="77777777" w:rsidTr="00AD13BE">
        <w:trPr>
          <w:cantSplit/>
        </w:trPr>
        <w:tc>
          <w:tcPr>
            <w:tcW w:w="2235" w:type="dxa"/>
          </w:tcPr>
          <w:p w14:paraId="3E183960" w14:textId="77777777" w:rsidR="00483CB7" w:rsidRPr="002D741C" w:rsidRDefault="00483CB7" w:rsidP="00AD13BE">
            <w:pPr>
              <w:keepNext/>
              <w:widowControl w:val="0"/>
              <w:tabs>
                <w:tab w:val="left" w:pos="567"/>
              </w:tabs>
              <w:spacing w:line="260" w:lineRule="exact"/>
              <w:rPr>
                <w:i/>
                <w:noProof/>
                <w:color w:val="000000"/>
                <w:sz w:val="22"/>
                <w:szCs w:val="22"/>
                <w:lang w:val="es-ES"/>
              </w:rPr>
            </w:pPr>
            <w:r w:rsidRPr="002D741C">
              <w:rPr>
                <w:i/>
                <w:noProof/>
                <w:color w:val="000000"/>
                <w:sz w:val="22"/>
                <w:szCs w:val="22"/>
                <w:lang w:val="es-ES"/>
              </w:rPr>
              <w:t>Poco frecuentes:</w:t>
            </w:r>
          </w:p>
        </w:tc>
        <w:tc>
          <w:tcPr>
            <w:tcW w:w="7087" w:type="dxa"/>
          </w:tcPr>
          <w:p w14:paraId="425DF29D" w14:textId="77777777" w:rsidR="00483CB7" w:rsidRPr="002D741C" w:rsidRDefault="00483CB7" w:rsidP="00AD13BE">
            <w:pPr>
              <w:keepNext/>
              <w:widowControl w:val="0"/>
              <w:tabs>
                <w:tab w:val="left" w:pos="567"/>
              </w:tabs>
              <w:spacing w:line="260" w:lineRule="exact"/>
              <w:rPr>
                <w:noProof/>
                <w:color w:val="000000"/>
                <w:sz w:val="22"/>
                <w:szCs w:val="22"/>
                <w:lang w:val="es-ES"/>
              </w:rPr>
            </w:pPr>
            <w:r w:rsidRPr="002D741C">
              <w:rPr>
                <w:noProof/>
                <w:color w:val="000000"/>
                <w:sz w:val="22"/>
                <w:szCs w:val="22"/>
                <w:lang w:val="es-ES"/>
              </w:rPr>
              <w:t>Hipertensión, hematomas, hematoma subdural, enfriamiento periférico, hipotensión, fenómeno de Raynaud</w:t>
            </w:r>
          </w:p>
        </w:tc>
      </w:tr>
      <w:tr w:rsidR="00483CB7" w:rsidRPr="002D741C" w14:paraId="25315E88" w14:textId="77777777" w:rsidTr="00AD13BE">
        <w:trPr>
          <w:cantSplit/>
        </w:trPr>
        <w:tc>
          <w:tcPr>
            <w:tcW w:w="2235" w:type="dxa"/>
          </w:tcPr>
          <w:p w14:paraId="62E1673E" w14:textId="77777777" w:rsidR="00483CB7" w:rsidRPr="002D741C" w:rsidRDefault="00483CB7" w:rsidP="00F22369">
            <w:pPr>
              <w:tabs>
                <w:tab w:val="left" w:pos="567"/>
              </w:tabs>
              <w:spacing w:line="260" w:lineRule="exact"/>
              <w:rPr>
                <w:i/>
                <w:noProof/>
                <w:color w:val="000000"/>
                <w:sz w:val="22"/>
                <w:szCs w:val="22"/>
                <w:lang w:val="es-ES"/>
              </w:rPr>
            </w:pPr>
            <w:r w:rsidRPr="002D741C">
              <w:rPr>
                <w:i/>
                <w:noProof/>
                <w:color w:val="000000"/>
                <w:sz w:val="22"/>
                <w:szCs w:val="22"/>
                <w:lang w:val="es-ES"/>
              </w:rPr>
              <w:t>Frecuencia no conocida:</w:t>
            </w:r>
          </w:p>
        </w:tc>
        <w:tc>
          <w:tcPr>
            <w:tcW w:w="7087" w:type="dxa"/>
          </w:tcPr>
          <w:p w14:paraId="7C42AE9B" w14:textId="77777777" w:rsidR="00483CB7" w:rsidRPr="002D741C" w:rsidRDefault="00483CB7" w:rsidP="00F22369">
            <w:pPr>
              <w:tabs>
                <w:tab w:val="left" w:pos="567"/>
              </w:tabs>
              <w:spacing w:line="260" w:lineRule="exact"/>
              <w:rPr>
                <w:noProof/>
                <w:color w:val="000000"/>
                <w:sz w:val="22"/>
                <w:szCs w:val="22"/>
                <w:lang w:val="es-ES"/>
              </w:rPr>
            </w:pPr>
            <w:r w:rsidRPr="002D741C">
              <w:rPr>
                <w:noProof/>
                <w:color w:val="000000"/>
                <w:sz w:val="22"/>
                <w:szCs w:val="22"/>
                <w:lang w:val="es-ES"/>
              </w:rPr>
              <w:t>Trombosis/embolismo*</w:t>
            </w:r>
          </w:p>
        </w:tc>
      </w:tr>
      <w:tr w:rsidR="00483CB7" w:rsidRPr="002D741C" w14:paraId="287334D8" w14:textId="77777777" w:rsidTr="00AD13BE">
        <w:trPr>
          <w:cantSplit/>
        </w:trPr>
        <w:tc>
          <w:tcPr>
            <w:tcW w:w="9322" w:type="dxa"/>
            <w:gridSpan w:val="2"/>
          </w:tcPr>
          <w:p w14:paraId="7204425F" w14:textId="77777777" w:rsidR="00483CB7" w:rsidRPr="002D741C" w:rsidRDefault="00483CB7" w:rsidP="00AD13BE">
            <w:pPr>
              <w:keepNext/>
              <w:widowControl w:val="0"/>
              <w:tabs>
                <w:tab w:val="left" w:pos="567"/>
              </w:tabs>
              <w:spacing w:line="260" w:lineRule="exact"/>
              <w:rPr>
                <w:b/>
                <w:color w:val="000000"/>
                <w:sz w:val="22"/>
                <w:szCs w:val="22"/>
              </w:rPr>
            </w:pPr>
            <w:r w:rsidRPr="002D741C">
              <w:rPr>
                <w:b/>
                <w:noProof/>
                <w:color w:val="000000"/>
                <w:sz w:val="22"/>
                <w:szCs w:val="22"/>
                <w:lang w:val="es-ES"/>
              </w:rPr>
              <w:t>Trastornos respiratorios, torácicos y mediastínicos</w:t>
            </w:r>
          </w:p>
        </w:tc>
      </w:tr>
      <w:tr w:rsidR="00483CB7" w:rsidRPr="002D741C" w14:paraId="5A1A43E3" w14:textId="77777777" w:rsidTr="00AD13BE">
        <w:trPr>
          <w:cantSplit/>
        </w:trPr>
        <w:tc>
          <w:tcPr>
            <w:tcW w:w="2235" w:type="dxa"/>
          </w:tcPr>
          <w:p w14:paraId="66BEFF89" w14:textId="77777777" w:rsidR="00483CB7" w:rsidRPr="002D741C" w:rsidRDefault="00483CB7" w:rsidP="00AD13BE">
            <w:pPr>
              <w:keepNext/>
              <w:widowControl w:val="0"/>
              <w:tabs>
                <w:tab w:val="left" w:pos="567"/>
              </w:tabs>
              <w:spacing w:line="260" w:lineRule="exact"/>
              <w:rPr>
                <w:color w:val="000000"/>
                <w:sz w:val="22"/>
                <w:lang w:val="en-GB"/>
              </w:rPr>
            </w:pPr>
            <w:r w:rsidRPr="002D741C">
              <w:rPr>
                <w:i/>
                <w:color w:val="000000"/>
                <w:sz w:val="22"/>
                <w:szCs w:val="22"/>
                <w:lang w:val="en-GB"/>
              </w:rPr>
              <w:t>Frecuentes:</w:t>
            </w:r>
          </w:p>
        </w:tc>
        <w:tc>
          <w:tcPr>
            <w:tcW w:w="7087" w:type="dxa"/>
          </w:tcPr>
          <w:p w14:paraId="485E0608" w14:textId="77777777" w:rsidR="00483CB7" w:rsidRPr="002D741C" w:rsidRDefault="00483CB7" w:rsidP="00AD13BE">
            <w:pPr>
              <w:keepNext/>
              <w:widowControl w:val="0"/>
              <w:tabs>
                <w:tab w:val="left" w:pos="567"/>
              </w:tabs>
              <w:spacing w:line="260" w:lineRule="exact"/>
              <w:rPr>
                <w:color w:val="000000"/>
                <w:sz w:val="22"/>
                <w:lang w:val="en-GB"/>
              </w:rPr>
            </w:pPr>
            <w:r w:rsidRPr="002D741C">
              <w:rPr>
                <w:color w:val="000000"/>
                <w:sz w:val="22"/>
                <w:szCs w:val="22"/>
                <w:lang w:val="fr-FR"/>
              </w:rPr>
              <w:t>Disnea, epistaxis, tos</w:t>
            </w:r>
          </w:p>
        </w:tc>
      </w:tr>
      <w:tr w:rsidR="00483CB7" w:rsidRPr="002D741C" w14:paraId="0860D212" w14:textId="77777777" w:rsidTr="00AD13BE">
        <w:trPr>
          <w:cantSplit/>
        </w:trPr>
        <w:tc>
          <w:tcPr>
            <w:tcW w:w="2235" w:type="dxa"/>
          </w:tcPr>
          <w:p w14:paraId="3CAB3348" w14:textId="77777777" w:rsidR="00483CB7" w:rsidRPr="002D741C" w:rsidRDefault="00483CB7" w:rsidP="00AD13BE">
            <w:pPr>
              <w:keepNext/>
              <w:widowControl w:val="0"/>
              <w:tabs>
                <w:tab w:val="left" w:pos="567"/>
              </w:tabs>
              <w:spacing w:line="260" w:lineRule="exact"/>
              <w:rPr>
                <w:color w:val="000000"/>
                <w:sz w:val="22"/>
                <w:lang w:val="en-GB"/>
              </w:rPr>
            </w:pPr>
            <w:r w:rsidRPr="002D741C">
              <w:rPr>
                <w:i/>
                <w:color w:val="000000"/>
                <w:sz w:val="22"/>
                <w:szCs w:val="22"/>
                <w:lang w:val="en-GB"/>
              </w:rPr>
              <w:t>Poco frecuentes:</w:t>
            </w:r>
          </w:p>
        </w:tc>
        <w:tc>
          <w:tcPr>
            <w:tcW w:w="7087" w:type="dxa"/>
          </w:tcPr>
          <w:p w14:paraId="0EDB2681" w14:textId="77777777" w:rsidR="00483CB7" w:rsidRPr="002D741C" w:rsidRDefault="00483CB7" w:rsidP="00AD13BE">
            <w:pPr>
              <w:keepNext/>
              <w:widowControl w:val="0"/>
              <w:tabs>
                <w:tab w:val="left" w:pos="567"/>
              </w:tabs>
              <w:spacing w:line="260" w:lineRule="exact"/>
              <w:rPr>
                <w:color w:val="000000"/>
                <w:sz w:val="22"/>
                <w:lang w:val="it-IT"/>
              </w:rPr>
            </w:pPr>
            <w:r w:rsidRPr="002D741C">
              <w:rPr>
                <w:color w:val="000000"/>
                <w:sz w:val="22"/>
                <w:szCs w:val="22"/>
                <w:lang w:val="it-IT"/>
              </w:rPr>
              <w:t>Derrame pleural</w:t>
            </w:r>
            <w:r w:rsidRPr="002D741C">
              <w:rPr>
                <w:color w:val="000000"/>
                <w:sz w:val="22"/>
                <w:szCs w:val="22"/>
                <w:vertAlign w:val="superscript"/>
                <w:lang w:val="it-IT"/>
              </w:rPr>
              <w:t>5</w:t>
            </w:r>
            <w:r w:rsidRPr="002D741C">
              <w:rPr>
                <w:color w:val="000000"/>
                <w:sz w:val="22"/>
                <w:szCs w:val="22"/>
                <w:lang w:val="it-IT"/>
              </w:rPr>
              <w:t>, dolor faringolaringeo, faringitis</w:t>
            </w:r>
          </w:p>
        </w:tc>
      </w:tr>
      <w:tr w:rsidR="00483CB7" w:rsidRPr="002D741C" w14:paraId="293C87BE" w14:textId="77777777" w:rsidTr="00AD13BE">
        <w:trPr>
          <w:cantSplit/>
        </w:trPr>
        <w:tc>
          <w:tcPr>
            <w:tcW w:w="2235" w:type="dxa"/>
          </w:tcPr>
          <w:p w14:paraId="0567C0A7" w14:textId="77777777" w:rsidR="00483CB7" w:rsidRPr="002D741C" w:rsidRDefault="00483CB7" w:rsidP="00AD13BE">
            <w:pPr>
              <w:keepNext/>
              <w:widowControl w:val="0"/>
              <w:tabs>
                <w:tab w:val="left" w:pos="567"/>
              </w:tabs>
              <w:spacing w:line="260" w:lineRule="exact"/>
              <w:rPr>
                <w:color w:val="000000"/>
                <w:sz w:val="22"/>
                <w:lang w:val="en-GB"/>
              </w:rPr>
            </w:pPr>
            <w:r w:rsidRPr="002D741C">
              <w:rPr>
                <w:i/>
                <w:color w:val="000000"/>
                <w:sz w:val="22"/>
                <w:szCs w:val="22"/>
                <w:lang w:val="en-GB"/>
              </w:rPr>
              <w:t>Raras:</w:t>
            </w:r>
          </w:p>
        </w:tc>
        <w:tc>
          <w:tcPr>
            <w:tcW w:w="7087" w:type="dxa"/>
          </w:tcPr>
          <w:p w14:paraId="78567E69" w14:textId="77777777" w:rsidR="00483CB7" w:rsidRPr="002D741C" w:rsidRDefault="00483CB7" w:rsidP="00AD13BE">
            <w:pPr>
              <w:keepNext/>
              <w:widowControl w:val="0"/>
              <w:tabs>
                <w:tab w:val="left" w:pos="567"/>
              </w:tabs>
              <w:spacing w:line="260" w:lineRule="exact"/>
              <w:rPr>
                <w:color w:val="000000"/>
                <w:sz w:val="22"/>
              </w:rPr>
            </w:pPr>
            <w:r w:rsidRPr="002D741C">
              <w:rPr>
                <w:color w:val="000000"/>
                <w:sz w:val="22"/>
                <w:szCs w:val="22"/>
              </w:rPr>
              <w:t>Dolor pleural, fibrosis pulmonar, hipertensión pulmonar, hemorragia pulmonar</w:t>
            </w:r>
          </w:p>
        </w:tc>
      </w:tr>
      <w:tr w:rsidR="00483CB7" w:rsidRPr="002D741C" w14:paraId="614947D4" w14:textId="77777777" w:rsidTr="00AD13BE">
        <w:trPr>
          <w:cantSplit/>
        </w:trPr>
        <w:tc>
          <w:tcPr>
            <w:tcW w:w="2235" w:type="dxa"/>
          </w:tcPr>
          <w:p w14:paraId="123058C5" w14:textId="77777777" w:rsidR="00483CB7" w:rsidRPr="002D741C" w:rsidRDefault="00483CB7" w:rsidP="00F22369">
            <w:pPr>
              <w:tabs>
                <w:tab w:val="left" w:pos="567"/>
              </w:tabs>
              <w:spacing w:line="260" w:lineRule="exact"/>
              <w:rPr>
                <w:i/>
                <w:color w:val="000000"/>
                <w:sz w:val="22"/>
                <w:szCs w:val="22"/>
                <w:lang w:val="en-GB"/>
              </w:rPr>
            </w:pPr>
            <w:r w:rsidRPr="002D741C">
              <w:rPr>
                <w:i/>
                <w:color w:val="000000"/>
                <w:sz w:val="22"/>
                <w:szCs w:val="22"/>
                <w:lang w:val="en-GB"/>
              </w:rPr>
              <w:t>Frecuencia no conocida:</w:t>
            </w:r>
          </w:p>
        </w:tc>
        <w:tc>
          <w:tcPr>
            <w:tcW w:w="7087" w:type="dxa"/>
          </w:tcPr>
          <w:p w14:paraId="63CA41C0" w14:textId="77777777" w:rsidR="00483CB7" w:rsidRPr="002D741C" w:rsidRDefault="00483CB7" w:rsidP="00676217">
            <w:pPr>
              <w:tabs>
                <w:tab w:val="left" w:pos="567"/>
              </w:tabs>
              <w:spacing w:line="260" w:lineRule="exact"/>
              <w:rPr>
                <w:color w:val="000000"/>
                <w:sz w:val="22"/>
                <w:szCs w:val="22"/>
              </w:rPr>
            </w:pPr>
            <w:r w:rsidRPr="002D741C">
              <w:rPr>
                <w:color w:val="000000"/>
                <w:sz w:val="22"/>
                <w:szCs w:val="22"/>
              </w:rPr>
              <w:t>Insuficiencia respiratoria aguda</w:t>
            </w:r>
            <w:r w:rsidR="00676217" w:rsidRPr="002D741C">
              <w:rPr>
                <w:color w:val="000000"/>
                <w:sz w:val="22"/>
                <w:szCs w:val="22"/>
                <w:vertAlign w:val="superscript"/>
              </w:rPr>
              <w:t>11</w:t>
            </w:r>
            <w:r w:rsidRPr="002D741C">
              <w:rPr>
                <w:color w:val="000000"/>
                <w:sz w:val="22"/>
                <w:szCs w:val="22"/>
              </w:rPr>
              <w:t>*, enfermedad pulmonar intersticial*</w:t>
            </w:r>
          </w:p>
        </w:tc>
      </w:tr>
      <w:tr w:rsidR="00483CB7" w:rsidRPr="002D741C" w14:paraId="0EFBA609" w14:textId="77777777" w:rsidTr="00AD13BE">
        <w:trPr>
          <w:cantSplit/>
        </w:trPr>
        <w:tc>
          <w:tcPr>
            <w:tcW w:w="9322" w:type="dxa"/>
            <w:gridSpan w:val="2"/>
          </w:tcPr>
          <w:p w14:paraId="53556B21" w14:textId="77777777" w:rsidR="00483CB7" w:rsidRPr="002D741C" w:rsidRDefault="00483CB7" w:rsidP="00AD13BE">
            <w:pPr>
              <w:keepNext/>
              <w:widowControl w:val="0"/>
              <w:tabs>
                <w:tab w:val="left" w:pos="567"/>
              </w:tabs>
              <w:spacing w:line="260" w:lineRule="exact"/>
              <w:rPr>
                <w:color w:val="000000"/>
                <w:sz w:val="22"/>
                <w:lang w:val="fr-FR"/>
              </w:rPr>
            </w:pPr>
            <w:r w:rsidRPr="002D741C">
              <w:rPr>
                <w:b/>
                <w:color w:val="000000"/>
                <w:sz w:val="22"/>
                <w:szCs w:val="22"/>
                <w:lang w:val="es-ES"/>
              </w:rPr>
              <w:t>Trastornos gastrointestinales</w:t>
            </w:r>
          </w:p>
        </w:tc>
      </w:tr>
      <w:tr w:rsidR="00483CB7" w:rsidRPr="002D741C" w14:paraId="283524C4" w14:textId="77777777" w:rsidTr="00AD13BE">
        <w:trPr>
          <w:cantSplit/>
        </w:trPr>
        <w:tc>
          <w:tcPr>
            <w:tcW w:w="2235" w:type="dxa"/>
          </w:tcPr>
          <w:p w14:paraId="671D60F6" w14:textId="77777777" w:rsidR="00483CB7" w:rsidRPr="002D741C" w:rsidRDefault="00483CB7" w:rsidP="00AD13BE">
            <w:pPr>
              <w:keepNext/>
              <w:widowControl w:val="0"/>
              <w:tabs>
                <w:tab w:val="left" w:pos="567"/>
              </w:tabs>
              <w:spacing w:line="260" w:lineRule="exact"/>
              <w:rPr>
                <w:color w:val="000000"/>
                <w:sz w:val="22"/>
                <w:lang w:val="en-GB"/>
              </w:rPr>
            </w:pPr>
            <w:r w:rsidRPr="002D741C">
              <w:rPr>
                <w:i/>
                <w:color w:val="000000"/>
                <w:sz w:val="22"/>
                <w:szCs w:val="22"/>
                <w:lang w:val="en-GB"/>
              </w:rPr>
              <w:t>Muy frecuentes:</w:t>
            </w:r>
          </w:p>
        </w:tc>
        <w:tc>
          <w:tcPr>
            <w:tcW w:w="7087" w:type="dxa"/>
          </w:tcPr>
          <w:p w14:paraId="6D1DB852" w14:textId="77777777" w:rsidR="00483CB7" w:rsidRPr="002D741C" w:rsidRDefault="00483CB7" w:rsidP="00AD13BE">
            <w:pPr>
              <w:keepNext/>
              <w:widowControl w:val="0"/>
              <w:tabs>
                <w:tab w:val="left" w:pos="567"/>
              </w:tabs>
              <w:spacing w:line="260" w:lineRule="exact"/>
              <w:rPr>
                <w:color w:val="000000"/>
                <w:sz w:val="22"/>
                <w:lang w:val="es-ES"/>
              </w:rPr>
            </w:pPr>
            <w:r w:rsidRPr="002D741C">
              <w:rPr>
                <w:color w:val="000000"/>
                <w:sz w:val="22"/>
                <w:szCs w:val="22"/>
                <w:lang w:val="es-ES"/>
              </w:rPr>
              <w:t>Náuseas, diarrea, vómitos, dispepsia, dolor abdominal</w:t>
            </w:r>
            <w:r w:rsidRPr="002D741C">
              <w:rPr>
                <w:color w:val="000000"/>
                <w:sz w:val="22"/>
                <w:szCs w:val="22"/>
                <w:vertAlign w:val="superscript"/>
                <w:lang w:val="es-ES"/>
              </w:rPr>
              <w:t>6</w:t>
            </w:r>
          </w:p>
        </w:tc>
      </w:tr>
      <w:tr w:rsidR="00483CB7" w:rsidRPr="002D741C" w14:paraId="0826ED11" w14:textId="77777777" w:rsidTr="00AD13BE">
        <w:trPr>
          <w:cantSplit/>
        </w:trPr>
        <w:tc>
          <w:tcPr>
            <w:tcW w:w="2235" w:type="dxa"/>
          </w:tcPr>
          <w:p w14:paraId="19D03A2A" w14:textId="77777777" w:rsidR="00483CB7" w:rsidRPr="002D741C" w:rsidRDefault="00483CB7" w:rsidP="00AD13BE">
            <w:pPr>
              <w:keepNext/>
              <w:widowControl w:val="0"/>
              <w:tabs>
                <w:tab w:val="left" w:pos="567"/>
              </w:tabs>
              <w:spacing w:line="260" w:lineRule="exact"/>
              <w:rPr>
                <w:color w:val="000000"/>
                <w:sz w:val="22"/>
                <w:lang w:val="en-GB"/>
              </w:rPr>
            </w:pPr>
            <w:r w:rsidRPr="002D741C">
              <w:rPr>
                <w:i/>
                <w:color w:val="000000"/>
                <w:sz w:val="22"/>
                <w:szCs w:val="22"/>
                <w:lang w:val="en-GB"/>
              </w:rPr>
              <w:t>Frecuentes:</w:t>
            </w:r>
          </w:p>
        </w:tc>
        <w:tc>
          <w:tcPr>
            <w:tcW w:w="7087" w:type="dxa"/>
          </w:tcPr>
          <w:p w14:paraId="64541142" w14:textId="77777777" w:rsidR="00483CB7" w:rsidRPr="002D741C" w:rsidRDefault="00483CB7" w:rsidP="00AD13BE">
            <w:pPr>
              <w:keepNext/>
              <w:widowControl w:val="0"/>
              <w:tabs>
                <w:tab w:val="left" w:pos="567"/>
              </w:tabs>
              <w:spacing w:line="260" w:lineRule="exact"/>
              <w:rPr>
                <w:color w:val="000000"/>
                <w:sz w:val="22"/>
              </w:rPr>
            </w:pPr>
            <w:r w:rsidRPr="002D741C">
              <w:rPr>
                <w:color w:val="000000"/>
                <w:sz w:val="22"/>
                <w:szCs w:val="22"/>
              </w:rPr>
              <w:t>Flatulencia, distensión abdominal, reflujo gastroesofágico, estreñimiento, sequedad de la boca, gastritis</w:t>
            </w:r>
          </w:p>
        </w:tc>
      </w:tr>
      <w:tr w:rsidR="00483CB7" w:rsidRPr="002D741C" w14:paraId="1F977FC4" w14:textId="77777777" w:rsidTr="00AD13BE">
        <w:trPr>
          <w:cantSplit/>
        </w:trPr>
        <w:tc>
          <w:tcPr>
            <w:tcW w:w="2235" w:type="dxa"/>
          </w:tcPr>
          <w:p w14:paraId="586161B7" w14:textId="77777777" w:rsidR="00483CB7" w:rsidRPr="002D741C" w:rsidRDefault="00483CB7" w:rsidP="00AD13BE">
            <w:pPr>
              <w:keepNext/>
              <w:widowControl w:val="0"/>
              <w:tabs>
                <w:tab w:val="left" w:pos="567"/>
              </w:tabs>
              <w:spacing w:line="260" w:lineRule="exact"/>
              <w:rPr>
                <w:color w:val="000000"/>
                <w:sz w:val="22"/>
                <w:lang w:val="en-GB"/>
              </w:rPr>
            </w:pPr>
            <w:r w:rsidRPr="002D741C">
              <w:rPr>
                <w:i/>
                <w:color w:val="000000"/>
                <w:sz w:val="22"/>
                <w:szCs w:val="22"/>
                <w:lang w:val="en-GB"/>
              </w:rPr>
              <w:t>Poco frecuentes:</w:t>
            </w:r>
          </w:p>
        </w:tc>
        <w:tc>
          <w:tcPr>
            <w:tcW w:w="7087" w:type="dxa"/>
          </w:tcPr>
          <w:p w14:paraId="2AEEA0B1" w14:textId="77777777" w:rsidR="00483CB7" w:rsidRPr="002D741C" w:rsidRDefault="00483CB7" w:rsidP="00AD13BE">
            <w:pPr>
              <w:keepNext/>
              <w:widowControl w:val="0"/>
              <w:tabs>
                <w:tab w:val="left" w:pos="567"/>
              </w:tabs>
              <w:spacing w:line="260" w:lineRule="exact"/>
              <w:rPr>
                <w:color w:val="000000"/>
                <w:sz w:val="22"/>
              </w:rPr>
            </w:pPr>
            <w:r w:rsidRPr="002D741C">
              <w:rPr>
                <w:color w:val="000000"/>
                <w:sz w:val="22"/>
                <w:szCs w:val="22"/>
              </w:rPr>
              <w:t>Estomatitis, ulceración de la boca, hemorragia gastrointestinal</w:t>
            </w:r>
            <w:r w:rsidRPr="002D741C">
              <w:rPr>
                <w:color w:val="000000"/>
                <w:sz w:val="22"/>
                <w:szCs w:val="22"/>
                <w:vertAlign w:val="superscript"/>
              </w:rPr>
              <w:t>7</w:t>
            </w:r>
            <w:r w:rsidRPr="002D741C">
              <w:rPr>
                <w:color w:val="000000"/>
                <w:sz w:val="22"/>
                <w:szCs w:val="22"/>
              </w:rPr>
              <w:t>, eructación, melena, esofagitis, ascitis, úlcera gástrica, hematemesis, queilitis, disfagia, pancreatitis</w:t>
            </w:r>
          </w:p>
        </w:tc>
      </w:tr>
      <w:tr w:rsidR="00483CB7" w:rsidRPr="002D741C" w14:paraId="0D6D4B4B" w14:textId="77777777" w:rsidTr="00AD13BE">
        <w:trPr>
          <w:cantSplit/>
        </w:trPr>
        <w:tc>
          <w:tcPr>
            <w:tcW w:w="2235" w:type="dxa"/>
          </w:tcPr>
          <w:p w14:paraId="120D5766" w14:textId="77777777" w:rsidR="00483CB7" w:rsidRPr="002D741C" w:rsidRDefault="00483CB7" w:rsidP="00AD13BE">
            <w:pPr>
              <w:keepNext/>
              <w:widowControl w:val="0"/>
              <w:tabs>
                <w:tab w:val="left" w:pos="567"/>
              </w:tabs>
              <w:spacing w:line="260" w:lineRule="exact"/>
              <w:rPr>
                <w:color w:val="000000"/>
                <w:sz w:val="22"/>
                <w:lang w:val="en-GB"/>
              </w:rPr>
            </w:pPr>
            <w:r w:rsidRPr="002D741C">
              <w:rPr>
                <w:i/>
                <w:color w:val="000000"/>
                <w:sz w:val="22"/>
                <w:szCs w:val="22"/>
                <w:lang w:val="en-GB"/>
              </w:rPr>
              <w:t>Raras:</w:t>
            </w:r>
          </w:p>
        </w:tc>
        <w:tc>
          <w:tcPr>
            <w:tcW w:w="7087" w:type="dxa"/>
          </w:tcPr>
          <w:p w14:paraId="24DEABB0" w14:textId="77777777" w:rsidR="00483CB7" w:rsidRPr="002D741C" w:rsidRDefault="00483CB7" w:rsidP="00AD13BE">
            <w:pPr>
              <w:keepNext/>
              <w:widowControl w:val="0"/>
              <w:tabs>
                <w:tab w:val="left" w:pos="567"/>
              </w:tabs>
              <w:spacing w:line="260" w:lineRule="exact"/>
              <w:rPr>
                <w:snapToGrid w:val="0"/>
                <w:color w:val="000000"/>
                <w:sz w:val="22"/>
                <w:szCs w:val="22"/>
                <w:lang w:val="it-IT"/>
              </w:rPr>
            </w:pPr>
            <w:r w:rsidRPr="002D741C">
              <w:rPr>
                <w:color w:val="000000"/>
                <w:sz w:val="22"/>
                <w:szCs w:val="22"/>
                <w:lang w:val="it-IT"/>
              </w:rPr>
              <w:t xml:space="preserve">Colitis, </w:t>
            </w:r>
            <w:r w:rsidRPr="002D741C">
              <w:rPr>
                <w:snapToGrid w:val="0"/>
                <w:color w:val="000000"/>
                <w:sz w:val="22"/>
                <w:szCs w:val="22"/>
                <w:lang w:val="it-IT"/>
              </w:rPr>
              <w:t>íleo, enfermedad inflamatoria intestinal</w:t>
            </w:r>
          </w:p>
        </w:tc>
      </w:tr>
      <w:tr w:rsidR="00483CB7" w:rsidRPr="002D741C" w14:paraId="35080AFD" w14:textId="77777777" w:rsidTr="00AD13BE">
        <w:trPr>
          <w:cantSplit/>
        </w:trPr>
        <w:tc>
          <w:tcPr>
            <w:tcW w:w="2235" w:type="dxa"/>
          </w:tcPr>
          <w:p w14:paraId="34EE333F" w14:textId="77777777" w:rsidR="00483CB7" w:rsidRPr="002D741C" w:rsidRDefault="00483CB7" w:rsidP="00F22369">
            <w:pPr>
              <w:tabs>
                <w:tab w:val="left" w:pos="567"/>
              </w:tabs>
              <w:spacing w:line="260" w:lineRule="exact"/>
              <w:rPr>
                <w:i/>
                <w:color w:val="000000"/>
                <w:sz w:val="22"/>
                <w:szCs w:val="22"/>
                <w:lang w:val="en-GB"/>
              </w:rPr>
            </w:pPr>
            <w:r w:rsidRPr="002D741C">
              <w:rPr>
                <w:i/>
                <w:color w:val="000000"/>
                <w:sz w:val="22"/>
                <w:szCs w:val="22"/>
                <w:lang w:val="en-GB"/>
              </w:rPr>
              <w:t>Frecuencia no conocida:</w:t>
            </w:r>
          </w:p>
        </w:tc>
        <w:tc>
          <w:tcPr>
            <w:tcW w:w="7087" w:type="dxa"/>
          </w:tcPr>
          <w:p w14:paraId="3130B7CD" w14:textId="77777777" w:rsidR="00483CB7" w:rsidRPr="002D741C" w:rsidRDefault="00483CB7" w:rsidP="00F22369">
            <w:pPr>
              <w:tabs>
                <w:tab w:val="left" w:pos="567"/>
              </w:tabs>
              <w:spacing w:line="260" w:lineRule="exact"/>
              <w:rPr>
                <w:color w:val="000000"/>
                <w:sz w:val="22"/>
                <w:szCs w:val="22"/>
                <w:lang w:val="es-ES"/>
              </w:rPr>
            </w:pPr>
            <w:r w:rsidRPr="002D741C">
              <w:rPr>
                <w:color w:val="000000"/>
                <w:sz w:val="22"/>
                <w:szCs w:val="22"/>
                <w:lang w:val="es-ES"/>
              </w:rPr>
              <w:t>Obstrucción ilíaca/intestinal*, perforación gastrointestinal*, diverticulitis*, ectasia vascular antral gástrica (EVAG)*</w:t>
            </w:r>
          </w:p>
        </w:tc>
      </w:tr>
      <w:tr w:rsidR="00483CB7" w:rsidRPr="002D741C" w14:paraId="0F243E14" w14:textId="77777777" w:rsidTr="00AD13BE">
        <w:trPr>
          <w:cantSplit/>
        </w:trPr>
        <w:tc>
          <w:tcPr>
            <w:tcW w:w="9322" w:type="dxa"/>
            <w:gridSpan w:val="2"/>
          </w:tcPr>
          <w:p w14:paraId="109A6BBF" w14:textId="77777777" w:rsidR="00483CB7" w:rsidRPr="002D741C" w:rsidRDefault="00483CB7" w:rsidP="00AD13BE">
            <w:pPr>
              <w:keepNext/>
              <w:widowControl w:val="0"/>
              <w:tabs>
                <w:tab w:val="left" w:pos="567"/>
              </w:tabs>
              <w:spacing w:line="260" w:lineRule="exact"/>
              <w:rPr>
                <w:b/>
                <w:bCs/>
                <w:noProof/>
                <w:color w:val="000000"/>
                <w:sz w:val="22"/>
                <w:lang w:val="es-ES"/>
              </w:rPr>
            </w:pPr>
            <w:r w:rsidRPr="002D741C">
              <w:rPr>
                <w:b/>
                <w:bCs/>
                <w:noProof/>
                <w:color w:val="000000"/>
                <w:sz w:val="22"/>
                <w:lang w:val="es-ES"/>
              </w:rPr>
              <w:t>Trastornos hepatobiliares</w:t>
            </w:r>
          </w:p>
        </w:tc>
      </w:tr>
      <w:tr w:rsidR="00483CB7" w:rsidRPr="002D741C" w14:paraId="7794EDF7" w14:textId="77777777" w:rsidTr="00AD13BE">
        <w:trPr>
          <w:cantSplit/>
        </w:trPr>
        <w:tc>
          <w:tcPr>
            <w:tcW w:w="2235" w:type="dxa"/>
          </w:tcPr>
          <w:p w14:paraId="7C6E47E0" w14:textId="77777777" w:rsidR="00483CB7" w:rsidRPr="002D741C" w:rsidRDefault="00483CB7" w:rsidP="00AD13BE">
            <w:pPr>
              <w:keepNext/>
              <w:widowControl w:val="0"/>
              <w:tabs>
                <w:tab w:val="left" w:pos="567"/>
              </w:tabs>
              <w:spacing w:line="260" w:lineRule="exact"/>
              <w:rPr>
                <w:bCs/>
                <w:i/>
                <w:noProof/>
                <w:color w:val="000000"/>
                <w:sz w:val="22"/>
                <w:lang w:val="es-ES"/>
              </w:rPr>
            </w:pPr>
            <w:r w:rsidRPr="002D741C">
              <w:rPr>
                <w:bCs/>
                <w:i/>
                <w:noProof/>
                <w:color w:val="000000"/>
                <w:sz w:val="22"/>
                <w:lang w:val="es-ES"/>
              </w:rPr>
              <w:t>Frecuentes:</w:t>
            </w:r>
          </w:p>
        </w:tc>
        <w:tc>
          <w:tcPr>
            <w:tcW w:w="7087" w:type="dxa"/>
          </w:tcPr>
          <w:p w14:paraId="2DC84893" w14:textId="77777777" w:rsidR="00483CB7" w:rsidRPr="002D741C" w:rsidRDefault="00483CB7" w:rsidP="00AD13BE">
            <w:pPr>
              <w:keepNext/>
              <w:widowControl w:val="0"/>
              <w:tabs>
                <w:tab w:val="left" w:pos="567"/>
              </w:tabs>
              <w:spacing w:line="260" w:lineRule="exact"/>
              <w:rPr>
                <w:bCs/>
                <w:noProof/>
                <w:color w:val="000000"/>
                <w:sz w:val="22"/>
                <w:lang w:val="es-ES"/>
              </w:rPr>
            </w:pPr>
            <w:r w:rsidRPr="002D741C">
              <w:rPr>
                <w:bCs/>
                <w:noProof/>
                <w:color w:val="000000"/>
                <w:sz w:val="22"/>
                <w:lang w:val="es-ES"/>
              </w:rPr>
              <w:t>Aumento de enzimas hepáticos</w:t>
            </w:r>
          </w:p>
        </w:tc>
      </w:tr>
      <w:tr w:rsidR="00483CB7" w:rsidRPr="002D741C" w14:paraId="70EC8FBE" w14:textId="77777777" w:rsidTr="00AD13BE">
        <w:trPr>
          <w:cantSplit/>
        </w:trPr>
        <w:tc>
          <w:tcPr>
            <w:tcW w:w="2235" w:type="dxa"/>
          </w:tcPr>
          <w:p w14:paraId="277A1046" w14:textId="77777777" w:rsidR="00483CB7" w:rsidRPr="002D741C" w:rsidRDefault="00483CB7" w:rsidP="00AD13BE">
            <w:pPr>
              <w:keepNext/>
              <w:widowControl w:val="0"/>
              <w:tabs>
                <w:tab w:val="left" w:pos="567"/>
              </w:tabs>
              <w:spacing w:line="260" w:lineRule="exact"/>
              <w:rPr>
                <w:bCs/>
                <w:i/>
                <w:noProof/>
                <w:color w:val="000000"/>
                <w:sz w:val="22"/>
                <w:lang w:val="es-ES"/>
              </w:rPr>
            </w:pPr>
            <w:r w:rsidRPr="002D741C">
              <w:rPr>
                <w:bCs/>
                <w:i/>
                <w:noProof/>
                <w:color w:val="000000"/>
                <w:sz w:val="22"/>
                <w:lang w:val="es-ES"/>
              </w:rPr>
              <w:t>Poco frecuentes:</w:t>
            </w:r>
          </w:p>
        </w:tc>
        <w:tc>
          <w:tcPr>
            <w:tcW w:w="7087" w:type="dxa"/>
          </w:tcPr>
          <w:p w14:paraId="10CF0481" w14:textId="77777777" w:rsidR="00483CB7" w:rsidRPr="002D741C" w:rsidRDefault="00483CB7" w:rsidP="00AD13BE">
            <w:pPr>
              <w:keepNext/>
              <w:widowControl w:val="0"/>
              <w:tabs>
                <w:tab w:val="left" w:pos="567"/>
              </w:tabs>
              <w:spacing w:line="260" w:lineRule="exact"/>
              <w:rPr>
                <w:bCs/>
                <w:noProof/>
                <w:color w:val="000000"/>
                <w:sz w:val="22"/>
                <w:lang w:val="es-ES"/>
              </w:rPr>
            </w:pPr>
            <w:r w:rsidRPr="002D741C">
              <w:rPr>
                <w:bCs/>
                <w:noProof/>
                <w:color w:val="000000"/>
                <w:sz w:val="22"/>
                <w:lang w:val="es-ES"/>
              </w:rPr>
              <w:t>Hiperbilirrubinemia, hepatitis, ictericia</w:t>
            </w:r>
          </w:p>
        </w:tc>
      </w:tr>
      <w:tr w:rsidR="00483CB7" w:rsidRPr="002D741C" w14:paraId="31DCA5B0" w14:textId="77777777" w:rsidTr="00AD13BE">
        <w:trPr>
          <w:cantSplit/>
        </w:trPr>
        <w:tc>
          <w:tcPr>
            <w:tcW w:w="2235" w:type="dxa"/>
          </w:tcPr>
          <w:p w14:paraId="3E5365C8" w14:textId="77777777" w:rsidR="00483CB7" w:rsidRPr="002D741C" w:rsidRDefault="00483CB7" w:rsidP="00F22369">
            <w:pPr>
              <w:tabs>
                <w:tab w:val="left" w:pos="567"/>
              </w:tabs>
              <w:spacing w:line="260" w:lineRule="exact"/>
              <w:rPr>
                <w:bCs/>
                <w:i/>
                <w:noProof/>
                <w:color w:val="000000"/>
                <w:sz w:val="22"/>
                <w:lang w:val="es-ES"/>
              </w:rPr>
            </w:pPr>
            <w:r w:rsidRPr="002D741C">
              <w:rPr>
                <w:bCs/>
                <w:i/>
                <w:noProof/>
                <w:color w:val="000000"/>
                <w:sz w:val="22"/>
                <w:lang w:val="es-ES"/>
              </w:rPr>
              <w:t>Raras:</w:t>
            </w:r>
          </w:p>
        </w:tc>
        <w:tc>
          <w:tcPr>
            <w:tcW w:w="7087" w:type="dxa"/>
          </w:tcPr>
          <w:p w14:paraId="207489F1" w14:textId="77777777" w:rsidR="00483CB7" w:rsidRPr="002D741C" w:rsidRDefault="00483CB7" w:rsidP="007A7A30">
            <w:pPr>
              <w:tabs>
                <w:tab w:val="left" w:pos="567"/>
              </w:tabs>
              <w:spacing w:line="260" w:lineRule="exact"/>
              <w:rPr>
                <w:bCs/>
                <w:noProof/>
                <w:color w:val="000000"/>
                <w:sz w:val="22"/>
                <w:lang w:val="es-ES"/>
              </w:rPr>
            </w:pPr>
            <w:r w:rsidRPr="002D741C">
              <w:rPr>
                <w:bCs/>
                <w:noProof/>
                <w:color w:val="000000"/>
                <w:sz w:val="22"/>
                <w:lang w:val="es-ES"/>
              </w:rPr>
              <w:t xml:space="preserve">Insuficiencia </w:t>
            </w:r>
            <w:r w:rsidR="007A7A30" w:rsidRPr="002D741C">
              <w:rPr>
                <w:bCs/>
                <w:noProof/>
                <w:color w:val="000000"/>
                <w:sz w:val="22"/>
                <w:lang w:val="es-ES"/>
              </w:rPr>
              <w:t>hepática</w:t>
            </w:r>
            <w:r w:rsidRPr="002D741C">
              <w:rPr>
                <w:bCs/>
                <w:noProof/>
                <w:color w:val="000000"/>
                <w:sz w:val="22"/>
                <w:szCs w:val="22"/>
                <w:vertAlign w:val="superscript"/>
                <w:lang w:val="es-ES"/>
              </w:rPr>
              <w:t>8</w:t>
            </w:r>
            <w:r w:rsidRPr="002D741C">
              <w:rPr>
                <w:bCs/>
                <w:noProof/>
                <w:color w:val="000000"/>
                <w:sz w:val="22"/>
                <w:szCs w:val="22"/>
                <w:lang w:val="es-ES"/>
              </w:rPr>
              <w:t>, necrosis hepática</w:t>
            </w:r>
            <w:r w:rsidRPr="002D741C">
              <w:rPr>
                <w:bCs/>
                <w:noProof/>
                <w:color w:val="000000"/>
                <w:sz w:val="22"/>
                <w:szCs w:val="22"/>
                <w:vertAlign w:val="superscript"/>
                <w:lang w:val="es-ES"/>
              </w:rPr>
              <w:t xml:space="preserve"> </w:t>
            </w:r>
          </w:p>
        </w:tc>
      </w:tr>
      <w:tr w:rsidR="00483CB7" w:rsidRPr="002D741C" w14:paraId="707EF684" w14:textId="77777777" w:rsidTr="00AD13BE">
        <w:trPr>
          <w:cantSplit/>
        </w:trPr>
        <w:tc>
          <w:tcPr>
            <w:tcW w:w="9322" w:type="dxa"/>
            <w:gridSpan w:val="2"/>
          </w:tcPr>
          <w:p w14:paraId="78CD212F" w14:textId="77777777" w:rsidR="00483CB7" w:rsidRPr="002D741C" w:rsidRDefault="00483CB7" w:rsidP="00AD13BE">
            <w:pPr>
              <w:keepNext/>
              <w:tabs>
                <w:tab w:val="left" w:pos="567"/>
              </w:tabs>
              <w:spacing w:line="260" w:lineRule="exact"/>
              <w:rPr>
                <w:color w:val="000000"/>
                <w:sz w:val="22"/>
              </w:rPr>
            </w:pPr>
            <w:r w:rsidRPr="002D741C">
              <w:rPr>
                <w:b/>
                <w:bCs/>
                <w:noProof/>
                <w:color w:val="000000"/>
                <w:sz w:val="22"/>
                <w:lang w:val="es-ES"/>
              </w:rPr>
              <w:lastRenderedPageBreak/>
              <w:t>Trastornos de la piel y del tejido subcutáneo</w:t>
            </w:r>
          </w:p>
        </w:tc>
      </w:tr>
      <w:tr w:rsidR="00483CB7" w:rsidRPr="002D741C" w14:paraId="3C8E5095" w14:textId="77777777" w:rsidTr="00AD13BE">
        <w:trPr>
          <w:cantSplit/>
        </w:trPr>
        <w:tc>
          <w:tcPr>
            <w:tcW w:w="2235" w:type="dxa"/>
          </w:tcPr>
          <w:p w14:paraId="51C41C44" w14:textId="77777777" w:rsidR="00483CB7" w:rsidRPr="002D741C" w:rsidRDefault="00483CB7" w:rsidP="00AD13BE">
            <w:pPr>
              <w:keepNext/>
              <w:tabs>
                <w:tab w:val="left" w:pos="567"/>
              </w:tabs>
              <w:spacing w:line="260" w:lineRule="exact"/>
              <w:rPr>
                <w:color w:val="000000"/>
                <w:sz w:val="22"/>
                <w:lang w:val="en-GB"/>
              </w:rPr>
            </w:pPr>
            <w:r w:rsidRPr="002D741C">
              <w:rPr>
                <w:i/>
                <w:color w:val="000000"/>
                <w:sz w:val="22"/>
                <w:szCs w:val="22"/>
                <w:lang w:val="en-GB"/>
              </w:rPr>
              <w:t>Muy frecuentes:</w:t>
            </w:r>
          </w:p>
        </w:tc>
        <w:tc>
          <w:tcPr>
            <w:tcW w:w="7087" w:type="dxa"/>
          </w:tcPr>
          <w:p w14:paraId="6B7D2F59" w14:textId="77777777" w:rsidR="00483CB7" w:rsidRPr="002D741C" w:rsidRDefault="00483CB7" w:rsidP="00AD13BE">
            <w:pPr>
              <w:keepNext/>
              <w:tabs>
                <w:tab w:val="left" w:pos="567"/>
              </w:tabs>
              <w:spacing w:line="260" w:lineRule="exact"/>
              <w:rPr>
                <w:color w:val="000000"/>
                <w:sz w:val="22"/>
              </w:rPr>
            </w:pPr>
            <w:r w:rsidRPr="002D741C">
              <w:rPr>
                <w:color w:val="000000"/>
                <w:sz w:val="22"/>
                <w:szCs w:val="22"/>
              </w:rPr>
              <w:t>Edema periorbital, dermatitis/eccema/erupción</w:t>
            </w:r>
          </w:p>
        </w:tc>
      </w:tr>
      <w:tr w:rsidR="00483CB7" w:rsidRPr="002D741C" w14:paraId="419BD389" w14:textId="77777777" w:rsidTr="00AD13BE">
        <w:trPr>
          <w:cantSplit/>
        </w:trPr>
        <w:tc>
          <w:tcPr>
            <w:tcW w:w="2235" w:type="dxa"/>
          </w:tcPr>
          <w:p w14:paraId="3AB649A8" w14:textId="77777777" w:rsidR="00483CB7" w:rsidRPr="002D741C" w:rsidRDefault="00483CB7" w:rsidP="00AD13BE">
            <w:pPr>
              <w:keepNext/>
              <w:tabs>
                <w:tab w:val="left" w:pos="567"/>
              </w:tabs>
              <w:spacing w:line="260" w:lineRule="exact"/>
              <w:rPr>
                <w:color w:val="000000"/>
                <w:sz w:val="22"/>
                <w:lang w:val="en-GB"/>
              </w:rPr>
            </w:pPr>
            <w:r w:rsidRPr="002D741C">
              <w:rPr>
                <w:i/>
                <w:color w:val="000000"/>
                <w:sz w:val="22"/>
                <w:szCs w:val="22"/>
                <w:lang w:val="en-GB"/>
              </w:rPr>
              <w:t>Frecuentes:</w:t>
            </w:r>
          </w:p>
        </w:tc>
        <w:tc>
          <w:tcPr>
            <w:tcW w:w="7087" w:type="dxa"/>
          </w:tcPr>
          <w:p w14:paraId="7E349096" w14:textId="77777777" w:rsidR="00483CB7" w:rsidRPr="002D741C" w:rsidRDefault="00483CB7" w:rsidP="00AD13BE">
            <w:pPr>
              <w:keepNext/>
              <w:tabs>
                <w:tab w:val="left" w:pos="567"/>
              </w:tabs>
              <w:spacing w:line="260" w:lineRule="exact"/>
              <w:rPr>
                <w:color w:val="000000"/>
                <w:sz w:val="22"/>
              </w:rPr>
            </w:pPr>
            <w:r w:rsidRPr="002D741C">
              <w:rPr>
                <w:color w:val="000000"/>
                <w:sz w:val="22"/>
                <w:szCs w:val="22"/>
              </w:rPr>
              <w:t>Prurito, edema facial, sequedad de la piel, eritema, alopecia, sudoración nocturna, reacción de fotosensibilidad</w:t>
            </w:r>
          </w:p>
        </w:tc>
      </w:tr>
      <w:tr w:rsidR="00483CB7" w:rsidRPr="002D741C" w14:paraId="30BCA2E5" w14:textId="77777777" w:rsidTr="00AD13BE">
        <w:trPr>
          <w:cantSplit/>
        </w:trPr>
        <w:tc>
          <w:tcPr>
            <w:tcW w:w="2235" w:type="dxa"/>
          </w:tcPr>
          <w:p w14:paraId="120F1127" w14:textId="77777777" w:rsidR="00483CB7" w:rsidRPr="002D741C" w:rsidRDefault="00483CB7" w:rsidP="00AD13BE">
            <w:pPr>
              <w:keepNext/>
              <w:tabs>
                <w:tab w:val="left" w:pos="567"/>
              </w:tabs>
              <w:spacing w:line="260" w:lineRule="exact"/>
              <w:rPr>
                <w:color w:val="000000"/>
                <w:sz w:val="22"/>
                <w:lang w:val="en-GB"/>
              </w:rPr>
            </w:pPr>
            <w:r w:rsidRPr="002D741C">
              <w:rPr>
                <w:i/>
                <w:color w:val="000000"/>
                <w:sz w:val="22"/>
                <w:szCs w:val="22"/>
                <w:lang w:val="en-GB"/>
              </w:rPr>
              <w:t>Poco frecuentes:</w:t>
            </w:r>
          </w:p>
        </w:tc>
        <w:tc>
          <w:tcPr>
            <w:tcW w:w="7087" w:type="dxa"/>
          </w:tcPr>
          <w:p w14:paraId="6711CB99" w14:textId="77777777" w:rsidR="00483CB7" w:rsidRPr="002D741C" w:rsidRDefault="00483CB7" w:rsidP="00AD13BE">
            <w:pPr>
              <w:keepNext/>
              <w:tabs>
                <w:tab w:val="left" w:pos="567"/>
              </w:tabs>
              <w:spacing w:line="260" w:lineRule="exact"/>
              <w:rPr>
                <w:color w:val="000000"/>
                <w:sz w:val="22"/>
                <w:szCs w:val="22"/>
              </w:rPr>
            </w:pPr>
            <w:r w:rsidRPr="002D741C">
              <w:rPr>
                <w:color w:val="000000"/>
                <w:sz w:val="22"/>
                <w:szCs w:val="22"/>
              </w:rPr>
              <w:t>Erupción pustular, contusión, aumento de la sudoración, urticaria, equimosis, aumento de la tendencia a tener moratones, hipotricosis, hipopigmentación de la piel, dermatitis exfoliativa, onicoclasis, foliculitis, petequias, psoriasis, púrpura, hiperpigmentación de la piel, erupciones bullosas</w:t>
            </w:r>
          </w:p>
        </w:tc>
      </w:tr>
      <w:tr w:rsidR="00483CB7" w:rsidRPr="002D741C" w14:paraId="532B48C3" w14:textId="77777777" w:rsidTr="00AD13BE">
        <w:trPr>
          <w:cantSplit/>
        </w:trPr>
        <w:tc>
          <w:tcPr>
            <w:tcW w:w="2235" w:type="dxa"/>
          </w:tcPr>
          <w:p w14:paraId="4FC1FDC3" w14:textId="77777777" w:rsidR="00483CB7" w:rsidRPr="002D741C" w:rsidRDefault="00483CB7" w:rsidP="00AD13BE">
            <w:pPr>
              <w:keepNext/>
              <w:tabs>
                <w:tab w:val="left" w:pos="567"/>
              </w:tabs>
              <w:spacing w:line="260" w:lineRule="exact"/>
              <w:rPr>
                <w:color w:val="000000"/>
                <w:sz w:val="22"/>
                <w:lang w:val="en-GB"/>
              </w:rPr>
            </w:pPr>
            <w:r w:rsidRPr="002D741C">
              <w:rPr>
                <w:i/>
                <w:color w:val="000000"/>
                <w:sz w:val="22"/>
                <w:szCs w:val="22"/>
                <w:lang w:val="en-GB"/>
              </w:rPr>
              <w:t>Raras:</w:t>
            </w:r>
          </w:p>
        </w:tc>
        <w:tc>
          <w:tcPr>
            <w:tcW w:w="7087" w:type="dxa"/>
          </w:tcPr>
          <w:p w14:paraId="6031021F" w14:textId="77777777" w:rsidR="00483CB7" w:rsidRPr="00DF6C0D" w:rsidRDefault="00483CB7" w:rsidP="00AD13BE">
            <w:pPr>
              <w:keepNext/>
              <w:tabs>
                <w:tab w:val="left" w:pos="567"/>
              </w:tabs>
              <w:spacing w:line="260" w:lineRule="exact"/>
              <w:rPr>
                <w:color w:val="000000"/>
                <w:sz w:val="22"/>
                <w:lang w:val="es-ES"/>
              </w:rPr>
            </w:pPr>
            <w:r w:rsidRPr="00DF6C0D">
              <w:rPr>
                <w:color w:val="000000"/>
                <w:sz w:val="22"/>
                <w:szCs w:val="22"/>
                <w:lang w:val="es-ES"/>
              </w:rPr>
              <w:t>Dermatosis neutrofílica febril aguda (síndrome de Sweet), decoloración de las uñas, edema angioneurótico, erupción vesicular, eritema multiforme, vasculitis leucocitoclástica, síndrome de Stevens-Johnson, exantema pustuloso generalizado agudo (AGEP)</w:t>
            </w:r>
          </w:p>
        </w:tc>
      </w:tr>
      <w:tr w:rsidR="00483CB7" w:rsidRPr="002D741C" w14:paraId="345D237D" w14:textId="77777777" w:rsidTr="00AD13BE">
        <w:trPr>
          <w:cantSplit/>
        </w:trPr>
        <w:tc>
          <w:tcPr>
            <w:tcW w:w="2235" w:type="dxa"/>
          </w:tcPr>
          <w:p w14:paraId="3E933117" w14:textId="77777777" w:rsidR="00483CB7" w:rsidRPr="002D741C" w:rsidRDefault="00483CB7" w:rsidP="00F22369">
            <w:pPr>
              <w:tabs>
                <w:tab w:val="left" w:pos="567"/>
              </w:tabs>
              <w:spacing w:line="260" w:lineRule="exact"/>
              <w:rPr>
                <w:i/>
                <w:color w:val="000000"/>
                <w:sz w:val="22"/>
                <w:szCs w:val="22"/>
                <w:lang w:val="en-GB"/>
              </w:rPr>
            </w:pPr>
            <w:r w:rsidRPr="002D741C">
              <w:rPr>
                <w:i/>
                <w:color w:val="000000"/>
                <w:sz w:val="22"/>
                <w:szCs w:val="22"/>
                <w:lang w:val="en-GB"/>
              </w:rPr>
              <w:t>Frecuencia no conocida:</w:t>
            </w:r>
          </w:p>
        </w:tc>
        <w:tc>
          <w:tcPr>
            <w:tcW w:w="7087" w:type="dxa"/>
          </w:tcPr>
          <w:p w14:paraId="2FCF0770" w14:textId="77777777" w:rsidR="00483CB7" w:rsidRPr="002D741C" w:rsidRDefault="00483CB7" w:rsidP="00F22369">
            <w:pPr>
              <w:tabs>
                <w:tab w:val="left" w:pos="567"/>
              </w:tabs>
              <w:spacing w:line="260" w:lineRule="exact"/>
              <w:rPr>
                <w:color w:val="000000"/>
                <w:sz w:val="22"/>
                <w:szCs w:val="22"/>
                <w:lang w:val="es-ES"/>
              </w:rPr>
            </w:pPr>
            <w:r w:rsidRPr="002D741C">
              <w:rPr>
                <w:color w:val="000000"/>
                <w:sz w:val="22"/>
                <w:szCs w:val="22"/>
                <w:lang w:val="es-ES"/>
              </w:rPr>
              <w:t>Síndrome de eritrodisestesia palmoplantar*, queratosis liquenoide*, liquen plano*, necrolisis epidérmica tóxica*, erupción por medicamentos con eosinofilia y síntomas sistémicos (DRESS)*</w:t>
            </w:r>
            <w:r w:rsidR="00D57BD8" w:rsidRPr="002D741C">
              <w:rPr>
                <w:color w:val="000000"/>
                <w:sz w:val="22"/>
                <w:szCs w:val="22"/>
                <w:lang w:val="es-ES"/>
              </w:rPr>
              <w:t>, pseudoporfiria</w:t>
            </w:r>
          </w:p>
        </w:tc>
      </w:tr>
      <w:tr w:rsidR="00483CB7" w:rsidRPr="002D741C" w14:paraId="1F778986" w14:textId="77777777" w:rsidTr="00AD13BE">
        <w:trPr>
          <w:cantSplit/>
        </w:trPr>
        <w:tc>
          <w:tcPr>
            <w:tcW w:w="9322" w:type="dxa"/>
            <w:gridSpan w:val="2"/>
          </w:tcPr>
          <w:p w14:paraId="7427370B" w14:textId="77777777" w:rsidR="00483CB7" w:rsidRPr="002D741C" w:rsidRDefault="00483CB7" w:rsidP="00AD13BE">
            <w:pPr>
              <w:keepNext/>
              <w:tabs>
                <w:tab w:val="left" w:pos="567"/>
              </w:tabs>
              <w:spacing w:line="260" w:lineRule="exact"/>
              <w:rPr>
                <w:color w:val="000000"/>
                <w:sz w:val="22"/>
                <w:szCs w:val="22"/>
              </w:rPr>
            </w:pPr>
            <w:r w:rsidRPr="002D741C">
              <w:rPr>
                <w:b/>
                <w:color w:val="000000"/>
                <w:sz w:val="22"/>
                <w:szCs w:val="22"/>
                <w:lang w:val="es-ES"/>
              </w:rPr>
              <w:t>Trastornos musculoesqueléticos y del tejido conjuntivo</w:t>
            </w:r>
          </w:p>
        </w:tc>
      </w:tr>
      <w:tr w:rsidR="00483CB7" w:rsidRPr="002D741C" w14:paraId="068FA36B" w14:textId="77777777" w:rsidTr="00AD13BE">
        <w:trPr>
          <w:cantSplit/>
        </w:trPr>
        <w:tc>
          <w:tcPr>
            <w:tcW w:w="2235" w:type="dxa"/>
          </w:tcPr>
          <w:p w14:paraId="47E39C24" w14:textId="77777777" w:rsidR="00483CB7" w:rsidRPr="002D741C" w:rsidRDefault="00483CB7" w:rsidP="00AD13BE">
            <w:pPr>
              <w:keepNext/>
              <w:tabs>
                <w:tab w:val="left" w:pos="567"/>
              </w:tabs>
              <w:spacing w:line="260" w:lineRule="exact"/>
              <w:rPr>
                <w:color w:val="000000"/>
                <w:sz w:val="22"/>
                <w:szCs w:val="22"/>
              </w:rPr>
            </w:pPr>
            <w:r w:rsidRPr="002D741C">
              <w:rPr>
                <w:i/>
                <w:color w:val="000000"/>
                <w:sz w:val="22"/>
                <w:szCs w:val="22"/>
              </w:rPr>
              <w:t>Muy frecuentes:</w:t>
            </w:r>
          </w:p>
        </w:tc>
        <w:tc>
          <w:tcPr>
            <w:tcW w:w="7087" w:type="dxa"/>
          </w:tcPr>
          <w:p w14:paraId="01E9EF58" w14:textId="77777777" w:rsidR="00483CB7" w:rsidRPr="002D741C" w:rsidRDefault="00483CB7" w:rsidP="00AD13BE">
            <w:pPr>
              <w:keepNext/>
              <w:tabs>
                <w:tab w:val="left" w:pos="567"/>
              </w:tabs>
              <w:spacing w:line="260" w:lineRule="exact"/>
              <w:rPr>
                <w:color w:val="000000"/>
                <w:sz w:val="22"/>
                <w:szCs w:val="22"/>
              </w:rPr>
            </w:pPr>
            <w:r w:rsidRPr="002D741C">
              <w:rPr>
                <w:color w:val="000000"/>
                <w:sz w:val="22"/>
                <w:szCs w:val="22"/>
              </w:rPr>
              <w:t>Espasmos y calambres musculares, dolor musculoesquelético incluyendo mialgia</w:t>
            </w:r>
            <w:r w:rsidR="00676217" w:rsidRPr="002D741C">
              <w:rPr>
                <w:color w:val="000000"/>
                <w:sz w:val="22"/>
                <w:szCs w:val="22"/>
                <w:vertAlign w:val="superscript"/>
              </w:rPr>
              <w:t>9</w:t>
            </w:r>
            <w:r w:rsidRPr="002D741C">
              <w:rPr>
                <w:color w:val="000000"/>
                <w:sz w:val="22"/>
                <w:szCs w:val="22"/>
              </w:rPr>
              <w:t>, artralgia, dolor óseo</w:t>
            </w:r>
            <w:r w:rsidR="00676217" w:rsidRPr="002D741C">
              <w:rPr>
                <w:color w:val="000000"/>
                <w:sz w:val="22"/>
                <w:szCs w:val="22"/>
                <w:vertAlign w:val="superscript"/>
              </w:rPr>
              <w:t>10</w:t>
            </w:r>
          </w:p>
        </w:tc>
      </w:tr>
      <w:tr w:rsidR="00483CB7" w:rsidRPr="002D741C" w14:paraId="3335649C" w14:textId="77777777" w:rsidTr="00AD13BE">
        <w:trPr>
          <w:cantSplit/>
        </w:trPr>
        <w:tc>
          <w:tcPr>
            <w:tcW w:w="2235" w:type="dxa"/>
          </w:tcPr>
          <w:p w14:paraId="4F7CE5F0" w14:textId="77777777" w:rsidR="00483CB7" w:rsidRPr="002D741C" w:rsidRDefault="00483CB7" w:rsidP="00AD13BE">
            <w:pPr>
              <w:keepNext/>
              <w:tabs>
                <w:tab w:val="left" w:pos="567"/>
              </w:tabs>
              <w:spacing w:line="260" w:lineRule="exact"/>
              <w:rPr>
                <w:color w:val="000000"/>
                <w:sz w:val="22"/>
                <w:szCs w:val="22"/>
              </w:rPr>
            </w:pPr>
            <w:r w:rsidRPr="002D741C">
              <w:rPr>
                <w:i/>
                <w:color w:val="000000"/>
                <w:sz w:val="22"/>
                <w:szCs w:val="22"/>
              </w:rPr>
              <w:t>Frecuentes:</w:t>
            </w:r>
          </w:p>
        </w:tc>
        <w:tc>
          <w:tcPr>
            <w:tcW w:w="7087" w:type="dxa"/>
          </w:tcPr>
          <w:p w14:paraId="058DFD27" w14:textId="77777777" w:rsidR="00483CB7" w:rsidRPr="002D741C" w:rsidRDefault="00483CB7" w:rsidP="00AD13BE">
            <w:pPr>
              <w:keepNext/>
              <w:tabs>
                <w:tab w:val="left" w:pos="567"/>
              </w:tabs>
              <w:spacing w:line="260" w:lineRule="exact"/>
              <w:rPr>
                <w:color w:val="000000"/>
                <w:sz w:val="22"/>
                <w:szCs w:val="22"/>
                <w:lang w:val="pt-PT"/>
              </w:rPr>
            </w:pPr>
            <w:r w:rsidRPr="002D741C">
              <w:rPr>
                <w:color w:val="000000"/>
                <w:sz w:val="22"/>
                <w:szCs w:val="22"/>
              </w:rPr>
              <w:t>Hinchazón de las articulaciones</w:t>
            </w:r>
          </w:p>
        </w:tc>
      </w:tr>
      <w:tr w:rsidR="00483CB7" w:rsidRPr="002D741C" w14:paraId="378D5F6E" w14:textId="77777777" w:rsidTr="00AD13BE">
        <w:trPr>
          <w:cantSplit/>
        </w:trPr>
        <w:tc>
          <w:tcPr>
            <w:tcW w:w="2235" w:type="dxa"/>
          </w:tcPr>
          <w:p w14:paraId="22618B4B" w14:textId="77777777" w:rsidR="00483CB7" w:rsidRPr="002D741C" w:rsidRDefault="00483CB7" w:rsidP="00AD13BE">
            <w:pPr>
              <w:keepNext/>
              <w:tabs>
                <w:tab w:val="left" w:pos="567"/>
              </w:tabs>
              <w:spacing w:line="260" w:lineRule="exact"/>
              <w:rPr>
                <w:color w:val="000000"/>
                <w:sz w:val="22"/>
                <w:szCs w:val="22"/>
              </w:rPr>
            </w:pPr>
            <w:r w:rsidRPr="002D741C">
              <w:rPr>
                <w:i/>
                <w:color w:val="000000"/>
                <w:sz w:val="22"/>
                <w:szCs w:val="22"/>
              </w:rPr>
              <w:t>Poco frecuentes:</w:t>
            </w:r>
          </w:p>
        </w:tc>
        <w:tc>
          <w:tcPr>
            <w:tcW w:w="7087" w:type="dxa"/>
          </w:tcPr>
          <w:p w14:paraId="13296ED3" w14:textId="77777777" w:rsidR="00483CB7" w:rsidRPr="002D741C" w:rsidRDefault="00483CB7" w:rsidP="00AD13BE">
            <w:pPr>
              <w:keepNext/>
              <w:tabs>
                <w:tab w:val="left" w:pos="567"/>
              </w:tabs>
              <w:spacing w:line="260" w:lineRule="exact"/>
              <w:rPr>
                <w:color w:val="000000"/>
                <w:sz w:val="22"/>
                <w:szCs w:val="22"/>
              </w:rPr>
            </w:pPr>
            <w:r w:rsidRPr="002D741C">
              <w:rPr>
                <w:color w:val="000000"/>
                <w:sz w:val="22"/>
                <w:szCs w:val="22"/>
              </w:rPr>
              <w:t>Rigidez de articulaciones y músculos</w:t>
            </w:r>
          </w:p>
        </w:tc>
      </w:tr>
      <w:tr w:rsidR="00483CB7" w:rsidRPr="002D741C" w14:paraId="4D31DB4E" w14:textId="77777777" w:rsidTr="00AD13BE">
        <w:trPr>
          <w:cantSplit/>
        </w:trPr>
        <w:tc>
          <w:tcPr>
            <w:tcW w:w="2235" w:type="dxa"/>
          </w:tcPr>
          <w:p w14:paraId="4592E371" w14:textId="77777777" w:rsidR="00483CB7" w:rsidRPr="002D741C" w:rsidRDefault="00483CB7" w:rsidP="00AD13BE">
            <w:pPr>
              <w:keepNext/>
              <w:tabs>
                <w:tab w:val="left" w:pos="567"/>
              </w:tabs>
              <w:spacing w:line="260" w:lineRule="exact"/>
              <w:rPr>
                <w:color w:val="000000"/>
                <w:sz w:val="22"/>
                <w:szCs w:val="22"/>
              </w:rPr>
            </w:pPr>
            <w:r w:rsidRPr="002D741C">
              <w:rPr>
                <w:i/>
                <w:color w:val="000000"/>
                <w:sz w:val="22"/>
                <w:szCs w:val="22"/>
              </w:rPr>
              <w:t>Raras:</w:t>
            </w:r>
          </w:p>
        </w:tc>
        <w:tc>
          <w:tcPr>
            <w:tcW w:w="7087" w:type="dxa"/>
          </w:tcPr>
          <w:p w14:paraId="2F2C2FC8" w14:textId="77777777" w:rsidR="00483CB7" w:rsidRPr="002D741C" w:rsidRDefault="00483CB7" w:rsidP="00AD13BE">
            <w:pPr>
              <w:keepNext/>
              <w:tabs>
                <w:tab w:val="left" w:pos="567"/>
              </w:tabs>
              <w:spacing w:line="260" w:lineRule="exact"/>
              <w:rPr>
                <w:color w:val="000000"/>
                <w:sz w:val="22"/>
                <w:szCs w:val="22"/>
                <w:lang w:val="es-ES"/>
              </w:rPr>
            </w:pPr>
            <w:r w:rsidRPr="002D741C">
              <w:rPr>
                <w:bCs/>
                <w:color w:val="000000"/>
                <w:sz w:val="22"/>
                <w:szCs w:val="22"/>
              </w:rPr>
              <w:t>Debilidad muscular, artritis, rabdomiolisis/miopatía</w:t>
            </w:r>
          </w:p>
        </w:tc>
      </w:tr>
      <w:tr w:rsidR="00483CB7" w:rsidRPr="002D741C" w14:paraId="2E945381" w14:textId="77777777" w:rsidTr="00AD13BE">
        <w:trPr>
          <w:cantSplit/>
        </w:trPr>
        <w:tc>
          <w:tcPr>
            <w:tcW w:w="2235" w:type="dxa"/>
          </w:tcPr>
          <w:p w14:paraId="0CB71C66" w14:textId="77777777" w:rsidR="00483CB7" w:rsidRPr="002D741C" w:rsidRDefault="00483CB7" w:rsidP="00F22369">
            <w:pPr>
              <w:tabs>
                <w:tab w:val="left" w:pos="567"/>
              </w:tabs>
              <w:spacing w:line="260" w:lineRule="exact"/>
              <w:rPr>
                <w:i/>
                <w:color w:val="000000"/>
                <w:sz w:val="22"/>
                <w:szCs w:val="22"/>
              </w:rPr>
            </w:pPr>
            <w:r w:rsidRPr="002D741C">
              <w:rPr>
                <w:i/>
                <w:color w:val="000000"/>
                <w:sz w:val="22"/>
                <w:szCs w:val="22"/>
              </w:rPr>
              <w:t>Frecuencia no conocida:</w:t>
            </w:r>
          </w:p>
        </w:tc>
        <w:tc>
          <w:tcPr>
            <w:tcW w:w="7087" w:type="dxa"/>
          </w:tcPr>
          <w:p w14:paraId="67C93F75" w14:textId="77777777" w:rsidR="00483CB7" w:rsidRPr="002D741C" w:rsidRDefault="00483CB7" w:rsidP="00F22369">
            <w:pPr>
              <w:tabs>
                <w:tab w:val="left" w:pos="567"/>
              </w:tabs>
              <w:spacing w:line="260" w:lineRule="exact"/>
              <w:rPr>
                <w:bCs/>
                <w:color w:val="000000"/>
                <w:sz w:val="22"/>
                <w:szCs w:val="22"/>
              </w:rPr>
            </w:pPr>
            <w:r w:rsidRPr="002D741C">
              <w:rPr>
                <w:bCs/>
                <w:color w:val="000000"/>
                <w:sz w:val="22"/>
                <w:szCs w:val="22"/>
              </w:rPr>
              <w:t>Necrosis avascular/necrosis de cadera*, retraso en el crecimiento en niños*</w:t>
            </w:r>
          </w:p>
        </w:tc>
      </w:tr>
      <w:tr w:rsidR="00483CB7" w:rsidRPr="002D741C" w14:paraId="3E15244E" w14:textId="77777777" w:rsidTr="00AD13BE">
        <w:trPr>
          <w:cantSplit/>
        </w:trPr>
        <w:tc>
          <w:tcPr>
            <w:tcW w:w="9322" w:type="dxa"/>
            <w:gridSpan w:val="2"/>
          </w:tcPr>
          <w:p w14:paraId="0B545A34" w14:textId="77777777" w:rsidR="00483CB7" w:rsidRPr="002D741C" w:rsidRDefault="00483CB7" w:rsidP="00AD13BE">
            <w:pPr>
              <w:keepNext/>
              <w:tabs>
                <w:tab w:val="left" w:pos="567"/>
              </w:tabs>
              <w:spacing w:line="260" w:lineRule="exact"/>
              <w:rPr>
                <w:b/>
                <w:color w:val="000000"/>
                <w:sz w:val="22"/>
                <w:szCs w:val="22"/>
                <w:lang w:val="es-ES"/>
              </w:rPr>
            </w:pPr>
            <w:r w:rsidRPr="002D741C">
              <w:rPr>
                <w:b/>
                <w:color w:val="000000"/>
                <w:sz w:val="22"/>
                <w:szCs w:val="22"/>
                <w:lang w:val="es-ES"/>
              </w:rPr>
              <w:t>Trastornos renales y urinarios</w:t>
            </w:r>
          </w:p>
        </w:tc>
      </w:tr>
      <w:tr w:rsidR="00483CB7" w:rsidRPr="002D741C" w14:paraId="4CDC2CCA" w14:textId="77777777" w:rsidTr="00AD13BE">
        <w:trPr>
          <w:cantSplit/>
        </w:trPr>
        <w:tc>
          <w:tcPr>
            <w:tcW w:w="2235" w:type="dxa"/>
          </w:tcPr>
          <w:p w14:paraId="4C1E8CA4" w14:textId="77777777" w:rsidR="00483CB7" w:rsidRPr="002D741C" w:rsidRDefault="00483CB7" w:rsidP="00AD13BE">
            <w:pPr>
              <w:keepNext/>
              <w:tabs>
                <w:tab w:val="left" w:pos="567"/>
              </w:tabs>
              <w:spacing w:line="260" w:lineRule="exact"/>
              <w:rPr>
                <w:i/>
                <w:color w:val="000000"/>
                <w:sz w:val="22"/>
                <w:szCs w:val="22"/>
                <w:lang w:val="es-ES"/>
              </w:rPr>
            </w:pPr>
            <w:r w:rsidRPr="002D741C">
              <w:rPr>
                <w:i/>
                <w:color w:val="000000"/>
                <w:sz w:val="22"/>
                <w:szCs w:val="22"/>
                <w:lang w:val="es-ES"/>
              </w:rPr>
              <w:t>Poco frecuentes:</w:t>
            </w:r>
          </w:p>
        </w:tc>
        <w:tc>
          <w:tcPr>
            <w:tcW w:w="7087" w:type="dxa"/>
          </w:tcPr>
          <w:p w14:paraId="4B065448" w14:textId="77777777" w:rsidR="00483CB7" w:rsidRPr="002D741C" w:rsidRDefault="00483CB7" w:rsidP="00AD13BE">
            <w:pPr>
              <w:keepNext/>
              <w:tabs>
                <w:tab w:val="left" w:pos="567"/>
              </w:tabs>
              <w:spacing w:line="260" w:lineRule="exact"/>
              <w:rPr>
                <w:color w:val="000000"/>
                <w:sz w:val="22"/>
                <w:szCs w:val="22"/>
                <w:lang w:val="es-ES"/>
              </w:rPr>
            </w:pPr>
            <w:r w:rsidRPr="002D741C">
              <w:rPr>
                <w:color w:val="000000"/>
                <w:sz w:val="22"/>
                <w:szCs w:val="22"/>
                <w:lang w:val="es-ES"/>
              </w:rPr>
              <w:t>Dolor renal, hematuria, insuficiencia renal aguda, aumento de frecuencia urinaria</w:t>
            </w:r>
          </w:p>
        </w:tc>
      </w:tr>
      <w:tr w:rsidR="00106012" w:rsidRPr="002D741C" w14:paraId="13FA4890" w14:textId="77777777" w:rsidTr="00AD13BE">
        <w:trPr>
          <w:cantSplit/>
        </w:trPr>
        <w:tc>
          <w:tcPr>
            <w:tcW w:w="2235" w:type="dxa"/>
          </w:tcPr>
          <w:p w14:paraId="35AF2B08" w14:textId="77777777" w:rsidR="00106012" w:rsidRPr="002D741C" w:rsidRDefault="00106012" w:rsidP="00F22369">
            <w:pPr>
              <w:tabs>
                <w:tab w:val="left" w:pos="567"/>
              </w:tabs>
              <w:spacing w:line="260" w:lineRule="exact"/>
              <w:rPr>
                <w:i/>
                <w:color w:val="000000"/>
                <w:sz w:val="22"/>
                <w:szCs w:val="22"/>
                <w:lang w:val="es-ES"/>
              </w:rPr>
            </w:pPr>
            <w:r w:rsidRPr="002D741C">
              <w:rPr>
                <w:i/>
                <w:color w:val="000000"/>
                <w:sz w:val="22"/>
                <w:szCs w:val="22"/>
                <w:lang w:val="es-ES"/>
              </w:rPr>
              <w:t>Frecuencia no conocida:</w:t>
            </w:r>
          </w:p>
        </w:tc>
        <w:tc>
          <w:tcPr>
            <w:tcW w:w="7087" w:type="dxa"/>
          </w:tcPr>
          <w:p w14:paraId="1C12B018" w14:textId="77777777" w:rsidR="00106012" w:rsidRPr="002D741C" w:rsidRDefault="00106012" w:rsidP="00F22369">
            <w:pPr>
              <w:tabs>
                <w:tab w:val="left" w:pos="567"/>
              </w:tabs>
              <w:spacing w:line="260" w:lineRule="exact"/>
              <w:rPr>
                <w:color w:val="000000"/>
                <w:sz w:val="22"/>
                <w:szCs w:val="22"/>
                <w:lang w:val="es-ES"/>
              </w:rPr>
            </w:pPr>
            <w:r w:rsidRPr="002D741C">
              <w:rPr>
                <w:color w:val="000000"/>
                <w:sz w:val="22"/>
                <w:szCs w:val="22"/>
                <w:lang w:val="es-ES"/>
              </w:rPr>
              <w:t>Insuficiencia renal crónica</w:t>
            </w:r>
          </w:p>
        </w:tc>
      </w:tr>
      <w:tr w:rsidR="00483CB7" w:rsidRPr="002D741C" w14:paraId="3A6EFA17" w14:textId="77777777" w:rsidTr="00AD13BE">
        <w:trPr>
          <w:cantSplit/>
        </w:trPr>
        <w:tc>
          <w:tcPr>
            <w:tcW w:w="9322" w:type="dxa"/>
            <w:gridSpan w:val="2"/>
          </w:tcPr>
          <w:p w14:paraId="03BE6680" w14:textId="77777777" w:rsidR="00483CB7" w:rsidRPr="002D741C" w:rsidRDefault="00483CB7" w:rsidP="00AD13BE">
            <w:pPr>
              <w:keepNext/>
              <w:tabs>
                <w:tab w:val="left" w:pos="567"/>
              </w:tabs>
              <w:spacing w:line="260" w:lineRule="exact"/>
              <w:rPr>
                <w:b/>
                <w:color w:val="000000"/>
                <w:sz w:val="22"/>
                <w:szCs w:val="22"/>
                <w:lang w:val="es-ES"/>
              </w:rPr>
            </w:pPr>
            <w:r w:rsidRPr="002D741C">
              <w:rPr>
                <w:b/>
                <w:color w:val="000000"/>
                <w:sz w:val="22"/>
                <w:szCs w:val="22"/>
                <w:lang w:val="es-ES"/>
              </w:rPr>
              <w:t>Trastornos del aparato reproductor y de la mama</w:t>
            </w:r>
          </w:p>
        </w:tc>
      </w:tr>
      <w:tr w:rsidR="00483CB7" w:rsidRPr="002D741C" w14:paraId="661F86DB" w14:textId="77777777" w:rsidTr="00AD13BE">
        <w:trPr>
          <w:cantSplit/>
        </w:trPr>
        <w:tc>
          <w:tcPr>
            <w:tcW w:w="2235" w:type="dxa"/>
          </w:tcPr>
          <w:p w14:paraId="4E7D2A08" w14:textId="77777777" w:rsidR="00483CB7" w:rsidRPr="002D741C" w:rsidRDefault="00483CB7" w:rsidP="00AD13BE">
            <w:pPr>
              <w:keepNext/>
              <w:tabs>
                <w:tab w:val="left" w:pos="567"/>
              </w:tabs>
              <w:spacing w:line="260" w:lineRule="exact"/>
              <w:rPr>
                <w:i/>
                <w:color w:val="000000"/>
                <w:sz w:val="22"/>
                <w:szCs w:val="22"/>
                <w:lang w:val="es-ES"/>
              </w:rPr>
            </w:pPr>
            <w:r w:rsidRPr="002D741C">
              <w:rPr>
                <w:i/>
                <w:color w:val="000000"/>
                <w:sz w:val="22"/>
                <w:szCs w:val="22"/>
                <w:lang w:val="es-ES"/>
              </w:rPr>
              <w:t>Poco frecuentes:</w:t>
            </w:r>
          </w:p>
        </w:tc>
        <w:tc>
          <w:tcPr>
            <w:tcW w:w="7087" w:type="dxa"/>
          </w:tcPr>
          <w:p w14:paraId="32C26167" w14:textId="77777777" w:rsidR="00483CB7" w:rsidRPr="002D741C" w:rsidRDefault="00483CB7" w:rsidP="00AD13BE">
            <w:pPr>
              <w:keepNext/>
              <w:tabs>
                <w:tab w:val="left" w:pos="567"/>
              </w:tabs>
              <w:spacing w:line="260" w:lineRule="exact"/>
              <w:rPr>
                <w:color w:val="000000"/>
                <w:sz w:val="22"/>
                <w:szCs w:val="22"/>
                <w:lang w:val="es-ES"/>
              </w:rPr>
            </w:pPr>
            <w:r w:rsidRPr="002D741C">
              <w:rPr>
                <w:color w:val="000000"/>
                <w:sz w:val="22"/>
                <w:szCs w:val="22"/>
                <w:lang w:val="es-ES"/>
              </w:rPr>
              <w:t>Ginecomastia, disfunción eréctil, menorragia, menstruación irregular, disfunción sexual, dolor en los pezones, aumento del tamaño de las mamas, edema de escroto</w:t>
            </w:r>
          </w:p>
        </w:tc>
      </w:tr>
      <w:tr w:rsidR="00483CB7" w:rsidRPr="002D741C" w14:paraId="5076EC83" w14:textId="77777777" w:rsidTr="00AD13BE">
        <w:trPr>
          <w:cantSplit/>
        </w:trPr>
        <w:tc>
          <w:tcPr>
            <w:tcW w:w="2235" w:type="dxa"/>
          </w:tcPr>
          <w:p w14:paraId="6285629D" w14:textId="77777777" w:rsidR="00483CB7" w:rsidRPr="002D741C" w:rsidRDefault="00483CB7" w:rsidP="00F22369">
            <w:pPr>
              <w:tabs>
                <w:tab w:val="left" w:pos="567"/>
              </w:tabs>
              <w:spacing w:line="260" w:lineRule="exact"/>
              <w:rPr>
                <w:i/>
                <w:color w:val="000000"/>
                <w:sz w:val="22"/>
                <w:szCs w:val="22"/>
                <w:lang w:val="es-ES"/>
              </w:rPr>
            </w:pPr>
            <w:r w:rsidRPr="002D741C">
              <w:rPr>
                <w:i/>
                <w:color w:val="000000"/>
                <w:sz w:val="22"/>
                <w:szCs w:val="22"/>
                <w:lang w:val="es-ES"/>
              </w:rPr>
              <w:t>R</w:t>
            </w:r>
            <w:r w:rsidR="00AD13BE">
              <w:rPr>
                <w:i/>
                <w:color w:val="000000"/>
                <w:sz w:val="22"/>
                <w:szCs w:val="22"/>
                <w:lang w:val="es-ES"/>
              </w:rPr>
              <w:t>aras:</w:t>
            </w:r>
          </w:p>
        </w:tc>
        <w:tc>
          <w:tcPr>
            <w:tcW w:w="7087" w:type="dxa"/>
          </w:tcPr>
          <w:p w14:paraId="3224FFD2" w14:textId="77777777" w:rsidR="00483CB7" w:rsidRPr="002D741C" w:rsidRDefault="00483CB7" w:rsidP="00F22369">
            <w:pPr>
              <w:tabs>
                <w:tab w:val="left" w:pos="567"/>
              </w:tabs>
              <w:spacing w:line="260" w:lineRule="exact"/>
              <w:rPr>
                <w:color w:val="000000"/>
                <w:sz w:val="22"/>
                <w:szCs w:val="22"/>
                <w:lang w:val="es-ES"/>
              </w:rPr>
            </w:pPr>
            <w:r w:rsidRPr="002D741C">
              <w:rPr>
                <w:color w:val="000000"/>
                <w:sz w:val="22"/>
                <w:szCs w:val="22"/>
                <w:lang w:val="es-ES"/>
              </w:rPr>
              <w:t>Cuerpo lúteo hemorrágico/quiste de ovario hemorrágico</w:t>
            </w:r>
          </w:p>
        </w:tc>
      </w:tr>
      <w:tr w:rsidR="00483CB7" w:rsidRPr="002D741C" w14:paraId="5531CF5B" w14:textId="77777777" w:rsidTr="00AD13BE">
        <w:trPr>
          <w:cantSplit/>
        </w:trPr>
        <w:tc>
          <w:tcPr>
            <w:tcW w:w="9322" w:type="dxa"/>
            <w:gridSpan w:val="2"/>
          </w:tcPr>
          <w:p w14:paraId="7D5C3387" w14:textId="77777777" w:rsidR="00483CB7" w:rsidRPr="002D741C" w:rsidRDefault="00483CB7" w:rsidP="00AD13BE">
            <w:pPr>
              <w:keepNext/>
              <w:tabs>
                <w:tab w:val="left" w:pos="567"/>
              </w:tabs>
              <w:spacing w:line="260" w:lineRule="exact"/>
              <w:rPr>
                <w:color w:val="000000"/>
                <w:sz w:val="22"/>
                <w:szCs w:val="22"/>
              </w:rPr>
            </w:pPr>
            <w:r w:rsidRPr="002D741C">
              <w:rPr>
                <w:b/>
                <w:color w:val="000000"/>
                <w:sz w:val="22"/>
                <w:szCs w:val="22"/>
                <w:lang w:val="es-ES"/>
              </w:rPr>
              <w:t>Trastornos generales y alteraciones en el lugar de administración</w:t>
            </w:r>
          </w:p>
        </w:tc>
      </w:tr>
      <w:tr w:rsidR="00483CB7" w:rsidRPr="002D741C" w14:paraId="0B8BE640" w14:textId="77777777" w:rsidTr="00AD13BE">
        <w:trPr>
          <w:cantSplit/>
        </w:trPr>
        <w:tc>
          <w:tcPr>
            <w:tcW w:w="2235" w:type="dxa"/>
          </w:tcPr>
          <w:p w14:paraId="72ECC613" w14:textId="77777777" w:rsidR="00483CB7" w:rsidRPr="002D741C" w:rsidRDefault="00483CB7" w:rsidP="00AD13BE">
            <w:pPr>
              <w:keepNext/>
              <w:tabs>
                <w:tab w:val="left" w:pos="567"/>
              </w:tabs>
              <w:spacing w:line="260" w:lineRule="exact"/>
              <w:rPr>
                <w:i/>
                <w:color w:val="000000"/>
                <w:sz w:val="22"/>
                <w:szCs w:val="22"/>
                <w:lang w:val="en-GB"/>
              </w:rPr>
            </w:pPr>
            <w:r w:rsidRPr="002D741C">
              <w:rPr>
                <w:i/>
                <w:color w:val="000000"/>
                <w:sz w:val="22"/>
                <w:szCs w:val="22"/>
                <w:lang w:val="en-GB"/>
              </w:rPr>
              <w:t>Muy frecuentes:</w:t>
            </w:r>
          </w:p>
        </w:tc>
        <w:tc>
          <w:tcPr>
            <w:tcW w:w="7087" w:type="dxa"/>
          </w:tcPr>
          <w:p w14:paraId="0077B5F3" w14:textId="77777777" w:rsidR="00483CB7" w:rsidRPr="002D741C" w:rsidRDefault="00483CB7" w:rsidP="00AD13BE">
            <w:pPr>
              <w:keepNext/>
              <w:tabs>
                <w:tab w:val="left" w:pos="567"/>
              </w:tabs>
              <w:spacing w:line="260" w:lineRule="exact"/>
              <w:rPr>
                <w:color w:val="000000"/>
                <w:sz w:val="22"/>
                <w:szCs w:val="22"/>
              </w:rPr>
            </w:pPr>
            <w:r w:rsidRPr="002D741C">
              <w:rPr>
                <w:color w:val="000000"/>
                <w:sz w:val="22"/>
                <w:szCs w:val="22"/>
              </w:rPr>
              <w:t xml:space="preserve">Retención de líquidos y edema, fatiga </w:t>
            </w:r>
          </w:p>
        </w:tc>
      </w:tr>
      <w:tr w:rsidR="00483CB7" w:rsidRPr="002D741C" w14:paraId="468AEDCB" w14:textId="77777777" w:rsidTr="00AD13BE">
        <w:trPr>
          <w:cantSplit/>
        </w:trPr>
        <w:tc>
          <w:tcPr>
            <w:tcW w:w="2235" w:type="dxa"/>
          </w:tcPr>
          <w:p w14:paraId="110CD6DB" w14:textId="77777777" w:rsidR="00483CB7" w:rsidRPr="002D741C" w:rsidRDefault="00483CB7" w:rsidP="00AD13BE">
            <w:pPr>
              <w:keepNext/>
              <w:tabs>
                <w:tab w:val="left" w:pos="567"/>
              </w:tabs>
              <w:spacing w:line="260" w:lineRule="exact"/>
              <w:rPr>
                <w:i/>
                <w:color w:val="000000"/>
                <w:sz w:val="22"/>
                <w:szCs w:val="22"/>
                <w:lang w:val="en-GB"/>
              </w:rPr>
            </w:pPr>
            <w:r w:rsidRPr="002D741C">
              <w:rPr>
                <w:i/>
                <w:color w:val="000000"/>
                <w:sz w:val="22"/>
                <w:szCs w:val="22"/>
                <w:lang w:val="en-GB"/>
              </w:rPr>
              <w:t>Frecuentes:</w:t>
            </w:r>
          </w:p>
        </w:tc>
        <w:tc>
          <w:tcPr>
            <w:tcW w:w="7087" w:type="dxa"/>
          </w:tcPr>
          <w:p w14:paraId="349B57FA" w14:textId="77777777" w:rsidR="00483CB7" w:rsidRPr="002D741C" w:rsidRDefault="00483CB7" w:rsidP="00AD13BE">
            <w:pPr>
              <w:keepNext/>
              <w:tabs>
                <w:tab w:val="left" w:pos="567"/>
              </w:tabs>
              <w:spacing w:line="260" w:lineRule="exact"/>
              <w:rPr>
                <w:color w:val="000000"/>
                <w:sz w:val="22"/>
                <w:szCs w:val="22"/>
              </w:rPr>
            </w:pPr>
            <w:r w:rsidRPr="002D741C">
              <w:rPr>
                <w:color w:val="000000"/>
                <w:sz w:val="22"/>
                <w:szCs w:val="22"/>
              </w:rPr>
              <w:t>Debilidad, pirexia, anasarca, escalofríos, rigidez</w:t>
            </w:r>
          </w:p>
        </w:tc>
      </w:tr>
      <w:tr w:rsidR="00483CB7" w:rsidRPr="002D741C" w14:paraId="054B3B9E" w14:textId="77777777" w:rsidTr="00AD13BE">
        <w:trPr>
          <w:cantSplit/>
        </w:trPr>
        <w:tc>
          <w:tcPr>
            <w:tcW w:w="2235" w:type="dxa"/>
          </w:tcPr>
          <w:p w14:paraId="5AD17061" w14:textId="77777777" w:rsidR="00483CB7" w:rsidRPr="002D741C" w:rsidRDefault="00483CB7" w:rsidP="00F22369">
            <w:pPr>
              <w:tabs>
                <w:tab w:val="left" w:pos="567"/>
              </w:tabs>
              <w:spacing w:line="260" w:lineRule="exact"/>
              <w:rPr>
                <w:i/>
                <w:color w:val="000000"/>
                <w:sz w:val="22"/>
                <w:szCs w:val="22"/>
                <w:lang w:val="en-GB"/>
              </w:rPr>
            </w:pPr>
            <w:r w:rsidRPr="002D741C">
              <w:rPr>
                <w:i/>
                <w:color w:val="000000"/>
                <w:sz w:val="22"/>
                <w:szCs w:val="22"/>
                <w:lang w:val="en-GB"/>
              </w:rPr>
              <w:t>Poco frecuentes:</w:t>
            </w:r>
          </w:p>
        </w:tc>
        <w:tc>
          <w:tcPr>
            <w:tcW w:w="7087" w:type="dxa"/>
          </w:tcPr>
          <w:p w14:paraId="2FD1237D" w14:textId="77777777" w:rsidR="00483CB7" w:rsidRPr="002D741C" w:rsidRDefault="00483CB7" w:rsidP="00F22369">
            <w:pPr>
              <w:tabs>
                <w:tab w:val="left" w:pos="567"/>
              </w:tabs>
              <w:spacing w:line="260" w:lineRule="exact"/>
              <w:rPr>
                <w:color w:val="000000"/>
                <w:sz w:val="22"/>
                <w:szCs w:val="22"/>
              </w:rPr>
            </w:pPr>
            <w:r w:rsidRPr="002D741C">
              <w:rPr>
                <w:color w:val="000000"/>
                <w:sz w:val="22"/>
                <w:szCs w:val="22"/>
              </w:rPr>
              <w:t>Dolor en el pecho, malestar</w:t>
            </w:r>
          </w:p>
        </w:tc>
      </w:tr>
      <w:tr w:rsidR="00483CB7" w:rsidRPr="002D741C" w14:paraId="17EED766" w14:textId="77777777" w:rsidTr="00AD13BE">
        <w:trPr>
          <w:cantSplit/>
        </w:trPr>
        <w:tc>
          <w:tcPr>
            <w:tcW w:w="9322" w:type="dxa"/>
            <w:gridSpan w:val="2"/>
          </w:tcPr>
          <w:p w14:paraId="323AE1A2" w14:textId="77777777" w:rsidR="00483CB7" w:rsidRPr="002D741C" w:rsidRDefault="00483CB7" w:rsidP="00AD13BE">
            <w:pPr>
              <w:keepNext/>
              <w:tabs>
                <w:tab w:val="left" w:pos="567"/>
              </w:tabs>
              <w:spacing w:line="260" w:lineRule="exact"/>
              <w:rPr>
                <w:b/>
                <w:color w:val="000000"/>
                <w:sz w:val="22"/>
                <w:szCs w:val="22"/>
              </w:rPr>
            </w:pPr>
            <w:r w:rsidRPr="002D741C">
              <w:rPr>
                <w:b/>
                <w:color w:val="000000"/>
                <w:sz w:val="22"/>
                <w:szCs w:val="22"/>
              </w:rPr>
              <w:lastRenderedPageBreak/>
              <w:t>Exploraciones complementarias</w:t>
            </w:r>
          </w:p>
        </w:tc>
      </w:tr>
      <w:tr w:rsidR="00483CB7" w:rsidRPr="002D741C" w14:paraId="5AE28706" w14:textId="77777777" w:rsidTr="00AD13BE">
        <w:trPr>
          <w:cantSplit/>
        </w:trPr>
        <w:tc>
          <w:tcPr>
            <w:tcW w:w="2235" w:type="dxa"/>
          </w:tcPr>
          <w:p w14:paraId="40CA2BD6" w14:textId="77777777" w:rsidR="00483CB7" w:rsidRPr="002D741C" w:rsidRDefault="00483CB7" w:rsidP="00AD13BE">
            <w:pPr>
              <w:keepNext/>
              <w:tabs>
                <w:tab w:val="left" w:pos="567"/>
              </w:tabs>
              <w:spacing w:line="260" w:lineRule="exact"/>
              <w:rPr>
                <w:i/>
                <w:color w:val="000000"/>
                <w:sz w:val="22"/>
                <w:szCs w:val="22"/>
                <w:lang w:val="en-GB"/>
              </w:rPr>
            </w:pPr>
            <w:r w:rsidRPr="002D741C">
              <w:rPr>
                <w:i/>
                <w:color w:val="000000"/>
                <w:sz w:val="22"/>
                <w:szCs w:val="22"/>
                <w:lang w:val="en-GB"/>
              </w:rPr>
              <w:t>Muy frecuentes:</w:t>
            </w:r>
          </w:p>
        </w:tc>
        <w:tc>
          <w:tcPr>
            <w:tcW w:w="7087" w:type="dxa"/>
          </w:tcPr>
          <w:p w14:paraId="27008B08" w14:textId="77777777" w:rsidR="00483CB7" w:rsidRPr="002D741C" w:rsidRDefault="00483CB7" w:rsidP="00AD13BE">
            <w:pPr>
              <w:keepNext/>
              <w:tabs>
                <w:tab w:val="left" w:pos="567"/>
              </w:tabs>
              <w:spacing w:line="260" w:lineRule="exact"/>
              <w:rPr>
                <w:color w:val="000000"/>
                <w:sz w:val="22"/>
                <w:szCs w:val="22"/>
              </w:rPr>
            </w:pPr>
            <w:r w:rsidRPr="002D741C">
              <w:rPr>
                <w:color w:val="000000"/>
                <w:sz w:val="22"/>
                <w:szCs w:val="22"/>
              </w:rPr>
              <w:t>Aumento de peso</w:t>
            </w:r>
          </w:p>
        </w:tc>
      </w:tr>
      <w:tr w:rsidR="00483CB7" w:rsidRPr="002D741C" w14:paraId="6C6C718E" w14:textId="77777777" w:rsidTr="00AD13BE">
        <w:trPr>
          <w:cantSplit/>
        </w:trPr>
        <w:tc>
          <w:tcPr>
            <w:tcW w:w="2235" w:type="dxa"/>
          </w:tcPr>
          <w:p w14:paraId="3F62D835" w14:textId="77777777" w:rsidR="00483CB7" w:rsidRPr="002D741C" w:rsidRDefault="00483CB7" w:rsidP="00AD13BE">
            <w:pPr>
              <w:keepNext/>
              <w:tabs>
                <w:tab w:val="left" w:pos="567"/>
              </w:tabs>
              <w:spacing w:line="260" w:lineRule="exact"/>
              <w:rPr>
                <w:i/>
                <w:color w:val="000000"/>
                <w:sz w:val="22"/>
                <w:szCs w:val="22"/>
                <w:lang w:val="en-GB"/>
              </w:rPr>
            </w:pPr>
            <w:r w:rsidRPr="002D741C">
              <w:rPr>
                <w:i/>
                <w:color w:val="000000"/>
                <w:sz w:val="22"/>
                <w:szCs w:val="22"/>
                <w:lang w:val="en-GB"/>
              </w:rPr>
              <w:t>Frecuentes:</w:t>
            </w:r>
          </w:p>
        </w:tc>
        <w:tc>
          <w:tcPr>
            <w:tcW w:w="7087" w:type="dxa"/>
          </w:tcPr>
          <w:p w14:paraId="4E0D39BA" w14:textId="77777777" w:rsidR="00483CB7" w:rsidRPr="002D741C" w:rsidRDefault="00483CB7" w:rsidP="00AD13BE">
            <w:pPr>
              <w:keepNext/>
              <w:tabs>
                <w:tab w:val="left" w:pos="567"/>
              </w:tabs>
              <w:spacing w:line="260" w:lineRule="exact"/>
              <w:rPr>
                <w:color w:val="000000"/>
                <w:sz w:val="22"/>
                <w:szCs w:val="22"/>
              </w:rPr>
            </w:pPr>
            <w:r w:rsidRPr="002D741C">
              <w:rPr>
                <w:color w:val="000000"/>
                <w:sz w:val="22"/>
                <w:szCs w:val="22"/>
              </w:rPr>
              <w:t>Pérdida de peso</w:t>
            </w:r>
          </w:p>
        </w:tc>
      </w:tr>
      <w:tr w:rsidR="00483CB7" w:rsidRPr="002D741C" w14:paraId="219D942B" w14:textId="77777777" w:rsidTr="00AD13BE">
        <w:trPr>
          <w:cantSplit/>
        </w:trPr>
        <w:tc>
          <w:tcPr>
            <w:tcW w:w="2235" w:type="dxa"/>
          </w:tcPr>
          <w:p w14:paraId="174D3E63" w14:textId="77777777" w:rsidR="00483CB7" w:rsidRPr="002D741C" w:rsidRDefault="00483CB7" w:rsidP="00AD13BE">
            <w:pPr>
              <w:keepNext/>
              <w:tabs>
                <w:tab w:val="left" w:pos="567"/>
              </w:tabs>
              <w:spacing w:line="260" w:lineRule="exact"/>
              <w:rPr>
                <w:i/>
                <w:color w:val="000000"/>
                <w:sz w:val="22"/>
                <w:szCs w:val="22"/>
                <w:lang w:val="en-GB"/>
              </w:rPr>
            </w:pPr>
            <w:r w:rsidRPr="002D741C">
              <w:rPr>
                <w:i/>
                <w:color w:val="000000"/>
                <w:sz w:val="22"/>
                <w:szCs w:val="22"/>
                <w:lang w:val="en-GB"/>
              </w:rPr>
              <w:t>Poco frecuentes:</w:t>
            </w:r>
          </w:p>
        </w:tc>
        <w:tc>
          <w:tcPr>
            <w:tcW w:w="7087" w:type="dxa"/>
          </w:tcPr>
          <w:p w14:paraId="095F21BA" w14:textId="77777777" w:rsidR="00483CB7" w:rsidRPr="00DF6C0D" w:rsidRDefault="00483CB7" w:rsidP="00AD13BE">
            <w:pPr>
              <w:keepNext/>
              <w:tabs>
                <w:tab w:val="left" w:pos="567"/>
              </w:tabs>
              <w:spacing w:line="260" w:lineRule="exact"/>
              <w:rPr>
                <w:color w:val="000000"/>
                <w:sz w:val="22"/>
                <w:szCs w:val="22"/>
                <w:lang w:val="es-ES"/>
              </w:rPr>
            </w:pPr>
            <w:r w:rsidRPr="00DF6C0D">
              <w:rPr>
                <w:color w:val="000000"/>
                <w:sz w:val="22"/>
                <w:szCs w:val="22"/>
                <w:lang w:val="es-ES"/>
              </w:rPr>
              <w:t>Aumento de la creatinina sérica, aumento de la creatinfosfoquinasa sérica, aumento de la lactatodeshidrogenasa sérica, aumento de la fosfatasa alcalina sérica</w:t>
            </w:r>
          </w:p>
        </w:tc>
      </w:tr>
      <w:tr w:rsidR="00483CB7" w:rsidRPr="002D741C" w14:paraId="1613A6FD" w14:textId="77777777" w:rsidTr="00AD13BE">
        <w:trPr>
          <w:cantSplit/>
        </w:trPr>
        <w:tc>
          <w:tcPr>
            <w:tcW w:w="2235" w:type="dxa"/>
          </w:tcPr>
          <w:p w14:paraId="354A06EB" w14:textId="77777777" w:rsidR="00483CB7" w:rsidRPr="002D741C" w:rsidRDefault="00483CB7" w:rsidP="00AD13BE">
            <w:pPr>
              <w:keepNext/>
              <w:tabs>
                <w:tab w:val="left" w:pos="567"/>
              </w:tabs>
              <w:spacing w:line="260" w:lineRule="exact"/>
              <w:rPr>
                <w:i/>
                <w:color w:val="000000"/>
                <w:sz w:val="22"/>
                <w:szCs w:val="22"/>
                <w:lang w:val="en-GB"/>
              </w:rPr>
            </w:pPr>
            <w:r w:rsidRPr="002D741C">
              <w:rPr>
                <w:i/>
                <w:color w:val="000000"/>
                <w:sz w:val="22"/>
                <w:szCs w:val="22"/>
                <w:lang w:val="en-GB"/>
              </w:rPr>
              <w:t>Raras:</w:t>
            </w:r>
          </w:p>
        </w:tc>
        <w:tc>
          <w:tcPr>
            <w:tcW w:w="7087" w:type="dxa"/>
          </w:tcPr>
          <w:p w14:paraId="73F84248" w14:textId="77777777" w:rsidR="00483CB7" w:rsidRPr="002D741C" w:rsidRDefault="00483CB7" w:rsidP="00AD13BE">
            <w:pPr>
              <w:keepNext/>
              <w:tabs>
                <w:tab w:val="left" w:pos="567"/>
              </w:tabs>
              <w:spacing w:line="260" w:lineRule="exact"/>
              <w:rPr>
                <w:color w:val="000000"/>
                <w:sz w:val="22"/>
                <w:szCs w:val="22"/>
              </w:rPr>
            </w:pPr>
            <w:r w:rsidRPr="002D741C">
              <w:rPr>
                <w:color w:val="000000"/>
                <w:sz w:val="22"/>
                <w:szCs w:val="22"/>
              </w:rPr>
              <w:t>Aumento de amilasa sérica</w:t>
            </w:r>
          </w:p>
        </w:tc>
      </w:tr>
    </w:tbl>
    <w:p w14:paraId="0AFA01DE" w14:textId="77777777" w:rsidR="00C45062" w:rsidRPr="002D741C" w:rsidRDefault="00C45062" w:rsidP="00AD13BE">
      <w:pPr>
        <w:pStyle w:val="Heading4"/>
        <w:widowControl w:val="0"/>
        <w:spacing w:line="240" w:lineRule="auto"/>
        <w:jc w:val="left"/>
        <w:rPr>
          <w:b w:val="0"/>
          <w:color w:val="000000"/>
          <w:szCs w:val="22"/>
        </w:rPr>
      </w:pPr>
    </w:p>
    <w:p w14:paraId="34265FD7" w14:textId="77777777" w:rsidR="00483CB7" w:rsidRPr="002D741C" w:rsidRDefault="00483CB7" w:rsidP="00AD13BE">
      <w:pPr>
        <w:keepNext/>
        <w:keepLines/>
        <w:widowControl w:val="0"/>
        <w:ind w:left="567" w:hanging="567"/>
        <w:rPr>
          <w:color w:val="000000"/>
          <w:sz w:val="22"/>
          <w:szCs w:val="22"/>
        </w:rPr>
      </w:pPr>
      <w:r w:rsidRPr="002D741C">
        <w:rPr>
          <w:color w:val="000000"/>
          <w:sz w:val="22"/>
          <w:szCs w:val="22"/>
        </w:rPr>
        <w:t>*</w:t>
      </w:r>
      <w:r w:rsidRPr="002D741C">
        <w:rPr>
          <w:color w:val="000000"/>
          <w:sz w:val="22"/>
          <w:szCs w:val="22"/>
        </w:rPr>
        <w:tab/>
        <w:t>Estos tipos de reacciones se han notificado principalmente a partir de la experiencia postcomercialización con Glivec. Esto incluye notificaciones espontáneas así como acontecimientos adversos graves de los estudios en marcha, los programas de acceso expandido, los estudios de farmacología clínica y estudios exploratorios en indicaciones no autorizadas. Puesto que estas reacciones se notifican a partir de una población de tamaño incierto, no siempre es posible estimar de forma fiable su frecuencia o establecer una relación causal con la exposición a imatinib.</w:t>
      </w:r>
    </w:p>
    <w:p w14:paraId="3F378BCE" w14:textId="77777777" w:rsidR="00C45062" w:rsidRPr="002D741C" w:rsidRDefault="00C45062" w:rsidP="00AD13BE">
      <w:pPr>
        <w:keepNext/>
        <w:keepLines/>
        <w:widowControl w:val="0"/>
        <w:ind w:left="567" w:hanging="567"/>
        <w:rPr>
          <w:color w:val="000000"/>
          <w:sz w:val="22"/>
          <w:szCs w:val="22"/>
        </w:rPr>
      </w:pPr>
      <w:r w:rsidRPr="002D741C">
        <w:rPr>
          <w:color w:val="000000"/>
          <w:sz w:val="22"/>
          <w:szCs w:val="22"/>
        </w:rPr>
        <w:t>1</w:t>
      </w:r>
      <w:r w:rsidRPr="002D741C">
        <w:rPr>
          <w:color w:val="000000"/>
          <w:sz w:val="22"/>
          <w:szCs w:val="22"/>
        </w:rPr>
        <w:tab/>
        <w:t>La neumonía se notificó de forma más frecuente en pacientes con LMC transformada y en pacientes con G</w:t>
      </w:r>
      <w:smartTag w:uri="urn:schemas-microsoft-com:office:smarttags" w:element="PersonName">
        <w:r w:rsidRPr="002D741C">
          <w:rPr>
            <w:color w:val="000000"/>
            <w:sz w:val="22"/>
            <w:szCs w:val="22"/>
          </w:rPr>
          <w:t>IS</w:t>
        </w:r>
      </w:smartTag>
      <w:r w:rsidRPr="002D741C">
        <w:rPr>
          <w:color w:val="000000"/>
          <w:sz w:val="22"/>
          <w:szCs w:val="22"/>
        </w:rPr>
        <w:t>T.</w:t>
      </w:r>
    </w:p>
    <w:p w14:paraId="50FB295D" w14:textId="77777777" w:rsidR="00C45062" w:rsidRPr="002D741C" w:rsidRDefault="00C45062" w:rsidP="00AD13BE">
      <w:pPr>
        <w:keepNext/>
        <w:keepLines/>
        <w:widowControl w:val="0"/>
        <w:ind w:left="567" w:hanging="567"/>
        <w:rPr>
          <w:color w:val="000000"/>
          <w:sz w:val="22"/>
          <w:szCs w:val="22"/>
        </w:rPr>
      </w:pPr>
      <w:r w:rsidRPr="002D741C">
        <w:rPr>
          <w:color w:val="000000"/>
          <w:sz w:val="22"/>
          <w:szCs w:val="22"/>
        </w:rPr>
        <w:t>2</w:t>
      </w:r>
      <w:r w:rsidRPr="002D741C">
        <w:rPr>
          <w:color w:val="000000"/>
          <w:sz w:val="22"/>
          <w:szCs w:val="22"/>
        </w:rPr>
        <w:tab/>
        <w:t>La cefalea fue la más frecuente en pacientes con G</w:t>
      </w:r>
      <w:smartTag w:uri="urn:schemas-microsoft-com:office:smarttags" w:element="PersonName">
        <w:r w:rsidRPr="002D741C">
          <w:rPr>
            <w:color w:val="000000"/>
            <w:sz w:val="22"/>
            <w:szCs w:val="22"/>
          </w:rPr>
          <w:t>IS</w:t>
        </w:r>
      </w:smartTag>
      <w:r w:rsidRPr="002D741C">
        <w:rPr>
          <w:color w:val="000000"/>
          <w:sz w:val="22"/>
          <w:szCs w:val="22"/>
        </w:rPr>
        <w:t>T.</w:t>
      </w:r>
    </w:p>
    <w:p w14:paraId="4E6EB238" w14:textId="77777777" w:rsidR="00C45062" w:rsidRPr="002D741C" w:rsidRDefault="00C45062" w:rsidP="00AD13BE">
      <w:pPr>
        <w:keepNext/>
        <w:keepLines/>
        <w:widowControl w:val="0"/>
        <w:ind w:left="567" w:hanging="567"/>
        <w:rPr>
          <w:color w:val="000000"/>
          <w:sz w:val="22"/>
          <w:szCs w:val="22"/>
        </w:rPr>
      </w:pPr>
      <w:r w:rsidRPr="002D741C">
        <w:rPr>
          <w:color w:val="000000"/>
          <w:sz w:val="22"/>
          <w:szCs w:val="22"/>
        </w:rPr>
        <w:t>3</w:t>
      </w:r>
      <w:r w:rsidRPr="002D741C">
        <w:rPr>
          <w:color w:val="000000"/>
          <w:sz w:val="22"/>
          <w:szCs w:val="22"/>
        </w:rPr>
        <w:tab/>
        <w:t>Basándose en los resultados por paciente-año, los trastornos cardiacos, incluyendo insuficiencia cardiaca congestiva, se observaron de forma más frecuente en pacientes con LMC transformada que en pacientes con LMC crónica.</w:t>
      </w:r>
    </w:p>
    <w:p w14:paraId="07B7FB98" w14:textId="77777777" w:rsidR="00C45062" w:rsidRPr="002D741C" w:rsidRDefault="00C45062" w:rsidP="00AD13BE">
      <w:pPr>
        <w:keepNext/>
        <w:keepLines/>
        <w:widowControl w:val="0"/>
        <w:ind w:left="567" w:hanging="567"/>
        <w:rPr>
          <w:color w:val="000000"/>
          <w:sz w:val="22"/>
          <w:szCs w:val="22"/>
        </w:rPr>
      </w:pPr>
      <w:r w:rsidRPr="002D741C">
        <w:rPr>
          <w:color w:val="000000"/>
          <w:sz w:val="22"/>
          <w:szCs w:val="22"/>
        </w:rPr>
        <w:t>4</w:t>
      </w:r>
      <w:r w:rsidRPr="002D741C">
        <w:rPr>
          <w:color w:val="000000"/>
          <w:sz w:val="22"/>
          <w:szCs w:val="22"/>
        </w:rPr>
        <w:tab/>
        <w:t>Los sofocos fueron más frecuentes en pacientes con G</w:t>
      </w:r>
      <w:smartTag w:uri="urn:schemas-microsoft-com:office:smarttags" w:element="PersonName">
        <w:r w:rsidRPr="002D741C">
          <w:rPr>
            <w:color w:val="000000"/>
            <w:sz w:val="22"/>
            <w:szCs w:val="22"/>
          </w:rPr>
          <w:t>IS</w:t>
        </w:r>
      </w:smartTag>
      <w:r w:rsidRPr="002D741C">
        <w:rPr>
          <w:color w:val="000000"/>
          <w:sz w:val="22"/>
          <w:szCs w:val="22"/>
        </w:rPr>
        <w:t>T y los sangrados (hematoma, hemorragia) fueron más frecuentes en pacientes con G</w:t>
      </w:r>
      <w:smartTag w:uri="urn:schemas-microsoft-com:office:smarttags" w:element="PersonName">
        <w:r w:rsidRPr="002D741C">
          <w:rPr>
            <w:color w:val="000000"/>
            <w:sz w:val="22"/>
            <w:szCs w:val="22"/>
          </w:rPr>
          <w:t>IS</w:t>
        </w:r>
      </w:smartTag>
      <w:r w:rsidRPr="002D741C">
        <w:rPr>
          <w:color w:val="000000"/>
          <w:sz w:val="22"/>
          <w:szCs w:val="22"/>
        </w:rPr>
        <w:t>T y con LMC transformada (LMC-FA y LMC-CB).</w:t>
      </w:r>
    </w:p>
    <w:p w14:paraId="383BA340" w14:textId="77777777" w:rsidR="00C45062" w:rsidRPr="002D741C" w:rsidRDefault="00C45062" w:rsidP="00AD13BE">
      <w:pPr>
        <w:keepNext/>
        <w:keepLines/>
        <w:widowControl w:val="0"/>
        <w:ind w:left="567" w:hanging="567"/>
        <w:rPr>
          <w:color w:val="000000"/>
          <w:sz w:val="22"/>
          <w:szCs w:val="22"/>
        </w:rPr>
      </w:pPr>
      <w:r w:rsidRPr="002D741C">
        <w:rPr>
          <w:color w:val="000000"/>
          <w:sz w:val="22"/>
          <w:szCs w:val="22"/>
        </w:rPr>
        <w:t>5</w:t>
      </w:r>
      <w:r w:rsidRPr="002D741C">
        <w:rPr>
          <w:color w:val="000000"/>
          <w:sz w:val="22"/>
          <w:szCs w:val="22"/>
        </w:rPr>
        <w:tab/>
        <w:t>El derrame pleural se notificó de forma más frecuente en pacientes con G</w:t>
      </w:r>
      <w:smartTag w:uri="urn:schemas-microsoft-com:office:smarttags" w:element="PersonName">
        <w:r w:rsidRPr="002D741C">
          <w:rPr>
            <w:color w:val="000000"/>
            <w:sz w:val="22"/>
            <w:szCs w:val="22"/>
          </w:rPr>
          <w:t>IS</w:t>
        </w:r>
      </w:smartTag>
      <w:r w:rsidRPr="002D741C">
        <w:rPr>
          <w:color w:val="000000"/>
          <w:sz w:val="22"/>
          <w:szCs w:val="22"/>
        </w:rPr>
        <w:t>T y en pacientes con LMC transformada (LMC-fase acelerada y LMC-crisis blástica) que en pacientes con LMC crónica.</w:t>
      </w:r>
    </w:p>
    <w:p w14:paraId="62F2AE75" w14:textId="77777777" w:rsidR="00C45062" w:rsidRPr="002D741C" w:rsidRDefault="00C45062" w:rsidP="00AD13BE">
      <w:pPr>
        <w:keepNext/>
        <w:keepLines/>
        <w:widowControl w:val="0"/>
        <w:ind w:left="567" w:hanging="567"/>
        <w:rPr>
          <w:color w:val="000000"/>
          <w:sz w:val="22"/>
          <w:szCs w:val="22"/>
        </w:rPr>
      </w:pPr>
      <w:r w:rsidRPr="002D741C">
        <w:rPr>
          <w:color w:val="000000"/>
          <w:sz w:val="22"/>
          <w:szCs w:val="22"/>
        </w:rPr>
        <w:t>6+7</w:t>
      </w:r>
      <w:r w:rsidRPr="002D741C">
        <w:rPr>
          <w:color w:val="000000"/>
          <w:sz w:val="22"/>
          <w:szCs w:val="22"/>
        </w:rPr>
        <w:tab/>
        <w:t>El dolor abdominal y la hemorragia gastrointestinal se observaron de forma más frecuente en pacientes con G</w:t>
      </w:r>
      <w:smartTag w:uri="urn:schemas-microsoft-com:office:smarttags" w:element="PersonName">
        <w:r w:rsidRPr="002D741C">
          <w:rPr>
            <w:color w:val="000000"/>
            <w:sz w:val="22"/>
            <w:szCs w:val="22"/>
          </w:rPr>
          <w:t>IS</w:t>
        </w:r>
      </w:smartTag>
      <w:r w:rsidRPr="002D741C">
        <w:rPr>
          <w:color w:val="000000"/>
          <w:sz w:val="22"/>
          <w:szCs w:val="22"/>
        </w:rPr>
        <w:t>T.</w:t>
      </w:r>
    </w:p>
    <w:p w14:paraId="131BA10A" w14:textId="77777777" w:rsidR="00C45062" w:rsidRPr="002D741C" w:rsidRDefault="00C45062" w:rsidP="00AD13BE">
      <w:pPr>
        <w:keepNext/>
        <w:keepLines/>
        <w:widowControl w:val="0"/>
        <w:ind w:left="567" w:hanging="567"/>
        <w:rPr>
          <w:color w:val="000000"/>
          <w:sz w:val="22"/>
          <w:szCs w:val="22"/>
        </w:rPr>
      </w:pPr>
      <w:r w:rsidRPr="002D741C">
        <w:rPr>
          <w:color w:val="000000"/>
          <w:sz w:val="22"/>
          <w:szCs w:val="22"/>
        </w:rPr>
        <w:t>8</w:t>
      </w:r>
      <w:r w:rsidRPr="002D741C">
        <w:rPr>
          <w:color w:val="000000"/>
          <w:sz w:val="22"/>
          <w:szCs w:val="22"/>
        </w:rPr>
        <w:tab/>
        <w:t>Se han notificado algunos casos mortales de insuficiencia hepática y de necrosis hepática.</w:t>
      </w:r>
    </w:p>
    <w:p w14:paraId="25FDAAA4" w14:textId="77777777" w:rsidR="00676217" w:rsidRPr="002D741C" w:rsidRDefault="00676217" w:rsidP="00AD13BE">
      <w:pPr>
        <w:keepNext/>
        <w:keepLines/>
        <w:widowControl w:val="0"/>
        <w:ind w:left="567" w:hanging="567"/>
        <w:rPr>
          <w:color w:val="000000"/>
          <w:sz w:val="22"/>
          <w:szCs w:val="22"/>
        </w:rPr>
      </w:pPr>
      <w:r w:rsidRPr="002D741C">
        <w:rPr>
          <w:color w:val="000000"/>
          <w:sz w:val="22"/>
          <w:szCs w:val="22"/>
        </w:rPr>
        <w:t>9</w:t>
      </w:r>
      <w:r w:rsidRPr="002D741C">
        <w:rPr>
          <w:color w:val="000000"/>
          <w:sz w:val="22"/>
          <w:szCs w:val="22"/>
        </w:rPr>
        <w:tab/>
      </w:r>
      <w:r w:rsidR="00186C4D" w:rsidRPr="002D741C">
        <w:rPr>
          <w:color w:val="000000"/>
          <w:sz w:val="22"/>
          <w:szCs w:val="22"/>
        </w:rPr>
        <w:t>Dolor musculoesquelético durante el tratamiento con imatinib o después de su interrupción, observado tras la comercialización.</w:t>
      </w:r>
    </w:p>
    <w:p w14:paraId="0F881D4A" w14:textId="77777777" w:rsidR="00C45062" w:rsidRPr="002D741C" w:rsidRDefault="00676217" w:rsidP="00AD13BE">
      <w:pPr>
        <w:keepNext/>
        <w:keepLines/>
        <w:widowControl w:val="0"/>
        <w:ind w:left="567" w:hanging="567"/>
        <w:rPr>
          <w:color w:val="000000"/>
          <w:sz w:val="22"/>
          <w:szCs w:val="22"/>
        </w:rPr>
      </w:pPr>
      <w:r w:rsidRPr="002D741C">
        <w:rPr>
          <w:color w:val="000000"/>
          <w:sz w:val="22"/>
          <w:szCs w:val="22"/>
        </w:rPr>
        <w:t>10</w:t>
      </w:r>
      <w:r w:rsidR="00C45062" w:rsidRPr="002D741C">
        <w:rPr>
          <w:color w:val="000000"/>
          <w:sz w:val="22"/>
          <w:szCs w:val="22"/>
        </w:rPr>
        <w:tab/>
        <w:t>El dolor musculoesquelético y los acontecimientos relacionados se observaron de forma más frecuente en pacientes con LMC que en pacientes con G</w:t>
      </w:r>
      <w:smartTag w:uri="urn:schemas-microsoft-com:office:smarttags" w:element="PersonName">
        <w:r w:rsidR="00C45062" w:rsidRPr="002D741C">
          <w:rPr>
            <w:color w:val="000000"/>
            <w:sz w:val="22"/>
            <w:szCs w:val="22"/>
          </w:rPr>
          <w:t>IS</w:t>
        </w:r>
      </w:smartTag>
      <w:r w:rsidR="00C45062" w:rsidRPr="002D741C">
        <w:rPr>
          <w:color w:val="000000"/>
          <w:sz w:val="22"/>
          <w:szCs w:val="22"/>
        </w:rPr>
        <w:t>T.</w:t>
      </w:r>
    </w:p>
    <w:p w14:paraId="73D84CD6" w14:textId="77777777" w:rsidR="00483CB7" w:rsidRPr="002D741C" w:rsidRDefault="00483CB7" w:rsidP="00AD13BE">
      <w:pPr>
        <w:keepLines/>
        <w:widowControl w:val="0"/>
        <w:ind w:left="567" w:hanging="567"/>
        <w:rPr>
          <w:color w:val="000000"/>
          <w:sz w:val="22"/>
          <w:szCs w:val="22"/>
        </w:rPr>
      </w:pPr>
      <w:r w:rsidRPr="002D741C">
        <w:rPr>
          <w:color w:val="000000"/>
          <w:sz w:val="22"/>
          <w:szCs w:val="22"/>
        </w:rPr>
        <w:t>1</w:t>
      </w:r>
      <w:r w:rsidR="00676217" w:rsidRPr="002D741C">
        <w:rPr>
          <w:color w:val="000000"/>
          <w:sz w:val="22"/>
          <w:szCs w:val="22"/>
        </w:rPr>
        <w:t>1</w:t>
      </w:r>
      <w:r w:rsidRPr="002D741C">
        <w:rPr>
          <w:color w:val="000000"/>
          <w:sz w:val="22"/>
          <w:szCs w:val="22"/>
        </w:rPr>
        <w:tab/>
        <w:t>Se han notificado casos mortales en pacientes con enfermedad avanzada, infecciones graves, neutropenia grave y otras enfermedades concomitantes graves.</w:t>
      </w:r>
    </w:p>
    <w:p w14:paraId="4C08AD58" w14:textId="77777777" w:rsidR="00C45062" w:rsidRPr="002D741C" w:rsidRDefault="00C45062" w:rsidP="00C45062">
      <w:pPr>
        <w:pStyle w:val="EndnoteText"/>
        <w:widowControl w:val="0"/>
        <w:tabs>
          <w:tab w:val="clear" w:pos="567"/>
        </w:tabs>
        <w:rPr>
          <w:color w:val="000000"/>
          <w:szCs w:val="22"/>
          <w:lang w:val="es-ES"/>
        </w:rPr>
      </w:pPr>
    </w:p>
    <w:p w14:paraId="03EEEFB3" w14:textId="77777777" w:rsidR="00C45062" w:rsidRPr="002D741C" w:rsidRDefault="00C45062" w:rsidP="00AD13BE">
      <w:pPr>
        <w:pStyle w:val="EndnoteText"/>
        <w:keepNext/>
        <w:widowControl w:val="0"/>
        <w:tabs>
          <w:tab w:val="clear" w:pos="567"/>
        </w:tabs>
        <w:rPr>
          <w:color w:val="000000"/>
          <w:szCs w:val="22"/>
          <w:u w:val="single"/>
          <w:lang w:val="es-ES"/>
        </w:rPr>
      </w:pPr>
      <w:r w:rsidRPr="002D741C">
        <w:rPr>
          <w:color w:val="000000"/>
          <w:szCs w:val="22"/>
          <w:u w:val="single"/>
          <w:lang w:val="es-ES"/>
        </w:rPr>
        <w:t>Anormalidades en las pruebas de laboratorio</w:t>
      </w:r>
    </w:p>
    <w:p w14:paraId="006E5AA2" w14:textId="77777777" w:rsidR="00C45062" w:rsidRPr="002D741C" w:rsidRDefault="00C45062" w:rsidP="00AD13BE">
      <w:pPr>
        <w:pStyle w:val="EndnoteText"/>
        <w:keepNext/>
        <w:widowControl w:val="0"/>
        <w:tabs>
          <w:tab w:val="clear" w:pos="567"/>
        </w:tabs>
        <w:rPr>
          <w:color w:val="000000"/>
          <w:szCs w:val="22"/>
          <w:lang w:val="es-ES"/>
        </w:rPr>
      </w:pPr>
      <w:r w:rsidRPr="002D741C">
        <w:rPr>
          <w:i/>
          <w:color w:val="000000"/>
          <w:szCs w:val="22"/>
          <w:lang w:val="es-ES"/>
        </w:rPr>
        <w:t>Hematología</w:t>
      </w:r>
    </w:p>
    <w:p w14:paraId="24979999" w14:textId="77777777" w:rsidR="00C45062" w:rsidRPr="002D741C" w:rsidRDefault="00C45062" w:rsidP="00C45062">
      <w:pPr>
        <w:pStyle w:val="EndnoteText"/>
        <w:widowControl w:val="0"/>
        <w:tabs>
          <w:tab w:val="clear" w:pos="567"/>
        </w:tabs>
        <w:rPr>
          <w:color w:val="000000"/>
          <w:szCs w:val="22"/>
          <w:lang w:val="es-ES"/>
        </w:rPr>
      </w:pPr>
      <w:r w:rsidRPr="002D741C">
        <w:rPr>
          <w:color w:val="000000"/>
          <w:szCs w:val="22"/>
          <w:lang w:val="es-ES"/>
        </w:rPr>
        <w:t xml:space="preserve">En todos los estudios en LMC se han observado citopenias, particularmente neutropenia y trombocitopenia, sugiriendo una mayor frecuencia a dosis elevadas </w:t>
      </w:r>
      <w:r w:rsidRPr="002D741C">
        <w:rPr>
          <w:color w:val="000000"/>
          <w:szCs w:val="22"/>
          <w:lang w:val="es-ES"/>
        </w:rPr>
        <w:sym w:font="Symbol" w:char="F0B3"/>
      </w:r>
      <w:r w:rsidRPr="002D741C">
        <w:rPr>
          <w:color w:val="000000"/>
          <w:szCs w:val="22"/>
          <w:lang w:val="es-ES"/>
        </w:rPr>
        <w:t> 750 mg (estudio de fase I). Sin embargo, la presencia de citopenias fue también claramente dependiente de la fase de la enfermedad, la frecuencia de neutropenias (RAN &lt; 1,0 x 10</w:t>
      </w:r>
      <w:r w:rsidRPr="002D741C">
        <w:rPr>
          <w:color w:val="000000"/>
          <w:szCs w:val="22"/>
          <w:vertAlign w:val="superscript"/>
          <w:lang w:val="es-ES"/>
        </w:rPr>
        <w:t>9</w:t>
      </w:r>
      <w:r w:rsidRPr="002D741C">
        <w:rPr>
          <w:color w:val="000000"/>
          <w:szCs w:val="22"/>
          <w:lang w:val="es-ES"/>
        </w:rPr>
        <w:t>/l) y trombocitopenias (recuento de plaquetas &lt; 50 x 10</w:t>
      </w:r>
      <w:r w:rsidRPr="002D741C">
        <w:rPr>
          <w:color w:val="000000"/>
          <w:szCs w:val="22"/>
          <w:vertAlign w:val="superscript"/>
          <w:lang w:val="es-ES"/>
        </w:rPr>
        <w:t>9</w:t>
      </w:r>
      <w:r w:rsidRPr="002D741C">
        <w:rPr>
          <w:color w:val="000000"/>
          <w:szCs w:val="22"/>
          <w:lang w:val="es-ES"/>
        </w:rPr>
        <w:t>/l) de grado 3 ó 4, siendo entre 4 y 6 veces mayor en crisis blástica y en fase acelerada (59–64% y 44–63% para neutropenia y trombocitopenia, respectivamente) comparado con pacientes con LMC en fase crónica de diagnóstico reciente (16,7% neutropenia y 8,9% trombocitopenia). Se observó neutropenia (RAN &lt; 0,5 x 10</w:t>
      </w:r>
      <w:r w:rsidRPr="002D741C">
        <w:rPr>
          <w:color w:val="000000"/>
          <w:szCs w:val="22"/>
          <w:vertAlign w:val="superscript"/>
          <w:lang w:val="es-ES"/>
        </w:rPr>
        <w:t>9</w:t>
      </w:r>
      <w:r w:rsidRPr="002D741C">
        <w:rPr>
          <w:color w:val="000000"/>
          <w:szCs w:val="22"/>
          <w:lang w:val="es-ES"/>
        </w:rPr>
        <w:t>/l) y trombocitopenia (recuento de plaquetas &lt; 10 x 10</w:t>
      </w:r>
      <w:r w:rsidRPr="002D741C">
        <w:rPr>
          <w:color w:val="000000"/>
          <w:szCs w:val="22"/>
          <w:vertAlign w:val="superscript"/>
          <w:lang w:val="es-ES"/>
        </w:rPr>
        <w:t>9</w:t>
      </w:r>
      <w:r w:rsidRPr="002D741C">
        <w:rPr>
          <w:color w:val="000000"/>
          <w:szCs w:val="22"/>
          <w:lang w:val="es-ES"/>
        </w:rPr>
        <w:t xml:space="preserve">/l) de grado 4 en el 3,6% y en menos del 1% respectivamente, de los pacientes con diagnóstico reciente de LMC en fase crónica. La mediana de la duración de los episodios de neutropenia y trombocitopenia normalmente fue de </w:t>
      </w:r>
      <w:smartTag w:uri="urn:schemas-microsoft-com:office:smarttags" w:element="metricconverter">
        <w:smartTagPr>
          <w:attr w:name="ProductID" w:val="2 a"/>
        </w:smartTagPr>
        <w:r w:rsidRPr="002D741C">
          <w:rPr>
            <w:color w:val="000000"/>
            <w:szCs w:val="22"/>
            <w:lang w:val="es-ES"/>
          </w:rPr>
          <w:t>2 a</w:t>
        </w:r>
      </w:smartTag>
      <w:r w:rsidRPr="002D741C">
        <w:rPr>
          <w:color w:val="000000"/>
          <w:szCs w:val="22"/>
          <w:lang w:val="es-ES"/>
        </w:rPr>
        <w:t xml:space="preserve"> 3 semanas y de </w:t>
      </w:r>
      <w:smartTag w:uri="urn:schemas-microsoft-com:office:smarttags" w:element="metricconverter">
        <w:smartTagPr>
          <w:attr w:name="ProductID" w:val="3 a"/>
        </w:smartTagPr>
        <w:r w:rsidRPr="002D741C">
          <w:rPr>
            <w:color w:val="000000"/>
            <w:szCs w:val="22"/>
            <w:lang w:val="es-ES"/>
          </w:rPr>
          <w:t>3 a</w:t>
        </w:r>
      </w:smartTag>
      <w:r w:rsidRPr="002D741C">
        <w:rPr>
          <w:color w:val="000000"/>
          <w:szCs w:val="22"/>
          <w:lang w:val="es-ES"/>
        </w:rPr>
        <w:t xml:space="preserve"> 4 semanas, respectivamente. Estos efectos normalmente pueden ser tratados con reducción de dosis o con interrupción del tratamiento con Glivec, pero en casos raros puede llevar al cese definitivo del tratamiento. En pacientes pediátricos con LMC, las toxicidades observadas de forma más frecuente fueron citopenias de grado 3 ó 4 incluyendo neutropenia, trombocitopenia y anemia. Éstos generalmente ocurren durante los primeros meses de tratamiento.</w:t>
      </w:r>
    </w:p>
    <w:p w14:paraId="66EC4485" w14:textId="77777777" w:rsidR="00C45062" w:rsidRPr="002D741C" w:rsidRDefault="00C45062" w:rsidP="00C45062">
      <w:pPr>
        <w:pStyle w:val="EndnoteText"/>
        <w:widowControl w:val="0"/>
        <w:tabs>
          <w:tab w:val="clear" w:pos="567"/>
        </w:tabs>
        <w:rPr>
          <w:color w:val="000000"/>
          <w:szCs w:val="22"/>
          <w:lang w:val="es-ES"/>
        </w:rPr>
      </w:pPr>
    </w:p>
    <w:p w14:paraId="110D81AA" w14:textId="77777777" w:rsidR="00C45062" w:rsidRPr="002D741C" w:rsidRDefault="00C45062" w:rsidP="00C45062">
      <w:pPr>
        <w:pStyle w:val="EndnoteText"/>
        <w:widowControl w:val="0"/>
        <w:tabs>
          <w:tab w:val="clear" w:pos="567"/>
        </w:tabs>
        <w:rPr>
          <w:color w:val="000000"/>
          <w:szCs w:val="22"/>
          <w:lang w:val="es-ES"/>
        </w:rPr>
      </w:pPr>
      <w:r w:rsidRPr="002D741C">
        <w:rPr>
          <w:color w:val="000000"/>
          <w:szCs w:val="22"/>
          <w:lang w:val="es-ES"/>
        </w:rPr>
        <w:t>En el estudio en pacientes con G</w:t>
      </w:r>
      <w:smartTag w:uri="urn:schemas-microsoft-com:office:smarttags" w:element="PersonName">
        <w:r w:rsidRPr="002D741C">
          <w:rPr>
            <w:color w:val="000000"/>
            <w:szCs w:val="22"/>
            <w:lang w:val="es-ES"/>
          </w:rPr>
          <w:t>IS</w:t>
        </w:r>
      </w:smartTag>
      <w:r w:rsidRPr="002D741C">
        <w:rPr>
          <w:color w:val="000000"/>
          <w:szCs w:val="22"/>
          <w:lang w:val="es-ES"/>
        </w:rPr>
        <w:t xml:space="preserve">T no resecable y/o metastásico se notificaron anemias de grado 3 y 4 en el 5,4% y 0,7% de los pacientes, respectivamente, que pueden estar relacionadas con las </w:t>
      </w:r>
      <w:r w:rsidRPr="002D741C">
        <w:rPr>
          <w:color w:val="000000"/>
          <w:szCs w:val="22"/>
          <w:lang w:val="es-ES"/>
        </w:rPr>
        <w:lastRenderedPageBreak/>
        <w:t>hemorragias gastrointestinales o intratumorales al menos en alguno de estos casos. Se observó neutropenia de grado 3 y 4 en el 7,5% y 2,7% de los pacientes, respectivamente y trombocitopenia de grado 3 en el 0,7% de los pacientes. Ningún paciente desarrolló trombocitopenia de grado 4. El descenso de los leucocitos y recuento de neutrófilos tuvo lugar principalmente durante las primeras seis semanas de tratamiento, permaneciendo después los valores relativamente estables.</w:t>
      </w:r>
    </w:p>
    <w:p w14:paraId="4E3422BC" w14:textId="77777777" w:rsidR="00C45062" w:rsidRPr="002D741C" w:rsidRDefault="00C45062" w:rsidP="00C45062">
      <w:pPr>
        <w:pStyle w:val="EndnoteText"/>
        <w:widowControl w:val="0"/>
        <w:tabs>
          <w:tab w:val="clear" w:pos="567"/>
        </w:tabs>
        <w:rPr>
          <w:color w:val="000000"/>
          <w:szCs w:val="22"/>
          <w:lang w:val="es-ES"/>
        </w:rPr>
      </w:pPr>
    </w:p>
    <w:p w14:paraId="4125672E" w14:textId="77777777" w:rsidR="00C45062" w:rsidRPr="002D741C" w:rsidRDefault="00C45062" w:rsidP="00C45062">
      <w:pPr>
        <w:pStyle w:val="EndnoteText"/>
        <w:widowControl w:val="0"/>
        <w:tabs>
          <w:tab w:val="clear" w:pos="567"/>
        </w:tabs>
        <w:rPr>
          <w:i/>
          <w:color w:val="000000"/>
          <w:szCs w:val="22"/>
          <w:lang w:val="es-ES"/>
        </w:rPr>
      </w:pPr>
      <w:r w:rsidRPr="002D741C">
        <w:rPr>
          <w:i/>
          <w:color w:val="000000"/>
          <w:szCs w:val="22"/>
          <w:lang w:val="es-ES"/>
        </w:rPr>
        <w:t>Bioquímica</w:t>
      </w:r>
    </w:p>
    <w:p w14:paraId="52F4243B" w14:textId="77777777" w:rsidR="00C45062" w:rsidRPr="002D741C" w:rsidRDefault="00C45062" w:rsidP="00C45062">
      <w:pPr>
        <w:pStyle w:val="EndnoteText"/>
        <w:widowControl w:val="0"/>
        <w:tabs>
          <w:tab w:val="clear" w:pos="567"/>
        </w:tabs>
        <w:rPr>
          <w:color w:val="000000"/>
          <w:szCs w:val="22"/>
          <w:lang w:val="es-ES"/>
        </w:rPr>
      </w:pPr>
      <w:r w:rsidRPr="002D741C">
        <w:rPr>
          <w:color w:val="000000"/>
          <w:szCs w:val="22"/>
          <w:lang w:val="es-ES"/>
        </w:rPr>
        <w:t xml:space="preserve">Se observó un aumento severo de las transaminasas </w:t>
      </w:r>
      <w:r w:rsidRPr="002D741C">
        <w:rPr>
          <w:color w:val="000000"/>
          <w:szCs w:val="22"/>
          <w:lang w:val="es-ES_tradnl"/>
        </w:rPr>
        <w:t xml:space="preserve">(&lt; 5%) </w:t>
      </w:r>
      <w:r w:rsidRPr="002D741C">
        <w:rPr>
          <w:color w:val="000000"/>
          <w:szCs w:val="22"/>
          <w:lang w:val="es-ES"/>
        </w:rPr>
        <w:t xml:space="preserve">o de la bilirrubina </w:t>
      </w:r>
      <w:r w:rsidRPr="002D741C">
        <w:rPr>
          <w:color w:val="000000"/>
          <w:szCs w:val="22"/>
          <w:lang w:val="es-ES_tradnl"/>
        </w:rPr>
        <w:t>(&lt; 1%)</w:t>
      </w:r>
      <w:r w:rsidRPr="002D741C">
        <w:rPr>
          <w:color w:val="000000"/>
          <w:szCs w:val="22"/>
          <w:lang w:val="es-ES"/>
        </w:rPr>
        <w:t xml:space="preserve"> en pacientes con LMC y normalmente se controló con reducción de dosis o interrupción (la mediana de duración de estos episodios fue aproximadamente de una semana). En menos del 1% de los pacientes con LMC el tratamiento se interrumpió de forma permanente debido a la alteración de las pruebas hepáticas de laboratorio. En pacientes con G</w:t>
      </w:r>
      <w:smartTag w:uri="urn:schemas-microsoft-com:office:smarttags" w:element="PersonName">
        <w:r w:rsidRPr="002D741C">
          <w:rPr>
            <w:color w:val="000000"/>
            <w:szCs w:val="22"/>
            <w:lang w:val="es-ES"/>
          </w:rPr>
          <w:t>IS</w:t>
        </w:r>
      </w:smartTag>
      <w:r w:rsidRPr="002D741C">
        <w:rPr>
          <w:color w:val="000000"/>
          <w:szCs w:val="22"/>
          <w:lang w:val="es-ES"/>
        </w:rPr>
        <w:t xml:space="preserve">T (estudio B2222) se observaron un 6,8% de aumento de </w:t>
      </w:r>
      <w:smartTag w:uri="urn:schemas-microsoft-com:office:smarttags" w:element="stockticker">
        <w:r w:rsidRPr="002D741C">
          <w:rPr>
            <w:color w:val="000000"/>
            <w:szCs w:val="22"/>
            <w:lang w:val="es-ES"/>
          </w:rPr>
          <w:t>A</w:t>
        </w:r>
        <w:smartTag w:uri="urn:schemas-microsoft-com:office:smarttags" w:element="PersonName">
          <w:r w:rsidRPr="002D741C">
            <w:rPr>
              <w:color w:val="000000"/>
              <w:szCs w:val="22"/>
              <w:lang w:val="es-ES"/>
            </w:rPr>
            <w:t>LT</w:t>
          </w:r>
        </w:smartTag>
      </w:smartTag>
      <w:r w:rsidRPr="002D741C">
        <w:rPr>
          <w:color w:val="000000"/>
          <w:szCs w:val="22"/>
          <w:lang w:val="es-ES"/>
        </w:rPr>
        <w:t xml:space="preserve"> (alanino aminotransferasa) de grado 3 ó 4 y un 4,8% de aumento de AST (aspartato aminotransferasa) de grado 3 ó 4. El aumento de la bilirrubina fue inferior al 3%.</w:t>
      </w:r>
    </w:p>
    <w:p w14:paraId="7B1EC113" w14:textId="77777777" w:rsidR="00C45062" w:rsidRPr="002D741C" w:rsidRDefault="00C45062" w:rsidP="00C45062">
      <w:pPr>
        <w:pStyle w:val="EndnoteText"/>
        <w:widowControl w:val="0"/>
        <w:tabs>
          <w:tab w:val="clear" w:pos="567"/>
        </w:tabs>
        <w:rPr>
          <w:color w:val="000000"/>
          <w:szCs w:val="22"/>
          <w:lang w:val="es-ES"/>
        </w:rPr>
      </w:pPr>
    </w:p>
    <w:p w14:paraId="65E1E758" w14:textId="77777777" w:rsidR="00C45062" w:rsidRPr="002D741C" w:rsidRDefault="00C45062" w:rsidP="00C45062">
      <w:pPr>
        <w:pStyle w:val="EndnoteText"/>
        <w:widowControl w:val="0"/>
        <w:tabs>
          <w:tab w:val="clear" w:pos="567"/>
        </w:tabs>
        <w:rPr>
          <w:color w:val="000000"/>
          <w:szCs w:val="22"/>
          <w:lang w:val="es-ES"/>
        </w:rPr>
      </w:pPr>
      <w:r w:rsidRPr="002D741C">
        <w:rPr>
          <w:color w:val="000000"/>
          <w:szCs w:val="22"/>
          <w:lang w:val="es-ES"/>
        </w:rPr>
        <w:t>Se han dado casos de hepatitis citolítica y colestásica y fallo hepático; en algunos de los cuales el desenlace fue fatal, incluyendo un paciente tratado con paracetamol a dosis alta.</w:t>
      </w:r>
    </w:p>
    <w:p w14:paraId="2674F51C" w14:textId="77777777" w:rsidR="0057412D" w:rsidRPr="002D741C" w:rsidRDefault="0057412D" w:rsidP="00C45062">
      <w:pPr>
        <w:pStyle w:val="EndnoteText"/>
        <w:widowControl w:val="0"/>
        <w:tabs>
          <w:tab w:val="clear" w:pos="567"/>
        </w:tabs>
        <w:rPr>
          <w:color w:val="000000"/>
          <w:szCs w:val="22"/>
          <w:lang w:val="es-ES"/>
        </w:rPr>
      </w:pPr>
    </w:p>
    <w:p w14:paraId="6FEBFA5A" w14:textId="77777777" w:rsidR="0057412D" w:rsidRPr="002D741C" w:rsidRDefault="0057412D" w:rsidP="00FA7D21">
      <w:pPr>
        <w:pStyle w:val="EndnoteText"/>
        <w:keepNext/>
        <w:widowControl w:val="0"/>
        <w:rPr>
          <w:color w:val="000000"/>
          <w:szCs w:val="22"/>
          <w:u w:val="single"/>
          <w:lang w:val="es-ES"/>
        </w:rPr>
      </w:pPr>
      <w:r w:rsidRPr="002D741C">
        <w:rPr>
          <w:color w:val="000000"/>
          <w:szCs w:val="22"/>
          <w:u w:val="single"/>
          <w:lang w:val="es-ES"/>
        </w:rPr>
        <w:t>Descripción de las reacciones adversas seleccionadas</w:t>
      </w:r>
    </w:p>
    <w:p w14:paraId="4AF03DF7" w14:textId="77777777" w:rsidR="0057412D" w:rsidRPr="002D741C" w:rsidRDefault="0057412D" w:rsidP="00FA7D21">
      <w:pPr>
        <w:pStyle w:val="EndnoteText"/>
        <w:keepNext/>
        <w:widowControl w:val="0"/>
        <w:rPr>
          <w:i/>
          <w:color w:val="000000"/>
          <w:szCs w:val="22"/>
          <w:u w:val="single"/>
          <w:lang w:val="es-ES"/>
        </w:rPr>
      </w:pPr>
      <w:r w:rsidRPr="002D741C">
        <w:rPr>
          <w:i/>
          <w:color w:val="000000"/>
          <w:szCs w:val="22"/>
          <w:u w:val="single"/>
          <w:lang w:val="es-ES"/>
        </w:rPr>
        <w:t>Reactivación de la hepatitis B</w:t>
      </w:r>
    </w:p>
    <w:p w14:paraId="7D85FC87" w14:textId="77777777" w:rsidR="0057412D" w:rsidRPr="002D741C" w:rsidRDefault="0057412D" w:rsidP="0057412D">
      <w:pPr>
        <w:pStyle w:val="EndnoteText"/>
        <w:widowControl w:val="0"/>
        <w:rPr>
          <w:color w:val="000000"/>
          <w:szCs w:val="22"/>
          <w:lang w:val="es-ES"/>
        </w:rPr>
      </w:pPr>
      <w:r w:rsidRPr="002D741C">
        <w:rPr>
          <w:color w:val="000000"/>
          <w:szCs w:val="22"/>
          <w:lang w:val="es-ES"/>
        </w:rPr>
        <w:t>Se ha notificado reactivación de la hepatitis B en relación con los inhibidores de la tirosina quinasa</w:t>
      </w:r>
      <w:r w:rsidR="006D6FA8" w:rsidRPr="002D741C">
        <w:rPr>
          <w:color w:val="000000"/>
          <w:szCs w:val="22"/>
          <w:lang w:val="es-ES"/>
        </w:rPr>
        <w:t xml:space="preserve"> </w:t>
      </w:r>
      <w:r w:rsidRPr="002D741C">
        <w:rPr>
          <w:color w:val="000000"/>
          <w:szCs w:val="22"/>
          <w:lang w:val="es-ES"/>
        </w:rPr>
        <w:t>BCR-ABL. En algunos casos se ha producido insuficiencia hepática aguda o hepatitis fulminante que ha dado lugar a trasplante de hígado o a un desenlace mortal (ver sección</w:t>
      </w:r>
      <w:r w:rsidR="00FA7D21" w:rsidRPr="002D741C">
        <w:rPr>
          <w:color w:val="000000"/>
          <w:szCs w:val="22"/>
          <w:lang w:val="es-ES"/>
        </w:rPr>
        <w:t> </w:t>
      </w:r>
      <w:r w:rsidRPr="002D741C">
        <w:rPr>
          <w:color w:val="000000"/>
          <w:szCs w:val="22"/>
          <w:lang w:val="es-ES"/>
        </w:rPr>
        <w:t>4.4).</w:t>
      </w:r>
    </w:p>
    <w:p w14:paraId="1835B20B" w14:textId="77777777" w:rsidR="00C45062" w:rsidRPr="002D741C" w:rsidRDefault="00C45062" w:rsidP="00C45062">
      <w:pPr>
        <w:pStyle w:val="EndnoteText"/>
        <w:widowControl w:val="0"/>
        <w:tabs>
          <w:tab w:val="clear" w:pos="567"/>
        </w:tabs>
        <w:rPr>
          <w:color w:val="000000"/>
          <w:szCs w:val="22"/>
          <w:lang w:val="es-ES"/>
        </w:rPr>
      </w:pPr>
    </w:p>
    <w:p w14:paraId="5EFC1228" w14:textId="77777777" w:rsidR="00C45062" w:rsidRPr="002D741C" w:rsidRDefault="00C45062" w:rsidP="00AD13BE">
      <w:pPr>
        <w:pStyle w:val="EndnoteText"/>
        <w:keepNext/>
        <w:widowControl w:val="0"/>
        <w:tabs>
          <w:tab w:val="clear" w:pos="567"/>
        </w:tabs>
        <w:rPr>
          <w:color w:val="000000"/>
          <w:szCs w:val="22"/>
          <w:u w:val="single"/>
          <w:lang w:val="es-ES"/>
        </w:rPr>
      </w:pPr>
      <w:r w:rsidRPr="002D741C">
        <w:rPr>
          <w:color w:val="000000"/>
          <w:szCs w:val="22"/>
          <w:u w:val="single"/>
          <w:lang w:val="es-ES"/>
        </w:rPr>
        <w:t>Notificación de sospechas de reacciones adversas</w:t>
      </w:r>
    </w:p>
    <w:p w14:paraId="07517149" w14:textId="77777777" w:rsidR="00C45062" w:rsidRPr="002D741C" w:rsidRDefault="00C45062" w:rsidP="00C45062">
      <w:pPr>
        <w:pStyle w:val="EndnoteText"/>
        <w:widowControl w:val="0"/>
        <w:tabs>
          <w:tab w:val="clear" w:pos="567"/>
        </w:tabs>
        <w:rPr>
          <w:color w:val="000000"/>
          <w:szCs w:val="22"/>
          <w:lang w:val="es-ES"/>
        </w:rPr>
      </w:pPr>
      <w:r w:rsidRPr="002D741C">
        <w:rPr>
          <w:color w:val="000000"/>
          <w:szCs w:val="22"/>
          <w:lang w:val="es-ES"/>
        </w:rPr>
        <w:t xml:space="preserve">Es importante notificar sospechas de reacciones adversas al medicamento tras su autorización. Ello permite una supervisión continuada de la relación beneficio/riesgo del medicamento. </w:t>
      </w:r>
      <w:r w:rsidR="00674DE5" w:rsidRPr="002D741C">
        <w:rPr>
          <w:lang w:val="es-ES"/>
        </w:rPr>
        <w:t xml:space="preserve">Se invita a los profesionales sanitarios a notificar las sospechas de reacciones adversas a través del </w:t>
      </w:r>
      <w:r w:rsidR="00674DE5" w:rsidRPr="002D741C">
        <w:rPr>
          <w:shd w:val="pct15" w:color="auto" w:fill="auto"/>
          <w:lang w:val="es-ES"/>
        </w:rPr>
        <w:t xml:space="preserve">sistema nacional de notificación incluido en el </w:t>
      </w:r>
      <w:hyperlink r:id="rId15">
        <w:r w:rsidR="00674DE5" w:rsidRPr="002D741C">
          <w:rPr>
            <w:rStyle w:val="Hyperlink"/>
            <w:shd w:val="pct15" w:color="auto" w:fill="auto"/>
            <w:lang w:val="es-ES"/>
          </w:rPr>
          <w:t>Apéndice V</w:t>
        </w:r>
      </w:hyperlink>
      <w:r w:rsidRPr="002D741C">
        <w:rPr>
          <w:color w:val="000000"/>
          <w:szCs w:val="22"/>
          <w:shd w:val="pct15" w:color="auto" w:fill="auto"/>
          <w:lang w:val="es-ES"/>
        </w:rPr>
        <w:t>.</w:t>
      </w:r>
    </w:p>
    <w:p w14:paraId="5A73AE72" w14:textId="77777777" w:rsidR="00C45062" w:rsidRPr="002D741C" w:rsidRDefault="00C45062" w:rsidP="00C45062">
      <w:pPr>
        <w:pStyle w:val="EndnoteText"/>
        <w:widowControl w:val="0"/>
        <w:tabs>
          <w:tab w:val="clear" w:pos="567"/>
        </w:tabs>
        <w:rPr>
          <w:color w:val="000000"/>
          <w:szCs w:val="22"/>
          <w:lang w:val="es-ES"/>
        </w:rPr>
      </w:pPr>
    </w:p>
    <w:p w14:paraId="22F83CB5" w14:textId="77777777" w:rsidR="00C45062" w:rsidRPr="002D741C" w:rsidRDefault="00C45062" w:rsidP="00AD13BE">
      <w:pPr>
        <w:keepNext/>
        <w:widowControl w:val="0"/>
        <w:ind w:left="567" w:hanging="567"/>
        <w:rPr>
          <w:color w:val="000000"/>
          <w:sz w:val="22"/>
          <w:szCs w:val="22"/>
        </w:rPr>
      </w:pPr>
      <w:r w:rsidRPr="002D741C">
        <w:rPr>
          <w:b/>
          <w:color w:val="000000"/>
          <w:sz w:val="22"/>
          <w:szCs w:val="22"/>
        </w:rPr>
        <w:t>4.9</w:t>
      </w:r>
      <w:r w:rsidRPr="002D741C">
        <w:rPr>
          <w:b/>
          <w:color w:val="000000"/>
          <w:sz w:val="22"/>
          <w:szCs w:val="22"/>
        </w:rPr>
        <w:tab/>
        <w:t>Sobredosis</w:t>
      </w:r>
    </w:p>
    <w:p w14:paraId="283DB7CF" w14:textId="77777777" w:rsidR="00C45062" w:rsidRPr="002D741C" w:rsidRDefault="00C45062" w:rsidP="00AD13BE">
      <w:pPr>
        <w:keepNext/>
        <w:widowControl w:val="0"/>
        <w:rPr>
          <w:color w:val="000000"/>
          <w:sz w:val="22"/>
          <w:szCs w:val="22"/>
        </w:rPr>
      </w:pPr>
    </w:p>
    <w:p w14:paraId="62C141AF" w14:textId="77777777" w:rsidR="00C45062" w:rsidRPr="002D741C" w:rsidRDefault="00C45062" w:rsidP="00AD13BE">
      <w:pPr>
        <w:keepNext/>
        <w:widowControl w:val="0"/>
        <w:rPr>
          <w:color w:val="000000"/>
          <w:sz w:val="22"/>
          <w:szCs w:val="22"/>
        </w:rPr>
      </w:pPr>
      <w:r w:rsidRPr="002D741C">
        <w:rPr>
          <w:color w:val="000000"/>
          <w:sz w:val="22"/>
          <w:szCs w:val="22"/>
        </w:rPr>
        <w:t xml:space="preserve">Se dispone de una experiencia limitada con dosis superiores a las dosis terapéuticas recomendadas. Se han notificado casos aislados de sobredosis con Glivec de forma espontánea y en publicaciones. En caso de sobredosis el paciente deberá estar bajo observación y deberá administrarse el tratamiento sintomático adecuado. Generalmente el resultado notificado en estos casos fue </w:t>
      </w:r>
      <w:r w:rsidRPr="002D741C">
        <w:rPr>
          <w:color w:val="000000"/>
          <w:sz w:val="22"/>
          <w:szCs w:val="22"/>
          <w:lang w:val="es-ES"/>
        </w:rPr>
        <w:t>«</w:t>
      </w:r>
      <w:r w:rsidRPr="002D741C">
        <w:rPr>
          <w:color w:val="000000"/>
          <w:sz w:val="22"/>
          <w:szCs w:val="22"/>
        </w:rPr>
        <w:t>mejora</w:t>
      </w:r>
      <w:r w:rsidRPr="002D741C">
        <w:rPr>
          <w:color w:val="000000"/>
          <w:sz w:val="22"/>
          <w:szCs w:val="22"/>
          <w:lang w:val="es-ES"/>
        </w:rPr>
        <w:t>»</w:t>
      </w:r>
      <w:r w:rsidRPr="002D741C">
        <w:rPr>
          <w:color w:val="000000"/>
          <w:sz w:val="22"/>
          <w:szCs w:val="22"/>
        </w:rPr>
        <w:t xml:space="preserve"> o </w:t>
      </w:r>
      <w:r w:rsidRPr="002D741C">
        <w:rPr>
          <w:color w:val="000000"/>
          <w:sz w:val="22"/>
          <w:szCs w:val="22"/>
          <w:lang w:val="es-ES"/>
        </w:rPr>
        <w:t>«</w:t>
      </w:r>
      <w:r w:rsidRPr="002D741C">
        <w:rPr>
          <w:color w:val="000000"/>
          <w:sz w:val="22"/>
          <w:szCs w:val="22"/>
        </w:rPr>
        <w:t>recuperado</w:t>
      </w:r>
      <w:r w:rsidRPr="002D741C">
        <w:rPr>
          <w:color w:val="000000"/>
          <w:sz w:val="22"/>
          <w:szCs w:val="22"/>
          <w:lang w:val="es-ES"/>
        </w:rPr>
        <w:t>»</w:t>
      </w:r>
      <w:r w:rsidRPr="002D741C">
        <w:rPr>
          <w:color w:val="000000"/>
          <w:sz w:val="22"/>
          <w:szCs w:val="22"/>
        </w:rPr>
        <w:t>. Los acontecimientos que se han notificado a diferentes intervalos de dosis son los siguientes:</w:t>
      </w:r>
    </w:p>
    <w:p w14:paraId="2B01CD56" w14:textId="77777777" w:rsidR="00C45062" w:rsidRPr="002D741C" w:rsidRDefault="00C45062" w:rsidP="00AD13BE">
      <w:pPr>
        <w:keepNext/>
        <w:widowControl w:val="0"/>
        <w:rPr>
          <w:color w:val="000000"/>
          <w:sz w:val="22"/>
          <w:szCs w:val="22"/>
        </w:rPr>
      </w:pPr>
    </w:p>
    <w:p w14:paraId="7F2F3242" w14:textId="77777777" w:rsidR="00C45062" w:rsidRPr="002D741C" w:rsidRDefault="00C45062" w:rsidP="00AD13BE">
      <w:pPr>
        <w:keepNext/>
        <w:widowControl w:val="0"/>
        <w:rPr>
          <w:i/>
          <w:color w:val="000000"/>
          <w:sz w:val="22"/>
          <w:szCs w:val="22"/>
        </w:rPr>
      </w:pPr>
      <w:r w:rsidRPr="002D741C">
        <w:rPr>
          <w:i/>
          <w:color w:val="000000"/>
          <w:sz w:val="22"/>
          <w:szCs w:val="22"/>
        </w:rPr>
        <w:t>Población adulta</w:t>
      </w:r>
    </w:p>
    <w:p w14:paraId="50A7FBE5" w14:textId="77777777" w:rsidR="00C45062" w:rsidRPr="002D741C" w:rsidRDefault="00C45062" w:rsidP="00C45062">
      <w:pPr>
        <w:widowControl w:val="0"/>
        <w:rPr>
          <w:color w:val="000000"/>
          <w:sz w:val="22"/>
          <w:szCs w:val="22"/>
        </w:rPr>
      </w:pPr>
      <w:smartTag w:uri="urn:schemas-microsoft-com:office:smarttags" w:element="metricconverter">
        <w:smartTagPr>
          <w:attr w:name="ProductID" w:val="1200 a"/>
        </w:smartTagPr>
        <w:r w:rsidRPr="002D741C">
          <w:rPr>
            <w:color w:val="000000"/>
            <w:sz w:val="22"/>
            <w:szCs w:val="22"/>
          </w:rPr>
          <w:t>1200 a</w:t>
        </w:r>
      </w:smartTag>
      <w:r w:rsidRPr="002D741C">
        <w:rPr>
          <w:color w:val="000000"/>
          <w:sz w:val="22"/>
          <w:szCs w:val="22"/>
        </w:rPr>
        <w:t xml:space="preserve"> 1600 mg (duración variable entre 1 y 10 días): Náuseas, vómitos, diarrea, erupción, eritema, edema, hinchazón, fatiga, espasmos musculares, trombocitopenia, pancitopenia, dolor abdominal, cefalea, disminución del apetito.</w:t>
      </w:r>
    </w:p>
    <w:p w14:paraId="57776C03" w14:textId="77777777" w:rsidR="00C45062" w:rsidRPr="002D741C" w:rsidRDefault="00C45062" w:rsidP="00C45062">
      <w:pPr>
        <w:widowControl w:val="0"/>
        <w:rPr>
          <w:color w:val="000000"/>
          <w:sz w:val="22"/>
          <w:szCs w:val="22"/>
        </w:rPr>
      </w:pPr>
      <w:smartTag w:uri="urn:schemas-microsoft-com:office:smarttags" w:element="metricconverter">
        <w:smartTagPr>
          <w:attr w:name="ProductID" w:val="1800 a"/>
        </w:smartTagPr>
        <w:r w:rsidRPr="002D741C">
          <w:rPr>
            <w:color w:val="000000"/>
            <w:sz w:val="22"/>
            <w:szCs w:val="22"/>
          </w:rPr>
          <w:t>1800 a</w:t>
        </w:r>
      </w:smartTag>
      <w:r w:rsidRPr="002D741C">
        <w:rPr>
          <w:color w:val="000000"/>
          <w:sz w:val="22"/>
          <w:szCs w:val="22"/>
        </w:rPr>
        <w:t xml:space="preserve"> 3200 mg (hasta 3200 mg diarios durante 6 días): Debilidad, mialgia, aumento de creatina fosfoquinasa, aumento de bilirrubina, dolor gastrointestinal.</w:t>
      </w:r>
    </w:p>
    <w:p w14:paraId="1B77978B" w14:textId="77777777" w:rsidR="00C45062" w:rsidRPr="002D741C" w:rsidRDefault="00C45062" w:rsidP="00C45062">
      <w:pPr>
        <w:widowControl w:val="0"/>
        <w:rPr>
          <w:color w:val="000000"/>
          <w:sz w:val="22"/>
          <w:szCs w:val="22"/>
        </w:rPr>
      </w:pPr>
      <w:r w:rsidRPr="002D741C">
        <w:rPr>
          <w:color w:val="000000"/>
          <w:sz w:val="22"/>
          <w:szCs w:val="22"/>
        </w:rPr>
        <w:t>6400 mg (dosis única): Un caso notificado en la literatura de un paciente que presentó náuseas, vómitos, dolor abdominal, pirexia, hinchazón facial, disminución del recuento de neutrófilos, aumento de transaminasas.</w:t>
      </w:r>
    </w:p>
    <w:p w14:paraId="55FD6AEA" w14:textId="77777777" w:rsidR="00C45062" w:rsidRPr="002D741C" w:rsidRDefault="00C45062" w:rsidP="00C45062">
      <w:pPr>
        <w:widowControl w:val="0"/>
        <w:rPr>
          <w:color w:val="000000"/>
          <w:sz w:val="22"/>
          <w:szCs w:val="22"/>
        </w:rPr>
      </w:pPr>
      <w:smartTag w:uri="urn:schemas-microsoft-com:office:smarttags" w:element="metricconverter">
        <w:smartTagPr>
          <w:attr w:name="ProductID" w:val="8 a"/>
        </w:smartTagPr>
        <w:r w:rsidRPr="002D741C">
          <w:rPr>
            <w:color w:val="000000"/>
            <w:sz w:val="22"/>
            <w:szCs w:val="22"/>
          </w:rPr>
          <w:t>8 a</w:t>
        </w:r>
      </w:smartTag>
      <w:r w:rsidRPr="002D741C">
        <w:rPr>
          <w:color w:val="000000"/>
          <w:sz w:val="22"/>
          <w:szCs w:val="22"/>
        </w:rPr>
        <w:t xml:space="preserve"> </w:t>
      </w:r>
      <w:smartTag w:uri="urn:schemas-microsoft-com:office:smarttags" w:element="metricconverter">
        <w:smartTagPr>
          <w:attr w:name="ProductID" w:val="10ﾠg"/>
        </w:smartTagPr>
        <w:r w:rsidRPr="002D741C">
          <w:rPr>
            <w:color w:val="000000"/>
            <w:sz w:val="22"/>
            <w:szCs w:val="22"/>
          </w:rPr>
          <w:t>10 g</w:t>
        </w:r>
      </w:smartTag>
      <w:r w:rsidRPr="002D741C">
        <w:rPr>
          <w:color w:val="000000"/>
          <w:sz w:val="22"/>
          <w:szCs w:val="22"/>
        </w:rPr>
        <w:t xml:space="preserve"> (dosis única): Se han notificado vómitos y dolor gastrointestinal.</w:t>
      </w:r>
    </w:p>
    <w:p w14:paraId="75FB6E6B" w14:textId="77777777" w:rsidR="00C45062" w:rsidRPr="002D741C" w:rsidRDefault="00C45062" w:rsidP="00C45062">
      <w:pPr>
        <w:widowControl w:val="0"/>
        <w:rPr>
          <w:color w:val="000000"/>
          <w:sz w:val="22"/>
          <w:szCs w:val="22"/>
        </w:rPr>
      </w:pPr>
    </w:p>
    <w:p w14:paraId="49C7EFCA" w14:textId="77777777" w:rsidR="00C45062" w:rsidRPr="002D741C" w:rsidRDefault="00C45062" w:rsidP="00AD13BE">
      <w:pPr>
        <w:keepNext/>
        <w:widowControl w:val="0"/>
        <w:rPr>
          <w:i/>
          <w:color w:val="000000"/>
          <w:sz w:val="22"/>
          <w:szCs w:val="22"/>
        </w:rPr>
      </w:pPr>
      <w:r w:rsidRPr="002D741C">
        <w:rPr>
          <w:i/>
          <w:color w:val="000000"/>
          <w:sz w:val="22"/>
          <w:szCs w:val="22"/>
        </w:rPr>
        <w:t>Población pediátrica</w:t>
      </w:r>
    </w:p>
    <w:p w14:paraId="1646E809" w14:textId="77777777" w:rsidR="00C45062" w:rsidRPr="002D741C" w:rsidRDefault="00C45062" w:rsidP="00C45062">
      <w:pPr>
        <w:widowControl w:val="0"/>
        <w:rPr>
          <w:color w:val="000000"/>
          <w:sz w:val="22"/>
          <w:szCs w:val="22"/>
        </w:rPr>
      </w:pPr>
      <w:r w:rsidRPr="002D741C">
        <w:rPr>
          <w:color w:val="000000"/>
          <w:sz w:val="22"/>
          <w:szCs w:val="22"/>
        </w:rPr>
        <w:t>Un niño de 3 años se expuso a una dosis única de 400 mg, experimentando vómitos, diarrea y anorexia y otro niño de 3 años se expuso a una dosis única de 980 mg, experimentando una disminución de glóbulos blancos y diarrea.</w:t>
      </w:r>
    </w:p>
    <w:p w14:paraId="394057F8" w14:textId="77777777" w:rsidR="00C45062" w:rsidRPr="002D741C" w:rsidRDefault="00C45062" w:rsidP="00C45062">
      <w:pPr>
        <w:widowControl w:val="0"/>
        <w:rPr>
          <w:color w:val="000000"/>
          <w:sz w:val="22"/>
          <w:szCs w:val="22"/>
        </w:rPr>
      </w:pPr>
    </w:p>
    <w:p w14:paraId="747B8F7F" w14:textId="77777777" w:rsidR="00C45062" w:rsidRPr="002D741C" w:rsidRDefault="00C45062" w:rsidP="00C45062">
      <w:pPr>
        <w:widowControl w:val="0"/>
        <w:rPr>
          <w:color w:val="000000"/>
          <w:sz w:val="22"/>
          <w:szCs w:val="22"/>
        </w:rPr>
      </w:pPr>
      <w:r w:rsidRPr="002D741C">
        <w:rPr>
          <w:color w:val="000000"/>
          <w:sz w:val="22"/>
          <w:szCs w:val="22"/>
        </w:rPr>
        <w:t>En caso de sobredosis, el paciente deberá someterse a observación y recibir el tratamiento de soporte apropiado.</w:t>
      </w:r>
    </w:p>
    <w:p w14:paraId="433CE323" w14:textId="77777777" w:rsidR="00C45062" w:rsidRPr="002D741C" w:rsidRDefault="00C45062" w:rsidP="00C45062">
      <w:pPr>
        <w:widowControl w:val="0"/>
        <w:rPr>
          <w:color w:val="000000"/>
          <w:sz w:val="22"/>
          <w:szCs w:val="22"/>
        </w:rPr>
      </w:pPr>
    </w:p>
    <w:p w14:paraId="11E2940D" w14:textId="77777777" w:rsidR="00C45062" w:rsidRPr="002D741C" w:rsidRDefault="00C45062" w:rsidP="00AD13BE">
      <w:pPr>
        <w:keepNext/>
        <w:widowControl w:val="0"/>
        <w:ind w:left="567" w:hanging="567"/>
        <w:rPr>
          <w:color w:val="000000"/>
          <w:sz w:val="22"/>
          <w:szCs w:val="22"/>
        </w:rPr>
      </w:pPr>
      <w:r w:rsidRPr="002D741C">
        <w:rPr>
          <w:b/>
          <w:color w:val="000000"/>
          <w:sz w:val="22"/>
          <w:szCs w:val="22"/>
        </w:rPr>
        <w:t>5.</w:t>
      </w:r>
      <w:r w:rsidRPr="002D741C">
        <w:rPr>
          <w:b/>
          <w:color w:val="000000"/>
          <w:sz w:val="22"/>
          <w:szCs w:val="22"/>
        </w:rPr>
        <w:tab/>
        <w:t>P</w:t>
      </w:r>
      <w:smartTag w:uri="urn:schemas-microsoft-com:office:smarttags" w:element="PersonName">
        <w:r w:rsidRPr="002D741C">
          <w:rPr>
            <w:b/>
            <w:color w:val="000000"/>
            <w:sz w:val="22"/>
            <w:szCs w:val="22"/>
          </w:rPr>
          <w:t>RO</w:t>
        </w:r>
      </w:smartTag>
      <w:r w:rsidRPr="002D741C">
        <w:rPr>
          <w:b/>
          <w:color w:val="000000"/>
          <w:sz w:val="22"/>
          <w:szCs w:val="22"/>
        </w:rPr>
        <w:t>PIEDA</w:t>
      </w:r>
      <w:smartTag w:uri="urn:schemas-microsoft-com:office:smarttags" w:element="PersonName">
        <w:r w:rsidRPr="002D741C">
          <w:rPr>
            <w:b/>
            <w:color w:val="000000"/>
            <w:sz w:val="22"/>
            <w:szCs w:val="22"/>
          </w:rPr>
          <w:t>DE</w:t>
        </w:r>
      </w:smartTag>
      <w:r w:rsidRPr="002D741C">
        <w:rPr>
          <w:b/>
          <w:color w:val="000000"/>
          <w:sz w:val="22"/>
          <w:szCs w:val="22"/>
        </w:rPr>
        <w:t>S FARMACOLÓGICAS</w:t>
      </w:r>
    </w:p>
    <w:p w14:paraId="3C568480" w14:textId="77777777" w:rsidR="00C45062" w:rsidRPr="002D741C" w:rsidRDefault="00C45062" w:rsidP="00AD13BE">
      <w:pPr>
        <w:keepNext/>
        <w:widowControl w:val="0"/>
        <w:rPr>
          <w:color w:val="000000"/>
          <w:sz w:val="22"/>
          <w:szCs w:val="22"/>
        </w:rPr>
      </w:pPr>
    </w:p>
    <w:p w14:paraId="5E25EACE" w14:textId="77777777" w:rsidR="00C45062" w:rsidRPr="002D741C" w:rsidRDefault="00C45062" w:rsidP="00AD13BE">
      <w:pPr>
        <w:keepNext/>
        <w:widowControl w:val="0"/>
        <w:ind w:left="567" w:hanging="567"/>
        <w:rPr>
          <w:color w:val="000000"/>
          <w:sz w:val="22"/>
          <w:szCs w:val="22"/>
        </w:rPr>
      </w:pPr>
      <w:r w:rsidRPr="002D741C">
        <w:rPr>
          <w:b/>
          <w:color w:val="000000"/>
          <w:sz w:val="22"/>
          <w:szCs w:val="22"/>
        </w:rPr>
        <w:t>5.1</w:t>
      </w:r>
      <w:r w:rsidRPr="002D741C">
        <w:rPr>
          <w:b/>
          <w:color w:val="000000"/>
          <w:sz w:val="22"/>
          <w:szCs w:val="22"/>
        </w:rPr>
        <w:tab/>
        <w:t>Propiedades farmacodinámicas</w:t>
      </w:r>
    </w:p>
    <w:p w14:paraId="6FADC589" w14:textId="77777777" w:rsidR="00C45062" w:rsidRPr="002D741C" w:rsidRDefault="00C45062" w:rsidP="00AD13BE">
      <w:pPr>
        <w:pStyle w:val="EndnoteText"/>
        <w:keepNext/>
        <w:widowControl w:val="0"/>
        <w:tabs>
          <w:tab w:val="clear" w:pos="567"/>
        </w:tabs>
        <w:rPr>
          <w:color w:val="000000"/>
          <w:szCs w:val="22"/>
          <w:lang w:val="es-ES"/>
        </w:rPr>
      </w:pPr>
    </w:p>
    <w:p w14:paraId="78801DC4" w14:textId="77777777" w:rsidR="00C45062" w:rsidRPr="002D741C" w:rsidRDefault="00C45062" w:rsidP="00C45062">
      <w:pPr>
        <w:widowControl w:val="0"/>
        <w:rPr>
          <w:color w:val="000000"/>
          <w:sz w:val="22"/>
          <w:szCs w:val="22"/>
          <w:lang w:val="es-ES"/>
        </w:rPr>
      </w:pPr>
      <w:r w:rsidRPr="002D741C">
        <w:rPr>
          <w:color w:val="000000"/>
          <w:sz w:val="22"/>
          <w:szCs w:val="22"/>
          <w:lang w:val="es-ES"/>
        </w:rPr>
        <w:t>Grupo farmacoterapéutico: inhibidor de la proteína tirosina quinasa, código ATC: L01XE01</w:t>
      </w:r>
    </w:p>
    <w:p w14:paraId="6602D1ED" w14:textId="77777777" w:rsidR="00C45062" w:rsidRPr="002D741C" w:rsidRDefault="00C45062" w:rsidP="00C45062">
      <w:pPr>
        <w:pStyle w:val="EndnoteText"/>
        <w:rPr>
          <w:color w:val="000000"/>
          <w:szCs w:val="22"/>
          <w:u w:val="single"/>
          <w:lang w:val="es-ES"/>
        </w:rPr>
      </w:pPr>
    </w:p>
    <w:p w14:paraId="153C5654" w14:textId="77777777" w:rsidR="00C45062" w:rsidRPr="002D741C" w:rsidRDefault="00C45062" w:rsidP="00AD13BE">
      <w:pPr>
        <w:pStyle w:val="EndnoteText"/>
        <w:keepNext/>
        <w:rPr>
          <w:color w:val="000000"/>
          <w:szCs w:val="22"/>
          <w:u w:val="single"/>
          <w:lang w:val="es-ES"/>
        </w:rPr>
      </w:pPr>
      <w:r w:rsidRPr="002D741C">
        <w:rPr>
          <w:color w:val="000000"/>
          <w:szCs w:val="22"/>
          <w:u w:val="single"/>
          <w:lang w:val="es-ES"/>
        </w:rPr>
        <w:t>Mecanismo de acción</w:t>
      </w:r>
    </w:p>
    <w:p w14:paraId="46C89734" w14:textId="77777777" w:rsidR="00C45062" w:rsidRPr="002D741C" w:rsidRDefault="00C45062" w:rsidP="00C45062">
      <w:pPr>
        <w:pStyle w:val="EndnoteText"/>
        <w:rPr>
          <w:color w:val="000000"/>
          <w:szCs w:val="22"/>
          <w:lang w:val="es-ES"/>
        </w:rPr>
      </w:pPr>
      <w:r w:rsidRPr="002D741C">
        <w:rPr>
          <w:color w:val="000000"/>
          <w:szCs w:val="22"/>
          <w:lang w:val="es-ES"/>
        </w:rPr>
        <w:t>Imatinib es una molécula pequeña inhibidora de la proteína tirosina quinasa que inhibe de forma potente la actividad de la tirosina quinasa Bcr-Abl (TK), así como varios receptores TKs: Kit, el receptor para el factor de célula madre (SCF) codificado por el proto-oncogen c-Kit, los receptores del dominio discoidin (DDR1 y DDR2), el receptor del factor estimulante de colonias (CSF-1R) y los receptores alfa y beta del factor de crecimiento derivado de plaquetas (PDG</w:t>
      </w:r>
      <w:smartTag w:uri="urn:schemas-microsoft-com:office:smarttags" w:element="PersonName">
        <w:r w:rsidRPr="002D741C">
          <w:rPr>
            <w:color w:val="000000"/>
            <w:szCs w:val="22"/>
            <w:lang w:val="es-ES"/>
          </w:rPr>
          <w:t>FR</w:t>
        </w:r>
      </w:smartTag>
      <w:r w:rsidRPr="002D741C">
        <w:rPr>
          <w:color w:val="000000"/>
          <w:szCs w:val="22"/>
          <w:lang w:val="es-ES"/>
        </w:rPr>
        <w:t>-alfa y PDG</w:t>
      </w:r>
      <w:smartTag w:uri="urn:schemas-microsoft-com:office:smarttags" w:element="PersonName">
        <w:r w:rsidRPr="002D741C">
          <w:rPr>
            <w:color w:val="000000"/>
            <w:szCs w:val="22"/>
            <w:lang w:val="es-ES"/>
          </w:rPr>
          <w:t>FR</w:t>
        </w:r>
      </w:smartTag>
      <w:r w:rsidRPr="002D741C">
        <w:rPr>
          <w:color w:val="000000"/>
          <w:szCs w:val="22"/>
          <w:lang w:val="es-ES"/>
        </w:rPr>
        <w:t>-beta). Imatinib también puede inhibir los eventos celulares mediados por la activación de estos receptores quinasas.</w:t>
      </w:r>
    </w:p>
    <w:p w14:paraId="185D72B2" w14:textId="77777777" w:rsidR="00C45062" w:rsidRPr="002D741C" w:rsidRDefault="00C45062" w:rsidP="00C45062">
      <w:pPr>
        <w:pStyle w:val="EndnoteText"/>
        <w:widowControl w:val="0"/>
        <w:tabs>
          <w:tab w:val="clear" w:pos="567"/>
        </w:tabs>
        <w:rPr>
          <w:color w:val="000000"/>
          <w:szCs w:val="22"/>
          <w:lang w:val="es-ES"/>
        </w:rPr>
      </w:pPr>
    </w:p>
    <w:p w14:paraId="5405D11B" w14:textId="77777777" w:rsidR="00C45062" w:rsidRPr="002D741C" w:rsidRDefault="00C45062" w:rsidP="00AD13BE">
      <w:pPr>
        <w:pStyle w:val="EndnoteText"/>
        <w:keepNext/>
        <w:widowControl w:val="0"/>
        <w:tabs>
          <w:tab w:val="clear" w:pos="567"/>
        </w:tabs>
        <w:rPr>
          <w:color w:val="000000"/>
          <w:szCs w:val="22"/>
          <w:u w:val="single"/>
          <w:lang w:val="es-ES"/>
        </w:rPr>
      </w:pPr>
      <w:r w:rsidRPr="002D741C">
        <w:rPr>
          <w:color w:val="000000"/>
          <w:szCs w:val="22"/>
          <w:u w:val="single"/>
          <w:lang w:val="es-ES"/>
        </w:rPr>
        <w:t>Efectos farmacodinámicos</w:t>
      </w:r>
    </w:p>
    <w:p w14:paraId="7E33ECB8" w14:textId="77777777" w:rsidR="00C45062" w:rsidRPr="002D741C" w:rsidRDefault="00C45062" w:rsidP="00C45062">
      <w:pPr>
        <w:pStyle w:val="EndnoteText"/>
        <w:widowControl w:val="0"/>
        <w:tabs>
          <w:tab w:val="clear" w:pos="567"/>
        </w:tabs>
        <w:rPr>
          <w:color w:val="000000"/>
          <w:szCs w:val="22"/>
          <w:lang w:val="es-ES"/>
        </w:rPr>
      </w:pPr>
      <w:r w:rsidRPr="002D741C">
        <w:rPr>
          <w:color w:val="000000"/>
          <w:szCs w:val="22"/>
          <w:lang w:val="es-ES"/>
        </w:rPr>
        <w:t xml:space="preserve">Imatinib es un inhibidor de la proteína tirosina-kinasa que inhibe de forma potente </w:t>
      </w:r>
      <w:smartTag w:uri="urn:schemas-microsoft-com:office:smarttags" w:element="PersonName">
        <w:smartTagPr>
          <w:attr w:name="ProductID" w:val="la Bcr-Abl"/>
        </w:smartTagPr>
        <w:r w:rsidRPr="002D741C">
          <w:rPr>
            <w:color w:val="000000"/>
            <w:szCs w:val="22"/>
            <w:lang w:val="es-ES"/>
          </w:rPr>
          <w:t>la Bcr-Abl</w:t>
        </w:r>
      </w:smartTag>
      <w:r w:rsidRPr="002D741C">
        <w:rPr>
          <w:color w:val="000000"/>
          <w:szCs w:val="22"/>
          <w:lang w:val="es-ES"/>
        </w:rPr>
        <w:t xml:space="preserve"> tirosina kinasa </w:t>
      </w:r>
      <w:r w:rsidRPr="002D741C">
        <w:rPr>
          <w:i/>
          <w:color w:val="000000"/>
          <w:szCs w:val="22"/>
          <w:lang w:val="es-ES"/>
        </w:rPr>
        <w:t>in vitro</w:t>
      </w:r>
      <w:r w:rsidRPr="002D741C">
        <w:rPr>
          <w:color w:val="000000"/>
          <w:szCs w:val="22"/>
          <w:lang w:val="es-ES"/>
        </w:rPr>
        <w:t xml:space="preserve">, a nivel celular e </w:t>
      </w:r>
      <w:r w:rsidRPr="002D741C">
        <w:rPr>
          <w:i/>
          <w:color w:val="000000"/>
          <w:szCs w:val="22"/>
          <w:lang w:val="es-ES"/>
        </w:rPr>
        <w:t>in vivo</w:t>
      </w:r>
      <w:r w:rsidRPr="002D741C">
        <w:rPr>
          <w:color w:val="000000"/>
          <w:szCs w:val="22"/>
          <w:lang w:val="es-ES"/>
        </w:rPr>
        <w:t xml:space="preserve">. El compuesto inhibe selectivamente la proliferación e induce la apoptosis en las líneas celulares Bcr-Abl positivo así como en las células leucémicas nuevas de </w:t>
      </w:r>
      <w:smartTag w:uri="urn:schemas-microsoft-com:office:smarttags" w:element="PersonName">
        <w:smartTagPr>
          <w:attr w:name="ProductID" w:val="la LMC"/>
        </w:smartTagPr>
        <w:r w:rsidRPr="002D741C">
          <w:rPr>
            <w:color w:val="000000"/>
            <w:szCs w:val="22"/>
            <w:lang w:val="es-ES"/>
          </w:rPr>
          <w:t>la LMC</w:t>
        </w:r>
      </w:smartTag>
      <w:r w:rsidRPr="002D741C">
        <w:rPr>
          <w:color w:val="000000"/>
          <w:szCs w:val="22"/>
          <w:lang w:val="es-ES"/>
        </w:rPr>
        <w:t xml:space="preserve"> cromosoma Filadelfia positivo y en pacientes con leucemia linfoblástica aguda (LLA).</w:t>
      </w:r>
    </w:p>
    <w:p w14:paraId="290D4EF9" w14:textId="77777777" w:rsidR="00C45062" w:rsidRPr="002D741C" w:rsidRDefault="00C45062" w:rsidP="00C45062">
      <w:pPr>
        <w:pStyle w:val="EndnoteText"/>
        <w:widowControl w:val="0"/>
        <w:tabs>
          <w:tab w:val="clear" w:pos="567"/>
        </w:tabs>
        <w:rPr>
          <w:color w:val="000000"/>
          <w:szCs w:val="22"/>
          <w:lang w:val="es-ES"/>
        </w:rPr>
      </w:pPr>
    </w:p>
    <w:p w14:paraId="7E9B714F" w14:textId="77777777" w:rsidR="00C45062" w:rsidRPr="002D741C" w:rsidRDefault="00C45062" w:rsidP="00C45062">
      <w:pPr>
        <w:pStyle w:val="EndnoteText"/>
        <w:widowControl w:val="0"/>
        <w:tabs>
          <w:tab w:val="clear" w:pos="567"/>
        </w:tabs>
        <w:rPr>
          <w:color w:val="000000"/>
          <w:szCs w:val="22"/>
          <w:lang w:val="es-ES"/>
        </w:rPr>
      </w:pPr>
      <w:r w:rsidRPr="002D741C">
        <w:rPr>
          <w:i/>
          <w:color w:val="000000"/>
          <w:szCs w:val="22"/>
          <w:lang w:val="es-ES"/>
        </w:rPr>
        <w:t>In vivo</w:t>
      </w:r>
      <w:r w:rsidRPr="002D741C">
        <w:rPr>
          <w:color w:val="000000"/>
          <w:szCs w:val="22"/>
          <w:lang w:val="es-ES"/>
        </w:rPr>
        <w:t xml:space="preserve"> el compuesto muestra actividad antitumoral como agente único en modelos animales utilizando células tumorales Bcr-Abl positivos.</w:t>
      </w:r>
    </w:p>
    <w:p w14:paraId="2C56CF26" w14:textId="77777777" w:rsidR="00C45062" w:rsidRPr="002D741C" w:rsidRDefault="00C45062" w:rsidP="00C45062">
      <w:pPr>
        <w:pStyle w:val="EndnoteText"/>
        <w:widowControl w:val="0"/>
        <w:tabs>
          <w:tab w:val="clear" w:pos="567"/>
        </w:tabs>
        <w:rPr>
          <w:color w:val="000000"/>
          <w:szCs w:val="22"/>
          <w:lang w:val="es-ES"/>
        </w:rPr>
      </w:pPr>
    </w:p>
    <w:p w14:paraId="1955AA91" w14:textId="77777777" w:rsidR="00C45062" w:rsidRPr="002D741C" w:rsidRDefault="00C45062" w:rsidP="00C45062">
      <w:pPr>
        <w:pStyle w:val="EndnoteText"/>
        <w:widowControl w:val="0"/>
        <w:tabs>
          <w:tab w:val="clear" w:pos="567"/>
        </w:tabs>
        <w:rPr>
          <w:color w:val="000000"/>
          <w:szCs w:val="22"/>
          <w:lang w:val="es-ES"/>
        </w:rPr>
      </w:pPr>
      <w:r w:rsidRPr="002D741C">
        <w:rPr>
          <w:color w:val="000000"/>
          <w:szCs w:val="22"/>
          <w:lang w:val="es-ES"/>
        </w:rPr>
        <w:t>Imatinib también es un inhibidor del receptor tirosina-kinasa para el factor de crecimiento derivado de plaquetas (PDGF), PDG</w:t>
      </w:r>
      <w:smartTag w:uri="urn:schemas-microsoft-com:office:smarttags" w:element="PersonName">
        <w:r w:rsidRPr="002D741C">
          <w:rPr>
            <w:color w:val="000000"/>
            <w:szCs w:val="22"/>
            <w:lang w:val="es-ES"/>
          </w:rPr>
          <w:t>FR</w:t>
        </w:r>
      </w:smartTag>
      <w:r w:rsidRPr="002D741C">
        <w:rPr>
          <w:color w:val="000000"/>
          <w:szCs w:val="22"/>
          <w:lang w:val="es-ES"/>
        </w:rPr>
        <w:t xml:space="preserve"> y factor de células troncales (FCT), c-Kit e inhibe los procesos celulares mediados por PDGFy FCT. </w:t>
      </w:r>
      <w:r w:rsidRPr="002D741C">
        <w:rPr>
          <w:i/>
          <w:color w:val="000000"/>
          <w:szCs w:val="22"/>
          <w:lang w:val="es-ES"/>
        </w:rPr>
        <w:t>In vitro</w:t>
      </w:r>
      <w:r w:rsidRPr="002D741C">
        <w:rPr>
          <w:color w:val="000000"/>
          <w:szCs w:val="22"/>
          <w:lang w:val="es-ES"/>
        </w:rPr>
        <w:t>, imatinib inhibe la proliferación e induce la apoptosis en las células de tumores del estroma gastrointestinal (G</w:t>
      </w:r>
      <w:smartTag w:uri="urn:schemas-microsoft-com:office:smarttags" w:element="PersonName">
        <w:r w:rsidRPr="002D741C">
          <w:rPr>
            <w:color w:val="000000"/>
            <w:szCs w:val="22"/>
            <w:lang w:val="es-ES"/>
          </w:rPr>
          <w:t>IS</w:t>
        </w:r>
      </w:smartTag>
      <w:r w:rsidRPr="002D741C">
        <w:rPr>
          <w:color w:val="000000"/>
          <w:szCs w:val="22"/>
          <w:lang w:val="es-ES"/>
        </w:rPr>
        <w:t xml:space="preserve">T), las cuales expresan una mutación </w:t>
      </w:r>
      <w:r w:rsidRPr="002D741C">
        <w:rPr>
          <w:i/>
          <w:color w:val="000000"/>
          <w:szCs w:val="22"/>
          <w:lang w:val="es-ES"/>
        </w:rPr>
        <w:t xml:space="preserve">kit </w:t>
      </w:r>
      <w:r w:rsidRPr="002D741C">
        <w:rPr>
          <w:color w:val="000000"/>
          <w:szCs w:val="22"/>
          <w:lang w:val="es-ES"/>
        </w:rPr>
        <w:t xml:space="preserve">activa. En la patogénesis de </w:t>
      </w:r>
      <w:smartTag w:uri="urn:schemas-microsoft-com:office:smarttags" w:element="stockticker">
        <w:r w:rsidRPr="002D741C">
          <w:rPr>
            <w:color w:val="000000"/>
            <w:szCs w:val="22"/>
            <w:lang w:val="es-ES"/>
          </w:rPr>
          <w:t>SMD</w:t>
        </w:r>
      </w:smartTag>
      <w:r w:rsidRPr="002D741C">
        <w:rPr>
          <w:color w:val="000000"/>
          <w:szCs w:val="22"/>
          <w:lang w:val="es-ES"/>
        </w:rPr>
        <w:t>/</w:t>
      </w:r>
      <w:smartTag w:uri="urn:schemas-microsoft-com:office:smarttags" w:element="stockticker">
        <w:r w:rsidRPr="002D741C">
          <w:rPr>
            <w:color w:val="000000"/>
            <w:szCs w:val="22"/>
            <w:lang w:val="es-ES"/>
          </w:rPr>
          <w:t>SMP</w:t>
        </w:r>
      </w:smartTag>
      <w:r w:rsidRPr="002D741C">
        <w:rPr>
          <w:color w:val="000000"/>
          <w:szCs w:val="22"/>
          <w:lang w:val="es-ES"/>
        </w:rPr>
        <w:t>, SHE/LEC y de DFSP se han implicado la activación constitutiva del receptor del PDGF o la proteina Abl tirosina quinasa como consecuencia de la fusión a diferentes proteinas o la producción constitutiva del PDGF. Imatinib inhibe la señal y la proliferación de células generada por una actividad no regulada del PDG</w:t>
      </w:r>
      <w:smartTag w:uri="urn:schemas-microsoft-com:office:smarttags" w:element="PersonName">
        <w:r w:rsidRPr="002D741C">
          <w:rPr>
            <w:color w:val="000000"/>
            <w:szCs w:val="22"/>
            <w:lang w:val="es-ES"/>
          </w:rPr>
          <w:t>FR</w:t>
        </w:r>
      </w:smartTag>
      <w:r w:rsidRPr="002D741C">
        <w:rPr>
          <w:color w:val="000000"/>
          <w:szCs w:val="22"/>
          <w:lang w:val="es-ES"/>
        </w:rPr>
        <w:t xml:space="preserve"> y la actividad quinasa del Abl.</w:t>
      </w:r>
    </w:p>
    <w:p w14:paraId="067D3447" w14:textId="77777777" w:rsidR="00C45062" w:rsidRPr="002D741C" w:rsidRDefault="00C45062" w:rsidP="00C45062">
      <w:pPr>
        <w:pStyle w:val="EndnoteText"/>
        <w:widowControl w:val="0"/>
        <w:tabs>
          <w:tab w:val="clear" w:pos="567"/>
        </w:tabs>
        <w:rPr>
          <w:color w:val="000000"/>
          <w:szCs w:val="22"/>
          <w:lang w:val="es-ES"/>
        </w:rPr>
      </w:pPr>
    </w:p>
    <w:p w14:paraId="0C4B32BB" w14:textId="77777777" w:rsidR="00C45062" w:rsidRPr="002D741C" w:rsidRDefault="00C45062" w:rsidP="00AD13BE">
      <w:pPr>
        <w:pStyle w:val="EndnoteText"/>
        <w:keepNext/>
        <w:widowControl w:val="0"/>
        <w:tabs>
          <w:tab w:val="clear" w:pos="567"/>
        </w:tabs>
        <w:rPr>
          <w:color w:val="000000"/>
          <w:szCs w:val="22"/>
          <w:u w:val="single"/>
          <w:lang w:val="es-ES"/>
        </w:rPr>
      </w:pPr>
      <w:r w:rsidRPr="002D741C">
        <w:rPr>
          <w:color w:val="000000"/>
          <w:szCs w:val="22"/>
          <w:u w:val="single"/>
          <w:lang w:val="es-ES"/>
        </w:rPr>
        <w:t>Ensayos clínicos en leucemia mieloide crónica</w:t>
      </w:r>
    </w:p>
    <w:p w14:paraId="3BE5E67B" w14:textId="77777777" w:rsidR="00C45062" w:rsidRPr="002D741C" w:rsidRDefault="00C45062" w:rsidP="00C45062">
      <w:pPr>
        <w:pStyle w:val="EndnoteText"/>
        <w:widowControl w:val="0"/>
        <w:tabs>
          <w:tab w:val="clear" w:pos="567"/>
        </w:tabs>
        <w:rPr>
          <w:color w:val="000000"/>
          <w:szCs w:val="22"/>
          <w:lang w:val="es-ES"/>
        </w:rPr>
      </w:pPr>
      <w:r w:rsidRPr="002D741C">
        <w:rPr>
          <w:color w:val="000000"/>
          <w:szCs w:val="22"/>
          <w:lang w:val="es-ES"/>
        </w:rPr>
        <w:t>La efectividad de Glivec se basa en las tasas de respuesta hematológica y citogenética globales y supervivencia libre de progresión. Excepto en LMC en fase crónica, de diagnóstico reciente, no existen ensayos controlados que demuestren el beneficio clínico, tales como mejora de los síntomas relacionados con la enfermedad o el aumento de la supervivencia.</w:t>
      </w:r>
    </w:p>
    <w:p w14:paraId="7DC7DF83" w14:textId="77777777" w:rsidR="00C45062" w:rsidRPr="002D741C" w:rsidRDefault="00C45062" w:rsidP="00C45062">
      <w:pPr>
        <w:pStyle w:val="EndnoteText"/>
        <w:widowControl w:val="0"/>
        <w:tabs>
          <w:tab w:val="clear" w:pos="567"/>
        </w:tabs>
        <w:rPr>
          <w:color w:val="000000"/>
          <w:szCs w:val="22"/>
          <w:lang w:val="es-ES"/>
        </w:rPr>
      </w:pPr>
    </w:p>
    <w:p w14:paraId="77D694D4" w14:textId="77777777" w:rsidR="00C45062" w:rsidRPr="002D741C" w:rsidRDefault="00C45062" w:rsidP="00C45062">
      <w:pPr>
        <w:pStyle w:val="EndnoteText"/>
        <w:widowControl w:val="0"/>
        <w:tabs>
          <w:tab w:val="clear" w:pos="567"/>
        </w:tabs>
        <w:rPr>
          <w:color w:val="000000"/>
          <w:szCs w:val="22"/>
          <w:lang w:val="es-ES"/>
        </w:rPr>
      </w:pPr>
      <w:r w:rsidRPr="002D741C">
        <w:rPr>
          <w:color w:val="000000"/>
          <w:szCs w:val="22"/>
          <w:lang w:val="es-ES"/>
        </w:rPr>
        <w:t>Tres grandes ensayos fase II, internacionales, abiertos, no controlados se llevaron a cabo en pacientes con LMC cromosoma Filadelfia positivo (Ph +), en fase avanzada de la enfermedad, crisis blástica o fase acelerada, otras leucemias Ph + o con LMC en fase crónica en los que había fallado la terapia con interferón-alfa (IFN). Se ha realizado un gran ensayo internacional, abierto, multicéntrico, aleatorizado, fase </w:t>
      </w:r>
      <w:smartTag w:uri="urn:schemas-microsoft-com:office:smarttags" w:element="stockticker">
        <w:r w:rsidRPr="002D741C">
          <w:rPr>
            <w:color w:val="000000"/>
            <w:szCs w:val="22"/>
            <w:lang w:val="es-ES"/>
          </w:rPr>
          <w:t>III</w:t>
        </w:r>
      </w:smartTag>
      <w:r w:rsidRPr="002D741C">
        <w:rPr>
          <w:color w:val="000000"/>
          <w:szCs w:val="22"/>
          <w:lang w:val="es-ES"/>
        </w:rPr>
        <w:t xml:space="preserve"> en pacientes con LMC Ph+ de diagnóstico reciente. Además, se han tratado niños en dos ensayos fase I y un ensayo fase II.</w:t>
      </w:r>
    </w:p>
    <w:p w14:paraId="7E188D1C" w14:textId="77777777" w:rsidR="00C45062" w:rsidRPr="002D741C" w:rsidRDefault="00C45062" w:rsidP="00C45062">
      <w:pPr>
        <w:pStyle w:val="EndnoteText"/>
        <w:widowControl w:val="0"/>
        <w:tabs>
          <w:tab w:val="clear" w:pos="567"/>
        </w:tabs>
        <w:rPr>
          <w:color w:val="000000"/>
          <w:szCs w:val="22"/>
          <w:lang w:val="es-ES"/>
        </w:rPr>
      </w:pPr>
    </w:p>
    <w:p w14:paraId="0EEA745E" w14:textId="77777777" w:rsidR="00C45062" w:rsidRPr="002D741C" w:rsidRDefault="00C45062" w:rsidP="00C45062">
      <w:pPr>
        <w:pStyle w:val="EndnoteText"/>
        <w:widowControl w:val="0"/>
        <w:tabs>
          <w:tab w:val="clear" w:pos="567"/>
        </w:tabs>
        <w:rPr>
          <w:color w:val="000000"/>
          <w:szCs w:val="22"/>
          <w:lang w:val="es-ES"/>
        </w:rPr>
      </w:pPr>
      <w:r w:rsidRPr="002D741C">
        <w:rPr>
          <w:color w:val="000000"/>
          <w:szCs w:val="22"/>
          <w:lang w:val="es-ES"/>
        </w:rPr>
        <w:t xml:space="preserve">En todos los ensayos clínicos el 38–40% de los pacientes eran </w:t>
      </w:r>
      <w:r w:rsidRPr="002D741C">
        <w:rPr>
          <w:color w:val="000000"/>
          <w:szCs w:val="22"/>
          <w:lang w:val="es-ES"/>
        </w:rPr>
        <w:sym w:font="Symbol" w:char="F0B3"/>
      </w:r>
      <w:r w:rsidRPr="002D741C">
        <w:rPr>
          <w:color w:val="000000"/>
          <w:szCs w:val="22"/>
          <w:lang w:val="es-ES"/>
        </w:rPr>
        <w:t xml:space="preserve"> 60 años y el 10–12% de los pacientes eran </w:t>
      </w:r>
      <w:r w:rsidRPr="002D741C">
        <w:rPr>
          <w:color w:val="000000"/>
          <w:szCs w:val="22"/>
          <w:lang w:val="es-ES"/>
        </w:rPr>
        <w:sym w:font="Symbol" w:char="F0B3"/>
      </w:r>
      <w:r w:rsidRPr="002D741C">
        <w:rPr>
          <w:color w:val="000000"/>
          <w:szCs w:val="22"/>
          <w:lang w:val="es-ES"/>
        </w:rPr>
        <w:t> 70 años.</w:t>
      </w:r>
    </w:p>
    <w:p w14:paraId="537F041A" w14:textId="77777777" w:rsidR="00C45062" w:rsidRPr="002D741C" w:rsidRDefault="00C45062" w:rsidP="00C45062">
      <w:pPr>
        <w:pStyle w:val="EndnoteText"/>
        <w:widowControl w:val="0"/>
        <w:tabs>
          <w:tab w:val="clear" w:pos="567"/>
        </w:tabs>
        <w:rPr>
          <w:color w:val="000000"/>
          <w:szCs w:val="22"/>
          <w:lang w:val="es-ES"/>
        </w:rPr>
      </w:pPr>
    </w:p>
    <w:p w14:paraId="4ACD3E00" w14:textId="77777777" w:rsidR="00C45062" w:rsidRPr="002D741C" w:rsidRDefault="00C45062" w:rsidP="00C45062">
      <w:pPr>
        <w:pStyle w:val="EndnoteText"/>
        <w:widowControl w:val="0"/>
        <w:tabs>
          <w:tab w:val="clear" w:pos="567"/>
        </w:tabs>
        <w:rPr>
          <w:color w:val="000000"/>
          <w:szCs w:val="22"/>
          <w:lang w:val="es-ES"/>
        </w:rPr>
      </w:pPr>
      <w:r w:rsidRPr="002D741C">
        <w:rPr>
          <w:i/>
          <w:color w:val="000000"/>
          <w:szCs w:val="22"/>
          <w:lang w:val="es-ES"/>
        </w:rPr>
        <w:t>Fase crónica, diagnóstico reciente:</w:t>
      </w:r>
      <w:r w:rsidRPr="002D741C">
        <w:rPr>
          <w:color w:val="000000"/>
          <w:szCs w:val="22"/>
          <w:lang w:val="es-ES"/>
        </w:rPr>
        <w:t xml:space="preserve"> Este ensayo fase </w:t>
      </w:r>
      <w:smartTag w:uri="urn:schemas-microsoft-com:office:smarttags" w:element="stockticker">
        <w:r w:rsidRPr="002D741C">
          <w:rPr>
            <w:color w:val="000000"/>
            <w:szCs w:val="22"/>
            <w:lang w:val="es-ES"/>
          </w:rPr>
          <w:t>III</w:t>
        </w:r>
      </w:smartTag>
      <w:r w:rsidRPr="002D741C">
        <w:rPr>
          <w:color w:val="000000"/>
          <w:szCs w:val="22"/>
          <w:lang w:val="es-ES"/>
        </w:rPr>
        <w:t xml:space="preserve"> en pacientes adultos comparó el tratamiento con Glivec como agente único frente a una combinación de interferón-alfa (IFN) junto con citarabina (Ara-C). Los pacientes que mostraron una ausencia de respuesta (ausencia de respuesta hematológica completa (RHC) a los 6 meses, aumento de recuento de leucocitos, ausencia de respuesta citogenética mayor (RCM) a los 24 meses), pérdida de respuesta (pérdida de RHC o RCM) o intolerancia grave al tratamiento pudieron cruzar al brazo de tratamiento alternativo. En el brazo de Glivec, los pacientes fueron tratados con 400 mg al día. En el brazo de IFN, los pacientes fueron tratados con una dosis </w:t>
      </w:r>
      <w:r w:rsidRPr="002D741C">
        <w:rPr>
          <w:color w:val="000000"/>
          <w:szCs w:val="22"/>
          <w:lang w:val="es-ES"/>
        </w:rPr>
        <w:lastRenderedPageBreak/>
        <w:t>diana de IFN de 5 </w:t>
      </w:r>
      <w:smartTag w:uri="urn:schemas-microsoft-com:office:smarttags" w:element="stockticker">
        <w:r w:rsidRPr="002D741C">
          <w:rPr>
            <w:color w:val="000000"/>
            <w:szCs w:val="22"/>
            <w:lang w:val="es-ES"/>
          </w:rPr>
          <w:t>MUI</w:t>
        </w:r>
      </w:smartTag>
      <w:r w:rsidRPr="002D741C">
        <w:rPr>
          <w:color w:val="000000"/>
          <w:szCs w:val="22"/>
          <w:lang w:val="es-ES"/>
        </w:rPr>
        <w:t>/m</w:t>
      </w:r>
      <w:r w:rsidRPr="002D741C">
        <w:rPr>
          <w:color w:val="000000"/>
          <w:szCs w:val="22"/>
          <w:vertAlign w:val="superscript"/>
          <w:lang w:val="es-ES"/>
        </w:rPr>
        <w:t>2</w:t>
      </w:r>
      <w:r w:rsidRPr="002D741C">
        <w:rPr>
          <w:color w:val="000000"/>
          <w:szCs w:val="22"/>
          <w:lang w:val="es-ES"/>
        </w:rPr>
        <w:t>/día subcutánea en combinación con Ara-C 20 mg/m</w:t>
      </w:r>
      <w:r w:rsidRPr="002D741C">
        <w:rPr>
          <w:color w:val="000000"/>
          <w:szCs w:val="22"/>
          <w:vertAlign w:val="superscript"/>
          <w:lang w:val="es-ES"/>
        </w:rPr>
        <w:t>2</w:t>
      </w:r>
      <w:r w:rsidRPr="002D741C">
        <w:rPr>
          <w:color w:val="000000"/>
          <w:szCs w:val="22"/>
          <w:lang w:val="es-ES"/>
        </w:rPr>
        <w:t>/día subcutánea durante 10 días/mes.</w:t>
      </w:r>
    </w:p>
    <w:p w14:paraId="3ED056B3" w14:textId="77777777" w:rsidR="00C45062" w:rsidRPr="002D741C" w:rsidRDefault="00C45062" w:rsidP="00C45062">
      <w:pPr>
        <w:pStyle w:val="EndnoteText"/>
        <w:widowControl w:val="0"/>
        <w:tabs>
          <w:tab w:val="clear" w:pos="567"/>
        </w:tabs>
        <w:rPr>
          <w:color w:val="000000"/>
          <w:szCs w:val="22"/>
          <w:lang w:val="es-ES"/>
        </w:rPr>
      </w:pPr>
    </w:p>
    <w:p w14:paraId="599ADC8E" w14:textId="77777777" w:rsidR="00C45062" w:rsidRPr="002D741C" w:rsidRDefault="00C45062" w:rsidP="00C45062">
      <w:pPr>
        <w:pStyle w:val="EndnoteText"/>
        <w:widowControl w:val="0"/>
        <w:tabs>
          <w:tab w:val="clear" w:pos="567"/>
        </w:tabs>
        <w:rPr>
          <w:color w:val="000000"/>
          <w:szCs w:val="22"/>
          <w:lang w:val="es-ES"/>
        </w:rPr>
      </w:pPr>
      <w:r w:rsidRPr="002D741C">
        <w:rPr>
          <w:color w:val="000000"/>
          <w:szCs w:val="22"/>
          <w:lang w:val="es-ES"/>
        </w:rPr>
        <w:t xml:space="preserve">Se aleatorizaron un total de 1.106 pacientes, 553 en cada brazo. Las características basales estaban bien equilibradas entre los dos brazos. La mediana de edad fue de 51 años (rango 18–70 años), con un 21,9% de los pacientes </w:t>
      </w:r>
      <w:r w:rsidRPr="002D741C">
        <w:rPr>
          <w:color w:val="000000"/>
          <w:szCs w:val="22"/>
          <w:lang w:val="es-ES"/>
        </w:rPr>
        <w:sym w:font="Symbol" w:char="F0B3"/>
      </w:r>
      <w:r w:rsidRPr="002D741C">
        <w:rPr>
          <w:color w:val="000000"/>
          <w:szCs w:val="22"/>
          <w:lang w:val="es-ES"/>
        </w:rPr>
        <w:t xml:space="preserve"> 60 años de edad. Hubo un 59% de hombres y un 41% de mujeres; los pacientes eran en un 89,9% caucasianos y en un 4,7% negros. Siete años después de la inclusión del último paciente, la mediana de duración del tratamiento de primera línea fue de 82 y 8 meses en los brazos de Glivec e IFN, respectivamente. La mediana de duración del tratamiento con Glivec como segunda línea fue de 64 meses. En total, en pacientes en tratamiento con Glivec en primera linea, la dosis diaria media administrada fue de </w:t>
      </w:r>
      <w:r w:rsidRPr="002D741C">
        <w:rPr>
          <w:color w:val="000000"/>
          <w:szCs w:val="22"/>
          <w:lang w:val="es-ES_tradnl"/>
        </w:rPr>
        <w:t>406 ± 76 mg.</w:t>
      </w:r>
      <w:r w:rsidRPr="002D741C">
        <w:rPr>
          <w:color w:val="000000"/>
          <w:szCs w:val="22"/>
          <w:lang w:val="es-ES"/>
        </w:rPr>
        <w:t xml:space="preserve"> El objetivo de eficacia primario del estudio es la supervivencia sin progresión. Se definió progresión como cualquiera de los acontecimientos siguientes: progresión a fase acelerada o crisis blástica, muerte, pérdida de RHC o RCM, o en pacientes que no alcanzaron un RHC un aumento de leucocitos a pesar de un manejo terapéutico apropiado. Los principales objetivos secundarios son una respuesta citogenética mayor, una respuesta hematológica, una respuesta molecular (evaluación de la enfermedad residual mínima) el tiempo hasta fase acelerada o crisis blástica y la supervivencia. Los datos de respuesta se muestran en </w:t>
      </w:r>
      <w:smartTag w:uri="urn:schemas-microsoft-com:office:smarttags" w:element="PersonName">
        <w:smartTagPr>
          <w:attr w:name="ProductID" w:val="la Tabla"/>
        </w:smartTagPr>
        <w:r w:rsidRPr="002D741C">
          <w:rPr>
            <w:color w:val="000000"/>
            <w:szCs w:val="22"/>
            <w:lang w:val="es-ES"/>
          </w:rPr>
          <w:t>la Tabla</w:t>
        </w:r>
      </w:smartTag>
      <w:r w:rsidRPr="002D741C">
        <w:rPr>
          <w:color w:val="000000"/>
          <w:szCs w:val="22"/>
          <w:lang w:val="es-ES"/>
        </w:rPr>
        <w:t> </w:t>
      </w:r>
      <w:r w:rsidR="00483CB7" w:rsidRPr="002D741C">
        <w:rPr>
          <w:color w:val="000000"/>
          <w:szCs w:val="22"/>
          <w:lang w:val="es-ES"/>
        </w:rPr>
        <w:t>2</w:t>
      </w:r>
      <w:r w:rsidRPr="002D741C">
        <w:rPr>
          <w:color w:val="000000"/>
          <w:szCs w:val="22"/>
          <w:lang w:val="es-ES"/>
        </w:rPr>
        <w:t>.</w:t>
      </w:r>
    </w:p>
    <w:p w14:paraId="250C1106" w14:textId="77777777" w:rsidR="00C45062" w:rsidRPr="002D741C" w:rsidRDefault="00C45062" w:rsidP="00C45062">
      <w:pPr>
        <w:pStyle w:val="EndnoteText"/>
        <w:widowControl w:val="0"/>
        <w:tabs>
          <w:tab w:val="clear" w:pos="567"/>
        </w:tabs>
        <w:rPr>
          <w:color w:val="000000"/>
          <w:szCs w:val="22"/>
          <w:lang w:val="es-ES"/>
        </w:rPr>
      </w:pPr>
    </w:p>
    <w:p w14:paraId="5AF5DA0F" w14:textId="77777777" w:rsidR="00C45062" w:rsidRPr="002D741C" w:rsidRDefault="00C45062" w:rsidP="00AD13BE">
      <w:pPr>
        <w:pStyle w:val="EndnoteText"/>
        <w:keepNext/>
        <w:widowControl w:val="0"/>
        <w:tabs>
          <w:tab w:val="clear" w:pos="567"/>
          <w:tab w:val="left" w:pos="1134"/>
        </w:tabs>
        <w:rPr>
          <w:b/>
          <w:color w:val="000000"/>
          <w:szCs w:val="22"/>
          <w:lang w:val="es-ES_tradnl"/>
        </w:rPr>
      </w:pPr>
      <w:r w:rsidRPr="002D741C">
        <w:rPr>
          <w:b/>
          <w:color w:val="000000"/>
          <w:szCs w:val="22"/>
          <w:lang w:val="es-ES_tradnl"/>
        </w:rPr>
        <w:t>Tabla </w:t>
      </w:r>
      <w:r w:rsidR="00483CB7" w:rsidRPr="002D741C">
        <w:rPr>
          <w:b/>
          <w:color w:val="000000"/>
          <w:szCs w:val="22"/>
          <w:lang w:val="es-ES_tradnl"/>
        </w:rPr>
        <w:t>2</w:t>
      </w:r>
      <w:r w:rsidRPr="002D741C">
        <w:rPr>
          <w:b/>
          <w:color w:val="000000"/>
          <w:szCs w:val="22"/>
          <w:lang w:val="es-ES_tradnl"/>
        </w:rPr>
        <w:tab/>
        <w:t>Respuesta en el ensayo en LMC de diagnóstico reciente (datos a 84 meses)</w:t>
      </w:r>
    </w:p>
    <w:p w14:paraId="24BB6B36" w14:textId="77777777" w:rsidR="00C45062" w:rsidRPr="002D741C" w:rsidRDefault="00C45062" w:rsidP="00AD13BE">
      <w:pPr>
        <w:pStyle w:val="EndnoteText"/>
        <w:keepNext/>
        <w:widowControl w:val="0"/>
        <w:rPr>
          <w:color w:val="000000"/>
          <w:szCs w:val="22"/>
          <w:lang w:val="es-ES_tradnl"/>
        </w:rPr>
      </w:pPr>
    </w:p>
    <w:tbl>
      <w:tblPr>
        <w:tblW w:w="0" w:type="auto"/>
        <w:tblBorders>
          <w:top w:val="single" w:sz="4" w:space="0" w:color="auto"/>
          <w:left w:val="single" w:sz="4" w:space="0" w:color="auto"/>
          <w:bottom w:val="single" w:sz="4" w:space="0" w:color="auto"/>
        </w:tblBorders>
        <w:tblLayout w:type="fixed"/>
        <w:tblLook w:val="0000" w:firstRow="0" w:lastRow="0" w:firstColumn="0" w:lastColumn="0" w:noHBand="0" w:noVBand="0"/>
      </w:tblPr>
      <w:tblGrid>
        <w:gridCol w:w="3794"/>
        <w:gridCol w:w="2693"/>
        <w:gridCol w:w="2718"/>
      </w:tblGrid>
      <w:tr w:rsidR="00C45062" w:rsidRPr="002D741C" w14:paraId="7E6DEF4D" w14:textId="77777777" w:rsidTr="00AD13BE">
        <w:trPr>
          <w:cantSplit/>
        </w:trPr>
        <w:tc>
          <w:tcPr>
            <w:tcW w:w="3794" w:type="dxa"/>
            <w:tcBorders>
              <w:top w:val="single" w:sz="4" w:space="0" w:color="auto"/>
              <w:left w:val="single" w:sz="4" w:space="0" w:color="auto"/>
              <w:bottom w:val="nil"/>
            </w:tcBorders>
          </w:tcPr>
          <w:p w14:paraId="450CB076" w14:textId="77777777" w:rsidR="00C45062" w:rsidRPr="002D741C" w:rsidRDefault="00C45062" w:rsidP="00AD13BE">
            <w:pPr>
              <w:pStyle w:val="Table"/>
              <w:keepLines w:val="0"/>
              <w:widowControl w:val="0"/>
              <w:spacing w:before="0" w:after="0"/>
              <w:rPr>
                <w:rFonts w:ascii="Times New Roman" w:hAnsi="Times New Roman"/>
                <w:color w:val="000000"/>
                <w:sz w:val="22"/>
                <w:szCs w:val="22"/>
                <w:lang w:val="es-ES_tradnl"/>
              </w:rPr>
            </w:pPr>
          </w:p>
        </w:tc>
        <w:tc>
          <w:tcPr>
            <w:tcW w:w="2693" w:type="dxa"/>
            <w:tcBorders>
              <w:top w:val="single" w:sz="4" w:space="0" w:color="auto"/>
              <w:bottom w:val="nil"/>
            </w:tcBorders>
          </w:tcPr>
          <w:p w14:paraId="12DA8167" w14:textId="77777777" w:rsidR="00C45062" w:rsidRPr="002D741C" w:rsidRDefault="00C45062" w:rsidP="00AD13BE">
            <w:pPr>
              <w:pStyle w:val="Table"/>
              <w:keepLines w:val="0"/>
              <w:widowControl w:val="0"/>
              <w:spacing w:before="0" w:after="0"/>
              <w:jc w:val="center"/>
              <w:rPr>
                <w:rFonts w:ascii="Times New Roman" w:hAnsi="Times New Roman"/>
                <w:b/>
                <w:color w:val="000000"/>
                <w:sz w:val="22"/>
                <w:szCs w:val="22"/>
              </w:rPr>
            </w:pPr>
            <w:r w:rsidRPr="002D741C">
              <w:rPr>
                <w:rFonts w:ascii="Times New Roman" w:hAnsi="Times New Roman"/>
                <w:b/>
                <w:color w:val="000000"/>
                <w:sz w:val="22"/>
                <w:szCs w:val="22"/>
              </w:rPr>
              <w:t>Glivec</w:t>
            </w:r>
          </w:p>
        </w:tc>
        <w:tc>
          <w:tcPr>
            <w:tcW w:w="2718" w:type="dxa"/>
            <w:tcBorders>
              <w:top w:val="single" w:sz="4" w:space="0" w:color="auto"/>
              <w:bottom w:val="nil"/>
              <w:right w:val="single" w:sz="4" w:space="0" w:color="auto"/>
            </w:tcBorders>
          </w:tcPr>
          <w:p w14:paraId="63A2FA6C" w14:textId="77777777" w:rsidR="00C45062" w:rsidRPr="002D741C" w:rsidRDefault="00C45062" w:rsidP="00AD13BE">
            <w:pPr>
              <w:pStyle w:val="Table"/>
              <w:keepLines w:val="0"/>
              <w:widowControl w:val="0"/>
              <w:spacing w:before="0" w:after="0"/>
              <w:jc w:val="center"/>
              <w:rPr>
                <w:rFonts w:ascii="Times New Roman" w:hAnsi="Times New Roman"/>
                <w:b/>
                <w:color w:val="000000"/>
                <w:sz w:val="22"/>
                <w:szCs w:val="22"/>
              </w:rPr>
            </w:pPr>
            <w:r w:rsidRPr="002D741C">
              <w:rPr>
                <w:rFonts w:ascii="Times New Roman" w:hAnsi="Times New Roman"/>
                <w:b/>
                <w:color w:val="000000"/>
                <w:sz w:val="22"/>
                <w:szCs w:val="22"/>
              </w:rPr>
              <w:t>IFN+Ara-C</w:t>
            </w:r>
          </w:p>
        </w:tc>
      </w:tr>
      <w:tr w:rsidR="00C45062" w:rsidRPr="002D741C" w14:paraId="3CABF3D7" w14:textId="77777777" w:rsidTr="00AD13BE">
        <w:trPr>
          <w:cantSplit/>
        </w:trPr>
        <w:tc>
          <w:tcPr>
            <w:tcW w:w="3794" w:type="dxa"/>
            <w:tcBorders>
              <w:top w:val="nil"/>
              <w:left w:val="single" w:sz="4" w:space="0" w:color="auto"/>
              <w:bottom w:val="single" w:sz="4" w:space="0" w:color="auto"/>
            </w:tcBorders>
          </w:tcPr>
          <w:p w14:paraId="5A8256A8" w14:textId="77777777" w:rsidR="00C45062" w:rsidRPr="002D741C" w:rsidRDefault="00C45062" w:rsidP="00AD13BE">
            <w:pPr>
              <w:pStyle w:val="Table"/>
              <w:keepLines w:val="0"/>
              <w:widowControl w:val="0"/>
              <w:spacing w:before="0" w:after="0"/>
              <w:rPr>
                <w:rFonts w:ascii="Times New Roman" w:hAnsi="Times New Roman"/>
                <w:b/>
                <w:color w:val="000000"/>
                <w:sz w:val="22"/>
                <w:szCs w:val="22"/>
              </w:rPr>
            </w:pPr>
            <w:r w:rsidRPr="002D741C">
              <w:rPr>
                <w:rFonts w:ascii="Times New Roman" w:hAnsi="Times New Roman"/>
                <w:b/>
                <w:color w:val="000000"/>
                <w:sz w:val="22"/>
                <w:szCs w:val="22"/>
              </w:rPr>
              <w:t>(Mejores tasas de respuesta)</w:t>
            </w:r>
          </w:p>
        </w:tc>
        <w:tc>
          <w:tcPr>
            <w:tcW w:w="2693" w:type="dxa"/>
            <w:tcBorders>
              <w:top w:val="nil"/>
              <w:bottom w:val="single" w:sz="4" w:space="0" w:color="auto"/>
            </w:tcBorders>
          </w:tcPr>
          <w:p w14:paraId="55434445" w14:textId="77777777" w:rsidR="00C45062" w:rsidRPr="002D741C" w:rsidRDefault="00C45062" w:rsidP="00AD13BE">
            <w:pPr>
              <w:pStyle w:val="Table"/>
              <w:keepLines w:val="0"/>
              <w:widowControl w:val="0"/>
              <w:spacing w:before="0" w:after="0"/>
              <w:jc w:val="center"/>
              <w:rPr>
                <w:rFonts w:ascii="Times New Roman" w:hAnsi="Times New Roman"/>
                <w:color w:val="000000"/>
                <w:sz w:val="22"/>
                <w:szCs w:val="22"/>
              </w:rPr>
            </w:pPr>
            <w:r w:rsidRPr="002D741C">
              <w:rPr>
                <w:rFonts w:ascii="Times New Roman" w:hAnsi="Times New Roman"/>
                <w:color w:val="000000"/>
                <w:sz w:val="22"/>
                <w:szCs w:val="22"/>
              </w:rPr>
              <w:t>n=553</w:t>
            </w:r>
          </w:p>
        </w:tc>
        <w:tc>
          <w:tcPr>
            <w:tcW w:w="2718" w:type="dxa"/>
            <w:tcBorders>
              <w:top w:val="nil"/>
              <w:bottom w:val="single" w:sz="4" w:space="0" w:color="auto"/>
              <w:right w:val="single" w:sz="4" w:space="0" w:color="auto"/>
            </w:tcBorders>
          </w:tcPr>
          <w:p w14:paraId="109EF1B9" w14:textId="77777777" w:rsidR="00C45062" w:rsidRPr="002D741C" w:rsidRDefault="00C45062" w:rsidP="00AD13BE">
            <w:pPr>
              <w:pStyle w:val="Table"/>
              <w:keepLines w:val="0"/>
              <w:widowControl w:val="0"/>
              <w:spacing w:before="0" w:after="0"/>
              <w:jc w:val="center"/>
              <w:rPr>
                <w:rFonts w:ascii="Times New Roman" w:hAnsi="Times New Roman"/>
                <w:color w:val="000000"/>
                <w:sz w:val="22"/>
                <w:szCs w:val="22"/>
              </w:rPr>
            </w:pPr>
            <w:r w:rsidRPr="002D741C">
              <w:rPr>
                <w:rFonts w:ascii="Times New Roman" w:hAnsi="Times New Roman"/>
                <w:color w:val="000000"/>
                <w:sz w:val="22"/>
                <w:szCs w:val="22"/>
              </w:rPr>
              <w:t>n=553</w:t>
            </w:r>
          </w:p>
        </w:tc>
      </w:tr>
      <w:tr w:rsidR="00C45062" w:rsidRPr="002D741C" w14:paraId="4A8EF0C9" w14:textId="77777777" w:rsidTr="00AD13BE">
        <w:trPr>
          <w:cantSplit/>
        </w:trPr>
        <w:tc>
          <w:tcPr>
            <w:tcW w:w="3794" w:type="dxa"/>
            <w:tcBorders>
              <w:top w:val="nil"/>
              <w:left w:val="single" w:sz="4" w:space="0" w:color="auto"/>
            </w:tcBorders>
          </w:tcPr>
          <w:p w14:paraId="2BB64A56" w14:textId="77777777" w:rsidR="00C45062" w:rsidRPr="002D741C" w:rsidRDefault="00C45062" w:rsidP="00AD13BE">
            <w:pPr>
              <w:pStyle w:val="Table"/>
              <w:keepLines w:val="0"/>
              <w:widowControl w:val="0"/>
              <w:spacing w:before="0" w:after="0"/>
              <w:rPr>
                <w:rFonts w:ascii="Times New Roman" w:hAnsi="Times New Roman"/>
                <w:b/>
                <w:color w:val="000000"/>
                <w:sz w:val="22"/>
                <w:szCs w:val="22"/>
              </w:rPr>
            </w:pPr>
            <w:r w:rsidRPr="002D741C">
              <w:rPr>
                <w:rFonts w:ascii="Times New Roman" w:hAnsi="Times New Roman"/>
                <w:b/>
                <w:color w:val="000000"/>
                <w:sz w:val="22"/>
                <w:szCs w:val="22"/>
              </w:rPr>
              <w:t>Respuesta hematológica</w:t>
            </w:r>
          </w:p>
        </w:tc>
        <w:tc>
          <w:tcPr>
            <w:tcW w:w="2693" w:type="dxa"/>
            <w:tcBorders>
              <w:top w:val="nil"/>
            </w:tcBorders>
          </w:tcPr>
          <w:p w14:paraId="0B4E86CF" w14:textId="77777777" w:rsidR="00C45062" w:rsidRPr="002D741C" w:rsidRDefault="00C45062" w:rsidP="00AD13BE">
            <w:pPr>
              <w:pStyle w:val="Table"/>
              <w:keepLines w:val="0"/>
              <w:widowControl w:val="0"/>
              <w:spacing w:before="0" w:after="0"/>
              <w:jc w:val="center"/>
              <w:rPr>
                <w:rFonts w:ascii="Times New Roman" w:hAnsi="Times New Roman"/>
                <w:b/>
                <w:color w:val="000000"/>
                <w:sz w:val="22"/>
                <w:szCs w:val="22"/>
              </w:rPr>
            </w:pPr>
          </w:p>
        </w:tc>
        <w:tc>
          <w:tcPr>
            <w:tcW w:w="2718" w:type="dxa"/>
            <w:tcBorders>
              <w:top w:val="nil"/>
              <w:right w:val="single" w:sz="4" w:space="0" w:color="auto"/>
            </w:tcBorders>
          </w:tcPr>
          <w:p w14:paraId="5E966433" w14:textId="77777777" w:rsidR="00C45062" w:rsidRPr="002D741C" w:rsidRDefault="00C45062" w:rsidP="00AD13BE">
            <w:pPr>
              <w:pStyle w:val="Table"/>
              <w:keepLines w:val="0"/>
              <w:widowControl w:val="0"/>
              <w:spacing w:before="0" w:after="0"/>
              <w:jc w:val="center"/>
              <w:rPr>
                <w:rFonts w:ascii="Times New Roman" w:hAnsi="Times New Roman"/>
                <w:b/>
                <w:color w:val="000000"/>
                <w:sz w:val="22"/>
                <w:szCs w:val="22"/>
              </w:rPr>
            </w:pPr>
          </w:p>
        </w:tc>
      </w:tr>
      <w:tr w:rsidR="00C45062" w:rsidRPr="002D741C" w14:paraId="43676F67" w14:textId="77777777" w:rsidTr="00AD13BE">
        <w:trPr>
          <w:cantSplit/>
        </w:trPr>
        <w:tc>
          <w:tcPr>
            <w:tcW w:w="3794" w:type="dxa"/>
            <w:tcBorders>
              <w:top w:val="nil"/>
              <w:left w:val="single" w:sz="4" w:space="0" w:color="auto"/>
            </w:tcBorders>
          </w:tcPr>
          <w:p w14:paraId="68B83D50" w14:textId="77777777" w:rsidR="00C45062" w:rsidRPr="002D741C" w:rsidRDefault="00C45062" w:rsidP="00AD13BE">
            <w:pPr>
              <w:pStyle w:val="Table"/>
              <w:keepLines w:val="0"/>
              <w:widowControl w:val="0"/>
              <w:spacing w:before="0" w:after="0"/>
              <w:rPr>
                <w:rFonts w:ascii="Times New Roman" w:hAnsi="Times New Roman"/>
                <w:color w:val="000000"/>
                <w:sz w:val="22"/>
                <w:szCs w:val="22"/>
              </w:rPr>
            </w:pPr>
            <w:r w:rsidRPr="002D741C">
              <w:rPr>
                <w:rFonts w:ascii="Times New Roman" w:hAnsi="Times New Roman"/>
                <w:color w:val="000000"/>
                <w:sz w:val="22"/>
                <w:szCs w:val="22"/>
              </w:rPr>
              <w:t>Tasa RHC n (%)</w:t>
            </w:r>
          </w:p>
        </w:tc>
        <w:tc>
          <w:tcPr>
            <w:tcW w:w="2693" w:type="dxa"/>
            <w:tcBorders>
              <w:top w:val="nil"/>
            </w:tcBorders>
          </w:tcPr>
          <w:p w14:paraId="7F150E49" w14:textId="77777777" w:rsidR="00C45062" w:rsidRPr="002D741C" w:rsidRDefault="00C45062" w:rsidP="00AD13BE">
            <w:pPr>
              <w:pStyle w:val="Table"/>
              <w:keepLines w:val="0"/>
              <w:widowControl w:val="0"/>
              <w:spacing w:before="0" w:after="0"/>
              <w:jc w:val="center"/>
              <w:rPr>
                <w:rFonts w:ascii="Times New Roman" w:hAnsi="Times New Roman"/>
                <w:color w:val="000000"/>
                <w:sz w:val="22"/>
                <w:szCs w:val="22"/>
              </w:rPr>
            </w:pPr>
            <w:r w:rsidRPr="002D741C">
              <w:rPr>
                <w:rFonts w:ascii="Times New Roman" w:hAnsi="Times New Roman"/>
                <w:color w:val="000000"/>
                <w:sz w:val="22"/>
                <w:szCs w:val="22"/>
                <w:lang w:val="en-GB"/>
              </w:rPr>
              <w:t>534 (96,6%)*</w:t>
            </w:r>
          </w:p>
        </w:tc>
        <w:tc>
          <w:tcPr>
            <w:tcW w:w="2718" w:type="dxa"/>
            <w:tcBorders>
              <w:top w:val="nil"/>
              <w:right w:val="single" w:sz="4" w:space="0" w:color="auto"/>
            </w:tcBorders>
          </w:tcPr>
          <w:p w14:paraId="65D1F9C2" w14:textId="77777777" w:rsidR="00C45062" w:rsidRPr="002D741C" w:rsidRDefault="00C45062" w:rsidP="00AD13BE">
            <w:pPr>
              <w:pStyle w:val="Table"/>
              <w:keepLines w:val="0"/>
              <w:widowControl w:val="0"/>
              <w:spacing w:before="0" w:after="0"/>
              <w:jc w:val="center"/>
              <w:rPr>
                <w:rFonts w:ascii="Times New Roman" w:hAnsi="Times New Roman"/>
                <w:color w:val="000000"/>
                <w:sz w:val="22"/>
                <w:szCs w:val="22"/>
              </w:rPr>
            </w:pPr>
            <w:r w:rsidRPr="002D741C">
              <w:rPr>
                <w:rFonts w:ascii="Times New Roman" w:hAnsi="Times New Roman"/>
                <w:color w:val="000000"/>
                <w:sz w:val="22"/>
                <w:szCs w:val="22"/>
                <w:lang w:val="en-GB"/>
              </w:rPr>
              <w:t>313 (56,6%)*</w:t>
            </w:r>
          </w:p>
        </w:tc>
      </w:tr>
      <w:tr w:rsidR="00C45062" w:rsidRPr="002D741C" w14:paraId="08A36213" w14:textId="77777777" w:rsidTr="00AD13BE">
        <w:trPr>
          <w:cantSplit/>
        </w:trPr>
        <w:tc>
          <w:tcPr>
            <w:tcW w:w="3794" w:type="dxa"/>
            <w:tcBorders>
              <w:left w:val="single" w:sz="4" w:space="0" w:color="auto"/>
            </w:tcBorders>
          </w:tcPr>
          <w:p w14:paraId="722999C8" w14:textId="77777777" w:rsidR="00C45062" w:rsidRPr="002D741C" w:rsidRDefault="00C45062" w:rsidP="00AD13BE">
            <w:pPr>
              <w:pStyle w:val="Table"/>
              <w:keepLines w:val="0"/>
              <w:widowControl w:val="0"/>
              <w:spacing w:before="0" w:after="0"/>
              <w:rPr>
                <w:rFonts w:ascii="Times New Roman" w:hAnsi="Times New Roman"/>
                <w:color w:val="000000"/>
                <w:sz w:val="22"/>
                <w:szCs w:val="22"/>
              </w:rPr>
            </w:pPr>
            <w:r w:rsidRPr="002D741C">
              <w:rPr>
                <w:rFonts w:ascii="Times New Roman" w:hAnsi="Times New Roman"/>
                <w:color w:val="000000"/>
                <w:sz w:val="22"/>
                <w:szCs w:val="22"/>
              </w:rPr>
              <w:tab/>
              <w:t>[95% IC]</w:t>
            </w:r>
          </w:p>
        </w:tc>
        <w:tc>
          <w:tcPr>
            <w:tcW w:w="2693" w:type="dxa"/>
          </w:tcPr>
          <w:p w14:paraId="40FD85EB" w14:textId="77777777" w:rsidR="00C45062" w:rsidRPr="002D741C" w:rsidRDefault="00C45062" w:rsidP="00AD13BE">
            <w:pPr>
              <w:pStyle w:val="Table"/>
              <w:keepLines w:val="0"/>
              <w:widowControl w:val="0"/>
              <w:spacing w:before="0" w:after="0"/>
              <w:jc w:val="center"/>
              <w:rPr>
                <w:rFonts w:ascii="Times New Roman" w:hAnsi="Times New Roman"/>
                <w:color w:val="000000"/>
                <w:sz w:val="22"/>
                <w:szCs w:val="22"/>
              </w:rPr>
            </w:pPr>
            <w:r w:rsidRPr="002D741C">
              <w:rPr>
                <w:rFonts w:ascii="Times New Roman" w:hAnsi="Times New Roman"/>
                <w:color w:val="000000"/>
                <w:sz w:val="22"/>
                <w:szCs w:val="22"/>
                <w:lang w:val="en-GB"/>
              </w:rPr>
              <w:t>[94,7%, 97,9%]</w:t>
            </w:r>
          </w:p>
        </w:tc>
        <w:tc>
          <w:tcPr>
            <w:tcW w:w="2718" w:type="dxa"/>
            <w:tcBorders>
              <w:right w:val="single" w:sz="4" w:space="0" w:color="auto"/>
            </w:tcBorders>
          </w:tcPr>
          <w:p w14:paraId="59075060" w14:textId="77777777" w:rsidR="00C45062" w:rsidRPr="002D741C" w:rsidRDefault="00C45062" w:rsidP="00AD13BE">
            <w:pPr>
              <w:pStyle w:val="Table"/>
              <w:keepLines w:val="0"/>
              <w:widowControl w:val="0"/>
              <w:spacing w:before="0" w:after="0"/>
              <w:jc w:val="center"/>
              <w:rPr>
                <w:rFonts w:ascii="Times New Roman" w:hAnsi="Times New Roman"/>
                <w:color w:val="000000"/>
                <w:sz w:val="22"/>
                <w:szCs w:val="22"/>
              </w:rPr>
            </w:pPr>
            <w:r w:rsidRPr="002D741C">
              <w:rPr>
                <w:rFonts w:ascii="Times New Roman" w:hAnsi="Times New Roman"/>
                <w:color w:val="000000"/>
                <w:sz w:val="22"/>
                <w:szCs w:val="22"/>
                <w:lang w:val="en-GB"/>
              </w:rPr>
              <w:t>[52,4%, 60,8%]</w:t>
            </w:r>
          </w:p>
        </w:tc>
      </w:tr>
      <w:tr w:rsidR="00C45062" w:rsidRPr="002D741C" w14:paraId="5CF91501" w14:textId="77777777" w:rsidTr="00AD13BE">
        <w:trPr>
          <w:cantSplit/>
        </w:trPr>
        <w:tc>
          <w:tcPr>
            <w:tcW w:w="3794" w:type="dxa"/>
            <w:tcBorders>
              <w:left w:val="single" w:sz="4" w:space="0" w:color="auto"/>
            </w:tcBorders>
          </w:tcPr>
          <w:p w14:paraId="7EF6154A" w14:textId="77777777" w:rsidR="00C45062" w:rsidRPr="002D741C" w:rsidRDefault="00C45062" w:rsidP="00AD13BE">
            <w:pPr>
              <w:pStyle w:val="Table"/>
              <w:keepLines w:val="0"/>
              <w:widowControl w:val="0"/>
              <w:spacing w:before="0" w:after="0"/>
              <w:rPr>
                <w:rFonts w:ascii="Times New Roman" w:hAnsi="Times New Roman"/>
                <w:color w:val="000000"/>
                <w:sz w:val="22"/>
                <w:szCs w:val="22"/>
              </w:rPr>
            </w:pPr>
          </w:p>
        </w:tc>
        <w:tc>
          <w:tcPr>
            <w:tcW w:w="2693" w:type="dxa"/>
          </w:tcPr>
          <w:p w14:paraId="419BC666" w14:textId="77777777" w:rsidR="00C45062" w:rsidRPr="002D741C" w:rsidRDefault="00C45062" w:rsidP="00AD13BE">
            <w:pPr>
              <w:pStyle w:val="Table"/>
              <w:keepLines w:val="0"/>
              <w:widowControl w:val="0"/>
              <w:spacing w:before="0" w:after="0"/>
              <w:rPr>
                <w:rFonts w:ascii="Times New Roman" w:hAnsi="Times New Roman"/>
                <w:color w:val="000000"/>
                <w:sz w:val="22"/>
                <w:szCs w:val="22"/>
              </w:rPr>
            </w:pPr>
          </w:p>
        </w:tc>
        <w:tc>
          <w:tcPr>
            <w:tcW w:w="2718" w:type="dxa"/>
            <w:tcBorders>
              <w:right w:val="single" w:sz="4" w:space="0" w:color="auto"/>
            </w:tcBorders>
          </w:tcPr>
          <w:p w14:paraId="1016FD1E" w14:textId="77777777" w:rsidR="00C45062" w:rsidRPr="002D741C" w:rsidRDefault="00C45062" w:rsidP="00AD13BE">
            <w:pPr>
              <w:pStyle w:val="Table"/>
              <w:keepLines w:val="0"/>
              <w:widowControl w:val="0"/>
              <w:spacing w:before="0" w:after="0"/>
              <w:rPr>
                <w:rFonts w:ascii="Times New Roman" w:hAnsi="Times New Roman"/>
                <w:color w:val="000000"/>
                <w:sz w:val="22"/>
                <w:szCs w:val="22"/>
              </w:rPr>
            </w:pPr>
          </w:p>
        </w:tc>
      </w:tr>
      <w:tr w:rsidR="00C45062" w:rsidRPr="002D741C" w14:paraId="2A4FC5C9" w14:textId="77777777" w:rsidTr="00AD13BE">
        <w:trPr>
          <w:cantSplit/>
        </w:trPr>
        <w:tc>
          <w:tcPr>
            <w:tcW w:w="3794" w:type="dxa"/>
            <w:tcBorders>
              <w:left w:val="single" w:sz="4" w:space="0" w:color="auto"/>
            </w:tcBorders>
          </w:tcPr>
          <w:p w14:paraId="5AA7AE8A" w14:textId="77777777" w:rsidR="00C45062" w:rsidRPr="002D741C" w:rsidRDefault="00C45062" w:rsidP="00AD13BE">
            <w:pPr>
              <w:pStyle w:val="Table"/>
              <w:keepLines w:val="0"/>
              <w:widowControl w:val="0"/>
              <w:spacing w:before="0" w:after="0"/>
              <w:rPr>
                <w:rFonts w:ascii="Times New Roman" w:hAnsi="Times New Roman"/>
                <w:b/>
                <w:color w:val="000000"/>
                <w:sz w:val="22"/>
                <w:szCs w:val="22"/>
              </w:rPr>
            </w:pPr>
            <w:r w:rsidRPr="002D741C">
              <w:rPr>
                <w:rFonts w:ascii="Times New Roman" w:hAnsi="Times New Roman"/>
                <w:b/>
                <w:color w:val="000000"/>
                <w:sz w:val="22"/>
                <w:szCs w:val="22"/>
              </w:rPr>
              <w:t>Respuesta citogenética</w:t>
            </w:r>
          </w:p>
        </w:tc>
        <w:tc>
          <w:tcPr>
            <w:tcW w:w="2693" w:type="dxa"/>
          </w:tcPr>
          <w:p w14:paraId="6DDFC28A" w14:textId="77777777" w:rsidR="00C45062" w:rsidRPr="002D741C" w:rsidRDefault="00C45062" w:rsidP="00AD13BE">
            <w:pPr>
              <w:pStyle w:val="Table"/>
              <w:keepLines w:val="0"/>
              <w:widowControl w:val="0"/>
              <w:spacing w:before="0" w:after="0"/>
              <w:rPr>
                <w:rFonts w:ascii="Times New Roman" w:hAnsi="Times New Roman"/>
                <w:b/>
                <w:color w:val="000000"/>
                <w:sz w:val="22"/>
                <w:szCs w:val="22"/>
              </w:rPr>
            </w:pPr>
          </w:p>
        </w:tc>
        <w:tc>
          <w:tcPr>
            <w:tcW w:w="2718" w:type="dxa"/>
            <w:tcBorders>
              <w:right w:val="single" w:sz="4" w:space="0" w:color="auto"/>
            </w:tcBorders>
          </w:tcPr>
          <w:p w14:paraId="3C37233E" w14:textId="77777777" w:rsidR="00C45062" w:rsidRPr="002D741C" w:rsidRDefault="00C45062" w:rsidP="00AD13BE">
            <w:pPr>
              <w:pStyle w:val="Table"/>
              <w:keepLines w:val="0"/>
              <w:widowControl w:val="0"/>
              <w:spacing w:before="0" w:after="0"/>
              <w:rPr>
                <w:rFonts w:ascii="Times New Roman" w:hAnsi="Times New Roman"/>
                <w:b/>
                <w:color w:val="000000"/>
                <w:sz w:val="22"/>
                <w:szCs w:val="22"/>
              </w:rPr>
            </w:pPr>
          </w:p>
        </w:tc>
      </w:tr>
      <w:tr w:rsidR="00C45062" w:rsidRPr="002D741C" w14:paraId="29F6865B" w14:textId="77777777" w:rsidTr="00AD13BE">
        <w:trPr>
          <w:cantSplit/>
        </w:trPr>
        <w:tc>
          <w:tcPr>
            <w:tcW w:w="3794" w:type="dxa"/>
            <w:tcBorders>
              <w:left w:val="single" w:sz="4" w:space="0" w:color="auto"/>
            </w:tcBorders>
          </w:tcPr>
          <w:p w14:paraId="516375B4" w14:textId="77777777" w:rsidR="00C45062" w:rsidRPr="002D741C" w:rsidRDefault="00C45062" w:rsidP="00AD13BE">
            <w:pPr>
              <w:pStyle w:val="Table"/>
              <w:keepLines w:val="0"/>
              <w:widowControl w:val="0"/>
              <w:spacing w:before="0" w:after="0"/>
              <w:rPr>
                <w:rFonts w:ascii="Times New Roman" w:hAnsi="Times New Roman"/>
                <w:color w:val="000000"/>
                <w:sz w:val="22"/>
                <w:szCs w:val="22"/>
              </w:rPr>
            </w:pPr>
            <w:r w:rsidRPr="002D741C">
              <w:rPr>
                <w:rFonts w:ascii="Times New Roman" w:hAnsi="Times New Roman"/>
                <w:color w:val="000000"/>
                <w:sz w:val="22"/>
                <w:szCs w:val="22"/>
              </w:rPr>
              <w:t>Respuesta mayor n (%)</w:t>
            </w:r>
          </w:p>
        </w:tc>
        <w:tc>
          <w:tcPr>
            <w:tcW w:w="2693" w:type="dxa"/>
          </w:tcPr>
          <w:p w14:paraId="6FA75161" w14:textId="77777777" w:rsidR="00C45062" w:rsidRPr="002D741C" w:rsidRDefault="00C45062" w:rsidP="00AD13BE">
            <w:pPr>
              <w:pStyle w:val="Table"/>
              <w:keepLines w:val="0"/>
              <w:widowControl w:val="0"/>
              <w:spacing w:before="0" w:after="0"/>
              <w:jc w:val="center"/>
              <w:rPr>
                <w:rFonts w:ascii="Times New Roman" w:hAnsi="Times New Roman"/>
                <w:color w:val="000000"/>
                <w:sz w:val="22"/>
                <w:szCs w:val="22"/>
              </w:rPr>
            </w:pPr>
            <w:r w:rsidRPr="002D741C">
              <w:rPr>
                <w:rFonts w:ascii="Times New Roman" w:hAnsi="Times New Roman"/>
                <w:color w:val="000000"/>
                <w:sz w:val="22"/>
                <w:szCs w:val="22"/>
                <w:lang w:val="en-GB"/>
              </w:rPr>
              <w:t>490 (88,6%)*</w:t>
            </w:r>
          </w:p>
        </w:tc>
        <w:tc>
          <w:tcPr>
            <w:tcW w:w="2718" w:type="dxa"/>
            <w:tcBorders>
              <w:right w:val="single" w:sz="4" w:space="0" w:color="auto"/>
            </w:tcBorders>
          </w:tcPr>
          <w:p w14:paraId="00E9F206" w14:textId="77777777" w:rsidR="00C45062" w:rsidRPr="002D741C" w:rsidRDefault="00C45062" w:rsidP="00AD13BE">
            <w:pPr>
              <w:pStyle w:val="Table"/>
              <w:keepLines w:val="0"/>
              <w:widowControl w:val="0"/>
              <w:spacing w:before="0" w:after="0"/>
              <w:jc w:val="center"/>
              <w:rPr>
                <w:rFonts w:ascii="Times New Roman" w:hAnsi="Times New Roman"/>
                <w:color w:val="000000"/>
                <w:sz w:val="22"/>
                <w:szCs w:val="22"/>
              </w:rPr>
            </w:pPr>
            <w:r w:rsidRPr="002D741C">
              <w:rPr>
                <w:rFonts w:ascii="Times New Roman" w:hAnsi="Times New Roman"/>
                <w:color w:val="000000"/>
                <w:sz w:val="22"/>
                <w:szCs w:val="22"/>
                <w:lang w:val="en-GB"/>
              </w:rPr>
              <w:t>129 (23,3%)*</w:t>
            </w:r>
          </w:p>
        </w:tc>
      </w:tr>
      <w:tr w:rsidR="00C45062" w:rsidRPr="002D741C" w14:paraId="28697A2A" w14:textId="77777777" w:rsidTr="00AD13BE">
        <w:trPr>
          <w:cantSplit/>
        </w:trPr>
        <w:tc>
          <w:tcPr>
            <w:tcW w:w="3794" w:type="dxa"/>
            <w:tcBorders>
              <w:left w:val="single" w:sz="4" w:space="0" w:color="auto"/>
            </w:tcBorders>
          </w:tcPr>
          <w:p w14:paraId="718D110C" w14:textId="77777777" w:rsidR="00C45062" w:rsidRPr="002D741C" w:rsidRDefault="00C45062" w:rsidP="00AD13BE">
            <w:pPr>
              <w:pStyle w:val="Table"/>
              <w:keepLines w:val="0"/>
              <w:widowControl w:val="0"/>
              <w:spacing w:before="0" w:after="0"/>
              <w:rPr>
                <w:rFonts w:ascii="Times New Roman" w:hAnsi="Times New Roman"/>
                <w:color w:val="000000"/>
                <w:sz w:val="22"/>
                <w:szCs w:val="22"/>
              </w:rPr>
            </w:pPr>
            <w:r w:rsidRPr="002D741C">
              <w:rPr>
                <w:rFonts w:ascii="Times New Roman" w:hAnsi="Times New Roman"/>
                <w:color w:val="000000"/>
                <w:sz w:val="22"/>
                <w:szCs w:val="22"/>
              </w:rPr>
              <w:tab/>
              <w:t>[95% IC]</w:t>
            </w:r>
          </w:p>
        </w:tc>
        <w:tc>
          <w:tcPr>
            <w:tcW w:w="2693" w:type="dxa"/>
          </w:tcPr>
          <w:p w14:paraId="4BD3E358" w14:textId="77777777" w:rsidR="00C45062" w:rsidRPr="002D741C" w:rsidRDefault="00C45062" w:rsidP="00AD13BE">
            <w:pPr>
              <w:pStyle w:val="Table"/>
              <w:keepLines w:val="0"/>
              <w:widowControl w:val="0"/>
              <w:spacing w:before="0" w:after="0"/>
              <w:jc w:val="center"/>
              <w:rPr>
                <w:rFonts w:ascii="Times New Roman" w:hAnsi="Times New Roman"/>
                <w:color w:val="000000"/>
                <w:sz w:val="22"/>
                <w:szCs w:val="22"/>
              </w:rPr>
            </w:pPr>
            <w:r w:rsidRPr="002D741C">
              <w:rPr>
                <w:rFonts w:ascii="Times New Roman" w:hAnsi="Times New Roman"/>
                <w:color w:val="000000"/>
                <w:sz w:val="22"/>
                <w:szCs w:val="22"/>
                <w:lang w:val="en-GB"/>
              </w:rPr>
              <w:t>[85,7%, 91,1%]</w:t>
            </w:r>
          </w:p>
        </w:tc>
        <w:tc>
          <w:tcPr>
            <w:tcW w:w="2718" w:type="dxa"/>
            <w:tcBorders>
              <w:right w:val="single" w:sz="4" w:space="0" w:color="auto"/>
            </w:tcBorders>
          </w:tcPr>
          <w:p w14:paraId="1AC59172" w14:textId="77777777" w:rsidR="00C45062" w:rsidRPr="002D741C" w:rsidRDefault="00C45062" w:rsidP="00AD13BE">
            <w:pPr>
              <w:pStyle w:val="Table"/>
              <w:keepLines w:val="0"/>
              <w:widowControl w:val="0"/>
              <w:spacing w:before="0" w:after="0"/>
              <w:jc w:val="center"/>
              <w:rPr>
                <w:rFonts w:ascii="Times New Roman" w:hAnsi="Times New Roman"/>
                <w:color w:val="000000"/>
                <w:sz w:val="22"/>
                <w:szCs w:val="22"/>
              </w:rPr>
            </w:pPr>
            <w:r w:rsidRPr="002D741C">
              <w:rPr>
                <w:rFonts w:ascii="Times New Roman" w:hAnsi="Times New Roman"/>
                <w:color w:val="000000"/>
                <w:sz w:val="22"/>
                <w:szCs w:val="22"/>
                <w:lang w:val="en-GB"/>
              </w:rPr>
              <w:t>[19,9%, 27,1%]</w:t>
            </w:r>
          </w:p>
        </w:tc>
      </w:tr>
      <w:tr w:rsidR="00C45062" w:rsidRPr="002D741C" w14:paraId="1531FD9E" w14:textId="77777777" w:rsidTr="00AD13BE">
        <w:trPr>
          <w:cantSplit/>
        </w:trPr>
        <w:tc>
          <w:tcPr>
            <w:tcW w:w="3794" w:type="dxa"/>
            <w:tcBorders>
              <w:left w:val="single" w:sz="4" w:space="0" w:color="auto"/>
            </w:tcBorders>
          </w:tcPr>
          <w:p w14:paraId="71805620" w14:textId="77777777" w:rsidR="00C45062" w:rsidRPr="002D741C" w:rsidRDefault="00C45062" w:rsidP="00AD13BE">
            <w:pPr>
              <w:pStyle w:val="Table"/>
              <w:keepLines w:val="0"/>
              <w:widowControl w:val="0"/>
              <w:spacing w:before="0" w:after="0"/>
              <w:rPr>
                <w:rFonts w:ascii="Times New Roman" w:hAnsi="Times New Roman"/>
                <w:color w:val="000000"/>
                <w:sz w:val="22"/>
                <w:szCs w:val="22"/>
              </w:rPr>
            </w:pPr>
            <w:r w:rsidRPr="002D741C">
              <w:rPr>
                <w:rFonts w:ascii="Times New Roman" w:hAnsi="Times New Roman"/>
                <w:color w:val="000000"/>
                <w:sz w:val="22"/>
                <w:szCs w:val="22"/>
              </w:rPr>
              <w:tab/>
              <w:t>RC completa n (%)</w:t>
            </w:r>
          </w:p>
        </w:tc>
        <w:tc>
          <w:tcPr>
            <w:tcW w:w="2693" w:type="dxa"/>
          </w:tcPr>
          <w:p w14:paraId="637504A8" w14:textId="77777777" w:rsidR="00C45062" w:rsidRPr="002D741C" w:rsidRDefault="00C45062" w:rsidP="00AD13BE">
            <w:pPr>
              <w:pStyle w:val="Table"/>
              <w:keepLines w:val="0"/>
              <w:widowControl w:val="0"/>
              <w:spacing w:before="0" w:after="0"/>
              <w:jc w:val="center"/>
              <w:rPr>
                <w:rFonts w:ascii="Times New Roman" w:hAnsi="Times New Roman"/>
                <w:color w:val="000000"/>
                <w:sz w:val="22"/>
                <w:szCs w:val="22"/>
              </w:rPr>
            </w:pPr>
            <w:r w:rsidRPr="002D741C">
              <w:rPr>
                <w:rFonts w:ascii="Times New Roman" w:hAnsi="Times New Roman"/>
                <w:color w:val="000000"/>
                <w:sz w:val="22"/>
                <w:szCs w:val="22"/>
                <w:lang w:val="en-GB"/>
              </w:rPr>
              <w:t>456 (82,5%)*</w:t>
            </w:r>
          </w:p>
        </w:tc>
        <w:tc>
          <w:tcPr>
            <w:tcW w:w="2718" w:type="dxa"/>
            <w:tcBorders>
              <w:right w:val="single" w:sz="4" w:space="0" w:color="auto"/>
            </w:tcBorders>
          </w:tcPr>
          <w:p w14:paraId="1B4084C3" w14:textId="77777777" w:rsidR="00C45062" w:rsidRPr="002D741C" w:rsidRDefault="00C45062" w:rsidP="00AD13BE">
            <w:pPr>
              <w:pStyle w:val="Table"/>
              <w:keepLines w:val="0"/>
              <w:widowControl w:val="0"/>
              <w:spacing w:before="0" w:after="0"/>
              <w:jc w:val="center"/>
              <w:rPr>
                <w:rFonts w:ascii="Times New Roman" w:hAnsi="Times New Roman"/>
                <w:color w:val="000000"/>
                <w:sz w:val="22"/>
                <w:szCs w:val="22"/>
              </w:rPr>
            </w:pPr>
            <w:r w:rsidRPr="002D741C">
              <w:rPr>
                <w:rFonts w:ascii="Times New Roman" w:hAnsi="Times New Roman"/>
                <w:color w:val="000000"/>
                <w:sz w:val="22"/>
                <w:szCs w:val="22"/>
                <w:lang w:val="en-GB"/>
              </w:rPr>
              <w:t>64 (11,6%)*</w:t>
            </w:r>
          </w:p>
        </w:tc>
      </w:tr>
      <w:tr w:rsidR="00C45062" w:rsidRPr="002D741C" w14:paraId="6995F91A" w14:textId="77777777" w:rsidTr="00AD13BE">
        <w:trPr>
          <w:cantSplit/>
        </w:trPr>
        <w:tc>
          <w:tcPr>
            <w:tcW w:w="3794" w:type="dxa"/>
            <w:tcBorders>
              <w:left w:val="single" w:sz="4" w:space="0" w:color="auto"/>
            </w:tcBorders>
          </w:tcPr>
          <w:p w14:paraId="39DB4288" w14:textId="77777777" w:rsidR="00C45062" w:rsidRPr="002D741C" w:rsidRDefault="00C45062" w:rsidP="00AD13BE">
            <w:pPr>
              <w:pStyle w:val="Table"/>
              <w:keepLines w:val="0"/>
              <w:widowControl w:val="0"/>
              <w:spacing w:before="0" w:after="0"/>
              <w:rPr>
                <w:rFonts w:ascii="Times New Roman" w:hAnsi="Times New Roman"/>
                <w:color w:val="000000"/>
                <w:sz w:val="22"/>
                <w:szCs w:val="22"/>
              </w:rPr>
            </w:pPr>
            <w:r w:rsidRPr="002D741C">
              <w:rPr>
                <w:rFonts w:ascii="Times New Roman" w:hAnsi="Times New Roman"/>
                <w:color w:val="000000"/>
                <w:sz w:val="22"/>
                <w:szCs w:val="22"/>
              </w:rPr>
              <w:tab/>
              <w:t>RC parcial n (%)</w:t>
            </w:r>
          </w:p>
        </w:tc>
        <w:tc>
          <w:tcPr>
            <w:tcW w:w="2693" w:type="dxa"/>
          </w:tcPr>
          <w:p w14:paraId="2B9434B9" w14:textId="77777777" w:rsidR="00C45062" w:rsidRPr="002D741C" w:rsidRDefault="00C45062" w:rsidP="00AD13BE">
            <w:pPr>
              <w:pStyle w:val="Table"/>
              <w:keepLines w:val="0"/>
              <w:widowControl w:val="0"/>
              <w:spacing w:before="0" w:after="0"/>
              <w:jc w:val="center"/>
              <w:rPr>
                <w:rFonts w:ascii="Times New Roman" w:hAnsi="Times New Roman"/>
                <w:color w:val="000000"/>
                <w:sz w:val="22"/>
                <w:szCs w:val="22"/>
              </w:rPr>
            </w:pPr>
            <w:r w:rsidRPr="002D741C">
              <w:rPr>
                <w:rFonts w:ascii="Times New Roman" w:hAnsi="Times New Roman"/>
                <w:color w:val="000000"/>
                <w:sz w:val="22"/>
                <w:szCs w:val="22"/>
                <w:lang w:val="en-GB"/>
              </w:rPr>
              <w:t>34 (6,1%)</w:t>
            </w:r>
          </w:p>
        </w:tc>
        <w:tc>
          <w:tcPr>
            <w:tcW w:w="2718" w:type="dxa"/>
            <w:tcBorders>
              <w:right w:val="single" w:sz="4" w:space="0" w:color="auto"/>
            </w:tcBorders>
          </w:tcPr>
          <w:p w14:paraId="6FB76476" w14:textId="77777777" w:rsidR="00C45062" w:rsidRPr="002D741C" w:rsidRDefault="00C45062" w:rsidP="00AD13BE">
            <w:pPr>
              <w:pStyle w:val="Table"/>
              <w:keepLines w:val="0"/>
              <w:widowControl w:val="0"/>
              <w:spacing w:before="0" w:after="0"/>
              <w:jc w:val="center"/>
              <w:rPr>
                <w:rFonts w:ascii="Times New Roman" w:hAnsi="Times New Roman"/>
                <w:color w:val="000000"/>
                <w:sz w:val="22"/>
                <w:szCs w:val="22"/>
              </w:rPr>
            </w:pPr>
            <w:r w:rsidRPr="002D741C">
              <w:rPr>
                <w:rFonts w:ascii="Times New Roman" w:hAnsi="Times New Roman"/>
                <w:color w:val="000000"/>
                <w:sz w:val="22"/>
                <w:szCs w:val="22"/>
                <w:lang w:val="en-GB"/>
              </w:rPr>
              <w:t>65 (11,8%)</w:t>
            </w:r>
          </w:p>
        </w:tc>
      </w:tr>
      <w:tr w:rsidR="00C45062" w:rsidRPr="002D741C" w14:paraId="5F51CAB8" w14:textId="77777777" w:rsidTr="00AD13BE">
        <w:trPr>
          <w:cantSplit/>
        </w:trPr>
        <w:tc>
          <w:tcPr>
            <w:tcW w:w="3794" w:type="dxa"/>
            <w:tcBorders>
              <w:left w:val="single" w:sz="4" w:space="0" w:color="auto"/>
              <w:bottom w:val="nil"/>
            </w:tcBorders>
          </w:tcPr>
          <w:p w14:paraId="39824C90" w14:textId="77777777" w:rsidR="00C45062" w:rsidRPr="002D741C" w:rsidRDefault="00C45062" w:rsidP="00AD13BE">
            <w:pPr>
              <w:pStyle w:val="Table"/>
              <w:keepLines w:val="0"/>
              <w:widowControl w:val="0"/>
              <w:spacing w:before="0" w:after="0"/>
              <w:rPr>
                <w:rFonts w:ascii="Times New Roman" w:hAnsi="Times New Roman"/>
                <w:color w:val="000000"/>
                <w:sz w:val="22"/>
                <w:szCs w:val="22"/>
              </w:rPr>
            </w:pPr>
          </w:p>
        </w:tc>
        <w:tc>
          <w:tcPr>
            <w:tcW w:w="2693" w:type="dxa"/>
            <w:tcBorders>
              <w:bottom w:val="nil"/>
            </w:tcBorders>
          </w:tcPr>
          <w:p w14:paraId="56BFFC4A" w14:textId="77777777" w:rsidR="00C45062" w:rsidRPr="002D741C" w:rsidRDefault="00C45062" w:rsidP="00AD13BE">
            <w:pPr>
              <w:pStyle w:val="Table"/>
              <w:keepLines w:val="0"/>
              <w:widowControl w:val="0"/>
              <w:spacing w:before="0" w:after="0"/>
              <w:rPr>
                <w:rFonts w:ascii="Times New Roman" w:hAnsi="Times New Roman"/>
                <w:color w:val="000000"/>
                <w:sz w:val="22"/>
                <w:szCs w:val="22"/>
              </w:rPr>
            </w:pPr>
          </w:p>
        </w:tc>
        <w:tc>
          <w:tcPr>
            <w:tcW w:w="2718" w:type="dxa"/>
            <w:tcBorders>
              <w:bottom w:val="nil"/>
              <w:right w:val="single" w:sz="4" w:space="0" w:color="auto"/>
            </w:tcBorders>
          </w:tcPr>
          <w:p w14:paraId="1E3E83C4" w14:textId="77777777" w:rsidR="00C45062" w:rsidRPr="002D741C" w:rsidRDefault="00C45062" w:rsidP="00AD13BE">
            <w:pPr>
              <w:pStyle w:val="Table"/>
              <w:keepLines w:val="0"/>
              <w:widowControl w:val="0"/>
              <w:spacing w:before="0" w:after="0"/>
              <w:rPr>
                <w:rFonts w:ascii="Times New Roman" w:hAnsi="Times New Roman"/>
                <w:color w:val="000000"/>
                <w:sz w:val="22"/>
                <w:szCs w:val="22"/>
              </w:rPr>
            </w:pPr>
          </w:p>
        </w:tc>
      </w:tr>
      <w:tr w:rsidR="00C45062" w:rsidRPr="002D741C" w14:paraId="1517D98F" w14:textId="77777777" w:rsidTr="00AD13BE">
        <w:trPr>
          <w:cantSplit/>
        </w:trPr>
        <w:tc>
          <w:tcPr>
            <w:tcW w:w="3794" w:type="dxa"/>
            <w:tcBorders>
              <w:left w:val="single" w:sz="4" w:space="0" w:color="auto"/>
              <w:bottom w:val="nil"/>
            </w:tcBorders>
          </w:tcPr>
          <w:p w14:paraId="5FDAF0D9" w14:textId="77777777" w:rsidR="00C45062" w:rsidRPr="002D741C" w:rsidRDefault="00C45062" w:rsidP="00AD13BE">
            <w:pPr>
              <w:pStyle w:val="Table"/>
              <w:keepLines w:val="0"/>
              <w:widowControl w:val="0"/>
              <w:spacing w:before="0" w:after="0"/>
              <w:rPr>
                <w:rFonts w:ascii="Times New Roman" w:hAnsi="Times New Roman"/>
                <w:color w:val="000000"/>
                <w:sz w:val="22"/>
                <w:szCs w:val="22"/>
              </w:rPr>
            </w:pPr>
            <w:r w:rsidRPr="002D741C">
              <w:rPr>
                <w:rFonts w:ascii="Times New Roman" w:hAnsi="Times New Roman"/>
                <w:b/>
                <w:color w:val="000000"/>
                <w:sz w:val="22"/>
                <w:szCs w:val="22"/>
              </w:rPr>
              <w:t>Respuesta molecular</w:t>
            </w:r>
            <w:r w:rsidRPr="002D741C">
              <w:rPr>
                <w:rFonts w:ascii="Times New Roman" w:hAnsi="Times New Roman"/>
                <w:color w:val="000000"/>
                <w:sz w:val="22"/>
                <w:szCs w:val="22"/>
              </w:rPr>
              <w:t>**</w:t>
            </w:r>
          </w:p>
        </w:tc>
        <w:tc>
          <w:tcPr>
            <w:tcW w:w="2693" w:type="dxa"/>
            <w:tcBorders>
              <w:bottom w:val="nil"/>
            </w:tcBorders>
          </w:tcPr>
          <w:p w14:paraId="6D56A645" w14:textId="77777777" w:rsidR="00C45062" w:rsidRPr="002D741C" w:rsidRDefault="00C45062" w:rsidP="00AD13BE">
            <w:pPr>
              <w:pStyle w:val="Table"/>
              <w:keepLines w:val="0"/>
              <w:widowControl w:val="0"/>
              <w:spacing w:before="0" w:after="0"/>
              <w:rPr>
                <w:rFonts w:ascii="Times New Roman" w:hAnsi="Times New Roman"/>
                <w:color w:val="000000"/>
                <w:sz w:val="22"/>
                <w:szCs w:val="22"/>
              </w:rPr>
            </w:pPr>
          </w:p>
        </w:tc>
        <w:tc>
          <w:tcPr>
            <w:tcW w:w="2718" w:type="dxa"/>
            <w:tcBorders>
              <w:bottom w:val="nil"/>
              <w:right w:val="single" w:sz="4" w:space="0" w:color="auto"/>
            </w:tcBorders>
          </w:tcPr>
          <w:p w14:paraId="3035A56B" w14:textId="77777777" w:rsidR="00C45062" w:rsidRPr="002D741C" w:rsidRDefault="00C45062" w:rsidP="00AD13BE">
            <w:pPr>
              <w:pStyle w:val="Table"/>
              <w:keepLines w:val="0"/>
              <w:widowControl w:val="0"/>
              <w:spacing w:before="0" w:after="0"/>
              <w:rPr>
                <w:rFonts w:ascii="Times New Roman" w:hAnsi="Times New Roman"/>
                <w:color w:val="000000"/>
                <w:sz w:val="22"/>
                <w:szCs w:val="22"/>
              </w:rPr>
            </w:pPr>
          </w:p>
        </w:tc>
      </w:tr>
      <w:tr w:rsidR="00C45062" w:rsidRPr="002D741C" w14:paraId="55B7FF10" w14:textId="77777777" w:rsidTr="00AD13BE">
        <w:trPr>
          <w:cantSplit/>
        </w:trPr>
        <w:tc>
          <w:tcPr>
            <w:tcW w:w="3794" w:type="dxa"/>
            <w:tcBorders>
              <w:left w:val="single" w:sz="4" w:space="0" w:color="auto"/>
              <w:bottom w:val="nil"/>
            </w:tcBorders>
          </w:tcPr>
          <w:p w14:paraId="4F01F4B3" w14:textId="77777777" w:rsidR="00C45062" w:rsidRPr="002D741C" w:rsidRDefault="00C45062" w:rsidP="00AD13BE">
            <w:pPr>
              <w:pStyle w:val="Table"/>
              <w:keepLines w:val="0"/>
              <w:widowControl w:val="0"/>
              <w:spacing w:before="0" w:after="0"/>
              <w:rPr>
                <w:rFonts w:ascii="Times New Roman" w:hAnsi="Times New Roman"/>
                <w:color w:val="000000"/>
                <w:sz w:val="22"/>
                <w:szCs w:val="22"/>
              </w:rPr>
            </w:pPr>
            <w:r w:rsidRPr="002D741C">
              <w:rPr>
                <w:rFonts w:ascii="Times New Roman" w:hAnsi="Times New Roman"/>
                <w:color w:val="000000"/>
                <w:sz w:val="22"/>
                <w:szCs w:val="22"/>
                <w:lang w:val="en-GB"/>
              </w:rPr>
              <w:t xml:space="preserve">Respuesta mayor a 12 meses (%) </w:t>
            </w:r>
          </w:p>
        </w:tc>
        <w:tc>
          <w:tcPr>
            <w:tcW w:w="2693" w:type="dxa"/>
            <w:tcBorders>
              <w:bottom w:val="nil"/>
            </w:tcBorders>
          </w:tcPr>
          <w:p w14:paraId="1915683F" w14:textId="77777777" w:rsidR="00C45062" w:rsidRPr="002D741C" w:rsidRDefault="00C45062" w:rsidP="00AD13BE">
            <w:pPr>
              <w:pStyle w:val="Table"/>
              <w:keepLines w:val="0"/>
              <w:widowControl w:val="0"/>
              <w:spacing w:before="0" w:after="0"/>
              <w:jc w:val="center"/>
              <w:rPr>
                <w:rFonts w:ascii="Times New Roman" w:hAnsi="Times New Roman"/>
                <w:color w:val="000000"/>
                <w:sz w:val="22"/>
                <w:szCs w:val="22"/>
              </w:rPr>
            </w:pPr>
            <w:r w:rsidRPr="002D741C">
              <w:rPr>
                <w:rFonts w:ascii="Times New Roman" w:hAnsi="Times New Roman"/>
                <w:sz w:val="22"/>
                <w:szCs w:val="22"/>
                <w:lang w:val="en-GB"/>
              </w:rPr>
              <w:t>153/305=50,2%</w:t>
            </w:r>
          </w:p>
        </w:tc>
        <w:tc>
          <w:tcPr>
            <w:tcW w:w="2718" w:type="dxa"/>
            <w:tcBorders>
              <w:bottom w:val="nil"/>
              <w:right w:val="single" w:sz="4" w:space="0" w:color="auto"/>
            </w:tcBorders>
          </w:tcPr>
          <w:p w14:paraId="654CFDF8" w14:textId="77777777" w:rsidR="00C45062" w:rsidRPr="002D741C" w:rsidRDefault="00C45062" w:rsidP="00AD13BE">
            <w:pPr>
              <w:pStyle w:val="Table"/>
              <w:keepLines w:val="0"/>
              <w:widowControl w:val="0"/>
              <w:spacing w:before="0" w:after="0"/>
              <w:jc w:val="center"/>
              <w:rPr>
                <w:rFonts w:ascii="Times New Roman" w:hAnsi="Times New Roman"/>
                <w:color w:val="000000"/>
                <w:sz w:val="22"/>
                <w:szCs w:val="22"/>
              </w:rPr>
            </w:pPr>
            <w:r w:rsidRPr="002D741C">
              <w:rPr>
                <w:rFonts w:ascii="Times New Roman" w:hAnsi="Times New Roman"/>
                <w:color w:val="000000"/>
                <w:sz w:val="22"/>
                <w:szCs w:val="22"/>
                <w:lang w:val="en-GB"/>
              </w:rPr>
              <w:t>8/83=9,6%</w:t>
            </w:r>
          </w:p>
        </w:tc>
      </w:tr>
      <w:tr w:rsidR="00C45062" w:rsidRPr="002D741C" w14:paraId="5D3C7E1D" w14:textId="77777777" w:rsidTr="00AD13BE">
        <w:trPr>
          <w:cantSplit/>
        </w:trPr>
        <w:tc>
          <w:tcPr>
            <w:tcW w:w="3794" w:type="dxa"/>
            <w:tcBorders>
              <w:left w:val="single" w:sz="4" w:space="0" w:color="auto"/>
              <w:bottom w:val="nil"/>
            </w:tcBorders>
          </w:tcPr>
          <w:p w14:paraId="0EC0FF34" w14:textId="77777777" w:rsidR="00C45062" w:rsidRPr="002D741C" w:rsidRDefault="00C45062" w:rsidP="00AD13BE">
            <w:pPr>
              <w:pStyle w:val="Table"/>
              <w:keepLines w:val="0"/>
              <w:widowControl w:val="0"/>
              <w:spacing w:before="0" w:after="0"/>
              <w:rPr>
                <w:rFonts w:ascii="Times New Roman" w:hAnsi="Times New Roman"/>
                <w:color w:val="000000"/>
                <w:sz w:val="22"/>
                <w:szCs w:val="22"/>
              </w:rPr>
            </w:pPr>
            <w:r w:rsidRPr="002D741C">
              <w:rPr>
                <w:rFonts w:ascii="Times New Roman" w:hAnsi="Times New Roman"/>
                <w:color w:val="000000"/>
                <w:sz w:val="22"/>
                <w:szCs w:val="22"/>
                <w:lang w:val="en-GB"/>
              </w:rPr>
              <w:t>Respuesta mayor a 24 meses (%)</w:t>
            </w:r>
          </w:p>
        </w:tc>
        <w:tc>
          <w:tcPr>
            <w:tcW w:w="2693" w:type="dxa"/>
            <w:tcBorders>
              <w:bottom w:val="nil"/>
            </w:tcBorders>
          </w:tcPr>
          <w:p w14:paraId="1D0B2112" w14:textId="77777777" w:rsidR="00C45062" w:rsidRPr="002D741C" w:rsidRDefault="00C45062" w:rsidP="00AD13BE">
            <w:pPr>
              <w:pStyle w:val="Table"/>
              <w:keepLines w:val="0"/>
              <w:widowControl w:val="0"/>
              <w:spacing w:before="0" w:after="0"/>
              <w:jc w:val="center"/>
              <w:rPr>
                <w:rFonts w:ascii="Times New Roman" w:hAnsi="Times New Roman"/>
                <w:color w:val="000000"/>
                <w:sz w:val="22"/>
                <w:szCs w:val="22"/>
              </w:rPr>
            </w:pPr>
            <w:r w:rsidRPr="002D741C">
              <w:rPr>
                <w:rFonts w:ascii="Times New Roman" w:hAnsi="Times New Roman"/>
                <w:sz w:val="22"/>
                <w:szCs w:val="22"/>
                <w:lang w:val="en-GB"/>
              </w:rPr>
              <w:t>73/104=70,2%</w:t>
            </w:r>
          </w:p>
        </w:tc>
        <w:tc>
          <w:tcPr>
            <w:tcW w:w="2718" w:type="dxa"/>
            <w:tcBorders>
              <w:bottom w:val="nil"/>
              <w:right w:val="single" w:sz="4" w:space="0" w:color="auto"/>
            </w:tcBorders>
          </w:tcPr>
          <w:p w14:paraId="4F006556" w14:textId="77777777" w:rsidR="00C45062" w:rsidRPr="002D741C" w:rsidRDefault="00C45062" w:rsidP="00AD13BE">
            <w:pPr>
              <w:pStyle w:val="Table"/>
              <w:keepLines w:val="0"/>
              <w:widowControl w:val="0"/>
              <w:spacing w:before="0" w:after="0"/>
              <w:jc w:val="center"/>
              <w:rPr>
                <w:rFonts w:ascii="Times New Roman" w:hAnsi="Times New Roman"/>
                <w:color w:val="000000"/>
                <w:sz w:val="22"/>
                <w:szCs w:val="22"/>
              </w:rPr>
            </w:pPr>
            <w:r w:rsidRPr="002D741C">
              <w:rPr>
                <w:rFonts w:ascii="Times New Roman" w:hAnsi="Times New Roman"/>
                <w:sz w:val="22"/>
                <w:szCs w:val="22"/>
                <w:lang w:val="en-GB"/>
              </w:rPr>
              <w:t>3/12=25%</w:t>
            </w:r>
          </w:p>
        </w:tc>
      </w:tr>
      <w:tr w:rsidR="00C45062" w:rsidRPr="002D741C" w14:paraId="5E8B89AD" w14:textId="77777777" w:rsidTr="00AD13BE">
        <w:trPr>
          <w:cantSplit/>
        </w:trPr>
        <w:tc>
          <w:tcPr>
            <w:tcW w:w="3794" w:type="dxa"/>
            <w:tcBorders>
              <w:top w:val="nil"/>
              <w:left w:val="single" w:sz="4" w:space="0" w:color="auto"/>
              <w:bottom w:val="single" w:sz="4" w:space="0" w:color="auto"/>
              <w:right w:val="single" w:sz="4" w:space="0" w:color="auto"/>
            </w:tcBorders>
          </w:tcPr>
          <w:p w14:paraId="74BF119F" w14:textId="77777777" w:rsidR="00C45062" w:rsidRPr="002D741C" w:rsidRDefault="00C45062" w:rsidP="00AD13BE">
            <w:pPr>
              <w:pStyle w:val="Table"/>
              <w:keepLines w:val="0"/>
              <w:widowControl w:val="0"/>
              <w:spacing w:before="0" w:after="0"/>
              <w:rPr>
                <w:rFonts w:ascii="Times New Roman" w:hAnsi="Times New Roman"/>
                <w:color w:val="000000"/>
                <w:sz w:val="22"/>
                <w:szCs w:val="22"/>
                <w:lang w:val="es-ES"/>
              </w:rPr>
            </w:pPr>
            <w:r w:rsidRPr="002D741C">
              <w:rPr>
                <w:rFonts w:ascii="Times New Roman" w:hAnsi="Times New Roman"/>
                <w:color w:val="000000"/>
                <w:sz w:val="22"/>
                <w:szCs w:val="22"/>
                <w:lang w:val="es-ES"/>
              </w:rPr>
              <w:t>Respuesta mayor a 84 meses (%)</w:t>
            </w:r>
          </w:p>
        </w:tc>
        <w:tc>
          <w:tcPr>
            <w:tcW w:w="2693" w:type="dxa"/>
            <w:tcBorders>
              <w:top w:val="nil"/>
              <w:left w:val="single" w:sz="4" w:space="0" w:color="auto"/>
              <w:bottom w:val="single" w:sz="4" w:space="0" w:color="auto"/>
              <w:right w:val="single" w:sz="4" w:space="0" w:color="auto"/>
            </w:tcBorders>
          </w:tcPr>
          <w:p w14:paraId="611400F6" w14:textId="77777777" w:rsidR="00C45062" w:rsidRPr="002D741C" w:rsidRDefault="00C45062" w:rsidP="00AD13BE">
            <w:pPr>
              <w:pStyle w:val="Table"/>
              <w:keepLines w:val="0"/>
              <w:widowControl w:val="0"/>
              <w:spacing w:before="0" w:after="0"/>
              <w:jc w:val="center"/>
              <w:rPr>
                <w:rFonts w:ascii="Times New Roman" w:hAnsi="Times New Roman"/>
                <w:color w:val="000000"/>
                <w:sz w:val="22"/>
                <w:szCs w:val="22"/>
                <w:lang w:val="es-ES"/>
              </w:rPr>
            </w:pPr>
            <w:r w:rsidRPr="002D741C">
              <w:rPr>
                <w:rFonts w:ascii="Times New Roman" w:hAnsi="Times New Roman"/>
                <w:sz w:val="22"/>
                <w:szCs w:val="22"/>
                <w:lang w:val="en-GB"/>
              </w:rPr>
              <w:t>102/116=87,9%</w:t>
            </w:r>
          </w:p>
        </w:tc>
        <w:tc>
          <w:tcPr>
            <w:tcW w:w="2718" w:type="dxa"/>
            <w:tcBorders>
              <w:top w:val="nil"/>
              <w:left w:val="single" w:sz="4" w:space="0" w:color="auto"/>
              <w:bottom w:val="single" w:sz="4" w:space="0" w:color="auto"/>
              <w:right w:val="single" w:sz="4" w:space="0" w:color="auto"/>
            </w:tcBorders>
          </w:tcPr>
          <w:p w14:paraId="5775D57A" w14:textId="77777777" w:rsidR="00C45062" w:rsidRPr="002D741C" w:rsidRDefault="00C45062" w:rsidP="00AD13BE">
            <w:pPr>
              <w:pStyle w:val="Table"/>
              <w:keepLines w:val="0"/>
              <w:widowControl w:val="0"/>
              <w:spacing w:before="0" w:after="0"/>
              <w:jc w:val="center"/>
              <w:rPr>
                <w:rFonts w:ascii="Times New Roman" w:hAnsi="Times New Roman"/>
                <w:color w:val="000000"/>
                <w:sz w:val="22"/>
                <w:szCs w:val="22"/>
                <w:lang w:val="es-ES"/>
              </w:rPr>
            </w:pPr>
            <w:r w:rsidRPr="002D741C">
              <w:rPr>
                <w:rFonts w:ascii="Times New Roman" w:hAnsi="Times New Roman"/>
                <w:sz w:val="22"/>
                <w:szCs w:val="22"/>
                <w:lang w:val="en-GB"/>
              </w:rPr>
              <w:t>3/4=75%</w:t>
            </w:r>
          </w:p>
        </w:tc>
      </w:tr>
      <w:tr w:rsidR="00C45062" w:rsidRPr="002D741C" w14:paraId="50AF5B15" w14:textId="77777777" w:rsidTr="00AD13BE">
        <w:trPr>
          <w:cantSplit/>
        </w:trPr>
        <w:tc>
          <w:tcPr>
            <w:tcW w:w="9205" w:type="dxa"/>
            <w:gridSpan w:val="3"/>
            <w:tcBorders>
              <w:top w:val="single" w:sz="4" w:space="0" w:color="auto"/>
              <w:left w:val="single" w:sz="4" w:space="0" w:color="auto"/>
              <w:bottom w:val="single" w:sz="4" w:space="0" w:color="auto"/>
              <w:right w:val="single" w:sz="4" w:space="0" w:color="auto"/>
            </w:tcBorders>
          </w:tcPr>
          <w:p w14:paraId="2A2DA251" w14:textId="77777777" w:rsidR="00C45062" w:rsidRPr="002D741C" w:rsidRDefault="00C45062" w:rsidP="00F22369">
            <w:pPr>
              <w:pStyle w:val="Table"/>
              <w:keepNext w:val="0"/>
              <w:keepLines w:val="0"/>
              <w:widowControl w:val="0"/>
              <w:spacing w:before="0" w:after="0"/>
              <w:rPr>
                <w:rFonts w:ascii="Times New Roman" w:hAnsi="Times New Roman"/>
                <w:color w:val="000000"/>
                <w:sz w:val="22"/>
                <w:szCs w:val="22"/>
                <w:lang w:val="es-ES"/>
              </w:rPr>
            </w:pPr>
            <w:r w:rsidRPr="002D741C">
              <w:rPr>
                <w:rFonts w:ascii="Times New Roman" w:hAnsi="Times New Roman"/>
                <w:color w:val="000000"/>
                <w:sz w:val="22"/>
                <w:szCs w:val="22"/>
                <w:lang w:val="es-ES"/>
              </w:rPr>
              <w:t>* p&lt;0,001, Test exacto de Fischer</w:t>
            </w:r>
          </w:p>
          <w:p w14:paraId="33B8C98E" w14:textId="77777777" w:rsidR="00C45062" w:rsidRPr="002D741C" w:rsidRDefault="00C45062" w:rsidP="00F22369">
            <w:pPr>
              <w:pStyle w:val="Table"/>
              <w:keepNext w:val="0"/>
              <w:keepLines w:val="0"/>
              <w:widowControl w:val="0"/>
              <w:spacing w:before="0" w:after="0"/>
              <w:rPr>
                <w:rFonts w:ascii="Times New Roman" w:hAnsi="Times New Roman"/>
                <w:color w:val="000000"/>
                <w:sz w:val="22"/>
                <w:szCs w:val="22"/>
                <w:lang w:val="es-ES"/>
              </w:rPr>
            </w:pPr>
            <w:r w:rsidRPr="002D741C">
              <w:rPr>
                <w:rFonts w:ascii="Times New Roman" w:hAnsi="Times New Roman"/>
                <w:color w:val="000000"/>
                <w:sz w:val="22"/>
                <w:szCs w:val="22"/>
                <w:lang w:val="es-ES"/>
              </w:rPr>
              <w:t>** los porcentajes de respuesta molecular se basan en las muestras disponibles</w:t>
            </w:r>
          </w:p>
          <w:p w14:paraId="5319150A" w14:textId="77777777" w:rsidR="00C45062" w:rsidRPr="002D741C" w:rsidRDefault="00C45062" w:rsidP="00F22369">
            <w:pPr>
              <w:pStyle w:val="Table"/>
              <w:keepNext w:val="0"/>
              <w:keepLines w:val="0"/>
              <w:widowControl w:val="0"/>
              <w:spacing w:before="0" w:after="0"/>
              <w:rPr>
                <w:rFonts w:ascii="Times New Roman" w:hAnsi="Times New Roman"/>
                <w:b/>
                <w:color w:val="000000"/>
                <w:sz w:val="22"/>
                <w:szCs w:val="22"/>
                <w:lang w:val="es-ES"/>
              </w:rPr>
            </w:pPr>
            <w:r w:rsidRPr="002D741C">
              <w:rPr>
                <w:rFonts w:ascii="Times New Roman" w:hAnsi="Times New Roman"/>
                <w:b/>
                <w:color w:val="000000"/>
                <w:sz w:val="22"/>
                <w:szCs w:val="22"/>
                <w:lang w:val="es-ES"/>
              </w:rPr>
              <w:t xml:space="preserve">Criterios de respuesta hematológica (todas las respuestas deben confirmarse tras </w:t>
            </w:r>
            <w:r w:rsidRPr="002D741C">
              <w:rPr>
                <w:rFonts w:ascii="Times New Roman" w:hAnsi="Times New Roman"/>
                <w:b/>
                <w:color w:val="000000"/>
                <w:sz w:val="22"/>
                <w:szCs w:val="22"/>
                <w:lang w:val="es-ES"/>
              </w:rPr>
              <w:sym w:font="Symbol" w:char="F0B3"/>
            </w:r>
            <w:r w:rsidRPr="002D741C">
              <w:rPr>
                <w:rFonts w:ascii="Times New Roman" w:hAnsi="Times New Roman"/>
                <w:b/>
                <w:color w:val="000000"/>
                <w:sz w:val="22"/>
                <w:szCs w:val="22"/>
                <w:lang w:val="es-ES"/>
              </w:rPr>
              <w:t> 4 semanas):</w:t>
            </w:r>
          </w:p>
          <w:p w14:paraId="04491347" w14:textId="77777777" w:rsidR="00C45062" w:rsidRPr="002D741C" w:rsidRDefault="00C45062" w:rsidP="00F22369">
            <w:pPr>
              <w:pStyle w:val="Table"/>
              <w:keepNext w:val="0"/>
              <w:keepLines w:val="0"/>
              <w:widowControl w:val="0"/>
              <w:spacing w:before="0" w:after="0"/>
              <w:rPr>
                <w:rFonts w:ascii="Times New Roman" w:hAnsi="Times New Roman"/>
                <w:color w:val="000000"/>
                <w:sz w:val="22"/>
                <w:szCs w:val="22"/>
                <w:lang w:val="es-ES"/>
              </w:rPr>
            </w:pPr>
            <w:r w:rsidRPr="002D741C">
              <w:rPr>
                <w:rFonts w:ascii="Times New Roman" w:hAnsi="Times New Roman"/>
                <w:color w:val="000000"/>
                <w:sz w:val="22"/>
                <w:szCs w:val="22"/>
                <w:lang w:val="es-ES"/>
              </w:rPr>
              <w:t>Leucocitos &lt; 10 x 10</w:t>
            </w:r>
            <w:r w:rsidRPr="002D741C">
              <w:rPr>
                <w:rFonts w:ascii="Times New Roman" w:hAnsi="Times New Roman"/>
                <w:color w:val="000000"/>
                <w:sz w:val="22"/>
                <w:szCs w:val="22"/>
                <w:vertAlign w:val="superscript"/>
                <w:lang w:val="es-ES"/>
              </w:rPr>
              <w:t>9</w:t>
            </w:r>
            <w:r w:rsidRPr="002D741C">
              <w:rPr>
                <w:rFonts w:ascii="Times New Roman" w:hAnsi="Times New Roman"/>
                <w:color w:val="000000"/>
                <w:sz w:val="22"/>
                <w:szCs w:val="22"/>
                <w:lang w:val="es-ES"/>
              </w:rPr>
              <w:t>/l, plaquetas &lt; 450 x 10</w:t>
            </w:r>
            <w:r w:rsidRPr="002D741C">
              <w:rPr>
                <w:rFonts w:ascii="Times New Roman" w:hAnsi="Times New Roman"/>
                <w:color w:val="000000"/>
                <w:sz w:val="22"/>
                <w:szCs w:val="22"/>
                <w:vertAlign w:val="superscript"/>
                <w:lang w:val="es-ES"/>
              </w:rPr>
              <w:t>9</w:t>
            </w:r>
            <w:r w:rsidRPr="002D741C">
              <w:rPr>
                <w:rFonts w:ascii="Times New Roman" w:hAnsi="Times New Roman"/>
                <w:color w:val="000000"/>
                <w:sz w:val="22"/>
                <w:szCs w:val="22"/>
                <w:lang w:val="es-ES"/>
              </w:rPr>
              <w:t>/l, mielocitos+metamielocitos &lt; 5% en sangre, sin blastos ni promielocitos en sangre, basófilos &lt; 20%, sin afectación extramedular</w:t>
            </w:r>
          </w:p>
          <w:p w14:paraId="02753AD3" w14:textId="77777777" w:rsidR="00C45062" w:rsidRPr="002D741C" w:rsidRDefault="00C45062" w:rsidP="00F22369">
            <w:pPr>
              <w:pStyle w:val="Table"/>
              <w:keepNext w:val="0"/>
              <w:keepLines w:val="0"/>
              <w:widowControl w:val="0"/>
              <w:spacing w:before="0" w:after="0"/>
              <w:rPr>
                <w:rFonts w:ascii="Times New Roman" w:hAnsi="Times New Roman"/>
                <w:color w:val="000000"/>
                <w:sz w:val="22"/>
                <w:szCs w:val="22"/>
                <w:lang w:val="es-ES"/>
              </w:rPr>
            </w:pPr>
            <w:r w:rsidRPr="002D741C">
              <w:rPr>
                <w:rFonts w:ascii="Times New Roman" w:hAnsi="Times New Roman"/>
                <w:b/>
                <w:color w:val="000000"/>
                <w:sz w:val="22"/>
                <w:szCs w:val="22"/>
                <w:lang w:val="es-ES"/>
              </w:rPr>
              <w:t xml:space="preserve">Criterios de respuesta citogenéticos: </w:t>
            </w:r>
            <w:r w:rsidRPr="002D741C">
              <w:rPr>
                <w:rFonts w:ascii="Times New Roman" w:hAnsi="Times New Roman"/>
                <w:color w:val="000000"/>
                <w:sz w:val="22"/>
                <w:szCs w:val="22"/>
                <w:lang w:val="es-ES"/>
              </w:rPr>
              <w:t>completo (0% Ph+ metafases), parcial (1–35%), menor (36–65%) o mínimo (66–95%). Una respuesta mayor (0–35%) combina respuestas parciales y completas.</w:t>
            </w:r>
          </w:p>
          <w:p w14:paraId="665E74AF" w14:textId="77777777" w:rsidR="00C45062" w:rsidRPr="002D741C" w:rsidRDefault="00C45062" w:rsidP="00F22369">
            <w:pPr>
              <w:pStyle w:val="Table"/>
              <w:keepNext w:val="0"/>
              <w:keepLines w:val="0"/>
              <w:widowControl w:val="0"/>
              <w:spacing w:before="0" w:after="0"/>
              <w:rPr>
                <w:rFonts w:ascii="Times New Roman" w:hAnsi="Times New Roman"/>
                <w:color w:val="000000"/>
                <w:sz w:val="22"/>
                <w:szCs w:val="22"/>
                <w:lang w:val="es-ES_tradnl"/>
              </w:rPr>
            </w:pPr>
            <w:r w:rsidRPr="002D741C">
              <w:rPr>
                <w:rFonts w:ascii="Times New Roman" w:hAnsi="Times New Roman"/>
                <w:b/>
                <w:bCs/>
                <w:color w:val="000000"/>
                <w:sz w:val="22"/>
                <w:szCs w:val="22"/>
                <w:lang w:val="es-ES"/>
              </w:rPr>
              <w:t>Criterio de respuesta molecular mayor</w:t>
            </w:r>
            <w:r w:rsidRPr="002D741C">
              <w:rPr>
                <w:rFonts w:ascii="Times New Roman" w:hAnsi="Times New Roman"/>
                <w:color w:val="000000"/>
                <w:sz w:val="22"/>
                <w:szCs w:val="22"/>
                <w:lang w:val="es-ES"/>
              </w:rPr>
              <w:t xml:space="preserve">: en sangre periférica una reducción ≥ 3 logaritmos en la cantidad de tránscritos </w:t>
            </w:r>
            <w:smartTag w:uri="urn:schemas-microsoft-com:office:smarttags" w:element="stockticker">
              <w:r w:rsidRPr="002D741C">
                <w:rPr>
                  <w:rFonts w:ascii="Times New Roman" w:hAnsi="Times New Roman"/>
                  <w:color w:val="000000"/>
                  <w:sz w:val="22"/>
                  <w:szCs w:val="22"/>
                  <w:lang w:val="es-ES"/>
                </w:rPr>
                <w:t>BCR</w:t>
              </w:r>
            </w:smartTag>
            <w:r w:rsidRPr="002D741C">
              <w:rPr>
                <w:rFonts w:ascii="Times New Roman" w:hAnsi="Times New Roman"/>
                <w:color w:val="000000"/>
                <w:sz w:val="22"/>
                <w:szCs w:val="22"/>
                <w:lang w:val="es-ES"/>
              </w:rPr>
              <w:t>-</w:t>
            </w:r>
            <w:smartTag w:uri="urn:schemas-microsoft-com:office:smarttags" w:element="stockticker">
              <w:r w:rsidRPr="002D741C">
                <w:rPr>
                  <w:rFonts w:ascii="Times New Roman" w:hAnsi="Times New Roman"/>
                  <w:color w:val="000000"/>
                  <w:sz w:val="22"/>
                  <w:szCs w:val="22"/>
                  <w:lang w:val="es-ES"/>
                </w:rPr>
                <w:t>ABL</w:t>
              </w:r>
            </w:smartTag>
            <w:r w:rsidRPr="002D741C">
              <w:rPr>
                <w:rFonts w:ascii="Times New Roman" w:hAnsi="Times New Roman"/>
                <w:color w:val="000000"/>
                <w:sz w:val="22"/>
                <w:szCs w:val="22"/>
                <w:lang w:val="es-ES"/>
              </w:rPr>
              <w:t xml:space="preserve"> (medidos por </w:t>
            </w:r>
            <w:smartTag w:uri="urn:schemas-microsoft-com:office:smarttags" w:element="stockticker">
              <w:r w:rsidRPr="002D741C">
                <w:rPr>
                  <w:rFonts w:ascii="Times New Roman" w:hAnsi="Times New Roman"/>
                  <w:color w:val="000000"/>
                  <w:sz w:val="22"/>
                  <w:szCs w:val="22"/>
                  <w:lang w:val="es-ES"/>
                </w:rPr>
                <w:t>PCR</w:t>
              </w:r>
            </w:smartTag>
            <w:r w:rsidRPr="002D741C">
              <w:rPr>
                <w:rFonts w:ascii="Times New Roman" w:hAnsi="Times New Roman"/>
                <w:color w:val="000000"/>
                <w:sz w:val="22"/>
                <w:szCs w:val="22"/>
                <w:lang w:val="es-ES"/>
              </w:rPr>
              <w:t xml:space="preserve"> transcriptasa inversa cuantitativa a tiempo real) respecto al basal estandarizado.</w:t>
            </w:r>
          </w:p>
        </w:tc>
      </w:tr>
    </w:tbl>
    <w:p w14:paraId="7246089F" w14:textId="77777777" w:rsidR="00C45062" w:rsidRPr="002D741C" w:rsidRDefault="00C45062" w:rsidP="00C45062">
      <w:pPr>
        <w:pStyle w:val="EndnoteText"/>
        <w:widowControl w:val="0"/>
        <w:tabs>
          <w:tab w:val="clear" w:pos="567"/>
        </w:tabs>
        <w:rPr>
          <w:color w:val="000000"/>
          <w:szCs w:val="22"/>
          <w:lang w:val="es-ES_tradnl"/>
        </w:rPr>
      </w:pPr>
    </w:p>
    <w:p w14:paraId="03C5AD5B" w14:textId="77777777" w:rsidR="00C45062" w:rsidRPr="002D741C" w:rsidRDefault="00C45062" w:rsidP="00C45062">
      <w:pPr>
        <w:pStyle w:val="EndnoteText"/>
        <w:widowControl w:val="0"/>
        <w:tabs>
          <w:tab w:val="clear" w:pos="567"/>
        </w:tabs>
        <w:rPr>
          <w:color w:val="000000"/>
          <w:szCs w:val="22"/>
          <w:lang w:val="es-ES_tradnl"/>
        </w:rPr>
      </w:pPr>
      <w:r w:rsidRPr="002D741C">
        <w:rPr>
          <w:color w:val="000000"/>
          <w:szCs w:val="22"/>
          <w:lang w:val="es-ES_tradnl"/>
        </w:rPr>
        <w:t>Se estimaron las tasas de respuesta hematológica, respuesta citogenética mayor y respuesta citogenética completa en el tratamiento de primera línea utilizando la aproximación de Kaplan-Meier, para lo cual se censuraron las faltas de respuesta en la fecha del último examen. Utilizando esta aproximación, las tasas de respuesta acumulada estimadas para el tratamiento de primera línea con Glivec mejoraron de 12 meses de tratamiento a 84 meses de tratamiento del siguiente modo: RHC de 96,4% a 98,4% y RCC de 69,5% a 87,2%, respectivamente.</w:t>
      </w:r>
    </w:p>
    <w:p w14:paraId="51983D9F" w14:textId="77777777" w:rsidR="00C45062" w:rsidRPr="002D741C" w:rsidRDefault="00C45062" w:rsidP="00C45062">
      <w:pPr>
        <w:pStyle w:val="EndnoteText"/>
        <w:widowControl w:val="0"/>
        <w:tabs>
          <w:tab w:val="clear" w:pos="567"/>
        </w:tabs>
        <w:rPr>
          <w:color w:val="000000"/>
          <w:szCs w:val="22"/>
          <w:lang w:val="es-ES_tradnl"/>
        </w:rPr>
      </w:pPr>
    </w:p>
    <w:p w14:paraId="5880D420" w14:textId="77777777" w:rsidR="00C45062" w:rsidRPr="002D741C" w:rsidRDefault="00C45062" w:rsidP="00C45062">
      <w:pPr>
        <w:pStyle w:val="EndnoteText"/>
        <w:widowControl w:val="0"/>
        <w:tabs>
          <w:tab w:val="clear" w:pos="567"/>
        </w:tabs>
        <w:rPr>
          <w:color w:val="000000"/>
          <w:szCs w:val="22"/>
          <w:lang w:val="es-ES_tradnl"/>
        </w:rPr>
      </w:pPr>
      <w:r w:rsidRPr="002D741C">
        <w:rPr>
          <w:color w:val="000000"/>
          <w:szCs w:val="22"/>
          <w:lang w:val="es-ES_tradnl"/>
        </w:rPr>
        <w:t xml:space="preserve">Tras 7 años de seguimiento, se observaron 93 (16,8%) acontecimientos de progresión en el brazo de Glivec: en 37 (6,7%) supuso una progresión a fase acelerada/crisis blástica, en 31 (5,6%) pérdida de RCM, en 15 (2,7%) pérdida de RHC o aumento de leucocitos, y 10 (1,8%) muertes no relacionadas </w:t>
      </w:r>
      <w:r w:rsidRPr="002D741C">
        <w:rPr>
          <w:color w:val="000000"/>
          <w:szCs w:val="22"/>
          <w:lang w:val="es-ES_tradnl"/>
        </w:rPr>
        <w:lastRenderedPageBreak/>
        <w:t xml:space="preserve">con </w:t>
      </w:r>
      <w:smartTag w:uri="urn:schemas-microsoft-com:office:smarttags" w:element="PersonName">
        <w:smartTagPr>
          <w:attr w:name="ProductID" w:val="la LMC. Por"/>
        </w:smartTagPr>
        <w:r w:rsidRPr="002D741C">
          <w:rPr>
            <w:color w:val="000000"/>
            <w:szCs w:val="22"/>
            <w:lang w:val="es-ES_tradnl"/>
          </w:rPr>
          <w:t>la LMC. Por</w:t>
        </w:r>
      </w:smartTag>
      <w:r w:rsidRPr="002D741C">
        <w:rPr>
          <w:color w:val="000000"/>
          <w:szCs w:val="22"/>
          <w:lang w:val="es-ES_tradnl"/>
        </w:rPr>
        <w:t xml:space="preserve"> otro lado, se observaron 165 (29,8%) acontecimientos en el brazo de IFN+Ara-C, de los cuales 130 aparecieron durante el tratamiento de primera línea con IFN+Ara-C.</w:t>
      </w:r>
    </w:p>
    <w:p w14:paraId="6156C7E2" w14:textId="77777777" w:rsidR="00C45062" w:rsidRPr="002D741C" w:rsidRDefault="00C45062" w:rsidP="00C45062">
      <w:pPr>
        <w:pStyle w:val="EndnoteText"/>
        <w:widowControl w:val="0"/>
        <w:tabs>
          <w:tab w:val="clear" w:pos="567"/>
        </w:tabs>
        <w:rPr>
          <w:color w:val="000000"/>
          <w:szCs w:val="22"/>
          <w:lang w:val="es-ES"/>
        </w:rPr>
      </w:pPr>
    </w:p>
    <w:p w14:paraId="593F1765" w14:textId="77777777" w:rsidR="00C45062" w:rsidRPr="002D741C" w:rsidRDefault="00C45062" w:rsidP="00C45062">
      <w:pPr>
        <w:pStyle w:val="EndnoteText"/>
        <w:widowControl w:val="0"/>
        <w:tabs>
          <w:tab w:val="clear" w:pos="567"/>
        </w:tabs>
        <w:rPr>
          <w:color w:val="000000"/>
          <w:szCs w:val="22"/>
          <w:lang w:val="es-ES_tradnl"/>
        </w:rPr>
      </w:pPr>
      <w:r w:rsidRPr="002D741C">
        <w:rPr>
          <w:color w:val="000000"/>
          <w:szCs w:val="22"/>
          <w:lang w:val="es-ES"/>
        </w:rPr>
        <w:t>La tasa estimada de pacientes sin progresión a fase acelerada o crisis blástica a los 84 meses fue significativamente superior en el brazo de Glivec en comparación con el brazo de IFN (92,5% frente a 85,1%, p&lt;0,001). La tasa anual de progresión a fase acelerada o crisis blástica disminuyó con el tiempo de tratamiento y fue inferior al 1% anual en el cuarto y quinto año</w:t>
      </w:r>
      <w:r w:rsidRPr="002D741C">
        <w:rPr>
          <w:color w:val="000000"/>
          <w:lang w:val="es-ES_tradnl"/>
        </w:rPr>
        <w:t xml:space="preserve">. </w:t>
      </w:r>
      <w:r w:rsidRPr="002D741C">
        <w:rPr>
          <w:color w:val="000000"/>
          <w:szCs w:val="22"/>
          <w:lang w:val="es-ES"/>
        </w:rPr>
        <w:t xml:space="preserve">La tasa estimada de supervivencia sin la enfermedad a los 84 meses fue del 81,2% en el brazo de Glivec y del 60,6% en el brazo control </w:t>
      </w:r>
      <w:r w:rsidRPr="002D741C">
        <w:rPr>
          <w:color w:val="000000"/>
          <w:lang w:val="es-ES_tradnl"/>
        </w:rPr>
        <w:t>(p&lt;0,001)</w:t>
      </w:r>
      <w:r w:rsidRPr="002D741C">
        <w:rPr>
          <w:color w:val="000000"/>
          <w:szCs w:val="22"/>
          <w:lang w:val="es-ES"/>
        </w:rPr>
        <w:t>. Las tasas anuales de progresión de cualquier tipo para Glivec también disminuyeron con el tiempo.</w:t>
      </w:r>
    </w:p>
    <w:p w14:paraId="647165EA" w14:textId="77777777" w:rsidR="00C45062" w:rsidRPr="002D741C" w:rsidRDefault="00C45062" w:rsidP="00C45062">
      <w:pPr>
        <w:pStyle w:val="EndnoteText"/>
        <w:widowControl w:val="0"/>
        <w:tabs>
          <w:tab w:val="clear" w:pos="567"/>
        </w:tabs>
        <w:rPr>
          <w:color w:val="000000"/>
          <w:szCs w:val="22"/>
          <w:lang w:val="es-ES_tradnl"/>
        </w:rPr>
      </w:pPr>
    </w:p>
    <w:p w14:paraId="6D5FB53F" w14:textId="77777777" w:rsidR="00C45062" w:rsidRPr="002D741C" w:rsidRDefault="00C45062" w:rsidP="00C45062">
      <w:pPr>
        <w:pStyle w:val="EndnoteText"/>
        <w:rPr>
          <w:color w:val="000000"/>
          <w:lang w:val="es-ES_tradnl"/>
        </w:rPr>
      </w:pPr>
      <w:r w:rsidRPr="002D741C">
        <w:rPr>
          <w:color w:val="000000"/>
          <w:szCs w:val="22"/>
          <w:lang w:val="es-ES_tradnl"/>
        </w:rPr>
        <w:t xml:space="preserve">Un total de 71 (12,8%) y 85 (15,4%) pacientes murieron en los grupos de Glivec y de IFN+Ara-C, respectivamente. A los 84 meses, la supervivencia global estimada es de 86,4% </w:t>
      </w:r>
      <w:r w:rsidRPr="002D741C">
        <w:rPr>
          <w:color w:val="000000"/>
          <w:lang w:val="es-ES_tradnl"/>
        </w:rPr>
        <w:t xml:space="preserve">(83, 90) frente a 83,3% (80, 87) en los grupos aleatorizados a Glivec y a IFN+Ara-C, respectivamente (p=0,073, test de log-rank). Esta variable principal de “tiempo hasta el acontecimiento” está afectado de forma importante por la alta tasa de cruce de tratamiento de IFN+Ara-C a Glivec. El efecto del tratamiento con Glivec sobre la supervivencia en la fase crónica, en LMC de diagnóstico reciente ha sido más estudiada en un análisis retrospectivo de los datos de Glivec mencionados anteriormente con los datos primarios de otro estudio Fase </w:t>
      </w:r>
      <w:smartTag w:uri="urn:schemas-microsoft-com:office:smarttags" w:element="stockticker">
        <w:r w:rsidRPr="002D741C">
          <w:rPr>
            <w:color w:val="000000"/>
            <w:lang w:val="es-ES_tradnl"/>
          </w:rPr>
          <w:t>III</w:t>
        </w:r>
      </w:smartTag>
      <w:r w:rsidRPr="002D741C">
        <w:rPr>
          <w:color w:val="000000"/>
          <w:lang w:val="es-ES_tradnl"/>
        </w:rPr>
        <w:t xml:space="preserve"> utilizando IFN+Ara-C (n=325) en una pauta idéntica. En este análisis retrospectivo, se demostró la superioridad de Glivec sobre IFN+Ara-C en la supervivencia global (p&lt;0,001); a los 42 meses, habían muerto 47 pacientes (8,5%) con Glivec y 63 pacientes (19,4%) con IFN+Ara-C.</w:t>
      </w:r>
    </w:p>
    <w:p w14:paraId="0BB919AA" w14:textId="77777777" w:rsidR="00C45062" w:rsidRPr="002D741C" w:rsidRDefault="00C45062" w:rsidP="00C45062">
      <w:pPr>
        <w:pStyle w:val="EndnoteText"/>
        <w:widowControl w:val="0"/>
        <w:tabs>
          <w:tab w:val="clear" w:pos="567"/>
        </w:tabs>
        <w:rPr>
          <w:color w:val="000000"/>
          <w:szCs w:val="22"/>
          <w:lang w:val="es-ES_tradnl"/>
        </w:rPr>
      </w:pPr>
    </w:p>
    <w:p w14:paraId="571A5843" w14:textId="77777777" w:rsidR="00C45062" w:rsidRPr="002D741C" w:rsidRDefault="00C45062" w:rsidP="00C45062">
      <w:pPr>
        <w:pStyle w:val="EndnoteText"/>
        <w:widowControl w:val="0"/>
        <w:tabs>
          <w:tab w:val="clear" w:pos="567"/>
        </w:tabs>
        <w:rPr>
          <w:color w:val="000000"/>
          <w:lang w:val="es-ES_tradnl"/>
        </w:rPr>
      </w:pPr>
      <w:r w:rsidRPr="002D741C">
        <w:rPr>
          <w:color w:val="000000"/>
          <w:szCs w:val="22"/>
          <w:lang w:val="es-ES_tradnl"/>
        </w:rPr>
        <w:t xml:space="preserve">El grado de respuesta citogenética y respuesta molecular tuvo un efecto claro sobre los resultados a largo plazo en pacientes con Glivec. Mientras un 96% estimado de pacientes (93%) con RCC (RCP) a los 12 meses no mostraban progresión a fase acelerada/crisis blástica a los 84 meses, sólo un 81% de pacientes sin RCM a los 12 meses estaban libres de progresión a LMC avanzada a los 84 meses </w:t>
      </w:r>
      <w:r w:rsidRPr="002D741C">
        <w:rPr>
          <w:color w:val="000000"/>
          <w:lang w:val="es-ES_tradnl"/>
        </w:rPr>
        <w:t xml:space="preserve">(p&lt;0,001 global, p=0,25 entre RCC y RCP). Para pacientes con reducción en </w:t>
      </w:r>
      <w:r w:rsidRPr="002D741C">
        <w:rPr>
          <w:color w:val="000000"/>
          <w:szCs w:val="22"/>
          <w:lang w:val="es-ES_tradnl"/>
        </w:rPr>
        <w:t xml:space="preserve">los </w:t>
      </w:r>
      <w:r w:rsidRPr="002D741C">
        <w:rPr>
          <w:color w:val="000000"/>
          <w:szCs w:val="22"/>
          <w:lang w:val="es-ES"/>
        </w:rPr>
        <w:t xml:space="preserve">tránscritos Bcr-Abl de al menos 3 logaritmos a 12 meses, la probabilidad de permanecer libre de progresión a </w:t>
      </w:r>
      <w:r w:rsidRPr="002D741C">
        <w:rPr>
          <w:color w:val="000000"/>
          <w:lang w:val="es-ES_tradnl"/>
        </w:rPr>
        <w:t>la fase acelerada/crisis blástica fue de 99% a los 84 meses. En base a un análisis a 18 meses se hallaron unos resultados similares.</w:t>
      </w:r>
    </w:p>
    <w:p w14:paraId="28B8E373" w14:textId="77777777" w:rsidR="00C45062" w:rsidRPr="002D741C" w:rsidRDefault="00C45062" w:rsidP="00C45062">
      <w:pPr>
        <w:pStyle w:val="EndnoteText"/>
        <w:widowControl w:val="0"/>
        <w:tabs>
          <w:tab w:val="clear" w:pos="567"/>
        </w:tabs>
        <w:rPr>
          <w:color w:val="000000"/>
          <w:szCs w:val="22"/>
          <w:lang w:val="es-ES_tradnl"/>
        </w:rPr>
      </w:pPr>
    </w:p>
    <w:p w14:paraId="57FA75D6" w14:textId="77777777" w:rsidR="00C45062" w:rsidRPr="002D741C" w:rsidRDefault="00C45062" w:rsidP="00C45062">
      <w:pPr>
        <w:pStyle w:val="EndnoteText"/>
        <w:widowControl w:val="0"/>
        <w:tabs>
          <w:tab w:val="clear" w:pos="567"/>
        </w:tabs>
        <w:rPr>
          <w:color w:val="000000"/>
          <w:szCs w:val="22"/>
          <w:lang w:val="es-ES"/>
        </w:rPr>
      </w:pPr>
      <w:r w:rsidRPr="002D741C">
        <w:rPr>
          <w:color w:val="000000"/>
          <w:szCs w:val="22"/>
          <w:lang w:val="es-ES_tradnl"/>
        </w:rPr>
        <w:t>En este estudio, se permitió la escalada de dosis de 400 mg diarios a 600 mg diarios, y entonces de 600 mg diarios a 800 mg diarios. Después de 42 meses de seguimiento, 11 pacientes experimentaron una pérdida confirmada (en 4 semanas) de su respuesta citogenética. De estos 11 pacientes, 4 pacientes aumentaron la dosis hasta 800 mg diarios, 2 de los cuales obtuvieron de nuevo una respuesta citogenética (1 parcial y 1 completa, esta última también consiguió una respuesta molecular), mientras que de los 7 pacientes que no aumentaron la dosis, sólo uno obtuvo de nuevo una respuesta citogenética completa. El porcentaje de algunas reacciones adversas fue superior en los 40 pacientes en los cuales la dosis se aumentó a 800 mg diarios comparado a la población de pacientes antes del aumento de dosis (n=551). Las reacciones adversas más frecuentes incluyeron hemorragias gastrointestinales, conjuntivitis y aumento de transaminasas o bilirrubina. Se notificaron otras reacciones adversas con una frecuencia menor o igual.</w:t>
      </w:r>
    </w:p>
    <w:p w14:paraId="3E878263" w14:textId="77777777" w:rsidR="00C45062" w:rsidRPr="002D741C" w:rsidRDefault="00C45062" w:rsidP="00C45062">
      <w:pPr>
        <w:pStyle w:val="EndnoteText"/>
        <w:widowControl w:val="0"/>
        <w:tabs>
          <w:tab w:val="clear" w:pos="567"/>
        </w:tabs>
        <w:rPr>
          <w:color w:val="000000"/>
          <w:szCs w:val="22"/>
          <w:lang w:val="es-ES"/>
        </w:rPr>
      </w:pPr>
    </w:p>
    <w:p w14:paraId="6FA1DC2A" w14:textId="77777777" w:rsidR="00C45062" w:rsidRPr="002D741C" w:rsidRDefault="00C45062" w:rsidP="00C45062">
      <w:pPr>
        <w:pStyle w:val="EndnoteText"/>
        <w:widowControl w:val="0"/>
        <w:tabs>
          <w:tab w:val="clear" w:pos="567"/>
        </w:tabs>
        <w:rPr>
          <w:color w:val="000000"/>
          <w:szCs w:val="22"/>
          <w:lang w:val="es-ES"/>
        </w:rPr>
      </w:pPr>
      <w:r w:rsidRPr="002D741C">
        <w:rPr>
          <w:i/>
          <w:color w:val="000000"/>
          <w:szCs w:val="22"/>
          <w:lang w:val="es-ES"/>
        </w:rPr>
        <w:t>Fase crónica, fallo del Interferón</w:t>
      </w:r>
      <w:r w:rsidRPr="002D741C">
        <w:rPr>
          <w:color w:val="000000"/>
          <w:szCs w:val="22"/>
          <w:lang w:val="es-ES"/>
        </w:rPr>
        <w:t xml:space="preserve">: 532 pacientes adultos fueron tratados con una dosis inicial de 400 mg. Los pacientes fueron distribuidos en tres categorías principales: fallo hematológico (29%), fallo citogenético (35%) o intolerancia al interferón (36%). Los pacientes habían recibido tratamiento previo con IFN durante una mediana de 14 meses a dosis de </w:t>
      </w:r>
      <w:r w:rsidRPr="002D741C">
        <w:rPr>
          <w:color w:val="000000"/>
          <w:szCs w:val="22"/>
          <w:lang w:val="es-ES"/>
        </w:rPr>
        <w:sym w:font="Symbol" w:char="F0B3"/>
      </w:r>
      <w:r w:rsidRPr="002D741C">
        <w:rPr>
          <w:color w:val="000000"/>
          <w:szCs w:val="22"/>
          <w:lang w:val="es-ES"/>
        </w:rPr>
        <w:t> 25 x 10</w:t>
      </w:r>
      <w:r w:rsidRPr="002D741C">
        <w:rPr>
          <w:color w:val="000000"/>
          <w:szCs w:val="22"/>
          <w:vertAlign w:val="superscript"/>
          <w:lang w:val="es-ES"/>
        </w:rPr>
        <w:t>6</w:t>
      </w:r>
      <w:r w:rsidRPr="002D741C">
        <w:rPr>
          <w:color w:val="000000"/>
          <w:szCs w:val="22"/>
          <w:lang w:val="es-ES"/>
        </w:rPr>
        <w:t xml:space="preserve"> UI/semana y todos estaban en una fase crónica tardía, con una mediana de tiempo desde el diagnóstico de 32 meses. La variable principal de eficacia del estudio fue la tasa de respuesta citogenética mayor (respuesta completa más parcial, 0–35% metafases Ph + en médula ósea).</w:t>
      </w:r>
    </w:p>
    <w:p w14:paraId="2F882D0C" w14:textId="77777777" w:rsidR="00C45062" w:rsidRPr="002D741C" w:rsidRDefault="00C45062" w:rsidP="00C45062">
      <w:pPr>
        <w:pStyle w:val="EndnoteText"/>
        <w:widowControl w:val="0"/>
        <w:tabs>
          <w:tab w:val="clear" w:pos="567"/>
        </w:tabs>
        <w:rPr>
          <w:color w:val="000000"/>
          <w:szCs w:val="22"/>
          <w:lang w:val="es-ES"/>
        </w:rPr>
      </w:pPr>
    </w:p>
    <w:p w14:paraId="1634ED85" w14:textId="77777777" w:rsidR="00C45062" w:rsidRPr="002D741C" w:rsidRDefault="00C45062" w:rsidP="00C45062">
      <w:pPr>
        <w:pStyle w:val="EndnoteText"/>
        <w:widowControl w:val="0"/>
        <w:tabs>
          <w:tab w:val="clear" w:pos="567"/>
        </w:tabs>
        <w:rPr>
          <w:color w:val="000000"/>
          <w:szCs w:val="22"/>
          <w:lang w:val="es-ES"/>
        </w:rPr>
      </w:pPr>
      <w:r w:rsidRPr="002D741C">
        <w:rPr>
          <w:color w:val="000000"/>
          <w:szCs w:val="22"/>
          <w:lang w:val="es-ES"/>
        </w:rPr>
        <w:t>En este estudio el 65% de los pacientes alcanzaron una respuesta citogenética mayor que fue completa en el 53% (confirmado en el 43%) de los pacientes (Tabla </w:t>
      </w:r>
      <w:r w:rsidR="00483CB7" w:rsidRPr="002D741C">
        <w:rPr>
          <w:color w:val="000000"/>
          <w:szCs w:val="22"/>
          <w:lang w:val="es-ES"/>
        </w:rPr>
        <w:t>3</w:t>
      </w:r>
      <w:r w:rsidRPr="002D741C">
        <w:rPr>
          <w:color w:val="000000"/>
          <w:szCs w:val="22"/>
          <w:lang w:val="es-ES"/>
        </w:rPr>
        <w:t>). En el 95% de los pacientes se consiguió una respuesta hematológica completa.</w:t>
      </w:r>
    </w:p>
    <w:p w14:paraId="0788B7B9" w14:textId="77777777" w:rsidR="00C45062" w:rsidRPr="002D741C" w:rsidRDefault="00C45062" w:rsidP="00C45062">
      <w:pPr>
        <w:pStyle w:val="EndnoteText"/>
        <w:widowControl w:val="0"/>
        <w:tabs>
          <w:tab w:val="clear" w:pos="567"/>
        </w:tabs>
        <w:rPr>
          <w:color w:val="000000"/>
          <w:szCs w:val="22"/>
          <w:lang w:val="es-ES"/>
        </w:rPr>
      </w:pPr>
    </w:p>
    <w:p w14:paraId="22FCF4B9" w14:textId="77777777" w:rsidR="00C45062" w:rsidRPr="002D741C" w:rsidRDefault="00C45062" w:rsidP="00C45062">
      <w:pPr>
        <w:pStyle w:val="EndnoteText"/>
        <w:widowControl w:val="0"/>
        <w:tabs>
          <w:tab w:val="clear" w:pos="567"/>
        </w:tabs>
        <w:rPr>
          <w:color w:val="000000"/>
          <w:szCs w:val="22"/>
          <w:lang w:val="es-ES"/>
        </w:rPr>
      </w:pPr>
      <w:r w:rsidRPr="002D741C">
        <w:rPr>
          <w:i/>
          <w:color w:val="000000"/>
          <w:szCs w:val="22"/>
          <w:lang w:val="es-ES"/>
        </w:rPr>
        <w:t>Fase acelerada</w:t>
      </w:r>
      <w:r w:rsidRPr="002D741C">
        <w:rPr>
          <w:color w:val="000000"/>
          <w:szCs w:val="22"/>
          <w:lang w:val="es-ES"/>
        </w:rPr>
        <w:t xml:space="preserve">: se incluyeron 235 pacientes adultos con la enfermedad en fase acelerada. Los </w:t>
      </w:r>
      <w:r w:rsidRPr="002D741C">
        <w:rPr>
          <w:color w:val="000000"/>
          <w:szCs w:val="22"/>
          <w:lang w:val="es-ES"/>
        </w:rPr>
        <w:lastRenderedPageBreak/>
        <w:t>primeros 77 pacientes iniciaron el tratamiento con 400 mg, se rectificó posteriormente el protocolo para permitir una mayor dosificación y los restantes 158 pacientes iniciaron el tratamiento con 600 mg.</w:t>
      </w:r>
    </w:p>
    <w:p w14:paraId="5D451FBE" w14:textId="77777777" w:rsidR="00C45062" w:rsidRPr="002D741C" w:rsidRDefault="00C45062" w:rsidP="00C45062">
      <w:pPr>
        <w:pStyle w:val="EndnoteText"/>
        <w:widowControl w:val="0"/>
        <w:tabs>
          <w:tab w:val="clear" w:pos="567"/>
        </w:tabs>
        <w:rPr>
          <w:color w:val="000000"/>
          <w:szCs w:val="22"/>
          <w:lang w:val="es-ES"/>
        </w:rPr>
      </w:pPr>
    </w:p>
    <w:p w14:paraId="3FDFA140" w14:textId="77777777" w:rsidR="00C45062" w:rsidRPr="002D741C" w:rsidRDefault="00C45062" w:rsidP="00C45062">
      <w:pPr>
        <w:pStyle w:val="EndnoteText"/>
        <w:widowControl w:val="0"/>
        <w:tabs>
          <w:tab w:val="clear" w:pos="567"/>
        </w:tabs>
        <w:rPr>
          <w:color w:val="000000"/>
          <w:szCs w:val="22"/>
          <w:lang w:val="es-ES"/>
        </w:rPr>
      </w:pPr>
      <w:r w:rsidRPr="002D741C">
        <w:rPr>
          <w:color w:val="000000"/>
          <w:szCs w:val="22"/>
          <w:lang w:val="es-ES"/>
        </w:rPr>
        <w:t xml:space="preserve">La variable principal de eficacia fue la tasa de respuesta hematológica, informada como respuesta hematológica completa, no evidencia de leucemia (es decir, aclaramiento blástico desde médula ósea y sangre, pero sin una recuperación total de sangre periférica como en una respuesta completa) o retorno a la fase crónica de </w:t>
      </w:r>
      <w:smartTag w:uri="urn:schemas-microsoft-com:office:smarttags" w:element="PersonName">
        <w:smartTagPr>
          <w:attr w:name="ProductID" w:val="la LMC. Se"/>
        </w:smartTagPr>
        <w:r w:rsidRPr="002D741C">
          <w:rPr>
            <w:color w:val="000000"/>
            <w:szCs w:val="22"/>
            <w:lang w:val="es-ES"/>
          </w:rPr>
          <w:t>la LMC. Se</w:t>
        </w:r>
      </w:smartTag>
      <w:r w:rsidRPr="002D741C">
        <w:rPr>
          <w:color w:val="000000"/>
          <w:szCs w:val="22"/>
          <w:lang w:val="es-ES"/>
        </w:rPr>
        <w:t xml:space="preserve"> consiguió una respuesta hematológica confirmada en el 71,5% de los pacientes (Tabla </w:t>
      </w:r>
      <w:r w:rsidR="00483CB7" w:rsidRPr="002D741C">
        <w:rPr>
          <w:color w:val="000000"/>
          <w:szCs w:val="22"/>
          <w:lang w:val="es-ES"/>
        </w:rPr>
        <w:t>3</w:t>
      </w:r>
      <w:r w:rsidRPr="002D741C">
        <w:rPr>
          <w:color w:val="000000"/>
          <w:szCs w:val="22"/>
          <w:lang w:val="es-ES"/>
        </w:rPr>
        <w:t>). De forma importante, el 27,7% de los pacientes también consiguieron una respuesta citogenética mayor, que fue completa en el 20,4% (confirmado en el 16%) de los pacientes. Para los pacientes tratados con 600 mg, la estimación actual para la mediana de la incidencia de supervivencia libre de progresión y la supervivencia global fueron 22,9 y 42,5 meses, respectivamente.</w:t>
      </w:r>
    </w:p>
    <w:p w14:paraId="0139FD4E" w14:textId="77777777" w:rsidR="00C45062" w:rsidRPr="002D741C" w:rsidRDefault="00C45062" w:rsidP="00C45062">
      <w:pPr>
        <w:pStyle w:val="EndnoteText"/>
        <w:widowControl w:val="0"/>
        <w:tabs>
          <w:tab w:val="clear" w:pos="567"/>
        </w:tabs>
        <w:rPr>
          <w:color w:val="000000"/>
          <w:szCs w:val="22"/>
          <w:lang w:val="es-ES"/>
        </w:rPr>
      </w:pPr>
    </w:p>
    <w:p w14:paraId="28B73FC7" w14:textId="77777777" w:rsidR="00C45062" w:rsidRPr="002D741C" w:rsidRDefault="00C45062" w:rsidP="00C45062">
      <w:pPr>
        <w:pStyle w:val="EndnoteText"/>
        <w:widowControl w:val="0"/>
        <w:tabs>
          <w:tab w:val="clear" w:pos="567"/>
        </w:tabs>
        <w:rPr>
          <w:color w:val="000000"/>
          <w:szCs w:val="22"/>
          <w:lang w:val="es-ES"/>
        </w:rPr>
      </w:pPr>
      <w:r w:rsidRPr="002D741C">
        <w:rPr>
          <w:i/>
          <w:color w:val="000000"/>
          <w:szCs w:val="22"/>
          <w:lang w:val="es-ES"/>
        </w:rPr>
        <w:t>Crisis mieloide blástica</w:t>
      </w:r>
      <w:r w:rsidRPr="002D741C">
        <w:rPr>
          <w:color w:val="000000"/>
          <w:szCs w:val="22"/>
          <w:lang w:val="es-ES"/>
        </w:rPr>
        <w:t>: se incluyeron 260 pacientes con crisis mieloide blástica. 95 (37%) habían recibido anteriormente quimioterapia para el tratamiento tanto de la fase acelerada como la crisis blástica (</w:t>
      </w:r>
      <w:r w:rsidRPr="002D741C">
        <w:rPr>
          <w:color w:val="000000"/>
          <w:szCs w:val="22"/>
          <w:lang w:val="es-ES_tradnl"/>
        </w:rPr>
        <w:t>«</w:t>
      </w:r>
      <w:r w:rsidRPr="002D741C">
        <w:rPr>
          <w:color w:val="000000"/>
          <w:szCs w:val="22"/>
          <w:lang w:val="es-ES"/>
        </w:rPr>
        <w:t>pacientes pretratados</w:t>
      </w:r>
      <w:r w:rsidRPr="002D741C">
        <w:rPr>
          <w:color w:val="000000"/>
          <w:szCs w:val="22"/>
          <w:lang w:val="es-ES_tradnl"/>
        </w:rPr>
        <w:t>»</w:t>
      </w:r>
      <w:r w:rsidRPr="002D741C">
        <w:rPr>
          <w:color w:val="000000"/>
          <w:szCs w:val="22"/>
          <w:lang w:val="es-ES"/>
        </w:rPr>
        <w:t>) mientras 165 (63%) no (</w:t>
      </w:r>
      <w:r w:rsidRPr="002D741C">
        <w:rPr>
          <w:color w:val="000000"/>
          <w:szCs w:val="22"/>
          <w:lang w:val="es-ES_tradnl"/>
        </w:rPr>
        <w:t>«</w:t>
      </w:r>
      <w:r w:rsidRPr="002D741C">
        <w:rPr>
          <w:color w:val="000000"/>
          <w:szCs w:val="22"/>
          <w:lang w:val="es-ES"/>
        </w:rPr>
        <w:t>pacientes no tratados</w:t>
      </w:r>
      <w:r w:rsidRPr="002D741C">
        <w:rPr>
          <w:color w:val="000000"/>
          <w:szCs w:val="22"/>
          <w:lang w:val="es-ES_tradnl"/>
        </w:rPr>
        <w:t>»</w:t>
      </w:r>
      <w:r w:rsidRPr="002D741C">
        <w:rPr>
          <w:color w:val="000000"/>
          <w:szCs w:val="22"/>
          <w:lang w:val="es-ES"/>
        </w:rPr>
        <w:t>). Los primeros 37 pacientes iniciaron el tratamiento con 400 mg, se rectificó posteriormente el protocolo para permitir una mayor dosificación y los restantes 223 pacientes iniciaron el tratamiento con 600 mg.</w:t>
      </w:r>
    </w:p>
    <w:p w14:paraId="19166FBE" w14:textId="77777777" w:rsidR="00C45062" w:rsidRPr="002D741C" w:rsidRDefault="00C45062" w:rsidP="00C45062">
      <w:pPr>
        <w:pStyle w:val="EndnoteText"/>
        <w:widowControl w:val="0"/>
        <w:tabs>
          <w:tab w:val="clear" w:pos="567"/>
        </w:tabs>
        <w:rPr>
          <w:color w:val="000000"/>
          <w:szCs w:val="22"/>
          <w:lang w:val="es-ES"/>
        </w:rPr>
      </w:pPr>
    </w:p>
    <w:p w14:paraId="0CC97EB7" w14:textId="77777777" w:rsidR="00C45062" w:rsidRPr="002D741C" w:rsidRDefault="00C45062" w:rsidP="00C45062">
      <w:pPr>
        <w:pStyle w:val="EndnoteText"/>
        <w:widowControl w:val="0"/>
        <w:tabs>
          <w:tab w:val="clear" w:pos="567"/>
        </w:tabs>
        <w:rPr>
          <w:color w:val="000000"/>
          <w:szCs w:val="22"/>
          <w:lang w:val="es-ES"/>
        </w:rPr>
      </w:pPr>
      <w:r w:rsidRPr="002D741C">
        <w:rPr>
          <w:color w:val="000000"/>
          <w:szCs w:val="22"/>
          <w:lang w:val="es-ES"/>
        </w:rPr>
        <w:t xml:space="preserve">La variable principal de eficacia fue la tasa de respuesta hematológica, informada tanto como respuesta hematológica completa, no evidencia de leucemia o vuelta a la fase crónica de </w:t>
      </w:r>
      <w:smartTag w:uri="urn:schemas-microsoft-com:office:smarttags" w:element="PersonName">
        <w:smartTagPr>
          <w:attr w:name="ProductID" w:val="la LMC"/>
        </w:smartTagPr>
        <w:r w:rsidRPr="002D741C">
          <w:rPr>
            <w:color w:val="000000"/>
            <w:szCs w:val="22"/>
            <w:lang w:val="es-ES"/>
          </w:rPr>
          <w:t>la LMC</w:t>
        </w:r>
      </w:smartTag>
      <w:r w:rsidRPr="002D741C">
        <w:rPr>
          <w:color w:val="000000"/>
          <w:szCs w:val="22"/>
          <w:lang w:val="es-ES"/>
        </w:rPr>
        <w:t xml:space="preserve"> utilizando el mismo criterio que para el estudio en fase acelerada. En este estudio, el 31% de los pacientes alcanzaron una respuesta hematológica (36% de los pacientes no tratados previamente y 22% de los pacientes previamente tratados). La tasa de respuesta también fue superior en los pacientes tratados con 600 mg (33%) en comparación con los pacientes tratados con 400 mg (16%, p=0,0220). La mediana estimada de supervivencia de los pacientes no tratados previamente y los tratados fue de 7,7 y 4,7 meses, respectivamente.</w:t>
      </w:r>
    </w:p>
    <w:p w14:paraId="290EF488" w14:textId="77777777" w:rsidR="00C45062" w:rsidRPr="002D741C" w:rsidRDefault="00C45062" w:rsidP="00C45062">
      <w:pPr>
        <w:pStyle w:val="EndnoteText"/>
        <w:widowControl w:val="0"/>
        <w:tabs>
          <w:tab w:val="clear" w:pos="567"/>
        </w:tabs>
        <w:rPr>
          <w:color w:val="000000"/>
          <w:szCs w:val="22"/>
          <w:lang w:val="es-ES"/>
        </w:rPr>
      </w:pPr>
    </w:p>
    <w:p w14:paraId="3DC7D086" w14:textId="77777777" w:rsidR="00C45062" w:rsidRPr="002D741C" w:rsidRDefault="00C45062" w:rsidP="00C45062">
      <w:pPr>
        <w:pStyle w:val="EndnoteText"/>
        <w:widowControl w:val="0"/>
        <w:tabs>
          <w:tab w:val="clear" w:pos="567"/>
        </w:tabs>
        <w:rPr>
          <w:color w:val="000000"/>
          <w:szCs w:val="22"/>
          <w:lang w:val="es-ES"/>
        </w:rPr>
      </w:pPr>
      <w:r w:rsidRPr="002D741C">
        <w:rPr>
          <w:i/>
          <w:color w:val="000000"/>
          <w:szCs w:val="22"/>
          <w:lang w:val="es-ES"/>
        </w:rPr>
        <w:t>Crisis linfoide blástica:</w:t>
      </w:r>
      <w:r w:rsidRPr="002D741C">
        <w:rPr>
          <w:color w:val="000000"/>
          <w:szCs w:val="22"/>
          <w:lang w:val="es-ES"/>
        </w:rPr>
        <w:t xml:space="preserve"> se incluyeron un número limitado de pacientes en los estudios de fase I (n=10). La tasa de respuesta hematológica fue del 70% con una duración de 2–3 meses.</w:t>
      </w:r>
    </w:p>
    <w:p w14:paraId="35976EF9" w14:textId="77777777" w:rsidR="00C45062" w:rsidRPr="002D741C" w:rsidRDefault="00C45062" w:rsidP="00C45062">
      <w:pPr>
        <w:pStyle w:val="EndnoteText"/>
        <w:widowControl w:val="0"/>
        <w:tabs>
          <w:tab w:val="clear" w:pos="567"/>
        </w:tabs>
        <w:rPr>
          <w:color w:val="000000"/>
          <w:szCs w:val="22"/>
          <w:lang w:val="es-ES"/>
        </w:rPr>
      </w:pPr>
    </w:p>
    <w:p w14:paraId="0D8910CA" w14:textId="77777777" w:rsidR="00C45062" w:rsidRPr="002D741C" w:rsidRDefault="00C45062" w:rsidP="00AD13BE">
      <w:pPr>
        <w:pStyle w:val="EndnoteText"/>
        <w:keepNext/>
        <w:widowControl w:val="0"/>
        <w:tabs>
          <w:tab w:val="clear" w:pos="567"/>
          <w:tab w:val="left" w:pos="1134"/>
        </w:tabs>
        <w:rPr>
          <w:b/>
          <w:color w:val="000000"/>
          <w:szCs w:val="22"/>
          <w:lang w:val="es-ES"/>
        </w:rPr>
      </w:pPr>
      <w:r w:rsidRPr="002D741C">
        <w:rPr>
          <w:b/>
          <w:color w:val="000000"/>
          <w:szCs w:val="22"/>
          <w:lang w:val="es-ES"/>
        </w:rPr>
        <w:lastRenderedPageBreak/>
        <w:t>Tabla </w:t>
      </w:r>
      <w:r w:rsidR="005A1A7A" w:rsidRPr="002D741C">
        <w:rPr>
          <w:b/>
          <w:color w:val="000000"/>
          <w:szCs w:val="22"/>
          <w:lang w:val="es-ES"/>
        </w:rPr>
        <w:t>3</w:t>
      </w:r>
      <w:r w:rsidRPr="002D741C">
        <w:rPr>
          <w:b/>
          <w:color w:val="000000"/>
          <w:szCs w:val="22"/>
          <w:lang w:val="es-ES"/>
        </w:rPr>
        <w:tab/>
        <w:t>Respuesta en los ensayos LMC en adultos</w:t>
      </w:r>
    </w:p>
    <w:p w14:paraId="5E55D00D" w14:textId="77777777" w:rsidR="00C45062" w:rsidRPr="002D741C" w:rsidRDefault="00C45062" w:rsidP="00AD13BE">
      <w:pPr>
        <w:pStyle w:val="EndnoteText"/>
        <w:keepNext/>
        <w:widowControl w:val="0"/>
        <w:tabs>
          <w:tab w:val="clear" w:pos="567"/>
        </w:tabs>
        <w:rPr>
          <w:color w:val="000000"/>
          <w:szCs w:val="22"/>
          <w:lang w:val="es-ES"/>
        </w:rPr>
      </w:pPr>
    </w:p>
    <w:tbl>
      <w:tblPr>
        <w:tblW w:w="921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04"/>
        <w:gridCol w:w="2254"/>
        <w:gridCol w:w="2253"/>
        <w:gridCol w:w="2103"/>
      </w:tblGrid>
      <w:tr w:rsidR="00C45062" w:rsidRPr="002D741C" w14:paraId="31F05F10" w14:textId="77777777" w:rsidTr="00AD13BE">
        <w:trPr>
          <w:cantSplit/>
        </w:trPr>
        <w:tc>
          <w:tcPr>
            <w:tcW w:w="2604" w:type="dxa"/>
          </w:tcPr>
          <w:p w14:paraId="1D1B652E" w14:textId="77777777" w:rsidR="00C45062" w:rsidRPr="002D741C" w:rsidRDefault="00C45062" w:rsidP="00AD13BE">
            <w:pPr>
              <w:pStyle w:val="EndnoteText"/>
              <w:keepNext/>
              <w:widowControl w:val="0"/>
              <w:tabs>
                <w:tab w:val="clear" w:pos="567"/>
              </w:tabs>
              <w:rPr>
                <w:color w:val="000000"/>
                <w:szCs w:val="22"/>
                <w:lang w:val="es-ES"/>
              </w:rPr>
            </w:pPr>
          </w:p>
        </w:tc>
        <w:tc>
          <w:tcPr>
            <w:tcW w:w="2254" w:type="dxa"/>
          </w:tcPr>
          <w:p w14:paraId="3F05631D" w14:textId="77777777" w:rsidR="00C45062" w:rsidRPr="002D741C" w:rsidRDefault="00C45062" w:rsidP="00AD13BE">
            <w:pPr>
              <w:pStyle w:val="EndnoteText"/>
              <w:keepNext/>
              <w:widowControl w:val="0"/>
              <w:tabs>
                <w:tab w:val="clear" w:pos="567"/>
              </w:tabs>
              <w:jc w:val="center"/>
              <w:rPr>
                <w:color w:val="000000"/>
                <w:szCs w:val="22"/>
                <w:lang w:val="es-ES"/>
              </w:rPr>
            </w:pPr>
            <w:r w:rsidRPr="002D741C">
              <w:rPr>
                <w:color w:val="000000"/>
                <w:szCs w:val="22"/>
                <w:lang w:val="es-ES"/>
              </w:rPr>
              <w:t>Estudio 0110</w:t>
            </w:r>
          </w:p>
          <w:p w14:paraId="4CB81B5D" w14:textId="77777777" w:rsidR="00C45062" w:rsidRPr="002D741C" w:rsidRDefault="00C45062" w:rsidP="00AD13BE">
            <w:pPr>
              <w:pStyle w:val="EndnoteText"/>
              <w:keepNext/>
              <w:widowControl w:val="0"/>
              <w:tabs>
                <w:tab w:val="clear" w:pos="567"/>
              </w:tabs>
              <w:jc w:val="center"/>
              <w:rPr>
                <w:color w:val="000000"/>
                <w:szCs w:val="22"/>
                <w:lang w:val="es-ES"/>
              </w:rPr>
            </w:pPr>
            <w:r w:rsidRPr="002D741C">
              <w:rPr>
                <w:color w:val="000000"/>
                <w:szCs w:val="22"/>
                <w:lang w:val="es-ES"/>
              </w:rPr>
              <w:t>Datos a los 37 meses</w:t>
            </w:r>
          </w:p>
          <w:p w14:paraId="4DFE91BB" w14:textId="77777777" w:rsidR="00C45062" w:rsidRPr="002D741C" w:rsidRDefault="00C45062" w:rsidP="00AD13BE">
            <w:pPr>
              <w:pStyle w:val="EndnoteText"/>
              <w:keepNext/>
              <w:widowControl w:val="0"/>
              <w:tabs>
                <w:tab w:val="clear" w:pos="567"/>
              </w:tabs>
              <w:jc w:val="center"/>
              <w:rPr>
                <w:color w:val="000000"/>
                <w:szCs w:val="22"/>
                <w:lang w:val="es-ES"/>
              </w:rPr>
            </w:pPr>
            <w:r w:rsidRPr="002D741C">
              <w:rPr>
                <w:color w:val="000000"/>
                <w:szCs w:val="22"/>
                <w:lang w:val="es-ES"/>
              </w:rPr>
              <w:t>Fase crónica, fallo IFN (n=532)</w:t>
            </w:r>
          </w:p>
        </w:tc>
        <w:tc>
          <w:tcPr>
            <w:tcW w:w="2253" w:type="dxa"/>
          </w:tcPr>
          <w:p w14:paraId="3A298FB2" w14:textId="77777777" w:rsidR="00C45062" w:rsidRPr="002D741C" w:rsidRDefault="00C45062" w:rsidP="00AD13BE">
            <w:pPr>
              <w:pStyle w:val="EndnoteText"/>
              <w:keepNext/>
              <w:widowControl w:val="0"/>
              <w:tabs>
                <w:tab w:val="clear" w:pos="567"/>
              </w:tabs>
              <w:jc w:val="center"/>
              <w:rPr>
                <w:color w:val="000000"/>
                <w:szCs w:val="22"/>
                <w:lang w:val="es-ES"/>
              </w:rPr>
            </w:pPr>
            <w:r w:rsidRPr="002D741C">
              <w:rPr>
                <w:color w:val="000000"/>
                <w:szCs w:val="22"/>
                <w:lang w:val="es-ES"/>
              </w:rPr>
              <w:t>Estudio 0109</w:t>
            </w:r>
          </w:p>
          <w:p w14:paraId="677A748E" w14:textId="77777777" w:rsidR="00C45062" w:rsidRPr="002D741C" w:rsidRDefault="00C45062" w:rsidP="00AD13BE">
            <w:pPr>
              <w:pStyle w:val="EndnoteText"/>
              <w:keepNext/>
              <w:widowControl w:val="0"/>
              <w:tabs>
                <w:tab w:val="clear" w:pos="567"/>
              </w:tabs>
              <w:jc w:val="center"/>
              <w:rPr>
                <w:color w:val="000000"/>
                <w:szCs w:val="22"/>
                <w:lang w:val="es-ES"/>
              </w:rPr>
            </w:pPr>
            <w:r w:rsidRPr="002D741C">
              <w:rPr>
                <w:color w:val="000000"/>
                <w:szCs w:val="22"/>
                <w:lang w:val="es-ES"/>
              </w:rPr>
              <w:t>Datos a los 40,5 meses</w:t>
            </w:r>
          </w:p>
          <w:p w14:paraId="5FD66412" w14:textId="77777777" w:rsidR="00C45062" w:rsidRPr="002D741C" w:rsidRDefault="00C45062" w:rsidP="00AD13BE">
            <w:pPr>
              <w:pStyle w:val="EndnoteText"/>
              <w:keepNext/>
              <w:widowControl w:val="0"/>
              <w:tabs>
                <w:tab w:val="clear" w:pos="567"/>
              </w:tabs>
              <w:jc w:val="center"/>
              <w:rPr>
                <w:color w:val="000000"/>
                <w:szCs w:val="22"/>
                <w:lang w:val="es-ES"/>
              </w:rPr>
            </w:pPr>
            <w:r w:rsidRPr="002D741C">
              <w:rPr>
                <w:color w:val="000000"/>
                <w:szCs w:val="22"/>
                <w:lang w:val="es-ES"/>
              </w:rPr>
              <w:t>Fase acelerada</w:t>
            </w:r>
          </w:p>
          <w:p w14:paraId="3EC9E360" w14:textId="77777777" w:rsidR="00C45062" w:rsidRPr="002D741C" w:rsidRDefault="00C45062" w:rsidP="00AD13BE">
            <w:pPr>
              <w:pStyle w:val="EndnoteText"/>
              <w:keepNext/>
              <w:widowControl w:val="0"/>
              <w:tabs>
                <w:tab w:val="clear" w:pos="567"/>
              </w:tabs>
              <w:jc w:val="center"/>
              <w:rPr>
                <w:color w:val="000000"/>
                <w:szCs w:val="22"/>
                <w:lang w:val="es-ES"/>
              </w:rPr>
            </w:pPr>
            <w:r w:rsidRPr="002D741C">
              <w:rPr>
                <w:color w:val="000000"/>
                <w:szCs w:val="22"/>
                <w:lang w:val="es-ES"/>
              </w:rPr>
              <w:t>(n=235)</w:t>
            </w:r>
          </w:p>
        </w:tc>
        <w:tc>
          <w:tcPr>
            <w:tcW w:w="2103" w:type="dxa"/>
          </w:tcPr>
          <w:p w14:paraId="6224B5BC" w14:textId="77777777" w:rsidR="00C45062" w:rsidRPr="002D741C" w:rsidRDefault="00C45062" w:rsidP="00AD13BE">
            <w:pPr>
              <w:pStyle w:val="EndnoteText"/>
              <w:keepNext/>
              <w:widowControl w:val="0"/>
              <w:tabs>
                <w:tab w:val="clear" w:pos="567"/>
              </w:tabs>
              <w:jc w:val="center"/>
              <w:rPr>
                <w:color w:val="000000"/>
                <w:szCs w:val="22"/>
                <w:lang w:val="es-ES"/>
              </w:rPr>
            </w:pPr>
            <w:r w:rsidRPr="002D741C">
              <w:rPr>
                <w:color w:val="000000"/>
                <w:szCs w:val="22"/>
                <w:lang w:val="es-ES"/>
              </w:rPr>
              <w:t>Estudio 0102</w:t>
            </w:r>
          </w:p>
          <w:p w14:paraId="355CE1A9" w14:textId="77777777" w:rsidR="00C45062" w:rsidRPr="002D741C" w:rsidRDefault="00C45062" w:rsidP="00AD13BE">
            <w:pPr>
              <w:pStyle w:val="EndnoteText"/>
              <w:keepNext/>
              <w:widowControl w:val="0"/>
              <w:tabs>
                <w:tab w:val="clear" w:pos="567"/>
              </w:tabs>
              <w:jc w:val="center"/>
              <w:rPr>
                <w:color w:val="000000"/>
                <w:szCs w:val="22"/>
                <w:lang w:val="es-ES"/>
              </w:rPr>
            </w:pPr>
            <w:r w:rsidRPr="002D741C">
              <w:rPr>
                <w:color w:val="000000"/>
                <w:szCs w:val="22"/>
                <w:lang w:val="es-ES"/>
              </w:rPr>
              <w:t>Datos a los 38 meses</w:t>
            </w:r>
          </w:p>
          <w:p w14:paraId="4749ED9B" w14:textId="77777777" w:rsidR="00C45062" w:rsidRPr="002D741C" w:rsidRDefault="00C45062" w:rsidP="00AD13BE">
            <w:pPr>
              <w:pStyle w:val="EndnoteText"/>
              <w:keepNext/>
              <w:widowControl w:val="0"/>
              <w:tabs>
                <w:tab w:val="clear" w:pos="567"/>
              </w:tabs>
              <w:jc w:val="center"/>
              <w:rPr>
                <w:color w:val="000000"/>
                <w:szCs w:val="22"/>
                <w:lang w:val="es-ES"/>
              </w:rPr>
            </w:pPr>
            <w:r w:rsidRPr="002D741C">
              <w:rPr>
                <w:color w:val="000000"/>
                <w:szCs w:val="22"/>
                <w:lang w:val="es-ES"/>
              </w:rPr>
              <w:t>Crisis mieloide blástica</w:t>
            </w:r>
          </w:p>
          <w:p w14:paraId="7A2D2BA5" w14:textId="77777777" w:rsidR="00C45062" w:rsidRPr="002D741C" w:rsidRDefault="00C45062" w:rsidP="00AD13BE">
            <w:pPr>
              <w:pStyle w:val="EndnoteText"/>
              <w:keepNext/>
              <w:widowControl w:val="0"/>
              <w:tabs>
                <w:tab w:val="clear" w:pos="567"/>
              </w:tabs>
              <w:jc w:val="center"/>
              <w:rPr>
                <w:color w:val="000000"/>
                <w:szCs w:val="22"/>
                <w:lang w:val="es-ES"/>
              </w:rPr>
            </w:pPr>
            <w:r w:rsidRPr="002D741C">
              <w:rPr>
                <w:color w:val="000000"/>
                <w:szCs w:val="22"/>
                <w:lang w:val="es-ES"/>
              </w:rPr>
              <w:t>(n=260)</w:t>
            </w:r>
          </w:p>
        </w:tc>
      </w:tr>
      <w:tr w:rsidR="00C45062" w:rsidRPr="002D741C" w14:paraId="2C1C7546" w14:textId="77777777" w:rsidTr="00AD13BE">
        <w:trPr>
          <w:cantSplit/>
        </w:trPr>
        <w:tc>
          <w:tcPr>
            <w:tcW w:w="2604" w:type="dxa"/>
          </w:tcPr>
          <w:p w14:paraId="6D7BC80B" w14:textId="77777777" w:rsidR="00C45062" w:rsidRPr="002D741C" w:rsidRDefault="00C45062" w:rsidP="00AD13BE">
            <w:pPr>
              <w:pStyle w:val="EndnoteText"/>
              <w:keepNext/>
              <w:widowControl w:val="0"/>
              <w:tabs>
                <w:tab w:val="clear" w:pos="567"/>
              </w:tabs>
              <w:jc w:val="center"/>
              <w:rPr>
                <w:color w:val="000000"/>
                <w:szCs w:val="22"/>
                <w:lang w:val="es-ES"/>
              </w:rPr>
            </w:pPr>
          </w:p>
        </w:tc>
        <w:tc>
          <w:tcPr>
            <w:tcW w:w="6610" w:type="dxa"/>
            <w:gridSpan w:val="3"/>
          </w:tcPr>
          <w:p w14:paraId="40B64907" w14:textId="77777777" w:rsidR="00C45062" w:rsidRPr="002D741C" w:rsidRDefault="00C45062" w:rsidP="00AD13BE">
            <w:pPr>
              <w:pStyle w:val="EndnoteText"/>
              <w:keepNext/>
              <w:widowControl w:val="0"/>
              <w:tabs>
                <w:tab w:val="clear" w:pos="567"/>
              </w:tabs>
              <w:jc w:val="center"/>
              <w:rPr>
                <w:color w:val="000000"/>
                <w:szCs w:val="22"/>
                <w:lang w:val="es-ES"/>
              </w:rPr>
            </w:pPr>
            <w:r w:rsidRPr="002D741C">
              <w:rPr>
                <w:color w:val="000000"/>
                <w:szCs w:val="22"/>
                <w:lang w:val="es-ES"/>
              </w:rPr>
              <w:t xml:space="preserve">% de pacientes (IC </w:t>
            </w:r>
            <w:r w:rsidRPr="002D741C">
              <w:rPr>
                <w:color w:val="000000"/>
                <w:szCs w:val="22"/>
                <w:vertAlign w:val="subscript"/>
                <w:lang w:val="es-ES"/>
              </w:rPr>
              <w:t>95%</w:t>
            </w:r>
            <w:r w:rsidRPr="002D741C">
              <w:rPr>
                <w:color w:val="000000"/>
                <w:szCs w:val="22"/>
                <w:lang w:val="es-ES"/>
              </w:rPr>
              <w:t>)</w:t>
            </w:r>
          </w:p>
        </w:tc>
      </w:tr>
      <w:tr w:rsidR="00C45062" w:rsidRPr="002D741C" w14:paraId="61E17BF8" w14:textId="77777777" w:rsidTr="00AD13BE">
        <w:trPr>
          <w:cantSplit/>
        </w:trPr>
        <w:tc>
          <w:tcPr>
            <w:tcW w:w="2604" w:type="dxa"/>
          </w:tcPr>
          <w:p w14:paraId="5ACBCF33" w14:textId="77777777" w:rsidR="00C45062" w:rsidRPr="002D741C" w:rsidRDefault="00C45062" w:rsidP="00AD13BE">
            <w:pPr>
              <w:pStyle w:val="EndnoteText"/>
              <w:keepNext/>
              <w:widowControl w:val="0"/>
              <w:tabs>
                <w:tab w:val="clear" w:pos="567"/>
              </w:tabs>
              <w:rPr>
                <w:color w:val="000000"/>
                <w:szCs w:val="22"/>
                <w:lang w:val="es-ES"/>
              </w:rPr>
            </w:pPr>
            <w:r w:rsidRPr="002D741C">
              <w:rPr>
                <w:color w:val="000000"/>
                <w:szCs w:val="22"/>
                <w:lang w:val="es-ES"/>
              </w:rPr>
              <w:t>Respuesta hematológica</w:t>
            </w:r>
            <w:r w:rsidRPr="002D741C">
              <w:rPr>
                <w:color w:val="000000"/>
                <w:szCs w:val="22"/>
                <w:vertAlign w:val="superscript"/>
                <w:lang w:val="es-ES"/>
              </w:rPr>
              <w:t>1</w:t>
            </w:r>
          </w:p>
          <w:p w14:paraId="57D8D063" w14:textId="77777777" w:rsidR="00C45062" w:rsidRPr="002D741C" w:rsidRDefault="00C45062" w:rsidP="00AD13BE">
            <w:pPr>
              <w:pStyle w:val="EndnoteText"/>
              <w:keepNext/>
              <w:widowControl w:val="0"/>
              <w:tabs>
                <w:tab w:val="clear" w:pos="567"/>
                <w:tab w:val="left" w:pos="176"/>
              </w:tabs>
              <w:ind w:left="176" w:hanging="176"/>
              <w:rPr>
                <w:color w:val="000000"/>
                <w:szCs w:val="22"/>
                <w:lang w:val="es-ES"/>
              </w:rPr>
            </w:pPr>
            <w:r w:rsidRPr="002D741C">
              <w:rPr>
                <w:color w:val="000000"/>
                <w:szCs w:val="22"/>
                <w:lang w:val="es-ES"/>
              </w:rPr>
              <w:tab/>
              <w:t>Respuesta hematológica completa (RHC)</w:t>
            </w:r>
          </w:p>
          <w:p w14:paraId="33BF3F48" w14:textId="77777777" w:rsidR="00C45062" w:rsidRPr="002D741C" w:rsidRDefault="00C45062" w:rsidP="00AD13BE">
            <w:pPr>
              <w:pStyle w:val="EndnoteText"/>
              <w:keepNext/>
              <w:widowControl w:val="0"/>
              <w:tabs>
                <w:tab w:val="clear" w:pos="567"/>
                <w:tab w:val="left" w:pos="176"/>
              </w:tabs>
              <w:rPr>
                <w:color w:val="000000"/>
                <w:szCs w:val="22"/>
                <w:lang w:val="es-ES"/>
              </w:rPr>
            </w:pPr>
            <w:r w:rsidRPr="002D741C">
              <w:rPr>
                <w:color w:val="000000"/>
                <w:szCs w:val="22"/>
                <w:lang w:val="es-ES"/>
              </w:rPr>
              <w:tab/>
              <w:t>Sin evidencia de leucemia (N</w:t>
            </w:r>
            <w:smartTag w:uri="urn:schemas-microsoft-com:office:smarttags" w:element="PersonName">
              <w:r w:rsidRPr="002D741C">
                <w:rPr>
                  <w:color w:val="000000"/>
                  <w:szCs w:val="22"/>
                  <w:lang w:val="es-ES"/>
                </w:rPr>
                <w:t>EL</w:t>
              </w:r>
            </w:smartTag>
            <w:r w:rsidRPr="002D741C">
              <w:rPr>
                <w:color w:val="000000"/>
                <w:szCs w:val="22"/>
                <w:lang w:val="es-ES"/>
              </w:rPr>
              <w:t>)</w:t>
            </w:r>
          </w:p>
          <w:p w14:paraId="4AEB746A" w14:textId="77777777" w:rsidR="00C45062" w:rsidRPr="002D741C" w:rsidRDefault="00C45062" w:rsidP="00AD13BE">
            <w:pPr>
              <w:pStyle w:val="EndnoteText"/>
              <w:keepNext/>
              <w:widowControl w:val="0"/>
              <w:tabs>
                <w:tab w:val="clear" w:pos="567"/>
                <w:tab w:val="left" w:pos="176"/>
              </w:tabs>
              <w:rPr>
                <w:color w:val="000000"/>
                <w:szCs w:val="22"/>
                <w:lang w:val="es-ES"/>
              </w:rPr>
            </w:pPr>
            <w:r w:rsidRPr="002D741C">
              <w:rPr>
                <w:color w:val="000000"/>
                <w:szCs w:val="22"/>
                <w:lang w:val="es-ES"/>
              </w:rPr>
              <w:tab/>
              <w:t>Retorno a la fase crónica (RFC)</w:t>
            </w:r>
          </w:p>
        </w:tc>
        <w:tc>
          <w:tcPr>
            <w:tcW w:w="2254" w:type="dxa"/>
          </w:tcPr>
          <w:p w14:paraId="45DDD662" w14:textId="77777777" w:rsidR="00C45062" w:rsidRPr="002D741C" w:rsidRDefault="00C45062" w:rsidP="00AD13BE">
            <w:pPr>
              <w:pStyle w:val="EndnoteText"/>
              <w:keepNext/>
              <w:widowControl w:val="0"/>
              <w:tabs>
                <w:tab w:val="clear" w:pos="567"/>
              </w:tabs>
              <w:jc w:val="center"/>
              <w:rPr>
                <w:color w:val="000000"/>
                <w:szCs w:val="22"/>
                <w:lang w:val="es-ES"/>
              </w:rPr>
            </w:pPr>
            <w:r w:rsidRPr="002D741C">
              <w:rPr>
                <w:color w:val="000000"/>
                <w:szCs w:val="22"/>
              </w:rPr>
              <w:t>95% (92,3–96,3)</w:t>
            </w:r>
          </w:p>
          <w:p w14:paraId="6A763934" w14:textId="77777777" w:rsidR="00C45062" w:rsidRPr="002D741C" w:rsidRDefault="00C45062" w:rsidP="00AD13BE">
            <w:pPr>
              <w:pStyle w:val="EndnoteText"/>
              <w:keepNext/>
              <w:widowControl w:val="0"/>
              <w:tabs>
                <w:tab w:val="clear" w:pos="567"/>
              </w:tabs>
              <w:jc w:val="center"/>
              <w:rPr>
                <w:color w:val="000000"/>
                <w:szCs w:val="22"/>
                <w:lang w:val="es-ES"/>
              </w:rPr>
            </w:pPr>
            <w:r w:rsidRPr="002D741C">
              <w:rPr>
                <w:color w:val="000000"/>
                <w:szCs w:val="22"/>
              </w:rPr>
              <w:t>95%</w:t>
            </w:r>
          </w:p>
          <w:p w14:paraId="547D644B" w14:textId="77777777" w:rsidR="00C45062" w:rsidRPr="002D741C" w:rsidRDefault="00C45062" w:rsidP="00AD13BE">
            <w:pPr>
              <w:pStyle w:val="EndnoteText"/>
              <w:keepNext/>
              <w:widowControl w:val="0"/>
              <w:tabs>
                <w:tab w:val="clear" w:pos="567"/>
              </w:tabs>
              <w:jc w:val="center"/>
              <w:rPr>
                <w:color w:val="000000"/>
                <w:szCs w:val="22"/>
                <w:lang w:val="es-ES"/>
              </w:rPr>
            </w:pPr>
          </w:p>
          <w:p w14:paraId="697D7A5E" w14:textId="77777777" w:rsidR="00C45062" w:rsidRPr="002D741C" w:rsidRDefault="00C45062" w:rsidP="00AD13BE">
            <w:pPr>
              <w:pStyle w:val="EndnoteText"/>
              <w:keepNext/>
              <w:widowControl w:val="0"/>
              <w:tabs>
                <w:tab w:val="clear" w:pos="567"/>
              </w:tabs>
              <w:jc w:val="center"/>
              <w:rPr>
                <w:color w:val="000000"/>
                <w:szCs w:val="22"/>
                <w:lang w:val="es-ES"/>
              </w:rPr>
            </w:pPr>
            <w:r w:rsidRPr="002D741C">
              <w:rPr>
                <w:color w:val="000000"/>
                <w:szCs w:val="22"/>
                <w:lang w:val="es-ES"/>
              </w:rPr>
              <w:t>No aplicable</w:t>
            </w:r>
          </w:p>
          <w:p w14:paraId="0DCC6249" w14:textId="77777777" w:rsidR="00C45062" w:rsidRPr="002D741C" w:rsidRDefault="00C45062" w:rsidP="00AD13BE">
            <w:pPr>
              <w:pStyle w:val="EndnoteText"/>
              <w:keepNext/>
              <w:widowControl w:val="0"/>
              <w:tabs>
                <w:tab w:val="clear" w:pos="567"/>
              </w:tabs>
              <w:jc w:val="center"/>
              <w:rPr>
                <w:color w:val="000000"/>
                <w:szCs w:val="22"/>
                <w:lang w:val="es-ES"/>
              </w:rPr>
            </w:pPr>
            <w:r w:rsidRPr="002D741C">
              <w:rPr>
                <w:color w:val="000000"/>
                <w:szCs w:val="22"/>
                <w:lang w:val="es-ES"/>
              </w:rPr>
              <w:t>No aplicable</w:t>
            </w:r>
          </w:p>
        </w:tc>
        <w:tc>
          <w:tcPr>
            <w:tcW w:w="2253" w:type="dxa"/>
          </w:tcPr>
          <w:p w14:paraId="74E340D7" w14:textId="77777777" w:rsidR="00C45062" w:rsidRPr="002D741C" w:rsidRDefault="00C45062" w:rsidP="00AD13BE">
            <w:pPr>
              <w:pStyle w:val="EndnoteText"/>
              <w:keepNext/>
              <w:widowControl w:val="0"/>
              <w:tabs>
                <w:tab w:val="clear" w:pos="567"/>
              </w:tabs>
              <w:jc w:val="center"/>
              <w:rPr>
                <w:color w:val="000000"/>
                <w:szCs w:val="22"/>
                <w:lang w:val="es-ES"/>
              </w:rPr>
            </w:pPr>
            <w:r w:rsidRPr="002D741C">
              <w:rPr>
                <w:color w:val="000000"/>
                <w:szCs w:val="22"/>
              </w:rPr>
              <w:t>71% (65,3–77,2)</w:t>
            </w:r>
          </w:p>
          <w:p w14:paraId="4D3B6C65" w14:textId="77777777" w:rsidR="00C45062" w:rsidRPr="002D741C" w:rsidRDefault="00C45062" w:rsidP="00AD13BE">
            <w:pPr>
              <w:pStyle w:val="EndnoteText"/>
              <w:keepNext/>
              <w:widowControl w:val="0"/>
              <w:tabs>
                <w:tab w:val="clear" w:pos="567"/>
              </w:tabs>
              <w:jc w:val="center"/>
              <w:rPr>
                <w:color w:val="000000"/>
                <w:szCs w:val="22"/>
                <w:lang w:val="es-ES"/>
              </w:rPr>
            </w:pPr>
            <w:r w:rsidRPr="002D741C">
              <w:rPr>
                <w:color w:val="000000"/>
                <w:szCs w:val="22"/>
              </w:rPr>
              <w:t>42%</w:t>
            </w:r>
          </w:p>
          <w:p w14:paraId="7BBA34EE" w14:textId="77777777" w:rsidR="00C45062" w:rsidRPr="002D741C" w:rsidRDefault="00C45062" w:rsidP="00AD13BE">
            <w:pPr>
              <w:pStyle w:val="EndnoteText"/>
              <w:keepNext/>
              <w:widowControl w:val="0"/>
              <w:tabs>
                <w:tab w:val="clear" w:pos="567"/>
              </w:tabs>
              <w:jc w:val="center"/>
              <w:rPr>
                <w:color w:val="000000"/>
                <w:szCs w:val="22"/>
                <w:lang w:val="es-ES"/>
              </w:rPr>
            </w:pPr>
          </w:p>
          <w:p w14:paraId="318D9149" w14:textId="77777777" w:rsidR="00C45062" w:rsidRPr="002D741C" w:rsidRDefault="00C45062" w:rsidP="00AD13BE">
            <w:pPr>
              <w:pStyle w:val="EndnoteText"/>
              <w:keepNext/>
              <w:widowControl w:val="0"/>
              <w:tabs>
                <w:tab w:val="clear" w:pos="567"/>
              </w:tabs>
              <w:jc w:val="center"/>
              <w:rPr>
                <w:color w:val="000000"/>
                <w:szCs w:val="22"/>
                <w:lang w:val="es-ES"/>
              </w:rPr>
            </w:pPr>
            <w:r w:rsidRPr="002D741C">
              <w:rPr>
                <w:color w:val="000000"/>
                <w:szCs w:val="22"/>
                <w:lang w:val="es-ES"/>
              </w:rPr>
              <w:t>12%</w:t>
            </w:r>
          </w:p>
          <w:p w14:paraId="1F0B7D0E" w14:textId="77777777" w:rsidR="00C45062" w:rsidRPr="002D741C" w:rsidRDefault="00C45062" w:rsidP="00AD13BE">
            <w:pPr>
              <w:pStyle w:val="EndnoteText"/>
              <w:keepNext/>
              <w:widowControl w:val="0"/>
              <w:tabs>
                <w:tab w:val="clear" w:pos="567"/>
              </w:tabs>
              <w:jc w:val="center"/>
              <w:rPr>
                <w:color w:val="000000"/>
                <w:szCs w:val="22"/>
                <w:lang w:val="es-ES"/>
              </w:rPr>
            </w:pPr>
            <w:r w:rsidRPr="002D741C">
              <w:rPr>
                <w:color w:val="000000"/>
                <w:szCs w:val="22"/>
                <w:lang w:val="es-ES"/>
              </w:rPr>
              <w:t>17%</w:t>
            </w:r>
          </w:p>
        </w:tc>
        <w:tc>
          <w:tcPr>
            <w:tcW w:w="2103" w:type="dxa"/>
          </w:tcPr>
          <w:p w14:paraId="16C94C45" w14:textId="77777777" w:rsidR="00C45062" w:rsidRPr="002D741C" w:rsidRDefault="00C45062" w:rsidP="00AD13BE">
            <w:pPr>
              <w:pStyle w:val="EndnoteText"/>
              <w:keepNext/>
              <w:widowControl w:val="0"/>
              <w:tabs>
                <w:tab w:val="clear" w:pos="567"/>
              </w:tabs>
              <w:jc w:val="center"/>
              <w:rPr>
                <w:color w:val="000000"/>
                <w:szCs w:val="22"/>
                <w:lang w:val="es-ES"/>
              </w:rPr>
            </w:pPr>
            <w:r w:rsidRPr="002D741C">
              <w:rPr>
                <w:color w:val="000000"/>
                <w:szCs w:val="22"/>
              </w:rPr>
              <w:t>31% (25,2–36,8)</w:t>
            </w:r>
          </w:p>
          <w:p w14:paraId="437F9FCC" w14:textId="77777777" w:rsidR="00C45062" w:rsidRPr="002D741C" w:rsidRDefault="00C45062" w:rsidP="00AD13BE">
            <w:pPr>
              <w:pStyle w:val="EndnoteText"/>
              <w:keepNext/>
              <w:widowControl w:val="0"/>
              <w:tabs>
                <w:tab w:val="clear" w:pos="567"/>
              </w:tabs>
              <w:jc w:val="center"/>
              <w:rPr>
                <w:color w:val="000000"/>
                <w:szCs w:val="22"/>
                <w:lang w:val="es-ES"/>
              </w:rPr>
            </w:pPr>
            <w:r w:rsidRPr="002D741C">
              <w:rPr>
                <w:color w:val="000000"/>
                <w:szCs w:val="22"/>
              </w:rPr>
              <w:t>8%</w:t>
            </w:r>
          </w:p>
          <w:p w14:paraId="12223FCF" w14:textId="77777777" w:rsidR="00C45062" w:rsidRPr="002D741C" w:rsidRDefault="00C45062" w:rsidP="00AD13BE">
            <w:pPr>
              <w:pStyle w:val="EndnoteText"/>
              <w:keepNext/>
              <w:widowControl w:val="0"/>
              <w:tabs>
                <w:tab w:val="clear" w:pos="567"/>
              </w:tabs>
              <w:jc w:val="center"/>
              <w:rPr>
                <w:color w:val="000000"/>
                <w:szCs w:val="22"/>
                <w:lang w:val="es-ES"/>
              </w:rPr>
            </w:pPr>
          </w:p>
          <w:p w14:paraId="46F6B4DA" w14:textId="77777777" w:rsidR="00C45062" w:rsidRPr="002D741C" w:rsidRDefault="00C45062" w:rsidP="00AD13BE">
            <w:pPr>
              <w:pStyle w:val="EndnoteText"/>
              <w:keepNext/>
              <w:widowControl w:val="0"/>
              <w:tabs>
                <w:tab w:val="clear" w:pos="567"/>
              </w:tabs>
              <w:jc w:val="center"/>
              <w:rPr>
                <w:color w:val="000000"/>
                <w:szCs w:val="22"/>
                <w:lang w:val="es-ES"/>
              </w:rPr>
            </w:pPr>
            <w:r w:rsidRPr="002D741C">
              <w:rPr>
                <w:color w:val="000000"/>
                <w:szCs w:val="22"/>
                <w:lang w:val="es-ES"/>
              </w:rPr>
              <w:t>5%</w:t>
            </w:r>
          </w:p>
          <w:p w14:paraId="0184E212" w14:textId="77777777" w:rsidR="00C45062" w:rsidRPr="002D741C" w:rsidRDefault="00C45062" w:rsidP="00AD13BE">
            <w:pPr>
              <w:pStyle w:val="EndnoteText"/>
              <w:keepNext/>
              <w:widowControl w:val="0"/>
              <w:tabs>
                <w:tab w:val="clear" w:pos="567"/>
              </w:tabs>
              <w:jc w:val="center"/>
              <w:rPr>
                <w:color w:val="000000"/>
                <w:szCs w:val="22"/>
                <w:lang w:val="es-ES"/>
              </w:rPr>
            </w:pPr>
            <w:r w:rsidRPr="002D741C">
              <w:rPr>
                <w:color w:val="000000"/>
                <w:szCs w:val="22"/>
                <w:lang w:val="es-ES"/>
              </w:rPr>
              <w:t>18%</w:t>
            </w:r>
          </w:p>
        </w:tc>
      </w:tr>
      <w:tr w:rsidR="00C45062" w:rsidRPr="002D741C" w14:paraId="747B488A" w14:textId="77777777" w:rsidTr="00AD13BE">
        <w:trPr>
          <w:cantSplit/>
        </w:trPr>
        <w:tc>
          <w:tcPr>
            <w:tcW w:w="2604" w:type="dxa"/>
          </w:tcPr>
          <w:p w14:paraId="225DB21D" w14:textId="77777777" w:rsidR="00C45062" w:rsidRPr="002D741C" w:rsidRDefault="00C45062" w:rsidP="00AD13BE">
            <w:pPr>
              <w:pStyle w:val="EndnoteText"/>
              <w:keepNext/>
              <w:widowControl w:val="0"/>
              <w:tabs>
                <w:tab w:val="clear" w:pos="567"/>
              </w:tabs>
              <w:rPr>
                <w:color w:val="000000"/>
                <w:szCs w:val="22"/>
                <w:lang w:val="es-ES"/>
              </w:rPr>
            </w:pPr>
            <w:r w:rsidRPr="002D741C">
              <w:rPr>
                <w:color w:val="000000"/>
                <w:szCs w:val="22"/>
                <w:lang w:val="es-ES"/>
              </w:rPr>
              <w:t>Respuesta citogenética mayor</w:t>
            </w:r>
            <w:r w:rsidRPr="002D741C">
              <w:rPr>
                <w:color w:val="000000"/>
                <w:szCs w:val="22"/>
                <w:vertAlign w:val="superscript"/>
                <w:lang w:val="es-ES"/>
              </w:rPr>
              <w:t>2</w:t>
            </w:r>
          </w:p>
          <w:p w14:paraId="7F86B961" w14:textId="77777777" w:rsidR="00C45062" w:rsidRPr="002D741C" w:rsidRDefault="00C45062" w:rsidP="00AD13BE">
            <w:pPr>
              <w:pStyle w:val="EndnoteText"/>
              <w:keepNext/>
              <w:widowControl w:val="0"/>
              <w:tabs>
                <w:tab w:val="clear" w:pos="567"/>
                <w:tab w:val="left" w:pos="176"/>
              </w:tabs>
              <w:rPr>
                <w:color w:val="000000"/>
                <w:szCs w:val="22"/>
                <w:lang w:val="es-ES"/>
              </w:rPr>
            </w:pPr>
            <w:r w:rsidRPr="002D741C">
              <w:rPr>
                <w:color w:val="000000"/>
                <w:szCs w:val="22"/>
                <w:lang w:val="es-ES"/>
              </w:rPr>
              <w:tab/>
              <w:t>Completa</w:t>
            </w:r>
          </w:p>
          <w:p w14:paraId="6E82BCF1" w14:textId="77777777" w:rsidR="00C45062" w:rsidRPr="002D741C" w:rsidRDefault="00C45062" w:rsidP="00AD13BE">
            <w:pPr>
              <w:pStyle w:val="EndnoteText"/>
              <w:keepNext/>
              <w:widowControl w:val="0"/>
              <w:tabs>
                <w:tab w:val="clear" w:pos="567"/>
                <w:tab w:val="left" w:pos="176"/>
              </w:tabs>
              <w:ind w:left="176"/>
              <w:rPr>
                <w:color w:val="000000"/>
                <w:szCs w:val="22"/>
                <w:lang w:val="es-ES"/>
              </w:rPr>
            </w:pPr>
            <w:r w:rsidRPr="002D741C">
              <w:rPr>
                <w:color w:val="000000"/>
                <w:szCs w:val="22"/>
                <w:lang w:val="es-ES"/>
              </w:rPr>
              <w:t>(Confirmada</w:t>
            </w:r>
            <w:r w:rsidRPr="002D741C">
              <w:rPr>
                <w:color w:val="000000"/>
                <w:szCs w:val="22"/>
                <w:vertAlign w:val="superscript"/>
                <w:lang w:val="es-ES"/>
              </w:rPr>
              <w:t>3</w:t>
            </w:r>
            <w:r w:rsidRPr="002D741C">
              <w:rPr>
                <w:color w:val="000000"/>
                <w:szCs w:val="22"/>
                <w:lang w:val="es-ES"/>
              </w:rPr>
              <w:t>) [95% IC]</w:t>
            </w:r>
          </w:p>
          <w:p w14:paraId="28974963" w14:textId="77777777" w:rsidR="00C45062" w:rsidRPr="002D741C" w:rsidRDefault="00C45062" w:rsidP="00AD13BE">
            <w:pPr>
              <w:pStyle w:val="EndnoteText"/>
              <w:keepNext/>
              <w:widowControl w:val="0"/>
              <w:tabs>
                <w:tab w:val="clear" w:pos="567"/>
                <w:tab w:val="left" w:pos="176"/>
              </w:tabs>
              <w:rPr>
                <w:color w:val="000000"/>
                <w:szCs w:val="22"/>
                <w:lang w:val="es-ES"/>
              </w:rPr>
            </w:pPr>
            <w:r w:rsidRPr="002D741C">
              <w:rPr>
                <w:color w:val="000000"/>
                <w:szCs w:val="22"/>
                <w:lang w:val="es-ES"/>
              </w:rPr>
              <w:tab/>
              <w:t>Parcial</w:t>
            </w:r>
          </w:p>
        </w:tc>
        <w:tc>
          <w:tcPr>
            <w:tcW w:w="2254" w:type="dxa"/>
          </w:tcPr>
          <w:p w14:paraId="4EE71ABA" w14:textId="77777777" w:rsidR="00C45062" w:rsidRPr="002D741C" w:rsidRDefault="00C45062" w:rsidP="00AD13BE">
            <w:pPr>
              <w:pStyle w:val="EndnoteText"/>
              <w:keepNext/>
              <w:widowControl w:val="0"/>
              <w:tabs>
                <w:tab w:val="clear" w:pos="567"/>
              </w:tabs>
              <w:jc w:val="center"/>
              <w:rPr>
                <w:color w:val="000000"/>
                <w:szCs w:val="22"/>
                <w:lang w:val="es-ES"/>
              </w:rPr>
            </w:pPr>
            <w:r w:rsidRPr="002D741C">
              <w:rPr>
                <w:color w:val="000000"/>
                <w:szCs w:val="22"/>
              </w:rPr>
              <w:t>65% (61,2–69,5)</w:t>
            </w:r>
          </w:p>
          <w:p w14:paraId="12F94184" w14:textId="77777777" w:rsidR="00C45062" w:rsidRPr="002D741C" w:rsidRDefault="00C45062" w:rsidP="00AD13BE">
            <w:pPr>
              <w:pStyle w:val="EndnoteText"/>
              <w:keepNext/>
              <w:widowControl w:val="0"/>
              <w:tabs>
                <w:tab w:val="clear" w:pos="567"/>
              </w:tabs>
              <w:jc w:val="center"/>
              <w:rPr>
                <w:color w:val="000000"/>
                <w:szCs w:val="22"/>
                <w:lang w:val="es-ES"/>
              </w:rPr>
            </w:pPr>
            <w:r w:rsidRPr="002D741C">
              <w:rPr>
                <w:color w:val="000000"/>
                <w:szCs w:val="22"/>
              </w:rPr>
              <w:t>53%</w:t>
            </w:r>
          </w:p>
          <w:p w14:paraId="7F5326A9" w14:textId="77777777" w:rsidR="00C45062" w:rsidRPr="002D741C" w:rsidRDefault="00C45062" w:rsidP="00AD13BE">
            <w:pPr>
              <w:pStyle w:val="EndnoteText"/>
              <w:keepNext/>
              <w:widowControl w:val="0"/>
              <w:tabs>
                <w:tab w:val="clear" w:pos="567"/>
              </w:tabs>
              <w:jc w:val="center"/>
              <w:rPr>
                <w:bCs/>
                <w:color w:val="000000"/>
                <w:szCs w:val="22"/>
                <w:lang w:val="es-ES"/>
              </w:rPr>
            </w:pPr>
            <w:r w:rsidRPr="002D741C">
              <w:rPr>
                <w:bCs/>
                <w:color w:val="000000"/>
                <w:szCs w:val="22"/>
              </w:rPr>
              <w:t>(43%) [38,6–47,2]</w:t>
            </w:r>
          </w:p>
          <w:p w14:paraId="33FF2D10" w14:textId="77777777" w:rsidR="00C45062" w:rsidRPr="002D741C" w:rsidRDefault="00C45062" w:rsidP="00AD13BE">
            <w:pPr>
              <w:pStyle w:val="EndnoteText"/>
              <w:keepNext/>
              <w:widowControl w:val="0"/>
              <w:tabs>
                <w:tab w:val="clear" w:pos="567"/>
              </w:tabs>
              <w:jc w:val="center"/>
              <w:rPr>
                <w:color w:val="000000"/>
                <w:szCs w:val="22"/>
                <w:lang w:val="es-ES"/>
              </w:rPr>
            </w:pPr>
            <w:r w:rsidRPr="002D741C">
              <w:rPr>
                <w:color w:val="000000"/>
                <w:szCs w:val="22"/>
                <w:lang w:val="es-ES"/>
              </w:rPr>
              <w:t>12%</w:t>
            </w:r>
          </w:p>
        </w:tc>
        <w:tc>
          <w:tcPr>
            <w:tcW w:w="2253" w:type="dxa"/>
          </w:tcPr>
          <w:p w14:paraId="5F708877" w14:textId="77777777" w:rsidR="00C45062" w:rsidRPr="002D741C" w:rsidRDefault="00C45062" w:rsidP="00AD13BE">
            <w:pPr>
              <w:pStyle w:val="EndnoteText"/>
              <w:keepNext/>
              <w:widowControl w:val="0"/>
              <w:tabs>
                <w:tab w:val="clear" w:pos="567"/>
              </w:tabs>
              <w:jc w:val="center"/>
              <w:rPr>
                <w:color w:val="000000"/>
                <w:szCs w:val="22"/>
                <w:lang w:val="es-ES"/>
              </w:rPr>
            </w:pPr>
            <w:r w:rsidRPr="002D741C">
              <w:rPr>
                <w:color w:val="000000"/>
                <w:szCs w:val="22"/>
              </w:rPr>
              <w:t>28% (22,0–33,9)</w:t>
            </w:r>
          </w:p>
          <w:p w14:paraId="7B302C45" w14:textId="77777777" w:rsidR="00C45062" w:rsidRPr="002D741C" w:rsidRDefault="00C45062" w:rsidP="00AD13BE">
            <w:pPr>
              <w:pStyle w:val="EndnoteText"/>
              <w:keepNext/>
              <w:widowControl w:val="0"/>
              <w:tabs>
                <w:tab w:val="clear" w:pos="567"/>
              </w:tabs>
              <w:jc w:val="center"/>
              <w:rPr>
                <w:color w:val="000000"/>
                <w:szCs w:val="22"/>
                <w:lang w:val="es-ES"/>
              </w:rPr>
            </w:pPr>
            <w:r w:rsidRPr="002D741C">
              <w:rPr>
                <w:color w:val="000000"/>
                <w:szCs w:val="22"/>
              </w:rPr>
              <w:t>20%</w:t>
            </w:r>
          </w:p>
          <w:p w14:paraId="021F5A9E" w14:textId="77777777" w:rsidR="00C45062" w:rsidRPr="002D741C" w:rsidRDefault="00C45062" w:rsidP="00AD13BE">
            <w:pPr>
              <w:pStyle w:val="EndnoteText"/>
              <w:keepNext/>
              <w:widowControl w:val="0"/>
              <w:tabs>
                <w:tab w:val="clear" w:pos="567"/>
              </w:tabs>
              <w:jc w:val="center"/>
              <w:rPr>
                <w:bCs/>
                <w:color w:val="000000"/>
                <w:szCs w:val="22"/>
                <w:lang w:val="es-ES"/>
              </w:rPr>
            </w:pPr>
            <w:r w:rsidRPr="002D741C">
              <w:rPr>
                <w:bCs/>
                <w:color w:val="000000"/>
                <w:szCs w:val="22"/>
              </w:rPr>
              <w:t>(16%) [11,3–21,0]</w:t>
            </w:r>
          </w:p>
          <w:p w14:paraId="07E40325" w14:textId="77777777" w:rsidR="00C45062" w:rsidRPr="002D741C" w:rsidRDefault="00C45062" w:rsidP="00AD13BE">
            <w:pPr>
              <w:pStyle w:val="EndnoteText"/>
              <w:keepNext/>
              <w:widowControl w:val="0"/>
              <w:tabs>
                <w:tab w:val="clear" w:pos="567"/>
              </w:tabs>
              <w:jc w:val="center"/>
              <w:rPr>
                <w:color w:val="000000"/>
                <w:szCs w:val="22"/>
                <w:lang w:val="es-ES"/>
              </w:rPr>
            </w:pPr>
            <w:r w:rsidRPr="002D741C">
              <w:rPr>
                <w:color w:val="000000"/>
                <w:szCs w:val="22"/>
                <w:lang w:val="es-ES"/>
              </w:rPr>
              <w:t>7%</w:t>
            </w:r>
          </w:p>
        </w:tc>
        <w:tc>
          <w:tcPr>
            <w:tcW w:w="2103" w:type="dxa"/>
          </w:tcPr>
          <w:p w14:paraId="51594835" w14:textId="77777777" w:rsidR="00C45062" w:rsidRPr="002D741C" w:rsidRDefault="00C45062" w:rsidP="00AD13BE">
            <w:pPr>
              <w:pStyle w:val="EndnoteText"/>
              <w:keepNext/>
              <w:widowControl w:val="0"/>
              <w:tabs>
                <w:tab w:val="clear" w:pos="567"/>
              </w:tabs>
              <w:jc w:val="center"/>
              <w:rPr>
                <w:color w:val="000000"/>
                <w:szCs w:val="22"/>
                <w:lang w:val="es-ES"/>
              </w:rPr>
            </w:pPr>
            <w:r w:rsidRPr="002D741C">
              <w:rPr>
                <w:color w:val="000000"/>
                <w:szCs w:val="22"/>
                <w:lang w:val="es-ES"/>
              </w:rPr>
              <w:t>15% (11,2–20,4)</w:t>
            </w:r>
          </w:p>
          <w:p w14:paraId="6933F8B3" w14:textId="77777777" w:rsidR="00C45062" w:rsidRPr="002D741C" w:rsidRDefault="00C45062" w:rsidP="00AD13BE">
            <w:pPr>
              <w:pStyle w:val="EndnoteText"/>
              <w:keepNext/>
              <w:widowControl w:val="0"/>
              <w:tabs>
                <w:tab w:val="clear" w:pos="567"/>
              </w:tabs>
              <w:jc w:val="center"/>
              <w:rPr>
                <w:color w:val="000000"/>
                <w:szCs w:val="22"/>
                <w:lang w:val="es-ES"/>
              </w:rPr>
            </w:pPr>
            <w:r w:rsidRPr="002D741C">
              <w:rPr>
                <w:color w:val="000000"/>
                <w:szCs w:val="22"/>
                <w:lang w:val="es-ES"/>
              </w:rPr>
              <w:t>7%</w:t>
            </w:r>
          </w:p>
          <w:p w14:paraId="09D8EBAF" w14:textId="77777777" w:rsidR="00C45062" w:rsidRPr="002D741C" w:rsidRDefault="00C45062" w:rsidP="00AD13BE">
            <w:pPr>
              <w:pStyle w:val="EndnoteText"/>
              <w:keepNext/>
              <w:widowControl w:val="0"/>
              <w:tabs>
                <w:tab w:val="clear" w:pos="567"/>
              </w:tabs>
              <w:jc w:val="center"/>
              <w:rPr>
                <w:color w:val="000000"/>
                <w:szCs w:val="22"/>
                <w:lang w:val="es-ES"/>
              </w:rPr>
            </w:pPr>
            <w:r w:rsidRPr="002D741C">
              <w:rPr>
                <w:bCs/>
                <w:color w:val="000000"/>
                <w:szCs w:val="22"/>
              </w:rPr>
              <w:t>(2%) [0,6–4,4</w:t>
            </w:r>
            <w:r w:rsidRPr="002D741C">
              <w:rPr>
                <w:b/>
                <w:color w:val="000000"/>
                <w:szCs w:val="22"/>
              </w:rPr>
              <w:t>]</w:t>
            </w:r>
          </w:p>
          <w:p w14:paraId="61D64754" w14:textId="77777777" w:rsidR="00C45062" w:rsidRPr="002D741C" w:rsidRDefault="00C45062" w:rsidP="00AD13BE">
            <w:pPr>
              <w:pStyle w:val="EndnoteText"/>
              <w:keepNext/>
              <w:widowControl w:val="0"/>
              <w:tabs>
                <w:tab w:val="clear" w:pos="567"/>
              </w:tabs>
              <w:jc w:val="center"/>
              <w:rPr>
                <w:color w:val="000000"/>
                <w:szCs w:val="22"/>
                <w:lang w:val="es-ES"/>
              </w:rPr>
            </w:pPr>
            <w:r w:rsidRPr="002D741C">
              <w:rPr>
                <w:color w:val="000000"/>
                <w:szCs w:val="22"/>
                <w:lang w:val="es-ES"/>
              </w:rPr>
              <w:t>8%</w:t>
            </w:r>
          </w:p>
        </w:tc>
      </w:tr>
      <w:tr w:rsidR="00C45062" w:rsidRPr="002D741C" w14:paraId="3933AF85" w14:textId="77777777" w:rsidTr="00AD13BE">
        <w:trPr>
          <w:cantSplit/>
        </w:trPr>
        <w:tc>
          <w:tcPr>
            <w:tcW w:w="9214" w:type="dxa"/>
            <w:gridSpan w:val="4"/>
          </w:tcPr>
          <w:p w14:paraId="389ACCF8" w14:textId="77777777" w:rsidR="00C45062" w:rsidRPr="002D741C" w:rsidRDefault="00C45062" w:rsidP="00F22369">
            <w:pPr>
              <w:pStyle w:val="EndnoteText"/>
              <w:widowControl w:val="0"/>
              <w:tabs>
                <w:tab w:val="clear" w:pos="567"/>
              </w:tabs>
              <w:rPr>
                <w:color w:val="000000"/>
                <w:szCs w:val="22"/>
                <w:lang w:val="es-ES"/>
              </w:rPr>
            </w:pPr>
            <w:r w:rsidRPr="002D741C">
              <w:rPr>
                <w:color w:val="000000"/>
                <w:szCs w:val="22"/>
                <w:vertAlign w:val="superscript"/>
                <w:lang w:val="es-ES"/>
              </w:rPr>
              <w:t>1</w:t>
            </w:r>
            <w:r w:rsidRPr="002D741C">
              <w:rPr>
                <w:b/>
                <w:color w:val="000000"/>
                <w:szCs w:val="22"/>
                <w:lang w:val="es-ES"/>
              </w:rPr>
              <w:t xml:space="preserve">Criterio de respuesta hematológica (todas las respuestas confirmadas tras </w:t>
            </w:r>
            <w:r w:rsidRPr="002D741C">
              <w:rPr>
                <w:color w:val="000000"/>
                <w:szCs w:val="22"/>
                <w:lang w:val="es-ES"/>
              </w:rPr>
              <w:sym w:font="Symbol" w:char="F0B3"/>
            </w:r>
            <w:r w:rsidRPr="002D741C">
              <w:rPr>
                <w:b/>
                <w:color w:val="000000"/>
                <w:szCs w:val="22"/>
                <w:lang w:val="es-ES"/>
              </w:rPr>
              <w:t> 4 semanas):</w:t>
            </w:r>
          </w:p>
          <w:p w14:paraId="25B6233B" w14:textId="77777777" w:rsidR="00C45062" w:rsidRPr="002D741C" w:rsidRDefault="00C45062" w:rsidP="00F22369">
            <w:pPr>
              <w:pStyle w:val="EndnoteText"/>
              <w:widowControl w:val="0"/>
              <w:tabs>
                <w:tab w:val="clear" w:pos="567"/>
              </w:tabs>
              <w:ind w:left="601" w:hanging="601"/>
              <w:rPr>
                <w:color w:val="000000"/>
                <w:szCs w:val="22"/>
                <w:lang w:val="es-ES"/>
              </w:rPr>
            </w:pPr>
            <w:r w:rsidRPr="002D741C">
              <w:rPr>
                <w:color w:val="000000"/>
                <w:szCs w:val="22"/>
                <w:lang w:val="es-ES"/>
              </w:rPr>
              <w:t>RHC:</w:t>
            </w:r>
            <w:r w:rsidRPr="002D741C">
              <w:rPr>
                <w:color w:val="000000"/>
                <w:szCs w:val="22"/>
                <w:lang w:val="es-ES"/>
              </w:rPr>
              <w:tab/>
              <w:t>Estudio 0110 [Recuento de leucocitos &lt; 10 x 10</w:t>
            </w:r>
            <w:r w:rsidRPr="002D741C">
              <w:rPr>
                <w:color w:val="000000"/>
                <w:szCs w:val="22"/>
                <w:vertAlign w:val="superscript"/>
                <w:lang w:val="es-ES"/>
              </w:rPr>
              <w:t>9</w:t>
            </w:r>
            <w:r w:rsidRPr="002D741C">
              <w:rPr>
                <w:color w:val="000000"/>
                <w:szCs w:val="22"/>
                <w:lang w:val="es-ES"/>
              </w:rPr>
              <w:t>/l, plaquetas &lt; 450 x 10</w:t>
            </w:r>
            <w:r w:rsidRPr="002D741C">
              <w:rPr>
                <w:color w:val="000000"/>
                <w:szCs w:val="22"/>
                <w:vertAlign w:val="superscript"/>
                <w:lang w:val="es-ES"/>
              </w:rPr>
              <w:t>9</w:t>
            </w:r>
            <w:r w:rsidRPr="002D741C">
              <w:rPr>
                <w:color w:val="000000"/>
                <w:szCs w:val="22"/>
                <w:lang w:val="es-ES"/>
              </w:rPr>
              <w:t xml:space="preserve">/l, mielocitos+metamielocitos en sangre &lt; 5%, sin blastos ni promielocitos en sangre, basófilos &lt; 20%, sin implicación extramedular] y los estudios 0102 y 0109 [RAN </w:t>
            </w:r>
            <w:r w:rsidRPr="002D741C">
              <w:rPr>
                <w:color w:val="000000"/>
                <w:szCs w:val="22"/>
                <w:lang w:val="es-ES"/>
              </w:rPr>
              <w:sym w:font="Symbol" w:char="F0B3"/>
            </w:r>
            <w:r w:rsidRPr="002D741C">
              <w:rPr>
                <w:color w:val="000000"/>
                <w:szCs w:val="22"/>
                <w:lang w:val="es-ES"/>
              </w:rPr>
              <w:t> 1,5 x 10</w:t>
            </w:r>
            <w:r w:rsidRPr="002D741C">
              <w:rPr>
                <w:color w:val="000000"/>
                <w:szCs w:val="22"/>
                <w:vertAlign w:val="superscript"/>
                <w:lang w:val="es-ES"/>
              </w:rPr>
              <w:t>9</w:t>
            </w:r>
            <w:r w:rsidRPr="002D741C">
              <w:rPr>
                <w:color w:val="000000"/>
                <w:szCs w:val="22"/>
                <w:lang w:val="es-ES"/>
              </w:rPr>
              <w:t xml:space="preserve">/l, plaquetas </w:t>
            </w:r>
            <w:r w:rsidRPr="002D741C">
              <w:rPr>
                <w:color w:val="000000"/>
                <w:szCs w:val="22"/>
                <w:lang w:val="es-ES"/>
              </w:rPr>
              <w:sym w:font="Symbol" w:char="F0B3"/>
            </w:r>
            <w:r w:rsidRPr="002D741C">
              <w:rPr>
                <w:color w:val="000000"/>
                <w:szCs w:val="22"/>
                <w:lang w:val="es-ES"/>
              </w:rPr>
              <w:t> 100 x 10</w:t>
            </w:r>
            <w:r w:rsidRPr="002D741C">
              <w:rPr>
                <w:color w:val="000000"/>
                <w:szCs w:val="22"/>
                <w:vertAlign w:val="superscript"/>
                <w:lang w:val="es-ES"/>
              </w:rPr>
              <w:t>9</w:t>
            </w:r>
            <w:r w:rsidRPr="002D741C">
              <w:rPr>
                <w:color w:val="000000"/>
                <w:szCs w:val="22"/>
                <w:lang w:val="es-ES"/>
              </w:rPr>
              <w:t>/l, sin blastos en sangre, blastos en la médula ósea &lt; 5% y sin enfermedad extramedular]</w:t>
            </w:r>
          </w:p>
          <w:p w14:paraId="57725FCE" w14:textId="77777777" w:rsidR="00C45062" w:rsidRPr="002D741C" w:rsidRDefault="00C45062" w:rsidP="00F22369">
            <w:pPr>
              <w:pStyle w:val="EndnoteText"/>
              <w:widowControl w:val="0"/>
              <w:tabs>
                <w:tab w:val="clear" w:pos="567"/>
              </w:tabs>
              <w:ind w:left="601" w:hanging="601"/>
              <w:rPr>
                <w:color w:val="000000"/>
                <w:szCs w:val="22"/>
                <w:lang w:val="es-ES"/>
              </w:rPr>
            </w:pPr>
            <w:r w:rsidRPr="002D741C">
              <w:rPr>
                <w:color w:val="000000"/>
                <w:szCs w:val="22"/>
                <w:lang w:val="es-ES"/>
              </w:rPr>
              <w:t>N</w:t>
            </w:r>
            <w:smartTag w:uri="urn:schemas-microsoft-com:office:smarttags" w:element="PersonName">
              <w:r w:rsidRPr="002D741C">
                <w:rPr>
                  <w:color w:val="000000"/>
                  <w:szCs w:val="22"/>
                  <w:lang w:val="es-ES"/>
                </w:rPr>
                <w:t>EL</w:t>
              </w:r>
            </w:smartTag>
            <w:r w:rsidRPr="002D741C">
              <w:rPr>
                <w:color w:val="000000"/>
                <w:szCs w:val="22"/>
                <w:lang w:val="es-ES"/>
              </w:rPr>
              <w:t>:</w:t>
            </w:r>
            <w:r w:rsidRPr="002D741C">
              <w:rPr>
                <w:color w:val="000000"/>
                <w:szCs w:val="22"/>
                <w:lang w:val="es-ES"/>
              </w:rPr>
              <w:tab/>
              <w:t xml:space="preserve">Mismo criterio que para RHC pero RAN </w:t>
            </w:r>
            <w:r w:rsidRPr="002D741C">
              <w:rPr>
                <w:color w:val="000000"/>
                <w:szCs w:val="22"/>
                <w:lang w:val="es-ES"/>
              </w:rPr>
              <w:sym w:font="Symbol" w:char="F0B3"/>
            </w:r>
            <w:r w:rsidRPr="002D741C">
              <w:rPr>
                <w:color w:val="000000"/>
                <w:szCs w:val="22"/>
                <w:lang w:val="es-ES"/>
              </w:rPr>
              <w:t> 1 x 10</w:t>
            </w:r>
            <w:r w:rsidRPr="002D741C">
              <w:rPr>
                <w:color w:val="000000"/>
                <w:szCs w:val="22"/>
                <w:vertAlign w:val="superscript"/>
                <w:lang w:val="es-ES"/>
              </w:rPr>
              <w:t>9</w:t>
            </w:r>
            <w:r w:rsidRPr="002D741C">
              <w:rPr>
                <w:color w:val="000000"/>
                <w:szCs w:val="22"/>
                <w:lang w:val="es-ES"/>
              </w:rPr>
              <w:t xml:space="preserve">/l y plaquetas </w:t>
            </w:r>
            <w:r w:rsidRPr="002D741C">
              <w:rPr>
                <w:color w:val="000000"/>
                <w:szCs w:val="22"/>
                <w:lang w:val="es-ES"/>
              </w:rPr>
              <w:sym w:font="Symbol" w:char="F0B3"/>
            </w:r>
            <w:r w:rsidRPr="002D741C">
              <w:rPr>
                <w:color w:val="000000"/>
                <w:szCs w:val="22"/>
                <w:lang w:val="es-ES"/>
              </w:rPr>
              <w:t> 20 x 10</w:t>
            </w:r>
            <w:r w:rsidRPr="002D741C">
              <w:rPr>
                <w:color w:val="000000"/>
                <w:szCs w:val="22"/>
                <w:vertAlign w:val="superscript"/>
                <w:lang w:val="es-ES"/>
              </w:rPr>
              <w:t>9</w:t>
            </w:r>
            <w:r w:rsidRPr="002D741C">
              <w:rPr>
                <w:color w:val="000000"/>
                <w:szCs w:val="22"/>
                <w:lang w:val="es-ES"/>
              </w:rPr>
              <w:t>/l (solo 0102 y 0109)</w:t>
            </w:r>
          </w:p>
          <w:p w14:paraId="59D245B7" w14:textId="77777777" w:rsidR="00C45062" w:rsidRPr="002D741C" w:rsidRDefault="00C45062" w:rsidP="00F22369">
            <w:pPr>
              <w:pStyle w:val="EndnoteText"/>
              <w:widowControl w:val="0"/>
              <w:tabs>
                <w:tab w:val="clear" w:pos="567"/>
              </w:tabs>
              <w:ind w:left="601" w:hanging="601"/>
              <w:rPr>
                <w:color w:val="000000"/>
                <w:szCs w:val="22"/>
                <w:lang w:val="es-ES"/>
              </w:rPr>
            </w:pPr>
            <w:r w:rsidRPr="002D741C">
              <w:rPr>
                <w:color w:val="000000"/>
                <w:szCs w:val="22"/>
                <w:lang w:val="es-ES"/>
              </w:rPr>
              <w:t>RFC:</w:t>
            </w:r>
            <w:r w:rsidRPr="002D741C">
              <w:rPr>
                <w:color w:val="000000"/>
                <w:szCs w:val="22"/>
                <w:lang w:val="es-ES"/>
              </w:rPr>
              <w:tab/>
              <w:t>&lt; 15% de blastos en médula ósea y sangre periférica, &lt; 30% blastos + promielocitos en médula ósea y sangre periférica, &lt; 20% basófilos en sangre periférica, sin enfermedad extramedular aparte del bazo e hígado (solo para 0102 y 0109).</w:t>
            </w:r>
          </w:p>
          <w:p w14:paraId="72C95C30" w14:textId="77777777" w:rsidR="00C45062" w:rsidRPr="002D741C" w:rsidRDefault="00C45062" w:rsidP="00F22369">
            <w:pPr>
              <w:pStyle w:val="EndnoteText"/>
              <w:widowControl w:val="0"/>
              <w:tabs>
                <w:tab w:val="clear" w:pos="567"/>
              </w:tabs>
              <w:ind w:left="885" w:hanging="885"/>
              <w:rPr>
                <w:color w:val="000000"/>
                <w:szCs w:val="22"/>
                <w:lang w:val="pt-BR"/>
              </w:rPr>
            </w:pPr>
            <w:r w:rsidRPr="002D741C">
              <w:rPr>
                <w:color w:val="000000"/>
                <w:szCs w:val="22"/>
                <w:lang w:val="pt-BR"/>
              </w:rPr>
              <w:t>MO = médula ósea, SP = sangre periférica</w:t>
            </w:r>
          </w:p>
          <w:p w14:paraId="31E28E0E" w14:textId="77777777" w:rsidR="00C45062" w:rsidRPr="002D741C" w:rsidRDefault="00C45062" w:rsidP="00F22369">
            <w:pPr>
              <w:pStyle w:val="EndnoteText"/>
              <w:widowControl w:val="0"/>
              <w:tabs>
                <w:tab w:val="clear" w:pos="567"/>
              </w:tabs>
              <w:ind w:left="885" w:hanging="885"/>
              <w:rPr>
                <w:b/>
                <w:color w:val="000000"/>
                <w:szCs w:val="22"/>
                <w:lang w:val="es-ES"/>
              </w:rPr>
            </w:pPr>
            <w:r w:rsidRPr="002D741C">
              <w:rPr>
                <w:color w:val="000000"/>
                <w:szCs w:val="22"/>
                <w:vertAlign w:val="superscript"/>
                <w:lang w:val="es-ES"/>
              </w:rPr>
              <w:t>2</w:t>
            </w:r>
            <w:r w:rsidRPr="002D741C">
              <w:rPr>
                <w:b/>
                <w:color w:val="000000"/>
                <w:szCs w:val="22"/>
                <w:lang w:val="es-ES"/>
              </w:rPr>
              <w:t>Criterio de respuesta citogenética:</w:t>
            </w:r>
          </w:p>
          <w:p w14:paraId="5B708939" w14:textId="77777777" w:rsidR="00C45062" w:rsidRPr="002D741C" w:rsidRDefault="00C45062" w:rsidP="00F22369">
            <w:pPr>
              <w:pStyle w:val="EndnoteText"/>
              <w:widowControl w:val="0"/>
              <w:tabs>
                <w:tab w:val="clear" w:pos="567"/>
              </w:tabs>
              <w:rPr>
                <w:color w:val="000000"/>
                <w:szCs w:val="22"/>
                <w:lang w:val="es-ES"/>
              </w:rPr>
            </w:pPr>
            <w:r w:rsidRPr="002D741C">
              <w:rPr>
                <w:color w:val="000000"/>
                <w:szCs w:val="22"/>
                <w:lang w:val="es-ES"/>
              </w:rPr>
              <w:t>Una respuesta mayor combina ambas, la respuesta completa y la parcial: completa (0% de metafases Ph +), parcial (1–35%)</w:t>
            </w:r>
          </w:p>
          <w:p w14:paraId="074D3D42" w14:textId="77777777" w:rsidR="00C45062" w:rsidRPr="002D741C" w:rsidRDefault="00C45062" w:rsidP="00F22369">
            <w:pPr>
              <w:pStyle w:val="EndnoteText"/>
              <w:widowControl w:val="0"/>
              <w:tabs>
                <w:tab w:val="clear" w:pos="567"/>
              </w:tabs>
              <w:rPr>
                <w:color w:val="000000"/>
                <w:szCs w:val="22"/>
                <w:lang w:val="es-ES"/>
              </w:rPr>
            </w:pPr>
            <w:r w:rsidRPr="002D741C">
              <w:rPr>
                <w:color w:val="000000"/>
                <w:szCs w:val="22"/>
                <w:vertAlign w:val="superscript"/>
                <w:lang w:val="es-ES"/>
              </w:rPr>
              <w:t>3</w:t>
            </w:r>
            <w:r w:rsidRPr="002D741C">
              <w:rPr>
                <w:color w:val="000000"/>
                <w:szCs w:val="22"/>
                <w:lang w:val="es-ES"/>
              </w:rPr>
              <w:t>Respuesta citogenética completa confirmada mediante una segunda evaluación citogenética de la médula ósea realizada al menos un mes después del estudio inicial de la médula ósea.</w:t>
            </w:r>
          </w:p>
        </w:tc>
      </w:tr>
    </w:tbl>
    <w:p w14:paraId="0EE1510B" w14:textId="77777777" w:rsidR="00C45062" w:rsidRPr="002D741C" w:rsidRDefault="00C45062" w:rsidP="00C45062">
      <w:pPr>
        <w:pStyle w:val="EndnoteText"/>
        <w:widowControl w:val="0"/>
        <w:tabs>
          <w:tab w:val="clear" w:pos="567"/>
        </w:tabs>
        <w:rPr>
          <w:color w:val="000000"/>
          <w:szCs w:val="22"/>
          <w:lang w:val="es-ES"/>
        </w:rPr>
      </w:pPr>
    </w:p>
    <w:p w14:paraId="74EED0A9" w14:textId="77777777" w:rsidR="00C45062" w:rsidRPr="002D741C" w:rsidRDefault="00C45062" w:rsidP="00C45062">
      <w:pPr>
        <w:pStyle w:val="EndnoteText"/>
        <w:widowControl w:val="0"/>
        <w:tabs>
          <w:tab w:val="clear" w:pos="567"/>
        </w:tabs>
        <w:rPr>
          <w:color w:val="000000"/>
          <w:szCs w:val="22"/>
          <w:lang w:val="es-ES"/>
        </w:rPr>
      </w:pPr>
      <w:r w:rsidRPr="002D741C">
        <w:rPr>
          <w:i/>
          <w:color w:val="000000"/>
          <w:szCs w:val="22"/>
          <w:lang w:val="es-ES"/>
        </w:rPr>
        <w:t>Pacientes pediátricos:</w:t>
      </w:r>
      <w:r w:rsidRPr="002D741C">
        <w:rPr>
          <w:color w:val="000000"/>
          <w:szCs w:val="22"/>
          <w:lang w:val="es-ES"/>
        </w:rPr>
        <w:t xml:space="preserve"> Un total de 26 pacientes pediátricos de menos de 18 años de edad con LMC en fase crónica (n=11) o LMC en crisis blástica o leucemias agudas Ph+ (n=15) participaron en un ensayo de fase I de escalada de dosis. Se trataba de una población de pacientes fuertemente pretratados, ya que el 46% había recibido </w:t>
      </w:r>
      <w:smartTag w:uri="urn:schemas-microsoft-com:office:smarttags" w:element="stockticker">
        <w:r w:rsidRPr="002D741C">
          <w:rPr>
            <w:color w:val="000000"/>
            <w:szCs w:val="22"/>
            <w:lang w:val="es-ES"/>
          </w:rPr>
          <w:t>TMO</w:t>
        </w:r>
      </w:smartTag>
      <w:r w:rsidRPr="002D741C">
        <w:rPr>
          <w:color w:val="000000"/>
          <w:szCs w:val="22"/>
          <w:lang w:val="es-ES"/>
        </w:rPr>
        <w:t xml:space="preserve"> previo y el 73% una poliquimioterapia previa. Se trató a los pacientes con dosis de Glivec de 260 mg/m</w:t>
      </w:r>
      <w:r w:rsidRPr="002D741C">
        <w:rPr>
          <w:color w:val="000000"/>
          <w:szCs w:val="22"/>
          <w:vertAlign w:val="superscript"/>
          <w:lang w:val="es-ES"/>
        </w:rPr>
        <w:t>2</w:t>
      </w:r>
      <w:r w:rsidRPr="002D741C">
        <w:rPr>
          <w:color w:val="000000"/>
          <w:szCs w:val="22"/>
          <w:lang w:val="es-ES"/>
        </w:rPr>
        <w:t>/día (n=5), 340 mg/m</w:t>
      </w:r>
      <w:r w:rsidRPr="002D741C">
        <w:rPr>
          <w:color w:val="000000"/>
          <w:szCs w:val="22"/>
          <w:vertAlign w:val="superscript"/>
          <w:lang w:val="es-ES"/>
        </w:rPr>
        <w:t>2</w:t>
      </w:r>
      <w:r w:rsidRPr="002D741C">
        <w:rPr>
          <w:color w:val="000000"/>
          <w:szCs w:val="22"/>
          <w:lang w:val="es-ES"/>
        </w:rPr>
        <w:t>/día (n=9), 440 mg/m</w:t>
      </w:r>
      <w:r w:rsidRPr="002D741C">
        <w:rPr>
          <w:color w:val="000000"/>
          <w:szCs w:val="22"/>
          <w:vertAlign w:val="superscript"/>
          <w:lang w:val="es-ES"/>
        </w:rPr>
        <w:t>2</w:t>
      </w:r>
      <w:r w:rsidRPr="002D741C">
        <w:rPr>
          <w:color w:val="000000"/>
          <w:szCs w:val="22"/>
          <w:lang w:val="es-ES"/>
        </w:rPr>
        <w:t>/día (n=7) y 570 mg/m</w:t>
      </w:r>
      <w:r w:rsidRPr="002D741C">
        <w:rPr>
          <w:color w:val="000000"/>
          <w:szCs w:val="22"/>
          <w:vertAlign w:val="superscript"/>
          <w:lang w:val="es-ES"/>
        </w:rPr>
        <w:t>2</w:t>
      </w:r>
      <w:r w:rsidRPr="002D741C">
        <w:rPr>
          <w:color w:val="000000"/>
          <w:szCs w:val="22"/>
          <w:lang w:val="es-ES"/>
        </w:rPr>
        <w:t>/día (n=5). De los 9 pacientes con LMC en fase crónica y datos citogenéticos disponibles, 4 (44%) y 3 (33%) alcanzaron una respuesta citogenética completa y parcial, respectivamente, para una tasa de RCM del 77%.</w:t>
      </w:r>
    </w:p>
    <w:p w14:paraId="08C7D00B" w14:textId="77777777" w:rsidR="00C45062" w:rsidRPr="002D741C" w:rsidRDefault="00C45062" w:rsidP="00C45062">
      <w:pPr>
        <w:pStyle w:val="EndnoteText"/>
        <w:widowControl w:val="0"/>
        <w:tabs>
          <w:tab w:val="clear" w:pos="567"/>
        </w:tabs>
        <w:rPr>
          <w:color w:val="000000"/>
          <w:szCs w:val="22"/>
          <w:lang w:val="es-ES"/>
        </w:rPr>
      </w:pPr>
    </w:p>
    <w:p w14:paraId="7484F828" w14:textId="77777777" w:rsidR="00C45062" w:rsidRPr="002D741C" w:rsidRDefault="00C45062" w:rsidP="00C45062">
      <w:pPr>
        <w:pStyle w:val="EndnoteText"/>
        <w:widowControl w:val="0"/>
        <w:tabs>
          <w:tab w:val="clear" w:pos="567"/>
        </w:tabs>
        <w:rPr>
          <w:color w:val="000000"/>
          <w:szCs w:val="22"/>
          <w:lang w:val="es-ES_tradnl"/>
        </w:rPr>
      </w:pPr>
      <w:r w:rsidRPr="002D741C">
        <w:rPr>
          <w:color w:val="000000"/>
          <w:szCs w:val="22"/>
          <w:lang w:val="es-ES"/>
        </w:rPr>
        <w:t>Un total de 51 pacientes pediátricos con LMC en fase crónica, no tratada y de diagnóstico reciente participaron en un ensayo de fase II de un único brazo, multicéntrico y abierto. Los pacientes fueron tratados con Glivec a dosis de 340 </w:t>
      </w:r>
      <w:r w:rsidRPr="002D741C">
        <w:rPr>
          <w:color w:val="000000"/>
          <w:szCs w:val="22"/>
          <w:lang w:val="es-ES_tradnl"/>
        </w:rPr>
        <w:t>mg/m</w:t>
      </w:r>
      <w:r w:rsidRPr="002D741C">
        <w:rPr>
          <w:color w:val="000000"/>
          <w:szCs w:val="22"/>
          <w:vertAlign w:val="superscript"/>
          <w:lang w:val="es-ES_tradnl"/>
        </w:rPr>
        <w:t>2</w:t>
      </w:r>
      <w:r w:rsidRPr="002D741C">
        <w:rPr>
          <w:color w:val="000000"/>
          <w:szCs w:val="22"/>
          <w:lang w:val="es-ES_tradnl"/>
        </w:rPr>
        <w:t xml:space="preserve">/día, sin interrupciones en ausencia de toxicidad limitada por la dosis. El tratamiento con Glivec induce una respuesta rápida en los pacientes pediátricos con LMC de diagnóstico reciente con una RHC del 78% después de 8 semanas de tratamiento. La alta proporción de RHC se acompañada del desarrollo de una respuesta citogenética completa (RCC) del 65%, que es comparable a los resultados observados en adultos. Además, se observó una respuesta citogenética parcial (RCP) del 16% para una RCM del 81%. La mayoría de pacientes que alcanzaron una RCC desarrollaron </w:t>
      </w:r>
      <w:smartTag w:uri="urn:schemas-microsoft-com:office:smarttags" w:element="PersonName">
        <w:smartTagPr>
          <w:attr w:name="ProductID" w:val="la RCC"/>
        </w:smartTagPr>
        <w:r w:rsidRPr="002D741C">
          <w:rPr>
            <w:color w:val="000000"/>
            <w:szCs w:val="22"/>
            <w:lang w:val="es-ES_tradnl"/>
          </w:rPr>
          <w:t>la RCC</w:t>
        </w:r>
      </w:smartTag>
      <w:r w:rsidRPr="002D741C">
        <w:rPr>
          <w:color w:val="000000"/>
          <w:szCs w:val="22"/>
          <w:lang w:val="es-ES_tradnl"/>
        </w:rPr>
        <w:t xml:space="preserve"> entre los meses 3 y 10 con una mediana de tiempo hasta la respuesta basada en la estimación de Kaplan-Meier de 5,6 meses.</w:t>
      </w:r>
    </w:p>
    <w:p w14:paraId="2C30FF48" w14:textId="77777777" w:rsidR="00C45062" w:rsidRPr="002D741C" w:rsidRDefault="00C45062" w:rsidP="00C45062">
      <w:pPr>
        <w:pStyle w:val="EndnoteText"/>
        <w:widowControl w:val="0"/>
        <w:tabs>
          <w:tab w:val="clear" w:pos="567"/>
        </w:tabs>
        <w:rPr>
          <w:color w:val="000000"/>
          <w:szCs w:val="22"/>
          <w:lang w:val="es-ES_tradnl"/>
        </w:rPr>
      </w:pPr>
    </w:p>
    <w:p w14:paraId="6EBE4498" w14:textId="77777777" w:rsidR="00C45062" w:rsidRPr="002D741C" w:rsidRDefault="00C45062" w:rsidP="00C45062">
      <w:pPr>
        <w:pStyle w:val="EndnoteText"/>
        <w:widowControl w:val="0"/>
        <w:tabs>
          <w:tab w:val="clear" w:pos="567"/>
        </w:tabs>
        <w:rPr>
          <w:color w:val="000000"/>
          <w:szCs w:val="22"/>
          <w:lang w:val="es-ES_tradnl"/>
        </w:rPr>
      </w:pPr>
      <w:smartTag w:uri="urn:schemas-microsoft-com:office:smarttags" w:element="PersonName">
        <w:smartTagPr>
          <w:attr w:name="ProductID" w:val="la ￼￼￼￼Agencia Europea"/>
        </w:smartTagPr>
        <w:r w:rsidRPr="002D741C">
          <w:rPr>
            <w:color w:val="000000"/>
            <w:szCs w:val="22"/>
            <w:lang w:val="es-ES_tradnl"/>
          </w:rPr>
          <w:t>La Agencia Europea</w:t>
        </w:r>
      </w:smartTag>
      <w:r w:rsidRPr="002D741C">
        <w:rPr>
          <w:color w:val="000000"/>
          <w:szCs w:val="22"/>
          <w:lang w:val="es-ES_tradnl"/>
        </w:rPr>
        <w:t xml:space="preserve"> de Medicamentos ha eximido al titular de la obligación de presentar los resultados de los ensayos realizados con Glivec en los diferentes grupos de población pediátrica en leucemia mieloide crónica cromosoma Philadelphia positivo (translocación bcr-abl) (ver sección 4.2 para consultar la información sobre el uso en población pediátrica).</w:t>
      </w:r>
    </w:p>
    <w:p w14:paraId="145A7A73" w14:textId="77777777" w:rsidR="00C45062" w:rsidRPr="002D741C" w:rsidRDefault="00C45062" w:rsidP="00C45062">
      <w:pPr>
        <w:pStyle w:val="EndnoteText"/>
        <w:widowControl w:val="0"/>
        <w:tabs>
          <w:tab w:val="clear" w:pos="567"/>
        </w:tabs>
        <w:rPr>
          <w:color w:val="000000"/>
          <w:szCs w:val="22"/>
          <w:u w:val="single"/>
          <w:lang w:val="es-ES"/>
        </w:rPr>
      </w:pPr>
    </w:p>
    <w:p w14:paraId="6E1851BC" w14:textId="77777777" w:rsidR="00C45062" w:rsidRPr="002D741C" w:rsidRDefault="00C45062" w:rsidP="00AD13BE">
      <w:pPr>
        <w:pStyle w:val="EndnoteText"/>
        <w:keepNext/>
        <w:widowControl w:val="0"/>
        <w:tabs>
          <w:tab w:val="clear" w:pos="567"/>
        </w:tabs>
        <w:rPr>
          <w:color w:val="000000"/>
          <w:szCs w:val="22"/>
          <w:u w:val="single"/>
          <w:lang w:val="es-ES"/>
        </w:rPr>
      </w:pPr>
      <w:r w:rsidRPr="002D741C">
        <w:rPr>
          <w:color w:val="000000"/>
          <w:szCs w:val="22"/>
          <w:u w:val="single"/>
          <w:lang w:val="es-ES"/>
        </w:rPr>
        <w:t>Ensayos clínicos en LLA Ph+</w:t>
      </w:r>
    </w:p>
    <w:p w14:paraId="36048FD6" w14:textId="77777777" w:rsidR="00C45062" w:rsidRPr="002D741C" w:rsidRDefault="00C45062" w:rsidP="00C45062">
      <w:pPr>
        <w:pStyle w:val="EndnoteText"/>
        <w:widowControl w:val="0"/>
        <w:tabs>
          <w:tab w:val="clear" w:pos="567"/>
        </w:tabs>
        <w:rPr>
          <w:color w:val="000000"/>
          <w:szCs w:val="22"/>
          <w:lang w:val="es-ES"/>
        </w:rPr>
      </w:pPr>
      <w:r w:rsidRPr="002D741C">
        <w:rPr>
          <w:i/>
          <w:iCs/>
          <w:color w:val="000000"/>
          <w:szCs w:val="22"/>
          <w:lang w:val="es-ES"/>
        </w:rPr>
        <w:t xml:space="preserve">LLA Ph+ de diagnóstico reciente: </w:t>
      </w:r>
      <w:r w:rsidRPr="002D741C">
        <w:rPr>
          <w:color w:val="000000"/>
          <w:szCs w:val="22"/>
          <w:lang w:val="es-ES"/>
        </w:rPr>
        <w:t>En un ensayo controlado (A</w:t>
      </w:r>
      <w:smartTag w:uri="urn:schemas-microsoft-com:office:smarttags" w:element="PersonName">
        <w:r w:rsidRPr="002D741C">
          <w:rPr>
            <w:color w:val="000000"/>
            <w:szCs w:val="22"/>
            <w:lang w:val="es-ES"/>
          </w:rPr>
          <w:t>DE</w:t>
        </w:r>
      </w:smartTag>
      <w:r w:rsidRPr="002D741C">
        <w:rPr>
          <w:color w:val="000000"/>
          <w:szCs w:val="22"/>
          <w:lang w:val="es-ES"/>
        </w:rPr>
        <w:t>10) de imatinib frente a quimioterapia de inducción en 55 pacientes de diagnóstico reciente de 55 ó más años de edad, imatinib utilizado como agente único indujo una tasa de respuesta hematológica completa significativamente mayor que la quimioterapia (96,3% frente a 50%; p=0,0001). Cuando se administró tratamiento de rescate con imatinib a pacientes que no respondieron o con respuesta baja a la quimioterapia, se observó que 9 (81,8%) de 11 pacientes alcanzaron una respuesta hematológica completa. Este efecto clínico se asoció con una reducción mayor en los tránscritos bcr-abl en los pacientes tratados con imatinib que en el brazo de quimioterapia después de 2 semanas de tratamiento (p=0,02). Todos los pacientes recibieron imatinib y quimioterapia de consolidación (ver Tabla </w:t>
      </w:r>
      <w:r w:rsidR="005A1A7A" w:rsidRPr="002D741C">
        <w:rPr>
          <w:color w:val="000000"/>
          <w:szCs w:val="22"/>
          <w:lang w:val="es-ES"/>
        </w:rPr>
        <w:t>4</w:t>
      </w:r>
      <w:r w:rsidRPr="002D741C">
        <w:rPr>
          <w:color w:val="000000"/>
          <w:szCs w:val="22"/>
          <w:lang w:val="es-ES"/>
        </w:rPr>
        <w:t>) tras la inducción y los niveles de tránscritos bcr-abl fueron idénticos en los dos brazos a las 8 semanas. Tal como se esperaba en base al diseño del estudio, no se observó diferencia en la duración de la remisión, en la supervivencia libre de enfermedad o en la supervivencia global, aunque los pacientes con respuesta molecular completa y manteniendo una enfermedad mínima residual mostraron un mejor resultado en términos de duración en la remisión (p=0,01) y supervivencia libre de enfermedad (p=0,02).</w:t>
      </w:r>
    </w:p>
    <w:p w14:paraId="680EC601" w14:textId="77777777" w:rsidR="00C45062" w:rsidRPr="002D741C" w:rsidRDefault="00C45062" w:rsidP="00C45062">
      <w:pPr>
        <w:pStyle w:val="EndnoteText"/>
        <w:widowControl w:val="0"/>
        <w:tabs>
          <w:tab w:val="clear" w:pos="567"/>
        </w:tabs>
        <w:rPr>
          <w:color w:val="000000"/>
          <w:szCs w:val="22"/>
          <w:lang w:val="es-ES"/>
        </w:rPr>
      </w:pPr>
    </w:p>
    <w:p w14:paraId="19CEF639" w14:textId="77777777" w:rsidR="00C45062" w:rsidRPr="002D741C" w:rsidRDefault="00C45062" w:rsidP="00C45062">
      <w:pPr>
        <w:pStyle w:val="EndnoteText"/>
        <w:widowControl w:val="0"/>
        <w:tabs>
          <w:tab w:val="clear" w:pos="567"/>
        </w:tabs>
        <w:rPr>
          <w:color w:val="000000"/>
          <w:szCs w:val="22"/>
          <w:lang w:val="es-ES"/>
        </w:rPr>
      </w:pPr>
      <w:r w:rsidRPr="002D741C">
        <w:rPr>
          <w:color w:val="000000"/>
          <w:szCs w:val="22"/>
          <w:lang w:val="es-ES"/>
        </w:rPr>
        <w:t>Los resultados observados en una población de 211 pacientes con LLA Ph+ de diagnóstico reciente en cuatro ensayos clínicos no controlados (AAU02, A</w:t>
      </w:r>
      <w:smartTag w:uri="urn:schemas-microsoft-com:office:smarttags" w:element="PersonName">
        <w:r w:rsidRPr="002D741C">
          <w:rPr>
            <w:color w:val="000000"/>
            <w:szCs w:val="22"/>
            <w:lang w:val="es-ES"/>
          </w:rPr>
          <w:t>DE</w:t>
        </w:r>
      </w:smartTag>
      <w:r w:rsidRPr="002D741C">
        <w:rPr>
          <w:color w:val="000000"/>
          <w:szCs w:val="22"/>
          <w:lang w:val="es-ES"/>
        </w:rPr>
        <w:t>04, AJP01 y AUS01) son consistentes con los resultados descritos anteriormente. Imatinib en combinación con quimioterapia de inducción (ver Tabla </w:t>
      </w:r>
      <w:r w:rsidR="005A1A7A" w:rsidRPr="002D741C">
        <w:rPr>
          <w:color w:val="000000"/>
          <w:szCs w:val="22"/>
          <w:lang w:val="es-ES"/>
        </w:rPr>
        <w:t>4</w:t>
      </w:r>
      <w:r w:rsidRPr="002D741C">
        <w:rPr>
          <w:color w:val="000000"/>
          <w:szCs w:val="22"/>
          <w:lang w:val="es-ES"/>
        </w:rPr>
        <w:t>) mostró una tasa de respuesta hematológica completa del 93% (147 de 158 pacientes evaluables) y una tasa de respuesta citogenética mayor del 90% (19 de 21 pacientes evaluables). La tasa de respuesta molecular completa fue del 48% (49 de 102 pacientes evaluables). La supervivencia libre de enfermedad (</w:t>
      </w:r>
      <w:smartTag w:uri="urn:schemas-microsoft-com:office:smarttags" w:element="stockticker">
        <w:r w:rsidRPr="002D741C">
          <w:rPr>
            <w:color w:val="000000"/>
            <w:szCs w:val="22"/>
            <w:lang w:val="es-ES"/>
          </w:rPr>
          <w:t>SLE</w:t>
        </w:r>
      </w:smartTag>
      <w:r w:rsidRPr="002D741C">
        <w:rPr>
          <w:color w:val="000000"/>
          <w:szCs w:val="22"/>
          <w:lang w:val="es-ES"/>
        </w:rPr>
        <w:t>) y la supervivencia global (SG) excedieron constantemente 1 año y fueron superiores al control histórico (</w:t>
      </w:r>
      <w:smartTag w:uri="urn:schemas-microsoft-com:office:smarttags" w:element="stockticker">
        <w:r w:rsidRPr="002D741C">
          <w:rPr>
            <w:color w:val="000000"/>
            <w:szCs w:val="22"/>
            <w:lang w:val="es-ES_tradnl"/>
          </w:rPr>
          <w:t>DFS</w:t>
        </w:r>
      </w:smartTag>
      <w:r w:rsidRPr="002D741C">
        <w:rPr>
          <w:color w:val="000000"/>
          <w:szCs w:val="22"/>
          <w:lang w:val="es-ES_tradnl"/>
        </w:rPr>
        <w:t xml:space="preserve"> p&lt;0,001; OS p&lt;0,0001) en dos estudios (AJP01 y AUS01).</w:t>
      </w:r>
    </w:p>
    <w:p w14:paraId="33C8A4BA" w14:textId="77777777" w:rsidR="00C45062" w:rsidRPr="002D741C" w:rsidRDefault="00C45062" w:rsidP="00C45062">
      <w:pPr>
        <w:pStyle w:val="EndnoteText"/>
        <w:widowControl w:val="0"/>
        <w:tabs>
          <w:tab w:val="clear" w:pos="567"/>
        </w:tabs>
        <w:rPr>
          <w:color w:val="000000"/>
          <w:szCs w:val="22"/>
          <w:lang w:val="es-ES_tradnl"/>
        </w:rPr>
      </w:pPr>
    </w:p>
    <w:p w14:paraId="33643A01" w14:textId="77777777" w:rsidR="00C45062" w:rsidRPr="002D741C" w:rsidRDefault="00C45062" w:rsidP="00AD13BE">
      <w:pPr>
        <w:pStyle w:val="EndnoteText"/>
        <w:keepNext/>
        <w:widowControl w:val="0"/>
        <w:tabs>
          <w:tab w:val="clear" w:pos="567"/>
        </w:tabs>
        <w:ind w:left="1134" w:hanging="1134"/>
        <w:rPr>
          <w:b/>
          <w:bCs/>
          <w:color w:val="000000"/>
          <w:szCs w:val="22"/>
          <w:lang w:val="es-ES"/>
        </w:rPr>
      </w:pPr>
      <w:r w:rsidRPr="002D741C">
        <w:rPr>
          <w:b/>
          <w:bCs/>
          <w:color w:val="000000"/>
          <w:szCs w:val="22"/>
          <w:lang w:val="es-ES"/>
        </w:rPr>
        <w:t>Tabla </w:t>
      </w:r>
      <w:r w:rsidR="005A1A7A" w:rsidRPr="002D741C">
        <w:rPr>
          <w:b/>
          <w:bCs/>
          <w:color w:val="000000"/>
          <w:szCs w:val="22"/>
          <w:lang w:val="es-ES"/>
        </w:rPr>
        <w:t>4</w:t>
      </w:r>
      <w:r w:rsidRPr="002D741C">
        <w:rPr>
          <w:b/>
          <w:bCs/>
          <w:color w:val="000000"/>
          <w:szCs w:val="22"/>
          <w:lang w:val="es-ES"/>
        </w:rPr>
        <w:tab/>
        <w:t>Régimen de quimioterapia usado en combinación con imatinib</w:t>
      </w:r>
    </w:p>
    <w:p w14:paraId="27120850" w14:textId="77777777" w:rsidR="00C45062" w:rsidRPr="002D741C" w:rsidRDefault="00C45062" w:rsidP="00AD13BE">
      <w:pPr>
        <w:pStyle w:val="EndnoteText"/>
        <w:keepNext/>
        <w:widowControl w:val="0"/>
        <w:tabs>
          <w:tab w:val="clear" w:pos="567"/>
        </w:tabs>
        <w:rPr>
          <w:color w:val="000000"/>
          <w:szCs w:val="22"/>
          <w:lang w:val="es-ES"/>
        </w:rPr>
      </w:pPr>
    </w:p>
    <w:tbl>
      <w:tblPr>
        <w:tblW w:w="9094" w:type="dxa"/>
        <w:tblInd w:w="228" w:type="dxa"/>
        <w:tblBorders>
          <w:top w:val="single" w:sz="4" w:space="0" w:color="auto"/>
          <w:bottom w:val="single" w:sz="4" w:space="0" w:color="auto"/>
        </w:tblBorders>
        <w:tblLayout w:type="fixed"/>
        <w:tblLook w:val="0000" w:firstRow="0" w:lastRow="0" w:firstColumn="0" w:lastColumn="0" w:noHBand="0" w:noVBand="0"/>
      </w:tblPr>
      <w:tblGrid>
        <w:gridCol w:w="2432"/>
        <w:gridCol w:w="2652"/>
        <w:gridCol w:w="1080"/>
        <w:gridCol w:w="1380"/>
        <w:gridCol w:w="1550"/>
      </w:tblGrid>
      <w:tr w:rsidR="00C45062" w:rsidRPr="002D741C" w14:paraId="7542DBEC" w14:textId="77777777" w:rsidTr="00AD13BE">
        <w:trPr>
          <w:cantSplit/>
        </w:trPr>
        <w:tc>
          <w:tcPr>
            <w:tcW w:w="2432" w:type="dxa"/>
            <w:tcBorders>
              <w:top w:val="single" w:sz="4" w:space="0" w:color="auto"/>
              <w:left w:val="single" w:sz="4" w:space="0" w:color="auto"/>
              <w:bottom w:val="single" w:sz="4" w:space="0" w:color="auto"/>
            </w:tcBorders>
            <w:shd w:val="clear" w:color="auto" w:fill="auto"/>
          </w:tcPr>
          <w:p w14:paraId="79D5B7A1" w14:textId="77777777" w:rsidR="00C45062" w:rsidRPr="002D741C" w:rsidRDefault="00C45062" w:rsidP="00AD13BE">
            <w:pPr>
              <w:pStyle w:val="Table"/>
              <w:keepLines w:val="0"/>
              <w:widowControl w:val="0"/>
              <w:rPr>
                <w:rFonts w:ascii="Times New Roman" w:hAnsi="Times New Roman"/>
                <w:color w:val="000000"/>
                <w:sz w:val="22"/>
                <w:szCs w:val="22"/>
              </w:rPr>
            </w:pPr>
            <w:r w:rsidRPr="002D741C">
              <w:rPr>
                <w:rFonts w:ascii="Times New Roman" w:hAnsi="Times New Roman"/>
                <w:b/>
                <w:color w:val="000000"/>
                <w:sz w:val="22"/>
                <w:szCs w:val="22"/>
              </w:rPr>
              <w:t>Estudio A</w:t>
            </w:r>
            <w:smartTag w:uri="urn:schemas-microsoft-com:office:smarttags" w:element="PersonName">
              <w:r w:rsidRPr="002D741C">
                <w:rPr>
                  <w:rFonts w:ascii="Times New Roman" w:hAnsi="Times New Roman"/>
                  <w:b/>
                  <w:color w:val="000000"/>
                  <w:sz w:val="22"/>
                  <w:szCs w:val="22"/>
                </w:rPr>
                <w:t>DE</w:t>
              </w:r>
            </w:smartTag>
            <w:r w:rsidRPr="002D741C">
              <w:rPr>
                <w:rFonts w:ascii="Times New Roman" w:hAnsi="Times New Roman"/>
                <w:b/>
                <w:color w:val="000000"/>
                <w:sz w:val="22"/>
                <w:szCs w:val="22"/>
              </w:rPr>
              <w:t>10</w:t>
            </w:r>
          </w:p>
        </w:tc>
        <w:tc>
          <w:tcPr>
            <w:tcW w:w="6662" w:type="dxa"/>
            <w:gridSpan w:val="4"/>
            <w:tcBorders>
              <w:top w:val="single" w:sz="4" w:space="0" w:color="auto"/>
              <w:bottom w:val="single" w:sz="4" w:space="0" w:color="auto"/>
              <w:right w:val="single" w:sz="4" w:space="0" w:color="auto"/>
            </w:tcBorders>
            <w:shd w:val="clear" w:color="auto" w:fill="auto"/>
          </w:tcPr>
          <w:p w14:paraId="16F2A223" w14:textId="77777777" w:rsidR="00C45062" w:rsidRPr="002D741C" w:rsidRDefault="00C45062" w:rsidP="00AD13BE">
            <w:pPr>
              <w:pStyle w:val="Table"/>
              <w:keepLines w:val="0"/>
              <w:widowControl w:val="0"/>
              <w:rPr>
                <w:rFonts w:ascii="Times New Roman" w:hAnsi="Times New Roman"/>
                <w:color w:val="000000"/>
                <w:sz w:val="22"/>
                <w:szCs w:val="22"/>
              </w:rPr>
            </w:pPr>
          </w:p>
        </w:tc>
      </w:tr>
      <w:tr w:rsidR="00C45062" w:rsidRPr="002D741C" w14:paraId="185D9C77" w14:textId="77777777" w:rsidTr="00AD13BE">
        <w:trPr>
          <w:cantSplit/>
        </w:trPr>
        <w:tc>
          <w:tcPr>
            <w:tcW w:w="2432" w:type="dxa"/>
            <w:tcBorders>
              <w:top w:val="single" w:sz="4" w:space="0" w:color="auto"/>
              <w:left w:val="single" w:sz="4" w:space="0" w:color="auto"/>
              <w:bottom w:val="single" w:sz="4" w:space="0" w:color="auto"/>
            </w:tcBorders>
            <w:shd w:val="clear" w:color="auto" w:fill="auto"/>
          </w:tcPr>
          <w:p w14:paraId="20FBEA51" w14:textId="77777777" w:rsidR="00C45062" w:rsidRPr="002D741C" w:rsidRDefault="00C45062" w:rsidP="00AD13BE">
            <w:pPr>
              <w:pStyle w:val="Table"/>
              <w:keepLines w:val="0"/>
              <w:widowControl w:val="0"/>
              <w:rPr>
                <w:rFonts w:ascii="Times New Roman" w:hAnsi="Times New Roman"/>
                <w:color w:val="000000"/>
                <w:sz w:val="22"/>
                <w:szCs w:val="22"/>
              </w:rPr>
            </w:pPr>
            <w:r w:rsidRPr="002D741C">
              <w:rPr>
                <w:rFonts w:ascii="Times New Roman" w:hAnsi="Times New Roman"/>
                <w:color w:val="000000"/>
                <w:sz w:val="22"/>
                <w:szCs w:val="22"/>
              </w:rPr>
              <w:t>Prefase</w:t>
            </w:r>
          </w:p>
        </w:tc>
        <w:tc>
          <w:tcPr>
            <w:tcW w:w="6662" w:type="dxa"/>
            <w:gridSpan w:val="4"/>
            <w:tcBorders>
              <w:top w:val="single" w:sz="4" w:space="0" w:color="auto"/>
              <w:bottom w:val="single" w:sz="4" w:space="0" w:color="auto"/>
              <w:right w:val="single" w:sz="4" w:space="0" w:color="auto"/>
            </w:tcBorders>
            <w:shd w:val="clear" w:color="auto" w:fill="auto"/>
          </w:tcPr>
          <w:p w14:paraId="7B58E962" w14:textId="77777777" w:rsidR="00C45062" w:rsidRPr="002D741C" w:rsidRDefault="00C45062" w:rsidP="00AD13BE">
            <w:pPr>
              <w:pStyle w:val="Table"/>
              <w:keepLines w:val="0"/>
              <w:widowControl w:val="0"/>
              <w:rPr>
                <w:rFonts w:ascii="Times New Roman" w:hAnsi="Times New Roman"/>
                <w:color w:val="000000"/>
                <w:sz w:val="22"/>
                <w:szCs w:val="22"/>
                <w:lang w:val="es-ES_tradnl"/>
              </w:rPr>
            </w:pPr>
            <w:smartTag w:uri="urn:schemas-microsoft-com:office:smarttags" w:element="PersonName">
              <w:r w:rsidRPr="002D741C">
                <w:rPr>
                  <w:rFonts w:ascii="Times New Roman" w:hAnsi="Times New Roman"/>
                  <w:color w:val="000000"/>
                  <w:sz w:val="22"/>
                  <w:szCs w:val="22"/>
                  <w:lang w:val="es-ES_tradnl"/>
                </w:rPr>
                <w:t>DE</w:t>
              </w:r>
            </w:smartTag>
            <w:r w:rsidRPr="002D741C">
              <w:rPr>
                <w:rFonts w:ascii="Times New Roman" w:hAnsi="Times New Roman"/>
                <w:color w:val="000000"/>
                <w:sz w:val="22"/>
                <w:szCs w:val="22"/>
                <w:lang w:val="es-ES_tradnl"/>
              </w:rPr>
              <w:t>X 10 mg/m</w:t>
            </w:r>
            <w:r w:rsidRPr="002D741C">
              <w:rPr>
                <w:rFonts w:ascii="Times New Roman" w:hAnsi="Times New Roman"/>
                <w:color w:val="000000"/>
                <w:sz w:val="22"/>
                <w:szCs w:val="22"/>
                <w:vertAlign w:val="superscript"/>
                <w:lang w:val="es-ES_tradnl"/>
              </w:rPr>
              <w:t>2</w:t>
            </w:r>
            <w:r w:rsidRPr="002D741C">
              <w:rPr>
                <w:rFonts w:ascii="Times New Roman" w:hAnsi="Times New Roman"/>
                <w:color w:val="000000"/>
                <w:sz w:val="22"/>
                <w:szCs w:val="22"/>
                <w:lang w:val="es-ES_tradnl"/>
              </w:rPr>
              <w:t xml:space="preserve"> oral, días 1-5;</w:t>
            </w:r>
          </w:p>
          <w:p w14:paraId="1CFE4B24" w14:textId="77777777" w:rsidR="00C45062" w:rsidRPr="002D741C" w:rsidRDefault="00C45062" w:rsidP="00AD13BE">
            <w:pPr>
              <w:pStyle w:val="Table"/>
              <w:keepLines w:val="0"/>
              <w:widowControl w:val="0"/>
              <w:rPr>
                <w:rFonts w:ascii="Times New Roman" w:hAnsi="Times New Roman"/>
                <w:color w:val="000000"/>
                <w:sz w:val="22"/>
                <w:szCs w:val="22"/>
                <w:lang w:val="es-ES_tradnl"/>
              </w:rPr>
            </w:pPr>
            <w:r w:rsidRPr="002D741C">
              <w:rPr>
                <w:rFonts w:ascii="Times New Roman" w:hAnsi="Times New Roman"/>
                <w:color w:val="000000"/>
                <w:sz w:val="22"/>
                <w:szCs w:val="22"/>
                <w:lang w:val="es-ES_tradnl"/>
              </w:rPr>
              <w:t>CP 200 mg/m</w:t>
            </w:r>
            <w:r w:rsidRPr="002D741C">
              <w:rPr>
                <w:rFonts w:ascii="Times New Roman" w:hAnsi="Times New Roman"/>
                <w:color w:val="000000"/>
                <w:sz w:val="22"/>
                <w:szCs w:val="22"/>
                <w:vertAlign w:val="superscript"/>
                <w:lang w:val="es-ES_tradnl"/>
              </w:rPr>
              <w:t>2</w:t>
            </w:r>
            <w:r w:rsidRPr="002D741C">
              <w:rPr>
                <w:rFonts w:ascii="Times New Roman" w:hAnsi="Times New Roman"/>
                <w:color w:val="000000"/>
                <w:sz w:val="22"/>
                <w:szCs w:val="22"/>
                <w:lang w:val="es-ES_tradnl"/>
              </w:rPr>
              <w:t xml:space="preserve"> i.v., días 3, 4, 5;</w:t>
            </w:r>
          </w:p>
          <w:p w14:paraId="62956557" w14:textId="77777777" w:rsidR="00C45062" w:rsidRPr="002D741C" w:rsidRDefault="00C45062" w:rsidP="00AD13BE">
            <w:pPr>
              <w:pStyle w:val="Table"/>
              <w:keepLines w:val="0"/>
              <w:widowControl w:val="0"/>
              <w:rPr>
                <w:rFonts w:ascii="Times New Roman" w:hAnsi="Times New Roman"/>
                <w:color w:val="000000"/>
                <w:sz w:val="22"/>
                <w:szCs w:val="22"/>
                <w:lang w:val="es-ES_tradnl"/>
              </w:rPr>
            </w:pPr>
            <w:smartTag w:uri="urn:schemas-microsoft-com:office:smarttags" w:element="stockticker">
              <w:smartTag w:uri="urn:schemas-microsoft-com:office:smarttags" w:element="PersonName">
                <w:r w:rsidRPr="002D741C">
                  <w:rPr>
                    <w:rFonts w:ascii="Times New Roman" w:hAnsi="Times New Roman"/>
                    <w:color w:val="000000"/>
                    <w:sz w:val="22"/>
                    <w:szCs w:val="22"/>
                    <w:lang w:val="es-ES_tradnl"/>
                  </w:rPr>
                  <w:t>MT</w:t>
                </w:r>
              </w:smartTag>
              <w:r w:rsidRPr="002D741C">
                <w:rPr>
                  <w:rFonts w:ascii="Times New Roman" w:hAnsi="Times New Roman"/>
                  <w:color w:val="000000"/>
                  <w:sz w:val="22"/>
                  <w:szCs w:val="22"/>
                  <w:lang w:val="es-ES_tradnl"/>
                </w:rPr>
                <w:t>X</w:t>
              </w:r>
            </w:smartTag>
            <w:r w:rsidRPr="002D741C">
              <w:rPr>
                <w:rFonts w:ascii="Times New Roman" w:hAnsi="Times New Roman"/>
                <w:color w:val="000000"/>
                <w:sz w:val="22"/>
                <w:szCs w:val="22"/>
                <w:lang w:val="es-ES_tradnl"/>
              </w:rPr>
              <w:t xml:space="preserve"> 12 mg intratecal, día 1</w:t>
            </w:r>
          </w:p>
        </w:tc>
      </w:tr>
      <w:tr w:rsidR="00C45062" w:rsidRPr="002D741C" w14:paraId="7186A34F" w14:textId="77777777" w:rsidTr="00AD13BE">
        <w:trPr>
          <w:cantSplit/>
        </w:trPr>
        <w:tc>
          <w:tcPr>
            <w:tcW w:w="2432" w:type="dxa"/>
            <w:tcBorders>
              <w:top w:val="single" w:sz="4" w:space="0" w:color="auto"/>
              <w:left w:val="single" w:sz="4" w:space="0" w:color="auto"/>
              <w:bottom w:val="single" w:sz="4" w:space="0" w:color="auto"/>
            </w:tcBorders>
            <w:shd w:val="clear" w:color="auto" w:fill="auto"/>
          </w:tcPr>
          <w:p w14:paraId="5A483D3F" w14:textId="77777777" w:rsidR="00C45062" w:rsidRPr="002D741C" w:rsidRDefault="00C45062" w:rsidP="00AD13BE">
            <w:pPr>
              <w:pStyle w:val="Table"/>
              <w:keepLines w:val="0"/>
              <w:widowControl w:val="0"/>
              <w:rPr>
                <w:rFonts w:ascii="Times New Roman" w:hAnsi="Times New Roman"/>
                <w:color w:val="000000"/>
                <w:sz w:val="22"/>
                <w:szCs w:val="22"/>
              </w:rPr>
            </w:pPr>
            <w:r w:rsidRPr="002D741C">
              <w:rPr>
                <w:rFonts w:ascii="Times New Roman" w:hAnsi="Times New Roman"/>
                <w:color w:val="000000"/>
                <w:sz w:val="22"/>
                <w:szCs w:val="22"/>
              </w:rPr>
              <w:t>Inducción a la remisión</w:t>
            </w:r>
          </w:p>
        </w:tc>
        <w:tc>
          <w:tcPr>
            <w:tcW w:w="6662" w:type="dxa"/>
            <w:gridSpan w:val="4"/>
            <w:tcBorders>
              <w:top w:val="single" w:sz="4" w:space="0" w:color="auto"/>
              <w:bottom w:val="single" w:sz="4" w:space="0" w:color="auto"/>
              <w:right w:val="single" w:sz="4" w:space="0" w:color="auto"/>
            </w:tcBorders>
            <w:shd w:val="clear" w:color="auto" w:fill="auto"/>
          </w:tcPr>
          <w:p w14:paraId="206286AF" w14:textId="77777777" w:rsidR="00C45062" w:rsidRPr="002D741C" w:rsidRDefault="00C45062" w:rsidP="00AD13BE">
            <w:pPr>
              <w:pStyle w:val="Table"/>
              <w:keepLines w:val="0"/>
              <w:widowControl w:val="0"/>
              <w:rPr>
                <w:rFonts w:ascii="Times New Roman" w:hAnsi="Times New Roman"/>
                <w:color w:val="000000"/>
                <w:sz w:val="22"/>
                <w:szCs w:val="22"/>
                <w:lang w:val="es-ES"/>
              </w:rPr>
            </w:pPr>
            <w:smartTag w:uri="urn:schemas-microsoft-com:office:smarttags" w:element="PersonName">
              <w:r w:rsidRPr="002D741C">
                <w:rPr>
                  <w:rFonts w:ascii="Times New Roman" w:hAnsi="Times New Roman"/>
                  <w:color w:val="000000"/>
                  <w:sz w:val="22"/>
                  <w:szCs w:val="22"/>
                  <w:lang w:val="es-ES"/>
                </w:rPr>
                <w:t>DE</w:t>
              </w:r>
            </w:smartTag>
            <w:r w:rsidRPr="002D741C">
              <w:rPr>
                <w:rFonts w:ascii="Times New Roman" w:hAnsi="Times New Roman"/>
                <w:color w:val="000000"/>
                <w:sz w:val="22"/>
                <w:szCs w:val="22"/>
                <w:lang w:val="es-ES"/>
              </w:rPr>
              <w:t>X 10 mg/m</w:t>
            </w:r>
            <w:r w:rsidRPr="002D741C">
              <w:rPr>
                <w:rFonts w:ascii="Times New Roman" w:hAnsi="Times New Roman"/>
                <w:color w:val="000000"/>
                <w:sz w:val="22"/>
                <w:szCs w:val="22"/>
                <w:vertAlign w:val="superscript"/>
                <w:lang w:val="es-ES"/>
              </w:rPr>
              <w:t>2</w:t>
            </w:r>
            <w:r w:rsidRPr="002D741C">
              <w:rPr>
                <w:rFonts w:ascii="Times New Roman" w:hAnsi="Times New Roman"/>
                <w:color w:val="000000"/>
                <w:sz w:val="22"/>
                <w:szCs w:val="22"/>
                <w:lang w:val="es-ES"/>
              </w:rPr>
              <w:t xml:space="preserve"> oral, días 6-7, 13-16;</w:t>
            </w:r>
          </w:p>
          <w:p w14:paraId="7ED5B785" w14:textId="77777777" w:rsidR="00C45062" w:rsidRPr="002D741C" w:rsidRDefault="00C45062" w:rsidP="00AD13BE">
            <w:pPr>
              <w:pStyle w:val="Table"/>
              <w:keepLines w:val="0"/>
              <w:widowControl w:val="0"/>
              <w:rPr>
                <w:rFonts w:ascii="Times New Roman" w:hAnsi="Times New Roman"/>
                <w:color w:val="000000"/>
                <w:sz w:val="22"/>
                <w:szCs w:val="22"/>
                <w:lang w:val="es-ES"/>
              </w:rPr>
            </w:pPr>
            <w:smartTag w:uri="urn:schemas-microsoft-com:office:smarttags" w:element="stockticker">
              <w:r w:rsidRPr="002D741C">
                <w:rPr>
                  <w:rFonts w:ascii="Times New Roman" w:hAnsi="Times New Roman"/>
                  <w:color w:val="000000"/>
                  <w:sz w:val="22"/>
                  <w:szCs w:val="22"/>
                  <w:lang w:val="es-ES"/>
                </w:rPr>
                <w:t>VCR</w:t>
              </w:r>
            </w:smartTag>
            <w:r w:rsidRPr="002D741C">
              <w:rPr>
                <w:rFonts w:ascii="Times New Roman" w:hAnsi="Times New Roman"/>
                <w:color w:val="000000"/>
                <w:sz w:val="22"/>
                <w:szCs w:val="22"/>
                <w:lang w:val="es-ES"/>
              </w:rPr>
              <w:t xml:space="preserve"> 1 mg i.v., días 7, 14;</w:t>
            </w:r>
          </w:p>
          <w:p w14:paraId="67EE6240" w14:textId="77777777" w:rsidR="00C45062" w:rsidRPr="002D741C" w:rsidRDefault="00C45062" w:rsidP="00AD13BE">
            <w:pPr>
              <w:pStyle w:val="Table"/>
              <w:keepLines w:val="0"/>
              <w:widowControl w:val="0"/>
              <w:rPr>
                <w:rFonts w:ascii="Times New Roman" w:hAnsi="Times New Roman"/>
                <w:color w:val="000000"/>
                <w:sz w:val="22"/>
                <w:szCs w:val="22"/>
                <w:lang w:val="pt-BR"/>
              </w:rPr>
            </w:pPr>
            <w:smartTag w:uri="urn:schemas-microsoft-com:office:smarttags" w:element="stockticker">
              <w:r w:rsidRPr="002D741C">
                <w:rPr>
                  <w:rFonts w:ascii="Times New Roman" w:hAnsi="Times New Roman"/>
                  <w:color w:val="000000"/>
                  <w:sz w:val="22"/>
                  <w:szCs w:val="22"/>
                  <w:lang w:val="pt-BR"/>
                </w:rPr>
                <w:t>IDA</w:t>
              </w:r>
            </w:smartTag>
            <w:r w:rsidRPr="002D741C">
              <w:rPr>
                <w:rFonts w:ascii="Times New Roman" w:hAnsi="Times New Roman"/>
                <w:color w:val="000000"/>
                <w:sz w:val="22"/>
                <w:szCs w:val="22"/>
                <w:lang w:val="pt-BR"/>
              </w:rPr>
              <w:t xml:space="preserve"> 8 mg/m</w:t>
            </w:r>
            <w:r w:rsidRPr="002D741C">
              <w:rPr>
                <w:rFonts w:ascii="Times New Roman" w:hAnsi="Times New Roman"/>
                <w:color w:val="000000"/>
                <w:sz w:val="22"/>
                <w:szCs w:val="22"/>
                <w:vertAlign w:val="superscript"/>
                <w:lang w:val="pt-BR"/>
              </w:rPr>
              <w:t>2</w:t>
            </w:r>
            <w:r w:rsidRPr="002D741C">
              <w:rPr>
                <w:rFonts w:ascii="Times New Roman" w:hAnsi="Times New Roman"/>
                <w:color w:val="000000"/>
                <w:sz w:val="22"/>
                <w:szCs w:val="22"/>
                <w:lang w:val="pt-BR"/>
              </w:rPr>
              <w:t xml:space="preserve"> i.v. (0,5 h), días 7, 8, 14, 15;</w:t>
            </w:r>
          </w:p>
          <w:p w14:paraId="3F3C11AF" w14:textId="77777777" w:rsidR="00C45062" w:rsidRPr="002D741C" w:rsidRDefault="00C45062" w:rsidP="00AD13BE">
            <w:pPr>
              <w:pStyle w:val="Table"/>
              <w:keepLines w:val="0"/>
              <w:widowControl w:val="0"/>
              <w:rPr>
                <w:rFonts w:ascii="Times New Roman" w:hAnsi="Times New Roman"/>
                <w:color w:val="000000"/>
                <w:sz w:val="22"/>
                <w:szCs w:val="22"/>
                <w:lang w:val="pt-BR"/>
              </w:rPr>
            </w:pPr>
            <w:r w:rsidRPr="002D741C">
              <w:rPr>
                <w:rFonts w:ascii="Times New Roman" w:hAnsi="Times New Roman"/>
                <w:color w:val="000000"/>
                <w:sz w:val="22"/>
                <w:szCs w:val="22"/>
                <w:lang w:val="pt-BR"/>
              </w:rPr>
              <w:t>CP 500 mg/m</w:t>
            </w:r>
            <w:r w:rsidRPr="002D741C">
              <w:rPr>
                <w:rFonts w:ascii="Times New Roman" w:hAnsi="Times New Roman"/>
                <w:color w:val="000000"/>
                <w:sz w:val="22"/>
                <w:szCs w:val="22"/>
                <w:vertAlign w:val="superscript"/>
                <w:lang w:val="pt-BR"/>
              </w:rPr>
              <w:t>2</w:t>
            </w:r>
            <w:r w:rsidRPr="002D741C">
              <w:rPr>
                <w:rFonts w:ascii="Times New Roman" w:hAnsi="Times New Roman"/>
                <w:color w:val="000000"/>
                <w:sz w:val="22"/>
                <w:szCs w:val="22"/>
                <w:lang w:val="pt-BR"/>
              </w:rPr>
              <w:t xml:space="preserve"> i.v.(1 h) día 1;</w:t>
            </w:r>
          </w:p>
          <w:p w14:paraId="7E7F37A5" w14:textId="77777777" w:rsidR="00C45062" w:rsidRPr="002D741C" w:rsidRDefault="00C45062" w:rsidP="00AD13BE">
            <w:pPr>
              <w:pStyle w:val="Table"/>
              <w:keepLines w:val="0"/>
              <w:widowControl w:val="0"/>
              <w:rPr>
                <w:rFonts w:ascii="Times New Roman" w:hAnsi="Times New Roman"/>
                <w:color w:val="000000"/>
                <w:sz w:val="22"/>
                <w:szCs w:val="22"/>
                <w:lang w:val="es-ES"/>
              </w:rPr>
            </w:pPr>
            <w:r w:rsidRPr="002D741C">
              <w:rPr>
                <w:rFonts w:ascii="Times New Roman" w:hAnsi="Times New Roman"/>
                <w:color w:val="000000"/>
                <w:sz w:val="22"/>
                <w:szCs w:val="22"/>
                <w:lang w:val="es-ES"/>
              </w:rPr>
              <w:t>Ara-C 60 mg/m</w:t>
            </w:r>
            <w:r w:rsidRPr="002D741C">
              <w:rPr>
                <w:rFonts w:ascii="Times New Roman" w:hAnsi="Times New Roman"/>
                <w:color w:val="000000"/>
                <w:sz w:val="22"/>
                <w:szCs w:val="22"/>
                <w:vertAlign w:val="superscript"/>
                <w:lang w:val="es-ES"/>
              </w:rPr>
              <w:t>2</w:t>
            </w:r>
            <w:r w:rsidRPr="002D741C">
              <w:rPr>
                <w:rFonts w:ascii="Times New Roman" w:hAnsi="Times New Roman"/>
                <w:color w:val="000000"/>
                <w:sz w:val="22"/>
                <w:szCs w:val="22"/>
                <w:lang w:val="es-ES"/>
              </w:rPr>
              <w:t xml:space="preserve"> i.v., días 22-25, 29-32</w:t>
            </w:r>
          </w:p>
        </w:tc>
      </w:tr>
      <w:tr w:rsidR="00C45062" w:rsidRPr="002D741C" w14:paraId="795A952D" w14:textId="77777777" w:rsidTr="00AD13BE">
        <w:trPr>
          <w:cantSplit/>
        </w:trPr>
        <w:tc>
          <w:tcPr>
            <w:tcW w:w="2432" w:type="dxa"/>
            <w:tcBorders>
              <w:top w:val="single" w:sz="4" w:space="0" w:color="auto"/>
              <w:left w:val="single" w:sz="4" w:space="0" w:color="auto"/>
              <w:bottom w:val="single" w:sz="4" w:space="0" w:color="auto"/>
            </w:tcBorders>
            <w:shd w:val="clear" w:color="auto" w:fill="auto"/>
          </w:tcPr>
          <w:p w14:paraId="5533FCF7" w14:textId="77777777" w:rsidR="00C45062" w:rsidRPr="002D741C" w:rsidRDefault="00C45062" w:rsidP="00AD13BE">
            <w:pPr>
              <w:pStyle w:val="Table"/>
              <w:keepLines w:val="0"/>
              <w:widowControl w:val="0"/>
              <w:rPr>
                <w:rFonts w:ascii="Times New Roman" w:hAnsi="Times New Roman"/>
                <w:color w:val="000000"/>
                <w:sz w:val="22"/>
                <w:szCs w:val="22"/>
                <w:lang w:val="es-ES_tradnl"/>
              </w:rPr>
            </w:pPr>
            <w:r w:rsidRPr="002D741C">
              <w:rPr>
                <w:rFonts w:ascii="Times New Roman" w:hAnsi="Times New Roman"/>
                <w:color w:val="000000"/>
                <w:sz w:val="22"/>
                <w:szCs w:val="22"/>
                <w:lang w:val="es-ES_tradnl"/>
              </w:rPr>
              <w:t xml:space="preserve">Terapia de consolidación I, </w:t>
            </w:r>
            <w:smartTag w:uri="urn:schemas-microsoft-com:office:smarttags" w:element="stockticker">
              <w:r w:rsidRPr="002D741C">
                <w:rPr>
                  <w:rFonts w:ascii="Times New Roman" w:hAnsi="Times New Roman"/>
                  <w:color w:val="000000"/>
                  <w:sz w:val="22"/>
                  <w:szCs w:val="22"/>
                  <w:lang w:val="es-ES_tradnl"/>
                </w:rPr>
                <w:t>III</w:t>
              </w:r>
            </w:smartTag>
            <w:r w:rsidRPr="002D741C">
              <w:rPr>
                <w:rFonts w:ascii="Times New Roman" w:hAnsi="Times New Roman"/>
                <w:color w:val="000000"/>
                <w:sz w:val="22"/>
                <w:szCs w:val="22"/>
                <w:lang w:val="es-ES_tradnl"/>
              </w:rPr>
              <w:t>, V</w:t>
            </w:r>
          </w:p>
        </w:tc>
        <w:tc>
          <w:tcPr>
            <w:tcW w:w="6662" w:type="dxa"/>
            <w:gridSpan w:val="4"/>
            <w:tcBorders>
              <w:top w:val="single" w:sz="4" w:space="0" w:color="auto"/>
              <w:bottom w:val="single" w:sz="4" w:space="0" w:color="auto"/>
              <w:right w:val="single" w:sz="4" w:space="0" w:color="auto"/>
            </w:tcBorders>
            <w:shd w:val="clear" w:color="auto" w:fill="auto"/>
          </w:tcPr>
          <w:p w14:paraId="467C85E4" w14:textId="77777777" w:rsidR="00C45062" w:rsidRPr="002D741C" w:rsidRDefault="00C45062" w:rsidP="00AD13BE">
            <w:pPr>
              <w:pStyle w:val="Table"/>
              <w:keepLines w:val="0"/>
              <w:widowControl w:val="0"/>
              <w:rPr>
                <w:rFonts w:ascii="Times New Roman" w:hAnsi="Times New Roman"/>
                <w:color w:val="000000"/>
                <w:sz w:val="22"/>
                <w:szCs w:val="22"/>
                <w:lang w:val="es-ES_tradnl"/>
              </w:rPr>
            </w:pPr>
            <w:smartTag w:uri="urn:schemas-microsoft-com:office:smarttags" w:element="stockticker">
              <w:smartTag w:uri="urn:schemas-microsoft-com:office:smarttags" w:element="PersonName">
                <w:r w:rsidRPr="002D741C">
                  <w:rPr>
                    <w:rFonts w:ascii="Times New Roman" w:hAnsi="Times New Roman"/>
                    <w:color w:val="000000"/>
                    <w:sz w:val="22"/>
                    <w:szCs w:val="22"/>
                    <w:lang w:val="es-ES_tradnl"/>
                  </w:rPr>
                  <w:t>MT</w:t>
                </w:r>
              </w:smartTag>
              <w:r w:rsidRPr="002D741C">
                <w:rPr>
                  <w:rFonts w:ascii="Times New Roman" w:hAnsi="Times New Roman"/>
                  <w:color w:val="000000"/>
                  <w:sz w:val="22"/>
                  <w:szCs w:val="22"/>
                  <w:lang w:val="es-ES_tradnl"/>
                </w:rPr>
                <w:t>X</w:t>
              </w:r>
            </w:smartTag>
            <w:r w:rsidRPr="002D741C">
              <w:rPr>
                <w:rFonts w:ascii="Times New Roman" w:hAnsi="Times New Roman"/>
                <w:color w:val="000000"/>
                <w:sz w:val="22"/>
                <w:szCs w:val="22"/>
                <w:lang w:val="es-ES_tradnl"/>
              </w:rPr>
              <w:t xml:space="preserve"> 500 mg/m</w:t>
            </w:r>
            <w:r w:rsidRPr="002D741C">
              <w:rPr>
                <w:rFonts w:ascii="Times New Roman" w:hAnsi="Times New Roman"/>
                <w:color w:val="000000"/>
                <w:sz w:val="22"/>
                <w:szCs w:val="22"/>
                <w:vertAlign w:val="superscript"/>
                <w:lang w:val="es-ES_tradnl"/>
              </w:rPr>
              <w:t>2</w:t>
            </w:r>
            <w:r w:rsidRPr="002D741C">
              <w:rPr>
                <w:rFonts w:ascii="Times New Roman" w:hAnsi="Times New Roman"/>
                <w:color w:val="000000"/>
                <w:sz w:val="22"/>
                <w:szCs w:val="22"/>
                <w:lang w:val="es-ES_tradnl"/>
              </w:rPr>
              <w:t xml:space="preserve"> i.v. (24 h), días 1, 15;</w:t>
            </w:r>
          </w:p>
          <w:p w14:paraId="322966D4" w14:textId="77777777" w:rsidR="00C45062" w:rsidRPr="002D741C" w:rsidRDefault="00C45062" w:rsidP="00AD13BE">
            <w:pPr>
              <w:pStyle w:val="Table"/>
              <w:keepLines w:val="0"/>
              <w:widowControl w:val="0"/>
              <w:rPr>
                <w:rFonts w:ascii="Times New Roman" w:hAnsi="Times New Roman"/>
                <w:color w:val="000000"/>
                <w:sz w:val="22"/>
                <w:szCs w:val="22"/>
                <w:lang w:val="es-ES_tradnl"/>
              </w:rPr>
            </w:pPr>
            <w:r w:rsidRPr="002D741C">
              <w:rPr>
                <w:rFonts w:ascii="Times New Roman" w:hAnsi="Times New Roman"/>
                <w:color w:val="000000"/>
                <w:sz w:val="22"/>
                <w:szCs w:val="22"/>
                <w:lang w:val="es-ES_tradnl"/>
              </w:rPr>
              <w:t>6-MP 25 mg/m</w:t>
            </w:r>
            <w:r w:rsidRPr="002D741C">
              <w:rPr>
                <w:rFonts w:ascii="Times New Roman" w:hAnsi="Times New Roman"/>
                <w:color w:val="000000"/>
                <w:sz w:val="22"/>
                <w:szCs w:val="22"/>
                <w:vertAlign w:val="superscript"/>
                <w:lang w:val="es-ES_tradnl"/>
              </w:rPr>
              <w:t>2</w:t>
            </w:r>
            <w:r w:rsidRPr="002D741C">
              <w:rPr>
                <w:rFonts w:ascii="Times New Roman" w:hAnsi="Times New Roman"/>
                <w:color w:val="000000"/>
                <w:sz w:val="22"/>
                <w:szCs w:val="22"/>
                <w:lang w:val="es-ES_tradnl"/>
              </w:rPr>
              <w:t xml:space="preserve"> oral, días 1-20</w:t>
            </w:r>
          </w:p>
        </w:tc>
      </w:tr>
      <w:tr w:rsidR="00C45062" w:rsidRPr="002D741C" w14:paraId="6DCA85AB" w14:textId="77777777" w:rsidTr="00AD13BE">
        <w:trPr>
          <w:cantSplit/>
        </w:trPr>
        <w:tc>
          <w:tcPr>
            <w:tcW w:w="2432" w:type="dxa"/>
            <w:tcBorders>
              <w:top w:val="single" w:sz="4" w:space="0" w:color="auto"/>
              <w:left w:val="single" w:sz="4" w:space="0" w:color="auto"/>
              <w:bottom w:val="single" w:sz="4" w:space="0" w:color="auto"/>
            </w:tcBorders>
            <w:shd w:val="clear" w:color="auto" w:fill="auto"/>
          </w:tcPr>
          <w:p w14:paraId="2319C819" w14:textId="77777777" w:rsidR="00C45062" w:rsidRPr="002D741C" w:rsidRDefault="00C45062" w:rsidP="00AD13BE">
            <w:pPr>
              <w:pStyle w:val="Table"/>
              <w:keepNext w:val="0"/>
              <w:keepLines w:val="0"/>
              <w:widowControl w:val="0"/>
              <w:rPr>
                <w:rFonts w:ascii="Times New Roman" w:hAnsi="Times New Roman"/>
                <w:color w:val="000000"/>
                <w:sz w:val="22"/>
                <w:szCs w:val="22"/>
                <w:lang w:val="es-ES_tradnl"/>
              </w:rPr>
            </w:pPr>
            <w:r w:rsidRPr="002D741C">
              <w:rPr>
                <w:rFonts w:ascii="Times New Roman" w:hAnsi="Times New Roman"/>
                <w:color w:val="000000"/>
                <w:sz w:val="22"/>
                <w:szCs w:val="22"/>
                <w:lang w:val="es-ES_tradnl"/>
              </w:rPr>
              <w:t>Terapia de consolidación II, IV</w:t>
            </w:r>
          </w:p>
        </w:tc>
        <w:tc>
          <w:tcPr>
            <w:tcW w:w="6662" w:type="dxa"/>
            <w:gridSpan w:val="4"/>
            <w:tcBorders>
              <w:top w:val="single" w:sz="4" w:space="0" w:color="auto"/>
              <w:bottom w:val="single" w:sz="4" w:space="0" w:color="auto"/>
              <w:right w:val="single" w:sz="4" w:space="0" w:color="auto"/>
            </w:tcBorders>
            <w:shd w:val="clear" w:color="auto" w:fill="auto"/>
          </w:tcPr>
          <w:p w14:paraId="2F1E3E86" w14:textId="77777777" w:rsidR="00C45062" w:rsidRPr="002D741C" w:rsidRDefault="00C45062" w:rsidP="00AD13BE">
            <w:pPr>
              <w:pStyle w:val="Table"/>
              <w:keepNext w:val="0"/>
              <w:keepLines w:val="0"/>
              <w:widowControl w:val="0"/>
              <w:rPr>
                <w:rFonts w:ascii="Times New Roman" w:hAnsi="Times New Roman"/>
                <w:color w:val="000000"/>
                <w:sz w:val="22"/>
                <w:szCs w:val="22"/>
                <w:lang w:val="pt-BR"/>
              </w:rPr>
            </w:pPr>
            <w:r w:rsidRPr="002D741C">
              <w:rPr>
                <w:rFonts w:ascii="Times New Roman" w:hAnsi="Times New Roman"/>
                <w:color w:val="000000"/>
                <w:sz w:val="22"/>
                <w:szCs w:val="22"/>
                <w:lang w:val="pt-BR"/>
              </w:rPr>
              <w:t>Ara-C 75 mg/m</w:t>
            </w:r>
            <w:r w:rsidRPr="002D741C">
              <w:rPr>
                <w:rFonts w:ascii="Times New Roman" w:hAnsi="Times New Roman"/>
                <w:color w:val="000000"/>
                <w:sz w:val="22"/>
                <w:szCs w:val="22"/>
                <w:vertAlign w:val="superscript"/>
                <w:lang w:val="pt-BR"/>
              </w:rPr>
              <w:t>2</w:t>
            </w:r>
            <w:r w:rsidRPr="002D741C">
              <w:rPr>
                <w:rFonts w:ascii="Times New Roman" w:hAnsi="Times New Roman"/>
                <w:color w:val="000000"/>
                <w:sz w:val="22"/>
                <w:szCs w:val="22"/>
                <w:lang w:val="pt-BR"/>
              </w:rPr>
              <w:t xml:space="preserve"> i.v. (1 h), días 1-5;</w:t>
            </w:r>
          </w:p>
          <w:p w14:paraId="3651738C" w14:textId="77777777" w:rsidR="00C45062" w:rsidRPr="002D741C" w:rsidRDefault="00C45062" w:rsidP="00AD13BE">
            <w:pPr>
              <w:pStyle w:val="Table"/>
              <w:keepNext w:val="0"/>
              <w:keepLines w:val="0"/>
              <w:widowControl w:val="0"/>
              <w:rPr>
                <w:rFonts w:ascii="Times New Roman" w:hAnsi="Times New Roman"/>
                <w:color w:val="000000"/>
                <w:sz w:val="22"/>
                <w:szCs w:val="22"/>
                <w:lang w:val="pt-BR"/>
              </w:rPr>
            </w:pPr>
            <w:r w:rsidRPr="002D741C">
              <w:rPr>
                <w:rFonts w:ascii="Times New Roman" w:hAnsi="Times New Roman"/>
                <w:color w:val="000000"/>
                <w:sz w:val="22"/>
                <w:szCs w:val="22"/>
                <w:lang w:val="pt-BR"/>
              </w:rPr>
              <w:t>VM26 60 mg/m</w:t>
            </w:r>
            <w:r w:rsidRPr="002D741C">
              <w:rPr>
                <w:rFonts w:ascii="Times New Roman" w:hAnsi="Times New Roman"/>
                <w:color w:val="000000"/>
                <w:sz w:val="22"/>
                <w:szCs w:val="22"/>
                <w:vertAlign w:val="superscript"/>
                <w:lang w:val="pt-BR"/>
              </w:rPr>
              <w:t>2</w:t>
            </w:r>
            <w:r w:rsidRPr="002D741C">
              <w:rPr>
                <w:rFonts w:ascii="Times New Roman" w:hAnsi="Times New Roman"/>
                <w:color w:val="000000"/>
                <w:sz w:val="22"/>
                <w:szCs w:val="22"/>
                <w:lang w:val="pt-BR"/>
              </w:rPr>
              <w:t xml:space="preserve"> i.v. (1 h), días 1-5</w:t>
            </w:r>
          </w:p>
        </w:tc>
      </w:tr>
      <w:tr w:rsidR="00C45062" w:rsidRPr="002D741C" w14:paraId="3147FF51" w14:textId="77777777" w:rsidTr="00AD13BE">
        <w:trPr>
          <w:cantSplit/>
        </w:trPr>
        <w:tc>
          <w:tcPr>
            <w:tcW w:w="2432" w:type="dxa"/>
            <w:tcBorders>
              <w:top w:val="single" w:sz="4" w:space="0" w:color="auto"/>
              <w:left w:val="single" w:sz="4" w:space="0" w:color="auto"/>
              <w:bottom w:val="single" w:sz="4" w:space="0" w:color="auto"/>
            </w:tcBorders>
            <w:shd w:val="clear" w:color="auto" w:fill="auto"/>
          </w:tcPr>
          <w:p w14:paraId="0D76D9B9" w14:textId="77777777" w:rsidR="00C45062" w:rsidRPr="002D741C" w:rsidRDefault="00C45062" w:rsidP="00AD13BE">
            <w:pPr>
              <w:pStyle w:val="Table"/>
              <w:keepLines w:val="0"/>
              <w:widowControl w:val="0"/>
              <w:rPr>
                <w:rFonts w:ascii="Times New Roman" w:hAnsi="Times New Roman"/>
                <w:b/>
                <w:color w:val="000000"/>
                <w:sz w:val="22"/>
                <w:szCs w:val="22"/>
              </w:rPr>
            </w:pPr>
            <w:r w:rsidRPr="002D741C">
              <w:rPr>
                <w:rFonts w:ascii="Times New Roman" w:hAnsi="Times New Roman"/>
                <w:b/>
                <w:color w:val="000000"/>
                <w:sz w:val="22"/>
                <w:szCs w:val="22"/>
              </w:rPr>
              <w:lastRenderedPageBreak/>
              <w:t>Estudio AAU02</w:t>
            </w:r>
          </w:p>
        </w:tc>
        <w:tc>
          <w:tcPr>
            <w:tcW w:w="2652" w:type="dxa"/>
            <w:tcBorders>
              <w:top w:val="single" w:sz="4" w:space="0" w:color="auto"/>
              <w:bottom w:val="single" w:sz="4" w:space="0" w:color="auto"/>
            </w:tcBorders>
            <w:shd w:val="clear" w:color="auto" w:fill="auto"/>
          </w:tcPr>
          <w:p w14:paraId="238B5790" w14:textId="77777777" w:rsidR="00C45062" w:rsidRPr="002D741C" w:rsidRDefault="00C45062" w:rsidP="00AD13BE">
            <w:pPr>
              <w:pStyle w:val="Table"/>
              <w:keepLines w:val="0"/>
              <w:widowControl w:val="0"/>
              <w:rPr>
                <w:rFonts w:ascii="Times New Roman" w:hAnsi="Times New Roman"/>
                <w:color w:val="000000"/>
                <w:sz w:val="22"/>
                <w:szCs w:val="22"/>
              </w:rPr>
            </w:pPr>
          </w:p>
        </w:tc>
        <w:tc>
          <w:tcPr>
            <w:tcW w:w="1080" w:type="dxa"/>
            <w:tcBorders>
              <w:top w:val="single" w:sz="4" w:space="0" w:color="auto"/>
              <w:bottom w:val="single" w:sz="4" w:space="0" w:color="auto"/>
            </w:tcBorders>
          </w:tcPr>
          <w:p w14:paraId="33AB027C" w14:textId="77777777" w:rsidR="00C45062" w:rsidRPr="002D741C" w:rsidRDefault="00C45062" w:rsidP="00AD13BE">
            <w:pPr>
              <w:pStyle w:val="Table"/>
              <w:keepLines w:val="0"/>
              <w:widowControl w:val="0"/>
              <w:rPr>
                <w:rFonts w:ascii="Times New Roman" w:hAnsi="Times New Roman"/>
                <w:color w:val="000000"/>
                <w:sz w:val="22"/>
                <w:szCs w:val="22"/>
              </w:rPr>
            </w:pPr>
          </w:p>
        </w:tc>
        <w:tc>
          <w:tcPr>
            <w:tcW w:w="1380" w:type="dxa"/>
            <w:tcBorders>
              <w:top w:val="single" w:sz="4" w:space="0" w:color="auto"/>
              <w:bottom w:val="single" w:sz="4" w:space="0" w:color="auto"/>
            </w:tcBorders>
          </w:tcPr>
          <w:p w14:paraId="428B1A5A" w14:textId="77777777" w:rsidR="00C45062" w:rsidRPr="002D741C" w:rsidRDefault="00C45062" w:rsidP="00AD13BE">
            <w:pPr>
              <w:pStyle w:val="Table"/>
              <w:keepLines w:val="0"/>
              <w:widowControl w:val="0"/>
              <w:rPr>
                <w:rFonts w:ascii="Times New Roman" w:hAnsi="Times New Roman"/>
                <w:color w:val="000000"/>
                <w:sz w:val="22"/>
                <w:szCs w:val="22"/>
              </w:rPr>
            </w:pPr>
          </w:p>
        </w:tc>
        <w:tc>
          <w:tcPr>
            <w:tcW w:w="1550" w:type="dxa"/>
            <w:tcBorders>
              <w:top w:val="single" w:sz="4" w:space="0" w:color="auto"/>
              <w:bottom w:val="single" w:sz="4" w:space="0" w:color="auto"/>
              <w:right w:val="single" w:sz="4" w:space="0" w:color="auto"/>
            </w:tcBorders>
          </w:tcPr>
          <w:p w14:paraId="6D7EB739" w14:textId="77777777" w:rsidR="00C45062" w:rsidRPr="002D741C" w:rsidRDefault="00C45062" w:rsidP="00AD13BE">
            <w:pPr>
              <w:pStyle w:val="Table"/>
              <w:keepLines w:val="0"/>
              <w:widowControl w:val="0"/>
              <w:rPr>
                <w:rFonts w:ascii="Times New Roman" w:hAnsi="Times New Roman"/>
                <w:color w:val="000000"/>
                <w:sz w:val="22"/>
                <w:szCs w:val="22"/>
              </w:rPr>
            </w:pPr>
          </w:p>
        </w:tc>
      </w:tr>
      <w:tr w:rsidR="00C45062" w:rsidRPr="002D741C" w14:paraId="2C571657" w14:textId="77777777" w:rsidTr="00AD13BE">
        <w:trPr>
          <w:cantSplit/>
        </w:trPr>
        <w:tc>
          <w:tcPr>
            <w:tcW w:w="2432" w:type="dxa"/>
            <w:tcBorders>
              <w:top w:val="single" w:sz="4" w:space="0" w:color="auto"/>
              <w:left w:val="single" w:sz="4" w:space="0" w:color="auto"/>
              <w:bottom w:val="single" w:sz="4" w:space="0" w:color="auto"/>
            </w:tcBorders>
            <w:shd w:val="clear" w:color="auto" w:fill="auto"/>
          </w:tcPr>
          <w:p w14:paraId="321A98C6" w14:textId="77777777" w:rsidR="00C45062" w:rsidRPr="002D741C" w:rsidRDefault="00C45062" w:rsidP="00AD13BE">
            <w:pPr>
              <w:pStyle w:val="Table"/>
              <w:keepLines w:val="0"/>
              <w:widowControl w:val="0"/>
              <w:rPr>
                <w:rFonts w:ascii="Times New Roman" w:hAnsi="Times New Roman"/>
                <w:color w:val="000000"/>
                <w:sz w:val="22"/>
                <w:szCs w:val="22"/>
                <w:lang w:val="es-ES_tradnl"/>
              </w:rPr>
            </w:pPr>
            <w:r w:rsidRPr="002D741C">
              <w:rPr>
                <w:rFonts w:ascii="Times New Roman" w:hAnsi="Times New Roman"/>
                <w:color w:val="000000"/>
                <w:sz w:val="22"/>
                <w:szCs w:val="22"/>
                <w:lang w:val="es-ES_tradnl"/>
              </w:rPr>
              <w:t xml:space="preserve">Terapia de inducción (LLA Ph+ </w:t>
            </w:r>
            <w:r w:rsidRPr="002D741C">
              <w:rPr>
                <w:rFonts w:ascii="Times New Roman" w:hAnsi="Times New Roman"/>
                <w:i/>
                <w:color w:val="000000"/>
                <w:sz w:val="22"/>
                <w:szCs w:val="22"/>
                <w:lang w:val="es-ES_tradnl"/>
              </w:rPr>
              <w:t>de novo</w:t>
            </w:r>
            <w:r w:rsidRPr="002D741C">
              <w:rPr>
                <w:rFonts w:ascii="Times New Roman" w:hAnsi="Times New Roman"/>
                <w:color w:val="000000"/>
                <w:sz w:val="22"/>
                <w:szCs w:val="22"/>
                <w:lang w:val="es-ES_tradnl"/>
              </w:rPr>
              <w:t>)</w:t>
            </w:r>
          </w:p>
        </w:tc>
        <w:tc>
          <w:tcPr>
            <w:tcW w:w="6662" w:type="dxa"/>
            <w:gridSpan w:val="4"/>
            <w:tcBorders>
              <w:top w:val="single" w:sz="4" w:space="0" w:color="auto"/>
              <w:bottom w:val="single" w:sz="4" w:space="0" w:color="auto"/>
              <w:right w:val="single" w:sz="4" w:space="0" w:color="auto"/>
            </w:tcBorders>
            <w:shd w:val="clear" w:color="auto" w:fill="auto"/>
          </w:tcPr>
          <w:p w14:paraId="4163AF4F" w14:textId="77777777" w:rsidR="00C45062" w:rsidRPr="002D741C" w:rsidRDefault="00C45062" w:rsidP="00AD13BE">
            <w:pPr>
              <w:pStyle w:val="Table"/>
              <w:keepLines w:val="0"/>
              <w:widowControl w:val="0"/>
              <w:rPr>
                <w:rFonts w:ascii="Times New Roman" w:hAnsi="Times New Roman"/>
                <w:color w:val="000000"/>
                <w:sz w:val="22"/>
                <w:szCs w:val="22"/>
                <w:lang w:val="es-ES_tradnl"/>
              </w:rPr>
            </w:pPr>
            <w:r w:rsidRPr="002D741C">
              <w:rPr>
                <w:rFonts w:ascii="Times New Roman" w:hAnsi="Times New Roman"/>
                <w:color w:val="000000"/>
                <w:sz w:val="22"/>
                <w:szCs w:val="22"/>
                <w:lang w:val="es-ES_tradnl"/>
              </w:rPr>
              <w:t>Daunorubicina 30 mg/m</w:t>
            </w:r>
            <w:r w:rsidRPr="002D741C">
              <w:rPr>
                <w:rFonts w:ascii="Times New Roman" w:hAnsi="Times New Roman"/>
                <w:color w:val="000000"/>
                <w:sz w:val="22"/>
                <w:szCs w:val="22"/>
                <w:vertAlign w:val="superscript"/>
                <w:lang w:val="es-ES_tradnl"/>
              </w:rPr>
              <w:t>2</w:t>
            </w:r>
            <w:r w:rsidRPr="002D741C">
              <w:rPr>
                <w:rFonts w:ascii="Times New Roman" w:hAnsi="Times New Roman"/>
                <w:color w:val="000000"/>
                <w:sz w:val="22"/>
                <w:szCs w:val="22"/>
                <w:lang w:val="es-ES_tradnl"/>
              </w:rPr>
              <w:t xml:space="preserve"> i.v., días 1-3, 15-16;</w:t>
            </w:r>
          </w:p>
          <w:p w14:paraId="28493933" w14:textId="77777777" w:rsidR="00C45062" w:rsidRPr="002D741C" w:rsidRDefault="00C45062" w:rsidP="00AD13BE">
            <w:pPr>
              <w:pStyle w:val="Table"/>
              <w:keepLines w:val="0"/>
              <w:widowControl w:val="0"/>
              <w:rPr>
                <w:rFonts w:ascii="Times New Roman" w:hAnsi="Times New Roman"/>
                <w:color w:val="000000"/>
                <w:sz w:val="22"/>
                <w:szCs w:val="22"/>
                <w:lang w:val="es-ES_tradnl"/>
              </w:rPr>
            </w:pPr>
            <w:smartTag w:uri="urn:schemas-microsoft-com:office:smarttags" w:element="stockticker">
              <w:r w:rsidRPr="002D741C">
                <w:rPr>
                  <w:rFonts w:ascii="Times New Roman" w:hAnsi="Times New Roman"/>
                  <w:color w:val="000000"/>
                  <w:sz w:val="22"/>
                  <w:szCs w:val="22"/>
                  <w:lang w:val="es-ES_tradnl"/>
                </w:rPr>
                <w:t>VCR</w:t>
              </w:r>
            </w:smartTag>
            <w:r w:rsidRPr="002D741C">
              <w:rPr>
                <w:rFonts w:ascii="Times New Roman" w:hAnsi="Times New Roman"/>
                <w:color w:val="000000"/>
                <w:sz w:val="22"/>
                <w:szCs w:val="22"/>
                <w:lang w:val="es-ES_tradnl"/>
              </w:rPr>
              <w:t xml:space="preserve"> 2 mg dosis total i.v., días 1, 8, 15, 22;</w:t>
            </w:r>
          </w:p>
          <w:p w14:paraId="1C2428A7" w14:textId="77777777" w:rsidR="00C45062" w:rsidRPr="002D741C" w:rsidRDefault="00C45062" w:rsidP="00AD13BE">
            <w:pPr>
              <w:pStyle w:val="Table"/>
              <w:keepLines w:val="0"/>
              <w:widowControl w:val="0"/>
              <w:rPr>
                <w:rFonts w:ascii="Times New Roman" w:hAnsi="Times New Roman"/>
                <w:color w:val="000000"/>
                <w:sz w:val="22"/>
                <w:szCs w:val="22"/>
                <w:lang w:val="es-ES_tradnl"/>
              </w:rPr>
            </w:pPr>
            <w:r w:rsidRPr="002D741C">
              <w:rPr>
                <w:rFonts w:ascii="Times New Roman" w:hAnsi="Times New Roman"/>
                <w:color w:val="000000"/>
                <w:sz w:val="22"/>
                <w:szCs w:val="22"/>
                <w:lang w:val="es-ES_tradnl"/>
              </w:rPr>
              <w:t>CP 750 mg/m</w:t>
            </w:r>
            <w:r w:rsidRPr="002D741C">
              <w:rPr>
                <w:rFonts w:ascii="Times New Roman" w:hAnsi="Times New Roman"/>
                <w:color w:val="000000"/>
                <w:sz w:val="22"/>
                <w:szCs w:val="22"/>
                <w:vertAlign w:val="superscript"/>
                <w:lang w:val="es-ES_tradnl"/>
              </w:rPr>
              <w:t>2</w:t>
            </w:r>
            <w:r w:rsidRPr="002D741C">
              <w:rPr>
                <w:rFonts w:ascii="Times New Roman" w:hAnsi="Times New Roman"/>
                <w:color w:val="000000"/>
                <w:sz w:val="22"/>
                <w:szCs w:val="22"/>
                <w:lang w:val="es-ES_tradnl"/>
              </w:rPr>
              <w:t xml:space="preserve"> i.v., días 1, 8;</w:t>
            </w:r>
          </w:p>
          <w:p w14:paraId="32386151" w14:textId="77777777" w:rsidR="00C45062" w:rsidRPr="002D741C" w:rsidRDefault="00C45062" w:rsidP="00AD13BE">
            <w:pPr>
              <w:pStyle w:val="Table"/>
              <w:keepLines w:val="0"/>
              <w:widowControl w:val="0"/>
              <w:rPr>
                <w:rFonts w:ascii="Times New Roman" w:hAnsi="Times New Roman"/>
                <w:color w:val="000000"/>
                <w:sz w:val="22"/>
                <w:szCs w:val="22"/>
                <w:lang w:val="es-ES_tradnl"/>
              </w:rPr>
            </w:pPr>
            <w:r w:rsidRPr="002D741C">
              <w:rPr>
                <w:rFonts w:ascii="Times New Roman" w:hAnsi="Times New Roman"/>
                <w:color w:val="000000"/>
                <w:sz w:val="22"/>
                <w:szCs w:val="22"/>
                <w:lang w:val="es-ES_tradnl"/>
              </w:rPr>
              <w:t>Prednisona 60 mg/m</w:t>
            </w:r>
            <w:r w:rsidRPr="002D741C">
              <w:rPr>
                <w:rFonts w:ascii="Times New Roman" w:hAnsi="Times New Roman"/>
                <w:color w:val="000000"/>
                <w:sz w:val="22"/>
                <w:szCs w:val="22"/>
                <w:vertAlign w:val="superscript"/>
                <w:lang w:val="es-ES_tradnl"/>
              </w:rPr>
              <w:t>2</w:t>
            </w:r>
            <w:r w:rsidRPr="002D741C">
              <w:rPr>
                <w:rFonts w:ascii="Times New Roman" w:hAnsi="Times New Roman"/>
                <w:color w:val="000000"/>
                <w:sz w:val="22"/>
                <w:szCs w:val="22"/>
                <w:lang w:val="es-ES_tradnl"/>
              </w:rPr>
              <w:t xml:space="preserve"> oral, días 1-7, 15-21;</w:t>
            </w:r>
          </w:p>
          <w:p w14:paraId="37FA2151" w14:textId="77777777" w:rsidR="00C45062" w:rsidRPr="002D741C" w:rsidRDefault="00C45062" w:rsidP="00AD13BE">
            <w:pPr>
              <w:pStyle w:val="Table"/>
              <w:keepLines w:val="0"/>
              <w:widowControl w:val="0"/>
              <w:rPr>
                <w:rFonts w:ascii="Times New Roman" w:hAnsi="Times New Roman"/>
                <w:color w:val="000000"/>
                <w:sz w:val="22"/>
                <w:szCs w:val="22"/>
                <w:lang w:val="es-ES_tradnl"/>
              </w:rPr>
            </w:pPr>
            <w:smartTag w:uri="urn:schemas-microsoft-com:office:smarttags" w:element="stockticker">
              <w:r w:rsidRPr="002D741C">
                <w:rPr>
                  <w:rFonts w:ascii="Times New Roman" w:hAnsi="Times New Roman"/>
                  <w:color w:val="000000"/>
                  <w:sz w:val="22"/>
                  <w:szCs w:val="22"/>
                  <w:lang w:val="es-ES_tradnl"/>
                </w:rPr>
                <w:t>IDA</w:t>
              </w:r>
            </w:smartTag>
            <w:r w:rsidRPr="002D741C">
              <w:rPr>
                <w:rFonts w:ascii="Times New Roman" w:hAnsi="Times New Roman"/>
                <w:color w:val="000000"/>
                <w:sz w:val="22"/>
                <w:szCs w:val="22"/>
                <w:lang w:val="es-ES_tradnl"/>
              </w:rPr>
              <w:t xml:space="preserve"> 9 mg/m</w:t>
            </w:r>
            <w:r w:rsidRPr="002D741C">
              <w:rPr>
                <w:rFonts w:ascii="Times New Roman" w:hAnsi="Times New Roman"/>
                <w:color w:val="000000"/>
                <w:sz w:val="22"/>
                <w:szCs w:val="22"/>
                <w:vertAlign w:val="superscript"/>
                <w:lang w:val="es-ES_tradnl"/>
              </w:rPr>
              <w:t>2</w:t>
            </w:r>
            <w:r w:rsidRPr="002D741C">
              <w:rPr>
                <w:rFonts w:ascii="Times New Roman" w:hAnsi="Times New Roman"/>
                <w:color w:val="000000"/>
                <w:sz w:val="22"/>
                <w:szCs w:val="22"/>
                <w:lang w:val="es-ES_tradnl"/>
              </w:rPr>
              <w:t xml:space="preserve"> oral, días 1-28;</w:t>
            </w:r>
          </w:p>
          <w:p w14:paraId="11DCDF72" w14:textId="77777777" w:rsidR="00C45062" w:rsidRPr="002D741C" w:rsidRDefault="00C45062" w:rsidP="00AD13BE">
            <w:pPr>
              <w:pStyle w:val="Table"/>
              <w:keepLines w:val="0"/>
              <w:widowControl w:val="0"/>
              <w:rPr>
                <w:rFonts w:ascii="Times New Roman" w:hAnsi="Times New Roman"/>
                <w:color w:val="000000"/>
                <w:sz w:val="22"/>
                <w:szCs w:val="22"/>
                <w:lang w:val="es-ES_tradnl"/>
              </w:rPr>
            </w:pPr>
            <w:smartTag w:uri="urn:schemas-microsoft-com:office:smarttags" w:element="stockticker">
              <w:smartTag w:uri="urn:schemas-microsoft-com:office:smarttags" w:element="PersonName">
                <w:r w:rsidRPr="002D741C">
                  <w:rPr>
                    <w:rFonts w:ascii="Times New Roman" w:hAnsi="Times New Roman"/>
                    <w:color w:val="000000"/>
                    <w:sz w:val="22"/>
                    <w:szCs w:val="22"/>
                    <w:lang w:val="es-ES_tradnl"/>
                  </w:rPr>
                  <w:t>MT</w:t>
                </w:r>
              </w:smartTag>
              <w:r w:rsidRPr="002D741C">
                <w:rPr>
                  <w:rFonts w:ascii="Times New Roman" w:hAnsi="Times New Roman"/>
                  <w:color w:val="000000"/>
                  <w:sz w:val="22"/>
                  <w:szCs w:val="22"/>
                  <w:lang w:val="es-ES_tradnl"/>
                </w:rPr>
                <w:t>X</w:t>
              </w:r>
            </w:smartTag>
            <w:r w:rsidRPr="002D741C">
              <w:rPr>
                <w:rFonts w:ascii="Times New Roman" w:hAnsi="Times New Roman"/>
                <w:color w:val="000000"/>
                <w:sz w:val="22"/>
                <w:szCs w:val="22"/>
                <w:lang w:val="es-ES_tradnl"/>
              </w:rPr>
              <w:t xml:space="preserve"> 15 mg intratecal, días 1, 8, 15, 22;</w:t>
            </w:r>
          </w:p>
          <w:p w14:paraId="6174C2AC" w14:textId="77777777" w:rsidR="00C45062" w:rsidRPr="002D741C" w:rsidRDefault="00C45062" w:rsidP="00AD13BE">
            <w:pPr>
              <w:pStyle w:val="Table"/>
              <w:keepLines w:val="0"/>
              <w:widowControl w:val="0"/>
              <w:rPr>
                <w:rFonts w:ascii="Times New Roman" w:hAnsi="Times New Roman"/>
                <w:color w:val="000000"/>
                <w:sz w:val="22"/>
                <w:szCs w:val="22"/>
                <w:lang w:val="es-ES_tradnl"/>
              </w:rPr>
            </w:pPr>
            <w:r w:rsidRPr="002D741C">
              <w:rPr>
                <w:rFonts w:ascii="Times New Roman" w:hAnsi="Times New Roman"/>
                <w:color w:val="000000"/>
                <w:sz w:val="22"/>
                <w:szCs w:val="22"/>
                <w:lang w:val="es-ES_tradnl"/>
              </w:rPr>
              <w:t>Ara-C 40 mg intratecal, días 1, 8, 15, 22;</w:t>
            </w:r>
          </w:p>
          <w:p w14:paraId="575D2B68" w14:textId="77777777" w:rsidR="00C45062" w:rsidRPr="002D741C" w:rsidRDefault="00C45062" w:rsidP="00AD13BE">
            <w:pPr>
              <w:pStyle w:val="Table"/>
              <w:keepLines w:val="0"/>
              <w:widowControl w:val="0"/>
              <w:rPr>
                <w:rFonts w:ascii="Times New Roman" w:hAnsi="Times New Roman"/>
                <w:color w:val="000000"/>
                <w:sz w:val="22"/>
                <w:szCs w:val="22"/>
                <w:lang w:val="es-ES_tradnl"/>
              </w:rPr>
            </w:pPr>
            <w:r w:rsidRPr="002D741C">
              <w:rPr>
                <w:rFonts w:ascii="Times New Roman" w:hAnsi="Times New Roman"/>
                <w:color w:val="000000"/>
                <w:sz w:val="22"/>
                <w:szCs w:val="22"/>
                <w:lang w:val="es-ES_tradnl"/>
              </w:rPr>
              <w:t>Metilprednisolona 40 mg intratecal, días 1, 8, 15, 22</w:t>
            </w:r>
          </w:p>
        </w:tc>
      </w:tr>
      <w:tr w:rsidR="00C45062" w:rsidRPr="002D741C" w14:paraId="0E28F5AF" w14:textId="77777777" w:rsidTr="00AD13BE">
        <w:trPr>
          <w:cantSplit/>
        </w:trPr>
        <w:tc>
          <w:tcPr>
            <w:tcW w:w="2432" w:type="dxa"/>
            <w:tcBorders>
              <w:top w:val="single" w:sz="4" w:space="0" w:color="auto"/>
              <w:left w:val="single" w:sz="4" w:space="0" w:color="auto"/>
              <w:bottom w:val="single" w:sz="4" w:space="0" w:color="auto"/>
            </w:tcBorders>
            <w:shd w:val="clear" w:color="auto" w:fill="auto"/>
          </w:tcPr>
          <w:p w14:paraId="2400CE1D" w14:textId="77777777" w:rsidR="00C45062" w:rsidRPr="002D741C" w:rsidRDefault="00C45062" w:rsidP="00AD13BE">
            <w:pPr>
              <w:pStyle w:val="Table"/>
              <w:keepNext w:val="0"/>
              <w:keepLines w:val="0"/>
              <w:widowControl w:val="0"/>
              <w:rPr>
                <w:rFonts w:ascii="Times New Roman" w:hAnsi="Times New Roman"/>
                <w:color w:val="000000"/>
                <w:sz w:val="22"/>
                <w:szCs w:val="22"/>
                <w:lang w:val="es-ES_tradnl"/>
              </w:rPr>
            </w:pPr>
            <w:r w:rsidRPr="002D741C">
              <w:rPr>
                <w:rFonts w:ascii="Times New Roman" w:hAnsi="Times New Roman"/>
                <w:color w:val="000000"/>
                <w:sz w:val="22"/>
                <w:szCs w:val="22"/>
                <w:lang w:val="es-ES_tradnl"/>
              </w:rPr>
              <w:t xml:space="preserve">Consolidación (LLA Ph+ </w:t>
            </w:r>
            <w:r w:rsidRPr="002D741C">
              <w:rPr>
                <w:rFonts w:ascii="Times New Roman" w:hAnsi="Times New Roman"/>
                <w:i/>
                <w:color w:val="000000"/>
                <w:sz w:val="22"/>
                <w:szCs w:val="22"/>
                <w:lang w:val="es-ES_tradnl"/>
              </w:rPr>
              <w:t>de novo</w:t>
            </w:r>
            <w:r w:rsidRPr="002D741C">
              <w:rPr>
                <w:rFonts w:ascii="Times New Roman" w:hAnsi="Times New Roman"/>
                <w:color w:val="000000"/>
                <w:sz w:val="22"/>
                <w:szCs w:val="22"/>
                <w:lang w:val="es-ES_tradnl"/>
              </w:rPr>
              <w:t>)</w:t>
            </w:r>
          </w:p>
        </w:tc>
        <w:tc>
          <w:tcPr>
            <w:tcW w:w="6662" w:type="dxa"/>
            <w:gridSpan w:val="4"/>
            <w:tcBorders>
              <w:top w:val="single" w:sz="4" w:space="0" w:color="auto"/>
              <w:bottom w:val="single" w:sz="4" w:space="0" w:color="auto"/>
              <w:right w:val="single" w:sz="4" w:space="0" w:color="auto"/>
            </w:tcBorders>
            <w:shd w:val="clear" w:color="auto" w:fill="auto"/>
          </w:tcPr>
          <w:p w14:paraId="4DF00574" w14:textId="77777777" w:rsidR="00C45062" w:rsidRPr="002D741C" w:rsidRDefault="00C45062" w:rsidP="00AD13BE">
            <w:pPr>
              <w:pStyle w:val="Table"/>
              <w:keepNext w:val="0"/>
              <w:keepLines w:val="0"/>
              <w:widowControl w:val="0"/>
              <w:rPr>
                <w:rFonts w:ascii="Times New Roman" w:hAnsi="Times New Roman"/>
                <w:color w:val="000000"/>
                <w:sz w:val="22"/>
                <w:szCs w:val="22"/>
                <w:lang w:val="pt-BR"/>
              </w:rPr>
            </w:pPr>
            <w:r w:rsidRPr="002D741C">
              <w:rPr>
                <w:rFonts w:ascii="Times New Roman" w:hAnsi="Times New Roman"/>
                <w:color w:val="000000"/>
                <w:sz w:val="22"/>
                <w:szCs w:val="22"/>
                <w:lang w:val="pt-BR"/>
              </w:rPr>
              <w:t>Ara-C 1.000 mg/m</w:t>
            </w:r>
            <w:r w:rsidRPr="002D741C">
              <w:rPr>
                <w:rFonts w:ascii="Times New Roman" w:hAnsi="Times New Roman"/>
                <w:color w:val="000000"/>
                <w:sz w:val="22"/>
                <w:szCs w:val="22"/>
                <w:vertAlign w:val="superscript"/>
                <w:lang w:val="pt-BR"/>
              </w:rPr>
              <w:t>2</w:t>
            </w:r>
            <w:r w:rsidRPr="002D741C">
              <w:rPr>
                <w:rFonts w:ascii="Times New Roman" w:hAnsi="Times New Roman"/>
                <w:color w:val="000000"/>
                <w:sz w:val="22"/>
                <w:szCs w:val="22"/>
                <w:lang w:val="pt-BR"/>
              </w:rPr>
              <w:t>/12 h i.v.(3 h), días 1-4;</w:t>
            </w:r>
          </w:p>
          <w:p w14:paraId="0C0E0198" w14:textId="77777777" w:rsidR="00C45062" w:rsidRPr="002D741C" w:rsidRDefault="00C45062" w:rsidP="00AD13BE">
            <w:pPr>
              <w:pStyle w:val="Table"/>
              <w:keepNext w:val="0"/>
              <w:keepLines w:val="0"/>
              <w:widowControl w:val="0"/>
              <w:rPr>
                <w:rFonts w:ascii="Times New Roman" w:hAnsi="Times New Roman"/>
                <w:color w:val="000000"/>
                <w:sz w:val="22"/>
                <w:szCs w:val="22"/>
                <w:lang w:val="es-ES_tradnl"/>
              </w:rPr>
            </w:pPr>
            <w:r w:rsidRPr="002D741C">
              <w:rPr>
                <w:rFonts w:ascii="Times New Roman" w:hAnsi="Times New Roman"/>
                <w:color w:val="000000"/>
                <w:sz w:val="22"/>
                <w:szCs w:val="22"/>
                <w:lang w:val="es-ES_tradnl"/>
              </w:rPr>
              <w:t>Mitoxantrona 10 mg/m</w:t>
            </w:r>
            <w:r w:rsidRPr="002D741C">
              <w:rPr>
                <w:rFonts w:ascii="Times New Roman" w:hAnsi="Times New Roman"/>
                <w:color w:val="000000"/>
                <w:sz w:val="22"/>
                <w:szCs w:val="22"/>
                <w:vertAlign w:val="superscript"/>
                <w:lang w:val="es-ES_tradnl"/>
              </w:rPr>
              <w:t>2</w:t>
            </w:r>
            <w:r w:rsidRPr="002D741C">
              <w:rPr>
                <w:rFonts w:ascii="Times New Roman" w:hAnsi="Times New Roman"/>
                <w:color w:val="000000"/>
                <w:sz w:val="22"/>
                <w:szCs w:val="22"/>
                <w:lang w:val="es-ES_tradnl"/>
              </w:rPr>
              <w:t xml:space="preserve"> i.v. días 3-5;</w:t>
            </w:r>
          </w:p>
          <w:p w14:paraId="105FDE84" w14:textId="77777777" w:rsidR="00C45062" w:rsidRPr="002D741C" w:rsidRDefault="00C45062" w:rsidP="00AD13BE">
            <w:pPr>
              <w:pStyle w:val="Table"/>
              <w:keepNext w:val="0"/>
              <w:keepLines w:val="0"/>
              <w:widowControl w:val="0"/>
              <w:rPr>
                <w:rFonts w:ascii="Times New Roman" w:hAnsi="Times New Roman"/>
                <w:color w:val="000000"/>
                <w:sz w:val="22"/>
                <w:szCs w:val="22"/>
                <w:lang w:val="es-ES_tradnl"/>
              </w:rPr>
            </w:pPr>
            <w:smartTag w:uri="urn:schemas-microsoft-com:office:smarttags" w:element="stockticker">
              <w:smartTag w:uri="urn:schemas-microsoft-com:office:smarttags" w:element="PersonName">
                <w:r w:rsidRPr="002D741C">
                  <w:rPr>
                    <w:rFonts w:ascii="Times New Roman" w:hAnsi="Times New Roman"/>
                    <w:color w:val="000000"/>
                    <w:sz w:val="22"/>
                    <w:szCs w:val="22"/>
                    <w:lang w:val="es-ES_tradnl"/>
                  </w:rPr>
                  <w:t>MT</w:t>
                </w:r>
              </w:smartTag>
              <w:r w:rsidRPr="002D741C">
                <w:rPr>
                  <w:rFonts w:ascii="Times New Roman" w:hAnsi="Times New Roman"/>
                  <w:color w:val="000000"/>
                  <w:sz w:val="22"/>
                  <w:szCs w:val="22"/>
                  <w:lang w:val="es-ES_tradnl"/>
                </w:rPr>
                <w:t>X</w:t>
              </w:r>
            </w:smartTag>
            <w:r w:rsidRPr="002D741C">
              <w:rPr>
                <w:rFonts w:ascii="Times New Roman" w:hAnsi="Times New Roman"/>
                <w:color w:val="000000"/>
                <w:sz w:val="22"/>
                <w:szCs w:val="22"/>
                <w:lang w:val="es-ES_tradnl"/>
              </w:rPr>
              <w:t xml:space="preserve"> 15 mg intratecal, día 1;</w:t>
            </w:r>
          </w:p>
          <w:p w14:paraId="48E82D91" w14:textId="77777777" w:rsidR="00C45062" w:rsidRPr="002D741C" w:rsidRDefault="00C45062" w:rsidP="00AD13BE">
            <w:pPr>
              <w:pStyle w:val="Table"/>
              <w:keepNext w:val="0"/>
              <w:keepLines w:val="0"/>
              <w:widowControl w:val="0"/>
              <w:rPr>
                <w:rFonts w:ascii="Times New Roman" w:hAnsi="Times New Roman"/>
                <w:color w:val="000000"/>
                <w:sz w:val="22"/>
                <w:szCs w:val="22"/>
                <w:lang w:val="es-ES_tradnl"/>
              </w:rPr>
            </w:pPr>
            <w:r w:rsidRPr="002D741C">
              <w:rPr>
                <w:rFonts w:ascii="Times New Roman" w:hAnsi="Times New Roman"/>
                <w:color w:val="000000"/>
                <w:sz w:val="22"/>
                <w:szCs w:val="22"/>
                <w:lang w:val="es-ES_tradnl"/>
              </w:rPr>
              <w:t>Metilprednisolona 40 mg intratecal, día 1</w:t>
            </w:r>
          </w:p>
        </w:tc>
      </w:tr>
      <w:tr w:rsidR="00C45062" w:rsidRPr="002D741C" w14:paraId="4EEF4502" w14:textId="77777777" w:rsidTr="00AD13BE">
        <w:trPr>
          <w:cantSplit/>
        </w:trPr>
        <w:tc>
          <w:tcPr>
            <w:tcW w:w="5084" w:type="dxa"/>
            <w:gridSpan w:val="2"/>
            <w:tcBorders>
              <w:top w:val="single" w:sz="4" w:space="0" w:color="auto"/>
              <w:left w:val="single" w:sz="4" w:space="0" w:color="auto"/>
              <w:bottom w:val="single" w:sz="4" w:space="0" w:color="auto"/>
            </w:tcBorders>
            <w:shd w:val="clear" w:color="auto" w:fill="auto"/>
          </w:tcPr>
          <w:p w14:paraId="54660487" w14:textId="77777777" w:rsidR="00C45062" w:rsidRPr="002D741C" w:rsidRDefault="00C45062" w:rsidP="00AD13BE">
            <w:pPr>
              <w:pStyle w:val="Table"/>
              <w:keepLines w:val="0"/>
              <w:widowControl w:val="0"/>
              <w:rPr>
                <w:rFonts w:ascii="Times New Roman" w:hAnsi="Times New Roman"/>
                <w:b/>
                <w:color w:val="000000"/>
                <w:sz w:val="22"/>
                <w:szCs w:val="22"/>
              </w:rPr>
            </w:pPr>
            <w:r w:rsidRPr="002D741C">
              <w:rPr>
                <w:rFonts w:ascii="Times New Roman" w:hAnsi="Times New Roman"/>
                <w:b/>
                <w:color w:val="000000"/>
                <w:sz w:val="22"/>
                <w:szCs w:val="22"/>
              </w:rPr>
              <w:t>Estudio A</w:t>
            </w:r>
            <w:smartTag w:uri="urn:schemas-microsoft-com:office:smarttags" w:element="PersonName">
              <w:r w:rsidRPr="002D741C">
                <w:rPr>
                  <w:rFonts w:ascii="Times New Roman" w:hAnsi="Times New Roman"/>
                  <w:b/>
                  <w:color w:val="000000"/>
                  <w:sz w:val="22"/>
                  <w:szCs w:val="22"/>
                </w:rPr>
                <w:t>DE</w:t>
              </w:r>
            </w:smartTag>
            <w:r w:rsidRPr="002D741C">
              <w:rPr>
                <w:rFonts w:ascii="Times New Roman" w:hAnsi="Times New Roman"/>
                <w:b/>
                <w:color w:val="000000"/>
                <w:sz w:val="22"/>
                <w:szCs w:val="22"/>
              </w:rPr>
              <w:t>04</w:t>
            </w:r>
          </w:p>
        </w:tc>
        <w:tc>
          <w:tcPr>
            <w:tcW w:w="1080" w:type="dxa"/>
            <w:tcBorders>
              <w:top w:val="single" w:sz="4" w:space="0" w:color="auto"/>
              <w:bottom w:val="single" w:sz="4" w:space="0" w:color="auto"/>
            </w:tcBorders>
          </w:tcPr>
          <w:p w14:paraId="68C89398" w14:textId="77777777" w:rsidR="00C45062" w:rsidRPr="002D741C" w:rsidRDefault="00C45062" w:rsidP="00AD13BE">
            <w:pPr>
              <w:pStyle w:val="Table"/>
              <w:keepLines w:val="0"/>
              <w:widowControl w:val="0"/>
              <w:rPr>
                <w:rFonts w:ascii="Times New Roman" w:hAnsi="Times New Roman"/>
                <w:color w:val="000000"/>
                <w:sz w:val="22"/>
                <w:szCs w:val="22"/>
              </w:rPr>
            </w:pPr>
          </w:p>
        </w:tc>
        <w:tc>
          <w:tcPr>
            <w:tcW w:w="1380" w:type="dxa"/>
            <w:tcBorders>
              <w:top w:val="single" w:sz="4" w:space="0" w:color="auto"/>
              <w:bottom w:val="single" w:sz="4" w:space="0" w:color="auto"/>
            </w:tcBorders>
          </w:tcPr>
          <w:p w14:paraId="71D32547" w14:textId="77777777" w:rsidR="00C45062" w:rsidRPr="002D741C" w:rsidRDefault="00C45062" w:rsidP="00AD13BE">
            <w:pPr>
              <w:pStyle w:val="Table"/>
              <w:keepLines w:val="0"/>
              <w:widowControl w:val="0"/>
              <w:rPr>
                <w:rFonts w:ascii="Times New Roman" w:hAnsi="Times New Roman"/>
                <w:color w:val="000000"/>
                <w:sz w:val="22"/>
                <w:szCs w:val="22"/>
              </w:rPr>
            </w:pPr>
          </w:p>
        </w:tc>
        <w:tc>
          <w:tcPr>
            <w:tcW w:w="1550" w:type="dxa"/>
            <w:tcBorders>
              <w:top w:val="single" w:sz="4" w:space="0" w:color="auto"/>
              <w:bottom w:val="single" w:sz="4" w:space="0" w:color="auto"/>
              <w:right w:val="single" w:sz="4" w:space="0" w:color="auto"/>
            </w:tcBorders>
          </w:tcPr>
          <w:p w14:paraId="4C4A06AF" w14:textId="77777777" w:rsidR="00C45062" w:rsidRPr="002D741C" w:rsidRDefault="00C45062" w:rsidP="00AD13BE">
            <w:pPr>
              <w:pStyle w:val="Table"/>
              <w:keepLines w:val="0"/>
              <w:widowControl w:val="0"/>
              <w:rPr>
                <w:rFonts w:ascii="Times New Roman" w:hAnsi="Times New Roman"/>
                <w:color w:val="000000"/>
                <w:sz w:val="22"/>
                <w:szCs w:val="22"/>
              </w:rPr>
            </w:pPr>
          </w:p>
        </w:tc>
      </w:tr>
      <w:tr w:rsidR="00C45062" w:rsidRPr="002D741C" w14:paraId="181DF609" w14:textId="77777777" w:rsidTr="00AD13BE">
        <w:trPr>
          <w:cantSplit/>
        </w:trPr>
        <w:tc>
          <w:tcPr>
            <w:tcW w:w="2432" w:type="dxa"/>
            <w:tcBorders>
              <w:top w:val="single" w:sz="4" w:space="0" w:color="auto"/>
              <w:left w:val="single" w:sz="4" w:space="0" w:color="auto"/>
              <w:bottom w:val="single" w:sz="4" w:space="0" w:color="auto"/>
            </w:tcBorders>
            <w:shd w:val="clear" w:color="auto" w:fill="auto"/>
          </w:tcPr>
          <w:p w14:paraId="4C374AF9" w14:textId="77777777" w:rsidR="00C45062" w:rsidRPr="002D741C" w:rsidRDefault="00C45062" w:rsidP="00AD13BE">
            <w:pPr>
              <w:pStyle w:val="Table"/>
              <w:keepLines w:val="0"/>
              <w:widowControl w:val="0"/>
              <w:rPr>
                <w:rFonts w:ascii="Times New Roman" w:hAnsi="Times New Roman"/>
                <w:color w:val="000000"/>
                <w:sz w:val="22"/>
                <w:szCs w:val="22"/>
              </w:rPr>
            </w:pPr>
            <w:r w:rsidRPr="002D741C">
              <w:rPr>
                <w:rFonts w:ascii="Times New Roman" w:hAnsi="Times New Roman"/>
                <w:color w:val="000000"/>
                <w:sz w:val="22"/>
                <w:szCs w:val="22"/>
              </w:rPr>
              <w:t>Prefase</w:t>
            </w:r>
          </w:p>
        </w:tc>
        <w:tc>
          <w:tcPr>
            <w:tcW w:w="6662" w:type="dxa"/>
            <w:gridSpan w:val="4"/>
            <w:tcBorders>
              <w:top w:val="single" w:sz="4" w:space="0" w:color="auto"/>
              <w:bottom w:val="single" w:sz="4" w:space="0" w:color="auto"/>
              <w:right w:val="single" w:sz="4" w:space="0" w:color="auto"/>
            </w:tcBorders>
            <w:shd w:val="clear" w:color="auto" w:fill="auto"/>
          </w:tcPr>
          <w:p w14:paraId="004405DB" w14:textId="77777777" w:rsidR="00C45062" w:rsidRPr="002D741C" w:rsidRDefault="00C45062" w:rsidP="00AD13BE">
            <w:pPr>
              <w:pStyle w:val="Table"/>
              <w:keepLines w:val="0"/>
              <w:widowControl w:val="0"/>
              <w:rPr>
                <w:rFonts w:ascii="Times New Roman" w:hAnsi="Times New Roman"/>
                <w:color w:val="000000"/>
                <w:sz w:val="22"/>
                <w:szCs w:val="22"/>
                <w:lang w:val="es-ES_tradnl"/>
              </w:rPr>
            </w:pPr>
            <w:smartTag w:uri="urn:schemas-microsoft-com:office:smarttags" w:element="PersonName">
              <w:r w:rsidRPr="002D741C">
                <w:rPr>
                  <w:rFonts w:ascii="Times New Roman" w:hAnsi="Times New Roman"/>
                  <w:color w:val="000000"/>
                  <w:sz w:val="22"/>
                  <w:szCs w:val="22"/>
                  <w:lang w:val="es-ES_tradnl"/>
                </w:rPr>
                <w:t>DE</w:t>
              </w:r>
            </w:smartTag>
            <w:r w:rsidRPr="002D741C">
              <w:rPr>
                <w:rFonts w:ascii="Times New Roman" w:hAnsi="Times New Roman"/>
                <w:color w:val="000000"/>
                <w:sz w:val="22"/>
                <w:szCs w:val="22"/>
                <w:lang w:val="es-ES_tradnl"/>
              </w:rPr>
              <w:t>X 10 mg/m</w:t>
            </w:r>
            <w:r w:rsidRPr="002D741C">
              <w:rPr>
                <w:rFonts w:ascii="Times New Roman" w:hAnsi="Times New Roman"/>
                <w:color w:val="000000"/>
                <w:sz w:val="22"/>
                <w:szCs w:val="22"/>
                <w:vertAlign w:val="superscript"/>
                <w:lang w:val="es-ES_tradnl"/>
              </w:rPr>
              <w:t>2</w:t>
            </w:r>
            <w:r w:rsidRPr="002D741C">
              <w:rPr>
                <w:rFonts w:ascii="Times New Roman" w:hAnsi="Times New Roman"/>
                <w:color w:val="000000"/>
                <w:sz w:val="22"/>
                <w:szCs w:val="22"/>
                <w:lang w:val="es-ES_tradnl"/>
              </w:rPr>
              <w:t xml:space="preserve"> oral, días 1-5;</w:t>
            </w:r>
          </w:p>
          <w:p w14:paraId="4CA15C67" w14:textId="77777777" w:rsidR="00C45062" w:rsidRPr="002D741C" w:rsidRDefault="00C45062" w:rsidP="00AD13BE">
            <w:pPr>
              <w:pStyle w:val="Table"/>
              <w:keepLines w:val="0"/>
              <w:widowControl w:val="0"/>
              <w:rPr>
                <w:rFonts w:ascii="Times New Roman" w:hAnsi="Times New Roman"/>
                <w:color w:val="000000"/>
                <w:sz w:val="22"/>
                <w:szCs w:val="22"/>
                <w:lang w:val="es-ES_tradnl"/>
              </w:rPr>
            </w:pPr>
            <w:r w:rsidRPr="002D741C">
              <w:rPr>
                <w:rFonts w:ascii="Times New Roman" w:hAnsi="Times New Roman"/>
                <w:color w:val="000000"/>
                <w:sz w:val="22"/>
                <w:szCs w:val="22"/>
                <w:lang w:val="es-ES_tradnl"/>
              </w:rPr>
              <w:t>CP 200 mg/m</w:t>
            </w:r>
            <w:r w:rsidRPr="002D741C">
              <w:rPr>
                <w:rFonts w:ascii="Times New Roman" w:hAnsi="Times New Roman"/>
                <w:color w:val="000000"/>
                <w:sz w:val="22"/>
                <w:szCs w:val="22"/>
                <w:vertAlign w:val="superscript"/>
                <w:lang w:val="es-ES_tradnl"/>
              </w:rPr>
              <w:t>2</w:t>
            </w:r>
            <w:r w:rsidRPr="002D741C">
              <w:rPr>
                <w:rFonts w:ascii="Times New Roman" w:hAnsi="Times New Roman"/>
                <w:color w:val="000000"/>
                <w:sz w:val="22"/>
                <w:szCs w:val="22"/>
                <w:lang w:val="es-ES_tradnl"/>
              </w:rPr>
              <w:t xml:space="preserve"> i.v., días 3-5;</w:t>
            </w:r>
          </w:p>
          <w:p w14:paraId="6562BDF3" w14:textId="77777777" w:rsidR="00C45062" w:rsidRPr="002D741C" w:rsidRDefault="00C45062" w:rsidP="00AD13BE">
            <w:pPr>
              <w:pStyle w:val="Table"/>
              <w:keepLines w:val="0"/>
              <w:widowControl w:val="0"/>
              <w:rPr>
                <w:rFonts w:ascii="Times New Roman" w:hAnsi="Times New Roman"/>
                <w:color w:val="000000"/>
                <w:sz w:val="22"/>
                <w:szCs w:val="22"/>
                <w:lang w:val="es-ES_tradnl"/>
              </w:rPr>
            </w:pPr>
            <w:smartTag w:uri="urn:schemas-microsoft-com:office:smarttags" w:element="stockticker">
              <w:smartTag w:uri="urn:schemas-microsoft-com:office:smarttags" w:element="PersonName">
                <w:r w:rsidRPr="002D741C">
                  <w:rPr>
                    <w:rFonts w:ascii="Times New Roman" w:hAnsi="Times New Roman"/>
                    <w:color w:val="000000"/>
                    <w:sz w:val="22"/>
                    <w:szCs w:val="22"/>
                    <w:lang w:val="es-ES_tradnl"/>
                  </w:rPr>
                  <w:t>MT</w:t>
                </w:r>
              </w:smartTag>
              <w:r w:rsidRPr="002D741C">
                <w:rPr>
                  <w:rFonts w:ascii="Times New Roman" w:hAnsi="Times New Roman"/>
                  <w:color w:val="000000"/>
                  <w:sz w:val="22"/>
                  <w:szCs w:val="22"/>
                  <w:lang w:val="es-ES_tradnl"/>
                </w:rPr>
                <w:t>X</w:t>
              </w:r>
            </w:smartTag>
            <w:r w:rsidRPr="002D741C">
              <w:rPr>
                <w:rFonts w:ascii="Times New Roman" w:hAnsi="Times New Roman"/>
                <w:color w:val="000000"/>
                <w:sz w:val="22"/>
                <w:szCs w:val="22"/>
                <w:lang w:val="es-ES_tradnl"/>
              </w:rPr>
              <w:t xml:space="preserve"> 15 mg intratecal, día 1</w:t>
            </w:r>
          </w:p>
        </w:tc>
      </w:tr>
      <w:tr w:rsidR="00C45062" w:rsidRPr="002D741C" w14:paraId="1B1F9BA6" w14:textId="77777777" w:rsidTr="00AD13BE">
        <w:trPr>
          <w:cantSplit/>
        </w:trPr>
        <w:tc>
          <w:tcPr>
            <w:tcW w:w="2432" w:type="dxa"/>
            <w:tcBorders>
              <w:top w:val="single" w:sz="4" w:space="0" w:color="auto"/>
              <w:left w:val="single" w:sz="4" w:space="0" w:color="auto"/>
              <w:bottom w:val="single" w:sz="4" w:space="0" w:color="auto"/>
            </w:tcBorders>
            <w:shd w:val="clear" w:color="auto" w:fill="auto"/>
          </w:tcPr>
          <w:p w14:paraId="50747A2E" w14:textId="77777777" w:rsidR="00C45062" w:rsidRPr="002D741C" w:rsidRDefault="00C45062" w:rsidP="00AD13BE">
            <w:pPr>
              <w:pStyle w:val="Table"/>
              <w:keepLines w:val="0"/>
              <w:widowControl w:val="0"/>
              <w:rPr>
                <w:rFonts w:ascii="Times New Roman" w:hAnsi="Times New Roman"/>
                <w:color w:val="000000"/>
                <w:sz w:val="22"/>
                <w:szCs w:val="22"/>
              </w:rPr>
            </w:pPr>
            <w:r w:rsidRPr="002D741C">
              <w:rPr>
                <w:rFonts w:ascii="Times New Roman" w:hAnsi="Times New Roman"/>
                <w:color w:val="000000"/>
                <w:sz w:val="22"/>
                <w:szCs w:val="22"/>
              </w:rPr>
              <w:t>Terapia de inducción I</w:t>
            </w:r>
          </w:p>
        </w:tc>
        <w:tc>
          <w:tcPr>
            <w:tcW w:w="6662" w:type="dxa"/>
            <w:gridSpan w:val="4"/>
            <w:tcBorders>
              <w:top w:val="single" w:sz="4" w:space="0" w:color="auto"/>
              <w:bottom w:val="single" w:sz="4" w:space="0" w:color="auto"/>
              <w:right w:val="single" w:sz="4" w:space="0" w:color="auto"/>
            </w:tcBorders>
            <w:shd w:val="clear" w:color="auto" w:fill="auto"/>
          </w:tcPr>
          <w:p w14:paraId="1F80186B" w14:textId="77777777" w:rsidR="00C45062" w:rsidRPr="002D741C" w:rsidRDefault="00C45062" w:rsidP="00AD13BE">
            <w:pPr>
              <w:pStyle w:val="Table"/>
              <w:keepLines w:val="0"/>
              <w:widowControl w:val="0"/>
              <w:rPr>
                <w:rFonts w:ascii="Times New Roman" w:hAnsi="Times New Roman"/>
                <w:color w:val="000000"/>
                <w:sz w:val="22"/>
                <w:szCs w:val="22"/>
                <w:lang w:val="es-ES_tradnl"/>
              </w:rPr>
            </w:pPr>
            <w:smartTag w:uri="urn:schemas-microsoft-com:office:smarttags" w:element="PersonName">
              <w:r w:rsidRPr="002D741C">
                <w:rPr>
                  <w:rFonts w:ascii="Times New Roman" w:hAnsi="Times New Roman"/>
                  <w:color w:val="000000"/>
                  <w:sz w:val="22"/>
                  <w:szCs w:val="22"/>
                  <w:lang w:val="es-ES_tradnl"/>
                </w:rPr>
                <w:t>DE</w:t>
              </w:r>
            </w:smartTag>
            <w:r w:rsidRPr="002D741C">
              <w:rPr>
                <w:rFonts w:ascii="Times New Roman" w:hAnsi="Times New Roman"/>
                <w:color w:val="000000"/>
                <w:sz w:val="22"/>
                <w:szCs w:val="22"/>
                <w:lang w:val="es-ES_tradnl"/>
              </w:rPr>
              <w:t>X 10 mg/m</w:t>
            </w:r>
            <w:r w:rsidRPr="002D741C">
              <w:rPr>
                <w:rFonts w:ascii="Times New Roman" w:hAnsi="Times New Roman"/>
                <w:color w:val="000000"/>
                <w:sz w:val="22"/>
                <w:szCs w:val="22"/>
                <w:vertAlign w:val="superscript"/>
                <w:lang w:val="es-ES_tradnl"/>
              </w:rPr>
              <w:t>2</w:t>
            </w:r>
            <w:r w:rsidRPr="002D741C">
              <w:rPr>
                <w:rFonts w:ascii="Times New Roman" w:hAnsi="Times New Roman"/>
                <w:color w:val="000000"/>
                <w:sz w:val="22"/>
                <w:szCs w:val="22"/>
                <w:lang w:val="es-ES_tradnl"/>
              </w:rPr>
              <w:t xml:space="preserve"> oral, días 1-5;</w:t>
            </w:r>
          </w:p>
          <w:p w14:paraId="10359552" w14:textId="77777777" w:rsidR="00C45062" w:rsidRPr="002D741C" w:rsidRDefault="00C45062" w:rsidP="00AD13BE">
            <w:pPr>
              <w:pStyle w:val="Table"/>
              <w:keepLines w:val="0"/>
              <w:widowControl w:val="0"/>
              <w:rPr>
                <w:rFonts w:ascii="Times New Roman" w:hAnsi="Times New Roman"/>
                <w:color w:val="000000"/>
                <w:sz w:val="22"/>
                <w:szCs w:val="22"/>
                <w:lang w:val="es-ES_tradnl"/>
              </w:rPr>
            </w:pPr>
            <w:smartTag w:uri="urn:schemas-microsoft-com:office:smarttags" w:element="stockticker">
              <w:r w:rsidRPr="002D741C">
                <w:rPr>
                  <w:rFonts w:ascii="Times New Roman" w:hAnsi="Times New Roman"/>
                  <w:color w:val="000000"/>
                  <w:sz w:val="22"/>
                  <w:szCs w:val="22"/>
                  <w:lang w:val="es-ES_tradnl"/>
                </w:rPr>
                <w:t>VCR</w:t>
              </w:r>
            </w:smartTag>
            <w:r w:rsidRPr="002D741C">
              <w:rPr>
                <w:rFonts w:ascii="Times New Roman" w:hAnsi="Times New Roman"/>
                <w:color w:val="000000"/>
                <w:sz w:val="22"/>
                <w:szCs w:val="22"/>
                <w:lang w:val="es-ES_tradnl"/>
              </w:rPr>
              <w:t xml:space="preserve"> 2 mg i.v., días 6, 13, 20; </w:t>
            </w:r>
          </w:p>
          <w:p w14:paraId="72AE1319" w14:textId="77777777" w:rsidR="00C45062" w:rsidRPr="002D741C" w:rsidRDefault="00C45062" w:rsidP="00AD13BE">
            <w:pPr>
              <w:pStyle w:val="Table"/>
              <w:keepLines w:val="0"/>
              <w:widowControl w:val="0"/>
              <w:rPr>
                <w:rFonts w:ascii="Times New Roman" w:hAnsi="Times New Roman"/>
                <w:color w:val="000000"/>
                <w:sz w:val="22"/>
                <w:szCs w:val="22"/>
                <w:lang w:val="es-ES_tradnl"/>
              </w:rPr>
            </w:pPr>
            <w:r w:rsidRPr="002D741C">
              <w:rPr>
                <w:rFonts w:ascii="Times New Roman" w:hAnsi="Times New Roman"/>
                <w:color w:val="000000"/>
                <w:sz w:val="22"/>
                <w:szCs w:val="22"/>
                <w:lang w:val="es-ES_tradnl"/>
              </w:rPr>
              <w:t>Daunorubicina 45 mg/m</w:t>
            </w:r>
            <w:r w:rsidRPr="002D741C">
              <w:rPr>
                <w:rFonts w:ascii="Times New Roman" w:hAnsi="Times New Roman"/>
                <w:color w:val="000000"/>
                <w:sz w:val="22"/>
                <w:szCs w:val="22"/>
                <w:vertAlign w:val="superscript"/>
                <w:lang w:val="es-ES_tradnl"/>
              </w:rPr>
              <w:t>2</w:t>
            </w:r>
            <w:r w:rsidRPr="002D741C">
              <w:rPr>
                <w:rFonts w:ascii="Times New Roman" w:hAnsi="Times New Roman"/>
                <w:color w:val="000000"/>
                <w:sz w:val="22"/>
                <w:szCs w:val="22"/>
                <w:lang w:val="es-ES_tradnl"/>
              </w:rPr>
              <w:t xml:space="preserve"> i.v., días 6-7, 13-14</w:t>
            </w:r>
          </w:p>
        </w:tc>
      </w:tr>
      <w:tr w:rsidR="00C45062" w:rsidRPr="002D741C" w14:paraId="244C3D3E" w14:textId="77777777" w:rsidTr="00AD13BE">
        <w:trPr>
          <w:cantSplit/>
        </w:trPr>
        <w:tc>
          <w:tcPr>
            <w:tcW w:w="2432" w:type="dxa"/>
            <w:tcBorders>
              <w:top w:val="single" w:sz="4" w:space="0" w:color="auto"/>
              <w:left w:val="single" w:sz="4" w:space="0" w:color="auto"/>
              <w:bottom w:val="single" w:sz="4" w:space="0" w:color="auto"/>
            </w:tcBorders>
            <w:shd w:val="clear" w:color="auto" w:fill="auto"/>
          </w:tcPr>
          <w:p w14:paraId="26A2E2A2" w14:textId="77777777" w:rsidR="00C45062" w:rsidRPr="002D741C" w:rsidRDefault="00C45062" w:rsidP="00AD13BE">
            <w:pPr>
              <w:pStyle w:val="Table"/>
              <w:keepLines w:val="0"/>
              <w:widowControl w:val="0"/>
              <w:rPr>
                <w:rFonts w:ascii="Times New Roman" w:hAnsi="Times New Roman"/>
                <w:color w:val="000000"/>
                <w:sz w:val="22"/>
                <w:szCs w:val="22"/>
              </w:rPr>
            </w:pPr>
            <w:r w:rsidRPr="002D741C">
              <w:rPr>
                <w:rFonts w:ascii="Times New Roman" w:hAnsi="Times New Roman"/>
                <w:color w:val="000000"/>
                <w:sz w:val="22"/>
                <w:szCs w:val="22"/>
                <w:lang w:val="es-ES_tradnl"/>
              </w:rPr>
              <w:t>Terapia de inducción</w:t>
            </w:r>
            <w:r w:rsidRPr="002D741C">
              <w:rPr>
                <w:rFonts w:ascii="Times New Roman" w:hAnsi="Times New Roman"/>
                <w:color w:val="000000"/>
                <w:sz w:val="22"/>
                <w:szCs w:val="22"/>
              </w:rPr>
              <w:t xml:space="preserve"> II</w:t>
            </w:r>
          </w:p>
        </w:tc>
        <w:tc>
          <w:tcPr>
            <w:tcW w:w="6662" w:type="dxa"/>
            <w:gridSpan w:val="4"/>
            <w:tcBorders>
              <w:top w:val="single" w:sz="4" w:space="0" w:color="auto"/>
              <w:bottom w:val="single" w:sz="4" w:space="0" w:color="auto"/>
              <w:right w:val="single" w:sz="4" w:space="0" w:color="auto"/>
            </w:tcBorders>
            <w:shd w:val="clear" w:color="auto" w:fill="auto"/>
          </w:tcPr>
          <w:p w14:paraId="51DD2496" w14:textId="77777777" w:rsidR="00C45062" w:rsidRPr="002D741C" w:rsidRDefault="00C45062" w:rsidP="00AD13BE">
            <w:pPr>
              <w:pStyle w:val="Table"/>
              <w:keepLines w:val="0"/>
              <w:widowControl w:val="0"/>
              <w:rPr>
                <w:rFonts w:ascii="Times New Roman" w:hAnsi="Times New Roman"/>
                <w:color w:val="000000"/>
                <w:sz w:val="22"/>
                <w:szCs w:val="22"/>
                <w:lang w:val="pt-BR"/>
              </w:rPr>
            </w:pPr>
            <w:r w:rsidRPr="002D741C">
              <w:rPr>
                <w:rFonts w:ascii="Times New Roman" w:hAnsi="Times New Roman"/>
                <w:color w:val="000000"/>
                <w:sz w:val="22"/>
                <w:szCs w:val="22"/>
                <w:lang w:val="pt-BR"/>
              </w:rPr>
              <w:t>CP 1 g/m</w:t>
            </w:r>
            <w:r w:rsidRPr="002D741C">
              <w:rPr>
                <w:rFonts w:ascii="Times New Roman" w:hAnsi="Times New Roman"/>
                <w:color w:val="000000"/>
                <w:sz w:val="22"/>
                <w:szCs w:val="22"/>
                <w:vertAlign w:val="superscript"/>
                <w:lang w:val="pt-BR"/>
              </w:rPr>
              <w:t>2</w:t>
            </w:r>
            <w:r w:rsidRPr="002D741C">
              <w:rPr>
                <w:rFonts w:ascii="Times New Roman" w:hAnsi="Times New Roman"/>
                <w:color w:val="000000"/>
                <w:sz w:val="22"/>
                <w:szCs w:val="22"/>
                <w:lang w:val="pt-BR"/>
              </w:rPr>
              <w:t xml:space="preserve"> i.v. (1 h), días 26, 46;</w:t>
            </w:r>
          </w:p>
          <w:p w14:paraId="2BD17020" w14:textId="77777777" w:rsidR="00C45062" w:rsidRPr="002D741C" w:rsidRDefault="00C45062" w:rsidP="00AD13BE">
            <w:pPr>
              <w:pStyle w:val="Table"/>
              <w:keepLines w:val="0"/>
              <w:widowControl w:val="0"/>
              <w:rPr>
                <w:rFonts w:ascii="Times New Roman" w:hAnsi="Times New Roman"/>
                <w:color w:val="000000"/>
                <w:sz w:val="22"/>
                <w:szCs w:val="22"/>
                <w:lang w:val="pt-BR"/>
              </w:rPr>
            </w:pPr>
            <w:r w:rsidRPr="002D741C">
              <w:rPr>
                <w:rFonts w:ascii="Times New Roman" w:hAnsi="Times New Roman"/>
                <w:color w:val="000000"/>
                <w:sz w:val="22"/>
                <w:szCs w:val="22"/>
                <w:lang w:val="pt-BR"/>
              </w:rPr>
              <w:t>Ara-C 75 mg/m</w:t>
            </w:r>
            <w:r w:rsidRPr="002D741C">
              <w:rPr>
                <w:rFonts w:ascii="Times New Roman" w:hAnsi="Times New Roman"/>
                <w:color w:val="000000"/>
                <w:sz w:val="22"/>
                <w:szCs w:val="22"/>
                <w:vertAlign w:val="superscript"/>
                <w:lang w:val="pt-BR"/>
              </w:rPr>
              <w:t>2</w:t>
            </w:r>
            <w:r w:rsidRPr="002D741C">
              <w:rPr>
                <w:rFonts w:ascii="Times New Roman" w:hAnsi="Times New Roman"/>
                <w:color w:val="000000"/>
                <w:sz w:val="22"/>
                <w:szCs w:val="22"/>
                <w:lang w:val="pt-BR"/>
              </w:rPr>
              <w:t xml:space="preserve"> i.v. (1 h), días 28-31, 35-38, 42-45;</w:t>
            </w:r>
          </w:p>
          <w:p w14:paraId="1CC7491A" w14:textId="77777777" w:rsidR="00C45062" w:rsidRPr="002D741C" w:rsidRDefault="00C45062" w:rsidP="00AD13BE">
            <w:pPr>
              <w:pStyle w:val="Table"/>
              <w:keepLines w:val="0"/>
              <w:widowControl w:val="0"/>
              <w:rPr>
                <w:rFonts w:ascii="Times New Roman" w:hAnsi="Times New Roman"/>
                <w:color w:val="000000"/>
                <w:sz w:val="22"/>
                <w:szCs w:val="22"/>
                <w:lang w:val="es-ES_tradnl"/>
              </w:rPr>
            </w:pPr>
            <w:r w:rsidRPr="002D741C">
              <w:rPr>
                <w:rFonts w:ascii="Times New Roman" w:hAnsi="Times New Roman"/>
                <w:color w:val="000000"/>
                <w:sz w:val="22"/>
                <w:szCs w:val="22"/>
                <w:lang w:val="es-ES_tradnl"/>
              </w:rPr>
              <w:t>6-MP 60 mg/m</w:t>
            </w:r>
            <w:r w:rsidRPr="002D741C">
              <w:rPr>
                <w:rFonts w:ascii="Times New Roman" w:hAnsi="Times New Roman"/>
                <w:color w:val="000000"/>
                <w:sz w:val="22"/>
                <w:szCs w:val="22"/>
                <w:vertAlign w:val="superscript"/>
                <w:lang w:val="es-ES_tradnl"/>
              </w:rPr>
              <w:t>2</w:t>
            </w:r>
            <w:r w:rsidRPr="002D741C">
              <w:rPr>
                <w:rFonts w:ascii="Times New Roman" w:hAnsi="Times New Roman"/>
                <w:color w:val="000000"/>
                <w:sz w:val="22"/>
                <w:szCs w:val="22"/>
                <w:lang w:val="es-ES_tradnl"/>
              </w:rPr>
              <w:t xml:space="preserve"> oral, días 26-46</w:t>
            </w:r>
          </w:p>
        </w:tc>
      </w:tr>
      <w:tr w:rsidR="00C45062" w:rsidRPr="002D741C" w14:paraId="2302CFA0" w14:textId="77777777" w:rsidTr="00AD13BE">
        <w:trPr>
          <w:cantSplit/>
        </w:trPr>
        <w:tc>
          <w:tcPr>
            <w:tcW w:w="2432" w:type="dxa"/>
            <w:tcBorders>
              <w:top w:val="nil"/>
              <w:left w:val="single" w:sz="4" w:space="0" w:color="auto"/>
              <w:bottom w:val="single" w:sz="4" w:space="0" w:color="auto"/>
            </w:tcBorders>
            <w:shd w:val="clear" w:color="auto" w:fill="auto"/>
          </w:tcPr>
          <w:p w14:paraId="1BD6425A" w14:textId="77777777" w:rsidR="00C45062" w:rsidRPr="002D741C" w:rsidRDefault="00C45062" w:rsidP="00AD13BE">
            <w:pPr>
              <w:pStyle w:val="Table"/>
              <w:keepNext w:val="0"/>
              <w:keepLines w:val="0"/>
              <w:widowControl w:val="0"/>
              <w:rPr>
                <w:rFonts w:ascii="Times New Roman" w:hAnsi="Times New Roman"/>
                <w:color w:val="000000"/>
                <w:sz w:val="22"/>
                <w:szCs w:val="22"/>
              </w:rPr>
            </w:pPr>
            <w:r w:rsidRPr="002D741C">
              <w:rPr>
                <w:rFonts w:ascii="Times New Roman" w:hAnsi="Times New Roman"/>
                <w:color w:val="000000"/>
                <w:sz w:val="22"/>
                <w:szCs w:val="22"/>
                <w:lang w:val="es-ES_tradnl"/>
              </w:rPr>
              <w:t>Terapia de consolidación</w:t>
            </w:r>
          </w:p>
        </w:tc>
        <w:tc>
          <w:tcPr>
            <w:tcW w:w="6662" w:type="dxa"/>
            <w:gridSpan w:val="4"/>
            <w:tcBorders>
              <w:top w:val="nil"/>
              <w:bottom w:val="single" w:sz="4" w:space="0" w:color="auto"/>
              <w:right w:val="single" w:sz="4" w:space="0" w:color="auto"/>
            </w:tcBorders>
            <w:shd w:val="clear" w:color="auto" w:fill="auto"/>
          </w:tcPr>
          <w:p w14:paraId="05BC2D79" w14:textId="77777777" w:rsidR="00C45062" w:rsidRPr="002D741C" w:rsidRDefault="00C45062" w:rsidP="00AD13BE">
            <w:pPr>
              <w:pStyle w:val="Table"/>
              <w:keepNext w:val="0"/>
              <w:keepLines w:val="0"/>
              <w:widowControl w:val="0"/>
              <w:rPr>
                <w:rFonts w:ascii="Times New Roman" w:hAnsi="Times New Roman"/>
                <w:color w:val="000000"/>
                <w:sz w:val="22"/>
                <w:szCs w:val="22"/>
                <w:lang w:val="es-ES"/>
              </w:rPr>
            </w:pPr>
            <w:smartTag w:uri="urn:schemas-microsoft-com:office:smarttags" w:element="PersonName">
              <w:r w:rsidRPr="002D741C">
                <w:rPr>
                  <w:rFonts w:ascii="Times New Roman" w:hAnsi="Times New Roman"/>
                  <w:color w:val="000000"/>
                  <w:sz w:val="22"/>
                  <w:szCs w:val="22"/>
                  <w:lang w:val="es-ES"/>
                </w:rPr>
                <w:t>DE</w:t>
              </w:r>
            </w:smartTag>
            <w:r w:rsidRPr="002D741C">
              <w:rPr>
                <w:rFonts w:ascii="Times New Roman" w:hAnsi="Times New Roman"/>
                <w:color w:val="000000"/>
                <w:sz w:val="22"/>
                <w:szCs w:val="22"/>
                <w:lang w:val="es-ES"/>
              </w:rPr>
              <w:t>X 10 mg/m</w:t>
            </w:r>
            <w:r w:rsidRPr="002D741C">
              <w:rPr>
                <w:rFonts w:ascii="Times New Roman" w:hAnsi="Times New Roman"/>
                <w:color w:val="000000"/>
                <w:sz w:val="22"/>
                <w:szCs w:val="22"/>
                <w:vertAlign w:val="superscript"/>
                <w:lang w:val="es-ES"/>
              </w:rPr>
              <w:t>2</w:t>
            </w:r>
            <w:r w:rsidRPr="002D741C">
              <w:rPr>
                <w:rFonts w:ascii="Times New Roman" w:hAnsi="Times New Roman"/>
                <w:color w:val="000000"/>
                <w:sz w:val="22"/>
                <w:szCs w:val="22"/>
                <w:lang w:val="es-ES"/>
              </w:rPr>
              <w:t xml:space="preserve"> oral, días 1-5;</w:t>
            </w:r>
          </w:p>
          <w:p w14:paraId="1F2925F8" w14:textId="77777777" w:rsidR="00C45062" w:rsidRPr="002D741C" w:rsidRDefault="00C45062" w:rsidP="00AD13BE">
            <w:pPr>
              <w:pStyle w:val="Table"/>
              <w:keepNext w:val="0"/>
              <w:keepLines w:val="0"/>
              <w:widowControl w:val="0"/>
              <w:rPr>
                <w:rFonts w:ascii="Times New Roman" w:hAnsi="Times New Roman"/>
                <w:color w:val="000000"/>
                <w:sz w:val="22"/>
                <w:szCs w:val="22"/>
                <w:lang w:val="es-ES"/>
              </w:rPr>
            </w:pPr>
            <w:r w:rsidRPr="002D741C">
              <w:rPr>
                <w:rFonts w:ascii="Times New Roman" w:hAnsi="Times New Roman"/>
                <w:color w:val="000000"/>
                <w:sz w:val="22"/>
                <w:szCs w:val="22"/>
                <w:lang w:val="es-ES"/>
              </w:rPr>
              <w:t>Vindesina 3 mg/m</w:t>
            </w:r>
            <w:r w:rsidRPr="002D741C">
              <w:rPr>
                <w:rFonts w:ascii="Times New Roman" w:hAnsi="Times New Roman"/>
                <w:color w:val="000000"/>
                <w:sz w:val="22"/>
                <w:szCs w:val="22"/>
                <w:vertAlign w:val="superscript"/>
                <w:lang w:val="es-ES"/>
              </w:rPr>
              <w:t>2</w:t>
            </w:r>
            <w:r w:rsidRPr="002D741C">
              <w:rPr>
                <w:rFonts w:ascii="Times New Roman" w:hAnsi="Times New Roman"/>
                <w:color w:val="000000"/>
                <w:sz w:val="22"/>
                <w:szCs w:val="22"/>
                <w:lang w:val="es-ES"/>
              </w:rPr>
              <w:t xml:space="preserve"> i.v., día 1;</w:t>
            </w:r>
          </w:p>
          <w:p w14:paraId="08A2589D" w14:textId="77777777" w:rsidR="00C45062" w:rsidRPr="002D741C" w:rsidRDefault="00C45062" w:rsidP="00AD13BE">
            <w:pPr>
              <w:pStyle w:val="Table"/>
              <w:keepNext w:val="0"/>
              <w:keepLines w:val="0"/>
              <w:widowControl w:val="0"/>
              <w:rPr>
                <w:rFonts w:ascii="Times New Roman" w:hAnsi="Times New Roman"/>
                <w:color w:val="000000"/>
                <w:sz w:val="22"/>
                <w:szCs w:val="22"/>
                <w:lang w:val="pt-BR"/>
              </w:rPr>
            </w:pPr>
            <w:smartTag w:uri="urn:schemas-microsoft-com:office:smarttags" w:element="stockticker">
              <w:smartTag w:uri="urn:schemas-microsoft-com:office:smarttags" w:element="PersonName">
                <w:r w:rsidRPr="002D741C">
                  <w:rPr>
                    <w:rFonts w:ascii="Times New Roman" w:hAnsi="Times New Roman"/>
                    <w:color w:val="000000"/>
                    <w:sz w:val="22"/>
                    <w:szCs w:val="22"/>
                    <w:lang w:val="pt-BR"/>
                  </w:rPr>
                  <w:t>MT</w:t>
                </w:r>
              </w:smartTag>
              <w:r w:rsidRPr="002D741C">
                <w:rPr>
                  <w:rFonts w:ascii="Times New Roman" w:hAnsi="Times New Roman"/>
                  <w:color w:val="000000"/>
                  <w:sz w:val="22"/>
                  <w:szCs w:val="22"/>
                  <w:lang w:val="pt-BR"/>
                </w:rPr>
                <w:t>X</w:t>
              </w:r>
            </w:smartTag>
            <w:r w:rsidRPr="002D741C">
              <w:rPr>
                <w:rFonts w:ascii="Times New Roman" w:hAnsi="Times New Roman"/>
                <w:color w:val="000000"/>
                <w:sz w:val="22"/>
                <w:szCs w:val="22"/>
                <w:lang w:val="pt-BR"/>
              </w:rPr>
              <w:t xml:space="preserve"> 1,5 g/m</w:t>
            </w:r>
            <w:r w:rsidRPr="002D741C">
              <w:rPr>
                <w:rFonts w:ascii="Times New Roman" w:hAnsi="Times New Roman"/>
                <w:color w:val="000000"/>
                <w:sz w:val="22"/>
                <w:szCs w:val="22"/>
                <w:vertAlign w:val="superscript"/>
                <w:lang w:val="pt-BR"/>
              </w:rPr>
              <w:t>2</w:t>
            </w:r>
            <w:r w:rsidRPr="002D741C">
              <w:rPr>
                <w:rFonts w:ascii="Times New Roman" w:hAnsi="Times New Roman"/>
                <w:color w:val="000000"/>
                <w:sz w:val="22"/>
                <w:szCs w:val="22"/>
                <w:lang w:val="pt-BR"/>
              </w:rPr>
              <w:t xml:space="preserve"> i.v. (24 h), día 1;</w:t>
            </w:r>
          </w:p>
          <w:p w14:paraId="572E3761" w14:textId="77777777" w:rsidR="00C45062" w:rsidRPr="002D741C" w:rsidRDefault="00C45062" w:rsidP="00AD13BE">
            <w:pPr>
              <w:pStyle w:val="Table"/>
              <w:keepNext w:val="0"/>
              <w:keepLines w:val="0"/>
              <w:widowControl w:val="0"/>
              <w:rPr>
                <w:rFonts w:ascii="Times New Roman" w:hAnsi="Times New Roman"/>
                <w:color w:val="000000"/>
                <w:sz w:val="22"/>
                <w:szCs w:val="22"/>
                <w:lang w:val="pt-BR"/>
              </w:rPr>
            </w:pPr>
            <w:r w:rsidRPr="002D741C">
              <w:rPr>
                <w:rFonts w:ascii="Times New Roman" w:hAnsi="Times New Roman"/>
                <w:color w:val="000000"/>
                <w:sz w:val="22"/>
                <w:szCs w:val="22"/>
                <w:lang w:val="pt-BR"/>
              </w:rPr>
              <w:t>Etopósido 250 mg/m</w:t>
            </w:r>
            <w:r w:rsidRPr="002D741C">
              <w:rPr>
                <w:rFonts w:ascii="Times New Roman" w:hAnsi="Times New Roman"/>
                <w:color w:val="000000"/>
                <w:sz w:val="22"/>
                <w:szCs w:val="22"/>
                <w:vertAlign w:val="superscript"/>
                <w:lang w:val="pt-BR"/>
              </w:rPr>
              <w:t>2</w:t>
            </w:r>
            <w:r w:rsidRPr="002D741C">
              <w:rPr>
                <w:rFonts w:ascii="Times New Roman" w:hAnsi="Times New Roman"/>
                <w:color w:val="000000"/>
                <w:sz w:val="22"/>
                <w:szCs w:val="22"/>
                <w:lang w:val="pt-BR"/>
              </w:rPr>
              <w:t xml:space="preserve"> i.v. (1 h) días 4-5;</w:t>
            </w:r>
          </w:p>
          <w:p w14:paraId="230F74DC" w14:textId="77777777" w:rsidR="00C45062" w:rsidRPr="002D741C" w:rsidRDefault="00C45062" w:rsidP="00AD13BE">
            <w:pPr>
              <w:pStyle w:val="Table"/>
              <w:keepNext w:val="0"/>
              <w:keepLines w:val="0"/>
              <w:widowControl w:val="0"/>
              <w:rPr>
                <w:rFonts w:ascii="Times New Roman" w:hAnsi="Times New Roman"/>
                <w:color w:val="000000"/>
                <w:sz w:val="22"/>
                <w:szCs w:val="22"/>
                <w:lang w:val="pt-BR"/>
              </w:rPr>
            </w:pPr>
            <w:r w:rsidRPr="002D741C">
              <w:rPr>
                <w:rFonts w:ascii="Times New Roman" w:hAnsi="Times New Roman"/>
                <w:color w:val="000000"/>
                <w:sz w:val="22"/>
                <w:szCs w:val="22"/>
                <w:lang w:val="pt-BR"/>
              </w:rPr>
              <w:t>Ara-C 2x 2 g/m</w:t>
            </w:r>
            <w:r w:rsidRPr="002D741C">
              <w:rPr>
                <w:rFonts w:ascii="Times New Roman" w:hAnsi="Times New Roman"/>
                <w:color w:val="000000"/>
                <w:sz w:val="22"/>
                <w:szCs w:val="22"/>
                <w:vertAlign w:val="superscript"/>
                <w:lang w:val="pt-BR"/>
              </w:rPr>
              <w:t>2</w:t>
            </w:r>
            <w:r w:rsidRPr="002D741C">
              <w:rPr>
                <w:rFonts w:ascii="Times New Roman" w:hAnsi="Times New Roman"/>
                <w:color w:val="000000"/>
                <w:sz w:val="22"/>
                <w:szCs w:val="22"/>
                <w:lang w:val="pt-BR"/>
              </w:rPr>
              <w:t xml:space="preserve"> i.v. (3 h, cada 12 h), día 5</w:t>
            </w:r>
          </w:p>
        </w:tc>
      </w:tr>
      <w:tr w:rsidR="00C45062" w:rsidRPr="002D741C" w14:paraId="4721B36E" w14:textId="77777777" w:rsidTr="00AD13BE">
        <w:trPr>
          <w:cantSplit/>
        </w:trPr>
        <w:tc>
          <w:tcPr>
            <w:tcW w:w="2432" w:type="dxa"/>
            <w:tcBorders>
              <w:top w:val="nil"/>
              <w:left w:val="single" w:sz="4" w:space="0" w:color="auto"/>
              <w:bottom w:val="single" w:sz="4" w:space="0" w:color="auto"/>
            </w:tcBorders>
            <w:shd w:val="clear" w:color="auto" w:fill="auto"/>
          </w:tcPr>
          <w:p w14:paraId="3DE3ED57" w14:textId="77777777" w:rsidR="00C45062" w:rsidRPr="002D741C" w:rsidRDefault="00C45062" w:rsidP="00AD13BE">
            <w:pPr>
              <w:pStyle w:val="Table"/>
              <w:keepLines w:val="0"/>
              <w:widowControl w:val="0"/>
              <w:rPr>
                <w:rFonts w:ascii="Times New Roman" w:hAnsi="Times New Roman"/>
                <w:b/>
                <w:color w:val="000000"/>
                <w:sz w:val="22"/>
                <w:szCs w:val="22"/>
              </w:rPr>
            </w:pPr>
            <w:r w:rsidRPr="002D741C">
              <w:rPr>
                <w:rFonts w:ascii="Times New Roman" w:hAnsi="Times New Roman"/>
                <w:b/>
                <w:color w:val="000000"/>
                <w:sz w:val="22"/>
                <w:szCs w:val="22"/>
              </w:rPr>
              <w:t>Estudio AJP01</w:t>
            </w:r>
          </w:p>
        </w:tc>
        <w:tc>
          <w:tcPr>
            <w:tcW w:w="2652" w:type="dxa"/>
            <w:tcBorders>
              <w:top w:val="nil"/>
              <w:bottom w:val="single" w:sz="4" w:space="0" w:color="auto"/>
            </w:tcBorders>
            <w:shd w:val="clear" w:color="auto" w:fill="auto"/>
          </w:tcPr>
          <w:p w14:paraId="6C14EFA1" w14:textId="77777777" w:rsidR="00C45062" w:rsidRPr="002D741C" w:rsidRDefault="00C45062" w:rsidP="00AD13BE">
            <w:pPr>
              <w:pStyle w:val="Table"/>
              <w:keepLines w:val="0"/>
              <w:widowControl w:val="0"/>
              <w:rPr>
                <w:rFonts w:ascii="Times New Roman" w:hAnsi="Times New Roman"/>
                <w:color w:val="000000"/>
                <w:sz w:val="22"/>
                <w:szCs w:val="22"/>
              </w:rPr>
            </w:pPr>
          </w:p>
        </w:tc>
        <w:tc>
          <w:tcPr>
            <w:tcW w:w="1080" w:type="dxa"/>
            <w:tcBorders>
              <w:top w:val="nil"/>
              <w:bottom w:val="single" w:sz="4" w:space="0" w:color="auto"/>
            </w:tcBorders>
          </w:tcPr>
          <w:p w14:paraId="7A39E933" w14:textId="77777777" w:rsidR="00C45062" w:rsidRPr="002D741C" w:rsidRDefault="00C45062" w:rsidP="00AD13BE">
            <w:pPr>
              <w:pStyle w:val="Table"/>
              <w:keepLines w:val="0"/>
              <w:widowControl w:val="0"/>
              <w:rPr>
                <w:rFonts w:ascii="Times New Roman" w:hAnsi="Times New Roman"/>
                <w:color w:val="000000"/>
                <w:sz w:val="22"/>
                <w:szCs w:val="22"/>
              </w:rPr>
            </w:pPr>
          </w:p>
        </w:tc>
        <w:tc>
          <w:tcPr>
            <w:tcW w:w="1380" w:type="dxa"/>
            <w:tcBorders>
              <w:top w:val="nil"/>
              <w:bottom w:val="single" w:sz="4" w:space="0" w:color="auto"/>
            </w:tcBorders>
          </w:tcPr>
          <w:p w14:paraId="1AB43128" w14:textId="77777777" w:rsidR="00C45062" w:rsidRPr="002D741C" w:rsidRDefault="00C45062" w:rsidP="00AD13BE">
            <w:pPr>
              <w:pStyle w:val="Table"/>
              <w:keepLines w:val="0"/>
              <w:widowControl w:val="0"/>
              <w:rPr>
                <w:rFonts w:ascii="Times New Roman" w:hAnsi="Times New Roman"/>
                <w:color w:val="000000"/>
                <w:sz w:val="22"/>
                <w:szCs w:val="22"/>
              </w:rPr>
            </w:pPr>
          </w:p>
        </w:tc>
        <w:tc>
          <w:tcPr>
            <w:tcW w:w="1550" w:type="dxa"/>
            <w:tcBorders>
              <w:top w:val="nil"/>
              <w:bottom w:val="single" w:sz="4" w:space="0" w:color="auto"/>
              <w:right w:val="single" w:sz="4" w:space="0" w:color="auto"/>
            </w:tcBorders>
          </w:tcPr>
          <w:p w14:paraId="0DCE871A" w14:textId="77777777" w:rsidR="00C45062" w:rsidRPr="002D741C" w:rsidRDefault="00C45062" w:rsidP="00AD13BE">
            <w:pPr>
              <w:pStyle w:val="Table"/>
              <w:keepLines w:val="0"/>
              <w:widowControl w:val="0"/>
              <w:rPr>
                <w:rFonts w:ascii="Times New Roman" w:hAnsi="Times New Roman"/>
                <w:color w:val="000000"/>
                <w:sz w:val="22"/>
                <w:szCs w:val="22"/>
              </w:rPr>
            </w:pPr>
          </w:p>
        </w:tc>
      </w:tr>
      <w:tr w:rsidR="00C45062" w:rsidRPr="002D741C" w14:paraId="32AF2A44" w14:textId="77777777" w:rsidTr="00AD13BE">
        <w:trPr>
          <w:cantSplit/>
        </w:trPr>
        <w:tc>
          <w:tcPr>
            <w:tcW w:w="2432" w:type="dxa"/>
            <w:tcBorders>
              <w:top w:val="nil"/>
              <w:left w:val="single" w:sz="4" w:space="0" w:color="auto"/>
              <w:bottom w:val="single" w:sz="4" w:space="0" w:color="auto"/>
            </w:tcBorders>
            <w:shd w:val="clear" w:color="auto" w:fill="auto"/>
          </w:tcPr>
          <w:p w14:paraId="72ED6BA2" w14:textId="77777777" w:rsidR="00C45062" w:rsidRPr="002D741C" w:rsidRDefault="00C45062" w:rsidP="00AD13BE">
            <w:pPr>
              <w:pStyle w:val="Table"/>
              <w:keepLines w:val="0"/>
              <w:widowControl w:val="0"/>
              <w:jc w:val="both"/>
              <w:rPr>
                <w:rFonts w:ascii="Times New Roman" w:hAnsi="Times New Roman"/>
                <w:color w:val="000000"/>
                <w:sz w:val="22"/>
                <w:szCs w:val="22"/>
              </w:rPr>
            </w:pPr>
            <w:r w:rsidRPr="002D741C">
              <w:rPr>
                <w:rFonts w:ascii="Times New Roman" w:hAnsi="Times New Roman"/>
                <w:color w:val="000000"/>
                <w:sz w:val="22"/>
                <w:szCs w:val="22"/>
              </w:rPr>
              <w:t>Terapia de inducción</w:t>
            </w:r>
          </w:p>
        </w:tc>
        <w:tc>
          <w:tcPr>
            <w:tcW w:w="6662" w:type="dxa"/>
            <w:gridSpan w:val="4"/>
            <w:tcBorders>
              <w:top w:val="nil"/>
              <w:bottom w:val="single" w:sz="4" w:space="0" w:color="auto"/>
              <w:right w:val="single" w:sz="4" w:space="0" w:color="auto"/>
            </w:tcBorders>
            <w:shd w:val="clear" w:color="auto" w:fill="auto"/>
          </w:tcPr>
          <w:p w14:paraId="19471C8A" w14:textId="77777777" w:rsidR="00C45062" w:rsidRPr="002D741C" w:rsidRDefault="00C45062" w:rsidP="00AD13BE">
            <w:pPr>
              <w:pStyle w:val="Table"/>
              <w:keepLines w:val="0"/>
              <w:widowControl w:val="0"/>
              <w:rPr>
                <w:rFonts w:ascii="Times New Roman" w:hAnsi="Times New Roman"/>
                <w:color w:val="000000"/>
                <w:sz w:val="22"/>
                <w:szCs w:val="22"/>
                <w:lang w:val="pt-BR"/>
              </w:rPr>
            </w:pPr>
            <w:r w:rsidRPr="002D741C">
              <w:rPr>
                <w:rFonts w:ascii="Times New Roman" w:hAnsi="Times New Roman"/>
                <w:color w:val="000000"/>
                <w:sz w:val="22"/>
                <w:szCs w:val="22"/>
                <w:lang w:val="pt-BR"/>
              </w:rPr>
              <w:t>CP 1,2 g/m</w:t>
            </w:r>
            <w:r w:rsidRPr="002D741C">
              <w:rPr>
                <w:rFonts w:ascii="Times New Roman" w:hAnsi="Times New Roman"/>
                <w:color w:val="000000"/>
                <w:sz w:val="22"/>
                <w:szCs w:val="22"/>
                <w:vertAlign w:val="superscript"/>
                <w:lang w:val="pt-BR"/>
              </w:rPr>
              <w:t>2</w:t>
            </w:r>
            <w:r w:rsidRPr="002D741C">
              <w:rPr>
                <w:rFonts w:ascii="Times New Roman" w:hAnsi="Times New Roman"/>
                <w:color w:val="000000"/>
                <w:sz w:val="22"/>
                <w:szCs w:val="22"/>
                <w:lang w:val="pt-BR"/>
              </w:rPr>
              <w:t xml:space="preserve"> i.v. (3 h), día 1;</w:t>
            </w:r>
          </w:p>
          <w:p w14:paraId="581EA92E" w14:textId="77777777" w:rsidR="00C45062" w:rsidRPr="002D741C" w:rsidRDefault="00C45062" w:rsidP="00AD13BE">
            <w:pPr>
              <w:pStyle w:val="Table"/>
              <w:keepLines w:val="0"/>
              <w:widowControl w:val="0"/>
              <w:rPr>
                <w:rFonts w:ascii="Times New Roman" w:hAnsi="Times New Roman"/>
                <w:color w:val="000000"/>
                <w:sz w:val="22"/>
                <w:szCs w:val="22"/>
                <w:lang w:val="es-ES_tradnl"/>
              </w:rPr>
            </w:pPr>
            <w:r w:rsidRPr="002D741C">
              <w:rPr>
                <w:rFonts w:ascii="Times New Roman" w:hAnsi="Times New Roman"/>
                <w:color w:val="000000"/>
                <w:sz w:val="22"/>
                <w:szCs w:val="22"/>
                <w:lang w:val="es-ES_tradnl"/>
              </w:rPr>
              <w:t>Daunorubicina 60 mg/m</w:t>
            </w:r>
            <w:r w:rsidRPr="002D741C">
              <w:rPr>
                <w:rFonts w:ascii="Times New Roman" w:hAnsi="Times New Roman"/>
                <w:color w:val="000000"/>
                <w:sz w:val="22"/>
                <w:szCs w:val="22"/>
                <w:vertAlign w:val="superscript"/>
                <w:lang w:val="es-ES_tradnl"/>
              </w:rPr>
              <w:t>2</w:t>
            </w:r>
            <w:r w:rsidRPr="002D741C">
              <w:rPr>
                <w:rFonts w:ascii="Times New Roman" w:hAnsi="Times New Roman"/>
                <w:color w:val="000000"/>
                <w:sz w:val="22"/>
                <w:szCs w:val="22"/>
                <w:lang w:val="es-ES_tradnl"/>
              </w:rPr>
              <w:t xml:space="preserve"> i.v. (1 h), días 1-3;</w:t>
            </w:r>
          </w:p>
          <w:p w14:paraId="2B4D3BC1" w14:textId="77777777" w:rsidR="00C45062" w:rsidRPr="002D741C" w:rsidRDefault="00C45062" w:rsidP="00AD13BE">
            <w:pPr>
              <w:pStyle w:val="Table"/>
              <w:keepLines w:val="0"/>
              <w:widowControl w:val="0"/>
              <w:rPr>
                <w:rFonts w:ascii="Times New Roman" w:hAnsi="Times New Roman"/>
                <w:color w:val="000000"/>
                <w:sz w:val="22"/>
                <w:szCs w:val="22"/>
                <w:lang w:val="es-ES_tradnl"/>
              </w:rPr>
            </w:pPr>
            <w:r w:rsidRPr="002D741C">
              <w:rPr>
                <w:rFonts w:ascii="Times New Roman" w:hAnsi="Times New Roman"/>
                <w:color w:val="000000"/>
                <w:sz w:val="22"/>
                <w:szCs w:val="22"/>
                <w:lang w:val="es-ES_tradnl"/>
              </w:rPr>
              <w:t>Vincristina 1,3 mg/m</w:t>
            </w:r>
            <w:r w:rsidRPr="002D741C">
              <w:rPr>
                <w:rFonts w:ascii="Times New Roman" w:hAnsi="Times New Roman"/>
                <w:color w:val="000000"/>
                <w:sz w:val="22"/>
                <w:szCs w:val="22"/>
                <w:vertAlign w:val="superscript"/>
                <w:lang w:val="es-ES_tradnl"/>
              </w:rPr>
              <w:t>2</w:t>
            </w:r>
            <w:r w:rsidRPr="002D741C">
              <w:rPr>
                <w:rFonts w:ascii="Times New Roman" w:hAnsi="Times New Roman"/>
                <w:color w:val="000000"/>
                <w:sz w:val="22"/>
                <w:szCs w:val="22"/>
                <w:lang w:val="es-ES_tradnl"/>
              </w:rPr>
              <w:t xml:space="preserve"> i.v., días 1, 8, 15, 21;</w:t>
            </w:r>
          </w:p>
          <w:p w14:paraId="4CFA201F" w14:textId="77777777" w:rsidR="00C45062" w:rsidRPr="002D741C" w:rsidRDefault="00C45062" w:rsidP="00AD13BE">
            <w:pPr>
              <w:pStyle w:val="Table"/>
              <w:keepLines w:val="0"/>
              <w:widowControl w:val="0"/>
              <w:rPr>
                <w:rFonts w:ascii="Times New Roman" w:hAnsi="Times New Roman"/>
                <w:color w:val="000000"/>
                <w:sz w:val="22"/>
                <w:szCs w:val="22"/>
                <w:lang w:val="es-ES_tradnl"/>
              </w:rPr>
            </w:pPr>
            <w:r w:rsidRPr="002D741C">
              <w:rPr>
                <w:rFonts w:ascii="Times New Roman" w:hAnsi="Times New Roman"/>
                <w:color w:val="000000"/>
                <w:sz w:val="22"/>
                <w:szCs w:val="22"/>
                <w:lang w:val="es-ES_tradnl"/>
              </w:rPr>
              <w:t>Prednisolona 60 mg/m</w:t>
            </w:r>
            <w:r w:rsidRPr="002D741C">
              <w:rPr>
                <w:rFonts w:ascii="Times New Roman" w:hAnsi="Times New Roman"/>
                <w:color w:val="000000"/>
                <w:sz w:val="22"/>
                <w:szCs w:val="22"/>
                <w:vertAlign w:val="superscript"/>
                <w:lang w:val="es-ES_tradnl"/>
              </w:rPr>
              <w:t>2</w:t>
            </w:r>
            <w:r w:rsidRPr="002D741C">
              <w:rPr>
                <w:rFonts w:ascii="Times New Roman" w:hAnsi="Times New Roman"/>
                <w:color w:val="000000"/>
                <w:sz w:val="22"/>
                <w:szCs w:val="22"/>
                <w:lang w:val="es-ES_tradnl"/>
              </w:rPr>
              <w:t>/día oral</w:t>
            </w:r>
          </w:p>
        </w:tc>
      </w:tr>
      <w:tr w:rsidR="00C45062" w:rsidRPr="002D741C" w14:paraId="69BDD551" w14:textId="77777777" w:rsidTr="00AD13BE">
        <w:trPr>
          <w:cantSplit/>
        </w:trPr>
        <w:tc>
          <w:tcPr>
            <w:tcW w:w="2432" w:type="dxa"/>
            <w:tcBorders>
              <w:top w:val="single" w:sz="4" w:space="0" w:color="auto"/>
              <w:left w:val="single" w:sz="4" w:space="0" w:color="auto"/>
              <w:bottom w:val="single" w:sz="4" w:space="0" w:color="auto"/>
            </w:tcBorders>
            <w:shd w:val="clear" w:color="auto" w:fill="auto"/>
          </w:tcPr>
          <w:p w14:paraId="04F546DA" w14:textId="77777777" w:rsidR="00C45062" w:rsidRPr="002D741C" w:rsidRDefault="00C45062" w:rsidP="00AD13BE">
            <w:pPr>
              <w:pStyle w:val="Table"/>
              <w:keepLines w:val="0"/>
              <w:widowControl w:val="0"/>
              <w:tabs>
                <w:tab w:val="left" w:pos="0"/>
              </w:tabs>
              <w:rPr>
                <w:rFonts w:ascii="Times New Roman" w:hAnsi="Times New Roman"/>
                <w:color w:val="000000"/>
                <w:sz w:val="22"/>
                <w:szCs w:val="22"/>
              </w:rPr>
            </w:pPr>
            <w:r w:rsidRPr="002D741C">
              <w:rPr>
                <w:rFonts w:ascii="Times New Roman" w:hAnsi="Times New Roman"/>
                <w:color w:val="000000"/>
                <w:sz w:val="22"/>
                <w:szCs w:val="22"/>
                <w:lang w:val="es-ES_tradnl"/>
              </w:rPr>
              <w:t>Terapia de consolidación</w:t>
            </w:r>
          </w:p>
        </w:tc>
        <w:tc>
          <w:tcPr>
            <w:tcW w:w="6662" w:type="dxa"/>
            <w:gridSpan w:val="4"/>
            <w:tcBorders>
              <w:top w:val="single" w:sz="4" w:space="0" w:color="auto"/>
              <w:bottom w:val="single" w:sz="4" w:space="0" w:color="auto"/>
              <w:right w:val="single" w:sz="4" w:space="0" w:color="auto"/>
            </w:tcBorders>
            <w:shd w:val="clear" w:color="auto" w:fill="auto"/>
          </w:tcPr>
          <w:p w14:paraId="50ABCBFF" w14:textId="77777777" w:rsidR="00C45062" w:rsidRPr="002D741C" w:rsidRDefault="00C45062" w:rsidP="00AD13BE">
            <w:pPr>
              <w:pStyle w:val="Table"/>
              <w:keepLines w:val="0"/>
              <w:widowControl w:val="0"/>
              <w:rPr>
                <w:rFonts w:ascii="Times New Roman" w:hAnsi="Times New Roman"/>
                <w:color w:val="000000"/>
                <w:sz w:val="22"/>
                <w:szCs w:val="22"/>
                <w:lang w:val="es-ES"/>
              </w:rPr>
            </w:pPr>
            <w:r w:rsidRPr="002D741C">
              <w:rPr>
                <w:rFonts w:ascii="Times New Roman" w:hAnsi="Times New Roman"/>
                <w:color w:val="000000"/>
                <w:sz w:val="22"/>
                <w:szCs w:val="22"/>
                <w:lang w:val="es-ES"/>
              </w:rPr>
              <w:t xml:space="preserve">Ciclo de quimioterapia alternando altas dosis de quimioterapia con </w:t>
            </w:r>
            <w:smartTag w:uri="urn:schemas-microsoft-com:office:smarttags" w:element="stockticker">
              <w:smartTag w:uri="urn:schemas-microsoft-com:office:smarttags" w:element="PersonName">
                <w:r w:rsidRPr="002D741C">
                  <w:rPr>
                    <w:rFonts w:ascii="Times New Roman" w:hAnsi="Times New Roman"/>
                    <w:color w:val="000000"/>
                    <w:sz w:val="22"/>
                    <w:szCs w:val="22"/>
                    <w:lang w:val="es-ES"/>
                  </w:rPr>
                  <w:t>MT</w:t>
                </w:r>
              </w:smartTag>
              <w:r w:rsidRPr="002D741C">
                <w:rPr>
                  <w:rFonts w:ascii="Times New Roman" w:hAnsi="Times New Roman"/>
                  <w:color w:val="000000"/>
                  <w:sz w:val="22"/>
                  <w:szCs w:val="22"/>
                  <w:lang w:val="es-ES"/>
                </w:rPr>
                <w:t>X</w:t>
              </w:r>
            </w:smartTag>
            <w:r w:rsidRPr="002D741C">
              <w:rPr>
                <w:rFonts w:ascii="Times New Roman" w:hAnsi="Times New Roman"/>
                <w:color w:val="000000"/>
                <w:sz w:val="22"/>
                <w:szCs w:val="22"/>
                <w:lang w:val="es-ES"/>
              </w:rPr>
              <w:t xml:space="preserve"> 1 g/m</w:t>
            </w:r>
            <w:r w:rsidRPr="002D741C">
              <w:rPr>
                <w:rFonts w:ascii="Times New Roman" w:hAnsi="Times New Roman"/>
                <w:color w:val="000000"/>
                <w:sz w:val="22"/>
                <w:szCs w:val="22"/>
                <w:vertAlign w:val="superscript"/>
                <w:lang w:val="es-ES"/>
              </w:rPr>
              <w:t>2</w:t>
            </w:r>
            <w:r w:rsidRPr="002D741C">
              <w:rPr>
                <w:rFonts w:ascii="Times New Roman" w:hAnsi="Times New Roman"/>
                <w:color w:val="000000"/>
                <w:sz w:val="22"/>
                <w:szCs w:val="22"/>
                <w:lang w:val="es-ES"/>
              </w:rPr>
              <w:t xml:space="preserve"> i.v. (24 h), día 1, y Ara-C 2 g/m</w:t>
            </w:r>
            <w:r w:rsidRPr="002D741C">
              <w:rPr>
                <w:rFonts w:ascii="Times New Roman" w:hAnsi="Times New Roman"/>
                <w:color w:val="000000"/>
                <w:sz w:val="22"/>
                <w:szCs w:val="22"/>
                <w:vertAlign w:val="superscript"/>
                <w:lang w:val="es-ES"/>
              </w:rPr>
              <w:t>2</w:t>
            </w:r>
            <w:r w:rsidRPr="002D741C">
              <w:rPr>
                <w:rFonts w:ascii="Times New Roman" w:hAnsi="Times New Roman"/>
                <w:color w:val="000000"/>
                <w:sz w:val="22"/>
                <w:szCs w:val="22"/>
                <w:lang w:val="es-ES"/>
              </w:rPr>
              <w:t xml:space="preserve"> i.v. (cada 12 h), días 2-3, durante 4 ciclos</w:t>
            </w:r>
          </w:p>
        </w:tc>
      </w:tr>
      <w:tr w:rsidR="00C45062" w:rsidRPr="002D741C" w14:paraId="74066614" w14:textId="77777777" w:rsidTr="00AD13BE">
        <w:trPr>
          <w:cantSplit/>
        </w:trPr>
        <w:tc>
          <w:tcPr>
            <w:tcW w:w="2432" w:type="dxa"/>
            <w:tcBorders>
              <w:top w:val="single" w:sz="4" w:space="0" w:color="auto"/>
              <w:left w:val="single" w:sz="4" w:space="0" w:color="auto"/>
              <w:bottom w:val="single" w:sz="4" w:space="0" w:color="auto"/>
            </w:tcBorders>
            <w:shd w:val="clear" w:color="auto" w:fill="auto"/>
          </w:tcPr>
          <w:p w14:paraId="32AD82E8" w14:textId="77777777" w:rsidR="00C45062" w:rsidRPr="002D741C" w:rsidRDefault="00C45062" w:rsidP="00AD13BE">
            <w:pPr>
              <w:pStyle w:val="Table"/>
              <w:keepNext w:val="0"/>
              <w:keepLines w:val="0"/>
              <w:widowControl w:val="0"/>
              <w:tabs>
                <w:tab w:val="left" w:pos="0"/>
              </w:tabs>
              <w:rPr>
                <w:rFonts w:ascii="Times New Roman" w:hAnsi="Times New Roman"/>
                <w:color w:val="000000"/>
                <w:sz w:val="22"/>
                <w:szCs w:val="22"/>
              </w:rPr>
            </w:pPr>
            <w:r w:rsidRPr="002D741C">
              <w:rPr>
                <w:rFonts w:ascii="Times New Roman" w:hAnsi="Times New Roman"/>
                <w:color w:val="000000"/>
                <w:sz w:val="22"/>
                <w:szCs w:val="22"/>
              </w:rPr>
              <w:t>Mantenimiento</w:t>
            </w:r>
          </w:p>
        </w:tc>
        <w:tc>
          <w:tcPr>
            <w:tcW w:w="6662" w:type="dxa"/>
            <w:gridSpan w:val="4"/>
            <w:tcBorders>
              <w:top w:val="single" w:sz="4" w:space="0" w:color="auto"/>
              <w:bottom w:val="single" w:sz="4" w:space="0" w:color="auto"/>
              <w:right w:val="single" w:sz="4" w:space="0" w:color="auto"/>
            </w:tcBorders>
            <w:shd w:val="clear" w:color="auto" w:fill="auto"/>
          </w:tcPr>
          <w:p w14:paraId="4583C922" w14:textId="77777777" w:rsidR="00C45062" w:rsidRPr="002D741C" w:rsidRDefault="00C45062" w:rsidP="00AD13BE">
            <w:pPr>
              <w:pStyle w:val="Table"/>
              <w:keepNext w:val="0"/>
              <w:keepLines w:val="0"/>
              <w:widowControl w:val="0"/>
              <w:rPr>
                <w:rFonts w:ascii="Times New Roman" w:hAnsi="Times New Roman"/>
                <w:color w:val="000000"/>
                <w:sz w:val="22"/>
                <w:szCs w:val="22"/>
                <w:lang w:val="es-ES_tradnl"/>
              </w:rPr>
            </w:pPr>
            <w:smartTag w:uri="urn:schemas-microsoft-com:office:smarttags" w:element="stockticker">
              <w:r w:rsidRPr="002D741C">
                <w:rPr>
                  <w:rFonts w:ascii="Times New Roman" w:hAnsi="Times New Roman"/>
                  <w:color w:val="000000"/>
                  <w:sz w:val="22"/>
                  <w:szCs w:val="22"/>
                  <w:lang w:val="es-ES_tradnl"/>
                </w:rPr>
                <w:t>VCR</w:t>
              </w:r>
            </w:smartTag>
            <w:r w:rsidRPr="002D741C">
              <w:rPr>
                <w:rFonts w:ascii="Times New Roman" w:hAnsi="Times New Roman"/>
                <w:color w:val="000000"/>
                <w:sz w:val="22"/>
                <w:szCs w:val="22"/>
                <w:lang w:val="es-ES_tradnl"/>
              </w:rPr>
              <w:t xml:space="preserve"> 1,3 g/m</w:t>
            </w:r>
            <w:r w:rsidRPr="002D741C">
              <w:rPr>
                <w:rFonts w:ascii="Times New Roman" w:hAnsi="Times New Roman"/>
                <w:color w:val="000000"/>
                <w:sz w:val="22"/>
                <w:szCs w:val="22"/>
                <w:vertAlign w:val="superscript"/>
                <w:lang w:val="es-ES_tradnl"/>
              </w:rPr>
              <w:t>2</w:t>
            </w:r>
            <w:r w:rsidRPr="002D741C">
              <w:rPr>
                <w:rFonts w:ascii="Times New Roman" w:hAnsi="Times New Roman"/>
                <w:color w:val="000000"/>
                <w:sz w:val="22"/>
                <w:szCs w:val="22"/>
                <w:lang w:val="es-ES_tradnl"/>
              </w:rPr>
              <w:t xml:space="preserve"> i.v., día 1;</w:t>
            </w:r>
          </w:p>
          <w:p w14:paraId="6BC808CC" w14:textId="77777777" w:rsidR="00C45062" w:rsidRPr="002D741C" w:rsidRDefault="00C45062" w:rsidP="00AD13BE">
            <w:pPr>
              <w:pStyle w:val="Table"/>
              <w:keepNext w:val="0"/>
              <w:keepLines w:val="0"/>
              <w:widowControl w:val="0"/>
              <w:rPr>
                <w:rFonts w:ascii="Times New Roman" w:hAnsi="Times New Roman"/>
                <w:color w:val="000000"/>
                <w:sz w:val="22"/>
                <w:szCs w:val="22"/>
                <w:lang w:val="es-ES_tradnl"/>
              </w:rPr>
            </w:pPr>
            <w:r w:rsidRPr="002D741C">
              <w:rPr>
                <w:rFonts w:ascii="Times New Roman" w:hAnsi="Times New Roman"/>
                <w:color w:val="000000"/>
                <w:sz w:val="22"/>
                <w:szCs w:val="22"/>
                <w:lang w:val="es-ES_tradnl"/>
              </w:rPr>
              <w:t>Prednisolona 60 mg/m</w:t>
            </w:r>
            <w:r w:rsidRPr="002D741C">
              <w:rPr>
                <w:rFonts w:ascii="Times New Roman" w:hAnsi="Times New Roman"/>
                <w:color w:val="000000"/>
                <w:sz w:val="22"/>
                <w:szCs w:val="22"/>
                <w:vertAlign w:val="superscript"/>
                <w:lang w:val="es-ES_tradnl"/>
              </w:rPr>
              <w:t>2</w:t>
            </w:r>
            <w:r w:rsidRPr="002D741C">
              <w:rPr>
                <w:rFonts w:ascii="Times New Roman" w:hAnsi="Times New Roman"/>
                <w:color w:val="000000"/>
                <w:sz w:val="22"/>
                <w:szCs w:val="22"/>
                <w:lang w:val="es-ES_tradnl"/>
              </w:rPr>
              <w:t xml:space="preserve"> oral, días 1-5</w:t>
            </w:r>
          </w:p>
        </w:tc>
      </w:tr>
      <w:tr w:rsidR="00C45062" w:rsidRPr="002D741C" w14:paraId="29A087E7" w14:textId="77777777" w:rsidTr="00AD13BE">
        <w:trPr>
          <w:cantSplit/>
        </w:trPr>
        <w:tc>
          <w:tcPr>
            <w:tcW w:w="5084" w:type="dxa"/>
            <w:gridSpan w:val="2"/>
            <w:tcBorders>
              <w:top w:val="single" w:sz="4" w:space="0" w:color="auto"/>
              <w:left w:val="single" w:sz="4" w:space="0" w:color="auto"/>
              <w:bottom w:val="single" w:sz="4" w:space="0" w:color="auto"/>
            </w:tcBorders>
            <w:shd w:val="clear" w:color="auto" w:fill="auto"/>
          </w:tcPr>
          <w:p w14:paraId="348703BA" w14:textId="77777777" w:rsidR="00C45062" w:rsidRPr="002D741C" w:rsidRDefault="00C45062" w:rsidP="00AD13BE">
            <w:pPr>
              <w:pStyle w:val="Table"/>
              <w:keepLines w:val="0"/>
              <w:widowControl w:val="0"/>
              <w:rPr>
                <w:rFonts w:ascii="Times New Roman" w:hAnsi="Times New Roman"/>
                <w:color w:val="000000"/>
                <w:sz w:val="22"/>
                <w:szCs w:val="22"/>
                <w:lang w:val="es-ES_tradnl"/>
              </w:rPr>
            </w:pPr>
            <w:r w:rsidRPr="002D741C">
              <w:rPr>
                <w:rFonts w:ascii="Times New Roman" w:hAnsi="Times New Roman"/>
                <w:b/>
                <w:color w:val="000000"/>
                <w:sz w:val="22"/>
                <w:szCs w:val="22"/>
                <w:lang w:val="es-ES_tradnl"/>
              </w:rPr>
              <w:lastRenderedPageBreak/>
              <w:t>Estudio AUS01</w:t>
            </w:r>
          </w:p>
        </w:tc>
        <w:tc>
          <w:tcPr>
            <w:tcW w:w="1080" w:type="dxa"/>
            <w:tcBorders>
              <w:top w:val="single" w:sz="4" w:space="0" w:color="auto"/>
              <w:bottom w:val="single" w:sz="4" w:space="0" w:color="auto"/>
            </w:tcBorders>
          </w:tcPr>
          <w:p w14:paraId="3AA6D727" w14:textId="77777777" w:rsidR="00C45062" w:rsidRPr="002D741C" w:rsidRDefault="00C45062" w:rsidP="00AD13BE">
            <w:pPr>
              <w:pStyle w:val="Table"/>
              <w:keepLines w:val="0"/>
              <w:widowControl w:val="0"/>
              <w:rPr>
                <w:rFonts w:ascii="Times New Roman" w:hAnsi="Times New Roman"/>
                <w:color w:val="000000"/>
                <w:sz w:val="22"/>
                <w:szCs w:val="22"/>
                <w:lang w:val="es-ES_tradnl"/>
              </w:rPr>
            </w:pPr>
          </w:p>
        </w:tc>
        <w:tc>
          <w:tcPr>
            <w:tcW w:w="1380" w:type="dxa"/>
            <w:tcBorders>
              <w:top w:val="single" w:sz="4" w:space="0" w:color="auto"/>
              <w:bottom w:val="single" w:sz="4" w:space="0" w:color="auto"/>
            </w:tcBorders>
          </w:tcPr>
          <w:p w14:paraId="2D98D22E" w14:textId="77777777" w:rsidR="00C45062" w:rsidRPr="002D741C" w:rsidRDefault="00C45062" w:rsidP="00AD13BE">
            <w:pPr>
              <w:pStyle w:val="Table"/>
              <w:keepLines w:val="0"/>
              <w:widowControl w:val="0"/>
              <w:rPr>
                <w:rFonts w:ascii="Times New Roman" w:hAnsi="Times New Roman"/>
                <w:color w:val="000000"/>
                <w:sz w:val="22"/>
                <w:szCs w:val="22"/>
                <w:lang w:val="es-ES_tradnl"/>
              </w:rPr>
            </w:pPr>
          </w:p>
        </w:tc>
        <w:tc>
          <w:tcPr>
            <w:tcW w:w="1550" w:type="dxa"/>
            <w:tcBorders>
              <w:top w:val="single" w:sz="4" w:space="0" w:color="auto"/>
              <w:bottom w:val="single" w:sz="4" w:space="0" w:color="auto"/>
              <w:right w:val="single" w:sz="4" w:space="0" w:color="auto"/>
            </w:tcBorders>
          </w:tcPr>
          <w:p w14:paraId="5AC3EE79" w14:textId="77777777" w:rsidR="00C45062" w:rsidRPr="002D741C" w:rsidRDefault="00C45062" w:rsidP="00AD13BE">
            <w:pPr>
              <w:pStyle w:val="Table"/>
              <w:keepLines w:val="0"/>
              <w:widowControl w:val="0"/>
              <w:rPr>
                <w:rFonts w:ascii="Times New Roman" w:hAnsi="Times New Roman"/>
                <w:color w:val="000000"/>
                <w:sz w:val="22"/>
                <w:szCs w:val="22"/>
                <w:lang w:val="es-ES_tradnl"/>
              </w:rPr>
            </w:pPr>
          </w:p>
        </w:tc>
      </w:tr>
      <w:tr w:rsidR="00C45062" w:rsidRPr="002D741C" w14:paraId="4CF91822" w14:textId="77777777" w:rsidTr="00AD13BE">
        <w:trPr>
          <w:cantSplit/>
        </w:trPr>
        <w:tc>
          <w:tcPr>
            <w:tcW w:w="2432" w:type="dxa"/>
            <w:tcBorders>
              <w:top w:val="single" w:sz="4" w:space="0" w:color="auto"/>
              <w:left w:val="single" w:sz="4" w:space="0" w:color="auto"/>
              <w:bottom w:val="single" w:sz="4" w:space="0" w:color="auto"/>
            </w:tcBorders>
            <w:shd w:val="clear" w:color="auto" w:fill="auto"/>
          </w:tcPr>
          <w:p w14:paraId="0E8A6AA2" w14:textId="77777777" w:rsidR="00C45062" w:rsidRPr="002D741C" w:rsidRDefault="00C45062" w:rsidP="00AD13BE">
            <w:pPr>
              <w:pStyle w:val="Table"/>
              <w:keepLines w:val="0"/>
              <w:widowControl w:val="0"/>
              <w:rPr>
                <w:rFonts w:ascii="Times New Roman" w:hAnsi="Times New Roman"/>
                <w:color w:val="000000"/>
                <w:sz w:val="22"/>
                <w:szCs w:val="22"/>
                <w:lang w:val="es-ES_tradnl"/>
              </w:rPr>
            </w:pPr>
            <w:r w:rsidRPr="002D741C">
              <w:rPr>
                <w:rFonts w:ascii="Times New Roman" w:hAnsi="Times New Roman"/>
                <w:color w:val="000000"/>
                <w:sz w:val="22"/>
                <w:szCs w:val="22"/>
                <w:lang w:val="es-ES_tradnl"/>
              </w:rPr>
              <w:t>Terapia de inducción-consolidación</w:t>
            </w:r>
          </w:p>
        </w:tc>
        <w:tc>
          <w:tcPr>
            <w:tcW w:w="6662" w:type="dxa"/>
            <w:gridSpan w:val="4"/>
            <w:tcBorders>
              <w:top w:val="single" w:sz="4" w:space="0" w:color="auto"/>
              <w:bottom w:val="single" w:sz="4" w:space="0" w:color="auto"/>
              <w:right w:val="single" w:sz="4" w:space="0" w:color="auto"/>
            </w:tcBorders>
            <w:shd w:val="clear" w:color="auto" w:fill="auto"/>
          </w:tcPr>
          <w:p w14:paraId="6F2987CA" w14:textId="77777777" w:rsidR="00C45062" w:rsidRPr="002D741C" w:rsidRDefault="00C45062" w:rsidP="00AD13BE">
            <w:pPr>
              <w:pStyle w:val="Table"/>
              <w:keepLines w:val="0"/>
              <w:widowControl w:val="0"/>
              <w:rPr>
                <w:rFonts w:ascii="Times New Roman" w:hAnsi="Times New Roman"/>
                <w:color w:val="000000"/>
                <w:sz w:val="22"/>
                <w:szCs w:val="22"/>
                <w:lang w:val="es-ES_tradnl"/>
              </w:rPr>
            </w:pPr>
            <w:r w:rsidRPr="002D741C">
              <w:rPr>
                <w:rFonts w:ascii="Times New Roman" w:hAnsi="Times New Roman"/>
                <w:color w:val="000000"/>
                <w:sz w:val="22"/>
                <w:szCs w:val="22"/>
                <w:lang w:val="es-ES_tradnl"/>
              </w:rPr>
              <w:t>Régimen hiper-CVAD: CP 300 mg/m</w:t>
            </w:r>
            <w:r w:rsidRPr="002D741C">
              <w:rPr>
                <w:rFonts w:ascii="Times New Roman" w:hAnsi="Times New Roman"/>
                <w:color w:val="000000"/>
                <w:sz w:val="22"/>
                <w:szCs w:val="22"/>
                <w:vertAlign w:val="superscript"/>
                <w:lang w:val="es-ES_tradnl"/>
              </w:rPr>
              <w:t>2</w:t>
            </w:r>
            <w:r w:rsidRPr="002D741C">
              <w:rPr>
                <w:rFonts w:ascii="Times New Roman" w:hAnsi="Times New Roman"/>
                <w:color w:val="000000"/>
                <w:sz w:val="22"/>
                <w:szCs w:val="22"/>
                <w:lang w:val="es-ES_tradnl"/>
              </w:rPr>
              <w:t xml:space="preserve"> i.v. (3 h, cada 12 h), días 1-3; Vincristina 2 mg i.v., días 4, 11;</w:t>
            </w:r>
          </w:p>
          <w:p w14:paraId="274B4067" w14:textId="77777777" w:rsidR="00C45062" w:rsidRPr="002D741C" w:rsidRDefault="00C45062" w:rsidP="00AD13BE">
            <w:pPr>
              <w:pStyle w:val="Table"/>
              <w:keepLines w:val="0"/>
              <w:widowControl w:val="0"/>
              <w:rPr>
                <w:rFonts w:ascii="Times New Roman" w:hAnsi="Times New Roman"/>
                <w:color w:val="000000"/>
                <w:sz w:val="22"/>
                <w:szCs w:val="22"/>
                <w:lang w:val="es-ES_tradnl"/>
              </w:rPr>
            </w:pPr>
            <w:r w:rsidRPr="002D741C">
              <w:rPr>
                <w:rFonts w:ascii="Times New Roman" w:hAnsi="Times New Roman"/>
                <w:color w:val="000000"/>
                <w:sz w:val="22"/>
                <w:szCs w:val="22"/>
                <w:lang w:val="es-ES_tradnl"/>
              </w:rPr>
              <w:t>Doxorubicina 50 mg/m</w:t>
            </w:r>
            <w:r w:rsidRPr="002D741C">
              <w:rPr>
                <w:rFonts w:ascii="Times New Roman" w:hAnsi="Times New Roman"/>
                <w:color w:val="000000"/>
                <w:sz w:val="22"/>
                <w:szCs w:val="22"/>
                <w:vertAlign w:val="superscript"/>
                <w:lang w:val="es-ES_tradnl"/>
              </w:rPr>
              <w:t>2</w:t>
            </w:r>
            <w:r w:rsidRPr="002D741C">
              <w:rPr>
                <w:rFonts w:ascii="Times New Roman" w:hAnsi="Times New Roman"/>
                <w:color w:val="000000"/>
                <w:sz w:val="22"/>
                <w:szCs w:val="22"/>
                <w:lang w:val="es-ES_tradnl"/>
              </w:rPr>
              <w:t xml:space="preserve"> i.v. (24 h), día 4;</w:t>
            </w:r>
          </w:p>
          <w:p w14:paraId="0CF2782D" w14:textId="77777777" w:rsidR="00C45062" w:rsidRPr="002D741C" w:rsidRDefault="00C45062" w:rsidP="00AD13BE">
            <w:pPr>
              <w:pStyle w:val="Table"/>
              <w:keepLines w:val="0"/>
              <w:widowControl w:val="0"/>
              <w:rPr>
                <w:rFonts w:ascii="Times New Roman" w:hAnsi="Times New Roman"/>
                <w:color w:val="000000"/>
                <w:sz w:val="22"/>
                <w:szCs w:val="22"/>
                <w:lang w:val="es-ES_tradnl"/>
              </w:rPr>
            </w:pPr>
            <w:smartTag w:uri="urn:schemas-microsoft-com:office:smarttags" w:element="PersonName">
              <w:r w:rsidRPr="002D741C">
                <w:rPr>
                  <w:rFonts w:ascii="Times New Roman" w:hAnsi="Times New Roman"/>
                  <w:color w:val="000000"/>
                  <w:sz w:val="22"/>
                  <w:szCs w:val="22"/>
                  <w:lang w:val="es-ES_tradnl"/>
                </w:rPr>
                <w:t>DE</w:t>
              </w:r>
            </w:smartTag>
            <w:r w:rsidRPr="002D741C">
              <w:rPr>
                <w:rFonts w:ascii="Times New Roman" w:hAnsi="Times New Roman"/>
                <w:color w:val="000000"/>
                <w:sz w:val="22"/>
                <w:szCs w:val="22"/>
                <w:lang w:val="es-ES_tradnl"/>
              </w:rPr>
              <w:t xml:space="preserve">X 40 mg/día los días 1-4 y 11-14, alternado con </w:t>
            </w:r>
            <w:smartTag w:uri="urn:schemas-microsoft-com:office:smarttags" w:element="stockticker">
              <w:smartTag w:uri="urn:schemas-microsoft-com:office:smarttags" w:element="PersonName">
                <w:r w:rsidRPr="002D741C">
                  <w:rPr>
                    <w:rFonts w:ascii="Times New Roman" w:hAnsi="Times New Roman"/>
                    <w:color w:val="000000"/>
                    <w:sz w:val="22"/>
                    <w:szCs w:val="22"/>
                    <w:lang w:val="es-ES_tradnl"/>
                  </w:rPr>
                  <w:t>MT</w:t>
                </w:r>
              </w:smartTag>
              <w:r w:rsidRPr="002D741C">
                <w:rPr>
                  <w:rFonts w:ascii="Times New Roman" w:hAnsi="Times New Roman"/>
                  <w:color w:val="000000"/>
                  <w:sz w:val="22"/>
                  <w:szCs w:val="22"/>
                  <w:lang w:val="es-ES_tradnl"/>
                </w:rPr>
                <w:t>X</w:t>
              </w:r>
            </w:smartTag>
            <w:r w:rsidRPr="002D741C">
              <w:rPr>
                <w:rFonts w:ascii="Times New Roman" w:hAnsi="Times New Roman"/>
                <w:color w:val="000000"/>
                <w:sz w:val="22"/>
                <w:szCs w:val="22"/>
                <w:lang w:val="es-ES_tradnl"/>
              </w:rPr>
              <w:t xml:space="preserve"> 1 g/m</w:t>
            </w:r>
            <w:r w:rsidRPr="002D741C">
              <w:rPr>
                <w:rFonts w:ascii="Times New Roman" w:hAnsi="Times New Roman"/>
                <w:color w:val="000000"/>
                <w:sz w:val="22"/>
                <w:szCs w:val="22"/>
                <w:vertAlign w:val="superscript"/>
                <w:lang w:val="es-ES_tradnl"/>
              </w:rPr>
              <w:t>2</w:t>
            </w:r>
            <w:r w:rsidRPr="002D741C">
              <w:rPr>
                <w:rFonts w:ascii="Times New Roman" w:hAnsi="Times New Roman"/>
                <w:color w:val="000000"/>
                <w:sz w:val="22"/>
                <w:szCs w:val="22"/>
                <w:lang w:val="es-ES_tradnl"/>
              </w:rPr>
              <w:t xml:space="preserve"> i.v. (24 h), día 1, Ara-C 1 g/m</w:t>
            </w:r>
            <w:r w:rsidRPr="002D741C">
              <w:rPr>
                <w:rFonts w:ascii="Times New Roman" w:hAnsi="Times New Roman"/>
                <w:color w:val="000000"/>
                <w:sz w:val="22"/>
                <w:szCs w:val="22"/>
                <w:vertAlign w:val="superscript"/>
                <w:lang w:val="es-ES_tradnl"/>
              </w:rPr>
              <w:t>2</w:t>
            </w:r>
            <w:r w:rsidRPr="002D741C">
              <w:rPr>
                <w:rFonts w:ascii="Times New Roman" w:hAnsi="Times New Roman"/>
                <w:color w:val="000000"/>
                <w:sz w:val="22"/>
                <w:szCs w:val="22"/>
                <w:lang w:val="es-ES_tradnl"/>
              </w:rPr>
              <w:t xml:space="preserve"> i.v. (2 h, cada 12 h), días 2-3 (8 ciclos en total)</w:t>
            </w:r>
          </w:p>
        </w:tc>
      </w:tr>
      <w:tr w:rsidR="00C45062" w:rsidRPr="002D741C" w14:paraId="0879E871" w14:textId="77777777" w:rsidTr="00AD13BE">
        <w:trPr>
          <w:cantSplit/>
        </w:trPr>
        <w:tc>
          <w:tcPr>
            <w:tcW w:w="2432" w:type="dxa"/>
            <w:tcBorders>
              <w:top w:val="single" w:sz="4" w:space="0" w:color="auto"/>
              <w:left w:val="single" w:sz="4" w:space="0" w:color="auto"/>
              <w:bottom w:val="single" w:sz="4" w:space="0" w:color="auto"/>
            </w:tcBorders>
            <w:shd w:val="clear" w:color="auto" w:fill="auto"/>
          </w:tcPr>
          <w:p w14:paraId="0B1FBCA0" w14:textId="77777777" w:rsidR="00C45062" w:rsidRPr="002D741C" w:rsidRDefault="00C45062" w:rsidP="00AD13BE">
            <w:pPr>
              <w:pStyle w:val="Table"/>
              <w:keepLines w:val="0"/>
              <w:widowControl w:val="0"/>
              <w:rPr>
                <w:rFonts w:ascii="Times New Roman" w:hAnsi="Times New Roman"/>
                <w:color w:val="000000"/>
                <w:sz w:val="22"/>
                <w:szCs w:val="22"/>
                <w:lang w:val="es-ES"/>
              </w:rPr>
            </w:pPr>
            <w:r w:rsidRPr="002D741C">
              <w:rPr>
                <w:rFonts w:ascii="Times New Roman" w:hAnsi="Times New Roman"/>
                <w:color w:val="000000"/>
                <w:sz w:val="22"/>
                <w:szCs w:val="22"/>
                <w:lang w:val="es-ES"/>
              </w:rPr>
              <w:t>Mantenimiento</w:t>
            </w:r>
          </w:p>
        </w:tc>
        <w:tc>
          <w:tcPr>
            <w:tcW w:w="6662" w:type="dxa"/>
            <w:gridSpan w:val="4"/>
            <w:tcBorders>
              <w:top w:val="single" w:sz="4" w:space="0" w:color="auto"/>
              <w:bottom w:val="single" w:sz="4" w:space="0" w:color="auto"/>
              <w:right w:val="single" w:sz="4" w:space="0" w:color="auto"/>
            </w:tcBorders>
            <w:shd w:val="clear" w:color="auto" w:fill="auto"/>
          </w:tcPr>
          <w:p w14:paraId="5B940BA8" w14:textId="77777777" w:rsidR="00C45062" w:rsidRPr="002D741C" w:rsidRDefault="00C45062" w:rsidP="00AD13BE">
            <w:pPr>
              <w:pStyle w:val="Table"/>
              <w:keepLines w:val="0"/>
              <w:widowControl w:val="0"/>
              <w:rPr>
                <w:rFonts w:ascii="Times New Roman" w:hAnsi="Times New Roman"/>
                <w:color w:val="000000"/>
                <w:sz w:val="22"/>
                <w:szCs w:val="22"/>
                <w:lang w:val="es-ES_tradnl"/>
              </w:rPr>
            </w:pPr>
            <w:smartTag w:uri="urn:schemas-microsoft-com:office:smarttags" w:element="stockticker">
              <w:r w:rsidRPr="002D741C">
                <w:rPr>
                  <w:rFonts w:ascii="Times New Roman" w:hAnsi="Times New Roman"/>
                  <w:color w:val="000000"/>
                  <w:sz w:val="22"/>
                  <w:szCs w:val="22"/>
                  <w:lang w:val="es-ES_tradnl"/>
                </w:rPr>
                <w:t>VCR</w:t>
              </w:r>
            </w:smartTag>
            <w:r w:rsidRPr="002D741C">
              <w:rPr>
                <w:rFonts w:ascii="Times New Roman" w:hAnsi="Times New Roman"/>
                <w:color w:val="000000"/>
                <w:sz w:val="22"/>
                <w:szCs w:val="22"/>
                <w:lang w:val="es-ES_tradnl"/>
              </w:rPr>
              <w:t xml:space="preserve"> 2 mg i.v. mensualmente durante 13 meses;</w:t>
            </w:r>
          </w:p>
          <w:p w14:paraId="59901B73" w14:textId="77777777" w:rsidR="00C45062" w:rsidRPr="002D741C" w:rsidRDefault="00C45062" w:rsidP="00AD13BE">
            <w:pPr>
              <w:pStyle w:val="Table"/>
              <w:keepLines w:val="0"/>
              <w:widowControl w:val="0"/>
              <w:rPr>
                <w:rFonts w:ascii="Times New Roman" w:hAnsi="Times New Roman"/>
                <w:color w:val="000000"/>
                <w:sz w:val="22"/>
                <w:szCs w:val="22"/>
                <w:lang w:val="es-ES_tradnl"/>
              </w:rPr>
            </w:pPr>
            <w:r w:rsidRPr="002D741C">
              <w:rPr>
                <w:rFonts w:ascii="Times New Roman" w:hAnsi="Times New Roman"/>
                <w:color w:val="000000"/>
                <w:sz w:val="22"/>
                <w:szCs w:val="22"/>
                <w:lang w:val="es-ES_tradnl"/>
              </w:rPr>
              <w:t>Prednisolona 200 mg oral, 5 días al mes durante 13 meses</w:t>
            </w:r>
          </w:p>
        </w:tc>
      </w:tr>
      <w:tr w:rsidR="00C45062" w:rsidRPr="002D741C" w14:paraId="1B3ACB5B" w14:textId="77777777" w:rsidTr="00AD13BE">
        <w:trPr>
          <w:cantSplit/>
        </w:trPr>
        <w:tc>
          <w:tcPr>
            <w:tcW w:w="9094" w:type="dxa"/>
            <w:gridSpan w:val="5"/>
            <w:tcBorders>
              <w:top w:val="single" w:sz="4" w:space="0" w:color="auto"/>
              <w:left w:val="single" w:sz="4" w:space="0" w:color="auto"/>
              <w:bottom w:val="single" w:sz="4" w:space="0" w:color="auto"/>
              <w:right w:val="single" w:sz="4" w:space="0" w:color="auto"/>
            </w:tcBorders>
            <w:shd w:val="clear" w:color="auto" w:fill="auto"/>
          </w:tcPr>
          <w:p w14:paraId="47D6EC79" w14:textId="77777777" w:rsidR="00C45062" w:rsidRPr="002D741C" w:rsidRDefault="00C45062" w:rsidP="00AD13BE">
            <w:pPr>
              <w:pStyle w:val="Table"/>
              <w:keepLines w:val="0"/>
              <w:widowControl w:val="0"/>
              <w:rPr>
                <w:rFonts w:ascii="Times New Roman" w:hAnsi="Times New Roman"/>
                <w:color w:val="000000"/>
                <w:sz w:val="22"/>
                <w:szCs w:val="22"/>
                <w:lang w:val="es-ES_tradnl"/>
              </w:rPr>
            </w:pPr>
            <w:r w:rsidRPr="002D741C">
              <w:rPr>
                <w:rFonts w:ascii="Times New Roman" w:hAnsi="Times New Roman"/>
                <w:color w:val="000000"/>
                <w:sz w:val="22"/>
                <w:szCs w:val="22"/>
                <w:lang w:val="es-ES_tradnl"/>
              </w:rPr>
              <w:t>Todos los regimenes de tratamiento incluyen la administración de esteroides para la profilaxis de SNC.</w:t>
            </w:r>
          </w:p>
        </w:tc>
      </w:tr>
      <w:tr w:rsidR="00C45062" w:rsidRPr="002D741C" w14:paraId="1B9E6D83" w14:textId="77777777" w:rsidTr="00AD13BE">
        <w:trPr>
          <w:cantSplit/>
        </w:trPr>
        <w:tc>
          <w:tcPr>
            <w:tcW w:w="9094" w:type="dxa"/>
            <w:gridSpan w:val="5"/>
            <w:tcBorders>
              <w:top w:val="single" w:sz="4" w:space="0" w:color="auto"/>
              <w:left w:val="single" w:sz="4" w:space="0" w:color="auto"/>
              <w:bottom w:val="single" w:sz="4" w:space="0" w:color="auto"/>
              <w:right w:val="single" w:sz="4" w:space="0" w:color="auto"/>
            </w:tcBorders>
            <w:shd w:val="clear" w:color="auto" w:fill="auto"/>
          </w:tcPr>
          <w:p w14:paraId="39981D07" w14:textId="77777777" w:rsidR="00C45062" w:rsidRPr="002D741C" w:rsidRDefault="00C45062" w:rsidP="00AD13BE">
            <w:pPr>
              <w:pStyle w:val="Table"/>
              <w:keepNext w:val="0"/>
              <w:keepLines w:val="0"/>
              <w:widowControl w:val="0"/>
              <w:rPr>
                <w:rFonts w:ascii="Times New Roman" w:hAnsi="Times New Roman"/>
                <w:color w:val="000000"/>
                <w:sz w:val="22"/>
                <w:szCs w:val="22"/>
                <w:lang w:val="es-ES_tradnl"/>
              </w:rPr>
            </w:pPr>
            <w:r w:rsidRPr="002D741C">
              <w:rPr>
                <w:rFonts w:ascii="Times New Roman" w:hAnsi="Times New Roman"/>
                <w:color w:val="000000"/>
                <w:sz w:val="22"/>
                <w:szCs w:val="22"/>
                <w:lang w:val="es-ES_tradnl"/>
              </w:rPr>
              <w:t xml:space="preserve">Ara-C: citosina arabinósido; CP: ciclofosfamida; </w:t>
            </w:r>
            <w:smartTag w:uri="urn:schemas-microsoft-com:office:smarttags" w:element="PersonName">
              <w:r w:rsidRPr="002D741C">
                <w:rPr>
                  <w:rFonts w:ascii="Times New Roman" w:hAnsi="Times New Roman"/>
                  <w:color w:val="000000"/>
                  <w:sz w:val="22"/>
                  <w:szCs w:val="22"/>
                  <w:lang w:val="es-ES_tradnl"/>
                </w:rPr>
                <w:t>DE</w:t>
              </w:r>
            </w:smartTag>
            <w:r w:rsidRPr="002D741C">
              <w:rPr>
                <w:rFonts w:ascii="Times New Roman" w:hAnsi="Times New Roman"/>
                <w:color w:val="000000"/>
                <w:sz w:val="22"/>
                <w:szCs w:val="22"/>
                <w:lang w:val="es-ES_tradnl"/>
              </w:rPr>
              <w:t xml:space="preserve">X: dexametasona; </w:t>
            </w:r>
            <w:smartTag w:uri="urn:schemas-microsoft-com:office:smarttags" w:element="stockticker">
              <w:smartTag w:uri="urn:schemas-microsoft-com:office:smarttags" w:element="PersonName">
                <w:r w:rsidRPr="002D741C">
                  <w:rPr>
                    <w:rFonts w:ascii="Times New Roman" w:hAnsi="Times New Roman"/>
                    <w:color w:val="000000"/>
                    <w:sz w:val="22"/>
                    <w:szCs w:val="22"/>
                    <w:lang w:val="es-ES_tradnl"/>
                  </w:rPr>
                  <w:t>MT</w:t>
                </w:r>
              </w:smartTag>
              <w:r w:rsidRPr="002D741C">
                <w:rPr>
                  <w:rFonts w:ascii="Times New Roman" w:hAnsi="Times New Roman"/>
                  <w:color w:val="000000"/>
                  <w:sz w:val="22"/>
                  <w:szCs w:val="22"/>
                  <w:lang w:val="es-ES_tradnl"/>
                </w:rPr>
                <w:t>X</w:t>
              </w:r>
            </w:smartTag>
            <w:r w:rsidRPr="002D741C">
              <w:rPr>
                <w:rFonts w:ascii="Times New Roman" w:hAnsi="Times New Roman"/>
                <w:color w:val="000000"/>
                <w:sz w:val="22"/>
                <w:szCs w:val="22"/>
                <w:lang w:val="es-ES_tradnl"/>
              </w:rPr>
              <w:t xml:space="preserve">: metotrexato; 6-MP: 6-mercaptopurina; VM26: tenipósido; </w:t>
            </w:r>
            <w:smartTag w:uri="urn:schemas-microsoft-com:office:smarttags" w:element="stockticker">
              <w:r w:rsidRPr="002D741C">
                <w:rPr>
                  <w:rFonts w:ascii="Times New Roman" w:hAnsi="Times New Roman"/>
                  <w:color w:val="000000"/>
                  <w:sz w:val="22"/>
                  <w:szCs w:val="22"/>
                  <w:lang w:val="es-ES_tradnl"/>
                </w:rPr>
                <w:t>VCR</w:t>
              </w:r>
            </w:smartTag>
            <w:r w:rsidRPr="002D741C">
              <w:rPr>
                <w:rFonts w:ascii="Times New Roman" w:hAnsi="Times New Roman"/>
                <w:color w:val="000000"/>
                <w:sz w:val="22"/>
                <w:szCs w:val="22"/>
                <w:lang w:val="es-ES_tradnl"/>
              </w:rPr>
              <w:t xml:space="preserve">: vincristina; </w:t>
            </w:r>
            <w:smartTag w:uri="urn:schemas-microsoft-com:office:smarttags" w:element="stockticker">
              <w:r w:rsidRPr="002D741C">
                <w:rPr>
                  <w:rFonts w:ascii="Times New Roman" w:hAnsi="Times New Roman"/>
                  <w:color w:val="000000"/>
                  <w:sz w:val="22"/>
                  <w:szCs w:val="22"/>
                  <w:lang w:val="es-ES_tradnl"/>
                </w:rPr>
                <w:t>IDA</w:t>
              </w:r>
            </w:smartTag>
            <w:r w:rsidRPr="002D741C">
              <w:rPr>
                <w:rFonts w:ascii="Times New Roman" w:hAnsi="Times New Roman"/>
                <w:color w:val="000000"/>
                <w:sz w:val="22"/>
                <w:szCs w:val="22"/>
                <w:lang w:val="es-ES_tradnl"/>
              </w:rPr>
              <w:t>: idarubicina; i.v.: intravenoso</w:t>
            </w:r>
          </w:p>
        </w:tc>
      </w:tr>
    </w:tbl>
    <w:p w14:paraId="27DBF782" w14:textId="77777777" w:rsidR="00C45062" w:rsidRPr="002D741C" w:rsidRDefault="00C45062" w:rsidP="00C45062">
      <w:pPr>
        <w:pStyle w:val="EndnoteText"/>
        <w:widowControl w:val="0"/>
        <w:tabs>
          <w:tab w:val="clear" w:pos="567"/>
        </w:tabs>
        <w:rPr>
          <w:color w:val="000000"/>
          <w:szCs w:val="22"/>
          <w:lang w:val="es-ES_tradnl"/>
        </w:rPr>
      </w:pPr>
    </w:p>
    <w:p w14:paraId="3CB3038E" w14:textId="77777777" w:rsidR="00C45062" w:rsidRPr="002D741C" w:rsidRDefault="00C45062" w:rsidP="00C45062">
      <w:pPr>
        <w:pStyle w:val="EndnoteText"/>
        <w:widowControl w:val="0"/>
        <w:tabs>
          <w:tab w:val="clear" w:pos="567"/>
        </w:tabs>
        <w:rPr>
          <w:iCs/>
          <w:color w:val="000000"/>
          <w:szCs w:val="22"/>
          <w:lang w:val="es-ES"/>
        </w:rPr>
      </w:pPr>
      <w:r w:rsidRPr="002D741C">
        <w:rPr>
          <w:i/>
          <w:iCs/>
          <w:color w:val="000000"/>
          <w:szCs w:val="22"/>
          <w:lang w:val="es-ES"/>
        </w:rPr>
        <w:t>Pacientes pediátricos:</w:t>
      </w:r>
      <w:r w:rsidRPr="002D741C">
        <w:rPr>
          <w:iCs/>
          <w:color w:val="000000"/>
          <w:szCs w:val="22"/>
          <w:lang w:val="es-ES"/>
        </w:rPr>
        <w:t xml:space="preserve"> En el ensayo I2301 se incluyeron un total de 93 pacientes pediátricos, adolescentes y pacientes adultos jóvenes (de </w:t>
      </w:r>
      <w:smartTag w:uri="urn:schemas-microsoft-com:office:smarttags" w:element="metricconverter">
        <w:smartTagPr>
          <w:attr w:name="ProductID" w:val="1 a"/>
        </w:smartTagPr>
        <w:r w:rsidRPr="002D741C">
          <w:rPr>
            <w:iCs/>
            <w:color w:val="000000"/>
            <w:szCs w:val="22"/>
            <w:lang w:val="es-ES"/>
          </w:rPr>
          <w:t>1 a</w:t>
        </w:r>
      </w:smartTag>
      <w:r w:rsidRPr="002D741C">
        <w:rPr>
          <w:iCs/>
          <w:color w:val="000000"/>
          <w:szCs w:val="22"/>
          <w:lang w:val="es-ES"/>
        </w:rPr>
        <w:t xml:space="preserve"> 22 años de edad) con LLA Ph+ en un ensayo fase III no aleatorizado, de cohorte secuencial, multicéntrico, abierto, y se trataron con Glivec (340 mg/m</w:t>
      </w:r>
      <w:r w:rsidRPr="002D741C">
        <w:rPr>
          <w:iCs/>
          <w:color w:val="000000"/>
          <w:szCs w:val="22"/>
          <w:vertAlign w:val="superscript"/>
          <w:lang w:val="es-ES"/>
        </w:rPr>
        <w:t>2</w:t>
      </w:r>
      <w:r w:rsidRPr="002D741C">
        <w:rPr>
          <w:iCs/>
          <w:color w:val="000000"/>
          <w:szCs w:val="22"/>
          <w:lang w:val="es-ES"/>
        </w:rPr>
        <w:t>/día) en combinación con quimioterapia intensiva tras el tratamiento de inducción. Glivec se administró intermitentemente en las cohortes 1</w:t>
      </w:r>
      <w:r w:rsidRPr="002D741C">
        <w:rPr>
          <w:iCs/>
          <w:color w:val="000000"/>
          <w:szCs w:val="22"/>
          <w:lang w:val="es-ES"/>
        </w:rPr>
        <w:noBreakHyphen/>
        <w:t xml:space="preserve">5, con una duración creciente y un inicio más temprano de Glivec de cohorte en cohorte; la cohorte 1 recibió la menor intensidad y la cohorte 5 recibió la mayor intensidad de Glivec (la duración más larga en días con el tratamiento continuo diario con Glivec durante los primeros cursos de tratamiento con quimioterapia). La exposición diaria continua a Glivec de forma temprana en el curso de tratamiento en combinación con quimioterapia en la cohorte 5 – los pacientes (n=50) mejoraron la supervivencia libre de eventos (SLE) a los 4 años comparado con los controles históricos (n=120), que recibieron la quimioterapia estándar sin Glivec (69,6% frente a 31,6% respectivamente). </w:t>
      </w:r>
      <w:smartTag w:uri="urn:schemas-microsoft-com:office:smarttags" w:element="PersonName">
        <w:smartTagPr>
          <w:attr w:name="ProductID" w:val="La SG"/>
        </w:smartTagPr>
        <w:r w:rsidRPr="002D741C">
          <w:rPr>
            <w:iCs/>
            <w:color w:val="000000"/>
            <w:szCs w:val="22"/>
            <w:lang w:val="es-ES"/>
          </w:rPr>
          <w:t>La SG</w:t>
        </w:r>
      </w:smartTag>
      <w:r w:rsidRPr="002D741C">
        <w:rPr>
          <w:iCs/>
          <w:color w:val="000000"/>
          <w:szCs w:val="22"/>
          <w:lang w:val="es-ES"/>
        </w:rPr>
        <w:t xml:space="preserve"> estimada a los 4-años en la cohorte 5- pacientes fue de 83,6% comparado con 44,8% en los controles históricos. 20 pacientes de los 50 (40%) en la cohorte 5 recibieron un trasplante de células hematopoyéticas.</w:t>
      </w:r>
    </w:p>
    <w:p w14:paraId="3A9C2372" w14:textId="77777777" w:rsidR="00C45062" w:rsidRPr="002D741C" w:rsidRDefault="00C45062" w:rsidP="00C45062">
      <w:pPr>
        <w:pStyle w:val="EndnoteText"/>
        <w:widowControl w:val="0"/>
        <w:tabs>
          <w:tab w:val="clear" w:pos="567"/>
        </w:tabs>
        <w:rPr>
          <w:iCs/>
          <w:color w:val="000000"/>
          <w:szCs w:val="22"/>
          <w:lang w:val="es-ES"/>
        </w:rPr>
      </w:pPr>
    </w:p>
    <w:p w14:paraId="1308A37C" w14:textId="77777777" w:rsidR="00C45062" w:rsidRPr="002D741C" w:rsidRDefault="00C45062" w:rsidP="00AD13BE">
      <w:pPr>
        <w:pStyle w:val="EndnoteText"/>
        <w:keepNext/>
        <w:widowControl w:val="0"/>
        <w:tabs>
          <w:tab w:val="clear" w:pos="567"/>
          <w:tab w:val="left" w:pos="1134"/>
        </w:tabs>
        <w:rPr>
          <w:b/>
          <w:iCs/>
          <w:color w:val="000000"/>
          <w:szCs w:val="22"/>
          <w:lang w:val="es-ES"/>
        </w:rPr>
      </w:pPr>
      <w:r w:rsidRPr="002D741C">
        <w:rPr>
          <w:b/>
          <w:iCs/>
          <w:color w:val="000000"/>
          <w:szCs w:val="22"/>
          <w:lang w:val="es-ES"/>
        </w:rPr>
        <w:t>Tabla </w:t>
      </w:r>
      <w:r w:rsidR="005A1A7A" w:rsidRPr="002D741C">
        <w:rPr>
          <w:b/>
          <w:iCs/>
          <w:color w:val="000000"/>
          <w:szCs w:val="22"/>
          <w:lang w:val="es-ES"/>
        </w:rPr>
        <w:t>5</w:t>
      </w:r>
      <w:r w:rsidRPr="002D741C">
        <w:rPr>
          <w:b/>
          <w:iCs/>
          <w:color w:val="000000"/>
          <w:szCs w:val="22"/>
          <w:lang w:val="es-ES"/>
        </w:rPr>
        <w:tab/>
        <w:t>Régimen de quimioterapia utilizado en combinación con imatinib en el estudio I2301</w:t>
      </w:r>
    </w:p>
    <w:p w14:paraId="4D748212" w14:textId="77777777" w:rsidR="00C45062" w:rsidRPr="002D741C" w:rsidRDefault="00C45062" w:rsidP="00AD13BE">
      <w:pPr>
        <w:pStyle w:val="EndnoteText"/>
        <w:keepNext/>
        <w:widowControl w:val="0"/>
        <w:tabs>
          <w:tab w:val="clear" w:pos="567"/>
          <w:tab w:val="left" w:pos="1134"/>
        </w:tabs>
        <w:rPr>
          <w:iCs/>
          <w:color w:val="000000"/>
          <w:szCs w:val="22"/>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27"/>
        <w:gridCol w:w="6734"/>
      </w:tblGrid>
      <w:tr w:rsidR="00C45062" w:rsidRPr="002D741C" w14:paraId="5271BB29" w14:textId="77777777" w:rsidTr="00AD13BE">
        <w:trPr>
          <w:cantSplit/>
        </w:trPr>
        <w:tc>
          <w:tcPr>
            <w:tcW w:w="2358" w:type="dxa"/>
            <w:shd w:val="clear" w:color="auto" w:fill="auto"/>
          </w:tcPr>
          <w:p w14:paraId="09AEC4F5" w14:textId="77777777" w:rsidR="00C45062" w:rsidRPr="002D741C" w:rsidRDefault="00C45062" w:rsidP="00F22369">
            <w:pPr>
              <w:pStyle w:val="EndnoteText"/>
              <w:widowControl w:val="0"/>
              <w:rPr>
                <w:color w:val="000000"/>
                <w:lang w:val="es-ES"/>
              </w:rPr>
            </w:pPr>
            <w:r w:rsidRPr="002D741C">
              <w:rPr>
                <w:color w:val="000000"/>
                <w:lang w:val="es-ES"/>
              </w:rPr>
              <w:t>Bloque 1 de consolidación</w:t>
            </w:r>
          </w:p>
          <w:p w14:paraId="10C6AB5F" w14:textId="77777777" w:rsidR="00C45062" w:rsidRPr="002D741C" w:rsidRDefault="00C45062" w:rsidP="00F22369">
            <w:pPr>
              <w:pStyle w:val="EndnoteText"/>
              <w:widowControl w:val="0"/>
              <w:rPr>
                <w:color w:val="000000"/>
                <w:lang w:val="es-ES"/>
              </w:rPr>
            </w:pPr>
            <w:r w:rsidRPr="002D741C">
              <w:rPr>
                <w:color w:val="000000"/>
                <w:lang w:val="es-ES"/>
              </w:rPr>
              <w:t>(3 semanas)</w:t>
            </w:r>
          </w:p>
        </w:tc>
        <w:tc>
          <w:tcPr>
            <w:tcW w:w="6929" w:type="dxa"/>
            <w:shd w:val="clear" w:color="auto" w:fill="auto"/>
          </w:tcPr>
          <w:p w14:paraId="30A9101D" w14:textId="77777777" w:rsidR="00C45062" w:rsidRPr="002D741C" w:rsidRDefault="00C45062" w:rsidP="00F22369">
            <w:pPr>
              <w:pStyle w:val="EndnoteText"/>
              <w:widowControl w:val="0"/>
              <w:rPr>
                <w:color w:val="000000"/>
                <w:lang w:val="es-ES"/>
              </w:rPr>
            </w:pPr>
            <w:r w:rsidRPr="002D741C">
              <w:rPr>
                <w:color w:val="000000"/>
                <w:lang w:val="es-ES"/>
              </w:rPr>
              <w:t>VP-16 (100 mg/m</w:t>
            </w:r>
            <w:r w:rsidRPr="002D741C">
              <w:rPr>
                <w:color w:val="000000"/>
                <w:vertAlign w:val="superscript"/>
                <w:lang w:val="es-ES"/>
              </w:rPr>
              <w:t>2</w:t>
            </w:r>
            <w:r w:rsidRPr="002D741C">
              <w:rPr>
                <w:color w:val="000000"/>
                <w:lang w:val="es-ES"/>
              </w:rPr>
              <w:t>/día, IV): días 1</w:t>
            </w:r>
            <w:r w:rsidRPr="002D741C">
              <w:rPr>
                <w:color w:val="000000"/>
                <w:lang w:val="es-ES"/>
              </w:rPr>
              <w:noBreakHyphen/>
              <w:t>5</w:t>
            </w:r>
          </w:p>
          <w:p w14:paraId="60DBEFA4" w14:textId="77777777" w:rsidR="00C45062" w:rsidRPr="002D741C" w:rsidRDefault="00C45062" w:rsidP="00F22369">
            <w:pPr>
              <w:pStyle w:val="EndnoteText"/>
              <w:widowControl w:val="0"/>
              <w:rPr>
                <w:color w:val="000000"/>
                <w:lang w:val="es-ES"/>
              </w:rPr>
            </w:pPr>
            <w:r w:rsidRPr="002D741C">
              <w:rPr>
                <w:color w:val="000000"/>
                <w:lang w:val="es-ES"/>
              </w:rPr>
              <w:t>Ifosfamida (1,8 g/m</w:t>
            </w:r>
            <w:r w:rsidRPr="002D741C">
              <w:rPr>
                <w:color w:val="000000"/>
                <w:vertAlign w:val="superscript"/>
                <w:lang w:val="es-ES"/>
              </w:rPr>
              <w:t>2</w:t>
            </w:r>
            <w:r w:rsidRPr="002D741C">
              <w:rPr>
                <w:color w:val="000000"/>
                <w:lang w:val="es-ES"/>
              </w:rPr>
              <w:t>/día, IV): días 1</w:t>
            </w:r>
            <w:r w:rsidRPr="002D741C">
              <w:rPr>
                <w:color w:val="000000"/>
                <w:lang w:val="es-ES"/>
              </w:rPr>
              <w:noBreakHyphen/>
              <w:t>5</w:t>
            </w:r>
          </w:p>
          <w:p w14:paraId="70854EE0" w14:textId="77777777" w:rsidR="00C45062" w:rsidRPr="002D741C" w:rsidRDefault="00C45062" w:rsidP="00F22369">
            <w:pPr>
              <w:pStyle w:val="EndnoteText"/>
              <w:widowControl w:val="0"/>
              <w:rPr>
                <w:color w:val="000000"/>
                <w:lang w:val="es-ES"/>
              </w:rPr>
            </w:pPr>
            <w:r w:rsidRPr="002D741C">
              <w:rPr>
                <w:color w:val="000000"/>
                <w:lang w:val="es-ES"/>
              </w:rPr>
              <w:t>MESNA (360 mg/m</w:t>
            </w:r>
            <w:r w:rsidRPr="002D741C">
              <w:rPr>
                <w:color w:val="000000"/>
                <w:vertAlign w:val="superscript"/>
                <w:lang w:val="es-ES"/>
              </w:rPr>
              <w:t>2</w:t>
            </w:r>
            <w:r w:rsidRPr="002D741C">
              <w:rPr>
                <w:color w:val="000000"/>
                <w:lang w:val="es-ES"/>
              </w:rPr>
              <w:t>/dosis q3h, x 8 dosis/día, IV): días 1</w:t>
            </w:r>
            <w:r w:rsidRPr="002D741C">
              <w:rPr>
                <w:color w:val="000000"/>
                <w:lang w:val="es-ES"/>
              </w:rPr>
              <w:noBreakHyphen/>
              <w:t>5</w:t>
            </w:r>
          </w:p>
          <w:p w14:paraId="452FE195" w14:textId="77777777" w:rsidR="00C45062" w:rsidRPr="002D741C" w:rsidRDefault="00C45062" w:rsidP="00F22369">
            <w:pPr>
              <w:pStyle w:val="EndnoteText"/>
              <w:widowControl w:val="0"/>
              <w:rPr>
                <w:color w:val="000000"/>
                <w:lang w:val="es-ES"/>
              </w:rPr>
            </w:pPr>
            <w:r w:rsidRPr="002D741C">
              <w:rPr>
                <w:color w:val="000000"/>
                <w:lang w:val="es-ES"/>
              </w:rPr>
              <w:t>G-CSF (5 </w:t>
            </w:r>
            <w:r w:rsidRPr="002D741C">
              <w:rPr>
                <w:color w:val="000000"/>
              </w:rPr>
              <w:t>μ</w:t>
            </w:r>
            <w:r w:rsidRPr="002D741C">
              <w:rPr>
                <w:color w:val="000000"/>
                <w:lang w:val="es-ES"/>
              </w:rPr>
              <w:t>g/kg, SC): días 6</w:t>
            </w:r>
            <w:r w:rsidRPr="002D741C">
              <w:rPr>
                <w:color w:val="000000"/>
                <w:lang w:val="es-ES"/>
              </w:rPr>
              <w:noBreakHyphen/>
              <w:t>15 o hasta RAN &gt; 1500 post nadir</w:t>
            </w:r>
          </w:p>
          <w:p w14:paraId="58EDF4DB" w14:textId="77777777" w:rsidR="00C45062" w:rsidRPr="002D741C" w:rsidRDefault="00C45062" w:rsidP="00F22369">
            <w:pPr>
              <w:pStyle w:val="EndnoteText"/>
              <w:widowControl w:val="0"/>
              <w:rPr>
                <w:color w:val="000000"/>
                <w:lang w:val="es-ES"/>
              </w:rPr>
            </w:pPr>
            <w:smartTag w:uri="urn:schemas-microsoft-com:office:smarttags" w:element="PersonName">
              <w:r w:rsidRPr="002D741C">
                <w:rPr>
                  <w:color w:val="000000"/>
                  <w:lang w:val="es-ES"/>
                </w:rPr>
                <w:t>IT</w:t>
              </w:r>
            </w:smartTag>
            <w:r w:rsidRPr="002D741C">
              <w:rPr>
                <w:color w:val="000000"/>
                <w:lang w:val="es-ES"/>
              </w:rPr>
              <w:t xml:space="preserve"> Metotrexato (ajustado por edad): día 1 SOLO</w:t>
            </w:r>
          </w:p>
          <w:p w14:paraId="3BD76CB2" w14:textId="77777777" w:rsidR="00C45062" w:rsidRPr="002D741C" w:rsidRDefault="00C45062" w:rsidP="00F22369">
            <w:pPr>
              <w:pStyle w:val="EndnoteText"/>
              <w:widowControl w:val="0"/>
              <w:rPr>
                <w:color w:val="000000"/>
                <w:lang w:val="es-ES"/>
              </w:rPr>
            </w:pPr>
            <w:r w:rsidRPr="002D741C">
              <w:rPr>
                <w:color w:val="000000"/>
                <w:lang w:val="es-ES"/>
              </w:rPr>
              <w:t xml:space="preserve">Triple terapia </w:t>
            </w:r>
            <w:smartTag w:uri="urn:schemas-microsoft-com:office:smarttags" w:element="PersonName">
              <w:r w:rsidRPr="002D741C">
                <w:rPr>
                  <w:color w:val="000000"/>
                  <w:lang w:val="es-ES"/>
                </w:rPr>
                <w:t>IT</w:t>
              </w:r>
            </w:smartTag>
            <w:r w:rsidRPr="002D741C">
              <w:rPr>
                <w:color w:val="000000"/>
                <w:lang w:val="es-ES"/>
              </w:rPr>
              <w:t xml:space="preserve"> (ajustada por edad): día 8, 15</w:t>
            </w:r>
          </w:p>
        </w:tc>
      </w:tr>
      <w:tr w:rsidR="00C45062" w:rsidRPr="002D741C" w14:paraId="004F61D9" w14:textId="77777777" w:rsidTr="00AD13BE">
        <w:trPr>
          <w:cantSplit/>
        </w:trPr>
        <w:tc>
          <w:tcPr>
            <w:tcW w:w="2358" w:type="dxa"/>
            <w:shd w:val="clear" w:color="auto" w:fill="auto"/>
          </w:tcPr>
          <w:p w14:paraId="7025ED35" w14:textId="77777777" w:rsidR="00C45062" w:rsidRPr="002D741C" w:rsidRDefault="00C45062" w:rsidP="00F22369">
            <w:pPr>
              <w:pStyle w:val="EndnoteText"/>
              <w:widowControl w:val="0"/>
              <w:rPr>
                <w:color w:val="000000"/>
              </w:rPr>
            </w:pPr>
            <w:r w:rsidRPr="002D741C">
              <w:rPr>
                <w:color w:val="000000"/>
              </w:rPr>
              <w:t>Bloque 2 de consolidación</w:t>
            </w:r>
          </w:p>
          <w:p w14:paraId="7A09F7DF" w14:textId="77777777" w:rsidR="00C45062" w:rsidRPr="002D741C" w:rsidRDefault="00C45062" w:rsidP="00F22369">
            <w:pPr>
              <w:pStyle w:val="EndnoteText"/>
              <w:widowControl w:val="0"/>
              <w:rPr>
                <w:color w:val="000000"/>
              </w:rPr>
            </w:pPr>
            <w:r w:rsidRPr="002D741C">
              <w:rPr>
                <w:color w:val="000000"/>
              </w:rPr>
              <w:t>(3 semanas)</w:t>
            </w:r>
          </w:p>
        </w:tc>
        <w:tc>
          <w:tcPr>
            <w:tcW w:w="6929" w:type="dxa"/>
            <w:shd w:val="clear" w:color="auto" w:fill="auto"/>
          </w:tcPr>
          <w:p w14:paraId="6B771C52" w14:textId="77777777" w:rsidR="00C45062" w:rsidRPr="002D741C" w:rsidRDefault="00C45062" w:rsidP="00F22369">
            <w:pPr>
              <w:pStyle w:val="EndnoteText"/>
              <w:widowControl w:val="0"/>
              <w:rPr>
                <w:color w:val="000000"/>
                <w:lang w:val="es-ES"/>
              </w:rPr>
            </w:pPr>
            <w:r w:rsidRPr="002D741C">
              <w:rPr>
                <w:color w:val="000000"/>
                <w:lang w:val="es-ES"/>
              </w:rPr>
              <w:t>Metotrexato (5 g/m</w:t>
            </w:r>
            <w:r w:rsidRPr="002D741C">
              <w:rPr>
                <w:color w:val="000000"/>
                <w:vertAlign w:val="superscript"/>
                <w:lang w:val="es-ES"/>
              </w:rPr>
              <w:t>2</w:t>
            </w:r>
            <w:r w:rsidRPr="002D741C">
              <w:rPr>
                <w:color w:val="000000"/>
                <w:lang w:val="es-ES"/>
              </w:rPr>
              <w:t xml:space="preserve"> durante 24 horas, IV): día 1</w:t>
            </w:r>
          </w:p>
          <w:p w14:paraId="53866ECC" w14:textId="77777777" w:rsidR="00C45062" w:rsidRPr="002D741C" w:rsidRDefault="00C45062" w:rsidP="00F22369">
            <w:pPr>
              <w:pStyle w:val="EndnoteText"/>
              <w:widowControl w:val="0"/>
              <w:rPr>
                <w:color w:val="000000"/>
                <w:lang w:val="es-ES"/>
              </w:rPr>
            </w:pPr>
            <w:r w:rsidRPr="002D741C">
              <w:rPr>
                <w:color w:val="000000"/>
                <w:lang w:val="es-ES"/>
              </w:rPr>
              <w:t>Leucovorina (75 mg/m</w:t>
            </w:r>
            <w:r w:rsidRPr="002D741C">
              <w:rPr>
                <w:color w:val="000000"/>
                <w:vertAlign w:val="superscript"/>
                <w:lang w:val="es-ES"/>
              </w:rPr>
              <w:t>2</w:t>
            </w:r>
            <w:r w:rsidRPr="002D741C">
              <w:rPr>
                <w:color w:val="000000"/>
                <w:lang w:val="es-ES"/>
              </w:rPr>
              <w:t xml:space="preserve"> a la hora 36, IV; 15 mg/m</w:t>
            </w:r>
            <w:r w:rsidRPr="002D741C">
              <w:rPr>
                <w:color w:val="000000"/>
                <w:vertAlign w:val="superscript"/>
                <w:lang w:val="es-ES"/>
              </w:rPr>
              <w:t>2</w:t>
            </w:r>
            <w:r w:rsidRPr="002D741C">
              <w:rPr>
                <w:color w:val="000000"/>
                <w:lang w:val="es-ES"/>
              </w:rPr>
              <w:t xml:space="preserve"> IV o PO q6h x 6 dosis)iii: Días 2 y 3</w:t>
            </w:r>
          </w:p>
          <w:p w14:paraId="67556F6F" w14:textId="77777777" w:rsidR="00C45062" w:rsidRPr="002D741C" w:rsidRDefault="00C45062" w:rsidP="00F22369">
            <w:pPr>
              <w:pStyle w:val="EndnoteText"/>
              <w:widowControl w:val="0"/>
              <w:rPr>
                <w:color w:val="000000"/>
                <w:lang w:val="es-ES"/>
              </w:rPr>
            </w:pPr>
            <w:r w:rsidRPr="002D741C">
              <w:rPr>
                <w:color w:val="000000"/>
                <w:lang w:val="es-ES"/>
              </w:rPr>
              <w:t xml:space="preserve">Triple terapia </w:t>
            </w:r>
            <w:smartTag w:uri="urn:schemas-microsoft-com:office:smarttags" w:element="PersonName">
              <w:r w:rsidRPr="002D741C">
                <w:rPr>
                  <w:color w:val="000000"/>
                  <w:lang w:val="es-ES"/>
                </w:rPr>
                <w:t>IT</w:t>
              </w:r>
            </w:smartTag>
            <w:r w:rsidRPr="002D741C">
              <w:rPr>
                <w:color w:val="000000"/>
                <w:lang w:val="es-ES"/>
              </w:rPr>
              <w:t xml:space="preserve"> (ajustada por edad): día 1</w:t>
            </w:r>
          </w:p>
          <w:p w14:paraId="53A0E1AB" w14:textId="77777777" w:rsidR="00C45062" w:rsidRPr="002D741C" w:rsidRDefault="00C45062" w:rsidP="00F22369">
            <w:pPr>
              <w:pStyle w:val="EndnoteText"/>
              <w:widowControl w:val="0"/>
              <w:rPr>
                <w:color w:val="000000"/>
                <w:lang w:val="es-ES"/>
              </w:rPr>
            </w:pPr>
            <w:r w:rsidRPr="002D741C">
              <w:rPr>
                <w:color w:val="000000"/>
                <w:lang w:val="es-ES"/>
              </w:rPr>
              <w:t>ARA-C (3 g/m</w:t>
            </w:r>
            <w:r w:rsidRPr="002D741C">
              <w:rPr>
                <w:color w:val="000000"/>
                <w:vertAlign w:val="superscript"/>
                <w:lang w:val="es-ES"/>
              </w:rPr>
              <w:t>2</w:t>
            </w:r>
            <w:r w:rsidRPr="002D741C">
              <w:rPr>
                <w:color w:val="000000"/>
                <w:lang w:val="es-ES"/>
              </w:rPr>
              <w:t>/dosis q 12 h x 4, IV): días 2 y 3</w:t>
            </w:r>
          </w:p>
          <w:p w14:paraId="5DFE4FFC" w14:textId="77777777" w:rsidR="00C45062" w:rsidRPr="002D741C" w:rsidRDefault="00C45062" w:rsidP="00F22369">
            <w:pPr>
              <w:pStyle w:val="EndnoteText"/>
              <w:widowControl w:val="0"/>
              <w:rPr>
                <w:color w:val="000000"/>
                <w:lang w:val="es-ES"/>
              </w:rPr>
            </w:pPr>
            <w:r w:rsidRPr="002D741C">
              <w:rPr>
                <w:color w:val="000000"/>
                <w:lang w:val="es-ES"/>
              </w:rPr>
              <w:t>G-CSF (5 </w:t>
            </w:r>
            <w:r w:rsidRPr="002D741C">
              <w:rPr>
                <w:color w:val="000000"/>
              </w:rPr>
              <w:t>μ</w:t>
            </w:r>
            <w:r w:rsidRPr="002D741C">
              <w:rPr>
                <w:color w:val="000000"/>
                <w:lang w:val="es-ES"/>
              </w:rPr>
              <w:t>g/kg, SC): días 4-13 o hasta RAN&gt; 1500 post nadir</w:t>
            </w:r>
          </w:p>
        </w:tc>
      </w:tr>
      <w:tr w:rsidR="00C45062" w:rsidRPr="002D741C" w14:paraId="342C9726" w14:textId="77777777" w:rsidTr="00AD13BE">
        <w:trPr>
          <w:cantSplit/>
        </w:trPr>
        <w:tc>
          <w:tcPr>
            <w:tcW w:w="2358" w:type="dxa"/>
            <w:shd w:val="clear" w:color="auto" w:fill="auto"/>
          </w:tcPr>
          <w:p w14:paraId="00697982" w14:textId="77777777" w:rsidR="00C45062" w:rsidRPr="002D741C" w:rsidRDefault="00C45062" w:rsidP="00F22369">
            <w:pPr>
              <w:pStyle w:val="EndnoteText"/>
              <w:widowControl w:val="0"/>
              <w:rPr>
                <w:color w:val="000000"/>
              </w:rPr>
            </w:pPr>
            <w:r w:rsidRPr="002D741C">
              <w:rPr>
                <w:color w:val="000000"/>
              </w:rPr>
              <w:t>Bloque 1 de reinducción</w:t>
            </w:r>
          </w:p>
          <w:p w14:paraId="69672221" w14:textId="77777777" w:rsidR="00C45062" w:rsidRPr="002D741C" w:rsidRDefault="00C45062" w:rsidP="00F22369">
            <w:pPr>
              <w:pStyle w:val="EndnoteText"/>
              <w:widowControl w:val="0"/>
              <w:rPr>
                <w:color w:val="000000"/>
              </w:rPr>
            </w:pPr>
            <w:r w:rsidRPr="002D741C">
              <w:rPr>
                <w:color w:val="000000"/>
              </w:rPr>
              <w:t>(3 semanas)</w:t>
            </w:r>
          </w:p>
        </w:tc>
        <w:tc>
          <w:tcPr>
            <w:tcW w:w="6929" w:type="dxa"/>
            <w:shd w:val="clear" w:color="auto" w:fill="auto"/>
          </w:tcPr>
          <w:p w14:paraId="34953327" w14:textId="77777777" w:rsidR="00C45062" w:rsidRPr="002D741C" w:rsidRDefault="00C45062" w:rsidP="00F22369">
            <w:pPr>
              <w:pStyle w:val="EndnoteText"/>
              <w:widowControl w:val="0"/>
              <w:rPr>
                <w:color w:val="000000"/>
                <w:lang w:val="es-ES"/>
              </w:rPr>
            </w:pPr>
            <w:r w:rsidRPr="002D741C">
              <w:rPr>
                <w:color w:val="000000"/>
                <w:lang w:val="es-ES"/>
              </w:rPr>
              <w:t>VCR (1,5 mg/m</w:t>
            </w:r>
            <w:r w:rsidRPr="002D741C">
              <w:rPr>
                <w:color w:val="000000"/>
                <w:vertAlign w:val="superscript"/>
                <w:lang w:val="es-ES"/>
              </w:rPr>
              <w:t>2</w:t>
            </w:r>
            <w:r w:rsidRPr="002D741C">
              <w:rPr>
                <w:color w:val="000000"/>
                <w:lang w:val="es-ES"/>
              </w:rPr>
              <w:t>/día, IV): días 1, 8, y 15</w:t>
            </w:r>
          </w:p>
          <w:p w14:paraId="5AD837F5" w14:textId="77777777" w:rsidR="00C45062" w:rsidRPr="002D741C" w:rsidRDefault="00C45062" w:rsidP="00F22369">
            <w:pPr>
              <w:pStyle w:val="EndnoteText"/>
              <w:widowControl w:val="0"/>
              <w:rPr>
                <w:color w:val="000000"/>
                <w:lang w:val="es-ES"/>
              </w:rPr>
            </w:pPr>
            <w:r w:rsidRPr="002D741C">
              <w:rPr>
                <w:color w:val="000000"/>
                <w:lang w:val="es-ES"/>
              </w:rPr>
              <w:t>DAUN (45 mg/m</w:t>
            </w:r>
            <w:r w:rsidRPr="002D741C">
              <w:rPr>
                <w:color w:val="000000"/>
                <w:vertAlign w:val="superscript"/>
                <w:lang w:val="es-ES"/>
              </w:rPr>
              <w:t>2</w:t>
            </w:r>
            <w:r w:rsidRPr="002D741C">
              <w:rPr>
                <w:color w:val="000000"/>
                <w:lang w:val="es-ES"/>
              </w:rPr>
              <w:t>/día bolus, IV): días 1 y 2</w:t>
            </w:r>
          </w:p>
          <w:p w14:paraId="33E79536" w14:textId="77777777" w:rsidR="00C45062" w:rsidRPr="002D741C" w:rsidRDefault="00C45062" w:rsidP="00F22369">
            <w:pPr>
              <w:pStyle w:val="EndnoteText"/>
              <w:widowControl w:val="0"/>
              <w:rPr>
                <w:color w:val="000000"/>
                <w:lang w:val="es-ES"/>
              </w:rPr>
            </w:pPr>
            <w:r w:rsidRPr="002D741C">
              <w:rPr>
                <w:color w:val="000000"/>
                <w:lang w:val="es-ES"/>
              </w:rPr>
              <w:t>CPM (250 mg/m</w:t>
            </w:r>
            <w:r w:rsidRPr="002D741C">
              <w:rPr>
                <w:color w:val="000000"/>
                <w:vertAlign w:val="superscript"/>
                <w:lang w:val="es-ES"/>
              </w:rPr>
              <w:t>2</w:t>
            </w:r>
            <w:r w:rsidRPr="002D741C">
              <w:rPr>
                <w:color w:val="000000"/>
                <w:lang w:val="es-ES"/>
              </w:rPr>
              <w:t>/dosis q12h x 4 dosis, IV): días 3 y 4</w:t>
            </w:r>
          </w:p>
          <w:p w14:paraId="5653FEF9" w14:textId="77777777" w:rsidR="00C45062" w:rsidRPr="002D741C" w:rsidRDefault="00C45062" w:rsidP="00F22369">
            <w:pPr>
              <w:pStyle w:val="EndnoteText"/>
              <w:widowControl w:val="0"/>
              <w:rPr>
                <w:color w:val="000000"/>
                <w:lang w:val="de-DE"/>
              </w:rPr>
            </w:pPr>
            <w:r w:rsidRPr="002D741C">
              <w:rPr>
                <w:color w:val="000000"/>
                <w:lang w:val="de-DE"/>
              </w:rPr>
              <w:t>PEG-ASP (2500 UI/m</w:t>
            </w:r>
            <w:r w:rsidRPr="002D741C">
              <w:rPr>
                <w:color w:val="000000"/>
                <w:vertAlign w:val="superscript"/>
                <w:lang w:val="de-DE"/>
              </w:rPr>
              <w:t>2</w:t>
            </w:r>
            <w:r w:rsidRPr="002D741C">
              <w:rPr>
                <w:color w:val="000000"/>
                <w:lang w:val="de-DE"/>
              </w:rPr>
              <w:t>, IM): día 4</w:t>
            </w:r>
          </w:p>
          <w:p w14:paraId="6F6985CC" w14:textId="77777777" w:rsidR="00C45062" w:rsidRPr="002D741C" w:rsidRDefault="00C45062" w:rsidP="00F22369">
            <w:pPr>
              <w:pStyle w:val="EndnoteText"/>
              <w:widowControl w:val="0"/>
              <w:rPr>
                <w:color w:val="000000"/>
                <w:lang w:val="es-ES"/>
              </w:rPr>
            </w:pPr>
            <w:r w:rsidRPr="002D741C">
              <w:rPr>
                <w:color w:val="000000"/>
                <w:lang w:val="es-ES"/>
              </w:rPr>
              <w:t>G-CSF (5 </w:t>
            </w:r>
            <w:r w:rsidRPr="002D741C">
              <w:rPr>
                <w:color w:val="000000"/>
              </w:rPr>
              <w:t>μ</w:t>
            </w:r>
            <w:r w:rsidRPr="002D741C">
              <w:rPr>
                <w:color w:val="000000"/>
                <w:lang w:val="es-ES"/>
              </w:rPr>
              <w:t>g/kg, SC): días 5</w:t>
            </w:r>
            <w:r w:rsidRPr="002D741C">
              <w:rPr>
                <w:color w:val="000000"/>
                <w:lang w:val="es-ES"/>
              </w:rPr>
              <w:noBreakHyphen/>
              <w:t>14 o hasta RAN &gt; 1500 post nadir</w:t>
            </w:r>
          </w:p>
          <w:p w14:paraId="3E3EE02A" w14:textId="77777777" w:rsidR="00C45062" w:rsidRPr="002D741C" w:rsidRDefault="00C45062" w:rsidP="00F22369">
            <w:pPr>
              <w:pStyle w:val="EndnoteText"/>
              <w:widowControl w:val="0"/>
              <w:rPr>
                <w:color w:val="000000"/>
                <w:lang w:val="es-ES"/>
              </w:rPr>
            </w:pPr>
            <w:r w:rsidRPr="002D741C">
              <w:rPr>
                <w:color w:val="000000"/>
                <w:lang w:val="es-ES"/>
              </w:rPr>
              <w:t xml:space="preserve">Triple terapia </w:t>
            </w:r>
            <w:smartTag w:uri="urn:schemas-microsoft-com:office:smarttags" w:element="PersonName">
              <w:r w:rsidRPr="002D741C">
                <w:rPr>
                  <w:color w:val="000000"/>
                  <w:lang w:val="es-ES"/>
                </w:rPr>
                <w:t>IT</w:t>
              </w:r>
            </w:smartTag>
            <w:r w:rsidRPr="002D741C">
              <w:rPr>
                <w:color w:val="000000"/>
                <w:lang w:val="es-ES"/>
              </w:rPr>
              <w:t xml:space="preserve"> (ajustada por edad): días 1 y 15</w:t>
            </w:r>
          </w:p>
          <w:p w14:paraId="0D2A8B3F" w14:textId="77777777" w:rsidR="00C45062" w:rsidRPr="002D741C" w:rsidRDefault="00C45062" w:rsidP="00F22369">
            <w:pPr>
              <w:pStyle w:val="EndnoteText"/>
              <w:widowControl w:val="0"/>
              <w:rPr>
                <w:color w:val="000000"/>
                <w:lang w:val="es-ES"/>
              </w:rPr>
            </w:pPr>
            <w:smartTag w:uri="urn:schemas-microsoft-com:office:smarttags" w:element="PersonName">
              <w:r w:rsidRPr="002D741C">
                <w:rPr>
                  <w:color w:val="000000"/>
                  <w:lang w:val="es-ES"/>
                </w:rPr>
                <w:t>DE</w:t>
              </w:r>
            </w:smartTag>
            <w:r w:rsidRPr="002D741C">
              <w:rPr>
                <w:color w:val="000000"/>
                <w:lang w:val="es-ES"/>
              </w:rPr>
              <w:t>X (6 mg/m</w:t>
            </w:r>
            <w:r w:rsidRPr="002D741C">
              <w:rPr>
                <w:color w:val="000000"/>
                <w:vertAlign w:val="superscript"/>
                <w:lang w:val="es-ES"/>
              </w:rPr>
              <w:t>2</w:t>
            </w:r>
            <w:r w:rsidRPr="002D741C">
              <w:rPr>
                <w:color w:val="000000"/>
                <w:lang w:val="es-ES"/>
              </w:rPr>
              <w:t>/día, PO): días 1</w:t>
            </w:r>
            <w:r w:rsidRPr="002D741C">
              <w:rPr>
                <w:color w:val="000000"/>
                <w:lang w:val="es-ES"/>
              </w:rPr>
              <w:noBreakHyphen/>
              <w:t>7 y 15</w:t>
            </w:r>
            <w:r w:rsidRPr="002D741C">
              <w:rPr>
                <w:color w:val="000000"/>
                <w:lang w:val="es-ES"/>
              </w:rPr>
              <w:noBreakHyphen/>
              <w:t>21</w:t>
            </w:r>
          </w:p>
        </w:tc>
      </w:tr>
      <w:tr w:rsidR="00C45062" w:rsidRPr="008D0368" w14:paraId="2378A0F7" w14:textId="77777777" w:rsidTr="00AD13BE">
        <w:trPr>
          <w:cantSplit/>
        </w:trPr>
        <w:tc>
          <w:tcPr>
            <w:tcW w:w="2358" w:type="dxa"/>
            <w:shd w:val="clear" w:color="auto" w:fill="auto"/>
          </w:tcPr>
          <w:p w14:paraId="2DAF6D8A" w14:textId="77777777" w:rsidR="00C45062" w:rsidRPr="002D741C" w:rsidRDefault="00C45062" w:rsidP="00F22369">
            <w:pPr>
              <w:pStyle w:val="EndnoteText"/>
              <w:widowControl w:val="0"/>
              <w:rPr>
                <w:color w:val="000000"/>
              </w:rPr>
            </w:pPr>
            <w:r w:rsidRPr="002D741C">
              <w:rPr>
                <w:color w:val="000000"/>
              </w:rPr>
              <w:lastRenderedPageBreak/>
              <w:t xml:space="preserve">Bloque 1 de intensificación </w:t>
            </w:r>
          </w:p>
          <w:p w14:paraId="3E0A0DB7" w14:textId="77777777" w:rsidR="00C45062" w:rsidRPr="002D741C" w:rsidRDefault="00C45062" w:rsidP="00F22369">
            <w:pPr>
              <w:pStyle w:val="EndnoteText"/>
              <w:widowControl w:val="0"/>
              <w:rPr>
                <w:color w:val="000000"/>
              </w:rPr>
            </w:pPr>
            <w:r w:rsidRPr="002D741C">
              <w:rPr>
                <w:color w:val="000000"/>
              </w:rPr>
              <w:t>(9 semanas)</w:t>
            </w:r>
          </w:p>
        </w:tc>
        <w:tc>
          <w:tcPr>
            <w:tcW w:w="6929" w:type="dxa"/>
            <w:shd w:val="clear" w:color="auto" w:fill="auto"/>
          </w:tcPr>
          <w:p w14:paraId="22BD035E" w14:textId="77777777" w:rsidR="00C45062" w:rsidRPr="002D741C" w:rsidRDefault="00C45062" w:rsidP="00F22369">
            <w:pPr>
              <w:pStyle w:val="EndnoteText"/>
              <w:widowControl w:val="0"/>
              <w:rPr>
                <w:color w:val="000000"/>
                <w:lang w:val="es-ES"/>
              </w:rPr>
            </w:pPr>
            <w:r w:rsidRPr="002D741C">
              <w:rPr>
                <w:color w:val="000000"/>
                <w:lang w:val="es-ES"/>
              </w:rPr>
              <w:t>Metotrexato (5 g/m</w:t>
            </w:r>
            <w:r w:rsidRPr="002D741C">
              <w:rPr>
                <w:color w:val="000000"/>
                <w:vertAlign w:val="superscript"/>
                <w:lang w:val="es-ES"/>
              </w:rPr>
              <w:t>2</w:t>
            </w:r>
            <w:r w:rsidRPr="002D741C">
              <w:rPr>
                <w:color w:val="000000"/>
                <w:lang w:val="es-ES"/>
              </w:rPr>
              <w:t xml:space="preserve"> durante 24 horas, IV): días 1 y 15</w:t>
            </w:r>
          </w:p>
          <w:p w14:paraId="4836F77A" w14:textId="77777777" w:rsidR="00C45062" w:rsidRPr="002D741C" w:rsidRDefault="00C45062" w:rsidP="00F22369">
            <w:pPr>
              <w:pStyle w:val="EndnoteText"/>
              <w:widowControl w:val="0"/>
              <w:rPr>
                <w:color w:val="000000"/>
                <w:lang w:val="es-ES"/>
              </w:rPr>
            </w:pPr>
            <w:r w:rsidRPr="002D741C">
              <w:rPr>
                <w:color w:val="000000"/>
                <w:lang w:val="es-ES"/>
              </w:rPr>
              <w:t>Leucovorina (75 mg/m</w:t>
            </w:r>
            <w:r w:rsidRPr="002D741C">
              <w:rPr>
                <w:color w:val="000000"/>
                <w:vertAlign w:val="superscript"/>
                <w:lang w:val="es-ES"/>
              </w:rPr>
              <w:t>2</w:t>
            </w:r>
            <w:r w:rsidRPr="002D741C">
              <w:rPr>
                <w:color w:val="000000"/>
                <w:lang w:val="es-ES"/>
              </w:rPr>
              <w:t xml:space="preserve"> a la hora 36, IV; 15 mg/m</w:t>
            </w:r>
            <w:r w:rsidRPr="002D741C">
              <w:rPr>
                <w:color w:val="000000"/>
                <w:vertAlign w:val="superscript"/>
                <w:lang w:val="es-ES"/>
              </w:rPr>
              <w:t>2</w:t>
            </w:r>
            <w:r w:rsidRPr="002D741C">
              <w:rPr>
                <w:color w:val="000000"/>
                <w:lang w:val="es-ES"/>
              </w:rPr>
              <w:t xml:space="preserve"> IV o PO q6h x 6 dosis)iii: Días 2, 3, 16, y 17</w:t>
            </w:r>
          </w:p>
          <w:p w14:paraId="7FC0E459" w14:textId="77777777" w:rsidR="00C45062" w:rsidRPr="002D741C" w:rsidRDefault="00C45062" w:rsidP="00F22369">
            <w:pPr>
              <w:pStyle w:val="EndnoteText"/>
              <w:widowControl w:val="0"/>
              <w:rPr>
                <w:color w:val="000000"/>
                <w:lang w:val="es-ES"/>
              </w:rPr>
            </w:pPr>
            <w:r w:rsidRPr="002D741C">
              <w:rPr>
                <w:color w:val="000000"/>
                <w:lang w:val="es-ES"/>
              </w:rPr>
              <w:t xml:space="preserve">Triple terapia </w:t>
            </w:r>
            <w:smartTag w:uri="urn:schemas-microsoft-com:office:smarttags" w:element="PersonName">
              <w:r w:rsidRPr="002D741C">
                <w:rPr>
                  <w:color w:val="000000"/>
                  <w:lang w:val="es-ES"/>
                </w:rPr>
                <w:t>IT</w:t>
              </w:r>
            </w:smartTag>
            <w:r w:rsidRPr="002D741C">
              <w:rPr>
                <w:color w:val="000000"/>
                <w:lang w:val="es-ES"/>
              </w:rPr>
              <w:t xml:space="preserve"> (ajustada por edad): días 1 y 22</w:t>
            </w:r>
          </w:p>
          <w:p w14:paraId="26053327" w14:textId="77777777" w:rsidR="00C45062" w:rsidRPr="002D741C" w:rsidRDefault="00C45062" w:rsidP="00F22369">
            <w:pPr>
              <w:pStyle w:val="EndnoteText"/>
              <w:widowControl w:val="0"/>
              <w:rPr>
                <w:color w:val="000000"/>
                <w:lang w:val="es-ES"/>
              </w:rPr>
            </w:pPr>
            <w:r w:rsidRPr="002D741C">
              <w:rPr>
                <w:color w:val="000000"/>
                <w:lang w:val="es-ES"/>
              </w:rPr>
              <w:t>VP-16 (100 mg/m</w:t>
            </w:r>
            <w:r w:rsidRPr="002D741C">
              <w:rPr>
                <w:color w:val="000000"/>
                <w:vertAlign w:val="superscript"/>
                <w:lang w:val="es-ES"/>
              </w:rPr>
              <w:t>2</w:t>
            </w:r>
            <w:r w:rsidRPr="002D741C">
              <w:rPr>
                <w:color w:val="000000"/>
                <w:lang w:val="es-ES"/>
              </w:rPr>
              <w:t>/día, IV): días 22</w:t>
            </w:r>
            <w:r w:rsidRPr="002D741C">
              <w:rPr>
                <w:color w:val="000000"/>
                <w:lang w:val="es-ES"/>
              </w:rPr>
              <w:noBreakHyphen/>
              <w:t>26</w:t>
            </w:r>
          </w:p>
          <w:p w14:paraId="30882CB8" w14:textId="77777777" w:rsidR="00C45062" w:rsidRPr="002D741C" w:rsidRDefault="00C45062" w:rsidP="00F22369">
            <w:pPr>
              <w:pStyle w:val="EndnoteText"/>
              <w:widowControl w:val="0"/>
              <w:rPr>
                <w:color w:val="000000"/>
                <w:lang w:val="es-ES"/>
              </w:rPr>
            </w:pPr>
            <w:r w:rsidRPr="002D741C">
              <w:rPr>
                <w:color w:val="000000"/>
                <w:lang w:val="es-ES"/>
              </w:rPr>
              <w:t>CPM (300 mg/m</w:t>
            </w:r>
            <w:r w:rsidRPr="002D741C">
              <w:rPr>
                <w:color w:val="000000"/>
                <w:vertAlign w:val="superscript"/>
                <w:lang w:val="es-ES"/>
              </w:rPr>
              <w:t>2</w:t>
            </w:r>
            <w:r w:rsidRPr="002D741C">
              <w:rPr>
                <w:color w:val="000000"/>
                <w:lang w:val="es-ES"/>
              </w:rPr>
              <w:t>/día, IV): días 22</w:t>
            </w:r>
            <w:r w:rsidRPr="002D741C">
              <w:rPr>
                <w:color w:val="000000"/>
                <w:lang w:val="es-ES"/>
              </w:rPr>
              <w:noBreakHyphen/>
              <w:t>26</w:t>
            </w:r>
          </w:p>
          <w:p w14:paraId="7328689B" w14:textId="77777777" w:rsidR="00C45062" w:rsidRPr="002D741C" w:rsidRDefault="00C45062" w:rsidP="00F22369">
            <w:pPr>
              <w:pStyle w:val="EndnoteText"/>
              <w:widowControl w:val="0"/>
              <w:rPr>
                <w:color w:val="000000"/>
                <w:lang w:val="es-ES"/>
              </w:rPr>
            </w:pPr>
            <w:r w:rsidRPr="002D741C">
              <w:rPr>
                <w:color w:val="000000"/>
                <w:lang w:val="es-ES"/>
              </w:rPr>
              <w:t>MESNA (150 mg/m</w:t>
            </w:r>
            <w:r w:rsidRPr="002D741C">
              <w:rPr>
                <w:color w:val="000000"/>
                <w:vertAlign w:val="superscript"/>
                <w:lang w:val="es-ES"/>
              </w:rPr>
              <w:t>2</w:t>
            </w:r>
            <w:r w:rsidRPr="002D741C">
              <w:rPr>
                <w:color w:val="000000"/>
                <w:lang w:val="es-ES"/>
              </w:rPr>
              <w:t>/día, IV): días 22</w:t>
            </w:r>
            <w:r w:rsidRPr="002D741C">
              <w:rPr>
                <w:color w:val="000000"/>
                <w:lang w:val="es-ES"/>
              </w:rPr>
              <w:noBreakHyphen/>
              <w:t>26</w:t>
            </w:r>
          </w:p>
          <w:p w14:paraId="7041F35F" w14:textId="77777777" w:rsidR="00C45062" w:rsidRPr="002D741C" w:rsidRDefault="00C45062" w:rsidP="00F22369">
            <w:pPr>
              <w:pStyle w:val="EndnoteText"/>
              <w:widowControl w:val="0"/>
              <w:rPr>
                <w:color w:val="000000"/>
                <w:lang w:val="es-ES"/>
              </w:rPr>
            </w:pPr>
            <w:r w:rsidRPr="002D741C">
              <w:rPr>
                <w:color w:val="000000"/>
                <w:lang w:val="es-ES"/>
              </w:rPr>
              <w:t>G-CSF (5 </w:t>
            </w:r>
            <w:r w:rsidRPr="002D741C">
              <w:rPr>
                <w:color w:val="000000"/>
              </w:rPr>
              <w:t>μ</w:t>
            </w:r>
            <w:r w:rsidRPr="002D741C">
              <w:rPr>
                <w:color w:val="000000"/>
                <w:lang w:val="es-ES"/>
              </w:rPr>
              <w:t>g/kg, SC): días 27-36 o hasta RAN &gt; 1500 post nadir</w:t>
            </w:r>
          </w:p>
          <w:p w14:paraId="2D228776" w14:textId="77777777" w:rsidR="00C45062" w:rsidRPr="002D741C" w:rsidRDefault="00C45062" w:rsidP="00F22369">
            <w:pPr>
              <w:pStyle w:val="EndnoteText"/>
              <w:widowControl w:val="0"/>
              <w:rPr>
                <w:color w:val="000000"/>
                <w:lang w:val="pt-BR"/>
              </w:rPr>
            </w:pPr>
            <w:r w:rsidRPr="002D741C">
              <w:rPr>
                <w:color w:val="000000"/>
                <w:lang w:val="pt-BR"/>
              </w:rPr>
              <w:t>ARA-C (3 g/m</w:t>
            </w:r>
            <w:r w:rsidRPr="002D741C">
              <w:rPr>
                <w:color w:val="000000"/>
                <w:vertAlign w:val="superscript"/>
                <w:lang w:val="pt-BR"/>
              </w:rPr>
              <w:t>2</w:t>
            </w:r>
            <w:r w:rsidRPr="002D741C">
              <w:rPr>
                <w:color w:val="000000"/>
                <w:lang w:val="pt-BR"/>
              </w:rPr>
              <w:t>, q12h, IV): días 43, 44</w:t>
            </w:r>
          </w:p>
          <w:p w14:paraId="20B38EC3" w14:textId="77777777" w:rsidR="00C45062" w:rsidRPr="002D741C" w:rsidRDefault="00C45062" w:rsidP="00F22369">
            <w:pPr>
              <w:pStyle w:val="EndnoteText"/>
              <w:widowControl w:val="0"/>
              <w:rPr>
                <w:color w:val="000000"/>
                <w:lang w:val="de-DE"/>
              </w:rPr>
            </w:pPr>
            <w:r w:rsidRPr="002D741C">
              <w:rPr>
                <w:color w:val="000000"/>
                <w:lang w:val="de-DE"/>
              </w:rPr>
              <w:t>L-ASP (6000 UI/m</w:t>
            </w:r>
            <w:r w:rsidRPr="002D741C">
              <w:rPr>
                <w:color w:val="000000"/>
                <w:vertAlign w:val="superscript"/>
                <w:lang w:val="de-DE"/>
              </w:rPr>
              <w:t>2</w:t>
            </w:r>
            <w:r w:rsidRPr="002D741C">
              <w:rPr>
                <w:color w:val="000000"/>
                <w:lang w:val="de-DE"/>
              </w:rPr>
              <w:t>, IM): día 44</w:t>
            </w:r>
          </w:p>
        </w:tc>
      </w:tr>
      <w:tr w:rsidR="00C45062" w:rsidRPr="002D741C" w14:paraId="7355DC8A" w14:textId="77777777" w:rsidTr="00AD13BE">
        <w:trPr>
          <w:cantSplit/>
        </w:trPr>
        <w:tc>
          <w:tcPr>
            <w:tcW w:w="2358" w:type="dxa"/>
            <w:shd w:val="clear" w:color="auto" w:fill="auto"/>
          </w:tcPr>
          <w:p w14:paraId="65C3DA34" w14:textId="77777777" w:rsidR="00C45062" w:rsidRPr="002D741C" w:rsidRDefault="00C45062" w:rsidP="00F22369">
            <w:pPr>
              <w:pStyle w:val="EndnoteText"/>
              <w:widowControl w:val="0"/>
              <w:rPr>
                <w:color w:val="000000"/>
              </w:rPr>
            </w:pPr>
            <w:r w:rsidRPr="002D741C">
              <w:rPr>
                <w:color w:val="000000"/>
              </w:rPr>
              <w:t>Bloque 2 de reinducción</w:t>
            </w:r>
          </w:p>
          <w:p w14:paraId="2596D8C1" w14:textId="77777777" w:rsidR="00C45062" w:rsidRPr="002D741C" w:rsidRDefault="00C45062" w:rsidP="00F22369">
            <w:pPr>
              <w:pStyle w:val="EndnoteText"/>
              <w:widowControl w:val="0"/>
              <w:rPr>
                <w:color w:val="000000"/>
              </w:rPr>
            </w:pPr>
            <w:r w:rsidRPr="002D741C">
              <w:rPr>
                <w:color w:val="000000"/>
              </w:rPr>
              <w:t>(3 semanas)</w:t>
            </w:r>
          </w:p>
        </w:tc>
        <w:tc>
          <w:tcPr>
            <w:tcW w:w="6929" w:type="dxa"/>
            <w:shd w:val="clear" w:color="auto" w:fill="auto"/>
          </w:tcPr>
          <w:p w14:paraId="2706321E" w14:textId="77777777" w:rsidR="00C45062" w:rsidRPr="002D741C" w:rsidRDefault="00C45062" w:rsidP="00F22369">
            <w:pPr>
              <w:pStyle w:val="EndnoteText"/>
              <w:widowControl w:val="0"/>
              <w:rPr>
                <w:color w:val="000000"/>
                <w:lang w:val="es-ES"/>
              </w:rPr>
            </w:pPr>
            <w:r w:rsidRPr="002D741C">
              <w:rPr>
                <w:color w:val="000000"/>
                <w:lang w:val="es-ES"/>
              </w:rPr>
              <w:t>VCR (1,5 mg/m</w:t>
            </w:r>
            <w:r w:rsidRPr="002D741C">
              <w:rPr>
                <w:color w:val="000000"/>
                <w:vertAlign w:val="superscript"/>
                <w:lang w:val="es-ES"/>
              </w:rPr>
              <w:t>2</w:t>
            </w:r>
            <w:r w:rsidRPr="002D741C">
              <w:rPr>
                <w:color w:val="000000"/>
                <w:lang w:val="es-ES"/>
              </w:rPr>
              <w:t>/día, IV): días 1, 8 y 15</w:t>
            </w:r>
          </w:p>
          <w:p w14:paraId="33BD5FBF" w14:textId="77777777" w:rsidR="00C45062" w:rsidRPr="002D741C" w:rsidRDefault="00C45062" w:rsidP="00F22369">
            <w:pPr>
              <w:pStyle w:val="EndnoteText"/>
              <w:widowControl w:val="0"/>
              <w:rPr>
                <w:color w:val="000000"/>
                <w:lang w:val="es-ES"/>
              </w:rPr>
            </w:pPr>
            <w:r w:rsidRPr="002D741C">
              <w:rPr>
                <w:color w:val="000000"/>
                <w:lang w:val="es-ES"/>
              </w:rPr>
              <w:t>DAUN (45 mg/m</w:t>
            </w:r>
            <w:r w:rsidRPr="002D741C">
              <w:rPr>
                <w:color w:val="000000"/>
                <w:vertAlign w:val="superscript"/>
                <w:lang w:val="es-ES"/>
              </w:rPr>
              <w:t>2</w:t>
            </w:r>
            <w:r w:rsidRPr="002D741C">
              <w:rPr>
                <w:color w:val="000000"/>
                <w:lang w:val="es-ES"/>
              </w:rPr>
              <w:t>/día bolus, IV): días 1 and 2</w:t>
            </w:r>
          </w:p>
          <w:p w14:paraId="030EFABB" w14:textId="77777777" w:rsidR="00C45062" w:rsidRPr="002D741C" w:rsidRDefault="00C45062" w:rsidP="00F22369">
            <w:pPr>
              <w:pStyle w:val="EndnoteText"/>
              <w:widowControl w:val="0"/>
              <w:rPr>
                <w:color w:val="000000"/>
                <w:lang w:val="es-ES"/>
              </w:rPr>
            </w:pPr>
            <w:r w:rsidRPr="002D741C">
              <w:rPr>
                <w:color w:val="000000"/>
                <w:lang w:val="es-ES"/>
              </w:rPr>
              <w:t>CPM (250 mg/m</w:t>
            </w:r>
            <w:r w:rsidRPr="002D741C">
              <w:rPr>
                <w:color w:val="000000"/>
                <w:vertAlign w:val="superscript"/>
                <w:lang w:val="es-ES"/>
              </w:rPr>
              <w:t>2</w:t>
            </w:r>
            <w:r w:rsidRPr="002D741C">
              <w:rPr>
                <w:color w:val="000000"/>
                <w:lang w:val="es-ES"/>
              </w:rPr>
              <w:t>/dosis q12h x 4 dosis, iv): Días 3 y 4</w:t>
            </w:r>
          </w:p>
          <w:p w14:paraId="70B59153" w14:textId="77777777" w:rsidR="00C45062" w:rsidRPr="002D741C" w:rsidRDefault="00C45062" w:rsidP="00F22369">
            <w:pPr>
              <w:pStyle w:val="EndnoteText"/>
              <w:widowControl w:val="0"/>
              <w:rPr>
                <w:color w:val="000000"/>
                <w:lang w:val="de-DE"/>
              </w:rPr>
            </w:pPr>
            <w:r w:rsidRPr="002D741C">
              <w:rPr>
                <w:color w:val="000000"/>
                <w:lang w:val="de-DE"/>
              </w:rPr>
              <w:t>PEG-ASP (2500 UI/m</w:t>
            </w:r>
            <w:r w:rsidRPr="002D741C">
              <w:rPr>
                <w:color w:val="000000"/>
                <w:vertAlign w:val="superscript"/>
                <w:lang w:val="de-DE"/>
              </w:rPr>
              <w:t>2</w:t>
            </w:r>
            <w:r w:rsidRPr="002D741C">
              <w:rPr>
                <w:color w:val="000000"/>
                <w:lang w:val="de-DE"/>
              </w:rPr>
              <w:t>, IM): día 4</w:t>
            </w:r>
          </w:p>
          <w:p w14:paraId="0095229B" w14:textId="77777777" w:rsidR="00C45062" w:rsidRPr="002D741C" w:rsidRDefault="00C45062" w:rsidP="00F22369">
            <w:pPr>
              <w:pStyle w:val="EndnoteText"/>
              <w:widowControl w:val="0"/>
              <w:rPr>
                <w:color w:val="000000"/>
                <w:lang w:val="es-ES"/>
              </w:rPr>
            </w:pPr>
            <w:r w:rsidRPr="002D741C">
              <w:rPr>
                <w:color w:val="000000"/>
                <w:lang w:val="es-ES"/>
              </w:rPr>
              <w:t>G-CSF (5 </w:t>
            </w:r>
            <w:r w:rsidRPr="002D741C">
              <w:rPr>
                <w:color w:val="000000"/>
              </w:rPr>
              <w:t>μ</w:t>
            </w:r>
            <w:r w:rsidRPr="002D741C">
              <w:rPr>
                <w:color w:val="000000"/>
                <w:lang w:val="es-ES"/>
              </w:rPr>
              <w:t>g/kg, SC): días 5-14 o hasta RAN &gt; 1500 post nadir</w:t>
            </w:r>
          </w:p>
          <w:p w14:paraId="745D4BAE" w14:textId="77777777" w:rsidR="00C45062" w:rsidRPr="002D741C" w:rsidRDefault="00C45062" w:rsidP="00F22369">
            <w:pPr>
              <w:pStyle w:val="EndnoteText"/>
              <w:widowControl w:val="0"/>
              <w:rPr>
                <w:color w:val="000000"/>
                <w:lang w:val="es-ES"/>
              </w:rPr>
            </w:pPr>
            <w:r w:rsidRPr="002D741C">
              <w:rPr>
                <w:color w:val="000000"/>
                <w:lang w:val="es-ES"/>
              </w:rPr>
              <w:t xml:space="preserve">Triple terapia </w:t>
            </w:r>
            <w:smartTag w:uri="urn:schemas-microsoft-com:office:smarttags" w:element="PersonName">
              <w:r w:rsidRPr="002D741C">
                <w:rPr>
                  <w:color w:val="000000"/>
                  <w:lang w:val="es-ES"/>
                </w:rPr>
                <w:t>IT</w:t>
              </w:r>
            </w:smartTag>
            <w:r w:rsidRPr="002D741C">
              <w:rPr>
                <w:color w:val="000000"/>
                <w:lang w:val="es-ES"/>
              </w:rPr>
              <w:t xml:space="preserve"> (ajustada por edad): días 1 y 15</w:t>
            </w:r>
          </w:p>
          <w:p w14:paraId="3A2D34F8" w14:textId="77777777" w:rsidR="00C45062" w:rsidRPr="002D741C" w:rsidRDefault="00C45062" w:rsidP="00F22369">
            <w:pPr>
              <w:pStyle w:val="EndnoteText"/>
              <w:widowControl w:val="0"/>
              <w:rPr>
                <w:color w:val="000000"/>
                <w:lang w:val="es-ES"/>
              </w:rPr>
            </w:pPr>
            <w:smartTag w:uri="urn:schemas-microsoft-com:office:smarttags" w:element="PersonName">
              <w:r w:rsidRPr="002D741C">
                <w:rPr>
                  <w:color w:val="000000"/>
                  <w:lang w:val="es-ES"/>
                </w:rPr>
                <w:t>DE</w:t>
              </w:r>
            </w:smartTag>
            <w:r w:rsidRPr="002D741C">
              <w:rPr>
                <w:color w:val="000000"/>
                <w:lang w:val="es-ES"/>
              </w:rPr>
              <w:t>X (6 mg/m</w:t>
            </w:r>
            <w:r w:rsidRPr="002D741C">
              <w:rPr>
                <w:color w:val="000000"/>
                <w:vertAlign w:val="superscript"/>
                <w:lang w:val="es-ES"/>
              </w:rPr>
              <w:t>2</w:t>
            </w:r>
            <w:r w:rsidRPr="002D741C">
              <w:rPr>
                <w:color w:val="000000"/>
                <w:lang w:val="es-ES"/>
              </w:rPr>
              <w:t>/día, PO): días 1</w:t>
            </w:r>
            <w:r w:rsidRPr="002D741C">
              <w:rPr>
                <w:color w:val="000000"/>
                <w:lang w:val="es-ES"/>
              </w:rPr>
              <w:noBreakHyphen/>
              <w:t>7 y 15</w:t>
            </w:r>
            <w:r w:rsidRPr="002D741C">
              <w:rPr>
                <w:color w:val="000000"/>
                <w:lang w:val="es-ES"/>
              </w:rPr>
              <w:noBreakHyphen/>
              <w:t>21</w:t>
            </w:r>
          </w:p>
        </w:tc>
      </w:tr>
      <w:tr w:rsidR="00C45062" w:rsidRPr="008D0368" w14:paraId="137A5D8A" w14:textId="77777777" w:rsidTr="00AD13BE">
        <w:trPr>
          <w:cantSplit/>
        </w:trPr>
        <w:tc>
          <w:tcPr>
            <w:tcW w:w="2358" w:type="dxa"/>
            <w:shd w:val="clear" w:color="auto" w:fill="auto"/>
          </w:tcPr>
          <w:p w14:paraId="3FFAA127" w14:textId="77777777" w:rsidR="00C45062" w:rsidRPr="002D741C" w:rsidRDefault="00C45062" w:rsidP="00F22369">
            <w:pPr>
              <w:pStyle w:val="EndnoteText"/>
              <w:widowControl w:val="0"/>
              <w:rPr>
                <w:color w:val="000000"/>
              </w:rPr>
            </w:pPr>
            <w:r w:rsidRPr="002D741C">
              <w:rPr>
                <w:color w:val="000000"/>
              </w:rPr>
              <w:t>Bloque 2 de intensificación</w:t>
            </w:r>
          </w:p>
          <w:p w14:paraId="0D053B4C" w14:textId="77777777" w:rsidR="00C45062" w:rsidRPr="002D741C" w:rsidRDefault="00C45062" w:rsidP="00F22369">
            <w:pPr>
              <w:pStyle w:val="EndnoteText"/>
              <w:widowControl w:val="0"/>
              <w:rPr>
                <w:color w:val="000000"/>
              </w:rPr>
            </w:pPr>
            <w:r w:rsidRPr="002D741C">
              <w:rPr>
                <w:color w:val="000000"/>
              </w:rPr>
              <w:t>(9 semanas)</w:t>
            </w:r>
          </w:p>
        </w:tc>
        <w:tc>
          <w:tcPr>
            <w:tcW w:w="6929" w:type="dxa"/>
            <w:shd w:val="clear" w:color="auto" w:fill="auto"/>
          </w:tcPr>
          <w:p w14:paraId="1CC09C31" w14:textId="77777777" w:rsidR="00C45062" w:rsidRPr="002D741C" w:rsidRDefault="00C45062" w:rsidP="00F22369">
            <w:pPr>
              <w:pStyle w:val="EndnoteText"/>
              <w:widowControl w:val="0"/>
              <w:rPr>
                <w:color w:val="000000"/>
                <w:lang w:val="es-ES"/>
              </w:rPr>
            </w:pPr>
            <w:r w:rsidRPr="002D741C">
              <w:rPr>
                <w:color w:val="000000"/>
                <w:lang w:val="es-ES"/>
              </w:rPr>
              <w:t>Metotrexato (5 g/m</w:t>
            </w:r>
            <w:r w:rsidRPr="002D741C">
              <w:rPr>
                <w:color w:val="000000"/>
                <w:vertAlign w:val="superscript"/>
                <w:lang w:val="es-ES"/>
              </w:rPr>
              <w:t>2</w:t>
            </w:r>
            <w:r w:rsidRPr="002D741C">
              <w:rPr>
                <w:color w:val="000000"/>
                <w:lang w:val="es-ES"/>
              </w:rPr>
              <w:t xml:space="preserve"> durante 24 horas, IV): días 1 y 15</w:t>
            </w:r>
          </w:p>
          <w:p w14:paraId="2434C584" w14:textId="77777777" w:rsidR="00C45062" w:rsidRPr="002D741C" w:rsidRDefault="00C45062" w:rsidP="00F22369">
            <w:pPr>
              <w:pStyle w:val="EndnoteText"/>
              <w:widowControl w:val="0"/>
              <w:rPr>
                <w:color w:val="000000"/>
                <w:lang w:val="es-ES"/>
              </w:rPr>
            </w:pPr>
            <w:r w:rsidRPr="002D741C">
              <w:rPr>
                <w:color w:val="000000"/>
                <w:lang w:val="es-ES"/>
              </w:rPr>
              <w:t>Leucovorina (75 mg/m</w:t>
            </w:r>
            <w:r w:rsidRPr="002D741C">
              <w:rPr>
                <w:color w:val="000000"/>
                <w:vertAlign w:val="superscript"/>
                <w:lang w:val="es-ES"/>
              </w:rPr>
              <w:t>2</w:t>
            </w:r>
            <w:r w:rsidRPr="002D741C">
              <w:rPr>
                <w:color w:val="000000"/>
                <w:lang w:val="es-ES"/>
              </w:rPr>
              <w:t xml:space="preserve"> a la hora 36, IV; 15 mg/m</w:t>
            </w:r>
            <w:r w:rsidRPr="002D741C">
              <w:rPr>
                <w:color w:val="000000"/>
                <w:vertAlign w:val="superscript"/>
                <w:lang w:val="es-ES"/>
              </w:rPr>
              <w:t>2</w:t>
            </w:r>
            <w:r w:rsidRPr="002D741C">
              <w:rPr>
                <w:color w:val="000000"/>
                <w:lang w:val="es-ES"/>
              </w:rPr>
              <w:t xml:space="preserve"> IV o PO q6h x 6 dosis)iii: días 2, 3, 16, y 17</w:t>
            </w:r>
          </w:p>
          <w:p w14:paraId="178A17E5" w14:textId="77777777" w:rsidR="00C45062" w:rsidRPr="002D741C" w:rsidRDefault="00C45062" w:rsidP="00F22369">
            <w:pPr>
              <w:pStyle w:val="EndnoteText"/>
              <w:widowControl w:val="0"/>
              <w:rPr>
                <w:color w:val="000000"/>
                <w:lang w:val="es-ES"/>
              </w:rPr>
            </w:pPr>
            <w:r w:rsidRPr="002D741C">
              <w:rPr>
                <w:color w:val="000000"/>
                <w:lang w:val="es-ES"/>
              </w:rPr>
              <w:t xml:space="preserve">Triple terapia </w:t>
            </w:r>
            <w:smartTag w:uri="urn:schemas-microsoft-com:office:smarttags" w:element="PersonName">
              <w:r w:rsidRPr="002D741C">
                <w:rPr>
                  <w:color w:val="000000"/>
                  <w:lang w:val="es-ES"/>
                </w:rPr>
                <w:t>IT</w:t>
              </w:r>
            </w:smartTag>
            <w:r w:rsidRPr="002D741C">
              <w:rPr>
                <w:color w:val="000000"/>
                <w:lang w:val="es-ES"/>
              </w:rPr>
              <w:t xml:space="preserve"> (ajustada por edad): días 1 y 22</w:t>
            </w:r>
          </w:p>
          <w:p w14:paraId="27C375D9" w14:textId="77777777" w:rsidR="00C45062" w:rsidRPr="002D741C" w:rsidRDefault="00C45062" w:rsidP="00F22369">
            <w:pPr>
              <w:pStyle w:val="EndnoteText"/>
              <w:widowControl w:val="0"/>
              <w:rPr>
                <w:color w:val="000000"/>
                <w:lang w:val="es-ES"/>
              </w:rPr>
            </w:pPr>
            <w:r w:rsidRPr="002D741C">
              <w:rPr>
                <w:color w:val="000000"/>
                <w:lang w:val="es-ES"/>
              </w:rPr>
              <w:t>VP-16 (100 mg/m</w:t>
            </w:r>
            <w:r w:rsidRPr="002D741C">
              <w:rPr>
                <w:color w:val="000000"/>
                <w:vertAlign w:val="superscript"/>
                <w:lang w:val="es-ES"/>
              </w:rPr>
              <w:t>2</w:t>
            </w:r>
            <w:r w:rsidRPr="002D741C">
              <w:rPr>
                <w:color w:val="000000"/>
                <w:lang w:val="es-ES"/>
              </w:rPr>
              <w:t>/día, IV): días 22</w:t>
            </w:r>
            <w:r w:rsidRPr="002D741C">
              <w:rPr>
                <w:color w:val="000000"/>
                <w:lang w:val="es-ES"/>
              </w:rPr>
              <w:noBreakHyphen/>
              <w:t>26</w:t>
            </w:r>
          </w:p>
          <w:p w14:paraId="108CCE84" w14:textId="77777777" w:rsidR="00C45062" w:rsidRPr="002D741C" w:rsidRDefault="00C45062" w:rsidP="00F22369">
            <w:pPr>
              <w:pStyle w:val="EndnoteText"/>
              <w:widowControl w:val="0"/>
              <w:rPr>
                <w:color w:val="000000"/>
                <w:lang w:val="es-ES"/>
              </w:rPr>
            </w:pPr>
            <w:r w:rsidRPr="002D741C">
              <w:rPr>
                <w:color w:val="000000"/>
                <w:lang w:val="es-ES"/>
              </w:rPr>
              <w:t>CPM (300 mg/m</w:t>
            </w:r>
            <w:r w:rsidRPr="002D741C">
              <w:rPr>
                <w:color w:val="000000"/>
                <w:vertAlign w:val="superscript"/>
                <w:lang w:val="es-ES"/>
              </w:rPr>
              <w:t>2</w:t>
            </w:r>
            <w:r w:rsidRPr="002D741C">
              <w:rPr>
                <w:color w:val="000000"/>
                <w:lang w:val="es-ES"/>
              </w:rPr>
              <w:t>/día, IV): días 22</w:t>
            </w:r>
            <w:r w:rsidRPr="002D741C">
              <w:rPr>
                <w:color w:val="000000"/>
                <w:lang w:val="es-ES"/>
              </w:rPr>
              <w:noBreakHyphen/>
              <w:t>26</w:t>
            </w:r>
          </w:p>
          <w:p w14:paraId="04DB58C7" w14:textId="77777777" w:rsidR="00C45062" w:rsidRPr="002D741C" w:rsidRDefault="00C45062" w:rsidP="00F22369">
            <w:pPr>
              <w:pStyle w:val="EndnoteText"/>
              <w:widowControl w:val="0"/>
              <w:rPr>
                <w:color w:val="000000"/>
                <w:lang w:val="es-ES"/>
              </w:rPr>
            </w:pPr>
            <w:r w:rsidRPr="002D741C">
              <w:rPr>
                <w:color w:val="000000"/>
                <w:lang w:val="es-ES"/>
              </w:rPr>
              <w:t>MESNA (150 mg/m</w:t>
            </w:r>
            <w:r w:rsidRPr="002D741C">
              <w:rPr>
                <w:color w:val="000000"/>
                <w:vertAlign w:val="superscript"/>
                <w:lang w:val="es-ES"/>
              </w:rPr>
              <w:t>2</w:t>
            </w:r>
            <w:r w:rsidRPr="002D741C">
              <w:rPr>
                <w:color w:val="000000"/>
                <w:lang w:val="es-ES"/>
              </w:rPr>
              <w:t>/día, IV): días 22</w:t>
            </w:r>
            <w:r w:rsidRPr="002D741C">
              <w:rPr>
                <w:color w:val="000000"/>
                <w:lang w:val="es-ES"/>
              </w:rPr>
              <w:noBreakHyphen/>
              <w:t>26</w:t>
            </w:r>
          </w:p>
          <w:p w14:paraId="6DE96DF5" w14:textId="77777777" w:rsidR="00C45062" w:rsidRPr="002D741C" w:rsidRDefault="00C45062" w:rsidP="00F22369">
            <w:pPr>
              <w:pStyle w:val="EndnoteText"/>
              <w:widowControl w:val="0"/>
              <w:rPr>
                <w:color w:val="000000"/>
                <w:lang w:val="es-ES"/>
              </w:rPr>
            </w:pPr>
            <w:r w:rsidRPr="002D741C">
              <w:rPr>
                <w:color w:val="000000"/>
                <w:lang w:val="es-ES"/>
              </w:rPr>
              <w:t>G-CSF (5 </w:t>
            </w:r>
            <w:r w:rsidRPr="002D741C">
              <w:rPr>
                <w:color w:val="000000"/>
              </w:rPr>
              <w:t>μ</w:t>
            </w:r>
            <w:r w:rsidRPr="002D741C">
              <w:rPr>
                <w:color w:val="000000"/>
                <w:lang w:val="es-ES"/>
              </w:rPr>
              <w:t>g/kg, SC): días 27</w:t>
            </w:r>
            <w:r w:rsidRPr="002D741C">
              <w:rPr>
                <w:color w:val="000000"/>
                <w:lang w:val="es-ES"/>
              </w:rPr>
              <w:noBreakHyphen/>
              <w:t>36 o hasta RAN &gt; 1500 post nadir</w:t>
            </w:r>
          </w:p>
          <w:p w14:paraId="2F2C3B87" w14:textId="77777777" w:rsidR="00C45062" w:rsidRPr="002D741C" w:rsidRDefault="00C45062" w:rsidP="00F22369">
            <w:pPr>
              <w:pStyle w:val="EndnoteText"/>
              <w:widowControl w:val="0"/>
              <w:rPr>
                <w:color w:val="000000"/>
                <w:lang w:val="pt-BR"/>
              </w:rPr>
            </w:pPr>
            <w:r w:rsidRPr="002D741C">
              <w:rPr>
                <w:color w:val="000000"/>
                <w:lang w:val="pt-BR"/>
              </w:rPr>
              <w:t>ARA-C (3 g/m</w:t>
            </w:r>
            <w:r w:rsidRPr="002D741C">
              <w:rPr>
                <w:color w:val="000000"/>
                <w:vertAlign w:val="superscript"/>
                <w:lang w:val="pt-BR"/>
              </w:rPr>
              <w:t>2</w:t>
            </w:r>
            <w:r w:rsidRPr="002D741C">
              <w:rPr>
                <w:color w:val="000000"/>
                <w:lang w:val="pt-BR"/>
              </w:rPr>
              <w:t>, q12h, IV): días 43, 44</w:t>
            </w:r>
          </w:p>
          <w:p w14:paraId="4EF476B2" w14:textId="77777777" w:rsidR="00C45062" w:rsidRPr="002D741C" w:rsidRDefault="00C45062" w:rsidP="00F22369">
            <w:pPr>
              <w:pStyle w:val="EndnoteText"/>
              <w:widowControl w:val="0"/>
              <w:rPr>
                <w:color w:val="000000"/>
                <w:lang w:val="de-DE"/>
              </w:rPr>
            </w:pPr>
            <w:r w:rsidRPr="002D741C">
              <w:rPr>
                <w:color w:val="000000"/>
                <w:lang w:val="de-DE"/>
              </w:rPr>
              <w:t>L-ASP (6000 UI/m</w:t>
            </w:r>
            <w:r w:rsidRPr="002D741C">
              <w:rPr>
                <w:color w:val="000000"/>
                <w:vertAlign w:val="superscript"/>
                <w:lang w:val="de-DE"/>
              </w:rPr>
              <w:t>2</w:t>
            </w:r>
            <w:r w:rsidRPr="002D741C">
              <w:rPr>
                <w:color w:val="000000"/>
                <w:lang w:val="de-DE"/>
              </w:rPr>
              <w:t>, IM): día 44</w:t>
            </w:r>
          </w:p>
        </w:tc>
      </w:tr>
      <w:tr w:rsidR="00C45062" w:rsidRPr="002D741C" w14:paraId="6D4832EB" w14:textId="77777777" w:rsidTr="00AD13BE">
        <w:trPr>
          <w:cantSplit/>
        </w:trPr>
        <w:tc>
          <w:tcPr>
            <w:tcW w:w="2358" w:type="dxa"/>
            <w:shd w:val="clear" w:color="auto" w:fill="auto"/>
          </w:tcPr>
          <w:p w14:paraId="58632690" w14:textId="77777777" w:rsidR="00C45062" w:rsidRPr="002D741C" w:rsidRDefault="00C45062" w:rsidP="00F22369">
            <w:pPr>
              <w:pStyle w:val="EndnoteText"/>
              <w:widowControl w:val="0"/>
              <w:rPr>
                <w:color w:val="000000"/>
                <w:lang w:val="es-ES"/>
              </w:rPr>
            </w:pPr>
            <w:r w:rsidRPr="002D741C">
              <w:rPr>
                <w:color w:val="000000"/>
                <w:lang w:val="es-ES"/>
              </w:rPr>
              <w:t>Mantenimiento</w:t>
            </w:r>
          </w:p>
          <w:p w14:paraId="6ECB3B53" w14:textId="77777777" w:rsidR="00C45062" w:rsidRPr="002D741C" w:rsidRDefault="00C45062" w:rsidP="00F22369">
            <w:pPr>
              <w:pStyle w:val="EndnoteText"/>
              <w:widowControl w:val="0"/>
              <w:rPr>
                <w:color w:val="000000"/>
                <w:lang w:val="es-ES"/>
              </w:rPr>
            </w:pPr>
            <w:r w:rsidRPr="002D741C">
              <w:rPr>
                <w:color w:val="000000"/>
                <w:lang w:val="es-ES"/>
              </w:rPr>
              <w:t>(ciclos de 8 semanas)</w:t>
            </w:r>
          </w:p>
          <w:p w14:paraId="05AFD744" w14:textId="77777777" w:rsidR="00C45062" w:rsidRPr="002D741C" w:rsidRDefault="00C45062" w:rsidP="00F22369">
            <w:pPr>
              <w:pStyle w:val="EndnoteText"/>
              <w:widowControl w:val="0"/>
              <w:rPr>
                <w:color w:val="000000"/>
                <w:lang w:val="es-ES"/>
              </w:rPr>
            </w:pPr>
            <w:r w:rsidRPr="002D741C">
              <w:rPr>
                <w:color w:val="000000"/>
                <w:lang w:val="es-ES"/>
              </w:rPr>
              <w:t>Ciclos 1–4</w:t>
            </w:r>
          </w:p>
        </w:tc>
        <w:tc>
          <w:tcPr>
            <w:tcW w:w="6929" w:type="dxa"/>
            <w:shd w:val="clear" w:color="auto" w:fill="auto"/>
          </w:tcPr>
          <w:p w14:paraId="45E205C6" w14:textId="77777777" w:rsidR="00C45062" w:rsidRPr="002D741C" w:rsidRDefault="00C45062" w:rsidP="00F22369">
            <w:pPr>
              <w:pStyle w:val="EndnoteText"/>
              <w:widowControl w:val="0"/>
              <w:rPr>
                <w:color w:val="000000"/>
                <w:lang w:val="es-ES"/>
              </w:rPr>
            </w:pPr>
            <w:smartTag w:uri="urn:schemas-microsoft-com:office:smarttags" w:element="PersonName">
              <w:r w:rsidRPr="002D741C">
                <w:rPr>
                  <w:color w:val="000000"/>
                  <w:lang w:val="es-ES"/>
                </w:rPr>
                <w:t>MT</w:t>
              </w:r>
            </w:smartTag>
            <w:r w:rsidRPr="002D741C">
              <w:rPr>
                <w:color w:val="000000"/>
                <w:lang w:val="es-ES"/>
              </w:rPr>
              <w:t>X (5 g/m</w:t>
            </w:r>
            <w:r w:rsidRPr="002D741C">
              <w:rPr>
                <w:color w:val="000000"/>
                <w:vertAlign w:val="superscript"/>
                <w:lang w:val="es-ES"/>
              </w:rPr>
              <w:t>2</w:t>
            </w:r>
            <w:r w:rsidRPr="002D741C">
              <w:rPr>
                <w:color w:val="000000"/>
                <w:lang w:val="es-ES"/>
              </w:rPr>
              <w:t xml:space="preserve"> durante 24 horas, IV): día 1</w:t>
            </w:r>
          </w:p>
          <w:p w14:paraId="0B044E01" w14:textId="77777777" w:rsidR="00C45062" w:rsidRPr="002D741C" w:rsidRDefault="00C45062" w:rsidP="00F22369">
            <w:pPr>
              <w:pStyle w:val="EndnoteText"/>
              <w:widowControl w:val="0"/>
              <w:rPr>
                <w:color w:val="000000"/>
                <w:lang w:val="es-ES"/>
              </w:rPr>
            </w:pPr>
            <w:r w:rsidRPr="002D741C">
              <w:rPr>
                <w:color w:val="000000"/>
                <w:lang w:val="es-ES"/>
              </w:rPr>
              <w:t>Leucovorina (75 mg/m</w:t>
            </w:r>
            <w:r w:rsidRPr="002D741C">
              <w:rPr>
                <w:color w:val="000000"/>
                <w:vertAlign w:val="superscript"/>
                <w:lang w:val="es-ES"/>
              </w:rPr>
              <w:t>2</w:t>
            </w:r>
            <w:r w:rsidRPr="002D741C">
              <w:rPr>
                <w:color w:val="000000"/>
                <w:lang w:val="es-ES"/>
              </w:rPr>
              <w:t xml:space="preserve"> a la hora 36, IV; 15 mg/m</w:t>
            </w:r>
            <w:r w:rsidRPr="002D741C">
              <w:rPr>
                <w:color w:val="000000"/>
                <w:vertAlign w:val="superscript"/>
                <w:lang w:val="es-ES"/>
              </w:rPr>
              <w:t>2</w:t>
            </w:r>
            <w:r w:rsidRPr="002D741C">
              <w:rPr>
                <w:color w:val="000000"/>
                <w:lang w:val="es-ES"/>
              </w:rPr>
              <w:t xml:space="preserve"> IV o PO q6h x 6 dosis)iii: días 2 y 3</w:t>
            </w:r>
          </w:p>
          <w:p w14:paraId="3F31445F" w14:textId="77777777" w:rsidR="00C45062" w:rsidRPr="002D741C" w:rsidRDefault="00C45062" w:rsidP="00F22369">
            <w:pPr>
              <w:pStyle w:val="EndnoteText"/>
              <w:widowControl w:val="0"/>
              <w:rPr>
                <w:color w:val="000000"/>
                <w:lang w:val="es-ES"/>
              </w:rPr>
            </w:pPr>
            <w:r w:rsidRPr="002D741C">
              <w:rPr>
                <w:color w:val="000000"/>
                <w:lang w:val="es-ES"/>
              </w:rPr>
              <w:t xml:space="preserve">Triple terapia </w:t>
            </w:r>
            <w:smartTag w:uri="urn:schemas-microsoft-com:office:smarttags" w:element="PersonName">
              <w:r w:rsidRPr="002D741C">
                <w:rPr>
                  <w:color w:val="000000"/>
                  <w:lang w:val="es-ES"/>
                </w:rPr>
                <w:t>IT</w:t>
              </w:r>
            </w:smartTag>
            <w:r w:rsidRPr="002D741C">
              <w:rPr>
                <w:color w:val="000000"/>
                <w:lang w:val="es-ES"/>
              </w:rPr>
              <w:t xml:space="preserve"> (ajustada por edad): días 1, 29</w:t>
            </w:r>
          </w:p>
          <w:p w14:paraId="6018B957" w14:textId="77777777" w:rsidR="00C45062" w:rsidRPr="002D741C" w:rsidRDefault="00C45062" w:rsidP="00F22369">
            <w:pPr>
              <w:pStyle w:val="EndnoteText"/>
              <w:widowControl w:val="0"/>
              <w:rPr>
                <w:color w:val="000000"/>
                <w:lang w:val="es-ES"/>
              </w:rPr>
            </w:pPr>
            <w:r w:rsidRPr="002D741C">
              <w:rPr>
                <w:color w:val="000000"/>
                <w:lang w:val="es-ES"/>
              </w:rPr>
              <w:t>VCR (1,5 mg/m</w:t>
            </w:r>
            <w:r w:rsidRPr="002D741C">
              <w:rPr>
                <w:color w:val="000000"/>
                <w:vertAlign w:val="superscript"/>
                <w:lang w:val="es-ES"/>
              </w:rPr>
              <w:t>2</w:t>
            </w:r>
            <w:r w:rsidRPr="002D741C">
              <w:rPr>
                <w:color w:val="000000"/>
                <w:lang w:val="es-ES"/>
              </w:rPr>
              <w:t>, IV): días 1, 29</w:t>
            </w:r>
          </w:p>
          <w:p w14:paraId="2F8B2DBA" w14:textId="77777777" w:rsidR="00C45062" w:rsidRPr="002D741C" w:rsidRDefault="00C45062" w:rsidP="00F22369">
            <w:pPr>
              <w:pStyle w:val="EndnoteText"/>
              <w:widowControl w:val="0"/>
              <w:rPr>
                <w:color w:val="000000"/>
                <w:lang w:val="es-ES"/>
              </w:rPr>
            </w:pPr>
            <w:smartTag w:uri="urn:schemas-microsoft-com:office:smarttags" w:element="PersonName">
              <w:r w:rsidRPr="002D741C">
                <w:rPr>
                  <w:color w:val="000000"/>
                  <w:lang w:val="es-ES"/>
                </w:rPr>
                <w:t>DE</w:t>
              </w:r>
            </w:smartTag>
            <w:r w:rsidRPr="002D741C">
              <w:rPr>
                <w:color w:val="000000"/>
                <w:lang w:val="es-ES"/>
              </w:rPr>
              <w:t>X (6 mg/m</w:t>
            </w:r>
            <w:r w:rsidRPr="002D741C">
              <w:rPr>
                <w:color w:val="000000"/>
                <w:vertAlign w:val="superscript"/>
                <w:lang w:val="es-ES"/>
              </w:rPr>
              <w:t>2</w:t>
            </w:r>
            <w:r w:rsidRPr="002D741C">
              <w:rPr>
                <w:color w:val="000000"/>
                <w:lang w:val="es-ES"/>
              </w:rPr>
              <w:t>/día PO): días 1</w:t>
            </w:r>
            <w:r w:rsidRPr="002D741C">
              <w:rPr>
                <w:color w:val="000000"/>
                <w:lang w:val="es-ES"/>
              </w:rPr>
              <w:noBreakHyphen/>
              <w:t>5; 29</w:t>
            </w:r>
            <w:r w:rsidRPr="002D741C">
              <w:rPr>
                <w:color w:val="000000"/>
                <w:lang w:val="es-ES"/>
              </w:rPr>
              <w:noBreakHyphen/>
              <w:t>33</w:t>
            </w:r>
          </w:p>
          <w:p w14:paraId="0965FA5C" w14:textId="77777777" w:rsidR="00C45062" w:rsidRPr="002D741C" w:rsidRDefault="00C45062" w:rsidP="00F22369">
            <w:pPr>
              <w:pStyle w:val="EndnoteText"/>
              <w:widowControl w:val="0"/>
              <w:rPr>
                <w:color w:val="000000"/>
                <w:lang w:val="es-ES"/>
              </w:rPr>
            </w:pPr>
            <w:r w:rsidRPr="002D741C">
              <w:rPr>
                <w:color w:val="000000"/>
                <w:lang w:val="es-ES"/>
              </w:rPr>
              <w:t>6-MP (75 mg/m</w:t>
            </w:r>
            <w:r w:rsidRPr="002D741C">
              <w:rPr>
                <w:color w:val="000000"/>
                <w:vertAlign w:val="superscript"/>
                <w:lang w:val="es-ES"/>
              </w:rPr>
              <w:t>2</w:t>
            </w:r>
            <w:r w:rsidRPr="002D741C">
              <w:rPr>
                <w:color w:val="000000"/>
                <w:lang w:val="es-ES"/>
              </w:rPr>
              <w:t>/día, PO): días 8-28</w:t>
            </w:r>
          </w:p>
          <w:p w14:paraId="28426155" w14:textId="77777777" w:rsidR="00C45062" w:rsidRPr="002D741C" w:rsidRDefault="00C45062" w:rsidP="00F22369">
            <w:pPr>
              <w:pStyle w:val="EndnoteText"/>
              <w:widowControl w:val="0"/>
              <w:rPr>
                <w:color w:val="000000"/>
                <w:lang w:val="es-ES"/>
              </w:rPr>
            </w:pPr>
            <w:r w:rsidRPr="002D741C">
              <w:rPr>
                <w:color w:val="000000"/>
                <w:lang w:val="es-ES"/>
              </w:rPr>
              <w:t>Metotrexato (20 mg/m</w:t>
            </w:r>
            <w:r w:rsidRPr="002D741C">
              <w:rPr>
                <w:color w:val="000000"/>
                <w:vertAlign w:val="superscript"/>
                <w:lang w:val="es-ES"/>
              </w:rPr>
              <w:t>2</w:t>
            </w:r>
            <w:r w:rsidRPr="002D741C">
              <w:rPr>
                <w:color w:val="000000"/>
                <w:lang w:val="es-ES"/>
              </w:rPr>
              <w:t>/semana, PO): días 8, 15, 22</w:t>
            </w:r>
          </w:p>
          <w:p w14:paraId="159CBF6A" w14:textId="77777777" w:rsidR="00C45062" w:rsidRPr="002D741C" w:rsidRDefault="00C45062" w:rsidP="00F22369">
            <w:pPr>
              <w:pStyle w:val="EndnoteText"/>
              <w:widowControl w:val="0"/>
              <w:rPr>
                <w:color w:val="000000"/>
                <w:lang w:val="es-ES"/>
              </w:rPr>
            </w:pPr>
            <w:r w:rsidRPr="002D741C">
              <w:rPr>
                <w:color w:val="000000"/>
                <w:lang w:val="es-ES"/>
              </w:rPr>
              <w:t>VP-16 (100 mg/m</w:t>
            </w:r>
            <w:r w:rsidRPr="002D741C">
              <w:rPr>
                <w:color w:val="000000"/>
                <w:vertAlign w:val="superscript"/>
                <w:lang w:val="es-ES"/>
              </w:rPr>
              <w:t>2</w:t>
            </w:r>
            <w:r w:rsidRPr="002D741C">
              <w:rPr>
                <w:color w:val="000000"/>
                <w:lang w:val="es-ES"/>
              </w:rPr>
              <w:t>, IV): días 29</w:t>
            </w:r>
            <w:r w:rsidRPr="002D741C">
              <w:rPr>
                <w:color w:val="000000"/>
                <w:lang w:val="es-ES"/>
              </w:rPr>
              <w:noBreakHyphen/>
              <w:t>33</w:t>
            </w:r>
          </w:p>
          <w:p w14:paraId="39680E90" w14:textId="77777777" w:rsidR="00C45062" w:rsidRPr="002D741C" w:rsidRDefault="00C45062" w:rsidP="00F22369">
            <w:pPr>
              <w:pStyle w:val="EndnoteText"/>
              <w:widowControl w:val="0"/>
              <w:rPr>
                <w:color w:val="000000"/>
                <w:lang w:val="es-ES"/>
              </w:rPr>
            </w:pPr>
            <w:r w:rsidRPr="002D741C">
              <w:rPr>
                <w:color w:val="000000"/>
                <w:lang w:val="es-ES"/>
              </w:rPr>
              <w:t>CPM (300 mg/m</w:t>
            </w:r>
            <w:r w:rsidRPr="002D741C">
              <w:rPr>
                <w:color w:val="000000"/>
                <w:vertAlign w:val="superscript"/>
                <w:lang w:val="es-ES"/>
              </w:rPr>
              <w:t>2</w:t>
            </w:r>
            <w:r w:rsidRPr="002D741C">
              <w:rPr>
                <w:color w:val="000000"/>
                <w:lang w:val="es-ES"/>
              </w:rPr>
              <w:t>, IV): días 29</w:t>
            </w:r>
            <w:r w:rsidRPr="002D741C">
              <w:rPr>
                <w:color w:val="000000"/>
                <w:lang w:val="es-ES"/>
              </w:rPr>
              <w:noBreakHyphen/>
              <w:t>33</w:t>
            </w:r>
          </w:p>
          <w:p w14:paraId="680387F9" w14:textId="77777777" w:rsidR="00C45062" w:rsidRPr="002D741C" w:rsidRDefault="00C45062" w:rsidP="00F22369">
            <w:pPr>
              <w:pStyle w:val="EndnoteText"/>
              <w:widowControl w:val="0"/>
              <w:rPr>
                <w:color w:val="000000"/>
                <w:lang w:val="es-ES"/>
              </w:rPr>
            </w:pPr>
            <w:r w:rsidRPr="002D741C">
              <w:rPr>
                <w:color w:val="000000"/>
                <w:lang w:val="es-ES"/>
              </w:rPr>
              <w:t>MESNA IV días 29</w:t>
            </w:r>
            <w:r w:rsidRPr="002D741C">
              <w:rPr>
                <w:color w:val="000000"/>
                <w:lang w:val="es-ES"/>
              </w:rPr>
              <w:noBreakHyphen/>
              <w:t>33</w:t>
            </w:r>
          </w:p>
          <w:p w14:paraId="6A84373E" w14:textId="77777777" w:rsidR="00C45062" w:rsidRPr="002D741C" w:rsidRDefault="00C45062" w:rsidP="00F22369">
            <w:pPr>
              <w:pStyle w:val="EndnoteText"/>
              <w:widowControl w:val="0"/>
              <w:rPr>
                <w:color w:val="000000"/>
                <w:lang w:val="es-ES"/>
              </w:rPr>
            </w:pPr>
            <w:r w:rsidRPr="002D741C">
              <w:rPr>
                <w:color w:val="000000"/>
                <w:lang w:val="es-ES"/>
              </w:rPr>
              <w:t>G-CSF (5 </w:t>
            </w:r>
            <w:r w:rsidRPr="002D741C">
              <w:rPr>
                <w:color w:val="000000"/>
              </w:rPr>
              <w:t>μ</w:t>
            </w:r>
            <w:r w:rsidRPr="002D741C">
              <w:rPr>
                <w:color w:val="000000"/>
                <w:lang w:val="es-ES"/>
              </w:rPr>
              <w:t>g/kg, SC): días 34</w:t>
            </w:r>
            <w:r w:rsidRPr="002D741C">
              <w:rPr>
                <w:color w:val="000000"/>
                <w:lang w:val="es-ES"/>
              </w:rPr>
              <w:noBreakHyphen/>
              <w:t>43</w:t>
            </w:r>
          </w:p>
        </w:tc>
      </w:tr>
      <w:tr w:rsidR="00C45062" w:rsidRPr="002D741C" w14:paraId="3FF9B0D6" w14:textId="77777777" w:rsidTr="00AD13BE">
        <w:trPr>
          <w:cantSplit/>
        </w:trPr>
        <w:tc>
          <w:tcPr>
            <w:tcW w:w="2358" w:type="dxa"/>
            <w:shd w:val="clear" w:color="auto" w:fill="auto"/>
          </w:tcPr>
          <w:p w14:paraId="05D642B5" w14:textId="77777777" w:rsidR="00C45062" w:rsidRPr="002D741C" w:rsidRDefault="00C45062" w:rsidP="00F22369">
            <w:pPr>
              <w:pStyle w:val="EndnoteText"/>
              <w:widowControl w:val="0"/>
              <w:rPr>
                <w:color w:val="000000"/>
                <w:lang w:val="es-ES"/>
              </w:rPr>
            </w:pPr>
            <w:r w:rsidRPr="002D741C">
              <w:rPr>
                <w:color w:val="000000"/>
                <w:lang w:val="es-ES"/>
              </w:rPr>
              <w:t>Mantenimiento</w:t>
            </w:r>
          </w:p>
          <w:p w14:paraId="07C9CB6F" w14:textId="77777777" w:rsidR="00C45062" w:rsidRPr="002D741C" w:rsidRDefault="00C45062" w:rsidP="00F22369">
            <w:pPr>
              <w:pStyle w:val="EndnoteText"/>
              <w:widowControl w:val="0"/>
              <w:rPr>
                <w:color w:val="000000"/>
                <w:lang w:val="es-ES"/>
              </w:rPr>
            </w:pPr>
            <w:r w:rsidRPr="002D741C">
              <w:rPr>
                <w:color w:val="000000"/>
                <w:lang w:val="es-ES"/>
              </w:rPr>
              <w:t>(ciclos de 8-semanas)</w:t>
            </w:r>
          </w:p>
          <w:p w14:paraId="638E2535" w14:textId="77777777" w:rsidR="00C45062" w:rsidRPr="002D741C" w:rsidRDefault="00C45062" w:rsidP="00F22369">
            <w:pPr>
              <w:pStyle w:val="EndnoteText"/>
              <w:widowControl w:val="0"/>
              <w:rPr>
                <w:color w:val="000000"/>
                <w:lang w:val="es-ES"/>
              </w:rPr>
            </w:pPr>
            <w:r w:rsidRPr="002D741C">
              <w:rPr>
                <w:color w:val="000000"/>
                <w:lang w:val="es-ES"/>
              </w:rPr>
              <w:t>Ciclo 5</w:t>
            </w:r>
          </w:p>
        </w:tc>
        <w:tc>
          <w:tcPr>
            <w:tcW w:w="6929" w:type="dxa"/>
            <w:shd w:val="clear" w:color="auto" w:fill="auto"/>
          </w:tcPr>
          <w:p w14:paraId="5F3651D2" w14:textId="77777777" w:rsidR="00C45062" w:rsidRPr="002D741C" w:rsidRDefault="00C45062" w:rsidP="00F22369">
            <w:pPr>
              <w:pStyle w:val="EndnoteText"/>
              <w:widowControl w:val="0"/>
              <w:rPr>
                <w:color w:val="000000"/>
                <w:lang w:val="es-ES"/>
              </w:rPr>
            </w:pPr>
            <w:r w:rsidRPr="002D741C">
              <w:rPr>
                <w:color w:val="000000"/>
                <w:lang w:val="es-ES"/>
              </w:rPr>
              <w:t>Irradiación craneal (Bloque 5 sólo)</w:t>
            </w:r>
          </w:p>
          <w:p w14:paraId="41EDD0E3" w14:textId="77777777" w:rsidR="00C45062" w:rsidRPr="002D741C" w:rsidRDefault="00C45062" w:rsidP="00F22369">
            <w:pPr>
              <w:pStyle w:val="EndnoteText"/>
              <w:widowControl w:val="0"/>
              <w:rPr>
                <w:color w:val="000000"/>
                <w:lang w:val="es-ES"/>
              </w:rPr>
            </w:pPr>
            <w:r w:rsidRPr="002D741C">
              <w:rPr>
                <w:color w:val="000000"/>
                <w:lang w:val="es-ES"/>
              </w:rPr>
              <w:t>12 Gy en 8 fracciones para todos los pacientes que son CNS1 y CNS2 en el diagnóstico</w:t>
            </w:r>
          </w:p>
          <w:p w14:paraId="5B736802" w14:textId="77777777" w:rsidR="00C45062" w:rsidRPr="002D741C" w:rsidRDefault="00C45062" w:rsidP="00F22369">
            <w:pPr>
              <w:pStyle w:val="EndnoteText"/>
              <w:widowControl w:val="0"/>
              <w:rPr>
                <w:color w:val="000000"/>
                <w:lang w:val="es-ES"/>
              </w:rPr>
            </w:pPr>
            <w:r w:rsidRPr="002D741C">
              <w:rPr>
                <w:color w:val="000000"/>
                <w:lang w:val="es-ES"/>
              </w:rPr>
              <w:t>18 Gy en 10 fracciones para pacientes que son CNS3 en el diagnóstico</w:t>
            </w:r>
          </w:p>
          <w:p w14:paraId="756A02DE" w14:textId="77777777" w:rsidR="00C45062" w:rsidRPr="002D741C" w:rsidRDefault="00C45062" w:rsidP="00F22369">
            <w:pPr>
              <w:pStyle w:val="EndnoteText"/>
              <w:widowControl w:val="0"/>
              <w:rPr>
                <w:color w:val="000000"/>
                <w:lang w:val="es-ES"/>
              </w:rPr>
            </w:pPr>
            <w:r w:rsidRPr="002D741C">
              <w:rPr>
                <w:color w:val="000000"/>
                <w:lang w:val="es-ES"/>
              </w:rPr>
              <w:t>VCR (1,5 mg/m</w:t>
            </w:r>
            <w:r w:rsidRPr="002D741C">
              <w:rPr>
                <w:color w:val="000000"/>
                <w:vertAlign w:val="superscript"/>
                <w:lang w:val="es-ES"/>
              </w:rPr>
              <w:t>2</w:t>
            </w:r>
            <w:r w:rsidRPr="002D741C">
              <w:rPr>
                <w:color w:val="000000"/>
                <w:lang w:val="es-ES"/>
              </w:rPr>
              <w:t>/día, IV): días 1, 29</w:t>
            </w:r>
          </w:p>
          <w:p w14:paraId="7EFCFF4C" w14:textId="77777777" w:rsidR="00C45062" w:rsidRPr="002D741C" w:rsidRDefault="00C45062" w:rsidP="00F22369">
            <w:pPr>
              <w:pStyle w:val="EndnoteText"/>
              <w:widowControl w:val="0"/>
              <w:rPr>
                <w:color w:val="000000"/>
                <w:lang w:val="es-ES"/>
              </w:rPr>
            </w:pPr>
            <w:smartTag w:uri="urn:schemas-microsoft-com:office:smarttags" w:element="PersonName">
              <w:r w:rsidRPr="002D741C">
                <w:rPr>
                  <w:color w:val="000000"/>
                  <w:lang w:val="es-ES"/>
                </w:rPr>
                <w:t>DE</w:t>
              </w:r>
            </w:smartTag>
            <w:r w:rsidRPr="002D741C">
              <w:rPr>
                <w:color w:val="000000"/>
                <w:lang w:val="es-ES"/>
              </w:rPr>
              <w:t>X (6 mg/m</w:t>
            </w:r>
            <w:r w:rsidRPr="002D741C">
              <w:rPr>
                <w:color w:val="000000"/>
                <w:vertAlign w:val="superscript"/>
                <w:lang w:val="es-ES"/>
              </w:rPr>
              <w:t>2</w:t>
            </w:r>
            <w:r w:rsidRPr="002D741C">
              <w:rPr>
                <w:color w:val="000000"/>
                <w:lang w:val="es-ES"/>
              </w:rPr>
              <w:t>/día, PO): días 1</w:t>
            </w:r>
            <w:r w:rsidRPr="002D741C">
              <w:rPr>
                <w:color w:val="000000"/>
                <w:lang w:val="es-ES"/>
              </w:rPr>
              <w:noBreakHyphen/>
              <w:t>5; 29</w:t>
            </w:r>
            <w:r w:rsidRPr="002D741C">
              <w:rPr>
                <w:color w:val="000000"/>
                <w:lang w:val="es-ES"/>
              </w:rPr>
              <w:noBreakHyphen/>
              <w:t>33</w:t>
            </w:r>
          </w:p>
          <w:p w14:paraId="4ADB022A" w14:textId="77777777" w:rsidR="00C45062" w:rsidRPr="002D741C" w:rsidRDefault="00C45062" w:rsidP="00F22369">
            <w:pPr>
              <w:pStyle w:val="EndnoteText"/>
              <w:widowControl w:val="0"/>
              <w:rPr>
                <w:color w:val="000000"/>
                <w:lang w:val="es-ES"/>
              </w:rPr>
            </w:pPr>
            <w:r w:rsidRPr="002D741C">
              <w:rPr>
                <w:color w:val="000000"/>
                <w:lang w:val="es-ES"/>
              </w:rPr>
              <w:t>6-MP (75 mg/m</w:t>
            </w:r>
            <w:r w:rsidRPr="002D741C">
              <w:rPr>
                <w:color w:val="000000"/>
                <w:vertAlign w:val="superscript"/>
                <w:lang w:val="es-ES"/>
              </w:rPr>
              <w:t>2</w:t>
            </w:r>
            <w:r w:rsidRPr="002D741C">
              <w:rPr>
                <w:color w:val="000000"/>
                <w:lang w:val="es-ES"/>
              </w:rPr>
              <w:t>/día, PO): días 11</w:t>
            </w:r>
            <w:r w:rsidRPr="002D741C">
              <w:rPr>
                <w:color w:val="000000"/>
                <w:lang w:val="es-ES"/>
              </w:rPr>
              <w:noBreakHyphen/>
              <w:t>56 (Retirar 6-MP durante los 6</w:t>
            </w:r>
            <w:r w:rsidRPr="002D741C">
              <w:rPr>
                <w:color w:val="000000"/>
                <w:lang w:val="es-ES"/>
              </w:rPr>
              <w:noBreakHyphen/>
              <w:t>10 días de irradiación craneal empezando en el día 1 del Ciclo 5. Iniciar 6-MP el primer día tras completer la irradiación craneal)</w:t>
            </w:r>
          </w:p>
          <w:p w14:paraId="4EEEF354" w14:textId="5743A7F8" w:rsidR="00C45062" w:rsidRPr="00DF6C0D" w:rsidRDefault="00C45062" w:rsidP="00F22369">
            <w:pPr>
              <w:pStyle w:val="EndnoteText"/>
              <w:widowControl w:val="0"/>
              <w:rPr>
                <w:color w:val="000000"/>
                <w:lang w:val="es-ES"/>
              </w:rPr>
            </w:pPr>
            <w:r w:rsidRPr="002D741C">
              <w:rPr>
                <w:color w:val="000000"/>
                <w:lang w:val="it-IT"/>
              </w:rPr>
              <w:t>Metotrexato (20 mg/m</w:t>
            </w:r>
            <w:r w:rsidRPr="002D741C">
              <w:rPr>
                <w:color w:val="000000"/>
                <w:vertAlign w:val="superscript"/>
                <w:lang w:val="it-IT"/>
              </w:rPr>
              <w:t>2</w:t>
            </w:r>
            <w:r w:rsidRPr="002D741C">
              <w:rPr>
                <w:color w:val="000000"/>
                <w:lang w:val="it-IT"/>
              </w:rPr>
              <w:t>/semana, PO): días</w:t>
            </w:r>
            <w:r w:rsidRPr="00DF6C0D">
              <w:rPr>
                <w:color w:val="000000"/>
                <w:lang w:val="es-ES"/>
              </w:rPr>
              <w:t> 8, 15, 22, 29, 36, 43, 50</w:t>
            </w:r>
          </w:p>
        </w:tc>
      </w:tr>
      <w:tr w:rsidR="00C45062" w:rsidRPr="002D741C" w14:paraId="58DCC43E" w14:textId="77777777" w:rsidTr="00AD13BE">
        <w:trPr>
          <w:cantSplit/>
        </w:trPr>
        <w:tc>
          <w:tcPr>
            <w:tcW w:w="2358" w:type="dxa"/>
            <w:shd w:val="clear" w:color="auto" w:fill="auto"/>
          </w:tcPr>
          <w:p w14:paraId="6901DAFB" w14:textId="77777777" w:rsidR="00C45062" w:rsidRPr="002D741C" w:rsidRDefault="00C45062" w:rsidP="00AD13BE">
            <w:pPr>
              <w:pStyle w:val="EndnoteText"/>
              <w:keepNext/>
              <w:widowControl w:val="0"/>
              <w:rPr>
                <w:color w:val="000000"/>
                <w:lang w:val="es-ES"/>
              </w:rPr>
            </w:pPr>
            <w:r w:rsidRPr="002D741C">
              <w:rPr>
                <w:color w:val="000000"/>
                <w:lang w:val="es-ES"/>
              </w:rPr>
              <w:lastRenderedPageBreak/>
              <w:t>Mantenimiento</w:t>
            </w:r>
          </w:p>
          <w:p w14:paraId="073AB5D7" w14:textId="77777777" w:rsidR="00C45062" w:rsidRPr="002D741C" w:rsidRDefault="00C45062" w:rsidP="00AD13BE">
            <w:pPr>
              <w:pStyle w:val="EndnoteText"/>
              <w:keepNext/>
              <w:widowControl w:val="0"/>
              <w:rPr>
                <w:color w:val="000000"/>
                <w:lang w:val="es-ES"/>
              </w:rPr>
            </w:pPr>
            <w:r w:rsidRPr="002D741C">
              <w:rPr>
                <w:color w:val="000000"/>
                <w:lang w:val="es-ES"/>
              </w:rPr>
              <w:t>(ciclos de 8-semanas)</w:t>
            </w:r>
          </w:p>
          <w:p w14:paraId="725EA6BC" w14:textId="77777777" w:rsidR="00C45062" w:rsidRPr="002D741C" w:rsidRDefault="00C45062" w:rsidP="00AD13BE">
            <w:pPr>
              <w:pStyle w:val="EndnoteText"/>
              <w:keepNext/>
              <w:widowControl w:val="0"/>
              <w:rPr>
                <w:color w:val="000000"/>
                <w:lang w:val="es-ES"/>
              </w:rPr>
            </w:pPr>
            <w:r w:rsidRPr="002D741C">
              <w:rPr>
                <w:color w:val="000000"/>
                <w:lang w:val="es-ES"/>
              </w:rPr>
              <w:t>Ciclos 6</w:t>
            </w:r>
            <w:r w:rsidRPr="002D741C">
              <w:rPr>
                <w:color w:val="000000"/>
                <w:lang w:val="es-ES"/>
              </w:rPr>
              <w:noBreakHyphen/>
              <w:t>12</w:t>
            </w:r>
          </w:p>
        </w:tc>
        <w:tc>
          <w:tcPr>
            <w:tcW w:w="6929" w:type="dxa"/>
            <w:shd w:val="clear" w:color="auto" w:fill="auto"/>
          </w:tcPr>
          <w:p w14:paraId="342F6BE4" w14:textId="77777777" w:rsidR="00C45062" w:rsidRPr="002D741C" w:rsidRDefault="00C45062" w:rsidP="00AD13BE">
            <w:pPr>
              <w:pStyle w:val="EndnoteText"/>
              <w:keepNext/>
              <w:widowControl w:val="0"/>
              <w:rPr>
                <w:color w:val="000000"/>
                <w:lang w:val="es-ES"/>
              </w:rPr>
            </w:pPr>
            <w:r w:rsidRPr="002D741C">
              <w:rPr>
                <w:color w:val="000000"/>
                <w:lang w:val="es-ES"/>
              </w:rPr>
              <w:t>VCR (1,5 mg/m</w:t>
            </w:r>
            <w:r w:rsidRPr="002D741C">
              <w:rPr>
                <w:color w:val="000000"/>
                <w:vertAlign w:val="superscript"/>
                <w:lang w:val="es-ES"/>
              </w:rPr>
              <w:t>2</w:t>
            </w:r>
            <w:r w:rsidRPr="002D741C">
              <w:rPr>
                <w:color w:val="000000"/>
                <w:lang w:val="es-ES"/>
              </w:rPr>
              <w:t>/día, IV): días 1, 29</w:t>
            </w:r>
          </w:p>
          <w:p w14:paraId="1A4ACB65" w14:textId="77777777" w:rsidR="00C45062" w:rsidRPr="002D741C" w:rsidRDefault="00C45062" w:rsidP="00AD13BE">
            <w:pPr>
              <w:pStyle w:val="EndnoteText"/>
              <w:keepNext/>
              <w:widowControl w:val="0"/>
              <w:rPr>
                <w:color w:val="000000"/>
                <w:lang w:val="es-ES"/>
              </w:rPr>
            </w:pPr>
            <w:smartTag w:uri="urn:schemas-microsoft-com:office:smarttags" w:element="PersonName">
              <w:r w:rsidRPr="002D741C">
                <w:rPr>
                  <w:color w:val="000000"/>
                  <w:lang w:val="es-ES"/>
                </w:rPr>
                <w:t>DE</w:t>
              </w:r>
            </w:smartTag>
            <w:r w:rsidRPr="002D741C">
              <w:rPr>
                <w:color w:val="000000"/>
                <w:lang w:val="es-ES"/>
              </w:rPr>
              <w:t>X (6 mg/m</w:t>
            </w:r>
            <w:r w:rsidRPr="002D741C">
              <w:rPr>
                <w:color w:val="000000"/>
                <w:vertAlign w:val="superscript"/>
                <w:lang w:val="es-ES"/>
              </w:rPr>
              <w:t>2</w:t>
            </w:r>
            <w:r w:rsidRPr="002D741C">
              <w:rPr>
                <w:color w:val="000000"/>
                <w:lang w:val="es-ES"/>
              </w:rPr>
              <w:t>/día, PO): días 1</w:t>
            </w:r>
            <w:r w:rsidRPr="002D741C">
              <w:rPr>
                <w:color w:val="000000"/>
                <w:lang w:val="es-ES"/>
              </w:rPr>
              <w:noBreakHyphen/>
              <w:t>5; 29</w:t>
            </w:r>
            <w:r w:rsidRPr="002D741C">
              <w:rPr>
                <w:color w:val="000000"/>
                <w:lang w:val="es-ES"/>
              </w:rPr>
              <w:noBreakHyphen/>
              <w:t>33</w:t>
            </w:r>
          </w:p>
          <w:p w14:paraId="426992B2" w14:textId="77777777" w:rsidR="00C45062" w:rsidRPr="002D741C" w:rsidRDefault="00C45062" w:rsidP="00AD13BE">
            <w:pPr>
              <w:pStyle w:val="EndnoteText"/>
              <w:keepNext/>
              <w:widowControl w:val="0"/>
              <w:rPr>
                <w:color w:val="000000"/>
                <w:lang w:val="es-ES"/>
              </w:rPr>
            </w:pPr>
            <w:r w:rsidRPr="002D741C">
              <w:rPr>
                <w:color w:val="000000"/>
                <w:lang w:val="es-ES"/>
              </w:rPr>
              <w:t>6-MP (75 mg/m</w:t>
            </w:r>
            <w:r w:rsidRPr="002D741C">
              <w:rPr>
                <w:color w:val="000000"/>
                <w:vertAlign w:val="superscript"/>
                <w:lang w:val="es-ES"/>
              </w:rPr>
              <w:t>2</w:t>
            </w:r>
            <w:r w:rsidRPr="002D741C">
              <w:rPr>
                <w:color w:val="000000"/>
                <w:lang w:val="es-ES"/>
              </w:rPr>
              <w:t>/día, PO): días 1</w:t>
            </w:r>
            <w:r w:rsidRPr="002D741C">
              <w:rPr>
                <w:color w:val="000000"/>
                <w:lang w:val="es-ES"/>
              </w:rPr>
              <w:noBreakHyphen/>
              <w:t>56</w:t>
            </w:r>
          </w:p>
          <w:p w14:paraId="672D888F" w14:textId="77777777" w:rsidR="00C45062" w:rsidRPr="002D741C" w:rsidRDefault="00C45062" w:rsidP="00AD13BE">
            <w:pPr>
              <w:pStyle w:val="EndnoteText"/>
              <w:keepNext/>
              <w:widowControl w:val="0"/>
              <w:rPr>
                <w:color w:val="000000"/>
                <w:lang w:val="it-IT"/>
              </w:rPr>
            </w:pPr>
            <w:r w:rsidRPr="002D741C">
              <w:rPr>
                <w:color w:val="000000"/>
                <w:lang w:val="it-IT"/>
              </w:rPr>
              <w:t>Metotrexato (20 mg/m</w:t>
            </w:r>
            <w:r w:rsidRPr="002D741C">
              <w:rPr>
                <w:color w:val="000000"/>
                <w:vertAlign w:val="superscript"/>
                <w:lang w:val="it-IT"/>
              </w:rPr>
              <w:t>2</w:t>
            </w:r>
            <w:r w:rsidRPr="002D741C">
              <w:rPr>
                <w:color w:val="000000"/>
                <w:lang w:val="it-IT"/>
              </w:rPr>
              <w:t>/semana, PO): días 1, 8, 15, 22, 29, 36, 43, 50</w:t>
            </w:r>
          </w:p>
        </w:tc>
      </w:tr>
    </w:tbl>
    <w:p w14:paraId="286166C0" w14:textId="77777777" w:rsidR="00C45062" w:rsidRPr="002D741C" w:rsidRDefault="00C45062" w:rsidP="00AD13BE">
      <w:pPr>
        <w:pStyle w:val="EndnoteText"/>
        <w:keepLines/>
        <w:widowControl w:val="0"/>
        <w:rPr>
          <w:color w:val="000000"/>
          <w:szCs w:val="22"/>
          <w:lang w:val="it-IT"/>
        </w:rPr>
      </w:pPr>
      <w:r w:rsidRPr="002D741C">
        <w:rPr>
          <w:color w:val="000000"/>
          <w:szCs w:val="22"/>
          <w:lang w:val="it-IT"/>
        </w:rPr>
        <w:t xml:space="preserve">G-CSF = factor estimulante de colonias de granulocitos, VP-16 = etopósido, </w:t>
      </w:r>
      <w:smartTag w:uri="urn:schemas-microsoft-com:office:smarttags" w:element="PersonName">
        <w:r w:rsidRPr="002D741C">
          <w:rPr>
            <w:color w:val="000000"/>
            <w:szCs w:val="22"/>
            <w:lang w:val="it-IT"/>
          </w:rPr>
          <w:t>MT</w:t>
        </w:r>
      </w:smartTag>
      <w:r w:rsidRPr="002D741C">
        <w:rPr>
          <w:color w:val="000000"/>
          <w:szCs w:val="22"/>
          <w:lang w:val="it-IT"/>
        </w:rPr>
        <w:t xml:space="preserve">X = metotrexato, IV = intravenoso, SC = subcutáneo, </w:t>
      </w:r>
      <w:smartTag w:uri="urn:schemas-microsoft-com:office:smarttags" w:element="PersonName">
        <w:r w:rsidRPr="002D741C">
          <w:rPr>
            <w:color w:val="000000"/>
            <w:szCs w:val="22"/>
            <w:lang w:val="it-IT"/>
          </w:rPr>
          <w:t>IT</w:t>
        </w:r>
      </w:smartTag>
      <w:r w:rsidRPr="002D741C">
        <w:rPr>
          <w:color w:val="000000"/>
          <w:szCs w:val="22"/>
          <w:lang w:val="it-IT"/>
        </w:rPr>
        <w:t xml:space="preserve"> = intratecal, PO = oral, IM = intramuscular, ARA-C = citarabina, CPM = ciclofosfamida, VCR = vincristina, </w:t>
      </w:r>
      <w:smartTag w:uri="urn:schemas-microsoft-com:office:smarttags" w:element="PersonName">
        <w:r w:rsidRPr="002D741C">
          <w:rPr>
            <w:color w:val="000000"/>
            <w:szCs w:val="22"/>
            <w:lang w:val="it-IT"/>
          </w:rPr>
          <w:t>DE</w:t>
        </w:r>
      </w:smartTag>
      <w:r w:rsidRPr="002D741C">
        <w:rPr>
          <w:color w:val="000000"/>
          <w:szCs w:val="22"/>
          <w:lang w:val="it-IT"/>
        </w:rPr>
        <w:t xml:space="preserve">X = dexametasona, DAUN = daunorubicina, 6-MP = 6-mercaptopurina, E.Coli L-ASP = L-asparaginasa, PEG-ASP = PEG asparaginasa, MESNA= 2-mercaptoetano sulfonato de sodio, iii= o hasta que el nivel de </w:t>
      </w:r>
      <w:smartTag w:uri="urn:schemas-microsoft-com:office:smarttags" w:element="PersonName">
        <w:r w:rsidRPr="002D741C">
          <w:rPr>
            <w:color w:val="000000"/>
            <w:szCs w:val="22"/>
            <w:lang w:val="it-IT"/>
          </w:rPr>
          <w:t>MT</w:t>
        </w:r>
      </w:smartTag>
      <w:r w:rsidRPr="002D741C">
        <w:rPr>
          <w:color w:val="000000"/>
          <w:szCs w:val="22"/>
          <w:lang w:val="it-IT"/>
        </w:rPr>
        <w:t>X es &lt; 0,1 µM, q6h = cada 6 horas, Gy= Gray</w:t>
      </w:r>
    </w:p>
    <w:p w14:paraId="3BAFA0A1" w14:textId="77777777" w:rsidR="00C45062" w:rsidRPr="002D741C" w:rsidRDefault="00C45062" w:rsidP="00C45062">
      <w:pPr>
        <w:pStyle w:val="EndnoteText"/>
        <w:widowControl w:val="0"/>
        <w:jc w:val="both"/>
        <w:rPr>
          <w:color w:val="000000"/>
          <w:szCs w:val="22"/>
          <w:lang w:val="it-IT"/>
        </w:rPr>
      </w:pPr>
    </w:p>
    <w:p w14:paraId="5BB201E6" w14:textId="77777777" w:rsidR="00C45062" w:rsidRPr="002D741C" w:rsidRDefault="00C45062" w:rsidP="00C45062">
      <w:pPr>
        <w:pStyle w:val="EndnoteText"/>
        <w:widowControl w:val="0"/>
        <w:rPr>
          <w:color w:val="000000"/>
          <w:lang w:val="es-ES"/>
        </w:rPr>
      </w:pPr>
      <w:r w:rsidRPr="002D741C">
        <w:rPr>
          <w:color w:val="000000"/>
          <w:szCs w:val="22"/>
          <w:lang w:val="es-ES"/>
        </w:rPr>
        <w:t>El ensayo A</w:t>
      </w:r>
      <w:smartTag w:uri="urn:schemas-microsoft-com:office:smarttags" w:element="PersonName">
        <w:r w:rsidRPr="002D741C">
          <w:rPr>
            <w:color w:val="000000"/>
            <w:szCs w:val="22"/>
            <w:lang w:val="es-ES"/>
          </w:rPr>
          <w:t>IT</w:t>
        </w:r>
      </w:smartTag>
      <w:r w:rsidRPr="002D741C">
        <w:rPr>
          <w:color w:val="000000"/>
          <w:szCs w:val="22"/>
          <w:lang w:val="es-ES"/>
        </w:rPr>
        <w:t xml:space="preserve">07 fue un ensayo fase II/III aleatorizado, abierto y multicéntrico que incluyó 128 pacientes (de </w:t>
      </w:r>
      <w:smartTag w:uri="urn:schemas-microsoft-com:office:smarttags" w:element="metricconverter">
        <w:smartTagPr>
          <w:attr w:name="ProductID" w:val="1 a"/>
        </w:smartTagPr>
        <w:r w:rsidRPr="002D741C">
          <w:rPr>
            <w:color w:val="000000"/>
            <w:szCs w:val="22"/>
            <w:lang w:val="es-ES"/>
          </w:rPr>
          <w:t>1 a</w:t>
        </w:r>
      </w:smartTag>
      <w:r w:rsidRPr="002D741C">
        <w:rPr>
          <w:color w:val="000000"/>
          <w:szCs w:val="22"/>
          <w:lang w:val="es-ES"/>
        </w:rPr>
        <w:t xml:space="preserve"> &lt; 18 años) tratados con imatinib en combinación con quimioterapia. Los datos de seguridad de este ensayo parecen estar en línea con el perfil de seguridad de imatinib en pacientes con LLA Ph+.</w:t>
      </w:r>
    </w:p>
    <w:p w14:paraId="56FFC459" w14:textId="77777777" w:rsidR="00C45062" w:rsidRPr="002D741C" w:rsidRDefault="00C45062" w:rsidP="00C45062">
      <w:pPr>
        <w:pStyle w:val="EndnoteText"/>
        <w:widowControl w:val="0"/>
        <w:tabs>
          <w:tab w:val="clear" w:pos="567"/>
          <w:tab w:val="left" w:pos="1134"/>
        </w:tabs>
        <w:rPr>
          <w:iCs/>
          <w:color w:val="000000"/>
          <w:szCs w:val="22"/>
          <w:lang w:val="es-ES"/>
        </w:rPr>
      </w:pPr>
    </w:p>
    <w:p w14:paraId="2D1C6479" w14:textId="77777777" w:rsidR="00C45062" w:rsidRPr="002D741C" w:rsidRDefault="00C45062" w:rsidP="00C45062">
      <w:pPr>
        <w:pStyle w:val="EndnoteText"/>
        <w:widowControl w:val="0"/>
        <w:tabs>
          <w:tab w:val="clear" w:pos="567"/>
        </w:tabs>
        <w:rPr>
          <w:color w:val="000000"/>
          <w:szCs w:val="22"/>
          <w:lang w:val="es-ES"/>
        </w:rPr>
      </w:pPr>
      <w:r w:rsidRPr="002D741C">
        <w:rPr>
          <w:i/>
          <w:iCs/>
          <w:color w:val="000000"/>
          <w:szCs w:val="22"/>
          <w:lang w:val="es-ES"/>
        </w:rPr>
        <w:t>LLA Ph+ en recaída/refractaria</w:t>
      </w:r>
      <w:r w:rsidRPr="002D741C">
        <w:rPr>
          <w:color w:val="000000"/>
          <w:szCs w:val="22"/>
          <w:lang w:val="es-ES"/>
        </w:rPr>
        <w:t>: Cuando se utilizó imatinib como agente único en pacientes con LLA Ph+ en recaída/refractaria se observó en los 53 de los 411 pacientes evaluables para la respuesta, una tasa de respuesta hematológica del 30% (9% completa) y una tasa de respuesta citogenética mayor del 23%. (A destacar, de los 411 pacientes, 353 se trataron en un programa de acceso ampliado sin recogida de datos de respuesta primarios). La mediana de tiempo a la progresión en la población general de los 411 pacientes con LLA Ph+ en recaída/refractaria varió de 2,6 a 3,1 meses, y la mediana de supervivencia global en los 401 pacientes evaluables varió de 4,9 a 9 meses. Los datos fueron similares cuando se re-analizaron para incluir sólo aquellos pacientes de 55 ó más años de edad.</w:t>
      </w:r>
    </w:p>
    <w:p w14:paraId="35473D24" w14:textId="77777777" w:rsidR="00C45062" w:rsidRPr="002D741C" w:rsidRDefault="00C45062" w:rsidP="00C45062">
      <w:pPr>
        <w:pStyle w:val="EndnoteText"/>
        <w:widowControl w:val="0"/>
        <w:tabs>
          <w:tab w:val="clear" w:pos="567"/>
        </w:tabs>
        <w:rPr>
          <w:color w:val="000000"/>
          <w:szCs w:val="22"/>
          <w:lang w:val="es-ES"/>
        </w:rPr>
      </w:pPr>
    </w:p>
    <w:p w14:paraId="090156FD" w14:textId="77777777" w:rsidR="00C45062" w:rsidRPr="002D741C" w:rsidRDefault="00C45062" w:rsidP="00AD13BE">
      <w:pPr>
        <w:pStyle w:val="EndnoteText"/>
        <w:keepNext/>
        <w:widowControl w:val="0"/>
        <w:tabs>
          <w:tab w:val="clear" w:pos="567"/>
        </w:tabs>
        <w:rPr>
          <w:color w:val="000000"/>
          <w:szCs w:val="22"/>
          <w:u w:val="single"/>
          <w:lang w:val="es-ES"/>
        </w:rPr>
      </w:pPr>
      <w:r w:rsidRPr="002D741C">
        <w:rPr>
          <w:color w:val="000000"/>
          <w:szCs w:val="22"/>
          <w:u w:val="single"/>
          <w:lang w:val="es-ES"/>
        </w:rPr>
        <w:t xml:space="preserve">Ensayos clínicos en </w:t>
      </w:r>
      <w:smartTag w:uri="urn:schemas-microsoft-com:office:smarttags" w:element="stockticker">
        <w:r w:rsidRPr="002D741C">
          <w:rPr>
            <w:color w:val="000000"/>
            <w:szCs w:val="22"/>
            <w:u w:val="single"/>
            <w:lang w:val="es-ES"/>
          </w:rPr>
          <w:t>SMD</w:t>
        </w:r>
      </w:smartTag>
      <w:r w:rsidRPr="002D741C">
        <w:rPr>
          <w:color w:val="000000"/>
          <w:szCs w:val="22"/>
          <w:u w:val="single"/>
          <w:lang w:val="es-ES"/>
        </w:rPr>
        <w:t>/</w:t>
      </w:r>
      <w:smartTag w:uri="urn:schemas-microsoft-com:office:smarttags" w:element="stockticker">
        <w:r w:rsidRPr="002D741C">
          <w:rPr>
            <w:color w:val="000000"/>
            <w:szCs w:val="22"/>
            <w:u w:val="single"/>
            <w:lang w:val="es-ES"/>
          </w:rPr>
          <w:t>SMP</w:t>
        </w:r>
      </w:smartTag>
    </w:p>
    <w:p w14:paraId="1372D146" w14:textId="77777777" w:rsidR="00F42C0E" w:rsidRPr="002D741C" w:rsidRDefault="00C45062" w:rsidP="00F42C0E">
      <w:pPr>
        <w:pStyle w:val="EndnoteText"/>
        <w:widowControl w:val="0"/>
        <w:tabs>
          <w:tab w:val="clear" w:pos="567"/>
        </w:tabs>
        <w:rPr>
          <w:color w:val="000000"/>
          <w:szCs w:val="22"/>
          <w:lang w:val="es-ES"/>
        </w:rPr>
      </w:pPr>
      <w:r w:rsidRPr="002D741C">
        <w:rPr>
          <w:color w:val="000000"/>
          <w:szCs w:val="22"/>
          <w:lang w:val="es-ES"/>
        </w:rPr>
        <w:t>La experiencia con Glivec en esta indicación es muy limitada y está basada en tasas de respuesta hematológica y citogenética. No existen ensayos clínicos controlados que demuestren un beneficio clínico o un aumento de la supervivencia. Se llevó a cabo un ensayo abierto, multicéntrico fase II (estudio B2225) para evaluar Glivec en diversas poblaciones de pacientes que sufrían enfermedades con riesgo vital asociadas con proteinas tirosina quinasa Abl, Kit o PDG</w:t>
      </w:r>
      <w:smartTag w:uri="urn:schemas-microsoft-com:office:smarttags" w:element="PersonName">
        <w:r w:rsidRPr="002D741C">
          <w:rPr>
            <w:color w:val="000000"/>
            <w:szCs w:val="22"/>
            <w:lang w:val="es-ES"/>
          </w:rPr>
          <w:t>FR</w:t>
        </w:r>
      </w:smartTag>
      <w:r w:rsidRPr="002D741C">
        <w:rPr>
          <w:color w:val="000000"/>
          <w:szCs w:val="22"/>
          <w:lang w:val="es-ES"/>
        </w:rPr>
        <w:t xml:space="preserve">. Este estudio incluyó a 7 pacientes con </w:t>
      </w:r>
      <w:smartTag w:uri="urn:schemas-microsoft-com:office:smarttags" w:element="stockticker">
        <w:r w:rsidRPr="002D741C">
          <w:rPr>
            <w:color w:val="000000"/>
            <w:szCs w:val="22"/>
            <w:lang w:val="es-ES"/>
          </w:rPr>
          <w:t>SMD</w:t>
        </w:r>
      </w:smartTag>
      <w:r w:rsidRPr="002D741C">
        <w:rPr>
          <w:color w:val="000000"/>
          <w:szCs w:val="22"/>
          <w:lang w:val="es-ES"/>
        </w:rPr>
        <w:t>/</w:t>
      </w:r>
      <w:smartTag w:uri="urn:schemas-microsoft-com:office:smarttags" w:element="stockticker">
        <w:r w:rsidRPr="002D741C">
          <w:rPr>
            <w:color w:val="000000"/>
            <w:szCs w:val="22"/>
            <w:lang w:val="es-ES"/>
          </w:rPr>
          <w:t>SMP</w:t>
        </w:r>
      </w:smartTag>
      <w:r w:rsidRPr="002D741C">
        <w:rPr>
          <w:color w:val="000000"/>
          <w:szCs w:val="22"/>
          <w:lang w:val="es-ES"/>
        </w:rPr>
        <w:t xml:space="preserve"> que fueron tratados con 400 mg de Glivec diarios. Tres pacientes presentaron una respuesta</w:t>
      </w:r>
      <w:r w:rsidRPr="002D741C">
        <w:rPr>
          <w:snapToGrid/>
          <w:color w:val="000000"/>
          <w:sz w:val="20"/>
          <w:szCs w:val="22"/>
          <w:lang w:val="es-ES"/>
        </w:rPr>
        <w:t xml:space="preserve"> </w:t>
      </w:r>
      <w:r w:rsidRPr="002D741C">
        <w:rPr>
          <w:color w:val="000000"/>
          <w:szCs w:val="22"/>
          <w:lang w:val="es-ES"/>
        </w:rPr>
        <w:t>hematológica completa (RHC) y un paciente experimentó una respuesta hematológica parcial (RHP). En el momento del análisis original, tres de los cuatro pacientes con reordenamientos del gen PDG</w:t>
      </w:r>
      <w:smartTag w:uri="urn:schemas-microsoft-com:office:smarttags" w:element="PersonName">
        <w:r w:rsidRPr="002D741C">
          <w:rPr>
            <w:color w:val="000000"/>
            <w:szCs w:val="22"/>
            <w:lang w:val="es-ES"/>
          </w:rPr>
          <w:t>FR</w:t>
        </w:r>
      </w:smartTag>
      <w:r w:rsidRPr="002D741C">
        <w:rPr>
          <w:color w:val="000000"/>
          <w:szCs w:val="22"/>
          <w:lang w:val="es-ES"/>
        </w:rPr>
        <w:t xml:space="preserve"> detectados, desarrollaron una respuesta hematológica (2 RHC y 1 RHP). La edad de estos pacientes varió de 20 a 72 años.</w:t>
      </w:r>
    </w:p>
    <w:p w14:paraId="36D32819" w14:textId="77777777" w:rsidR="00F42C0E" w:rsidRPr="002D741C" w:rsidRDefault="00F42C0E" w:rsidP="00F42C0E">
      <w:pPr>
        <w:pStyle w:val="EndnoteText"/>
        <w:widowControl w:val="0"/>
        <w:tabs>
          <w:tab w:val="clear" w:pos="567"/>
        </w:tabs>
        <w:rPr>
          <w:color w:val="000000"/>
          <w:szCs w:val="22"/>
          <w:lang w:val="es-ES"/>
        </w:rPr>
      </w:pPr>
    </w:p>
    <w:p w14:paraId="5DB60D5D" w14:textId="77777777" w:rsidR="00F42C0E" w:rsidRPr="002D741C" w:rsidRDefault="00F42C0E" w:rsidP="00F42C0E">
      <w:pPr>
        <w:pStyle w:val="EndnoteText"/>
        <w:widowControl w:val="0"/>
        <w:tabs>
          <w:tab w:val="clear" w:pos="567"/>
        </w:tabs>
        <w:rPr>
          <w:color w:val="000000"/>
          <w:szCs w:val="22"/>
          <w:lang w:val="es-ES"/>
        </w:rPr>
      </w:pPr>
      <w:r w:rsidRPr="002D741C">
        <w:rPr>
          <w:color w:val="000000"/>
          <w:szCs w:val="22"/>
          <w:lang w:val="es-ES"/>
        </w:rPr>
        <w:t>Se realizó un estudio observacional (estudio L2401) para recopilar datos de seguridad y de eficacia a largo plazo en pacientes con neoplasias mieloproliferativas con reordenamiento β PDGFR y que fueron tratados con Glivec. Los 23 pacientes incluidos en este estudio recibieron Glivec a una dosis diaria media de 264 mg (rango: 100 a 400 mg) durante una media de 7,2 años (rango 0,1 a 12,7 años). Debido al carácter observacional de este estudio, se disponen de datos de la evaluación de parámetros hematológicos, citogenéticos y moleculares de 22, de 9 y de 17 de los 23 pacientes reclutados, respectivamente. Al asumir de forma conservadora que los pacientes sin datos eran no respondedores, se observó una RHC en 20/23 de los pacientes (87%), una RCC en 9/23 de los pacientes (39,1%), y una RM en 11/23 de los pacientes (47,8%), respectivamente. Cuando la tasa de respuesta se calculó a partir de pacientes con al menos una evaluación válida, la tasa de respuesta para RHC, RCC y RM fue de 20/22 (90,9%), 9/9 (100%) y 11/17 (64,7%), respectivamente.</w:t>
      </w:r>
    </w:p>
    <w:p w14:paraId="2C2B9129" w14:textId="77777777" w:rsidR="00F42C0E" w:rsidRPr="002D741C" w:rsidRDefault="00F42C0E" w:rsidP="00F42C0E">
      <w:pPr>
        <w:pStyle w:val="EndnoteText"/>
        <w:widowControl w:val="0"/>
        <w:tabs>
          <w:tab w:val="clear" w:pos="567"/>
        </w:tabs>
        <w:rPr>
          <w:color w:val="000000"/>
          <w:szCs w:val="22"/>
          <w:lang w:val="es-ES"/>
        </w:rPr>
      </w:pPr>
    </w:p>
    <w:p w14:paraId="1E6CACB6" w14:textId="77777777" w:rsidR="00C45062" w:rsidRPr="002D741C" w:rsidRDefault="00C45062" w:rsidP="00C45062">
      <w:pPr>
        <w:pStyle w:val="EndnoteText"/>
        <w:widowControl w:val="0"/>
        <w:tabs>
          <w:tab w:val="clear" w:pos="567"/>
        </w:tabs>
        <w:rPr>
          <w:color w:val="000000"/>
          <w:szCs w:val="22"/>
          <w:lang w:val="es-ES"/>
        </w:rPr>
      </w:pPr>
      <w:r w:rsidRPr="002D741C">
        <w:rPr>
          <w:color w:val="000000"/>
          <w:szCs w:val="22"/>
          <w:lang w:val="es-ES"/>
        </w:rPr>
        <w:t xml:space="preserve">Además se notificaron unos 24 pacientes adicionales con </w:t>
      </w:r>
      <w:smartTag w:uri="urn:schemas-microsoft-com:office:smarttags" w:element="stockticker">
        <w:r w:rsidRPr="002D741C">
          <w:rPr>
            <w:color w:val="000000"/>
            <w:szCs w:val="22"/>
            <w:lang w:val="es-ES"/>
          </w:rPr>
          <w:t>SMD</w:t>
        </w:r>
      </w:smartTag>
      <w:r w:rsidRPr="002D741C">
        <w:rPr>
          <w:color w:val="000000"/>
          <w:szCs w:val="22"/>
          <w:lang w:val="es-ES"/>
        </w:rPr>
        <w:t>/</w:t>
      </w:r>
      <w:smartTag w:uri="urn:schemas-microsoft-com:office:smarttags" w:element="stockticker">
        <w:r w:rsidRPr="002D741C">
          <w:rPr>
            <w:color w:val="000000"/>
            <w:szCs w:val="22"/>
            <w:lang w:val="es-ES"/>
          </w:rPr>
          <w:t>SMP</w:t>
        </w:r>
      </w:smartTag>
      <w:r w:rsidRPr="002D741C">
        <w:rPr>
          <w:color w:val="000000"/>
          <w:szCs w:val="22"/>
          <w:lang w:val="es-ES"/>
        </w:rPr>
        <w:t xml:space="preserve"> en 13 publicaciones. De ellos, 21 pacientes se trataron con 400 mg de Glivec diarios, mientras los otros 3 pacientes recibieron dosis más bajas. En once pacientes se detectaron reordenamientos del gen PDG</w:t>
      </w:r>
      <w:smartTag w:uri="urn:schemas-microsoft-com:office:smarttags" w:element="PersonName">
        <w:r w:rsidRPr="002D741C">
          <w:rPr>
            <w:color w:val="000000"/>
            <w:szCs w:val="22"/>
            <w:lang w:val="es-ES"/>
          </w:rPr>
          <w:t>FR</w:t>
        </w:r>
      </w:smartTag>
      <w:r w:rsidRPr="002D741C">
        <w:rPr>
          <w:color w:val="000000"/>
          <w:szCs w:val="22"/>
          <w:lang w:val="es-ES"/>
        </w:rPr>
        <w:t xml:space="preserve">, 9 de los cuales alcanzaron una RHC y 1 una RHP. La edad de estos pacientes varió de </w:t>
      </w:r>
      <w:smartTag w:uri="urn:schemas-microsoft-com:office:smarttags" w:element="metricconverter">
        <w:smartTagPr>
          <w:attr w:name="ProductID" w:val="2 a"/>
        </w:smartTagPr>
        <w:r w:rsidRPr="002D741C">
          <w:rPr>
            <w:color w:val="000000"/>
            <w:szCs w:val="22"/>
            <w:lang w:val="es-ES"/>
          </w:rPr>
          <w:t>2 a</w:t>
        </w:r>
      </w:smartTag>
      <w:r w:rsidRPr="002D741C">
        <w:rPr>
          <w:color w:val="000000"/>
          <w:szCs w:val="22"/>
          <w:lang w:val="es-ES"/>
        </w:rPr>
        <w:t xml:space="preserve"> 79 años. En una publicación reciente con una actualización de la información de 6 de estos 11 pacientes reveló que todos estos pacientes permanecía en remisión citogenética (rango 32</w:t>
      </w:r>
      <w:r w:rsidRPr="002D741C">
        <w:rPr>
          <w:color w:val="000000"/>
          <w:szCs w:val="22"/>
          <w:lang w:val="es-ES"/>
        </w:rPr>
        <w:noBreakHyphen/>
        <w:t xml:space="preserve">38 meses). La misma publicación aportó datos de seguimiento a largo plazo de 12 pacientes con </w:t>
      </w:r>
      <w:smartTag w:uri="urn:schemas-microsoft-com:office:smarttags" w:element="stockticker">
        <w:r w:rsidRPr="002D741C">
          <w:rPr>
            <w:color w:val="000000"/>
            <w:szCs w:val="22"/>
            <w:lang w:val="es-ES"/>
          </w:rPr>
          <w:t>SMD</w:t>
        </w:r>
      </w:smartTag>
      <w:r w:rsidRPr="002D741C">
        <w:rPr>
          <w:color w:val="000000"/>
          <w:szCs w:val="22"/>
          <w:lang w:val="es-ES"/>
        </w:rPr>
        <w:t>/</w:t>
      </w:r>
      <w:smartTag w:uri="urn:schemas-microsoft-com:office:smarttags" w:element="stockticker">
        <w:r w:rsidRPr="002D741C">
          <w:rPr>
            <w:color w:val="000000"/>
            <w:szCs w:val="22"/>
            <w:lang w:val="es-ES"/>
          </w:rPr>
          <w:t>SMP</w:t>
        </w:r>
      </w:smartTag>
      <w:r w:rsidRPr="002D741C">
        <w:rPr>
          <w:color w:val="000000"/>
          <w:szCs w:val="22"/>
          <w:lang w:val="es-ES"/>
        </w:rPr>
        <w:t xml:space="preserve"> con reordenamientos del </w:t>
      </w:r>
      <w:r w:rsidRPr="002D741C">
        <w:rPr>
          <w:color w:val="000000"/>
          <w:szCs w:val="22"/>
          <w:lang w:val="es-ES"/>
        </w:rPr>
        <w:lastRenderedPageBreak/>
        <w:t>gen PDG</w:t>
      </w:r>
      <w:smartTag w:uri="urn:schemas-microsoft-com:office:smarttags" w:element="PersonName">
        <w:r w:rsidRPr="002D741C">
          <w:rPr>
            <w:color w:val="000000"/>
            <w:szCs w:val="22"/>
            <w:lang w:val="es-ES"/>
          </w:rPr>
          <w:t>FR</w:t>
        </w:r>
      </w:smartTag>
      <w:r w:rsidRPr="002D741C">
        <w:rPr>
          <w:color w:val="000000"/>
          <w:szCs w:val="22"/>
          <w:lang w:val="es-ES"/>
        </w:rPr>
        <w:t xml:space="preserve"> (5 pacientes del estudio B2225). Estos pacientes recibieron Glivec durante una mediana de 47 meses (rango 24 días – 60 meses). En 6 de estos pacientes el seguimiento actual supera los 4 años. Once pacientes alcanzaron una RHC rápida; diez mostraron una resolución completa de las anormalidades citogenéticas y una disminución o desaparición de los tránscritos de fusión medidos por RT-</w:t>
      </w:r>
      <w:smartTag w:uri="urn:schemas-microsoft-com:office:smarttags" w:element="stockticker">
        <w:r w:rsidRPr="002D741C">
          <w:rPr>
            <w:color w:val="000000"/>
            <w:szCs w:val="22"/>
            <w:lang w:val="es-ES"/>
          </w:rPr>
          <w:t>PCR</w:t>
        </w:r>
      </w:smartTag>
      <w:r w:rsidRPr="002D741C">
        <w:rPr>
          <w:color w:val="000000"/>
          <w:szCs w:val="22"/>
          <w:lang w:val="es-ES"/>
        </w:rPr>
        <w:t>. Las respuestas hematológicas y citogenéticas se han mantenido durante una mediana de 49 meses (rango 19-60) y 47 meses (rango 16</w:t>
      </w:r>
      <w:r w:rsidRPr="002D741C">
        <w:rPr>
          <w:color w:val="000000"/>
          <w:szCs w:val="22"/>
          <w:lang w:val="es-ES"/>
        </w:rPr>
        <w:noBreakHyphen/>
        <w:t>59), respectivamente. La supervivencia global es de 65 meses desde el diagnóstico (rango 25</w:t>
      </w:r>
      <w:r w:rsidRPr="002D741C">
        <w:rPr>
          <w:color w:val="000000"/>
          <w:szCs w:val="22"/>
          <w:lang w:val="es-ES"/>
        </w:rPr>
        <w:noBreakHyphen/>
        <w:t>234). La administración de Glivec a pacientes sin la traslocación genética normalmente no supone una mejoría.</w:t>
      </w:r>
    </w:p>
    <w:p w14:paraId="4A2A7B4A" w14:textId="77777777" w:rsidR="00C45062" w:rsidRPr="002D741C" w:rsidRDefault="00C45062" w:rsidP="00C45062">
      <w:pPr>
        <w:pStyle w:val="EndnoteText"/>
        <w:widowControl w:val="0"/>
        <w:tabs>
          <w:tab w:val="clear" w:pos="567"/>
        </w:tabs>
        <w:rPr>
          <w:color w:val="000000"/>
          <w:szCs w:val="22"/>
          <w:lang w:val="es-ES"/>
        </w:rPr>
      </w:pPr>
    </w:p>
    <w:p w14:paraId="5AC8900F" w14:textId="77777777" w:rsidR="00C45062" w:rsidRPr="002D741C" w:rsidRDefault="00C45062" w:rsidP="00C45062">
      <w:pPr>
        <w:pStyle w:val="EndnoteText"/>
        <w:widowControl w:val="0"/>
        <w:tabs>
          <w:tab w:val="clear" w:pos="567"/>
        </w:tabs>
        <w:rPr>
          <w:color w:val="000000"/>
          <w:szCs w:val="22"/>
          <w:lang w:val="es-ES"/>
        </w:rPr>
      </w:pPr>
      <w:r w:rsidRPr="002D741C">
        <w:rPr>
          <w:color w:val="000000"/>
          <w:szCs w:val="22"/>
          <w:lang w:val="es-ES"/>
        </w:rPr>
        <w:t>No existen ensayos controlados en pacientes pediátricos con SMD/SMP. En 4 publicaciones se notificaron cinco (5) pacientes con SMD/SMP asociado con reordenamientos del gen PDG</w:t>
      </w:r>
      <w:smartTag w:uri="urn:schemas-microsoft-com:office:smarttags" w:element="PersonName">
        <w:r w:rsidRPr="002D741C">
          <w:rPr>
            <w:color w:val="000000"/>
            <w:szCs w:val="22"/>
            <w:lang w:val="es-ES"/>
          </w:rPr>
          <w:t>FR</w:t>
        </w:r>
      </w:smartTag>
      <w:r w:rsidRPr="002D741C">
        <w:rPr>
          <w:color w:val="000000"/>
          <w:szCs w:val="22"/>
          <w:lang w:val="es-ES"/>
        </w:rPr>
        <w:t xml:space="preserve">. La edad de estos pacientes osciló entre 3 meses y 4 años y se administró imatinib a dosis de 50 mg diarios o dosis de </w:t>
      </w:r>
      <w:smartTag w:uri="urn:schemas-microsoft-com:office:smarttags" w:element="metricconverter">
        <w:smartTagPr>
          <w:attr w:name="ProductID" w:val="92,5 a"/>
        </w:smartTagPr>
        <w:r w:rsidRPr="002D741C">
          <w:rPr>
            <w:color w:val="000000"/>
            <w:szCs w:val="22"/>
            <w:lang w:val="es-ES"/>
          </w:rPr>
          <w:t>92,5 a</w:t>
        </w:r>
      </w:smartTag>
      <w:r w:rsidRPr="002D741C">
        <w:rPr>
          <w:color w:val="000000"/>
          <w:szCs w:val="22"/>
          <w:lang w:val="es-ES"/>
        </w:rPr>
        <w:t xml:space="preserve"> 340 mg/m</w:t>
      </w:r>
      <w:r w:rsidRPr="002D741C">
        <w:rPr>
          <w:color w:val="000000"/>
          <w:szCs w:val="22"/>
          <w:vertAlign w:val="superscript"/>
          <w:lang w:val="es-ES"/>
        </w:rPr>
        <w:t>2</w:t>
      </w:r>
      <w:r w:rsidRPr="002D741C">
        <w:rPr>
          <w:color w:val="000000"/>
          <w:szCs w:val="22"/>
          <w:lang w:val="es-ES"/>
        </w:rPr>
        <w:t xml:space="preserve"> diarios. Todos los pacientes alcanzaron respuesta hematológica completa, respuesta citogenética y/o respuesta clínica.</w:t>
      </w:r>
    </w:p>
    <w:p w14:paraId="5B4B88E8" w14:textId="77777777" w:rsidR="00C45062" w:rsidRPr="002D741C" w:rsidRDefault="00C45062" w:rsidP="00C45062">
      <w:pPr>
        <w:pStyle w:val="EndnoteText"/>
        <w:widowControl w:val="0"/>
        <w:tabs>
          <w:tab w:val="clear" w:pos="567"/>
        </w:tabs>
        <w:rPr>
          <w:color w:val="000000"/>
          <w:szCs w:val="22"/>
          <w:lang w:val="es-ES"/>
        </w:rPr>
      </w:pPr>
      <w:r w:rsidRPr="002D741C">
        <w:rPr>
          <w:color w:val="000000"/>
          <w:szCs w:val="22"/>
          <w:lang w:val="es-ES"/>
        </w:rPr>
        <w:t xml:space="preserve"> </w:t>
      </w:r>
    </w:p>
    <w:p w14:paraId="7BD016FA" w14:textId="77777777" w:rsidR="00C45062" w:rsidRPr="002D741C" w:rsidRDefault="00C45062" w:rsidP="00C45062">
      <w:pPr>
        <w:pStyle w:val="EndnoteText"/>
        <w:widowControl w:val="0"/>
        <w:tabs>
          <w:tab w:val="clear" w:pos="567"/>
        </w:tabs>
        <w:rPr>
          <w:color w:val="000000"/>
          <w:szCs w:val="22"/>
          <w:u w:val="single"/>
          <w:lang w:val="es-ES"/>
        </w:rPr>
      </w:pPr>
      <w:r w:rsidRPr="002D741C">
        <w:rPr>
          <w:color w:val="000000"/>
          <w:szCs w:val="22"/>
          <w:u w:val="single"/>
          <w:lang w:val="es-ES"/>
        </w:rPr>
        <w:t>Ensayos clínicos en SHE/LEC</w:t>
      </w:r>
    </w:p>
    <w:p w14:paraId="790E67D5" w14:textId="77777777" w:rsidR="00C45062" w:rsidRPr="002D741C" w:rsidRDefault="00C45062" w:rsidP="00C45062">
      <w:pPr>
        <w:pStyle w:val="EndnoteText"/>
        <w:widowControl w:val="0"/>
        <w:tabs>
          <w:tab w:val="clear" w:pos="567"/>
        </w:tabs>
        <w:rPr>
          <w:color w:val="000000"/>
          <w:szCs w:val="22"/>
          <w:lang w:val="es-ES_tradnl"/>
        </w:rPr>
      </w:pPr>
      <w:r w:rsidRPr="002D741C">
        <w:rPr>
          <w:color w:val="000000"/>
          <w:szCs w:val="22"/>
          <w:lang w:val="es-ES_tradnl"/>
        </w:rPr>
        <w:t>Se llevó a cabo un ensayo clínico abierto, multicéntrico, fase II (estudio B2225) para evaluar Glivec en diversas poblaciones de pacientes</w:t>
      </w:r>
      <w:r w:rsidRPr="002D741C">
        <w:rPr>
          <w:color w:val="000000"/>
          <w:szCs w:val="22"/>
          <w:lang w:val="es-ES"/>
        </w:rPr>
        <w:t xml:space="preserve"> que sufrían</w:t>
      </w:r>
      <w:r w:rsidRPr="002D741C">
        <w:rPr>
          <w:color w:val="000000"/>
          <w:szCs w:val="22"/>
          <w:lang w:val="es-ES_tradnl"/>
        </w:rPr>
        <w:t xml:space="preserve"> enfermedades con riesgo vital asociadas con proteinas tirosina quinasas Abl, Kit o </w:t>
      </w:r>
      <w:r w:rsidRPr="002D741C">
        <w:rPr>
          <w:color w:val="000000"/>
          <w:szCs w:val="22"/>
          <w:lang w:val="es-ES"/>
        </w:rPr>
        <w:t>PDG</w:t>
      </w:r>
      <w:smartTag w:uri="urn:schemas-microsoft-com:office:smarttags" w:element="PersonName">
        <w:r w:rsidRPr="002D741C">
          <w:rPr>
            <w:color w:val="000000"/>
            <w:szCs w:val="22"/>
            <w:lang w:val="es-ES"/>
          </w:rPr>
          <w:t>FR</w:t>
        </w:r>
      </w:smartTag>
      <w:r w:rsidRPr="002D741C">
        <w:rPr>
          <w:color w:val="000000"/>
          <w:szCs w:val="22"/>
          <w:lang w:val="es-ES_tradnl"/>
        </w:rPr>
        <w:t xml:space="preserve">. En este estudio, 14 pacientes con SHE/LEC fueron tratados con 100 mg a 1.000 mg de Glivec diarios. Unos 162 pacientes adicionales con SHE/LEC, notificados en 35 casos publicados y series de casos recibieron Glivec a dosis de 75 mg a 800 mg diarios. Se evaluaron las anormalidades citogenéticas en 117 de la población total de 176 pacientes. En 61 de estos 117 pacientes se identificaron quinasas de fusión </w:t>
      </w:r>
      <w:smartTag w:uri="urn:schemas-microsoft-com:office:smarttags" w:element="PersonName">
        <w:r w:rsidRPr="002D741C">
          <w:rPr>
            <w:color w:val="000000"/>
            <w:szCs w:val="22"/>
            <w:lang w:val="es-ES_tradnl"/>
          </w:rPr>
          <w:t>FI</w:t>
        </w:r>
      </w:smartTag>
      <w:r w:rsidRPr="002D741C">
        <w:rPr>
          <w:color w:val="000000"/>
          <w:szCs w:val="22"/>
          <w:lang w:val="es-ES_tradnl"/>
        </w:rPr>
        <w:t>P1L1-PDG</w:t>
      </w:r>
      <w:smartTag w:uri="urn:schemas-microsoft-com:office:smarttags" w:element="PersonName">
        <w:r w:rsidRPr="002D741C">
          <w:rPr>
            <w:color w:val="000000"/>
            <w:szCs w:val="22"/>
            <w:lang w:val="es-ES_tradnl"/>
          </w:rPr>
          <w:t>FR</w:t>
        </w:r>
      </w:smartTag>
      <w:r w:rsidRPr="002D741C">
        <w:rPr>
          <w:color w:val="000000"/>
          <w:szCs w:val="22"/>
        </w:rPr>
        <w:t>α</w:t>
      </w:r>
      <w:r w:rsidRPr="002D741C">
        <w:rPr>
          <w:color w:val="000000"/>
          <w:szCs w:val="22"/>
          <w:lang w:val="es-ES_tradnl"/>
        </w:rPr>
        <w:t xml:space="preserve">. En otros 3 informes publicados, se hallaron cuatro pacientes adicionales con SHE con </w:t>
      </w:r>
      <w:smartTag w:uri="urn:schemas-microsoft-com:office:smarttags" w:element="PersonName">
        <w:r w:rsidRPr="002D741C">
          <w:rPr>
            <w:color w:val="000000"/>
            <w:szCs w:val="22"/>
            <w:lang w:val="es-ES_tradnl"/>
          </w:rPr>
          <w:t>FI</w:t>
        </w:r>
      </w:smartTag>
      <w:r w:rsidRPr="002D741C">
        <w:rPr>
          <w:color w:val="000000"/>
          <w:szCs w:val="22"/>
          <w:lang w:val="es-ES_tradnl"/>
        </w:rPr>
        <w:t>P1L1-PDG</w:t>
      </w:r>
      <w:smartTag w:uri="urn:schemas-microsoft-com:office:smarttags" w:element="PersonName">
        <w:r w:rsidRPr="002D741C">
          <w:rPr>
            <w:color w:val="000000"/>
            <w:szCs w:val="22"/>
            <w:lang w:val="es-ES_tradnl"/>
          </w:rPr>
          <w:t>FR</w:t>
        </w:r>
      </w:smartTag>
      <w:r w:rsidRPr="002D741C">
        <w:rPr>
          <w:color w:val="000000"/>
          <w:szCs w:val="22"/>
        </w:rPr>
        <w:t>α</w:t>
      </w:r>
      <w:r w:rsidRPr="002D741C">
        <w:rPr>
          <w:color w:val="000000"/>
          <w:szCs w:val="22"/>
          <w:lang w:val="es-ES_tradnl"/>
        </w:rPr>
        <w:t xml:space="preserve"> positivo. Los 65 pacientes positivos para la quinasa de fusión </w:t>
      </w:r>
      <w:smartTag w:uri="urn:schemas-microsoft-com:office:smarttags" w:element="PersonName">
        <w:r w:rsidRPr="002D741C">
          <w:rPr>
            <w:color w:val="000000"/>
            <w:szCs w:val="22"/>
            <w:lang w:val="es-ES_tradnl"/>
          </w:rPr>
          <w:t>FI</w:t>
        </w:r>
      </w:smartTag>
      <w:r w:rsidRPr="002D741C">
        <w:rPr>
          <w:color w:val="000000"/>
          <w:szCs w:val="22"/>
          <w:lang w:val="es-ES_tradnl"/>
        </w:rPr>
        <w:t>P1L1-PDG</w:t>
      </w:r>
      <w:smartTag w:uri="urn:schemas-microsoft-com:office:smarttags" w:element="PersonName">
        <w:r w:rsidRPr="002D741C">
          <w:rPr>
            <w:color w:val="000000"/>
            <w:szCs w:val="22"/>
            <w:lang w:val="es-ES_tradnl"/>
          </w:rPr>
          <w:t>FR</w:t>
        </w:r>
      </w:smartTag>
      <w:r w:rsidRPr="002D741C">
        <w:rPr>
          <w:color w:val="000000"/>
          <w:szCs w:val="22"/>
        </w:rPr>
        <w:t>α</w:t>
      </w:r>
      <w:r w:rsidRPr="002D741C">
        <w:rPr>
          <w:color w:val="000000"/>
          <w:szCs w:val="22"/>
          <w:lang w:val="es-ES_tradnl"/>
        </w:rPr>
        <w:t xml:space="preserve"> alcanzaron una RHC mantenida durante meses (rango de 1+ a 44+ meses censurados en el momento del informe). Tal como se recoge en una publicación reciente 21 de estos 65 pacientes también alcanzaron la remisión molecular completa con una mediana de seguimiento de 28 meses (rango 13</w:t>
      </w:r>
      <w:r w:rsidRPr="002D741C">
        <w:rPr>
          <w:color w:val="000000"/>
          <w:szCs w:val="22"/>
          <w:lang w:val="es-ES_tradnl"/>
        </w:rPr>
        <w:noBreakHyphen/>
        <w:t xml:space="preserve">67 meses). La edad de estos pacientes varió de </w:t>
      </w:r>
      <w:smartTag w:uri="urn:schemas-microsoft-com:office:smarttags" w:element="metricconverter">
        <w:smartTagPr>
          <w:attr w:name="ProductID" w:val="25ﾠa"/>
        </w:smartTagPr>
        <w:r w:rsidRPr="002D741C">
          <w:rPr>
            <w:color w:val="000000"/>
            <w:szCs w:val="22"/>
            <w:lang w:val="es-ES_tradnl"/>
          </w:rPr>
          <w:t>25 a</w:t>
        </w:r>
      </w:smartTag>
      <w:r w:rsidRPr="002D741C">
        <w:rPr>
          <w:color w:val="000000"/>
          <w:szCs w:val="22"/>
          <w:lang w:val="es-ES_tradnl"/>
        </w:rPr>
        <w:t xml:space="preserve"> 72 años. Además, se notificaron mejoras en la sintomatología y en otras alteraciones en la función de órganos por parte de los investigadores en los informes de los casos. Se observaron mejoras en los sistemas orgánicos cardíaco, nervioso, piel/tejido subcutáneo, respiratorio/torácico/mediastínico, musculoesquelético/tejido conectivo/vascular, y gastrointestinal.</w:t>
      </w:r>
    </w:p>
    <w:p w14:paraId="38B24FB0" w14:textId="77777777" w:rsidR="00C45062" w:rsidRPr="002D741C" w:rsidRDefault="00C45062" w:rsidP="00C45062">
      <w:pPr>
        <w:pStyle w:val="EndnoteText"/>
        <w:widowControl w:val="0"/>
        <w:tabs>
          <w:tab w:val="clear" w:pos="567"/>
        </w:tabs>
        <w:rPr>
          <w:color w:val="000000"/>
          <w:szCs w:val="22"/>
          <w:lang w:val="es-ES_tradnl"/>
        </w:rPr>
      </w:pPr>
    </w:p>
    <w:p w14:paraId="2BA7EFC6" w14:textId="77777777" w:rsidR="00C45062" w:rsidRPr="002D741C" w:rsidRDefault="00C45062" w:rsidP="00C45062">
      <w:pPr>
        <w:pStyle w:val="EndnoteText"/>
        <w:widowControl w:val="0"/>
        <w:tabs>
          <w:tab w:val="clear" w:pos="567"/>
        </w:tabs>
        <w:rPr>
          <w:color w:val="000000"/>
          <w:szCs w:val="22"/>
          <w:lang w:val="es-ES_tradnl"/>
        </w:rPr>
      </w:pPr>
      <w:r w:rsidRPr="002D741C">
        <w:rPr>
          <w:color w:val="000000"/>
          <w:szCs w:val="22"/>
          <w:lang w:val="es-ES_tradnl"/>
        </w:rPr>
        <w:t>No existen ensayos controlados en pacientes pediátricos con SHE/LEC. En 3 publicaciones se notificaron tres (3) pacientes con SHE/LEC asociado con reordenamientos del gen PDG</w:t>
      </w:r>
      <w:smartTag w:uri="urn:schemas-microsoft-com:office:smarttags" w:element="PersonName">
        <w:r w:rsidRPr="002D741C">
          <w:rPr>
            <w:color w:val="000000"/>
            <w:szCs w:val="22"/>
            <w:lang w:val="es-ES_tradnl"/>
          </w:rPr>
          <w:t>FR</w:t>
        </w:r>
      </w:smartTag>
      <w:r w:rsidRPr="002D741C">
        <w:rPr>
          <w:color w:val="000000"/>
          <w:szCs w:val="22"/>
          <w:lang w:val="es-ES_tradnl"/>
        </w:rPr>
        <w:t>. La edad de estos pacientes osciló entre 2 y 16 años y se administró imatinib a dosis de 300 mg/m</w:t>
      </w:r>
      <w:r w:rsidRPr="002D741C">
        <w:rPr>
          <w:color w:val="000000"/>
          <w:szCs w:val="22"/>
          <w:vertAlign w:val="superscript"/>
          <w:lang w:val="es-ES_tradnl"/>
        </w:rPr>
        <w:t>2</w:t>
      </w:r>
      <w:r w:rsidRPr="002D741C">
        <w:rPr>
          <w:color w:val="000000"/>
          <w:szCs w:val="22"/>
          <w:lang w:val="es-ES_tradnl"/>
        </w:rPr>
        <w:t xml:space="preserve"> diarios o dosis de </w:t>
      </w:r>
      <w:smartTag w:uri="urn:schemas-microsoft-com:office:smarttags" w:element="metricconverter">
        <w:smartTagPr>
          <w:attr w:name="ProductID" w:val="200 a"/>
        </w:smartTagPr>
        <w:r w:rsidRPr="002D741C">
          <w:rPr>
            <w:color w:val="000000"/>
            <w:szCs w:val="22"/>
            <w:lang w:val="es-ES_tradnl"/>
          </w:rPr>
          <w:t>200 a</w:t>
        </w:r>
      </w:smartTag>
      <w:r w:rsidRPr="002D741C">
        <w:rPr>
          <w:color w:val="000000"/>
          <w:szCs w:val="22"/>
          <w:lang w:val="es-ES_tradnl"/>
        </w:rPr>
        <w:t xml:space="preserve"> 400 mg diarios. Todos los pacientes alcanzaron respuesta hematológica completa, respuesta citogenética completa y/o respuesta molecular completa.</w:t>
      </w:r>
    </w:p>
    <w:p w14:paraId="64A65ACA" w14:textId="77777777" w:rsidR="00C45062" w:rsidRPr="002D741C" w:rsidRDefault="00C45062" w:rsidP="00C45062">
      <w:pPr>
        <w:pStyle w:val="EndnoteText"/>
        <w:widowControl w:val="0"/>
        <w:tabs>
          <w:tab w:val="clear" w:pos="567"/>
        </w:tabs>
        <w:rPr>
          <w:color w:val="000000"/>
          <w:szCs w:val="22"/>
          <w:lang w:val="es-ES_tradnl"/>
        </w:rPr>
      </w:pPr>
    </w:p>
    <w:p w14:paraId="5CF5EBBF" w14:textId="77777777" w:rsidR="00C45062" w:rsidRPr="002D741C" w:rsidRDefault="00C45062" w:rsidP="00AD13BE">
      <w:pPr>
        <w:pStyle w:val="EndnoteText"/>
        <w:keepNext/>
        <w:widowControl w:val="0"/>
        <w:tabs>
          <w:tab w:val="clear" w:pos="567"/>
        </w:tabs>
        <w:rPr>
          <w:color w:val="000000"/>
          <w:szCs w:val="22"/>
          <w:u w:val="single"/>
          <w:lang w:val="es-ES"/>
        </w:rPr>
      </w:pPr>
      <w:r w:rsidRPr="002D741C">
        <w:rPr>
          <w:color w:val="000000"/>
          <w:szCs w:val="22"/>
          <w:u w:val="single"/>
          <w:lang w:val="es-ES"/>
        </w:rPr>
        <w:t>Ensayos clínicos en G</w:t>
      </w:r>
      <w:smartTag w:uri="urn:schemas-microsoft-com:office:smarttags" w:element="PersonName">
        <w:r w:rsidRPr="002D741C">
          <w:rPr>
            <w:color w:val="000000"/>
            <w:szCs w:val="22"/>
            <w:u w:val="single"/>
            <w:lang w:val="es-ES"/>
          </w:rPr>
          <w:t>IS</w:t>
        </w:r>
      </w:smartTag>
      <w:r w:rsidRPr="002D741C">
        <w:rPr>
          <w:color w:val="000000"/>
          <w:szCs w:val="22"/>
          <w:u w:val="single"/>
          <w:lang w:val="es-ES"/>
        </w:rPr>
        <w:t>T no resecable y/o metastásico</w:t>
      </w:r>
    </w:p>
    <w:p w14:paraId="6161DB99" w14:textId="77777777" w:rsidR="00C45062" w:rsidRPr="002D741C" w:rsidRDefault="00C45062" w:rsidP="00C45062">
      <w:pPr>
        <w:pStyle w:val="EndnoteText"/>
        <w:widowControl w:val="0"/>
        <w:tabs>
          <w:tab w:val="clear" w:pos="567"/>
        </w:tabs>
        <w:rPr>
          <w:color w:val="000000"/>
          <w:szCs w:val="22"/>
          <w:lang w:val="es-ES"/>
        </w:rPr>
      </w:pPr>
      <w:r w:rsidRPr="002D741C">
        <w:rPr>
          <w:color w:val="000000"/>
          <w:szCs w:val="22"/>
          <w:lang w:val="es-ES"/>
        </w:rPr>
        <w:t>Se realizó un ensayo multinacional de fase II, abierto, aleatorizado, no controlado, en pacientes con tumores del estroma gastrointestinal (G</w:t>
      </w:r>
      <w:smartTag w:uri="urn:schemas-microsoft-com:office:smarttags" w:element="PersonName">
        <w:r w:rsidRPr="002D741C">
          <w:rPr>
            <w:color w:val="000000"/>
            <w:szCs w:val="22"/>
            <w:lang w:val="es-ES"/>
          </w:rPr>
          <w:t>IS</w:t>
        </w:r>
      </w:smartTag>
      <w:r w:rsidRPr="002D741C">
        <w:rPr>
          <w:color w:val="000000"/>
          <w:szCs w:val="22"/>
          <w:lang w:val="es-ES"/>
        </w:rPr>
        <w:t>T) maligno no resecable o metastásico. En este ensayo se reclutaron 147 pacientes, los cuales se aleatorizaron para recibir 400 mg ó 600 mg por vía oral una vez al día durante un máximo de 36 meses. Estos pacientes tenían edades comprendidas entre los 18 y 83 años y un diagnóstico patológico de G</w:t>
      </w:r>
      <w:smartTag w:uri="urn:schemas-microsoft-com:office:smarttags" w:element="PersonName">
        <w:r w:rsidRPr="002D741C">
          <w:rPr>
            <w:color w:val="000000"/>
            <w:szCs w:val="22"/>
            <w:lang w:val="es-ES"/>
          </w:rPr>
          <w:t>IS</w:t>
        </w:r>
      </w:smartTag>
      <w:r w:rsidRPr="002D741C">
        <w:rPr>
          <w:color w:val="000000"/>
          <w:szCs w:val="22"/>
          <w:lang w:val="es-ES"/>
        </w:rPr>
        <w:t>T maligno Kit-positivo no resecable y/o metastásico. Sistemáticamente se realizaron pruebas inmunohistoquímicas con el anticuerpo Kit (A-4502, antisuero policlonal de conejo, 1:100, DAKO Corporation, Carpinteria, CA) según el análisis mediante un método de complejo avidina-biotina-peroxidasa después de recuperar el antígeno.</w:t>
      </w:r>
    </w:p>
    <w:p w14:paraId="023254ED" w14:textId="77777777" w:rsidR="00C45062" w:rsidRPr="002D741C" w:rsidRDefault="00C45062" w:rsidP="00C45062">
      <w:pPr>
        <w:pStyle w:val="EndnoteText"/>
        <w:widowControl w:val="0"/>
        <w:tabs>
          <w:tab w:val="clear" w:pos="567"/>
        </w:tabs>
        <w:rPr>
          <w:color w:val="000000"/>
          <w:szCs w:val="22"/>
          <w:lang w:val="es-ES"/>
        </w:rPr>
      </w:pPr>
    </w:p>
    <w:p w14:paraId="5FF0C17E" w14:textId="77777777" w:rsidR="00C45062" w:rsidRPr="002D741C" w:rsidRDefault="00C45062" w:rsidP="00C45062">
      <w:pPr>
        <w:pStyle w:val="EndnoteText"/>
        <w:widowControl w:val="0"/>
        <w:tabs>
          <w:tab w:val="clear" w:pos="567"/>
        </w:tabs>
        <w:rPr>
          <w:color w:val="000000"/>
          <w:szCs w:val="22"/>
          <w:lang w:val="es-ES"/>
        </w:rPr>
      </w:pPr>
      <w:r w:rsidRPr="002D741C">
        <w:rPr>
          <w:color w:val="000000"/>
          <w:szCs w:val="22"/>
          <w:lang w:val="es-ES"/>
        </w:rPr>
        <w:t xml:space="preserve">La evidencia principal de eficacia se basó en las tasas de respuesta objetiva. Se requerían tumores medibles en al menos un lugar de la enfermedad y una evaluación de la respuesta en base a los criterios del Southwestern Oncology Group (SWOG). Los resultados se muestran en </w:t>
      </w:r>
      <w:smartTag w:uri="urn:schemas-microsoft-com:office:smarttags" w:element="PersonName">
        <w:smartTagPr>
          <w:attr w:name="ProductID" w:val="la Tabla"/>
        </w:smartTagPr>
        <w:r w:rsidRPr="002D741C">
          <w:rPr>
            <w:color w:val="000000"/>
            <w:szCs w:val="22"/>
            <w:lang w:val="es-ES"/>
          </w:rPr>
          <w:t>la Tabla</w:t>
        </w:r>
      </w:smartTag>
      <w:r w:rsidRPr="002D741C">
        <w:rPr>
          <w:color w:val="000000"/>
          <w:szCs w:val="22"/>
          <w:lang w:val="es-ES"/>
        </w:rPr>
        <w:t> </w:t>
      </w:r>
      <w:r w:rsidR="005A1A7A" w:rsidRPr="002D741C">
        <w:rPr>
          <w:color w:val="000000"/>
          <w:szCs w:val="22"/>
          <w:lang w:val="es-ES"/>
        </w:rPr>
        <w:t>6</w:t>
      </w:r>
      <w:r w:rsidRPr="002D741C">
        <w:rPr>
          <w:color w:val="000000"/>
          <w:szCs w:val="22"/>
          <w:lang w:val="es-ES"/>
        </w:rPr>
        <w:t>.</w:t>
      </w:r>
    </w:p>
    <w:p w14:paraId="323BDDDC" w14:textId="77777777" w:rsidR="00C45062" w:rsidRPr="002D741C" w:rsidRDefault="00C45062" w:rsidP="00C45062">
      <w:pPr>
        <w:pStyle w:val="EndnoteText"/>
        <w:widowControl w:val="0"/>
        <w:tabs>
          <w:tab w:val="clear" w:pos="567"/>
        </w:tabs>
        <w:rPr>
          <w:color w:val="000000"/>
          <w:szCs w:val="22"/>
          <w:lang w:val="es-ES"/>
        </w:rPr>
      </w:pPr>
    </w:p>
    <w:p w14:paraId="3DBB1EA8" w14:textId="77777777" w:rsidR="00C45062" w:rsidRPr="002D741C" w:rsidRDefault="00C45062" w:rsidP="00AD13BE">
      <w:pPr>
        <w:pStyle w:val="EndnoteText"/>
        <w:keepNext/>
        <w:widowControl w:val="0"/>
        <w:tabs>
          <w:tab w:val="clear" w:pos="567"/>
          <w:tab w:val="left" w:pos="1134"/>
        </w:tabs>
        <w:rPr>
          <w:b/>
          <w:color w:val="000000"/>
          <w:szCs w:val="22"/>
          <w:lang w:val="es-ES"/>
        </w:rPr>
      </w:pPr>
      <w:r w:rsidRPr="002D741C">
        <w:rPr>
          <w:b/>
          <w:color w:val="000000"/>
          <w:szCs w:val="22"/>
          <w:lang w:val="es-ES"/>
        </w:rPr>
        <w:lastRenderedPageBreak/>
        <w:t>Tabla </w:t>
      </w:r>
      <w:r w:rsidR="005A1A7A" w:rsidRPr="002D741C">
        <w:rPr>
          <w:b/>
          <w:color w:val="000000"/>
          <w:szCs w:val="22"/>
          <w:lang w:val="es-ES"/>
        </w:rPr>
        <w:t>6</w:t>
      </w:r>
      <w:r w:rsidRPr="002D741C">
        <w:rPr>
          <w:b/>
          <w:color w:val="000000"/>
          <w:szCs w:val="22"/>
          <w:lang w:val="es-ES"/>
        </w:rPr>
        <w:tab/>
        <w:t>Mejor respuesta tumoral en el ensayo STIB2222 (G</w:t>
      </w:r>
      <w:smartTag w:uri="urn:schemas-microsoft-com:office:smarttags" w:element="PersonName">
        <w:r w:rsidRPr="002D741C">
          <w:rPr>
            <w:b/>
            <w:color w:val="000000"/>
            <w:szCs w:val="22"/>
            <w:lang w:val="es-ES"/>
          </w:rPr>
          <w:t>IS</w:t>
        </w:r>
      </w:smartTag>
      <w:r w:rsidRPr="002D741C">
        <w:rPr>
          <w:b/>
          <w:color w:val="000000"/>
          <w:szCs w:val="22"/>
          <w:lang w:val="es-ES"/>
        </w:rPr>
        <w:t>T)</w:t>
      </w:r>
    </w:p>
    <w:p w14:paraId="4E93F5C9" w14:textId="77777777" w:rsidR="00C45062" w:rsidRPr="002D741C" w:rsidRDefault="00C45062" w:rsidP="00AD13BE">
      <w:pPr>
        <w:pStyle w:val="EndnoteText"/>
        <w:keepNext/>
        <w:widowControl w:val="0"/>
        <w:tabs>
          <w:tab w:val="clear" w:pos="567"/>
        </w:tabs>
        <w:rPr>
          <w:color w:val="000000"/>
          <w:szCs w:val="22"/>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43"/>
        <w:gridCol w:w="4643"/>
      </w:tblGrid>
      <w:tr w:rsidR="00C45062" w:rsidRPr="002D741C" w14:paraId="07FE8938" w14:textId="77777777" w:rsidTr="00AD13BE">
        <w:trPr>
          <w:cantSplit/>
        </w:trPr>
        <w:tc>
          <w:tcPr>
            <w:tcW w:w="4643" w:type="dxa"/>
            <w:tcBorders>
              <w:left w:val="nil"/>
              <w:bottom w:val="single" w:sz="4" w:space="0" w:color="auto"/>
              <w:right w:val="nil"/>
            </w:tcBorders>
          </w:tcPr>
          <w:p w14:paraId="1D49094C" w14:textId="77777777" w:rsidR="00C45062" w:rsidRPr="002D741C" w:rsidRDefault="00C45062" w:rsidP="00AD13BE">
            <w:pPr>
              <w:pStyle w:val="EndnoteText"/>
              <w:keepNext/>
              <w:widowControl w:val="0"/>
              <w:tabs>
                <w:tab w:val="clear" w:pos="567"/>
              </w:tabs>
              <w:rPr>
                <w:color w:val="000000"/>
                <w:szCs w:val="22"/>
                <w:lang w:val="es-ES"/>
              </w:rPr>
            </w:pPr>
          </w:p>
          <w:p w14:paraId="15F663F5" w14:textId="77777777" w:rsidR="00C45062" w:rsidRPr="002D741C" w:rsidRDefault="00C45062" w:rsidP="00AD13BE">
            <w:pPr>
              <w:pStyle w:val="EndnoteText"/>
              <w:keepNext/>
              <w:widowControl w:val="0"/>
              <w:tabs>
                <w:tab w:val="clear" w:pos="567"/>
              </w:tabs>
              <w:rPr>
                <w:color w:val="000000"/>
                <w:szCs w:val="22"/>
                <w:lang w:val="es-ES"/>
              </w:rPr>
            </w:pPr>
          </w:p>
          <w:p w14:paraId="28655C16" w14:textId="77777777" w:rsidR="00C45062" w:rsidRPr="002D741C" w:rsidRDefault="00C45062" w:rsidP="00AD13BE">
            <w:pPr>
              <w:pStyle w:val="EndnoteText"/>
              <w:keepNext/>
              <w:widowControl w:val="0"/>
              <w:tabs>
                <w:tab w:val="clear" w:pos="567"/>
              </w:tabs>
              <w:rPr>
                <w:color w:val="000000"/>
                <w:szCs w:val="22"/>
                <w:lang w:val="es-ES"/>
              </w:rPr>
            </w:pPr>
          </w:p>
          <w:p w14:paraId="538A86AB" w14:textId="77777777" w:rsidR="00C45062" w:rsidRPr="002D741C" w:rsidRDefault="00C45062" w:rsidP="00AD13BE">
            <w:pPr>
              <w:pStyle w:val="EndnoteText"/>
              <w:keepNext/>
              <w:widowControl w:val="0"/>
              <w:tabs>
                <w:tab w:val="clear" w:pos="567"/>
              </w:tabs>
              <w:rPr>
                <w:color w:val="000000"/>
                <w:szCs w:val="22"/>
                <w:lang w:val="es-ES"/>
              </w:rPr>
            </w:pPr>
            <w:r w:rsidRPr="002D741C">
              <w:rPr>
                <w:color w:val="000000"/>
                <w:szCs w:val="22"/>
                <w:lang w:val="es-ES"/>
              </w:rPr>
              <w:t>Mejor respuesta</w:t>
            </w:r>
          </w:p>
        </w:tc>
        <w:tc>
          <w:tcPr>
            <w:tcW w:w="4643" w:type="dxa"/>
            <w:tcBorders>
              <w:left w:val="nil"/>
              <w:bottom w:val="single" w:sz="4" w:space="0" w:color="auto"/>
              <w:right w:val="nil"/>
            </w:tcBorders>
          </w:tcPr>
          <w:p w14:paraId="045D1D53" w14:textId="77777777" w:rsidR="00C45062" w:rsidRPr="002D741C" w:rsidRDefault="00C45062" w:rsidP="00AD13BE">
            <w:pPr>
              <w:pStyle w:val="EndnoteText"/>
              <w:keepNext/>
              <w:widowControl w:val="0"/>
              <w:tabs>
                <w:tab w:val="clear" w:pos="567"/>
              </w:tabs>
              <w:jc w:val="center"/>
              <w:rPr>
                <w:color w:val="000000"/>
                <w:szCs w:val="22"/>
                <w:lang w:val="pt-BR"/>
              </w:rPr>
            </w:pPr>
            <w:r w:rsidRPr="002D741C">
              <w:rPr>
                <w:color w:val="000000"/>
                <w:szCs w:val="22"/>
                <w:lang w:val="pt-BR"/>
              </w:rPr>
              <w:t>Todas las dosis (n=147)</w:t>
            </w:r>
          </w:p>
          <w:p w14:paraId="033AAC68" w14:textId="77777777" w:rsidR="00C45062" w:rsidRPr="002D741C" w:rsidRDefault="00C45062" w:rsidP="00AD13BE">
            <w:pPr>
              <w:pStyle w:val="EndnoteText"/>
              <w:keepNext/>
              <w:widowControl w:val="0"/>
              <w:tabs>
                <w:tab w:val="clear" w:pos="567"/>
              </w:tabs>
              <w:jc w:val="center"/>
              <w:rPr>
                <w:color w:val="000000"/>
                <w:szCs w:val="22"/>
                <w:lang w:val="pt-BR"/>
              </w:rPr>
            </w:pPr>
            <w:r w:rsidRPr="002D741C">
              <w:rPr>
                <w:color w:val="000000"/>
                <w:szCs w:val="22"/>
                <w:lang w:val="pt-BR"/>
              </w:rPr>
              <w:t>400 mg (n=73)</w:t>
            </w:r>
          </w:p>
          <w:p w14:paraId="7CF4CE8B" w14:textId="77777777" w:rsidR="00C45062" w:rsidRPr="002D741C" w:rsidRDefault="00C45062" w:rsidP="00AD13BE">
            <w:pPr>
              <w:pStyle w:val="EndnoteText"/>
              <w:keepNext/>
              <w:widowControl w:val="0"/>
              <w:tabs>
                <w:tab w:val="clear" w:pos="567"/>
              </w:tabs>
              <w:jc w:val="center"/>
              <w:rPr>
                <w:color w:val="000000"/>
                <w:szCs w:val="22"/>
                <w:lang w:val="es-ES"/>
              </w:rPr>
            </w:pPr>
            <w:r w:rsidRPr="002D741C">
              <w:rPr>
                <w:color w:val="000000"/>
                <w:szCs w:val="22"/>
                <w:lang w:val="es-ES"/>
              </w:rPr>
              <w:t>600 mg (n=74)</w:t>
            </w:r>
          </w:p>
          <w:p w14:paraId="56A4B69D" w14:textId="77777777" w:rsidR="00C45062" w:rsidRPr="002D741C" w:rsidRDefault="00C45062" w:rsidP="00AD13BE">
            <w:pPr>
              <w:pStyle w:val="EndnoteText"/>
              <w:keepNext/>
              <w:widowControl w:val="0"/>
              <w:tabs>
                <w:tab w:val="clear" w:pos="567"/>
              </w:tabs>
              <w:jc w:val="center"/>
              <w:rPr>
                <w:color w:val="000000"/>
                <w:szCs w:val="22"/>
                <w:lang w:val="es-ES"/>
              </w:rPr>
            </w:pPr>
            <w:r w:rsidRPr="002D741C">
              <w:rPr>
                <w:color w:val="000000"/>
                <w:szCs w:val="22"/>
                <w:lang w:val="es-ES"/>
              </w:rPr>
              <w:t>n (%)</w:t>
            </w:r>
          </w:p>
        </w:tc>
      </w:tr>
      <w:tr w:rsidR="00C45062" w:rsidRPr="002D741C" w14:paraId="2B07F1F5" w14:textId="77777777" w:rsidTr="00AD13BE">
        <w:trPr>
          <w:cantSplit/>
        </w:trPr>
        <w:tc>
          <w:tcPr>
            <w:tcW w:w="4643" w:type="dxa"/>
            <w:tcBorders>
              <w:top w:val="nil"/>
              <w:left w:val="nil"/>
              <w:bottom w:val="nil"/>
              <w:right w:val="nil"/>
            </w:tcBorders>
          </w:tcPr>
          <w:p w14:paraId="4AE2D733" w14:textId="77777777" w:rsidR="00C45062" w:rsidRPr="002D741C" w:rsidRDefault="00C45062" w:rsidP="00AD13BE">
            <w:pPr>
              <w:pStyle w:val="Footer"/>
              <w:keepNext/>
              <w:widowControl w:val="0"/>
              <w:rPr>
                <w:color w:val="000000"/>
                <w:szCs w:val="22"/>
              </w:rPr>
            </w:pPr>
            <w:r w:rsidRPr="002D741C">
              <w:rPr>
                <w:color w:val="000000"/>
                <w:szCs w:val="22"/>
              </w:rPr>
              <w:t>Respuesta completa</w:t>
            </w:r>
          </w:p>
        </w:tc>
        <w:tc>
          <w:tcPr>
            <w:tcW w:w="4643" w:type="dxa"/>
            <w:tcBorders>
              <w:top w:val="nil"/>
              <w:left w:val="nil"/>
              <w:bottom w:val="nil"/>
              <w:right w:val="nil"/>
            </w:tcBorders>
          </w:tcPr>
          <w:p w14:paraId="7B669FA8" w14:textId="77777777" w:rsidR="00C45062" w:rsidRPr="002D741C" w:rsidRDefault="00C45062" w:rsidP="00AD13BE">
            <w:pPr>
              <w:pStyle w:val="Footer"/>
              <w:keepNext/>
              <w:widowControl w:val="0"/>
              <w:jc w:val="center"/>
              <w:rPr>
                <w:color w:val="000000"/>
                <w:szCs w:val="22"/>
              </w:rPr>
            </w:pPr>
            <w:r w:rsidRPr="002D741C">
              <w:rPr>
                <w:rFonts w:eastAsia="MS Mincho"/>
                <w:color w:val="000000"/>
                <w:szCs w:val="22"/>
              </w:rPr>
              <w:t>1 (0,7)</w:t>
            </w:r>
          </w:p>
        </w:tc>
      </w:tr>
      <w:tr w:rsidR="00C45062" w:rsidRPr="002D741C" w14:paraId="5ADFD55E" w14:textId="77777777" w:rsidTr="00AD13BE">
        <w:trPr>
          <w:cantSplit/>
        </w:trPr>
        <w:tc>
          <w:tcPr>
            <w:tcW w:w="4643" w:type="dxa"/>
            <w:tcBorders>
              <w:top w:val="nil"/>
              <w:left w:val="nil"/>
              <w:bottom w:val="nil"/>
              <w:right w:val="nil"/>
            </w:tcBorders>
          </w:tcPr>
          <w:p w14:paraId="6ADA1CA4" w14:textId="77777777" w:rsidR="00C45062" w:rsidRPr="002D741C" w:rsidRDefault="00C45062" w:rsidP="00AD13BE">
            <w:pPr>
              <w:pStyle w:val="Footer"/>
              <w:keepNext/>
              <w:widowControl w:val="0"/>
              <w:rPr>
                <w:color w:val="000000"/>
                <w:szCs w:val="22"/>
              </w:rPr>
            </w:pPr>
            <w:r w:rsidRPr="002D741C">
              <w:rPr>
                <w:color w:val="000000"/>
                <w:szCs w:val="22"/>
              </w:rPr>
              <w:t>Respuesta parcial</w:t>
            </w:r>
          </w:p>
        </w:tc>
        <w:tc>
          <w:tcPr>
            <w:tcW w:w="4643" w:type="dxa"/>
            <w:tcBorders>
              <w:top w:val="nil"/>
              <w:left w:val="nil"/>
              <w:bottom w:val="nil"/>
              <w:right w:val="nil"/>
            </w:tcBorders>
          </w:tcPr>
          <w:p w14:paraId="4C89BB36" w14:textId="77777777" w:rsidR="00C45062" w:rsidRPr="002D741C" w:rsidRDefault="00C45062" w:rsidP="00AD13BE">
            <w:pPr>
              <w:pStyle w:val="EndnoteText"/>
              <w:keepNext/>
              <w:widowControl w:val="0"/>
              <w:tabs>
                <w:tab w:val="clear" w:pos="567"/>
              </w:tabs>
              <w:jc w:val="center"/>
              <w:rPr>
                <w:color w:val="000000"/>
                <w:szCs w:val="22"/>
                <w:lang w:val="es-ES"/>
              </w:rPr>
            </w:pPr>
            <w:r w:rsidRPr="002D741C">
              <w:rPr>
                <w:rFonts w:eastAsia="MS Mincho"/>
                <w:color w:val="000000"/>
                <w:szCs w:val="22"/>
              </w:rPr>
              <w:t>98 (66,7)</w:t>
            </w:r>
          </w:p>
        </w:tc>
      </w:tr>
      <w:tr w:rsidR="00C45062" w:rsidRPr="002D741C" w14:paraId="1838A7E1" w14:textId="77777777" w:rsidTr="00AD13BE">
        <w:trPr>
          <w:cantSplit/>
        </w:trPr>
        <w:tc>
          <w:tcPr>
            <w:tcW w:w="4643" w:type="dxa"/>
            <w:tcBorders>
              <w:top w:val="nil"/>
              <w:left w:val="nil"/>
              <w:bottom w:val="nil"/>
              <w:right w:val="nil"/>
            </w:tcBorders>
          </w:tcPr>
          <w:p w14:paraId="58094D51" w14:textId="77777777" w:rsidR="00C45062" w:rsidRPr="002D741C" w:rsidRDefault="00C45062" w:rsidP="00AD13BE">
            <w:pPr>
              <w:pStyle w:val="EndnoteText"/>
              <w:keepNext/>
              <w:widowControl w:val="0"/>
              <w:tabs>
                <w:tab w:val="clear" w:pos="567"/>
              </w:tabs>
              <w:rPr>
                <w:color w:val="000000"/>
                <w:szCs w:val="22"/>
                <w:lang w:val="es-ES"/>
              </w:rPr>
            </w:pPr>
            <w:r w:rsidRPr="002D741C">
              <w:rPr>
                <w:color w:val="000000"/>
                <w:szCs w:val="22"/>
                <w:lang w:val="es-ES"/>
              </w:rPr>
              <w:t>Enfermedad estable</w:t>
            </w:r>
          </w:p>
        </w:tc>
        <w:tc>
          <w:tcPr>
            <w:tcW w:w="4643" w:type="dxa"/>
            <w:tcBorders>
              <w:top w:val="nil"/>
              <w:left w:val="nil"/>
              <w:bottom w:val="nil"/>
              <w:right w:val="nil"/>
            </w:tcBorders>
          </w:tcPr>
          <w:p w14:paraId="77E7F1EA" w14:textId="77777777" w:rsidR="00C45062" w:rsidRPr="002D741C" w:rsidRDefault="00C45062" w:rsidP="00AD13BE">
            <w:pPr>
              <w:pStyle w:val="EndnoteText"/>
              <w:keepNext/>
              <w:widowControl w:val="0"/>
              <w:tabs>
                <w:tab w:val="clear" w:pos="567"/>
              </w:tabs>
              <w:jc w:val="center"/>
              <w:rPr>
                <w:color w:val="000000"/>
                <w:szCs w:val="22"/>
                <w:lang w:val="es-ES"/>
              </w:rPr>
            </w:pPr>
            <w:r w:rsidRPr="002D741C">
              <w:rPr>
                <w:rFonts w:eastAsia="MS Mincho"/>
                <w:color w:val="000000"/>
                <w:szCs w:val="22"/>
              </w:rPr>
              <w:t>23 (15,6)</w:t>
            </w:r>
          </w:p>
        </w:tc>
      </w:tr>
      <w:tr w:rsidR="00C45062" w:rsidRPr="002D741C" w14:paraId="22D8ECD0" w14:textId="77777777" w:rsidTr="00AD13BE">
        <w:trPr>
          <w:cantSplit/>
        </w:trPr>
        <w:tc>
          <w:tcPr>
            <w:tcW w:w="4643" w:type="dxa"/>
            <w:tcBorders>
              <w:top w:val="nil"/>
              <w:left w:val="nil"/>
              <w:bottom w:val="nil"/>
              <w:right w:val="nil"/>
            </w:tcBorders>
          </w:tcPr>
          <w:p w14:paraId="508D1E9B" w14:textId="77777777" w:rsidR="00C45062" w:rsidRPr="002D741C" w:rsidRDefault="00C45062" w:rsidP="00AD13BE">
            <w:pPr>
              <w:pStyle w:val="EndnoteText"/>
              <w:keepNext/>
              <w:widowControl w:val="0"/>
              <w:tabs>
                <w:tab w:val="clear" w:pos="567"/>
              </w:tabs>
              <w:rPr>
                <w:color w:val="000000"/>
                <w:szCs w:val="22"/>
                <w:lang w:val="es-ES"/>
              </w:rPr>
            </w:pPr>
            <w:r w:rsidRPr="002D741C">
              <w:rPr>
                <w:color w:val="000000"/>
                <w:szCs w:val="22"/>
                <w:lang w:val="es-ES"/>
              </w:rPr>
              <w:t>Enfermedad progresiva</w:t>
            </w:r>
          </w:p>
        </w:tc>
        <w:tc>
          <w:tcPr>
            <w:tcW w:w="4643" w:type="dxa"/>
            <w:tcBorders>
              <w:top w:val="nil"/>
              <w:left w:val="nil"/>
              <w:bottom w:val="nil"/>
              <w:right w:val="nil"/>
            </w:tcBorders>
          </w:tcPr>
          <w:p w14:paraId="50DBFF2B" w14:textId="77777777" w:rsidR="00C45062" w:rsidRPr="002D741C" w:rsidRDefault="00C45062" w:rsidP="00AD13BE">
            <w:pPr>
              <w:pStyle w:val="EndnoteText"/>
              <w:keepNext/>
              <w:widowControl w:val="0"/>
              <w:tabs>
                <w:tab w:val="clear" w:pos="567"/>
              </w:tabs>
              <w:jc w:val="center"/>
              <w:rPr>
                <w:color w:val="000000"/>
                <w:szCs w:val="22"/>
                <w:lang w:val="es-ES"/>
              </w:rPr>
            </w:pPr>
            <w:r w:rsidRPr="002D741C">
              <w:rPr>
                <w:rFonts w:eastAsia="MS Mincho"/>
                <w:color w:val="000000"/>
                <w:szCs w:val="22"/>
              </w:rPr>
              <w:t>18 (12,2)</w:t>
            </w:r>
          </w:p>
        </w:tc>
      </w:tr>
      <w:tr w:rsidR="00C45062" w:rsidRPr="002D741C" w14:paraId="49692F85" w14:textId="77777777" w:rsidTr="00AD13BE">
        <w:trPr>
          <w:cantSplit/>
        </w:trPr>
        <w:tc>
          <w:tcPr>
            <w:tcW w:w="4643" w:type="dxa"/>
            <w:tcBorders>
              <w:top w:val="nil"/>
              <w:left w:val="nil"/>
              <w:bottom w:val="nil"/>
              <w:right w:val="nil"/>
            </w:tcBorders>
          </w:tcPr>
          <w:p w14:paraId="7701B962" w14:textId="77777777" w:rsidR="00C45062" w:rsidRPr="002D741C" w:rsidRDefault="00C45062" w:rsidP="00AD13BE">
            <w:pPr>
              <w:pStyle w:val="EndnoteText"/>
              <w:keepNext/>
              <w:widowControl w:val="0"/>
              <w:tabs>
                <w:tab w:val="clear" w:pos="567"/>
              </w:tabs>
              <w:rPr>
                <w:color w:val="000000"/>
                <w:szCs w:val="22"/>
                <w:lang w:val="es-ES"/>
              </w:rPr>
            </w:pPr>
            <w:r w:rsidRPr="002D741C">
              <w:rPr>
                <w:color w:val="000000"/>
                <w:szCs w:val="22"/>
                <w:lang w:val="es-ES"/>
              </w:rPr>
              <w:t>No evaluable</w:t>
            </w:r>
          </w:p>
        </w:tc>
        <w:tc>
          <w:tcPr>
            <w:tcW w:w="4643" w:type="dxa"/>
            <w:tcBorders>
              <w:top w:val="nil"/>
              <w:left w:val="nil"/>
              <w:bottom w:val="nil"/>
              <w:right w:val="nil"/>
            </w:tcBorders>
          </w:tcPr>
          <w:p w14:paraId="1831CBEE" w14:textId="77777777" w:rsidR="00C45062" w:rsidRPr="002D741C" w:rsidRDefault="00C45062" w:rsidP="00AD13BE">
            <w:pPr>
              <w:pStyle w:val="EndnoteText"/>
              <w:keepNext/>
              <w:widowControl w:val="0"/>
              <w:tabs>
                <w:tab w:val="clear" w:pos="567"/>
              </w:tabs>
              <w:jc w:val="center"/>
              <w:rPr>
                <w:color w:val="000000"/>
                <w:szCs w:val="22"/>
                <w:lang w:val="es-ES"/>
              </w:rPr>
            </w:pPr>
            <w:r w:rsidRPr="002D741C">
              <w:rPr>
                <w:rFonts w:eastAsia="MS Mincho"/>
                <w:color w:val="000000"/>
                <w:szCs w:val="22"/>
              </w:rPr>
              <w:t>5 (3,4)</w:t>
            </w:r>
          </w:p>
        </w:tc>
      </w:tr>
      <w:tr w:rsidR="00C45062" w:rsidRPr="002D741C" w14:paraId="2F93FE93" w14:textId="77777777" w:rsidTr="00AD13BE">
        <w:trPr>
          <w:cantSplit/>
        </w:trPr>
        <w:tc>
          <w:tcPr>
            <w:tcW w:w="4643" w:type="dxa"/>
            <w:tcBorders>
              <w:top w:val="nil"/>
              <w:left w:val="nil"/>
              <w:right w:val="nil"/>
            </w:tcBorders>
          </w:tcPr>
          <w:p w14:paraId="6350D4C9" w14:textId="77777777" w:rsidR="00C45062" w:rsidRPr="002D741C" w:rsidRDefault="00C45062" w:rsidP="00F22369">
            <w:pPr>
              <w:pStyle w:val="EndnoteText"/>
              <w:widowControl w:val="0"/>
              <w:tabs>
                <w:tab w:val="clear" w:pos="567"/>
              </w:tabs>
              <w:rPr>
                <w:color w:val="000000"/>
                <w:szCs w:val="22"/>
                <w:lang w:val="es-ES"/>
              </w:rPr>
            </w:pPr>
            <w:r w:rsidRPr="002D741C">
              <w:rPr>
                <w:color w:val="000000"/>
                <w:szCs w:val="22"/>
                <w:lang w:val="es-ES"/>
              </w:rPr>
              <w:t>Desconocido</w:t>
            </w:r>
          </w:p>
        </w:tc>
        <w:tc>
          <w:tcPr>
            <w:tcW w:w="4643" w:type="dxa"/>
            <w:tcBorders>
              <w:top w:val="nil"/>
              <w:left w:val="nil"/>
              <w:right w:val="nil"/>
            </w:tcBorders>
          </w:tcPr>
          <w:p w14:paraId="2F000A32" w14:textId="77777777" w:rsidR="00C45062" w:rsidRPr="002D741C" w:rsidRDefault="00C45062" w:rsidP="00F22369">
            <w:pPr>
              <w:pStyle w:val="EndnoteText"/>
              <w:widowControl w:val="0"/>
              <w:tabs>
                <w:tab w:val="clear" w:pos="567"/>
              </w:tabs>
              <w:jc w:val="center"/>
              <w:rPr>
                <w:color w:val="000000"/>
                <w:szCs w:val="22"/>
                <w:lang w:val="es-ES"/>
              </w:rPr>
            </w:pPr>
            <w:r w:rsidRPr="002D741C">
              <w:rPr>
                <w:color w:val="000000"/>
                <w:szCs w:val="22"/>
                <w:lang w:val="es-ES"/>
              </w:rPr>
              <w:t>2 (1,4)</w:t>
            </w:r>
          </w:p>
        </w:tc>
      </w:tr>
    </w:tbl>
    <w:p w14:paraId="5B9A2225" w14:textId="77777777" w:rsidR="00C45062" w:rsidRPr="002D741C" w:rsidRDefault="00C45062" w:rsidP="00C45062">
      <w:pPr>
        <w:pStyle w:val="EndnoteText"/>
        <w:widowControl w:val="0"/>
        <w:tabs>
          <w:tab w:val="clear" w:pos="567"/>
        </w:tabs>
        <w:rPr>
          <w:color w:val="000000"/>
          <w:szCs w:val="22"/>
          <w:lang w:val="es-ES"/>
        </w:rPr>
      </w:pPr>
    </w:p>
    <w:p w14:paraId="431CCFFD" w14:textId="77777777" w:rsidR="00C45062" w:rsidRPr="002D741C" w:rsidRDefault="00C45062" w:rsidP="00C45062">
      <w:pPr>
        <w:pStyle w:val="EndnoteText"/>
        <w:widowControl w:val="0"/>
        <w:tabs>
          <w:tab w:val="clear" w:pos="567"/>
        </w:tabs>
        <w:rPr>
          <w:color w:val="000000"/>
          <w:szCs w:val="22"/>
          <w:lang w:val="es-ES"/>
        </w:rPr>
      </w:pPr>
      <w:r w:rsidRPr="002D741C">
        <w:rPr>
          <w:color w:val="000000"/>
          <w:szCs w:val="22"/>
          <w:lang w:val="es-ES"/>
        </w:rPr>
        <w:t>No hubo diferencias en las tasas de respuesta entre los dos grupos de dosis. Un número significativo de pacientes que presentaba estabilidad de la enfermedad en el momento del análisis intermedio alcanzaron una respuesta parcial con el tratamiento más prolongado (mediana de seguimiento 31 meses). La mediana de tiempo de respuesta fue de 13 semanas (IC 95% 12</w:t>
      </w:r>
      <w:r w:rsidRPr="002D741C">
        <w:rPr>
          <w:color w:val="000000"/>
          <w:szCs w:val="22"/>
          <w:lang w:val="es-ES_tradnl"/>
        </w:rPr>
        <w:t>–</w:t>
      </w:r>
      <w:r w:rsidRPr="002D741C">
        <w:rPr>
          <w:color w:val="000000"/>
          <w:szCs w:val="22"/>
          <w:lang w:val="es-ES"/>
        </w:rPr>
        <w:t>23). La mediana de tiempo hasta el fallo del tratamiento en respondedores fue de 122 semanas (IC 95% 106</w:t>
      </w:r>
      <w:r w:rsidRPr="002D741C">
        <w:rPr>
          <w:color w:val="000000"/>
          <w:szCs w:val="22"/>
          <w:lang w:val="es-ES_tradnl"/>
        </w:rPr>
        <w:t>–</w:t>
      </w:r>
      <w:r w:rsidRPr="002D741C">
        <w:rPr>
          <w:color w:val="000000"/>
          <w:szCs w:val="22"/>
          <w:lang w:val="es-ES"/>
        </w:rPr>
        <w:t>147), mientras que en la población general del estudio fue de 84 semanas (IC 95% 71</w:t>
      </w:r>
      <w:r w:rsidRPr="002D741C">
        <w:rPr>
          <w:color w:val="000000"/>
          <w:szCs w:val="22"/>
          <w:lang w:val="es-ES_tradnl"/>
        </w:rPr>
        <w:t>–</w:t>
      </w:r>
      <w:r w:rsidRPr="002D741C">
        <w:rPr>
          <w:color w:val="000000"/>
          <w:szCs w:val="22"/>
          <w:lang w:val="es-ES"/>
        </w:rPr>
        <w:t>109). La mediana de supervivencia global no se ha alcanzado. La estimación de Kaplan-Meier para supervivencia después de 36 meses de seguimiento es del 68%.</w:t>
      </w:r>
    </w:p>
    <w:p w14:paraId="436401FD" w14:textId="77777777" w:rsidR="00C45062" w:rsidRPr="002D741C" w:rsidRDefault="00C45062" w:rsidP="00C45062">
      <w:pPr>
        <w:pStyle w:val="EndnoteText"/>
        <w:widowControl w:val="0"/>
        <w:tabs>
          <w:tab w:val="clear" w:pos="567"/>
        </w:tabs>
        <w:rPr>
          <w:color w:val="000000"/>
          <w:szCs w:val="22"/>
          <w:lang w:val="es-ES"/>
        </w:rPr>
      </w:pPr>
    </w:p>
    <w:p w14:paraId="6EAD2205" w14:textId="77777777" w:rsidR="00C45062" w:rsidRPr="002D741C" w:rsidRDefault="00C45062" w:rsidP="00C45062">
      <w:pPr>
        <w:pStyle w:val="EndnoteText"/>
        <w:widowControl w:val="0"/>
        <w:tabs>
          <w:tab w:val="clear" w:pos="567"/>
        </w:tabs>
        <w:rPr>
          <w:color w:val="000000"/>
          <w:szCs w:val="22"/>
          <w:lang w:val="es-ES"/>
        </w:rPr>
      </w:pPr>
      <w:r w:rsidRPr="002D741C">
        <w:rPr>
          <w:color w:val="000000"/>
          <w:szCs w:val="22"/>
          <w:lang w:val="es-ES"/>
        </w:rPr>
        <w:t>En dos ensayos clínicos (estudio B2222 y un estudio intergrupos S0033) la dosis diaria de Glivec se escaló hasta 800 mg en pacientes con progresión a dosis diarias inferiores de 400 mg ó 600 mg. La dosis diaria se escaló hasta 800 mg en un total de 103 pacientes; 6 pacientes alcanzaron una respuesta parcial y 21 una estabilización de su enfermedad después del escalado de la dosis para un beneficio clínico global de 26%. De los datos de seguridad disponibles, no parece que el escalado de dosis hasta 800 mg diarios en pacientes con progresión a dosis inferiores de 400 mg ó 600 mg afecte el perfil de seguridad de Glivec.</w:t>
      </w:r>
    </w:p>
    <w:p w14:paraId="02FF153A" w14:textId="77777777" w:rsidR="00C45062" w:rsidRPr="002D741C" w:rsidRDefault="00C45062" w:rsidP="00C45062">
      <w:pPr>
        <w:pStyle w:val="EndnoteText"/>
        <w:widowControl w:val="0"/>
        <w:tabs>
          <w:tab w:val="clear" w:pos="567"/>
        </w:tabs>
        <w:rPr>
          <w:color w:val="000000"/>
          <w:szCs w:val="22"/>
          <w:u w:val="single"/>
          <w:lang w:val="es-ES"/>
        </w:rPr>
      </w:pPr>
    </w:p>
    <w:p w14:paraId="0EDE0BD8" w14:textId="77777777" w:rsidR="00C45062" w:rsidRPr="002D741C" w:rsidRDefault="00C45062" w:rsidP="00AD13BE">
      <w:pPr>
        <w:pStyle w:val="EndnoteText"/>
        <w:keepNext/>
        <w:widowControl w:val="0"/>
        <w:tabs>
          <w:tab w:val="clear" w:pos="567"/>
        </w:tabs>
        <w:rPr>
          <w:color w:val="000000"/>
          <w:szCs w:val="22"/>
          <w:u w:val="single"/>
          <w:lang w:val="es-ES"/>
        </w:rPr>
      </w:pPr>
      <w:r w:rsidRPr="002D741C">
        <w:rPr>
          <w:color w:val="000000"/>
          <w:szCs w:val="22"/>
          <w:u w:val="single"/>
          <w:lang w:val="es-ES"/>
        </w:rPr>
        <w:t>Ensayos clínicos en adyuvancia de G</w:t>
      </w:r>
      <w:smartTag w:uri="urn:schemas-microsoft-com:office:smarttags" w:element="PersonName">
        <w:r w:rsidRPr="002D741C">
          <w:rPr>
            <w:color w:val="000000"/>
            <w:szCs w:val="22"/>
            <w:u w:val="single"/>
            <w:lang w:val="es-ES"/>
          </w:rPr>
          <w:t>IS</w:t>
        </w:r>
      </w:smartTag>
      <w:r w:rsidRPr="002D741C">
        <w:rPr>
          <w:color w:val="000000"/>
          <w:szCs w:val="22"/>
          <w:u w:val="single"/>
          <w:lang w:val="es-ES"/>
        </w:rPr>
        <w:t>T</w:t>
      </w:r>
    </w:p>
    <w:p w14:paraId="777912AB" w14:textId="77777777" w:rsidR="00C45062" w:rsidRPr="002D741C" w:rsidRDefault="00C45062" w:rsidP="00C45062">
      <w:pPr>
        <w:pStyle w:val="EndnoteText"/>
        <w:widowControl w:val="0"/>
        <w:tabs>
          <w:tab w:val="clear" w:pos="567"/>
        </w:tabs>
        <w:rPr>
          <w:rFonts w:eastAsia="MS Mincho"/>
          <w:color w:val="000000"/>
          <w:szCs w:val="22"/>
          <w:lang w:val="es-ES_tradnl" w:eastAsia="ja-JP"/>
        </w:rPr>
      </w:pPr>
      <w:r w:rsidRPr="002D741C">
        <w:rPr>
          <w:color w:val="000000"/>
          <w:szCs w:val="22"/>
          <w:lang w:val="es-ES"/>
        </w:rPr>
        <w:t xml:space="preserve">En la terapia adyuvante, Glivec se investigó en un estudio multicéntrico, doble ciego, a largo plazo, controlado con placebo, fase </w:t>
      </w:r>
      <w:smartTag w:uri="urn:schemas-microsoft-com:office:smarttags" w:element="stockticker">
        <w:r w:rsidRPr="002D741C">
          <w:rPr>
            <w:color w:val="000000"/>
            <w:szCs w:val="22"/>
            <w:lang w:val="es-ES"/>
          </w:rPr>
          <w:t>III</w:t>
        </w:r>
      </w:smartTag>
      <w:r w:rsidRPr="002D741C">
        <w:rPr>
          <w:color w:val="000000"/>
          <w:szCs w:val="22"/>
          <w:lang w:val="es-ES"/>
        </w:rPr>
        <w:t xml:space="preserve"> (Z9001) incluyendo 773 pacientes. La edad de los pacientes varió de </w:t>
      </w:r>
      <w:smartTag w:uri="urn:schemas-microsoft-com:office:smarttags" w:element="metricconverter">
        <w:smartTagPr>
          <w:attr w:name="ProductID" w:val="18ﾠa"/>
        </w:smartTagPr>
        <w:r w:rsidRPr="002D741C">
          <w:rPr>
            <w:color w:val="000000"/>
            <w:szCs w:val="22"/>
            <w:lang w:val="es-ES"/>
          </w:rPr>
          <w:t>18 a</w:t>
        </w:r>
      </w:smartTag>
      <w:r w:rsidRPr="002D741C">
        <w:rPr>
          <w:color w:val="000000"/>
          <w:szCs w:val="22"/>
          <w:lang w:val="es-ES"/>
        </w:rPr>
        <w:t xml:space="preserve"> 91 años. Se incluyeron pacientes que tenían un diagnóstico histológico de G</w:t>
      </w:r>
      <w:smartTag w:uri="urn:schemas-microsoft-com:office:smarttags" w:element="PersonName">
        <w:r w:rsidRPr="002D741C">
          <w:rPr>
            <w:color w:val="000000"/>
            <w:szCs w:val="22"/>
            <w:lang w:val="es-ES"/>
          </w:rPr>
          <w:t>IS</w:t>
        </w:r>
      </w:smartTag>
      <w:r w:rsidRPr="002D741C">
        <w:rPr>
          <w:color w:val="000000"/>
          <w:szCs w:val="22"/>
          <w:lang w:val="es-ES"/>
        </w:rPr>
        <w:t xml:space="preserve">T primario con expresión de la proteina Kit por inmunohistoquímica y un tamaño de tumor </w:t>
      </w:r>
      <w:r w:rsidRPr="002D741C">
        <w:rPr>
          <w:rFonts w:eastAsia="MS Mincho"/>
          <w:color w:val="000000"/>
          <w:szCs w:val="22"/>
          <w:lang w:val="es-ES_tradnl" w:eastAsia="ja-JP"/>
        </w:rPr>
        <w:t>≥ 3 cm como dimensión máxima, con una resección completa del G</w:t>
      </w:r>
      <w:smartTag w:uri="urn:schemas-microsoft-com:office:smarttags" w:element="PersonName">
        <w:r w:rsidRPr="002D741C">
          <w:rPr>
            <w:rFonts w:eastAsia="MS Mincho"/>
            <w:color w:val="000000"/>
            <w:szCs w:val="22"/>
            <w:lang w:val="es-ES_tradnl" w:eastAsia="ja-JP"/>
          </w:rPr>
          <w:t>IS</w:t>
        </w:r>
      </w:smartTag>
      <w:r w:rsidRPr="002D741C">
        <w:rPr>
          <w:rFonts w:eastAsia="MS Mincho"/>
          <w:color w:val="000000"/>
          <w:szCs w:val="22"/>
          <w:lang w:val="es-ES_tradnl" w:eastAsia="ja-JP"/>
        </w:rPr>
        <w:t>T primario dentro de los 14</w:t>
      </w:r>
      <w:r w:rsidRPr="002D741C">
        <w:rPr>
          <w:rFonts w:eastAsia="MS Mincho"/>
          <w:color w:val="000000"/>
          <w:szCs w:val="22"/>
          <w:lang w:val="es-ES_tradnl" w:eastAsia="ja-JP"/>
        </w:rPr>
        <w:noBreakHyphen/>
        <w:t>70 días previos al registro. Después de la resección del G</w:t>
      </w:r>
      <w:smartTag w:uri="urn:schemas-microsoft-com:office:smarttags" w:element="PersonName">
        <w:r w:rsidRPr="002D741C">
          <w:rPr>
            <w:rFonts w:eastAsia="MS Mincho"/>
            <w:color w:val="000000"/>
            <w:szCs w:val="22"/>
            <w:lang w:val="es-ES_tradnl" w:eastAsia="ja-JP"/>
          </w:rPr>
          <w:t>IS</w:t>
        </w:r>
      </w:smartTag>
      <w:r w:rsidRPr="002D741C">
        <w:rPr>
          <w:rFonts w:eastAsia="MS Mincho"/>
          <w:color w:val="000000"/>
          <w:szCs w:val="22"/>
          <w:lang w:val="es-ES_tradnl" w:eastAsia="ja-JP"/>
        </w:rPr>
        <w:t>T primario, los pacientes se distribuyeron aleatoriamente a uno de los dos brazos de tratamiento: Glivec a 400 mg/día o placebo durante un año.</w:t>
      </w:r>
    </w:p>
    <w:p w14:paraId="7ACE199C" w14:textId="77777777" w:rsidR="00C45062" w:rsidRPr="002D741C" w:rsidRDefault="00C45062" w:rsidP="00C45062">
      <w:pPr>
        <w:pStyle w:val="EndnoteText"/>
        <w:widowControl w:val="0"/>
        <w:tabs>
          <w:tab w:val="clear" w:pos="567"/>
        </w:tabs>
        <w:rPr>
          <w:rFonts w:eastAsia="MS Mincho"/>
          <w:color w:val="000000"/>
          <w:szCs w:val="22"/>
          <w:lang w:val="es-ES_tradnl" w:eastAsia="ja-JP"/>
        </w:rPr>
      </w:pPr>
    </w:p>
    <w:p w14:paraId="4FB980AA" w14:textId="77777777" w:rsidR="00C45062" w:rsidRPr="002D741C" w:rsidRDefault="00C45062" w:rsidP="00C45062">
      <w:pPr>
        <w:pStyle w:val="EndnoteText"/>
        <w:widowControl w:val="0"/>
        <w:tabs>
          <w:tab w:val="clear" w:pos="567"/>
        </w:tabs>
        <w:rPr>
          <w:rFonts w:eastAsia="MS Mincho"/>
          <w:color w:val="000000"/>
          <w:szCs w:val="22"/>
          <w:lang w:val="es-ES_tradnl" w:eastAsia="ja-JP"/>
        </w:rPr>
      </w:pPr>
      <w:r w:rsidRPr="002D741C">
        <w:rPr>
          <w:rFonts w:eastAsia="MS Mincho"/>
          <w:color w:val="000000"/>
          <w:szCs w:val="22"/>
          <w:lang w:val="es-ES_tradnl" w:eastAsia="ja-JP"/>
        </w:rPr>
        <w:t>La variable primaria del estudio fue supervivencia libre de recurrencia (</w:t>
      </w:r>
      <w:smartTag w:uri="urn:schemas-microsoft-com:office:smarttags" w:element="stockticker">
        <w:r w:rsidRPr="002D741C">
          <w:rPr>
            <w:rFonts w:eastAsia="MS Mincho"/>
            <w:color w:val="000000"/>
            <w:szCs w:val="22"/>
            <w:lang w:val="es-ES_tradnl" w:eastAsia="ja-JP"/>
          </w:rPr>
          <w:t>SLR</w:t>
        </w:r>
      </w:smartTag>
      <w:r w:rsidRPr="002D741C">
        <w:rPr>
          <w:rFonts w:eastAsia="MS Mincho"/>
          <w:color w:val="000000"/>
          <w:szCs w:val="22"/>
          <w:lang w:val="es-ES_tradnl" w:eastAsia="ja-JP"/>
        </w:rPr>
        <w:t>), definida como el tiempo desde la fecha de aleatorización hasta la fecha de recurrencia o muerte por cualquier causa.</w:t>
      </w:r>
    </w:p>
    <w:p w14:paraId="1A89D180" w14:textId="77777777" w:rsidR="00C45062" w:rsidRPr="002D741C" w:rsidRDefault="00C45062" w:rsidP="00C45062">
      <w:pPr>
        <w:pStyle w:val="EndnoteText"/>
        <w:widowControl w:val="0"/>
        <w:tabs>
          <w:tab w:val="clear" w:pos="567"/>
        </w:tabs>
        <w:rPr>
          <w:color w:val="000000"/>
          <w:szCs w:val="22"/>
          <w:lang w:val="es-ES"/>
        </w:rPr>
      </w:pPr>
    </w:p>
    <w:p w14:paraId="3436E9E0" w14:textId="77777777" w:rsidR="00C45062" w:rsidRPr="002D741C" w:rsidRDefault="00C45062" w:rsidP="00C45062">
      <w:pPr>
        <w:pStyle w:val="EndnoteText"/>
        <w:widowControl w:val="0"/>
        <w:tabs>
          <w:tab w:val="clear" w:pos="567"/>
        </w:tabs>
        <w:rPr>
          <w:color w:val="000000"/>
          <w:szCs w:val="22"/>
          <w:lang w:val="es-ES_tradnl"/>
        </w:rPr>
      </w:pPr>
      <w:r w:rsidRPr="002D741C">
        <w:rPr>
          <w:color w:val="000000"/>
          <w:szCs w:val="22"/>
          <w:lang w:val="es-ES"/>
        </w:rPr>
        <w:t xml:space="preserve">Glivec prolongó significativamente </w:t>
      </w:r>
      <w:smartTag w:uri="urn:schemas-microsoft-com:office:smarttags" w:element="PersonName">
        <w:smartTagPr>
          <w:attr w:name="ProductID" w:val="la SLR"/>
        </w:smartTagPr>
        <w:r w:rsidRPr="002D741C">
          <w:rPr>
            <w:color w:val="000000"/>
            <w:szCs w:val="22"/>
            <w:lang w:val="es-ES"/>
          </w:rPr>
          <w:t xml:space="preserve">la </w:t>
        </w:r>
        <w:smartTag w:uri="urn:schemas-microsoft-com:office:smarttags" w:element="stockticker">
          <w:r w:rsidRPr="002D741C">
            <w:rPr>
              <w:color w:val="000000"/>
              <w:szCs w:val="22"/>
              <w:lang w:val="es-ES"/>
            </w:rPr>
            <w:t>SLR</w:t>
          </w:r>
        </w:smartTag>
      </w:smartTag>
      <w:r w:rsidRPr="002D741C">
        <w:rPr>
          <w:color w:val="000000"/>
          <w:szCs w:val="22"/>
          <w:lang w:val="es-ES"/>
        </w:rPr>
        <w:t xml:space="preserve">, con un 75% de los pacientes libres de recurrencia a los 38 meses en el grupo de Glivec frente a 20 meses en el grupo de placebo </w:t>
      </w:r>
      <w:r w:rsidRPr="002D741C">
        <w:rPr>
          <w:color w:val="000000"/>
          <w:szCs w:val="22"/>
          <w:lang w:val="es-ES_tradnl"/>
        </w:rPr>
        <w:t>(IC 95%, [30 – no estimable]; [14 – no estimable], respectivamente); (cociente de riesgo = 0,398 [0,259</w:t>
      </w:r>
      <w:r w:rsidRPr="002D741C">
        <w:rPr>
          <w:color w:val="000000"/>
          <w:szCs w:val="22"/>
          <w:lang w:val="es-ES_tradnl"/>
        </w:rPr>
        <w:noBreakHyphen/>
        <w:t xml:space="preserve">0,610], p&lt;0,0001). A un año </w:t>
      </w:r>
      <w:smartTag w:uri="urn:schemas-microsoft-com:office:smarttags" w:element="PersonName">
        <w:smartTagPr>
          <w:attr w:name="ProductID" w:val="la SLR"/>
        </w:smartTagPr>
        <w:r w:rsidRPr="002D741C">
          <w:rPr>
            <w:color w:val="000000"/>
            <w:szCs w:val="22"/>
            <w:lang w:val="es-ES_tradnl"/>
          </w:rPr>
          <w:t xml:space="preserve">la </w:t>
        </w:r>
        <w:smartTag w:uri="urn:schemas-microsoft-com:office:smarttags" w:element="stockticker">
          <w:r w:rsidRPr="002D741C">
            <w:rPr>
              <w:color w:val="000000"/>
              <w:szCs w:val="22"/>
              <w:lang w:val="es-ES_tradnl"/>
            </w:rPr>
            <w:t>SLR</w:t>
          </w:r>
        </w:smartTag>
      </w:smartTag>
      <w:r w:rsidRPr="002D741C">
        <w:rPr>
          <w:color w:val="000000"/>
          <w:szCs w:val="22"/>
          <w:lang w:val="es-ES_tradnl"/>
        </w:rPr>
        <w:t xml:space="preserve"> fue significativamente mejor para Glivec (97,7%) que para placebo (82,3%), (p&lt;0,0001). El riesgo de recurrencia quedó reducido, por tanto, en aproximadamente un 89% comparado con placebo (cociente de riesgo = 0,113 [0,049</w:t>
      </w:r>
      <w:r w:rsidRPr="002D741C">
        <w:rPr>
          <w:color w:val="000000"/>
          <w:szCs w:val="22"/>
          <w:lang w:val="es-ES_tradnl"/>
        </w:rPr>
        <w:noBreakHyphen/>
        <w:t>0,264].</w:t>
      </w:r>
    </w:p>
    <w:p w14:paraId="39B71011" w14:textId="77777777" w:rsidR="00C45062" w:rsidRPr="002D741C" w:rsidRDefault="00C45062" w:rsidP="00C45062">
      <w:pPr>
        <w:pStyle w:val="EndnoteText"/>
        <w:widowControl w:val="0"/>
        <w:tabs>
          <w:tab w:val="clear" w:pos="567"/>
        </w:tabs>
        <w:rPr>
          <w:color w:val="000000"/>
          <w:szCs w:val="22"/>
          <w:lang w:val="es-ES"/>
        </w:rPr>
      </w:pPr>
    </w:p>
    <w:p w14:paraId="3EF01FE9" w14:textId="77777777" w:rsidR="00C45062" w:rsidRPr="002D741C" w:rsidRDefault="00C45062" w:rsidP="00C45062">
      <w:pPr>
        <w:pStyle w:val="EndnoteText"/>
        <w:widowControl w:val="0"/>
        <w:tabs>
          <w:tab w:val="clear" w:pos="567"/>
        </w:tabs>
        <w:rPr>
          <w:color w:val="000000"/>
          <w:szCs w:val="22"/>
          <w:lang w:val="es-ES"/>
        </w:rPr>
      </w:pPr>
      <w:r w:rsidRPr="002D741C">
        <w:rPr>
          <w:color w:val="000000"/>
          <w:szCs w:val="22"/>
          <w:lang w:val="es-ES"/>
        </w:rPr>
        <w:t>Se evaluó de forma retrospectiva el riesgo de recurrencia en pacientes tras la resección del tumor primario de G</w:t>
      </w:r>
      <w:smartTag w:uri="urn:schemas-microsoft-com:office:smarttags" w:element="PersonName">
        <w:r w:rsidRPr="002D741C">
          <w:rPr>
            <w:color w:val="000000"/>
            <w:szCs w:val="22"/>
            <w:lang w:val="es-ES"/>
          </w:rPr>
          <w:t>IS</w:t>
        </w:r>
      </w:smartTag>
      <w:r w:rsidRPr="002D741C">
        <w:rPr>
          <w:color w:val="000000"/>
          <w:szCs w:val="22"/>
          <w:lang w:val="es-ES"/>
        </w:rPr>
        <w:t>T, en base a los siguientes factores pronósticos: tamaño del tumor, índice mitótico y localización del tumor. De la población de 713 pacientes de intención de tratar (</w:t>
      </w:r>
      <w:smartTag w:uri="urn:schemas-microsoft-com:office:smarttags" w:element="stockticker">
        <w:smartTag w:uri="urn:schemas-microsoft-com:office:smarttags" w:element="PersonName">
          <w:r w:rsidRPr="002D741C">
            <w:rPr>
              <w:color w:val="000000"/>
              <w:szCs w:val="22"/>
              <w:lang w:val="es-ES"/>
            </w:rPr>
            <w:t>IT</w:t>
          </w:r>
        </w:smartTag>
        <w:r w:rsidRPr="002D741C">
          <w:rPr>
            <w:color w:val="000000"/>
            <w:szCs w:val="22"/>
            <w:lang w:val="es-ES"/>
          </w:rPr>
          <w:t>T</w:t>
        </w:r>
      </w:smartTag>
      <w:r w:rsidRPr="002D741C">
        <w:rPr>
          <w:color w:val="000000"/>
          <w:szCs w:val="22"/>
          <w:lang w:val="es-ES"/>
        </w:rPr>
        <w:t xml:space="preserve">), se obtuvieron datos de índice mitótico de 556 pacientes. En </w:t>
      </w:r>
      <w:smartTag w:uri="urn:schemas-microsoft-com:office:smarttags" w:element="PersonName">
        <w:smartTagPr>
          <w:attr w:name="ProductID" w:val="la Tabla"/>
        </w:smartTagPr>
        <w:r w:rsidRPr="002D741C">
          <w:rPr>
            <w:color w:val="000000"/>
            <w:szCs w:val="22"/>
            <w:lang w:val="es-ES"/>
          </w:rPr>
          <w:t>la Tabla</w:t>
        </w:r>
      </w:smartTag>
      <w:r w:rsidRPr="002D741C">
        <w:rPr>
          <w:color w:val="000000"/>
          <w:szCs w:val="22"/>
          <w:lang w:val="es-ES"/>
        </w:rPr>
        <w:t> </w:t>
      </w:r>
      <w:r w:rsidR="005A1A7A" w:rsidRPr="002D741C">
        <w:rPr>
          <w:color w:val="000000"/>
          <w:szCs w:val="22"/>
          <w:lang w:val="es-ES"/>
        </w:rPr>
        <w:t>7</w:t>
      </w:r>
      <w:r w:rsidRPr="002D741C">
        <w:rPr>
          <w:color w:val="000000"/>
          <w:szCs w:val="22"/>
          <w:lang w:val="es-ES"/>
        </w:rPr>
        <w:t xml:space="preserve"> se muestran los resultados del análisis por subgrupos según la clasificación de riesgo del Instituto Nacional de Salud «</w:t>
      </w:r>
      <w:r w:rsidRPr="002D741C">
        <w:rPr>
          <w:rFonts w:eastAsia="MS Mincho"/>
          <w:color w:val="000000"/>
          <w:szCs w:val="22"/>
          <w:lang w:val="es-ES_tradnl" w:eastAsia="ja-JP"/>
        </w:rPr>
        <w:t>National Institutes of Health</w:t>
      </w:r>
      <w:r w:rsidRPr="002D741C">
        <w:rPr>
          <w:color w:val="000000"/>
          <w:szCs w:val="22"/>
          <w:lang w:val="es-ES"/>
        </w:rPr>
        <w:t>» (NIH) y del «Armed Forces Institute of Pathology» (A</w:t>
      </w:r>
      <w:smartTag w:uri="urn:schemas-microsoft-com:office:smarttags" w:element="PersonName">
        <w:r w:rsidRPr="002D741C">
          <w:rPr>
            <w:color w:val="000000"/>
            <w:szCs w:val="22"/>
            <w:lang w:val="es-ES"/>
          </w:rPr>
          <w:t>FI</w:t>
        </w:r>
      </w:smartTag>
      <w:r w:rsidRPr="002D741C">
        <w:rPr>
          <w:color w:val="000000"/>
          <w:szCs w:val="22"/>
          <w:lang w:val="es-ES"/>
        </w:rPr>
        <w:t>P) de Estados Unidos. No se ha observado beneficio en los grupos de riesgo bajo y muy bajo. No se ha observado beneficio en la supervivencia global.</w:t>
      </w:r>
    </w:p>
    <w:p w14:paraId="1D050F47" w14:textId="77777777" w:rsidR="00C45062" w:rsidRPr="002D741C" w:rsidRDefault="00C45062" w:rsidP="00C45062">
      <w:pPr>
        <w:pStyle w:val="EndnoteText"/>
        <w:widowControl w:val="0"/>
        <w:tabs>
          <w:tab w:val="clear" w:pos="567"/>
        </w:tabs>
        <w:rPr>
          <w:color w:val="000000"/>
          <w:szCs w:val="22"/>
          <w:lang w:val="es-ES"/>
        </w:rPr>
      </w:pPr>
    </w:p>
    <w:p w14:paraId="6627E444" w14:textId="77777777" w:rsidR="00C45062" w:rsidRPr="002D741C" w:rsidRDefault="00C45062" w:rsidP="00AD13BE">
      <w:pPr>
        <w:pStyle w:val="Heading6"/>
        <w:keepNext/>
        <w:tabs>
          <w:tab w:val="left" w:pos="1134"/>
        </w:tabs>
        <w:spacing w:before="0" w:after="0"/>
        <w:ind w:left="1134" w:hanging="1134"/>
        <w:rPr>
          <w:rFonts w:eastAsia="MS Mincho"/>
          <w:color w:val="000000"/>
          <w:lang w:eastAsia="ja-JP"/>
        </w:rPr>
      </w:pPr>
      <w:r w:rsidRPr="002D741C">
        <w:rPr>
          <w:rFonts w:eastAsia="MS Mincho"/>
          <w:color w:val="000000"/>
          <w:lang w:eastAsia="ja-JP"/>
        </w:rPr>
        <w:t>Tabla </w:t>
      </w:r>
      <w:r w:rsidR="005A1A7A" w:rsidRPr="002D741C">
        <w:rPr>
          <w:rFonts w:eastAsia="MS Mincho"/>
          <w:color w:val="000000"/>
          <w:lang w:eastAsia="ja-JP"/>
        </w:rPr>
        <w:t>7</w:t>
      </w:r>
      <w:r w:rsidRPr="002D741C">
        <w:rPr>
          <w:rFonts w:eastAsia="MS Mincho"/>
          <w:color w:val="000000"/>
          <w:lang w:eastAsia="ja-JP"/>
        </w:rPr>
        <w:tab/>
        <w:t xml:space="preserve">Resumen del análisis de </w:t>
      </w:r>
      <w:smartTag w:uri="urn:schemas-microsoft-com:office:smarttags" w:element="stockticker">
        <w:r w:rsidRPr="002D741C">
          <w:rPr>
            <w:rFonts w:eastAsia="MS Mincho"/>
            <w:color w:val="000000"/>
            <w:lang w:eastAsia="ja-JP"/>
          </w:rPr>
          <w:t>SLR</w:t>
        </w:r>
      </w:smartTag>
      <w:r w:rsidRPr="002D741C">
        <w:rPr>
          <w:rFonts w:eastAsia="MS Mincho"/>
          <w:color w:val="000000"/>
          <w:lang w:eastAsia="ja-JP"/>
        </w:rPr>
        <w:t xml:space="preserve"> del ensayo Z9001 según las clasificaciones de riesgo de NIH y A</w:t>
      </w:r>
      <w:smartTag w:uri="urn:schemas-microsoft-com:office:smarttags" w:element="PersonName">
        <w:r w:rsidRPr="002D741C">
          <w:rPr>
            <w:rFonts w:eastAsia="MS Mincho"/>
            <w:color w:val="000000"/>
            <w:lang w:eastAsia="ja-JP"/>
          </w:rPr>
          <w:t>FI</w:t>
        </w:r>
      </w:smartTag>
      <w:r w:rsidRPr="002D741C">
        <w:rPr>
          <w:rFonts w:eastAsia="MS Mincho"/>
          <w:color w:val="000000"/>
          <w:lang w:eastAsia="ja-JP"/>
        </w:rPr>
        <w:t>P</w:t>
      </w:r>
    </w:p>
    <w:p w14:paraId="236CFDDD" w14:textId="77777777" w:rsidR="00C45062" w:rsidRPr="002D741C" w:rsidRDefault="00C45062" w:rsidP="00AD13BE">
      <w:pPr>
        <w:keepNext/>
        <w:rPr>
          <w:rFonts w:eastAsia="MS Mincho"/>
          <w:sz w:val="22"/>
          <w:szCs w:val="22"/>
          <w:lang w:eastAsia="ja-JP"/>
        </w:rPr>
      </w:pPr>
    </w:p>
    <w:tbl>
      <w:tblPr>
        <w:tblW w:w="100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59"/>
        <w:gridCol w:w="1392"/>
        <w:gridCol w:w="986"/>
        <w:gridCol w:w="2083"/>
        <w:gridCol w:w="1800"/>
        <w:gridCol w:w="1440"/>
        <w:gridCol w:w="1360"/>
      </w:tblGrid>
      <w:tr w:rsidR="00C45062" w:rsidRPr="002D741C" w14:paraId="72A3ADAA" w14:textId="77777777" w:rsidTr="00AD13BE">
        <w:trPr>
          <w:cantSplit/>
        </w:trPr>
        <w:tc>
          <w:tcPr>
            <w:tcW w:w="959" w:type="dxa"/>
            <w:vMerge w:val="restart"/>
          </w:tcPr>
          <w:p w14:paraId="2753D61D" w14:textId="77777777" w:rsidR="00C45062" w:rsidRPr="002D741C" w:rsidRDefault="00C45062" w:rsidP="00AD13BE">
            <w:pPr>
              <w:pStyle w:val="Table"/>
              <w:keepLines w:val="0"/>
              <w:tabs>
                <w:tab w:val="left" w:pos="567"/>
              </w:tabs>
              <w:spacing w:before="120" w:line="260" w:lineRule="exact"/>
              <w:jc w:val="center"/>
              <w:rPr>
                <w:rFonts w:ascii="Times New Roman" w:hAnsi="Times New Roman"/>
                <w:b/>
                <w:sz w:val="22"/>
                <w:szCs w:val="22"/>
              </w:rPr>
            </w:pPr>
            <w:r w:rsidRPr="002D741C">
              <w:rPr>
                <w:rFonts w:ascii="Times New Roman" w:hAnsi="Times New Roman"/>
                <w:b/>
                <w:sz w:val="22"/>
                <w:szCs w:val="22"/>
              </w:rPr>
              <w:t>Crite-rio de riesgo</w:t>
            </w:r>
          </w:p>
        </w:tc>
        <w:tc>
          <w:tcPr>
            <w:tcW w:w="1392" w:type="dxa"/>
            <w:vMerge w:val="restart"/>
            <w:tcBorders>
              <w:right w:val="single" w:sz="4" w:space="0" w:color="auto"/>
            </w:tcBorders>
          </w:tcPr>
          <w:p w14:paraId="5649CD4F" w14:textId="77777777" w:rsidR="00C45062" w:rsidRPr="002D741C" w:rsidRDefault="00C45062" w:rsidP="00AD13BE">
            <w:pPr>
              <w:pStyle w:val="Table"/>
              <w:keepLines w:val="0"/>
              <w:tabs>
                <w:tab w:val="left" w:pos="567"/>
              </w:tabs>
              <w:spacing w:before="120" w:line="260" w:lineRule="exact"/>
              <w:rPr>
                <w:rFonts w:ascii="Times New Roman" w:hAnsi="Times New Roman"/>
                <w:b/>
                <w:sz w:val="22"/>
                <w:szCs w:val="22"/>
              </w:rPr>
            </w:pPr>
            <w:r w:rsidRPr="002D741C">
              <w:rPr>
                <w:rFonts w:ascii="Times New Roman" w:hAnsi="Times New Roman"/>
                <w:b/>
                <w:sz w:val="22"/>
                <w:szCs w:val="22"/>
              </w:rPr>
              <w:t>Nivel de riesgo</w:t>
            </w:r>
          </w:p>
        </w:tc>
        <w:tc>
          <w:tcPr>
            <w:tcW w:w="986" w:type="dxa"/>
            <w:vMerge w:val="restart"/>
            <w:tcBorders>
              <w:left w:val="single" w:sz="4" w:space="0" w:color="auto"/>
              <w:right w:val="single" w:sz="4" w:space="0" w:color="auto"/>
            </w:tcBorders>
          </w:tcPr>
          <w:p w14:paraId="68562112" w14:textId="77777777" w:rsidR="00C45062" w:rsidRPr="002D741C" w:rsidRDefault="00C45062" w:rsidP="00AD13BE">
            <w:pPr>
              <w:pStyle w:val="Table"/>
              <w:keepLines w:val="0"/>
              <w:tabs>
                <w:tab w:val="left" w:pos="567"/>
              </w:tabs>
              <w:spacing w:before="120" w:line="260" w:lineRule="exact"/>
              <w:jc w:val="center"/>
              <w:rPr>
                <w:rFonts w:ascii="Times New Roman" w:hAnsi="Times New Roman"/>
                <w:b/>
                <w:sz w:val="22"/>
                <w:szCs w:val="22"/>
              </w:rPr>
            </w:pPr>
            <w:r w:rsidRPr="002D741C">
              <w:rPr>
                <w:rFonts w:ascii="Times New Roman" w:hAnsi="Times New Roman"/>
                <w:b/>
                <w:sz w:val="22"/>
                <w:szCs w:val="22"/>
              </w:rPr>
              <w:t>% de pacien-tes</w:t>
            </w:r>
          </w:p>
        </w:tc>
        <w:tc>
          <w:tcPr>
            <w:tcW w:w="2083" w:type="dxa"/>
            <w:vMerge w:val="restart"/>
            <w:tcBorders>
              <w:left w:val="single" w:sz="4" w:space="0" w:color="auto"/>
              <w:right w:val="single" w:sz="4" w:space="0" w:color="auto"/>
            </w:tcBorders>
          </w:tcPr>
          <w:p w14:paraId="4B3F936B" w14:textId="77777777" w:rsidR="00C45062" w:rsidRPr="002D741C" w:rsidRDefault="00C45062" w:rsidP="00AD13BE">
            <w:pPr>
              <w:pStyle w:val="Table"/>
              <w:keepLines w:val="0"/>
              <w:tabs>
                <w:tab w:val="left" w:pos="567"/>
              </w:tabs>
              <w:spacing w:before="120" w:line="260" w:lineRule="exact"/>
              <w:jc w:val="center"/>
              <w:rPr>
                <w:rFonts w:ascii="Times New Roman" w:hAnsi="Times New Roman"/>
                <w:b/>
                <w:sz w:val="22"/>
                <w:szCs w:val="22"/>
                <w:lang w:val="pt-BR"/>
              </w:rPr>
            </w:pPr>
            <w:r w:rsidRPr="002D741C">
              <w:rPr>
                <w:rFonts w:ascii="Times New Roman" w:hAnsi="Times New Roman"/>
                <w:b/>
                <w:sz w:val="22"/>
                <w:szCs w:val="22"/>
                <w:lang w:val="pt-BR"/>
              </w:rPr>
              <w:t>Nºde acontecimientos /</w:t>
            </w:r>
            <w:r w:rsidRPr="002D741C">
              <w:rPr>
                <w:rFonts w:ascii="Times New Roman" w:hAnsi="Times New Roman"/>
                <w:b/>
                <w:sz w:val="22"/>
                <w:szCs w:val="22"/>
                <w:lang w:val="pt-BR"/>
              </w:rPr>
              <w:br/>
              <w:t>Nº de pacientes</w:t>
            </w:r>
          </w:p>
        </w:tc>
        <w:tc>
          <w:tcPr>
            <w:tcW w:w="1800" w:type="dxa"/>
            <w:vMerge w:val="restart"/>
            <w:tcBorders>
              <w:left w:val="single" w:sz="4" w:space="0" w:color="auto"/>
              <w:right w:val="single" w:sz="4" w:space="0" w:color="auto"/>
            </w:tcBorders>
          </w:tcPr>
          <w:p w14:paraId="61074E94" w14:textId="77777777" w:rsidR="00C45062" w:rsidRPr="002D741C" w:rsidRDefault="00C45062" w:rsidP="00AD13BE">
            <w:pPr>
              <w:pStyle w:val="Table"/>
              <w:keepLines w:val="0"/>
              <w:tabs>
                <w:tab w:val="left" w:pos="567"/>
              </w:tabs>
              <w:spacing w:line="260" w:lineRule="exact"/>
              <w:jc w:val="center"/>
              <w:rPr>
                <w:rFonts w:ascii="Times New Roman" w:hAnsi="Times New Roman"/>
                <w:b/>
                <w:sz w:val="22"/>
                <w:szCs w:val="22"/>
                <w:lang w:val="es-ES_tradnl"/>
              </w:rPr>
            </w:pPr>
            <w:r w:rsidRPr="002D741C">
              <w:rPr>
                <w:rFonts w:ascii="Times New Roman" w:hAnsi="Times New Roman"/>
                <w:b/>
                <w:sz w:val="22"/>
                <w:szCs w:val="22"/>
                <w:lang w:val="es-ES_tradnl"/>
              </w:rPr>
              <w:t>Cociente de riesgo global (IC 95%)*</w:t>
            </w:r>
          </w:p>
        </w:tc>
        <w:tc>
          <w:tcPr>
            <w:tcW w:w="2800" w:type="dxa"/>
            <w:gridSpan w:val="2"/>
            <w:tcBorders>
              <w:left w:val="single" w:sz="4" w:space="0" w:color="auto"/>
            </w:tcBorders>
          </w:tcPr>
          <w:p w14:paraId="705E7461" w14:textId="77777777" w:rsidR="00C45062" w:rsidRPr="002D741C" w:rsidRDefault="00C45062" w:rsidP="00AD13BE">
            <w:pPr>
              <w:pStyle w:val="Table"/>
              <w:keepLines w:val="0"/>
              <w:tabs>
                <w:tab w:val="left" w:pos="567"/>
              </w:tabs>
              <w:spacing w:line="260" w:lineRule="exact"/>
              <w:jc w:val="center"/>
              <w:rPr>
                <w:rFonts w:ascii="Times New Roman" w:hAnsi="Times New Roman"/>
                <w:b/>
                <w:sz w:val="22"/>
                <w:szCs w:val="22"/>
              </w:rPr>
            </w:pPr>
            <w:r w:rsidRPr="002D741C">
              <w:rPr>
                <w:rFonts w:ascii="Times New Roman" w:hAnsi="Times New Roman"/>
                <w:b/>
                <w:sz w:val="22"/>
                <w:szCs w:val="22"/>
              </w:rPr>
              <w:t xml:space="preserve">Tasas de </w:t>
            </w:r>
            <w:smartTag w:uri="urn:schemas-microsoft-com:office:smarttags" w:element="stockticker">
              <w:r w:rsidRPr="002D741C">
                <w:rPr>
                  <w:rFonts w:ascii="Times New Roman" w:hAnsi="Times New Roman"/>
                  <w:b/>
                  <w:sz w:val="22"/>
                  <w:szCs w:val="22"/>
                </w:rPr>
                <w:t>SLR</w:t>
              </w:r>
            </w:smartTag>
            <w:r w:rsidRPr="002D741C">
              <w:rPr>
                <w:rFonts w:ascii="Times New Roman" w:hAnsi="Times New Roman"/>
                <w:b/>
                <w:sz w:val="22"/>
                <w:szCs w:val="22"/>
              </w:rPr>
              <w:t xml:space="preserve"> (%)</w:t>
            </w:r>
          </w:p>
        </w:tc>
      </w:tr>
      <w:tr w:rsidR="00C45062" w:rsidRPr="002D741C" w14:paraId="76E5FBE2" w14:textId="77777777" w:rsidTr="00AD13BE">
        <w:trPr>
          <w:cantSplit/>
        </w:trPr>
        <w:tc>
          <w:tcPr>
            <w:tcW w:w="959" w:type="dxa"/>
            <w:vMerge/>
          </w:tcPr>
          <w:p w14:paraId="0C4A397D" w14:textId="77777777" w:rsidR="00C45062" w:rsidRPr="002D741C" w:rsidRDefault="00C45062" w:rsidP="00AD13BE">
            <w:pPr>
              <w:pStyle w:val="Table"/>
              <w:keepLines w:val="0"/>
              <w:tabs>
                <w:tab w:val="left" w:pos="567"/>
              </w:tabs>
              <w:spacing w:line="260" w:lineRule="exact"/>
              <w:rPr>
                <w:rFonts w:ascii="Times New Roman" w:hAnsi="Times New Roman"/>
                <w:b/>
                <w:sz w:val="22"/>
                <w:szCs w:val="22"/>
              </w:rPr>
            </w:pPr>
          </w:p>
        </w:tc>
        <w:tc>
          <w:tcPr>
            <w:tcW w:w="1392" w:type="dxa"/>
            <w:vMerge/>
            <w:tcBorders>
              <w:right w:val="single" w:sz="4" w:space="0" w:color="auto"/>
            </w:tcBorders>
          </w:tcPr>
          <w:p w14:paraId="168C2516" w14:textId="77777777" w:rsidR="00C45062" w:rsidRPr="002D741C" w:rsidRDefault="00C45062" w:rsidP="00AD13BE">
            <w:pPr>
              <w:pStyle w:val="Table"/>
              <w:keepLines w:val="0"/>
              <w:tabs>
                <w:tab w:val="left" w:pos="567"/>
              </w:tabs>
              <w:spacing w:line="260" w:lineRule="exact"/>
              <w:rPr>
                <w:rFonts w:ascii="Times New Roman" w:hAnsi="Times New Roman"/>
                <w:b/>
                <w:sz w:val="22"/>
                <w:szCs w:val="22"/>
              </w:rPr>
            </w:pPr>
          </w:p>
        </w:tc>
        <w:tc>
          <w:tcPr>
            <w:tcW w:w="986" w:type="dxa"/>
            <w:vMerge/>
            <w:tcBorders>
              <w:left w:val="single" w:sz="4" w:space="0" w:color="auto"/>
              <w:right w:val="single" w:sz="4" w:space="0" w:color="auto"/>
            </w:tcBorders>
          </w:tcPr>
          <w:p w14:paraId="19778B12" w14:textId="77777777" w:rsidR="00C45062" w:rsidRPr="002D741C" w:rsidRDefault="00C45062" w:rsidP="00AD13BE">
            <w:pPr>
              <w:pStyle w:val="Table"/>
              <w:keepLines w:val="0"/>
              <w:tabs>
                <w:tab w:val="left" w:pos="567"/>
              </w:tabs>
              <w:spacing w:line="260" w:lineRule="exact"/>
              <w:jc w:val="center"/>
              <w:rPr>
                <w:rFonts w:ascii="Times New Roman" w:hAnsi="Times New Roman"/>
                <w:b/>
                <w:sz w:val="22"/>
                <w:szCs w:val="22"/>
              </w:rPr>
            </w:pPr>
          </w:p>
        </w:tc>
        <w:tc>
          <w:tcPr>
            <w:tcW w:w="2083" w:type="dxa"/>
            <w:vMerge/>
            <w:tcBorders>
              <w:left w:val="single" w:sz="4" w:space="0" w:color="auto"/>
              <w:right w:val="single" w:sz="4" w:space="0" w:color="auto"/>
            </w:tcBorders>
          </w:tcPr>
          <w:p w14:paraId="1A1EEF5C" w14:textId="77777777" w:rsidR="00C45062" w:rsidRPr="002D741C" w:rsidRDefault="00C45062" w:rsidP="00AD13BE">
            <w:pPr>
              <w:pStyle w:val="Table"/>
              <w:keepLines w:val="0"/>
              <w:tabs>
                <w:tab w:val="left" w:pos="567"/>
              </w:tabs>
              <w:spacing w:line="260" w:lineRule="exact"/>
              <w:jc w:val="center"/>
              <w:rPr>
                <w:rFonts w:ascii="Times New Roman" w:hAnsi="Times New Roman"/>
                <w:b/>
                <w:sz w:val="22"/>
                <w:szCs w:val="22"/>
              </w:rPr>
            </w:pPr>
          </w:p>
        </w:tc>
        <w:tc>
          <w:tcPr>
            <w:tcW w:w="1800" w:type="dxa"/>
            <w:vMerge/>
            <w:tcBorders>
              <w:left w:val="single" w:sz="4" w:space="0" w:color="auto"/>
              <w:right w:val="single" w:sz="4" w:space="0" w:color="auto"/>
            </w:tcBorders>
          </w:tcPr>
          <w:p w14:paraId="2FD14A48" w14:textId="77777777" w:rsidR="00C45062" w:rsidRPr="002D741C" w:rsidRDefault="00C45062" w:rsidP="00AD13BE">
            <w:pPr>
              <w:pStyle w:val="Table"/>
              <w:keepLines w:val="0"/>
              <w:tabs>
                <w:tab w:val="left" w:pos="567"/>
              </w:tabs>
              <w:spacing w:line="260" w:lineRule="exact"/>
              <w:rPr>
                <w:rFonts w:ascii="Times New Roman" w:hAnsi="Times New Roman"/>
                <w:b/>
                <w:sz w:val="22"/>
                <w:szCs w:val="22"/>
              </w:rPr>
            </w:pPr>
          </w:p>
        </w:tc>
        <w:tc>
          <w:tcPr>
            <w:tcW w:w="1440" w:type="dxa"/>
            <w:tcBorders>
              <w:left w:val="single" w:sz="4" w:space="0" w:color="auto"/>
              <w:right w:val="single" w:sz="4" w:space="0" w:color="auto"/>
            </w:tcBorders>
          </w:tcPr>
          <w:p w14:paraId="0B1B65EE" w14:textId="77777777" w:rsidR="00C45062" w:rsidRPr="002D741C" w:rsidRDefault="00C45062" w:rsidP="00AD13BE">
            <w:pPr>
              <w:pStyle w:val="Table"/>
              <w:keepLines w:val="0"/>
              <w:tabs>
                <w:tab w:val="left" w:pos="567"/>
              </w:tabs>
              <w:spacing w:line="260" w:lineRule="exact"/>
              <w:jc w:val="center"/>
              <w:rPr>
                <w:rFonts w:ascii="Times New Roman" w:hAnsi="Times New Roman"/>
                <w:b/>
                <w:sz w:val="22"/>
                <w:szCs w:val="22"/>
              </w:rPr>
            </w:pPr>
            <w:r w:rsidRPr="002D741C">
              <w:rPr>
                <w:rFonts w:ascii="Times New Roman" w:hAnsi="Times New Roman"/>
                <w:b/>
                <w:sz w:val="22"/>
                <w:szCs w:val="22"/>
              </w:rPr>
              <w:t>12 meses</w:t>
            </w:r>
          </w:p>
        </w:tc>
        <w:tc>
          <w:tcPr>
            <w:tcW w:w="1360" w:type="dxa"/>
            <w:tcBorders>
              <w:left w:val="single" w:sz="4" w:space="0" w:color="auto"/>
            </w:tcBorders>
          </w:tcPr>
          <w:p w14:paraId="352210A9" w14:textId="77777777" w:rsidR="00C45062" w:rsidRPr="002D741C" w:rsidRDefault="00C45062" w:rsidP="00AD13BE">
            <w:pPr>
              <w:pStyle w:val="Table"/>
              <w:keepLines w:val="0"/>
              <w:tabs>
                <w:tab w:val="left" w:pos="567"/>
              </w:tabs>
              <w:spacing w:line="260" w:lineRule="exact"/>
              <w:jc w:val="center"/>
              <w:rPr>
                <w:rFonts w:ascii="Times New Roman" w:hAnsi="Times New Roman"/>
                <w:b/>
                <w:sz w:val="22"/>
                <w:szCs w:val="22"/>
              </w:rPr>
            </w:pPr>
            <w:r w:rsidRPr="002D741C">
              <w:rPr>
                <w:rFonts w:ascii="Times New Roman" w:hAnsi="Times New Roman"/>
                <w:b/>
                <w:sz w:val="22"/>
                <w:szCs w:val="22"/>
              </w:rPr>
              <w:t>24 meses</w:t>
            </w:r>
          </w:p>
        </w:tc>
      </w:tr>
      <w:tr w:rsidR="00C45062" w:rsidRPr="002D741C" w14:paraId="2213C1B5" w14:textId="77777777" w:rsidTr="00AD13BE">
        <w:trPr>
          <w:cantSplit/>
        </w:trPr>
        <w:tc>
          <w:tcPr>
            <w:tcW w:w="959" w:type="dxa"/>
            <w:vMerge/>
          </w:tcPr>
          <w:p w14:paraId="6FFCFACB" w14:textId="77777777" w:rsidR="00C45062" w:rsidRPr="002D741C" w:rsidRDefault="00C45062" w:rsidP="00AD13BE">
            <w:pPr>
              <w:pStyle w:val="Table"/>
              <w:keepLines w:val="0"/>
              <w:tabs>
                <w:tab w:val="left" w:pos="567"/>
              </w:tabs>
              <w:spacing w:line="260" w:lineRule="exact"/>
              <w:rPr>
                <w:rFonts w:ascii="Times New Roman" w:hAnsi="Times New Roman"/>
                <w:b/>
                <w:sz w:val="22"/>
                <w:szCs w:val="22"/>
              </w:rPr>
            </w:pPr>
          </w:p>
        </w:tc>
        <w:tc>
          <w:tcPr>
            <w:tcW w:w="1392" w:type="dxa"/>
            <w:vMerge/>
            <w:tcBorders>
              <w:right w:val="single" w:sz="4" w:space="0" w:color="auto"/>
            </w:tcBorders>
          </w:tcPr>
          <w:p w14:paraId="572E3AF3" w14:textId="77777777" w:rsidR="00C45062" w:rsidRPr="002D741C" w:rsidRDefault="00C45062" w:rsidP="00AD13BE">
            <w:pPr>
              <w:pStyle w:val="Table"/>
              <w:keepLines w:val="0"/>
              <w:tabs>
                <w:tab w:val="left" w:pos="567"/>
              </w:tabs>
              <w:spacing w:line="260" w:lineRule="exact"/>
              <w:rPr>
                <w:rFonts w:ascii="Times New Roman" w:hAnsi="Times New Roman"/>
                <w:b/>
                <w:sz w:val="22"/>
                <w:szCs w:val="22"/>
              </w:rPr>
            </w:pPr>
          </w:p>
        </w:tc>
        <w:tc>
          <w:tcPr>
            <w:tcW w:w="986" w:type="dxa"/>
            <w:vMerge/>
            <w:tcBorders>
              <w:left w:val="single" w:sz="4" w:space="0" w:color="auto"/>
              <w:right w:val="single" w:sz="4" w:space="0" w:color="auto"/>
            </w:tcBorders>
          </w:tcPr>
          <w:p w14:paraId="23986A33" w14:textId="77777777" w:rsidR="00C45062" w:rsidRPr="002D741C" w:rsidRDefault="00C45062" w:rsidP="00AD13BE">
            <w:pPr>
              <w:pStyle w:val="Table"/>
              <w:keepLines w:val="0"/>
              <w:tabs>
                <w:tab w:val="left" w:pos="567"/>
              </w:tabs>
              <w:spacing w:line="260" w:lineRule="exact"/>
              <w:jc w:val="center"/>
              <w:rPr>
                <w:rFonts w:ascii="Times New Roman" w:hAnsi="Times New Roman"/>
                <w:b/>
                <w:sz w:val="22"/>
                <w:szCs w:val="22"/>
              </w:rPr>
            </w:pPr>
          </w:p>
        </w:tc>
        <w:tc>
          <w:tcPr>
            <w:tcW w:w="2083" w:type="dxa"/>
            <w:tcBorders>
              <w:left w:val="single" w:sz="4" w:space="0" w:color="auto"/>
              <w:bottom w:val="single" w:sz="4" w:space="0" w:color="auto"/>
              <w:right w:val="single" w:sz="4" w:space="0" w:color="auto"/>
            </w:tcBorders>
          </w:tcPr>
          <w:p w14:paraId="292EEBEA" w14:textId="77777777" w:rsidR="00C45062" w:rsidRPr="002D741C" w:rsidRDefault="00C45062" w:rsidP="00AD13BE">
            <w:pPr>
              <w:pStyle w:val="Table"/>
              <w:keepLines w:val="0"/>
              <w:tabs>
                <w:tab w:val="left" w:pos="567"/>
              </w:tabs>
              <w:spacing w:line="260" w:lineRule="exact"/>
              <w:jc w:val="center"/>
              <w:rPr>
                <w:rFonts w:ascii="Times New Roman" w:hAnsi="Times New Roman"/>
                <w:b/>
                <w:sz w:val="22"/>
                <w:szCs w:val="22"/>
              </w:rPr>
            </w:pPr>
            <w:r w:rsidRPr="002D741C">
              <w:rPr>
                <w:rFonts w:ascii="Times New Roman" w:hAnsi="Times New Roman"/>
                <w:b/>
                <w:sz w:val="22"/>
                <w:szCs w:val="22"/>
              </w:rPr>
              <w:t>Glivec vs placebo</w:t>
            </w:r>
          </w:p>
        </w:tc>
        <w:tc>
          <w:tcPr>
            <w:tcW w:w="1800" w:type="dxa"/>
            <w:vMerge/>
            <w:tcBorders>
              <w:left w:val="single" w:sz="4" w:space="0" w:color="auto"/>
              <w:bottom w:val="single" w:sz="4" w:space="0" w:color="auto"/>
              <w:right w:val="single" w:sz="4" w:space="0" w:color="auto"/>
            </w:tcBorders>
          </w:tcPr>
          <w:p w14:paraId="081D2B21" w14:textId="77777777" w:rsidR="00C45062" w:rsidRPr="002D741C" w:rsidRDefault="00C45062" w:rsidP="00AD13BE">
            <w:pPr>
              <w:pStyle w:val="Table"/>
              <w:keepLines w:val="0"/>
              <w:tabs>
                <w:tab w:val="left" w:pos="567"/>
              </w:tabs>
              <w:spacing w:line="260" w:lineRule="exact"/>
              <w:jc w:val="center"/>
              <w:rPr>
                <w:rFonts w:ascii="Times New Roman" w:hAnsi="Times New Roman"/>
                <w:b/>
                <w:sz w:val="22"/>
                <w:szCs w:val="22"/>
              </w:rPr>
            </w:pPr>
          </w:p>
        </w:tc>
        <w:tc>
          <w:tcPr>
            <w:tcW w:w="1440" w:type="dxa"/>
            <w:tcBorders>
              <w:left w:val="single" w:sz="4" w:space="0" w:color="auto"/>
              <w:bottom w:val="single" w:sz="4" w:space="0" w:color="auto"/>
              <w:right w:val="single" w:sz="4" w:space="0" w:color="auto"/>
            </w:tcBorders>
          </w:tcPr>
          <w:p w14:paraId="620C5087" w14:textId="77777777" w:rsidR="00C45062" w:rsidRPr="002D741C" w:rsidRDefault="00C45062" w:rsidP="00AD13BE">
            <w:pPr>
              <w:pStyle w:val="Table"/>
              <w:keepLines w:val="0"/>
              <w:tabs>
                <w:tab w:val="left" w:pos="567"/>
              </w:tabs>
              <w:spacing w:line="260" w:lineRule="exact"/>
              <w:jc w:val="center"/>
              <w:rPr>
                <w:rFonts w:ascii="Times New Roman" w:hAnsi="Times New Roman"/>
                <w:b/>
                <w:sz w:val="22"/>
                <w:szCs w:val="22"/>
              </w:rPr>
            </w:pPr>
            <w:r w:rsidRPr="002D741C">
              <w:rPr>
                <w:rFonts w:ascii="Times New Roman" w:hAnsi="Times New Roman"/>
                <w:b/>
                <w:sz w:val="22"/>
                <w:szCs w:val="22"/>
              </w:rPr>
              <w:t>Glivec vs placebo</w:t>
            </w:r>
          </w:p>
        </w:tc>
        <w:tc>
          <w:tcPr>
            <w:tcW w:w="1360" w:type="dxa"/>
            <w:tcBorders>
              <w:left w:val="single" w:sz="4" w:space="0" w:color="auto"/>
            </w:tcBorders>
          </w:tcPr>
          <w:p w14:paraId="0D7A2616" w14:textId="77777777" w:rsidR="00C45062" w:rsidRPr="002D741C" w:rsidRDefault="00C45062" w:rsidP="00AD13BE">
            <w:pPr>
              <w:pStyle w:val="Table"/>
              <w:keepLines w:val="0"/>
              <w:tabs>
                <w:tab w:val="left" w:pos="567"/>
              </w:tabs>
              <w:spacing w:line="260" w:lineRule="exact"/>
              <w:jc w:val="center"/>
              <w:rPr>
                <w:rFonts w:ascii="Times New Roman" w:hAnsi="Times New Roman"/>
                <w:b/>
                <w:sz w:val="22"/>
                <w:szCs w:val="22"/>
              </w:rPr>
            </w:pPr>
            <w:r w:rsidRPr="002D741C">
              <w:rPr>
                <w:rFonts w:ascii="Times New Roman" w:hAnsi="Times New Roman"/>
                <w:b/>
                <w:sz w:val="22"/>
                <w:szCs w:val="22"/>
              </w:rPr>
              <w:t>Glivec vs placebo</w:t>
            </w:r>
          </w:p>
        </w:tc>
      </w:tr>
      <w:tr w:rsidR="00C45062" w:rsidRPr="002D741C" w14:paraId="1E33EF1E" w14:textId="77777777" w:rsidTr="00AD13BE">
        <w:trPr>
          <w:cantSplit/>
        </w:trPr>
        <w:tc>
          <w:tcPr>
            <w:tcW w:w="959" w:type="dxa"/>
            <w:vMerge w:val="restart"/>
            <w:shd w:val="clear" w:color="auto" w:fill="auto"/>
          </w:tcPr>
          <w:p w14:paraId="6AFAFA91" w14:textId="77777777" w:rsidR="00C45062" w:rsidRPr="002D741C" w:rsidRDefault="00C45062" w:rsidP="00AD13BE">
            <w:pPr>
              <w:pStyle w:val="Nottoc-headings"/>
              <w:keepLines w:val="0"/>
              <w:tabs>
                <w:tab w:val="left" w:pos="567"/>
              </w:tabs>
              <w:spacing w:before="360" w:line="260" w:lineRule="exact"/>
              <w:ind w:left="0" w:firstLine="0"/>
              <w:rPr>
                <w:sz w:val="22"/>
                <w:szCs w:val="22"/>
              </w:rPr>
            </w:pPr>
            <w:r w:rsidRPr="002D741C">
              <w:rPr>
                <w:rFonts w:ascii="Times New Roman" w:hAnsi="Times New Roman"/>
                <w:b w:val="0"/>
                <w:sz w:val="22"/>
                <w:szCs w:val="22"/>
              </w:rPr>
              <w:t>NIH</w:t>
            </w:r>
          </w:p>
        </w:tc>
        <w:tc>
          <w:tcPr>
            <w:tcW w:w="1392" w:type="dxa"/>
            <w:tcBorders>
              <w:bottom w:val="nil"/>
              <w:right w:val="single" w:sz="4" w:space="0" w:color="auto"/>
            </w:tcBorders>
            <w:vAlign w:val="bottom"/>
          </w:tcPr>
          <w:p w14:paraId="396B8742" w14:textId="77777777" w:rsidR="00C45062" w:rsidRPr="002D741C" w:rsidRDefault="00C45062" w:rsidP="00AD13BE">
            <w:pPr>
              <w:pStyle w:val="Nottoc-headings"/>
              <w:keepLines w:val="0"/>
              <w:tabs>
                <w:tab w:val="left" w:pos="567"/>
              </w:tabs>
              <w:spacing w:before="40" w:after="20" w:line="260" w:lineRule="exact"/>
              <w:ind w:left="57" w:hanging="57"/>
              <w:rPr>
                <w:rFonts w:ascii="Times New Roman" w:hAnsi="Times New Roman"/>
                <w:b w:val="0"/>
                <w:sz w:val="22"/>
                <w:szCs w:val="22"/>
              </w:rPr>
            </w:pPr>
            <w:r w:rsidRPr="002D741C">
              <w:rPr>
                <w:rFonts w:ascii="Times New Roman" w:hAnsi="Times New Roman"/>
                <w:b w:val="0"/>
                <w:sz w:val="22"/>
                <w:szCs w:val="22"/>
              </w:rPr>
              <w:t>Bajo</w:t>
            </w:r>
          </w:p>
        </w:tc>
        <w:tc>
          <w:tcPr>
            <w:tcW w:w="986" w:type="dxa"/>
            <w:tcBorders>
              <w:left w:val="single" w:sz="4" w:space="0" w:color="auto"/>
              <w:bottom w:val="nil"/>
              <w:right w:val="single" w:sz="4" w:space="0" w:color="auto"/>
            </w:tcBorders>
            <w:vAlign w:val="bottom"/>
          </w:tcPr>
          <w:p w14:paraId="6D30CF1B" w14:textId="77777777" w:rsidR="00C45062" w:rsidRPr="002D741C" w:rsidRDefault="00C45062" w:rsidP="00AD13BE">
            <w:pPr>
              <w:pStyle w:val="Nottoc-headings"/>
              <w:keepLines w:val="0"/>
              <w:tabs>
                <w:tab w:val="left" w:pos="567"/>
              </w:tabs>
              <w:spacing w:before="40" w:after="20" w:line="260" w:lineRule="exact"/>
              <w:ind w:left="57" w:hanging="57"/>
              <w:jc w:val="center"/>
              <w:rPr>
                <w:rFonts w:ascii="Times New Roman" w:hAnsi="Times New Roman"/>
                <w:b w:val="0"/>
                <w:sz w:val="22"/>
                <w:szCs w:val="22"/>
              </w:rPr>
            </w:pPr>
            <w:r w:rsidRPr="002D741C">
              <w:rPr>
                <w:rFonts w:ascii="Times New Roman" w:hAnsi="Times New Roman"/>
                <w:b w:val="0"/>
                <w:sz w:val="22"/>
                <w:szCs w:val="22"/>
              </w:rPr>
              <w:t>29,5</w:t>
            </w:r>
          </w:p>
        </w:tc>
        <w:tc>
          <w:tcPr>
            <w:tcW w:w="2083" w:type="dxa"/>
            <w:tcBorders>
              <w:left w:val="single" w:sz="4" w:space="0" w:color="auto"/>
              <w:bottom w:val="nil"/>
              <w:right w:val="single" w:sz="4" w:space="0" w:color="auto"/>
            </w:tcBorders>
            <w:vAlign w:val="bottom"/>
          </w:tcPr>
          <w:p w14:paraId="048640BD" w14:textId="77777777" w:rsidR="00C45062" w:rsidRPr="002D741C" w:rsidRDefault="00C45062" w:rsidP="00AD13BE">
            <w:pPr>
              <w:pStyle w:val="Nottoc-headings"/>
              <w:keepLines w:val="0"/>
              <w:tabs>
                <w:tab w:val="left" w:pos="567"/>
              </w:tabs>
              <w:spacing w:before="40" w:after="20" w:line="260" w:lineRule="exact"/>
              <w:ind w:left="57" w:hanging="57"/>
              <w:rPr>
                <w:rFonts w:ascii="Times New Roman" w:hAnsi="Times New Roman"/>
                <w:b w:val="0"/>
                <w:sz w:val="22"/>
                <w:szCs w:val="22"/>
              </w:rPr>
            </w:pPr>
            <w:r w:rsidRPr="002D741C">
              <w:rPr>
                <w:rFonts w:ascii="Times New Roman" w:hAnsi="Times New Roman"/>
                <w:b w:val="0"/>
                <w:sz w:val="22"/>
                <w:szCs w:val="22"/>
              </w:rPr>
              <w:t>0/86 vs. 2/90</w:t>
            </w:r>
          </w:p>
        </w:tc>
        <w:tc>
          <w:tcPr>
            <w:tcW w:w="1800" w:type="dxa"/>
            <w:tcBorders>
              <w:left w:val="single" w:sz="4" w:space="0" w:color="auto"/>
              <w:bottom w:val="nil"/>
              <w:right w:val="single" w:sz="4" w:space="0" w:color="auto"/>
            </w:tcBorders>
            <w:vAlign w:val="bottom"/>
          </w:tcPr>
          <w:p w14:paraId="2D6E44F0" w14:textId="77777777" w:rsidR="00C45062" w:rsidRPr="002D741C" w:rsidRDefault="00C45062" w:rsidP="00AD13BE">
            <w:pPr>
              <w:pStyle w:val="Nottoc-headings"/>
              <w:keepLines w:val="0"/>
              <w:tabs>
                <w:tab w:val="left" w:pos="567"/>
              </w:tabs>
              <w:spacing w:before="40" w:after="20" w:line="260" w:lineRule="exact"/>
              <w:ind w:left="57" w:hanging="57"/>
              <w:rPr>
                <w:rFonts w:ascii="Times New Roman" w:hAnsi="Times New Roman"/>
                <w:b w:val="0"/>
                <w:sz w:val="22"/>
                <w:szCs w:val="22"/>
              </w:rPr>
            </w:pPr>
            <w:r w:rsidRPr="002D741C">
              <w:rPr>
                <w:rFonts w:ascii="Times New Roman" w:hAnsi="Times New Roman"/>
                <w:b w:val="0"/>
                <w:sz w:val="22"/>
                <w:szCs w:val="22"/>
              </w:rPr>
              <w:t>N.E.</w:t>
            </w:r>
          </w:p>
        </w:tc>
        <w:tc>
          <w:tcPr>
            <w:tcW w:w="1440" w:type="dxa"/>
            <w:tcBorders>
              <w:left w:val="single" w:sz="4" w:space="0" w:color="auto"/>
              <w:bottom w:val="nil"/>
              <w:right w:val="single" w:sz="4" w:space="0" w:color="auto"/>
            </w:tcBorders>
            <w:vAlign w:val="bottom"/>
          </w:tcPr>
          <w:p w14:paraId="7A578074" w14:textId="77777777" w:rsidR="00C45062" w:rsidRPr="002D741C" w:rsidRDefault="00C45062" w:rsidP="00AD13BE">
            <w:pPr>
              <w:pStyle w:val="Nottoc-headings"/>
              <w:keepLines w:val="0"/>
              <w:tabs>
                <w:tab w:val="left" w:pos="567"/>
              </w:tabs>
              <w:spacing w:before="40" w:after="20" w:line="260" w:lineRule="exact"/>
              <w:ind w:left="57" w:hanging="57"/>
              <w:rPr>
                <w:rFonts w:ascii="Times New Roman" w:hAnsi="Times New Roman"/>
                <w:b w:val="0"/>
                <w:sz w:val="22"/>
                <w:szCs w:val="22"/>
              </w:rPr>
            </w:pPr>
            <w:r w:rsidRPr="002D741C">
              <w:rPr>
                <w:rFonts w:ascii="Times New Roman" w:hAnsi="Times New Roman"/>
                <w:b w:val="0"/>
                <w:sz w:val="22"/>
                <w:szCs w:val="22"/>
              </w:rPr>
              <w:t>100 vs. 98,7</w:t>
            </w:r>
          </w:p>
        </w:tc>
        <w:tc>
          <w:tcPr>
            <w:tcW w:w="1360" w:type="dxa"/>
            <w:tcBorders>
              <w:left w:val="single" w:sz="4" w:space="0" w:color="auto"/>
              <w:bottom w:val="nil"/>
            </w:tcBorders>
            <w:vAlign w:val="bottom"/>
          </w:tcPr>
          <w:p w14:paraId="09E7D71B" w14:textId="77777777" w:rsidR="00C45062" w:rsidRPr="002D741C" w:rsidRDefault="00C45062" w:rsidP="00AD13BE">
            <w:pPr>
              <w:pStyle w:val="Nottoc-headings"/>
              <w:keepLines w:val="0"/>
              <w:tabs>
                <w:tab w:val="left" w:pos="567"/>
              </w:tabs>
              <w:spacing w:before="40" w:after="20" w:line="260" w:lineRule="exact"/>
              <w:ind w:left="57" w:hanging="57"/>
              <w:rPr>
                <w:rFonts w:ascii="Times New Roman" w:hAnsi="Times New Roman"/>
                <w:b w:val="0"/>
                <w:sz w:val="22"/>
                <w:szCs w:val="22"/>
              </w:rPr>
            </w:pPr>
            <w:r w:rsidRPr="002D741C">
              <w:rPr>
                <w:rFonts w:ascii="Times New Roman" w:hAnsi="Times New Roman"/>
                <w:b w:val="0"/>
                <w:sz w:val="22"/>
                <w:szCs w:val="22"/>
              </w:rPr>
              <w:t>100 vs. 95,5</w:t>
            </w:r>
          </w:p>
        </w:tc>
      </w:tr>
      <w:tr w:rsidR="00C45062" w:rsidRPr="002D741C" w14:paraId="5C1A1013" w14:textId="77777777" w:rsidTr="00AD13BE">
        <w:trPr>
          <w:cantSplit/>
        </w:trPr>
        <w:tc>
          <w:tcPr>
            <w:tcW w:w="959" w:type="dxa"/>
            <w:vMerge/>
            <w:shd w:val="clear" w:color="auto" w:fill="auto"/>
          </w:tcPr>
          <w:p w14:paraId="4969103D" w14:textId="77777777" w:rsidR="00C45062" w:rsidRPr="002D741C" w:rsidRDefault="00C45062" w:rsidP="00AD13BE">
            <w:pPr>
              <w:pStyle w:val="Nottoc-headings"/>
              <w:keepLines w:val="0"/>
              <w:tabs>
                <w:tab w:val="left" w:pos="567"/>
              </w:tabs>
              <w:spacing w:line="260" w:lineRule="exact"/>
              <w:rPr>
                <w:rFonts w:ascii="Times New Roman" w:hAnsi="Times New Roman"/>
                <w:b w:val="0"/>
                <w:sz w:val="22"/>
                <w:szCs w:val="22"/>
              </w:rPr>
            </w:pPr>
          </w:p>
        </w:tc>
        <w:tc>
          <w:tcPr>
            <w:tcW w:w="1392" w:type="dxa"/>
            <w:tcBorders>
              <w:top w:val="nil"/>
              <w:bottom w:val="nil"/>
              <w:right w:val="single" w:sz="4" w:space="0" w:color="auto"/>
            </w:tcBorders>
            <w:vAlign w:val="bottom"/>
          </w:tcPr>
          <w:p w14:paraId="5EA0D2CB" w14:textId="77777777" w:rsidR="00C45062" w:rsidRPr="002D741C" w:rsidRDefault="00C45062" w:rsidP="00AD13BE">
            <w:pPr>
              <w:pStyle w:val="Table"/>
              <w:keepLines w:val="0"/>
              <w:tabs>
                <w:tab w:val="left" w:pos="567"/>
              </w:tabs>
              <w:spacing w:line="260" w:lineRule="exact"/>
              <w:rPr>
                <w:rFonts w:ascii="Times New Roman" w:hAnsi="Times New Roman"/>
                <w:sz w:val="22"/>
                <w:szCs w:val="22"/>
              </w:rPr>
            </w:pPr>
            <w:r w:rsidRPr="002D741C">
              <w:rPr>
                <w:rFonts w:ascii="Times New Roman" w:hAnsi="Times New Roman"/>
                <w:sz w:val="22"/>
                <w:szCs w:val="22"/>
              </w:rPr>
              <w:t>Intermedio</w:t>
            </w:r>
          </w:p>
        </w:tc>
        <w:tc>
          <w:tcPr>
            <w:tcW w:w="986" w:type="dxa"/>
            <w:tcBorders>
              <w:top w:val="nil"/>
              <w:left w:val="single" w:sz="4" w:space="0" w:color="auto"/>
              <w:bottom w:val="nil"/>
              <w:right w:val="single" w:sz="4" w:space="0" w:color="auto"/>
            </w:tcBorders>
            <w:vAlign w:val="bottom"/>
          </w:tcPr>
          <w:p w14:paraId="5AC39F65" w14:textId="77777777" w:rsidR="00C45062" w:rsidRPr="002D741C" w:rsidRDefault="00C45062" w:rsidP="00AD13BE">
            <w:pPr>
              <w:pStyle w:val="Table"/>
              <w:keepLines w:val="0"/>
              <w:tabs>
                <w:tab w:val="left" w:pos="567"/>
              </w:tabs>
              <w:spacing w:line="260" w:lineRule="exact"/>
              <w:jc w:val="center"/>
              <w:rPr>
                <w:rFonts w:ascii="Times New Roman" w:hAnsi="Times New Roman"/>
                <w:sz w:val="22"/>
                <w:szCs w:val="22"/>
              </w:rPr>
            </w:pPr>
            <w:r w:rsidRPr="002D741C">
              <w:rPr>
                <w:rFonts w:ascii="Times New Roman" w:hAnsi="Times New Roman"/>
                <w:sz w:val="22"/>
                <w:szCs w:val="22"/>
              </w:rPr>
              <w:t>25,7</w:t>
            </w:r>
          </w:p>
        </w:tc>
        <w:tc>
          <w:tcPr>
            <w:tcW w:w="2083" w:type="dxa"/>
            <w:tcBorders>
              <w:top w:val="nil"/>
              <w:left w:val="single" w:sz="4" w:space="0" w:color="auto"/>
              <w:bottom w:val="nil"/>
              <w:right w:val="single" w:sz="4" w:space="0" w:color="auto"/>
            </w:tcBorders>
            <w:vAlign w:val="bottom"/>
          </w:tcPr>
          <w:p w14:paraId="1DC6C3E1" w14:textId="77777777" w:rsidR="00C45062" w:rsidRPr="002D741C" w:rsidRDefault="00C45062" w:rsidP="00AD13BE">
            <w:pPr>
              <w:pStyle w:val="Table"/>
              <w:keepLines w:val="0"/>
              <w:tabs>
                <w:tab w:val="left" w:pos="567"/>
              </w:tabs>
              <w:spacing w:line="260" w:lineRule="exact"/>
              <w:rPr>
                <w:rFonts w:ascii="Times New Roman" w:hAnsi="Times New Roman"/>
                <w:sz w:val="22"/>
                <w:szCs w:val="22"/>
              </w:rPr>
            </w:pPr>
            <w:r w:rsidRPr="002D741C">
              <w:rPr>
                <w:rFonts w:ascii="Times New Roman" w:hAnsi="Times New Roman"/>
                <w:sz w:val="22"/>
                <w:szCs w:val="22"/>
              </w:rPr>
              <w:t>4/75 vs. 6/78</w:t>
            </w:r>
          </w:p>
        </w:tc>
        <w:tc>
          <w:tcPr>
            <w:tcW w:w="1800" w:type="dxa"/>
            <w:tcBorders>
              <w:top w:val="nil"/>
              <w:left w:val="single" w:sz="4" w:space="0" w:color="auto"/>
              <w:bottom w:val="nil"/>
              <w:right w:val="single" w:sz="4" w:space="0" w:color="auto"/>
            </w:tcBorders>
            <w:vAlign w:val="bottom"/>
          </w:tcPr>
          <w:p w14:paraId="6D554E93" w14:textId="77777777" w:rsidR="00C45062" w:rsidRPr="002D741C" w:rsidRDefault="00C45062" w:rsidP="00AD13BE">
            <w:pPr>
              <w:pStyle w:val="Table"/>
              <w:keepLines w:val="0"/>
              <w:tabs>
                <w:tab w:val="left" w:pos="567"/>
              </w:tabs>
              <w:spacing w:line="260" w:lineRule="exact"/>
              <w:rPr>
                <w:rFonts w:ascii="Times New Roman" w:hAnsi="Times New Roman"/>
                <w:sz w:val="22"/>
                <w:szCs w:val="22"/>
              </w:rPr>
            </w:pPr>
            <w:r w:rsidRPr="002D741C">
              <w:rPr>
                <w:rFonts w:ascii="Times New Roman" w:hAnsi="Times New Roman"/>
                <w:sz w:val="22"/>
                <w:szCs w:val="22"/>
              </w:rPr>
              <w:t>0,59 (0,17; 2,10)</w:t>
            </w:r>
          </w:p>
        </w:tc>
        <w:tc>
          <w:tcPr>
            <w:tcW w:w="1440" w:type="dxa"/>
            <w:tcBorders>
              <w:top w:val="nil"/>
              <w:left w:val="single" w:sz="4" w:space="0" w:color="auto"/>
              <w:bottom w:val="nil"/>
              <w:right w:val="single" w:sz="4" w:space="0" w:color="auto"/>
            </w:tcBorders>
            <w:vAlign w:val="bottom"/>
          </w:tcPr>
          <w:p w14:paraId="7CB4544F" w14:textId="77777777" w:rsidR="00C45062" w:rsidRPr="002D741C" w:rsidRDefault="00C45062" w:rsidP="00AD13BE">
            <w:pPr>
              <w:pStyle w:val="Table"/>
              <w:keepLines w:val="0"/>
              <w:tabs>
                <w:tab w:val="left" w:pos="567"/>
              </w:tabs>
              <w:spacing w:line="260" w:lineRule="exact"/>
              <w:rPr>
                <w:rFonts w:ascii="Times New Roman" w:hAnsi="Times New Roman"/>
                <w:sz w:val="22"/>
                <w:szCs w:val="22"/>
              </w:rPr>
            </w:pPr>
            <w:r w:rsidRPr="002D741C">
              <w:rPr>
                <w:rFonts w:ascii="Times New Roman" w:hAnsi="Times New Roman"/>
                <w:sz w:val="22"/>
                <w:szCs w:val="22"/>
              </w:rPr>
              <w:t>100 vs. 94,8</w:t>
            </w:r>
          </w:p>
        </w:tc>
        <w:tc>
          <w:tcPr>
            <w:tcW w:w="1360" w:type="dxa"/>
            <w:tcBorders>
              <w:top w:val="nil"/>
              <w:left w:val="single" w:sz="4" w:space="0" w:color="auto"/>
              <w:bottom w:val="nil"/>
            </w:tcBorders>
            <w:vAlign w:val="bottom"/>
          </w:tcPr>
          <w:p w14:paraId="2D136518" w14:textId="77777777" w:rsidR="00C45062" w:rsidRPr="002D741C" w:rsidRDefault="00C45062" w:rsidP="00AD13BE">
            <w:pPr>
              <w:pStyle w:val="Table"/>
              <w:keepLines w:val="0"/>
              <w:tabs>
                <w:tab w:val="left" w:pos="567"/>
              </w:tabs>
              <w:spacing w:line="260" w:lineRule="exact"/>
              <w:rPr>
                <w:rFonts w:ascii="Times New Roman" w:hAnsi="Times New Roman"/>
                <w:sz w:val="22"/>
                <w:szCs w:val="22"/>
              </w:rPr>
            </w:pPr>
            <w:r w:rsidRPr="002D741C">
              <w:rPr>
                <w:rFonts w:ascii="Times New Roman" w:hAnsi="Times New Roman"/>
                <w:sz w:val="22"/>
                <w:szCs w:val="22"/>
              </w:rPr>
              <w:t>97,8 vs. 89,5</w:t>
            </w:r>
          </w:p>
        </w:tc>
      </w:tr>
      <w:tr w:rsidR="00C45062" w:rsidRPr="002D741C" w14:paraId="203FA8D5" w14:textId="77777777" w:rsidTr="00AD13BE">
        <w:trPr>
          <w:cantSplit/>
        </w:trPr>
        <w:tc>
          <w:tcPr>
            <w:tcW w:w="959" w:type="dxa"/>
            <w:vMerge/>
            <w:shd w:val="clear" w:color="auto" w:fill="auto"/>
          </w:tcPr>
          <w:p w14:paraId="6EE7983E" w14:textId="77777777" w:rsidR="00C45062" w:rsidRPr="002D741C" w:rsidRDefault="00C45062" w:rsidP="00AD13BE">
            <w:pPr>
              <w:pStyle w:val="Table"/>
              <w:keepLines w:val="0"/>
              <w:tabs>
                <w:tab w:val="left" w:pos="567"/>
              </w:tabs>
              <w:spacing w:line="260" w:lineRule="exact"/>
              <w:rPr>
                <w:rFonts w:ascii="Times New Roman" w:hAnsi="Times New Roman"/>
                <w:sz w:val="22"/>
                <w:szCs w:val="22"/>
              </w:rPr>
            </w:pPr>
          </w:p>
        </w:tc>
        <w:tc>
          <w:tcPr>
            <w:tcW w:w="1392" w:type="dxa"/>
            <w:tcBorders>
              <w:top w:val="nil"/>
              <w:right w:val="single" w:sz="4" w:space="0" w:color="auto"/>
            </w:tcBorders>
            <w:vAlign w:val="bottom"/>
          </w:tcPr>
          <w:p w14:paraId="45C87F94" w14:textId="77777777" w:rsidR="00C45062" w:rsidRPr="002D741C" w:rsidRDefault="00C45062" w:rsidP="00AD13BE">
            <w:pPr>
              <w:pStyle w:val="Table"/>
              <w:keepLines w:val="0"/>
              <w:tabs>
                <w:tab w:val="left" w:pos="567"/>
              </w:tabs>
              <w:spacing w:line="260" w:lineRule="exact"/>
              <w:rPr>
                <w:rFonts w:ascii="Times New Roman" w:hAnsi="Times New Roman"/>
                <w:sz w:val="22"/>
                <w:szCs w:val="22"/>
              </w:rPr>
            </w:pPr>
            <w:r w:rsidRPr="002D741C">
              <w:rPr>
                <w:rFonts w:ascii="Times New Roman" w:hAnsi="Times New Roman"/>
                <w:sz w:val="22"/>
                <w:szCs w:val="22"/>
              </w:rPr>
              <w:t>Alto</w:t>
            </w:r>
          </w:p>
        </w:tc>
        <w:tc>
          <w:tcPr>
            <w:tcW w:w="986" w:type="dxa"/>
            <w:tcBorders>
              <w:top w:val="nil"/>
              <w:left w:val="single" w:sz="4" w:space="0" w:color="auto"/>
              <w:right w:val="single" w:sz="4" w:space="0" w:color="auto"/>
            </w:tcBorders>
            <w:vAlign w:val="bottom"/>
          </w:tcPr>
          <w:p w14:paraId="37D330C0" w14:textId="77777777" w:rsidR="00C45062" w:rsidRPr="002D741C" w:rsidRDefault="00C45062" w:rsidP="00AD13BE">
            <w:pPr>
              <w:pStyle w:val="Table"/>
              <w:keepLines w:val="0"/>
              <w:tabs>
                <w:tab w:val="left" w:pos="567"/>
              </w:tabs>
              <w:spacing w:line="260" w:lineRule="exact"/>
              <w:jc w:val="center"/>
              <w:rPr>
                <w:rFonts w:ascii="Times New Roman" w:hAnsi="Times New Roman"/>
                <w:sz w:val="22"/>
                <w:szCs w:val="22"/>
              </w:rPr>
            </w:pPr>
            <w:r w:rsidRPr="002D741C">
              <w:rPr>
                <w:rFonts w:ascii="Times New Roman" w:hAnsi="Times New Roman"/>
                <w:sz w:val="22"/>
                <w:szCs w:val="22"/>
              </w:rPr>
              <w:t>44,8</w:t>
            </w:r>
          </w:p>
        </w:tc>
        <w:tc>
          <w:tcPr>
            <w:tcW w:w="2083" w:type="dxa"/>
            <w:tcBorders>
              <w:top w:val="nil"/>
              <w:left w:val="single" w:sz="4" w:space="0" w:color="auto"/>
              <w:right w:val="single" w:sz="4" w:space="0" w:color="auto"/>
            </w:tcBorders>
            <w:vAlign w:val="bottom"/>
          </w:tcPr>
          <w:p w14:paraId="3C020360" w14:textId="77777777" w:rsidR="00C45062" w:rsidRPr="002D741C" w:rsidRDefault="00C45062" w:rsidP="00AD13BE">
            <w:pPr>
              <w:pStyle w:val="Table"/>
              <w:keepLines w:val="0"/>
              <w:tabs>
                <w:tab w:val="left" w:pos="567"/>
              </w:tabs>
              <w:spacing w:line="260" w:lineRule="exact"/>
              <w:rPr>
                <w:rFonts w:ascii="Times New Roman" w:hAnsi="Times New Roman"/>
                <w:sz w:val="22"/>
                <w:szCs w:val="22"/>
              </w:rPr>
            </w:pPr>
            <w:r w:rsidRPr="002D741C">
              <w:rPr>
                <w:rFonts w:ascii="Times New Roman" w:hAnsi="Times New Roman"/>
                <w:sz w:val="22"/>
                <w:szCs w:val="22"/>
              </w:rPr>
              <w:t>21/140 vs. 51/127</w:t>
            </w:r>
          </w:p>
        </w:tc>
        <w:tc>
          <w:tcPr>
            <w:tcW w:w="1800" w:type="dxa"/>
            <w:tcBorders>
              <w:top w:val="nil"/>
              <w:left w:val="single" w:sz="4" w:space="0" w:color="auto"/>
              <w:right w:val="single" w:sz="4" w:space="0" w:color="auto"/>
            </w:tcBorders>
            <w:vAlign w:val="bottom"/>
          </w:tcPr>
          <w:p w14:paraId="34485A9C" w14:textId="77777777" w:rsidR="00C45062" w:rsidRPr="002D741C" w:rsidRDefault="00C45062" w:rsidP="00AD13BE">
            <w:pPr>
              <w:pStyle w:val="Table"/>
              <w:keepLines w:val="0"/>
              <w:tabs>
                <w:tab w:val="left" w:pos="567"/>
              </w:tabs>
              <w:spacing w:line="260" w:lineRule="exact"/>
              <w:rPr>
                <w:rFonts w:ascii="Times New Roman" w:hAnsi="Times New Roman"/>
                <w:sz w:val="22"/>
                <w:szCs w:val="22"/>
              </w:rPr>
            </w:pPr>
            <w:r w:rsidRPr="002D741C">
              <w:rPr>
                <w:rFonts w:ascii="Times New Roman" w:hAnsi="Times New Roman"/>
                <w:sz w:val="22"/>
                <w:szCs w:val="22"/>
              </w:rPr>
              <w:t>0,29 (0,18; 0,49)</w:t>
            </w:r>
          </w:p>
        </w:tc>
        <w:tc>
          <w:tcPr>
            <w:tcW w:w="1440" w:type="dxa"/>
            <w:tcBorders>
              <w:top w:val="nil"/>
              <w:left w:val="single" w:sz="4" w:space="0" w:color="auto"/>
              <w:right w:val="single" w:sz="4" w:space="0" w:color="auto"/>
            </w:tcBorders>
            <w:vAlign w:val="bottom"/>
          </w:tcPr>
          <w:p w14:paraId="56C8D941" w14:textId="77777777" w:rsidR="00C45062" w:rsidRPr="002D741C" w:rsidRDefault="00C45062" w:rsidP="00AD13BE">
            <w:pPr>
              <w:pStyle w:val="Table"/>
              <w:keepLines w:val="0"/>
              <w:tabs>
                <w:tab w:val="left" w:pos="567"/>
              </w:tabs>
              <w:spacing w:line="260" w:lineRule="exact"/>
              <w:rPr>
                <w:rFonts w:ascii="Times New Roman" w:hAnsi="Times New Roman"/>
                <w:sz w:val="22"/>
                <w:szCs w:val="22"/>
              </w:rPr>
            </w:pPr>
            <w:r w:rsidRPr="002D741C">
              <w:rPr>
                <w:rFonts w:ascii="Times New Roman" w:hAnsi="Times New Roman"/>
                <w:sz w:val="22"/>
                <w:szCs w:val="22"/>
              </w:rPr>
              <w:t>94,8 vs. 64,0</w:t>
            </w:r>
          </w:p>
        </w:tc>
        <w:tc>
          <w:tcPr>
            <w:tcW w:w="1360" w:type="dxa"/>
            <w:tcBorders>
              <w:top w:val="nil"/>
              <w:left w:val="single" w:sz="4" w:space="0" w:color="auto"/>
            </w:tcBorders>
            <w:vAlign w:val="bottom"/>
          </w:tcPr>
          <w:p w14:paraId="7243707F" w14:textId="77777777" w:rsidR="00C45062" w:rsidRPr="002D741C" w:rsidRDefault="00C45062" w:rsidP="00AD13BE">
            <w:pPr>
              <w:pStyle w:val="Table"/>
              <w:keepLines w:val="0"/>
              <w:tabs>
                <w:tab w:val="left" w:pos="567"/>
              </w:tabs>
              <w:spacing w:line="260" w:lineRule="exact"/>
              <w:rPr>
                <w:rFonts w:ascii="Times New Roman" w:hAnsi="Times New Roman"/>
                <w:sz w:val="22"/>
                <w:szCs w:val="22"/>
              </w:rPr>
            </w:pPr>
            <w:r w:rsidRPr="002D741C">
              <w:rPr>
                <w:rFonts w:ascii="Times New Roman" w:hAnsi="Times New Roman"/>
                <w:sz w:val="22"/>
                <w:szCs w:val="22"/>
              </w:rPr>
              <w:t>80,7 vs. 46,6</w:t>
            </w:r>
          </w:p>
        </w:tc>
      </w:tr>
      <w:tr w:rsidR="00C45062" w:rsidRPr="002D741C" w14:paraId="65C84AFD" w14:textId="77777777" w:rsidTr="00AD13BE">
        <w:trPr>
          <w:cantSplit/>
        </w:trPr>
        <w:tc>
          <w:tcPr>
            <w:tcW w:w="959" w:type="dxa"/>
            <w:vMerge w:val="restart"/>
            <w:shd w:val="clear" w:color="auto" w:fill="auto"/>
          </w:tcPr>
          <w:p w14:paraId="453CAE0C" w14:textId="77777777" w:rsidR="00C45062" w:rsidRPr="002D741C" w:rsidRDefault="00C45062" w:rsidP="00AD13BE">
            <w:pPr>
              <w:pStyle w:val="Table"/>
              <w:keepLines w:val="0"/>
              <w:tabs>
                <w:tab w:val="left" w:pos="567"/>
              </w:tabs>
              <w:spacing w:before="480" w:line="260" w:lineRule="exact"/>
              <w:rPr>
                <w:rFonts w:ascii="Times New Roman" w:hAnsi="Times New Roman"/>
                <w:sz w:val="22"/>
                <w:szCs w:val="22"/>
              </w:rPr>
            </w:pPr>
            <w:r w:rsidRPr="002D741C">
              <w:rPr>
                <w:rFonts w:ascii="Times New Roman" w:hAnsi="Times New Roman"/>
                <w:sz w:val="22"/>
                <w:szCs w:val="22"/>
              </w:rPr>
              <w:t>A</w:t>
            </w:r>
            <w:smartTag w:uri="urn:schemas-microsoft-com:office:smarttags" w:element="PersonName">
              <w:r w:rsidRPr="002D741C">
                <w:rPr>
                  <w:rFonts w:ascii="Times New Roman" w:hAnsi="Times New Roman"/>
                  <w:sz w:val="22"/>
                  <w:szCs w:val="22"/>
                </w:rPr>
                <w:t>FI</w:t>
              </w:r>
            </w:smartTag>
            <w:r w:rsidRPr="002D741C">
              <w:rPr>
                <w:rFonts w:ascii="Times New Roman" w:hAnsi="Times New Roman"/>
                <w:sz w:val="22"/>
                <w:szCs w:val="22"/>
              </w:rPr>
              <w:t>P</w:t>
            </w:r>
          </w:p>
        </w:tc>
        <w:tc>
          <w:tcPr>
            <w:tcW w:w="1392" w:type="dxa"/>
            <w:tcBorders>
              <w:bottom w:val="nil"/>
              <w:right w:val="single" w:sz="4" w:space="0" w:color="auto"/>
            </w:tcBorders>
            <w:vAlign w:val="bottom"/>
          </w:tcPr>
          <w:p w14:paraId="43EDE4D1" w14:textId="77777777" w:rsidR="00C45062" w:rsidRPr="002D741C" w:rsidRDefault="00C45062" w:rsidP="00AD13BE">
            <w:pPr>
              <w:pStyle w:val="Table"/>
              <w:keepLines w:val="0"/>
              <w:tabs>
                <w:tab w:val="left" w:pos="567"/>
              </w:tabs>
              <w:spacing w:line="260" w:lineRule="exact"/>
              <w:rPr>
                <w:rFonts w:ascii="Times New Roman" w:hAnsi="Times New Roman"/>
                <w:sz w:val="22"/>
                <w:szCs w:val="22"/>
              </w:rPr>
            </w:pPr>
            <w:r w:rsidRPr="002D741C">
              <w:rPr>
                <w:rFonts w:ascii="Times New Roman" w:hAnsi="Times New Roman"/>
                <w:sz w:val="22"/>
                <w:szCs w:val="22"/>
              </w:rPr>
              <w:t>Muy bajo</w:t>
            </w:r>
          </w:p>
        </w:tc>
        <w:tc>
          <w:tcPr>
            <w:tcW w:w="986" w:type="dxa"/>
            <w:tcBorders>
              <w:left w:val="single" w:sz="4" w:space="0" w:color="auto"/>
              <w:bottom w:val="nil"/>
              <w:right w:val="single" w:sz="4" w:space="0" w:color="auto"/>
            </w:tcBorders>
            <w:vAlign w:val="bottom"/>
          </w:tcPr>
          <w:p w14:paraId="186FF354" w14:textId="77777777" w:rsidR="00C45062" w:rsidRPr="002D741C" w:rsidRDefault="00C45062" w:rsidP="00AD13BE">
            <w:pPr>
              <w:pStyle w:val="Table"/>
              <w:keepLines w:val="0"/>
              <w:tabs>
                <w:tab w:val="left" w:pos="567"/>
              </w:tabs>
              <w:spacing w:line="260" w:lineRule="exact"/>
              <w:jc w:val="center"/>
              <w:rPr>
                <w:rFonts w:ascii="Times New Roman" w:hAnsi="Times New Roman"/>
                <w:sz w:val="22"/>
                <w:szCs w:val="22"/>
              </w:rPr>
            </w:pPr>
            <w:r w:rsidRPr="002D741C">
              <w:rPr>
                <w:rFonts w:ascii="Times New Roman" w:hAnsi="Times New Roman"/>
                <w:sz w:val="22"/>
                <w:szCs w:val="22"/>
              </w:rPr>
              <w:t>20,7</w:t>
            </w:r>
          </w:p>
        </w:tc>
        <w:tc>
          <w:tcPr>
            <w:tcW w:w="2083" w:type="dxa"/>
            <w:tcBorders>
              <w:left w:val="single" w:sz="4" w:space="0" w:color="auto"/>
              <w:bottom w:val="nil"/>
              <w:right w:val="single" w:sz="4" w:space="0" w:color="auto"/>
            </w:tcBorders>
            <w:vAlign w:val="bottom"/>
          </w:tcPr>
          <w:p w14:paraId="19D6A959" w14:textId="77777777" w:rsidR="00C45062" w:rsidRPr="002D741C" w:rsidRDefault="00C45062" w:rsidP="00AD13BE">
            <w:pPr>
              <w:pStyle w:val="Table"/>
              <w:keepLines w:val="0"/>
              <w:tabs>
                <w:tab w:val="left" w:pos="567"/>
              </w:tabs>
              <w:spacing w:line="260" w:lineRule="exact"/>
              <w:rPr>
                <w:rFonts w:ascii="Times New Roman" w:hAnsi="Times New Roman"/>
                <w:sz w:val="22"/>
                <w:szCs w:val="22"/>
              </w:rPr>
            </w:pPr>
            <w:r w:rsidRPr="002D741C">
              <w:rPr>
                <w:rFonts w:ascii="Times New Roman" w:hAnsi="Times New Roman"/>
                <w:sz w:val="22"/>
                <w:szCs w:val="22"/>
              </w:rPr>
              <w:t>0/52 vs. 2/63</w:t>
            </w:r>
          </w:p>
        </w:tc>
        <w:tc>
          <w:tcPr>
            <w:tcW w:w="1800" w:type="dxa"/>
            <w:tcBorders>
              <w:left w:val="single" w:sz="4" w:space="0" w:color="auto"/>
              <w:bottom w:val="nil"/>
              <w:right w:val="single" w:sz="4" w:space="0" w:color="auto"/>
            </w:tcBorders>
            <w:vAlign w:val="bottom"/>
          </w:tcPr>
          <w:p w14:paraId="5B2B67EA" w14:textId="77777777" w:rsidR="00C45062" w:rsidRPr="002D741C" w:rsidRDefault="00C45062" w:rsidP="00AD13BE">
            <w:pPr>
              <w:pStyle w:val="Table"/>
              <w:keepLines w:val="0"/>
              <w:tabs>
                <w:tab w:val="left" w:pos="567"/>
              </w:tabs>
              <w:spacing w:line="260" w:lineRule="exact"/>
              <w:rPr>
                <w:rFonts w:ascii="Times New Roman" w:hAnsi="Times New Roman"/>
                <w:sz w:val="22"/>
                <w:szCs w:val="22"/>
              </w:rPr>
            </w:pPr>
            <w:r w:rsidRPr="002D741C">
              <w:rPr>
                <w:rFonts w:ascii="Times New Roman" w:hAnsi="Times New Roman"/>
                <w:sz w:val="22"/>
                <w:szCs w:val="22"/>
              </w:rPr>
              <w:t>N.E.</w:t>
            </w:r>
          </w:p>
        </w:tc>
        <w:tc>
          <w:tcPr>
            <w:tcW w:w="1440" w:type="dxa"/>
            <w:tcBorders>
              <w:left w:val="single" w:sz="4" w:space="0" w:color="auto"/>
              <w:bottom w:val="nil"/>
              <w:right w:val="single" w:sz="4" w:space="0" w:color="auto"/>
            </w:tcBorders>
            <w:vAlign w:val="bottom"/>
          </w:tcPr>
          <w:p w14:paraId="2B3E58C5" w14:textId="77777777" w:rsidR="00C45062" w:rsidRPr="002D741C" w:rsidRDefault="00C45062" w:rsidP="00AD13BE">
            <w:pPr>
              <w:pStyle w:val="Table"/>
              <w:keepLines w:val="0"/>
              <w:tabs>
                <w:tab w:val="left" w:pos="567"/>
              </w:tabs>
              <w:spacing w:line="260" w:lineRule="exact"/>
              <w:rPr>
                <w:rFonts w:ascii="Times New Roman" w:hAnsi="Times New Roman"/>
                <w:sz w:val="22"/>
                <w:szCs w:val="22"/>
              </w:rPr>
            </w:pPr>
            <w:r w:rsidRPr="002D741C">
              <w:rPr>
                <w:rFonts w:ascii="Times New Roman" w:hAnsi="Times New Roman"/>
                <w:sz w:val="22"/>
                <w:szCs w:val="22"/>
              </w:rPr>
              <w:t>100 vs. 98,1</w:t>
            </w:r>
          </w:p>
        </w:tc>
        <w:tc>
          <w:tcPr>
            <w:tcW w:w="1360" w:type="dxa"/>
            <w:tcBorders>
              <w:left w:val="single" w:sz="4" w:space="0" w:color="auto"/>
              <w:bottom w:val="nil"/>
            </w:tcBorders>
            <w:vAlign w:val="bottom"/>
          </w:tcPr>
          <w:p w14:paraId="11E05277" w14:textId="77777777" w:rsidR="00C45062" w:rsidRPr="002D741C" w:rsidRDefault="00C45062" w:rsidP="00AD13BE">
            <w:pPr>
              <w:pStyle w:val="Table"/>
              <w:keepLines w:val="0"/>
              <w:tabs>
                <w:tab w:val="left" w:pos="567"/>
              </w:tabs>
              <w:spacing w:line="260" w:lineRule="exact"/>
              <w:rPr>
                <w:rFonts w:ascii="Times New Roman" w:hAnsi="Times New Roman"/>
                <w:sz w:val="22"/>
                <w:szCs w:val="22"/>
              </w:rPr>
            </w:pPr>
            <w:r w:rsidRPr="002D741C">
              <w:rPr>
                <w:rFonts w:ascii="Times New Roman" w:hAnsi="Times New Roman"/>
                <w:sz w:val="22"/>
                <w:szCs w:val="22"/>
              </w:rPr>
              <w:t>100 vs. 93,0</w:t>
            </w:r>
          </w:p>
        </w:tc>
      </w:tr>
      <w:tr w:rsidR="00C45062" w:rsidRPr="002D741C" w14:paraId="555C0B14" w14:textId="77777777" w:rsidTr="00AD13BE">
        <w:trPr>
          <w:cantSplit/>
        </w:trPr>
        <w:tc>
          <w:tcPr>
            <w:tcW w:w="959" w:type="dxa"/>
            <w:vMerge/>
            <w:shd w:val="clear" w:color="auto" w:fill="auto"/>
          </w:tcPr>
          <w:p w14:paraId="4FF1A8BF" w14:textId="77777777" w:rsidR="00C45062" w:rsidRPr="002D741C" w:rsidRDefault="00C45062" w:rsidP="00AD13BE">
            <w:pPr>
              <w:pStyle w:val="Table"/>
              <w:keepLines w:val="0"/>
              <w:tabs>
                <w:tab w:val="left" w:pos="567"/>
              </w:tabs>
              <w:spacing w:line="260" w:lineRule="exact"/>
              <w:rPr>
                <w:rFonts w:ascii="Times New Roman" w:hAnsi="Times New Roman"/>
                <w:sz w:val="22"/>
                <w:szCs w:val="22"/>
              </w:rPr>
            </w:pPr>
          </w:p>
        </w:tc>
        <w:tc>
          <w:tcPr>
            <w:tcW w:w="1392" w:type="dxa"/>
            <w:tcBorders>
              <w:top w:val="nil"/>
              <w:bottom w:val="nil"/>
              <w:right w:val="single" w:sz="4" w:space="0" w:color="auto"/>
            </w:tcBorders>
            <w:vAlign w:val="bottom"/>
          </w:tcPr>
          <w:p w14:paraId="04E38341" w14:textId="77777777" w:rsidR="00C45062" w:rsidRPr="002D741C" w:rsidRDefault="00C45062" w:rsidP="00AD13BE">
            <w:pPr>
              <w:pStyle w:val="Table"/>
              <w:keepLines w:val="0"/>
              <w:tabs>
                <w:tab w:val="left" w:pos="567"/>
              </w:tabs>
              <w:spacing w:line="260" w:lineRule="exact"/>
              <w:rPr>
                <w:rFonts w:ascii="Times New Roman" w:hAnsi="Times New Roman"/>
                <w:sz w:val="22"/>
                <w:szCs w:val="22"/>
              </w:rPr>
            </w:pPr>
            <w:r w:rsidRPr="002D741C">
              <w:rPr>
                <w:rFonts w:ascii="Times New Roman" w:hAnsi="Times New Roman"/>
                <w:sz w:val="22"/>
                <w:szCs w:val="22"/>
              </w:rPr>
              <w:t>Bajo</w:t>
            </w:r>
          </w:p>
        </w:tc>
        <w:tc>
          <w:tcPr>
            <w:tcW w:w="986" w:type="dxa"/>
            <w:tcBorders>
              <w:top w:val="nil"/>
              <w:left w:val="single" w:sz="4" w:space="0" w:color="auto"/>
              <w:bottom w:val="nil"/>
              <w:right w:val="single" w:sz="4" w:space="0" w:color="auto"/>
            </w:tcBorders>
            <w:vAlign w:val="bottom"/>
          </w:tcPr>
          <w:p w14:paraId="272EFC41" w14:textId="77777777" w:rsidR="00C45062" w:rsidRPr="002D741C" w:rsidRDefault="00C45062" w:rsidP="00AD13BE">
            <w:pPr>
              <w:pStyle w:val="Table"/>
              <w:keepLines w:val="0"/>
              <w:tabs>
                <w:tab w:val="left" w:pos="567"/>
              </w:tabs>
              <w:spacing w:line="260" w:lineRule="exact"/>
              <w:jc w:val="center"/>
              <w:rPr>
                <w:rFonts w:ascii="Times New Roman" w:hAnsi="Times New Roman"/>
                <w:sz w:val="22"/>
                <w:szCs w:val="22"/>
              </w:rPr>
            </w:pPr>
            <w:r w:rsidRPr="002D741C">
              <w:rPr>
                <w:rFonts w:ascii="Times New Roman" w:hAnsi="Times New Roman"/>
                <w:sz w:val="22"/>
                <w:szCs w:val="22"/>
              </w:rPr>
              <w:t>25,0</w:t>
            </w:r>
          </w:p>
        </w:tc>
        <w:tc>
          <w:tcPr>
            <w:tcW w:w="2083" w:type="dxa"/>
            <w:tcBorders>
              <w:top w:val="nil"/>
              <w:left w:val="single" w:sz="4" w:space="0" w:color="auto"/>
              <w:bottom w:val="nil"/>
              <w:right w:val="single" w:sz="4" w:space="0" w:color="auto"/>
            </w:tcBorders>
            <w:vAlign w:val="bottom"/>
          </w:tcPr>
          <w:p w14:paraId="50900076" w14:textId="77777777" w:rsidR="00C45062" w:rsidRPr="002D741C" w:rsidRDefault="00C45062" w:rsidP="00AD13BE">
            <w:pPr>
              <w:pStyle w:val="Table"/>
              <w:keepLines w:val="0"/>
              <w:tabs>
                <w:tab w:val="left" w:pos="567"/>
              </w:tabs>
              <w:spacing w:line="260" w:lineRule="exact"/>
              <w:rPr>
                <w:rFonts w:ascii="Times New Roman" w:hAnsi="Times New Roman"/>
                <w:sz w:val="22"/>
                <w:szCs w:val="22"/>
              </w:rPr>
            </w:pPr>
            <w:r w:rsidRPr="002D741C">
              <w:rPr>
                <w:rFonts w:ascii="Times New Roman" w:hAnsi="Times New Roman"/>
                <w:sz w:val="22"/>
                <w:szCs w:val="22"/>
              </w:rPr>
              <w:t>2/70 vs. 0/69</w:t>
            </w:r>
          </w:p>
        </w:tc>
        <w:tc>
          <w:tcPr>
            <w:tcW w:w="1800" w:type="dxa"/>
            <w:tcBorders>
              <w:top w:val="nil"/>
              <w:left w:val="single" w:sz="4" w:space="0" w:color="auto"/>
              <w:bottom w:val="nil"/>
              <w:right w:val="single" w:sz="4" w:space="0" w:color="auto"/>
            </w:tcBorders>
            <w:vAlign w:val="bottom"/>
          </w:tcPr>
          <w:p w14:paraId="3F6E8735" w14:textId="77777777" w:rsidR="00C45062" w:rsidRPr="002D741C" w:rsidRDefault="00C45062" w:rsidP="00AD13BE">
            <w:pPr>
              <w:pStyle w:val="Table"/>
              <w:keepLines w:val="0"/>
              <w:tabs>
                <w:tab w:val="left" w:pos="567"/>
              </w:tabs>
              <w:spacing w:line="260" w:lineRule="exact"/>
              <w:rPr>
                <w:rFonts w:ascii="Times New Roman" w:hAnsi="Times New Roman"/>
                <w:sz w:val="22"/>
                <w:szCs w:val="22"/>
              </w:rPr>
            </w:pPr>
            <w:r w:rsidRPr="002D741C">
              <w:rPr>
                <w:rFonts w:ascii="Times New Roman" w:hAnsi="Times New Roman"/>
                <w:sz w:val="22"/>
                <w:szCs w:val="22"/>
              </w:rPr>
              <w:t>N.E.</w:t>
            </w:r>
          </w:p>
        </w:tc>
        <w:tc>
          <w:tcPr>
            <w:tcW w:w="1440" w:type="dxa"/>
            <w:tcBorders>
              <w:top w:val="nil"/>
              <w:left w:val="single" w:sz="4" w:space="0" w:color="auto"/>
              <w:bottom w:val="nil"/>
              <w:right w:val="single" w:sz="4" w:space="0" w:color="auto"/>
            </w:tcBorders>
            <w:vAlign w:val="bottom"/>
          </w:tcPr>
          <w:p w14:paraId="0E45DC04" w14:textId="77777777" w:rsidR="00C45062" w:rsidRPr="002D741C" w:rsidRDefault="00C45062" w:rsidP="00AD13BE">
            <w:pPr>
              <w:pStyle w:val="Table"/>
              <w:keepLines w:val="0"/>
              <w:tabs>
                <w:tab w:val="left" w:pos="567"/>
              </w:tabs>
              <w:spacing w:line="260" w:lineRule="exact"/>
              <w:rPr>
                <w:rFonts w:ascii="Times New Roman" w:hAnsi="Times New Roman"/>
                <w:sz w:val="22"/>
                <w:szCs w:val="22"/>
              </w:rPr>
            </w:pPr>
            <w:r w:rsidRPr="002D741C">
              <w:rPr>
                <w:rFonts w:ascii="Times New Roman" w:hAnsi="Times New Roman"/>
                <w:sz w:val="22"/>
                <w:szCs w:val="22"/>
              </w:rPr>
              <w:t>100 vs. 100</w:t>
            </w:r>
          </w:p>
        </w:tc>
        <w:tc>
          <w:tcPr>
            <w:tcW w:w="1360" w:type="dxa"/>
            <w:tcBorders>
              <w:top w:val="nil"/>
              <w:left w:val="single" w:sz="4" w:space="0" w:color="auto"/>
              <w:bottom w:val="nil"/>
            </w:tcBorders>
            <w:vAlign w:val="bottom"/>
          </w:tcPr>
          <w:p w14:paraId="29163E2D" w14:textId="77777777" w:rsidR="00C45062" w:rsidRPr="002D741C" w:rsidRDefault="00C45062" w:rsidP="00AD13BE">
            <w:pPr>
              <w:pStyle w:val="Table"/>
              <w:keepLines w:val="0"/>
              <w:tabs>
                <w:tab w:val="left" w:pos="567"/>
              </w:tabs>
              <w:spacing w:line="260" w:lineRule="exact"/>
              <w:rPr>
                <w:rFonts w:ascii="Times New Roman" w:hAnsi="Times New Roman"/>
                <w:sz w:val="22"/>
                <w:szCs w:val="22"/>
              </w:rPr>
            </w:pPr>
            <w:r w:rsidRPr="002D741C">
              <w:rPr>
                <w:rFonts w:ascii="Times New Roman" w:hAnsi="Times New Roman"/>
                <w:sz w:val="22"/>
                <w:szCs w:val="22"/>
              </w:rPr>
              <w:t>97,8 vs. 100</w:t>
            </w:r>
          </w:p>
        </w:tc>
      </w:tr>
      <w:tr w:rsidR="00C45062" w:rsidRPr="002D741C" w14:paraId="673A3188" w14:textId="77777777" w:rsidTr="00AD13BE">
        <w:trPr>
          <w:cantSplit/>
        </w:trPr>
        <w:tc>
          <w:tcPr>
            <w:tcW w:w="959" w:type="dxa"/>
            <w:vMerge/>
            <w:shd w:val="clear" w:color="auto" w:fill="auto"/>
          </w:tcPr>
          <w:p w14:paraId="4721EA16" w14:textId="77777777" w:rsidR="00C45062" w:rsidRPr="002D741C" w:rsidRDefault="00C45062" w:rsidP="00AD13BE">
            <w:pPr>
              <w:pStyle w:val="Table"/>
              <w:keepLines w:val="0"/>
              <w:tabs>
                <w:tab w:val="left" w:pos="567"/>
              </w:tabs>
              <w:spacing w:line="260" w:lineRule="exact"/>
              <w:rPr>
                <w:rFonts w:ascii="Times New Roman" w:hAnsi="Times New Roman"/>
                <w:b/>
                <w:sz w:val="22"/>
                <w:szCs w:val="22"/>
              </w:rPr>
            </w:pPr>
          </w:p>
        </w:tc>
        <w:tc>
          <w:tcPr>
            <w:tcW w:w="1392" w:type="dxa"/>
            <w:tcBorders>
              <w:top w:val="nil"/>
              <w:bottom w:val="nil"/>
              <w:right w:val="single" w:sz="4" w:space="0" w:color="auto"/>
            </w:tcBorders>
            <w:vAlign w:val="bottom"/>
          </w:tcPr>
          <w:p w14:paraId="7B1E3670" w14:textId="77777777" w:rsidR="00C45062" w:rsidRPr="002D741C" w:rsidRDefault="00C45062" w:rsidP="00AD13BE">
            <w:pPr>
              <w:pStyle w:val="Table"/>
              <w:keepLines w:val="0"/>
              <w:tabs>
                <w:tab w:val="left" w:pos="567"/>
              </w:tabs>
              <w:spacing w:line="260" w:lineRule="exact"/>
              <w:rPr>
                <w:rFonts w:ascii="Times New Roman" w:hAnsi="Times New Roman"/>
                <w:sz w:val="22"/>
                <w:szCs w:val="22"/>
              </w:rPr>
            </w:pPr>
            <w:r w:rsidRPr="002D741C">
              <w:rPr>
                <w:rFonts w:ascii="Times New Roman" w:hAnsi="Times New Roman"/>
                <w:sz w:val="22"/>
                <w:szCs w:val="22"/>
              </w:rPr>
              <w:t>Moderado</w:t>
            </w:r>
          </w:p>
        </w:tc>
        <w:tc>
          <w:tcPr>
            <w:tcW w:w="986" w:type="dxa"/>
            <w:tcBorders>
              <w:top w:val="nil"/>
              <w:left w:val="single" w:sz="4" w:space="0" w:color="auto"/>
              <w:bottom w:val="nil"/>
              <w:right w:val="single" w:sz="4" w:space="0" w:color="auto"/>
            </w:tcBorders>
            <w:vAlign w:val="bottom"/>
          </w:tcPr>
          <w:p w14:paraId="511B6ED5" w14:textId="77777777" w:rsidR="00C45062" w:rsidRPr="002D741C" w:rsidRDefault="00C45062" w:rsidP="00AD13BE">
            <w:pPr>
              <w:pStyle w:val="Table"/>
              <w:keepLines w:val="0"/>
              <w:tabs>
                <w:tab w:val="left" w:pos="567"/>
              </w:tabs>
              <w:spacing w:line="260" w:lineRule="exact"/>
              <w:jc w:val="center"/>
              <w:rPr>
                <w:rFonts w:ascii="Times New Roman" w:hAnsi="Times New Roman"/>
                <w:sz w:val="22"/>
                <w:szCs w:val="22"/>
              </w:rPr>
            </w:pPr>
            <w:r w:rsidRPr="002D741C">
              <w:rPr>
                <w:rFonts w:ascii="Times New Roman" w:hAnsi="Times New Roman"/>
                <w:sz w:val="22"/>
                <w:szCs w:val="22"/>
              </w:rPr>
              <w:t>24,6</w:t>
            </w:r>
          </w:p>
        </w:tc>
        <w:tc>
          <w:tcPr>
            <w:tcW w:w="2083" w:type="dxa"/>
            <w:tcBorders>
              <w:top w:val="nil"/>
              <w:left w:val="single" w:sz="4" w:space="0" w:color="auto"/>
              <w:bottom w:val="nil"/>
              <w:right w:val="single" w:sz="4" w:space="0" w:color="auto"/>
            </w:tcBorders>
            <w:vAlign w:val="bottom"/>
          </w:tcPr>
          <w:p w14:paraId="2477BCDE" w14:textId="77777777" w:rsidR="00C45062" w:rsidRPr="002D741C" w:rsidRDefault="00C45062" w:rsidP="00AD13BE">
            <w:pPr>
              <w:pStyle w:val="Table"/>
              <w:keepLines w:val="0"/>
              <w:tabs>
                <w:tab w:val="left" w:pos="567"/>
              </w:tabs>
              <w:spacing w:line="260" w:lineRule="exact"/>
              <w:rPr>
                <w:rFonts w:ascii="Times New Roman" w:hAnsi="Times New Roman"/>
                <w:sz w:val="22"/>
                <w:szCs w:val="22"/>
              </w:rPr>
            </w:pPr>
            <w:r w:rsidRPr="002D741C">
              <w:rPr>
                <w:rFonts w:ascii="Times New Roman" w:hAnsi="Times New Roman"/>
                <w:sz w:val="22"/>
                <w:szCs w:val="22"/>
              </w:rPr>
              <w:t>2/70 vs. 11/67</w:t>
            </w:r>
          </w:p>
        </w:tc>
        <w:tc>
          <w:tcPr>
            <w:tcW w:w="1800" w:type="dxa"/>
            <w:tcBorders>
              <w:top w:val="nil"/>
              <w:left w:val="single" w:sz="4" w:space="0" w:color="auto"/>
              <w:bottom w:val="nil"/>
              <w:right w:val="single" w:sz="4" w:space="0" w:color="auto"/>
            </w:tcBorders>
            <w:vAlign w:val="bottom"/>
          </w:tcPr>
          <w:p w14:paraId="2095622C" w14:textId="77777777" w:rsidR="00C45062" w:rsidRPr="002D741C" w:rsidRDefault="00C45062" w:rsidP="00AD13BE">
            <w:pPr>
              <w:pStyle w:val="Table"/>
              <w:keepLines w:val="0"/>
              <w:tabs>
                <w:tab w:val="left" w:pos="567"/>
              </w:tabs>
              <w:spacing w:line="260" w:lineRule="exact"/>
              <w:rPr>
                <w:rFonts w:ascii="Times New Roman" w:hAnsi="Times New Roman"/>
                <w:sz w:val="22"/>
                <w:szCs w:val="22"/>
              </w:rPr>
            </w:pPr>
            <w:r w:rsidRPr="002D741C">
              <w:rPr>
                <w:rFonts w:ascii="Times New Roman" w:hAnsi="Times New Roman"/>
                <w:sz w:val="22"/>
                <w:szCs w:val="22"/>
              </w:rPr>
              <w:t>0,16 (0,03; 0,70)</w:t>
            </w:r>
          </w:p>
        </w:tc>
        <w:tc>
          <w:tcPr>
            <w:tcW w:w="1440" w:type="dxa"/>
            <w:tcBorders>
              <w:top w:val="nil"/>
              <w:left w:val="single" w:sz="4" w:space="0" w:color="auto"/>
              <w:bottom w:val="nil"/>
              <w:right w:val="single" w:sz="4" w:space="0" w:color="auto"/>
            </w:tcBorders>
            <w:vAlign w:val="bottom"/>
          </w:tcPr>
          <w:p w14:paraId="1DE3FD71" w14:textId="77777777" w:rsidR="00C45062" w:rsidRPr="002D741C" w:rsidRDefault="00C45062" w:rsidP="00AD13BE">
            <w:pPr>
              <w:pStyle w:val="Table"/>
              <w:keepLines w:val="0"/>
              <w:tabs>
                <w:tab w:val="left" w:pos="567"/>
              </w:tabs>
              <w:spacing w:line="260" w:lineRule="exact"/>
              <w:rPr>
                <w:rFonts w:ascii="Times New Roman" w:hAnsi="Times New Roman"/>
                <w:sz w:val="22"/>
                <w:szCs w:val="22"/>
              </w:rPr>
            </w:pPr>
            <w:r w:rsidRPr="002D741C">
              <w:rPr>
                <w:rFonts w:ascii="Times New Roman" w:hAnsi="Times New Roman"/>
                <w:sz w:val="22"/>
                <w:szCs w:val="22"/>
              </w:rPr>
              <w:t>97,9 vs. 90,8</w:t>
            </w:r>
          </w:p>
        </w:tc>
        <w:tc>
          <w:tcPr>
            <w:tcW w:w="1360" w:type="dxa"/>
            <w:tcBorders>
              <w:top w:val="nil"/>
              <w:left w:val="single" w:sz="4" w:space="0" w:color="auto"/>
              <w:bottom w:val="nil"/>
            </w:tcBorders>
            <w:vAlign w:val="bottom"/>
          </w:tcPr>
          <w:p w14:paraId="4E7E8827" w14:textId="77777777" w:rsidR="00C45062" w:rsidRPr="002D741C" w:rsidRDefault="00C45062" w:rsidP="00AD13BE">
            <w:pPr>
              <w:pStyle w:val="Table"/>
              <w:keepLines w:val="0"/>
              <w:tabs>
                <w:tab w:val="left" w:pos="567"/>
              </w:tabs>
              <w:spacing w:line="260" w:lineRule="exact"/>
              <w:rPr>
                <w:rFonts w:ascii="Times New Roman" w:hAnsi="Times New Roman"/>
                <w:sz w:val="22"/>
                <w:szCs w:val="22"/>
              </w:rPr>
            </w:pPr>
            <w:r w:rsidRPr="002D741C">
              <w:rPr>
                <w:rFonts w:ascii="Times New Roman" w:hAnsi="Times New Roman"/>
                <w:sz w:val="22"/>
                <w:szCs w:val="22"/>
              </w:rPr>
              <w:t>97,9 vs. 73,3</w:t>
            </w:r>
          </w:p>
        </w:tc>
      </w:tr>
      <w:tr w:rsidR="00C45062" w:rsidRPr="002D741C" w14:paraId="176C5AF1" w14:textId="77777777" w:rsidTr="00AD13BE">
        <w:trPr>
          <w:cantSplit/>
        </w:trPr>
        <w:tc>
          <w:tcPr>
            <w:tcW w:w="959" w:type="dxa"/>
            <w:vMerge/>
            <w:tcBorders>
              <w:bottom w:val="single" w:sz="4" w:space="0" w:color="auto"/>
            </w:tcBorders>
            <w:shd w:val="clear" w:color="auto" w:fill="auto"/>
          </w:tcPr>
          <w:p w14:paraId="3E8B27CA" w14:textId="77777777" w:rsidR="00C45062" w:rsidRPr="002D741C" w:rsidRDefault="00C45062" w:rsidP="00AD13BE">
            <w:pPr>
              <w:pStyle w:val="Table"/>
              <w:keepLines w:val="0"/>
              <w:tabs>
                <w:tab w:val="left" w:pos="567"/>
              </w:tabs>
              <w:spacing w:line="260" w:lineRule="exact"/>
              <w:rPr>
                <w:rFonts w:ascii="Times New Roman" w:hAnsi="Times New Roman"/>
                <w:sz w:val="22"/>
                <w:szCs w:val="22"/>
              </w:rPr>
            </w:pPr>
          </w:p>
        </w:tc>
        <w:tc>
          <w:tcPr>
            <w:tcW w:w="1392" w:type="dxa"/>
            <w:tcBorders>
              <w:top w:val="nil"/>
              <w:bottom w:val="single" w:sz="4" w:space="0" w:color="auto"/>
              <w:right w:val="single" w:sz="4" w:space="0" w:color="auto"/>
            </w:tcBorders>
            <w:vAlign w:val="bottom"/>
          </w:tcPr>
          <w:p w14:paraId="7B82541C" w14:textId="77777777" w:rsidR="00C45062" w:rsidRPr="002D741C" w:rsidRDefault="00C45062" w:rsidP="00AD13BE">
            <w:pPr>
              <w:pStyle w:val="Table"/>
              <w:keepLines w:val="0"/>
              <w:tabs>
                <w:tab w:val="left" w:pos="567"/>
              </w:tabs>
              <w:spacing w:line="260" w:lineRule="exact"/>
              <w:rPr>
                <w:rFonts w:ascii="Times New Roman" w:hAnsi="Times New Roman"/>
                <w:sz w:val="22"/>
                <w:szCs w:val="22"/>
              </w:rPr>
            </w:pPr>
            <w:r w:rsidRPr="002D741C">
              <w:rPr>
                <w:rFonts w:ascii="Times New Roman" w:hAnsi="Times New Roman"/>
                <w:sz w:val="22"/>
                <w:szCs w:val="22"/>
              </w:rPr>
              <w:t>Alto</w:t>
            </w:r>
          </w:p>
        </w:tc>
        <w:tc>
          <w:tcPr>
            <w:tcW w:w="986" w:type="dxa"/>
            <w:tcBorders>
              <w:top w:val="nil"/>
              <w:left w:val="single" w:sz="4" w:space="0" w:color="auto"/>
              <w:bottom w:val="single" w:sz="4" w:space="0" w:color="auto"/>
              <w:right w:val="single" w:sz="4" w:space="0" w:color="auto"/>
            </w:tcBorders>
            <w:vAlign w:val="bottom"/>
          </w:tcPr>
          <w:p w14:paraId="51E1AD4F" w14:textId="77777777" w:rsidR="00C45062" w:rsidRPr="002D741C" w:rsidRDefault="00C45062" w:rsidP="00AD13BE">
            <w:pPr>
              <w:pStyle w:val="Table"/>
              <w:keepLines w:val="0"/>
              <w:tabs>
                <w:tab w:val="left" w:pos="567"/>
              </w:tabs>
              <w:spacing w:line="260" w:lineRule="exact"/>
              <w:ind w:right="-3"/>
              <w:jc w:val="center"/>
              <w:rPr>
                <w:rFonts w:ascii="Times New Roman" w:hAnsi="Times New Roman"/>
                <w:sz w:val="22"/>
                <w:szCs w:val="22"/>
              </w:rPr>
            </w:pPr>
            <w:r w:rsidRPr="002D741C">
              <w:rPr>
                <w:rFonts w:ascii="Times New Roman" w:hAnsi="Times New Roman"/>
                <w:sz w:val="22"/>
                <w:szCs w:val="22"/>
              </w:rPr>
              <w:t>29,7</w:t>
            </w:r>
          </w:p>
        </w:tc>
        <w:tc>
          <w:tcPr>
            <w:tcW w:w="2083" w:type="dxa"/>
            <w:tcBorders>
              <w:top w:val="nil"/>
              <w:left w:val="single" w:sz="4" w:space="0" w:color="auto"/>
              <w:bottom w:val="single" w:sz="4" w:space="0" w:color="auto"/>
              <w:right w:val="single" w:sz="4" w:space="0" w:color="auto"/>
            </w:tcBorders>
            <w:vAlign w:val="bottom"/>
          </w:tcPr>
          <w:p w14:paraId="59C28258" w14:textId="77777777" w:rsidR="00C45062" w:rsidRPr="002D741C" w:rsidRDefault="00C45062" w:rsidP="00AD13BE">
            <w:pPr>
              <w:pStyle w:val="Table"/>
              <w:keepLines w:val="0"/>
              <w:tabs>
                <w:tab w:val="left" w:pos="567"/>
              </w:tabs>
              <w:spacing w:line="260" w:lineRule="exact"/>
              <w:rPr>
                <w:rFonts w:ascii="Times New Roman" w:hAnsi="Times New Roman"/>
                <w:sz w:val="22"/>
                <w:szCs w:val="22"/>
              </w:rPr>
            </w:pPr>
            <w:r w:rsidRPr="002D741C">
              <w:rPr>
                <w:rFonts w:ascii="Times New Roman" w:hAnsi="Times New Roman"/>
                <w:sz w:val="22"/>
                <w:szCs w:val="22"/>
              </w:rPr>
              <w:t>16/84 vs. 39/81</w:t>
            </w:r>
          </w:p>
        </w:tc>
        <w:tc>
          <w:tcPr>
            <w:tcW w:w="1800" w:type="dxa"/>
            <w:tcBorders>
              <w:top w:val="nil"/>
              <w:left w:val="single" w:sz="4" w:space="0" w:color="auto"/>
              <w:bottom w:val="single" w:sz="4" w:space="0" w:color="auto"/>
              <w:right w:val="single" w:sz="4" w:space="0" w:color="auto"/>
            </w:tcBorders>
            <w:vAlign w:val="bottom"/>
          </w:tcPr>
          <w:p w14:paraId="160F5139" w14:textId="77777777" w:rsidR="00C45062" w:rsidRPr="002D741C" w:rsidRDefault="00C45062" w:rsidP="00AD13BE">
            <w:pPr>
              <w:pStyle w:val="Table"/>
              <w:keepLines w:val="0"/>
              <w:tabs>
                <w:tab w:val="left" w:pos="567"/>
              </w:tabs>
              <w:spacing w:line="260" w:lineRule="exact"/>
              <w:rPr>
                <w:rFonts w:ascii="Times New Roman" w:hAnsi="Times New Roman"/>
                <w:sz w:val="22"/>
                <w:szCs w:val="22"/>
              </w:rPr>
            </w:pPr>
            <w:r w:rsidRPr="002D741C">
              <w:rPr>
                <w:rFonts w:ascii="Times New Roman" w:hAnsi="Times New Roman"/>
                <w:sz w:val="22"/>
                <w:szCs w:val="22"/>
              </w:rPr>
              <w:t>0,27 (0,15; 0,48)</w:t>
            </w:r>
          </w:p>
        </w:tc>
        <w:tc>
          <w:tcPr>
            <w:tcW w:w="1440" w:type="dxa"/>
            <w:tcBorders>
              <w:top w:val="nil"/>
              <w:left w:val="single" w:sz="4" w:space="0" w:color="auto"/>
              <w:bottom w:val="single" w:sz="4" w:space="0" w:color="auto"/>
              <w:right w:val="single" w:sz="4" w:space="0" w:color="auto"/>
            </w:tcBorders>
            <w:vAlign w:val="bottom"/>
          </w:tcPr>
          <w:p w14:paraId="64ABB6B8" w14:textId="77777777" w:rsidR="00C45062" w:rsidRPr="002D741C" w:rsidRDefault="00C45062" w:rsidP="00AD13BE">
            <w:pPr>
              <w:pStyle w:val="Table"/>
              <w:keepLines w:val="0"/>
              <w:tabs>
                <w:tab w:val="left" w:pos="567"/>
              </w:tabs>
              <w:spacing w:line="260" w:lineRule="exact"/>
              <w:rPr>
                <w:rFonts w:ascii="Times New Roman" w:hAnsi="Times New Roman"/>
                <w:sz w:val="22"/>
                <w:szCs w:val="22"/>
              </w:rPr>
            </w:pPr>
            <w:r w:rsidRPr="002D741C">
              <w:rPr>
                <w:rFonts w:ascii="Times New Roman" w:hAnsi="Times New Roman"/>
                <w:sz w:val="22"/>
                <w:szCs w:val="22"/>
              </w:rPr>
              <w:t>98,7 vs. 56,1</w:t>
            </w:r>
          </w:p>
        </w:tc>
        <w:tc>
          <w:tcPr>
            <w:tcW w:w="1360" w:type="dxa"/>
            <w:tcBorders>
              <w:top w:val="nil"/>
              <w:left w:val="single" w:sz="4" w:space="0" w:color="auto"/>
              <w:bottom w:val="single" w:sz="4" w:space="0" w:color="auto"/>
            </w:tcBorders>
            <w:vAlign w:val="bottom"/>
          </w:tcPr>
          <w:p w14:paraId="2A8DA7D5" w14:textId="77777777" w:rsidR="00C45062" w:rsidRPr="002D741C" w:rsidRDefault="00C45062" w:rsidP="00AD13BE">
            <w:pPr>
              <w:pStyle w:val="Table"/>
              <w:keepLines w:val="0"/>
              <w:tabs>
                <w:tab w:val="left" w:pos="567"/>
              </w:tabs>
              <w:spacing w:line="260" w:lineRule="exact"/>
              <w:rPr>
                <w:rFonts w:ascii="Times New Roman" w:hAnsi="Times New Roman"/>
                <w:sz w:val="22"/>
                <w:szCs w:val="22"/>
              </w:rPr>
            </w:pPr>
            <w:r w:rsidRPr="002D741C">
              <w:rPr>
                <w:rFonts w:ascii="Times New Roman" w:hAnsi="Times New Roman"/>
                <w:sz w:val="22"/>
                <w:szCs w:val="22"/>
              </w:rPr>
              <w:t>79,9 vs. 41,5</w:t>
            </w:r>
          </w:p>
        </w:tc>
      </w:tr>
    </w:tbl>
    <w:p w14:paraId="32E98ABF" w14:textId="77777777" w:rsidR="00C45062" w:rsidRPr="002D741C" w:rsidRDefault="00C45062" w:rsidP="00AD13BE">
      <w:pPr>
        <w:pStyle w:val="Text"/>
        <w:spacing w:before="0"/>
        <w:rPr>
          <w:sz w:val="22"/>
          <w:szCs w:val="22"/>
        </w:rPr>
      </w:pPr>
      <w:r w:rsidRPr="002D741C">
        <w:rPr>
          <w:sz w:val="22"/>
          <w:szCs w:val="22"/>
        </w:rPr>
        <w:t>* Periodo de seguimiento completo; NE – No estimable</w:t>
      </w:r>
    </w:p>
    <w:p w14:paraId="447C87E5" w14:textId="77777777" w:rsidR="00C45062" w:rsidRPr="002D741C" w:rsidRDefault="00C45062" w:rsidP="00C45062">
      <w:pPr>
        <w:pStyle w:val="EndnoteText"/>
        <w:widowControl w:val="0"/>
        <w:tabs>
          <w:tab w:val="clear" w:pos="567"/>
        </w:tabs>
        <w:rPr>
          <w:color w:val="000000"/>
          <w:szCs w:val="22"/>
          <w:lang w:val="es-ES"/>
        </w:rPr>
      </w:pPr>
    </w:p>
    <w:p w14:paraId="7876331B" w14:textId="77777777" w:rsidR="00C45062" w:rsidRPr="002D741C" w:rsidRDefault="00C45062" w:rsidP="00C45062">
      <w:pPr>
        <w:pStyle w:val="EndnoteText"/>
        <w:widowControl w:val="0"/>
        <w:tabs>
          <w:tab w:val="clear" w:pos="567"/>
        </w:tabs>
        <w:rPr>
          <w:color w:val="000000"/>
          <w:szCs w:val="22"/>
          <w:lang w:val="es-ES"/>
        </w:rPr>
      </w:pPr>
      <w:r w:rsidRPr="002D741C">
        <w:rPr>
          <w:color w:val="000000"/>
          <w:szCs w:val="22"/>
          <w:lang w:val="es-ES"/>
        </w:rPr>
        <w:t>Un segundo ensayo multicéntrico, abierto, de fase III (SSG XVIII/AIO) comparó el tratamiento con 400 mg/día de Glivec durante 12 meses frente a 36 meses de tratamiento en pacientes después de la resección quirúrgica del G</w:t>
      </w:r>
      <w:smartTag w:uri="urn:schemas-microsoft-com:office:smarttags" w:element="PersonName">
        <w:r w:rsidRPr="002D741C">
          <w:rPr>
            <w:color w:val="000000"/>
            <w:szCs w:val="22"/>
            <w:lang w:val="es-ES"/>
          </w:rPr>
          <w:t>IS</w:t>
        </w:r>
      </w:smartTag>
      <w:r w:rsidRPr="002D741C">
        <w:rPr>
          <w:color w:val="000000"/>
          <w:szCs w:val="22"/>
          <w:lang w:val="es-ES"/>
        </w:rPr>
        <w:t xml:space="preserve">T y uno de los siguientes: diámetro del tumor &gt; 5 cm y recuento mitótico &gt; 5/50 campos de gran aumento (HPF); o diámetro del tumor &gt; </w:t>
      </w:r>
      <w:smartTag w:uri="urn:schemas-microsoft-com:office:smarttags" w:element="metricconverter">
        <w:smartTagPr>
          <w:attr w:name="ProductID" w:val="10ﾠcm"/>
        </w:smartTagPr>
        <w:r w:rsidRPr="002D741C">
          <w:rPr>
            <w:color w:val="000000"/>
            <w:szCs w:val="22"/>
            <w:lang w:val="es-ES"/>
          </w:rPr>
          <w:t>10 cm</w:t>
        </w:r>
      </w:smartTag>
      <w:r w:rsidRPr="002D741C">
        <w:rPr>
          <w:color w:val="000000"/>
          <w:szCs w:val="22"/>
          <w:lang w:val="es-ES"/>
        </w:rPr>
        <w:t xml:space="preserve"> y cualquier recuento mitótico o tumor de cualquier tamaño con recuento mitótico &gt; 10/50 HPF o tumores rotos en la cavidad peritoneal. Un total de 397 pacientes dieron su consentimiento y fueron aleatorizados en el estudio (199 pacientes en el brazo de 12 meses y 198 pacientes en el brazo de 36 meses), la mediana de edad fue de 61 años (intervalo </w:t>
      </w:r>
      <w:smartTag w:uri="urn:schemas-microsoft-com:office:smarttags" w:element="metricconverter">
        <w:smartTagPr>
          <w:attr w:name="ProductID" w:val="22 a"/>
        </w:smartTagPr>
        <w:r w:rsidRPr="002D741C">
          <w:rPr>
            <w:color w:val="000000"/>
            <w:szCs w:val="22"/>
            <w:lang w:val="es-ES"/>
          </w:rPr>
          <w:t>22 a</w:t>
        </w:r>
      </w:smartTag>
      <w:r w:rsidRPr="002D741C">
        <w:rPr>
          <w:color w:val="000000"/>
          <w:szCs w:val="22"/>
          <w:lang w:val="es-ES"/>
        </w:rPr>
        <w:t xml:space="preserve"> 84 años). La mediana de tiempo de seguimiento fue de 54 meses (desde la fecha de la aleatorización hasta la fecha de corte), con un total de 83 meses entre el primer paciente aleatorizado y la fecha de corte.</w:t>
      </w:r>
    </w:p>
    <w:p w14:paraId="6993879F" w14:textId="77777777" w:rsidR="00C45062" w:rsidRPr="002D741C" w:rsidRDefault="00C45062" w:rsidP="00C45062">
      <w:pPr>
        <w:pStyle w:val="EndnoteText"/>
        <w:widowControl w:val="0"/>
        <w:tabs>
          <w:tab w:val="clear" w:pos="567"/>
        </w:tabs>
        <w:rPr>
          <w:color w:val="000000"/>
          <w:szCs w:val="22"/>
          <w:lang w:val="es-ES"/>
        </w:rPr>
      </w:pPr>
    </w:p>
    <w:p w14:paraId="5BC6BF7E" w14:textId="77777777" w:rsidR="00C45062" w:rsidRPr="002D741C" w:rsidRDefault="00C45062" w:rsidP="00C45062">
      <w:pPr>
        <w:pStyle w:val="EndnoteText"/>
        <w:widowControl w:val="0"/>
        <w:tabs>
          <w:tab w:val="clear" w:pos="567"/>
        </w:tabs>
        <w:rPr>
          <w:color w:val="000000"/>
          <w:szCs w:val="22"/>
          <w:lang w:val="es-ES"/>
        </w:rPr>
      </w:pPr>
      <w:r w:rsidRPr="002D741C">
        <w:rPr>
          <w:color w:val="000000"/>
          <w:szCs w:val="22"/>
          <w:lang w:val="es-ES"/>
        </w:rPr>
        <w:t>La variable primaria del estudio fue la supervivencia libre de recurrencia (SLR), definida como el tiempo desde la fecha de aleatorización hasta la fecha de recurrencia o muerte por cualquier causa.</w:t>
      </w:r>
    </w:p>
    <w:p w14:paraId="72AD31B7" w14:textId="77777777" w:rsidR="00C45062" w:rsidRPr="002D741C" w:rsidRDefault="00C45062" w:rsidP="00C45062">
      <w:pPr>
        <w:pStyle w:val="EndnoteText"/>
        <w:widowControl w:val="0"/>
        <w:tabs>
          <w:tab w:val="clear" w:pos="567"/>
        </w:tabs>
        <w:rPr>
          <w:color w:val="000000"/>
          <w:szCs w:val="22"/>
          <w:lang w:val="es-ES"/>
        </w:rPr>
      </w:pPr>
    </w:p>
    <w:p w14:paraId="79593DBA" w14:textId="77777777" w:rsidR="00C45062" w:rsidRPr="002D741C" w:rsidRDefault="00C45062" w:rsidP="00C45062">
      <w:pPr>
        <w:pStyle w:val="EndnoteText"/>
        <w:widowControl w:val="0"/>
        <w:tabs>
          <w:tab w:val="clear" w:pos="567"/>
        </w:tabs>
        <w:rPr>
          <w:color w:val="000000"/>
          <w:szCs w:val="22"/>
          <w:lang w:val="es-ES"/>
        </w:rPr>
      </w:pPr>
      <w:r w:rsidRPr="002D741C">
        <w:rPr>
          <w:color w:val="000000"/>
          <w:szCs w:val="22"/>
          <w:lang w:val="es-ES"/>
        </w:rPr>
        <w:t xml:space="preserve">El tratamiento con Glivec durante trenta y seis (36) meses prolongó significativamente </w:t>
      </w:r>
      <w:smartTag w:uri="urn:schemas-microsoft-com:office:smarttags" w:element="PersonName">
        <w:smartTagPr>
          <w:attr w:name="ProductID" w:val="la SLR"/>
        </w:smartTagPr>
        <w:r w:rsidRPr="002D741C">
          <w:rPr>
            <w:color w:val="000000"/>
            <w:szCs w:val="22"/>
            <w:lang w:val="es-ES"/>
          </w:rPr>
          <w:t>la SLR</w:t>
        </w:r>
      </w:smartTag>
      <w:r w:rsidRPr="002D741C">
        <w:rPr>
          <w:color w:val="000000"/>
          <w:szCs w:val="22"/>
          <w:lang w:val="es-ES"/>
        </w:rPr>
        <w:t xml:space="preserve"> comparado con el tratamiento con Glivec durante 12 meses (con un cociente de riesgo global (HR) = 0,46 [0,32, 0,65], p&lt;0,0001) (Tabla </w:t>
      </w:r>
      <w:r w:rsidR="005A1A7A" w:rsidRPr="002D741C">
        <w:rPr>
          <w:color w:val="000000"/>
          <w:szCs w:val="22"/>
          <w:lang w:val="es-ES"/>
        </w:rPr>
        <w:t>8</w:t>
      </w:r>
      <w:r w:rsidRPr="002D741C">
        <w:rPr>
          <w:color w:val="000000"/>
          <w:szCs w:val="22"/>
          <w:lang w:val="es-ES"/>
        </w:rPr>
        <w:t>, Figura 1).</w:t>
      </w:r>
    </w:p>
    <w:p w14:paraId="6FA1F956" w14:textId="77777777" w:rsidR="00C45062" w:rsidRPr="002D741C" w:rsidRDefault="00C45062" w:rsidP="00C45062">
      <w:pPr>
        <w:pStyle w:val="EndnoteText"/>
        <w:widowControl w:val="0"/>
        <w:tabs>
          <w:tab w:val="clear" w:pos="567"/>
        </w:tabs>
        <w:rPr>
          <w:color w:val="000000"/>
          <w:szCs w:val="22"/>
          <w:lang w:val="es-ES"/>
        </w:rPr>
      </w:pPr>
    </w:p>
    <w:p w14:paraId="33E74052" w14:textId="77777777" w:rsidR="00C45062" w:rsidRPr="002D741C" w:rsidRDefault="00C45062" w:rsidP="00C45062">
      <w:pPr>
        <w:pStyle w:val="EndnoteText"/>
        <w:widowControl w:val="0"/>
        <w:tabs>
          <w:tab w:val="clear" w:pos="567"/>
        </w:tabs>
        <w:rPr>
          <w:color w:val="000000"/>
          <w:szCs w:val="22"/>
          <w:lang w:val="es-ES"/>
        </w:rPr>
      </w:pPr>
      <w:r w:rsidRPr="002D741C">
        <w:rPr>
          <w:color w:val="000000"/>
          <w:szCs w:val="22"/>
          <w:lang w:val="es-ES"/>
        </w:rPr>
        <w:t>Además, el tratamiento con Glivec durante trenta y seis (36) meses prolongó significativamente la supervivencia global (SG) comparado con 12 meses de tratamiento con Glivec (HR = 0,45 [0,22, 0,89], p=0,0187) (Tabla </w:t>
      </w:r>
      <w:r w:rsidR="005A1A7A" w:rsidRPr="002D741C">
        <w:rPr>
          <w:color w:val="000000"/>
          <w:szCs w:val="22"/>
          <w:lang w:val="es-ES"/>
        </w:rPr>
        <w:t>8</w:t>
      </w:r>
      <w:r w:rsidRPr="002D741C">
        <w:rPr>
          <w:color w:val="000000"/>
          <w:szCs w:val="22"/>
          <w:lang w:val="es-ES"/>
        </w:rPr>
        <w:t>, Figura 2).</w:t>
      </w:r>
    </w:p>
    <w:p w14:paraId="499B48CE" w14:textId="77777777" w:rsidR="00C45062" w:rsidRPr="002D741C" w:rsidRDefault="00C45062" w:rsidP="00C45062">
      <w:pPr>
        <w:pStyle w:val="EndnoteText"/>
        <w:widowControl w:val="0"/>
        <w:tabs>
          <w:tab w:val="clear" w:pos="567"/>
        </w:tabs>
        <w:rPr>
          <w:color w:val="000000"/>
          <w:szCs w:val="22"/>
          <w:lang w:val="es-ES"/>
        </w:rPr>
      </w:pPr>
    </w:p>
    <w:p w14:paraId="6544D775" w14:textId="77777777" w:rsidR="00C45062" w:rsidRPr="002D741C" w:rsidRDefault="00C45062" w:rsidP="00C45062">
      <w:pPr>
        <w:pStyle w:val="EndnoteText"/>
        <w:widowControl w:val="0"/>
        <w:tabs>
          <w:tab w:val="clear" w:pos="567"/>
        </w:tabs>
        <w:rPr>
          <w:color w:val="000000"/>
          <w:szCs w:val="22"/>
          <w:lang w:val="es-ES"/>
        </w:rPr>
      </w:pPr>
      <w:r w:rsidRPr="002D741C">
        <w:rPr>
          <w:color w:val="000000"/>
          <w:szCs w:val="22"/>
          <w:lang w:val="es-ES"/>
        </w:rPr>
        <w:t>Una duración más larga del tratamiento (&gt; 36 meses) puede retrasar la aparición de más recurrencias, aunque se desconoce el impacto de este dato sobre la supervivencia global.</w:t>
      </w:r>
    </w:p>
    <w:p w14:paraId="1D0A8E6E" w14:textId="77777777" w:rsidR="00C45062" w:rsidRPr="002D741C" w:rsidRDefault="00C45062" w:rsidP="00C45062">
      <w:pPr>
        <w:pStyle w:val="EndnoteText"/>
        <w:widowControl w:val="0"/>
        <w:tabs>
          <w:tab w:val="clear" w:pos="567"/>
        </w:tabs>
        <w:rPr>
          <w:color w:val="000000"/>
          <w:szCs w:val="22"/>
          <w:lang w:val="es-ES"/>
        </w:rPr>
      </w:pPr>
    </w:p>
    <w:p w14:paraId="3906CD28" w14:textId="77777777" w:rsidR="00C45062" w:rsidRPr="002D741C" w:rsidRDefault="00C45062" w:rsidP="00C45062">
      <w:pPr>
        <w:pStyle w:val="EndnoteText"/>
        <w:widowControl w:val="0"/>
        <w:tabs>
          <w:tab w:val="clear" w:pos="567"/>
        </w:tabs>
        <w:rPr>
          <w:color w:val="000000"/>
          <w:szCs w:val="22"/>
          <w:lang w:val="es-ES"/>
        </w:rPr>
      </w:pPr>
      <w:r w:rsidRPr="002D741C">
        <w:rPr>
          <w:color w:val="000000"/>
          <w:szCs w:val="22"/>
          <w:lang w:val="es-ES"/>
        </w:rPr>
        <w:t>El número total de muertes fue de 25 para el brazo de 12 meses de tratamiento y de 12 para el brazo de 36 meses de tratamiento.</w:t>
      </w:r>
    </w:p>
    <w:p w14:paraId="54F93E0A" w14:textId="77777777" w:rsidR="00C45062" w:rsidRPr="002D741C" w:rsidRDefault="00C45062" w:rsidP="00C45062">
      <w:pPr>
        <w:pStyle w:val="EndnoteText"/>
        <w:widowControl w:val="0"/>
        <w:tabs>
          <w:tab w:val="clear" w:pos="567"/>
        </w:tabs>
        <w:rPr>
          <w:color w:val="000000"/>
          <w:szCs w:val="22"/>
          <w:lang w:val="es-ES"/>
        </w:rPr>
      </w:pPr>
    </w:p>
    <w:p w14:paraId="78CDDC8C" w14:textId="77777777" w:rsidR="00C45062" w:rsidRPr="002D741C" w:rsidRDefault="00C45062" w:rsidP="00C45062">
      <w:pPr>
        <w:pStyle w:val="EndnoteText"/>
        <w:widowControl w:val="0"/>
        <w:tabs>
          <w:tab w:val="clear" w:pos="567"/>
        </w:tabs>
        <w:rPr>
          <w:color w:val="000000"/>
          <w:szCs w:val="22"/>
          <w:lang w:val="es-ES"/>
        </w:rPr>
      </w:pPr>
      <w:r w:rsidRPr="002D741C">
        <w:rPr>
          <w:color w:val="000000"/>
          <w:szCs w:val="22"/>
          <w:lang w:val="es-ES"/>
        </w:rPr>
        <w:t xml:space="preserve">El tratamiento durante 36 meses con imatinib fue superior al tratamiento durante 12 meses en el análisis </w:t>
      </w:r>
      <w:smartTag w:uri="urn:schemas-microsoft-com:office:smarttags" w:element="PersonName">
        <w:r w:rsidRPr="002D741C">
          <w:rPr>
            <w:color w:val="000000"/>
            <w:szCs w:val="22"/>
            <w:lang w:val="es-ES"/>
          </w:rPr>
          <w:t>IT</w:t>
        </w:r>
      </w:smartTag>
      <w:r w:rsidRPr="002D741C">
        <w:rPr>
          <w:color w:val="000000"/>
          <w:szCs w:val="22"/>
          <w:lang w:val="es-ES"/>
        </w:rPr>
        <w:t xml:space="preserve">T, es decir incluyendo la población completa del estudio. En un análisis previsto de subgrupos por tipo de mutación, el HR para </w:t>
      </w:r>
      <w:smartTag w:uri="urn:schemas-microsoft-com:office:smarttags" w:element="PersonName">
        <w:smartTagPr>
          <w:attr w:name="ProductID" w:val="la SLR"/>
        </w:smartTagPr>
        <w:r w:rsidRPr="002D741C">
          <w:rPr>
            <w:color w:val="000000"/>
            <w:szCs w:val="22"/>
            <w:lang w:val="es-ES"/>
          </w:rPr>
          <w:t>la SLR</w:t>
        </w:r>
      </w:smartTag>
      <w:r w:rsidRPr="002D741C">
        <w:rPr>
          <w:color w:val="000000"/>
          <w:szCs w:val="22"/>
          <w:lang w:val="es-ES"/>
        </w:rPr>
        <w:t xml:space="preserve"> durante 36 meses de tratamiento para pacientes con mutaciones del exon 11 fue de 0,35 [IC 95%: 0,22, 0,56]. No se pueden extraer conclusiones para otros subgrupos de mutaciones menos frecuentes debido al bajo número de eventos observados.</w:t>
      </w:r>
    </w:p>
    <w:p w14:paraId="0C92DBAD" w14:textId="77777777" w:rsidR="00C45062" w:rsidRPr="002D741C" w:rsidRDefault="00C45062" w:rsidP="00C45062">
      <w:pPr>
        <w:pStyle w:val="EndnoteText"/>
        <w:widowControl w:val="0"/>
        <w:tabs>
          <w:tab w:val="clear" w:pos="567"/>
        </w:tabs>
        <w:rPr>
          <w:color w:val="000000"/>
          <w:szCs w:val="22"/>
          <w:lang w:val="es-ES"/>
        </w:rPr>
      </w:pPr>
    </w:p>
    <w:p w14:paraId="79023637" w14:textId="77777777" w:rsidR="00C45062" w:rsidRPr="002D741C" w:rsidRDefault="00C45062" w:rsidP="00AD13BE">
      <w:pPr>
        <w:pStyle w:val="EndnoteText"/>
        <w:keepNext/>
        <w:keepLines/>
        <w:widowControl w:val="0"/>
        <w:tabs>
          <w:tab w:val="clear" w:pos="567"/>
        </w:tabs>
        <w:ind w:left="1134" w:hanging="1134"/>
        <w:rPr>
          <w:b/>
          <w:color w:val="000000"/>
          <w:szCs w:val="22"/>
          <w:lang w:val="es-ES_tradnl"/>
        </w:rPr>
      </w:pPr>
      <w:r w:rsidRPr="002D741C">
        <w:rPr>
          <w:b/>
          <w:color w:val="000000"/>
          <w:szCs w:val="22"/>
          <w:lang w:val="es-ES_tradnl"/>
        </w:rPr>
        <w:lastRenderedPageBreak/>
        <w:t>Tabla </w:t>
      </w:r>
      <w:r w:rsidR="005A1A7A" w:rsidRPr="002D741C">
        <w:rPr>
          <w:b/>
          <w:color w:val="000000"/>
          <w:szCs w:val="22"/>
          <w:lang w:val="es-ES_tradnl"/>
        </w:rPr>
        <w:t>8</w:t>
      </w:r>
      <w:r w:rsidRPr="002D741C">
        <w:rPr>
          <w:b/>
          <w:color w:val="000000"/>
          <w:szCs w:val="22"/>
          <w:lang w:val="es-ES_tradnl"/>
        </w:rPr>
        <w:tab/>
        <w:t>Tratamiento con Glivec durante 12 meses y durante 36 meses (Ensayo SSGXVIII/AIO)</w:t>
      </w:r>
    </w:p>
    <w:p w14:paraId="64E6C8ED" w14:textId="77777777" w:rsidR="00C45062" w:rsidRPr="002D741C" w:rsidRDefault="00C45062" w:rsidP="00AD13BE">
      <w:pPr>
        <w:pStyle w:val="EndnoteText"/>
        <w:keepNext/>
        <w:widowControl w:val="0"/>
        <w:tabs>
          <w:tab w:val="clear" w:pos="567"/>
        </w:tabs>
        <w:rPr>
          <w:color w:val="000000"/>
          <w:szCs w:val="22"/>
          <w:lang w:val="es-ES_tradnl"/>
        </w:rPr>
      </w:pPr>
    </w:p>
    <w:tbl>
      <w:tblPr>
        <w:tblW w:w="0" w:type="auto"/>
        <w:tblBorders>
          <w:top w:val="single" w:sz="4" w:space="0" w:color="auto"/>
          <w:bottom w:val="single" w:sz="4" w:space="0" w:color="auto"/>
        </w:tblBorders>
        <w:tblLayout w:type="fixed"/>
        <w:tblLook w:val="0000" w:firstRow="0" w:lastRow="0" w:firstColumn="0" w:lastColumn="0" w:noHBand="0" w:noVBand="0"/>
      </w:tblPr>
      <w:tblGrid>
        <w:gridCol w:w="3099"/>
        <w:gridCol w:w="3100"/>
        <w:gridCol w:w="3100"/>
      </w:tblGrid>
      <w:tr w:rsidR="00C45062" w:rsidRPr="002D741C" w14:paraId="47E564B8" w14:textId="77777777" w:rsidTr="00AD13BE">
        <w:trPr>
          <w:cantSplit/>
        </w:trPr>
        <w:tc>
          <w:tcPr>
            <w:tcW w:w="3099" w:type="dxa"/>
            <w:tcBorders>
              <w:top w:val="single" w:sz="4" w:space="0" w:color="auto"/>
              <w:bottom w:val="nil"/>
            </w:tcBorders>
            <w:shd w:val="clear" w:color="auto" w:fill="auto"/>
          </w:tcPr>
          <w:p w14:paraId="04B70A23" w14:textId="77777777" w:rsidR="00C45062" w:rsidRPr="002D741C" w:rsidRDefault="00C45062" w:rsidP="00AD13BE">
            <w:pPr>
              <w:keepNext/>
              <w:tabs>
                <w:tab w:val="left" w:pos="284"/>
              </w:tabs>
              <w:rPr>
                <w:rFonts w:eastAsia="MS Mincho"/>
                <w:sz w:val="22"/>
                <w:szCs w:val="22"/>
              </w:rPr>
            </w:pPr>
          </w:p>
        </w:tc>
        <w:tc>
          <w:tcPr>
            <w:tcW w:w="3100" w:type="dxa"/>
            <w:tcBorders>
              <w:top w:val="single" w:sz="4" w:space="0" w:color="auto"/>
              <w:bottom w:val="nil"/>
            </w:tcBorders>
            <w:shd w:val="clear" w:color="auto" w:fill="auto"/>
          </w:tcPr>
          <w:p w14:paraId="7D0C929D" w14:textId="77777777" w:rsidR="00C45062" w:rsidRPr="002D741C" w:rsidRDefault="00C45062" w:rsidP="00AD13BE">
            <w:pPr>
              <w:keepNext/>
              <w:tabs>
                <w:tab w:val="left" w:pos="284"/>
              </w:tabs>
              <w:rPr>
                <w:rFonts w:eastAsia="MS Mincho"/>
                <w:b/>
                <w:sz w:val="22"/>
                <w:szCs w:val="22"/>
              </w:rPr>
            </w:pPr>
            <w:r w:rsidRPr="002D741C">
              <w:rPr>
                <w:rFonts w:eastAsia="MS Mincho"/>
                <w:b/>
                <w:sz w:val="22"/>
                <w:szCs w:val="22"/>
              </w:rPr>
              <w:t>Brazo de 12 meses de tratamiento</w:t>
            </w:r>
          </w:p>
        </w:tc>
        <w:tc>
          <w:tcPr>
            <w:tcW w:w="3100" w:type="dxa"/>
            <w:tcBorders>
              <w:top w:val="single" w:sz="4" w:space="0" w:color="auto"/>
              <w:bottom w:val="nil"/>
            </w:tcBorders>
            <w:shd w:val="clear" w:color="auto" w:fill="auto"/>
          </w:tcPr>
          <w:p w14:paraId="66619030" w14:textId="77777777" w:rsidR="00C45062" w:rsidRPr="002D741C" w:rsidRDefault="00C45062" w:rsidP="00AD13BE">
            <w:pPr>
              <w:keepNext/>
              <w:tabs>
                <w:tab w:val="left" w:pos="284"/>
              </w:tabs>
              <w:rPr>
                <w:rFonts w:eastAsia="MS Mincho"/>
                <w:b/>
                <w:sz w:val="22"/>
                <w:szCs w:val="22"/>
              </w:rPr>
            </w:pPr>
            <w:r w:rsidRPr="002D741C">
              <w:rPr>
                <w:rFonts w:eastAsia="MS Mincho"/>
                <w:b/>
                <w:sz w:val="22"/>
                <w:szCs w:val="22"/>
              </w:rPr>
              <w:t>Brazo de 36 meses de tratamiento</w:t>
            </w:r>
          </w:p>
        </w:tc>
      </w:tr>
      <w:tr w:rsidR="00C45062" w:rsidRPr="002D741C" w14:paraId="11D76529" w14:textId="77777777" w:rsidTr="00AD13BE">
        <w:trPr>
          <w:cantSplit/>
        </w:trPr>
        <w:tc>
          <w:tcPr>
            <w:tcW w:w="3099" w:type="dxa"/>
            <w:tcBorders>
              <w:top w:val="nil"/>
            </w:tcBorders>
            <w:shd w:val="clear" w:color="auto" w:fill="auto"/>
          </w:tcPr>
          <w:p w14:paraId="4655B42B" w14:textId="77777777" w:rsidR="00C45062" w:rsidRPr="002D741C" w:rsidRDefault="00C45062" w:rsidP="00AD13BE">
            <w:pPr>
              <w:keepNext/>
              <w:tabs>
                <w:tab w:val="left" w:pos="284"/>
              </w:tabs>
              <w:rPr>
                <w:rFonts w:eastAsia="MS Mincho"/>
                <w:b/>
                <w:sz w:val="22"/>
                <w:szCs w:val="22"/>
                <w:lang w:val="en-US"/>
              </w:rPr>
            </w:pPr>
            <w:r w:rsidRPr="002D741C">
              <w:rPr>
                <w:rFonts w:eastAsia="MS Mincho"/>
                <w:b/>
                <w:sz w:val="22"/>
                <w:szCs w:val="22"/>
                <w:lang w:val="en-US"/>
              </w:rPr>
              <w:t>SLR</w:t>
            </w:r>
          </w:p>
        </w:tc>
        <w:tc>
          <w:tcPr>
            <w:tcW w:w="3100" w:type="dxa"/>
            <w:tcBorders>
              <w:top w:val="nil"/>
            </w:tcBorders>
            <w:shd w:val="clear" w:color="auto" w:fill="auto"/>
          </w:tcPr>
          <w:p w14:paraId="60EDC0D7" w14:textId="77777777" w:rsidR="00C45062" w:rsidRPr="002D741C" w:rsidRDefault="00C45062" w:rsidP="00AD13BE">
            <w:pPr>
              <w:keepNext/>
              <w:tabs>
                <w:tab w:val="left" w:pos="284"/>
              </w:tabs>
              <w:rPr>
                <w:rFonts w:eastAsia="MS Mincho"/>
                <w:b/>
                <w:sz w:val="22"/>
                <w:szCs w:val="22"/>
                <w:lang w:val="en-US"/>
              </w:rPr>
            </w:pPr>
            <w:r w:rsidRPr="002D741C">
              <w:rPr>
                <w:rFonts w:eastAsia="MS Mincho"/>
                <w:b/>
                <w:sz w:val="22"/>
                <w:szCs w:val="22"/>
                <w:lang w:val="en-US"/>
              </w:rPr>
              <w:t>%(IC)</w:t>
            </w:r>
          </w:p>
        </w:tc>
        <w:tc>
          <w:tcPr>
            <w:tcW w:w="3100" w:type="dxa"/>
            <w:tcBorders>
              <w:top w:val="nil"/>
            </w:tcBorders>
            <w:shd w:val="clear" w:color="auto" w:fill="auto"/>
          </w:tcPr>
          <w:p w14:paraId="1C0BF58A" w14:textId="77777777" w:rsidR="00C45062" w:rsidRPr="002D741C" w:rsidRDefault="00C45062" w:rsidP="00AD13BE">
            <w:pPr>
              <w:keepNext/>
              <w:tabs>
                <w:tab w:val="left" w:pos="284"/>
              </w:tabs>
              <w:rPr>
                <w:rFonts w:eastAsia="MS Mincho"/>
                <w:b/>
                <w:sz w:val="22"/>
                <w:szCs w:val="22"/>
                <w:lang w:val="en-US"/>
              </w:rPr>
            </w:pPr>
            <w:r w:rsidRPr="002D741C">
              <w:rPr>
                <w:rFonts w:eastAsia="MS Mincho"/>
                <w:b/>
                <w:sz w:val="22"/>
                <w:szCs w:val="22"/>
                <w:lang w:val="en-US"/>
              </w:rPr>
              <w:t>%(IC)</w:t>
            </w:r>
          </w:p>
        </w:tc>
      </w:tr>
      <w:tr w:rsidR="00C45062" w:rsidRPr="002D741C" w14:paraId="7CB52E9A" w14:textId="77777777" w:rsidTr="00AD13BE">
        <w:trPr>
          <w:cantSplit/>
        </w:trPr>
        <w:tc>
          <w:tcPr>
            <w:tcW w:w="3099" w:type="dxa"/>
            <w:shd w:val="clear" w:color="auto" w:fill="auto"/>
          </w:tcPr>
          <w:p w14:paraId="0F5087F3" w14:textId="77777777" w:rsidR="00C45062" w:rsidRPr="002D741C" w:rsidRDefault="00C45062" w:rsidP="00AD13BE">
            <w:pPr>
              <w:keepNext/>
              <w:ind w:left="284"/>
              <w:rPr>
                <w:rFonts w:eastAsia="MS Mincho"/>
                <w:sz w:val="22"/>
                <w:szCs w:val="22"/>
                <w:lang w:val="en-US"/>
              </w:rPr>
            </w:pPr>
            <w:r w:rsidRPr="002D741C">
              <w:rPr>
                <w:rFonts w:eastAsia="MS Mincho"/>
                <w:sz w:val="22"/>
                <w:szCs w:val="22"/>
                <w:lang w:val="en-US"/>
              </w:rPr>
              <w:t>12</w:t>
            </w:r>
            <w:r w:rsidRPr="002D741C">
              <w:rPr>
                <w:rFonts w:eastAsia="MS Mincho"/>
                <w:sz w:val="22"/>
                <w:szCs w:val="22"/>
                <w:lang w:val="en-US" w:eastAsia="ja-JP"/>
              </w:rPr>
              <w:t> </w:t>
            </w:r>
            <w:r w:rsidRPr="002D741C">
              <w:rPr>
                <w:rFonts w:eastAsia="MS Mincho"/>
                <w:sz w:val="22"/>
                <w:szCs w:val="22"/>
                <w:lang w:val="en-US"/>
              </w:rPr>
              <w:t>meses</w:t>
            </w:r>
          </w:p>
        </w:tc>
        <w:tc>
          <w:tcPr>
            <w:tcW w:w="3100" w:type="dxa"/>
            <w:shd w:val="clear" w:color="auto" w:fill="auto"/>
          </w:tcPr>
          <w:p w14:paraId="1F7C35A5" w14:textId="77777777" w:rsidR="00C45062" w:rsidRPr="002D741C" w:rsidRDefault="00C45062" w:rsidP="00AD13BE">
            <w:pPr>
              <w:keepNext/>
              <w:tabs>
                <w:tab w:val="left" w:pos="284"/>
              </w:tabs>
              <w:rPr>
                <w:rFonts w:eastAsia="MS Mincho"/>
                <w:sz w:val="22"/>
                <w:szCs w:val="22"/>
                <w:lang w:val="en-US"/>
              </w:rPr>
            </w:pPr>
            <w:r w:rsidRPr="002D741C">
              <w:rPr>
                <w:rFonts w:eastAsia="MS Mincho"/>
                <w:sz w:val="22"/>
                <w:szCs w:val="22"/>
                <w:lang w:val="en-US"/>
              </w:rPr>
              <w:t>93,7 (89,2</w:t>
            </w:r>
            <w:r w:rsidRPr="002D741C">
              <w:rPr>
                <w:rFonts w:eastAsia="MS Mincho"/>
                <w:sz w:val="22"/>
                <w:szCs w:val="22"/>
                <w:lang w:val="en-US"/>
              </w:rPr>
              <w:noBreakHyphen/>
              <w:t>96,4)</w:t>
            </w:r>
          </w:p>
        </w:tc>
        <w:tc>
          <w:tcPr>
            <w:tcW w:w="3100" w:type="dxa"/>
            <w:shd w:val="clear" w:color="auto" w:fill="auto"/>
          </w:tcPr>
          <w:p w14:paraId="7B22AF8A" w14:textId="77777777" w:rsidR="00C45062" w:rsidRPr="002D741C" w:rsidRDefault="00C45062" w:rsidP="00AD13BE">
            <w:pPr>
              <w:keepNext/>
              <w:tabs>
                <w:tab w:val="left" w:pos="284"/>
              </w:tabs>
              <w:rPr>
                <w:rFonts w:eastAsia="MS Mincho"/>
                <w:sz w:val="22"/>
                <w:szCs w:val="22"/>
                <w:lang w:val="en-US"/>
              </w:rPr>
            </w:pPr>
            <w:r w:rsidRPr="002D741C">
              <w:rPr>
                <w:rFonts w:eastAsia="MS Mincho"/>
                <w:sz w:val="22"/>
                <w:szCs w:val="22"/>
                <w:lang w:val="en-US"/>
              </w:rPr>
              <w:t>95,9 (91,9</w:t>
            </w:r>
            <w:r w:rsidRPr="002D741C">
              <w:rPr>
                <w:rFonts w:eastAsia="MS Mincho"/>
                <w:sz w:val="22"/>
                <w:szCs w:val="22"/>
                <w:lang w:val="en-US"/>
              </w:rPr>
              <w:noBreakHyphen/>
              <w:t>97,9)</w:t>
            </w:r>
          </w:p>
        </w:tc>
      </w:tr>
      <w:tr w:rsidR="00C45062" w:rsidRPr="002D741C" w14:paraId="3BD8A7C1" w14:textId="77777777" w:rsidTr="00AD13BE">
        <w:trPr>
          <w:cantSplit/>
        </w:trPr>
        <w:tc>
          <w:tcPr>
            <w:tcW w:w="3099" w:type="dxa"/>
            <w:shd w:val="clear" w:color="auto" w:fill="auto"/>
          </w:tcPr>
          <w:p w14:paraId="4DC9B252" w14:textId="77777777" w:rsidR="00C45062" w:rsidRPr="002D741C" w:rsidRDefault="00C45062" w:rsidP="00AD13BE">
            <w:pPr>
              <w:keepNext/>
              <w:ind w:left="284"/>
              <w:rPr>
                <w:rFonts w:eastAsia="MS Mincho"/>
                <w:sz w:val="22"/>
                <w:szCs w:val="22"/>
                <w:lang w:val="en-US"/>
              </w:rPr>
            </w:pPr>
            <w:r w:rsidRPr="002D741C">
              <w:rPr>
                <w:rFonts w:eastAsia="MS Mincho"/>
                <w:sz w:val="22"/>
                <w:szCs w:val="22"/>
                <w:lang w:val="en-US"/>
              </w:rPr>
              <w:t>24</w:t>
            </w:r>
            <w:r w:rsidRPr="002D741C">
              <w:rPr>
                <w:rFonts w:eastAsia="MS Mincho"/>
                <w:sz w:val="22"/>
                <w:szCs w:val="22"/>
                <w:lang w:val="en-US" w:eastAsia="ja-JP"/>
              </w:rPr>
              <w:t> </w:t>
            </w:r>
            <w:r w:rsidRPr="002D741C">
              <w:rPr>
                <w:rFonts w:eastAsia="MS Mincho"/>
                <w:sz w:val="22"/>
                <w:szCs w:val="22"/>
                <w:lang w:val="en-US"/>
              </w:rPr>
              <w:t>meses</w:t>
            </w:r>
          </w:p>
        </w:tc>
        <w:tc>
          <w:tcPr>
            <w:tcW w:w="3100" w:type="dxa"/>
            <w:shd w:val="clear" w:color="auto" w:fill="auto"/>
          </w:tcPr>
          <w:p w14:paraId="4DCACEAD" w14:textId="77777777" w:rsidR="00C45062" w:rsidRPr="002D741C" w:rsidRDefault="00C45062" w:rsidP="00AD13BE">
            <w:pPr>
              <w:keepNext/>
              <w:tabs>
                <w:tab w:val="left" w:pos="284"/>
              </w:tabs>
              <w:rPr>
                <w:rFonts w:eastAsia="MS Mincho"/>
                <w:sz w:val="22"/>
                <w:szCs w:val="22"/>
                <w:lang w:val="en-US"/>
              </w:rPr>
            </w:pPr>
            <w:r w:rsidRPr="002D741C">
              <w:rPr>
                <w:rFonts w:eastAsia="MS Mincho"/>
                <w:sz w:val="22"/>
                <w:szCs w:val="22"/>
                <w:lang w:val="en-US"/>
              </w:rPr>
              <w:t>75,4 (68,6</w:t>
            </w:r>
            <w:r w:rsidRPr="002D741C">
              <w:rPr>
                <w:rFonts w:eastAsia="MS Mincho"/>
                <w:sz w:val="22"/>
                <w:szCs w:val="22"/>
                <w:lang w:val="en-US"/>
              </w:rPr>
              <w:noBreakHyphen/>
              <w:t>81,0)</w:t>
            </w:r>
          </w:p>
        </w:tc>
        <w:tc>
          <w:tcPr>
            <w:tcW w:w="3100" w:type="dxa"/>
            <w:shd w:val="clear" w:color="auto" w:fill="auto"/>
          </w:tcPr>
          <w:p w14:paraId="7867A959" w14:textId="77777777" w:rsidR="00C45062" w:rsidRPr="002D741C" w:rsidRDefault="00C45062" w:rsidP="00AD13BE">
            <w:pPr>
              <w:keepNext/>
              <w:tabs>
                <w:tab w:val="left" w:pos="284"/>
              </w:tabs>
              <w:rPr>
                <w:rFonts w:eastAsia="MS Mincho"/>
                <w:sz w:val="22"/>
                <w:szCs w:val="22"/>
                <w:lang w:val="en-US"/>
              </w:rPr>
            </w:pPr>
            <w:r w:rsidRPr="002D741C">
              <w:rPr>
                <w:rFonts w:eastAsia="MS Mincho"/>
                <w:sz w:val="22"/>
                <w:szCs w:val="22"/>
                <w:lang w:val="en-US"/>
              </w:rPr>
              <w:t>90,7 (85,6</w:t>
            </w:r>
            <w:r w:rsidRPr="002D741C">
              <w:rPr>
                <w:rFonts w:eastAsia="MS Mincho"/>
                <w:sz w:val="22"/>
                <w:szCs w:val="22"/>
                <w:lang w:val="en-US"/>
              </w:rPr>
              <w:noBreakHyphen/>
              <w:t>94,0)</w:t>
            </w:r>
          </w:p>
        </w:tc>
      </w:tr>
      <w:tr w:rsidR="00C45062" w:rsidRPr="002D741C" w14:paraId="6AC7CAD5" w14:textId="77777777" w:rsidTr="00AD13BE">
        <w:trPr>
          <w:cantSplit/>
        </w:trPr>
        <w:tc>
          <w:tcPr>
            <w:tcW w:w="3099" w:type="dxa"/>
            <w:shd w:val="clear" w:color="auto" w:fill="auto"/>
          </w:tcPr>
          <w:p w14:paraId="01A86AAA" w14:textId="77777777" w:rsidR="00C45062" w:rsidRPr="002D741C" w:rsidRDefault="00C45062" w:rsidP="00AD13BE">
            <w:pPr>
              <w:keepNext/>
              <w:ind w:left="284"/>
              <w:rPr>
                <w:rFonts w:eastAsia="MS Mincho"/>
                <w:sz w:val="22"/>
                <w:szCs w:val="22"/>
                <w:lang w:val="en-US"/>
              </w:rPr>
            </w:pPr>
            <w:r w:rsidRPr="002D741C">
              <w:rPr>
                <w:rFonts w:eastAsia="MS Mincho"/>
                <w:sz w:val="22"/>
                <w:szCs w:val="22"/>
                <w:lang w:val="en-US"/>
              </w:rPr>
              <w:t>36</w:t>
            </w:r>
            <w:r w:rsidRPr="002D741C">
              <w:rPr>
                <w:rFonts w:eastAsia="MS Mincho"/>
                <w:sz w:val="22"/>
                <w:szCs w:val="22"/>
                <w:lang w:val="en-US" w:eastAsia="ja-JP"/>
              </w:rPr>
              <w:t> </w:t>
            </w:r>
            <w:r w:rsidRPr="002D741C">
              <w:rPr>
                <w:rFonts w:eastAsia="MS Mincho"/>
                <w:sz w:val="22"/>
                <w:szCs w:val="22"/>
                <w:lang w:val="en-US"/>
              </w:rPr>
              <w:t>meses</w:t>
            </w:r>
          </w:p>
        </w:tc>
        <w:tc>
          <w:tcPr>
            <w:tcW w:w="3100" w:type="dxa"/>
            <w:shd w:val="clear" w:color="auto" w:fill="auto"/>
          </w:tcPr>
          <w:p w14:paraId="35109D2D" w14:textId="77777777" w:rsidR="00C45062" w:rsidRPr="002D741C" w:rsidRDefault="00C45062" w:rsidP="00AD13BE">
            <w:pPr>
              <w:keepNext/>
              <w:tabs>
                <w:tab w:val="left" w:pos="284"/>
              </w:tabs>
              <w:rPr>
                <w:rFonts w:eastAsia="MS Mincho"/>
                <w:sz w:val="22"/>
                <w:szCs w:val="22"/>
                <w:lang w:val="en-US"/>
              </w:rPr>
            </w:pPr>
            <w:r w:rsidRPr="002D741C">
              <w:rPr>
                <w:rFonts w:eastAsia="MS Mincho"/>
                <w:sz w:val="22"/>
                <w:szCs w:val="22"/>
                <w:lang w:val="en-US"/>
              </w:rPr>
              <w:t>60,1 (52,5</w:t>
            </w:r>
            <w:r w:rsidRPr="002D741C">
              <w:rPr>
                <w:rFonts w:eastAsia="MS Mincho"/>
                <w:sz w:val="22"/>
                <w:szCs w:val="22"/>
                <w:lang w:val="en-US"/>
              </w:rPr>
              <w:noBreakHyphen/>
              <w:t>66,9)</w:t>
            </w:r>
          </w:p>
        </w:tc>
        <w:tc>
          <w:tcPr>
            <w:tcW w:w="3100" w:type="dxa"/>
            <w:shd w:val="clear" w:color="auto" w:fill="auto"/>
          </w:tcPr>
          <w:p w14:paraId="596AA1A3" w14:textId="77777777" w:rsidR="00C45062" w:rsidRPr="002D741C" w:rsidRDefault="00C45062" w:rsidP="00AD13BE">
            <w:pPr>
              <w:keepNext/>
              <w:tabs>
                <w:tab w:val="left" w:pos="284"/>
              </w:tabs>
              <w:rPr>
                <w:rFonts w:eastAsia="MS Mincho"/>
                <w:sz w:val="22"/>
                <w:szCs w:val="22"/>
                <w:lang w:val="en-US"/>
              </w:rPr>
            </w:pPr>
            <w:r w:rsidRPr="002D741C">
              <w:rPr>
                <w:rFonts w:eastAsia="MS Mincho"/>
                <w:sz w:val="22"/>
                <w:szCs w:val="22"/>
                <w:lang w:val="en-US"/>
              </w:rPr>
              <w:t>86,6 (80,8</w:t>
            </w:r>
            <w:r w:rsidRPr="002D741C">
              <w:rPr>
                <w:rFonts w:eastAsia="MS Mincho"/>
                <w:sz w:val="22"/>
                <w:szCs w:val="22"/>
                <w:lang w:val="en-US"/>
              </w:rPr>
              <w:noBreakHyphen/>
              <w:t>90,8)</w:t>
            </w:r>
          </w:p>
        </w:tc>
      </w:tr>
      <w:tr w:rsidR="00C45062" w:rsidRPr="002D741C" w14:paraId="78CFCEB3" w14:textId="77777777" w:rsidTr="00AD13BE">
        <w:trPr>
          <w:cantSplit/>
        </w:trPr>
        <w:tc>
          <w:tcPr>
            <w:tcW w:w="3099" w:type="dxa"/>
            <w:shd w:val="clear" w:color="auto" w:fill="auto"/>
          </w:tcPr>
          <w:p w14:paraId="0DBD4305" w14:textId="77777777" w:rsidR="00C45062" w:rsidRPr="002D741C" w:rsidRDefault="00C45062" w:rsidP="00AD13BE">
            <w:pPr>
              <w:keepNext/>
              <w:ind w:left="284"/>
              <w:rPr>
                <w:rFonts w:eastAsia="MS Mincho"/>
                <w:sz w:val="22"/>
                <w:szCs w:val="22"/>
                <w:lang w:val="en-US"/>
              </w:rPr>
            </w:pPr>
            <w:r w:rsidRPr="002D741C">
              <w:rPr>
                <w:rFonts w:eastAsia="MS Mincho"/>
                <w:sz w:val="22"/>
                <w:szCs w:val="22"/>
                <w:lang w:val="en-US"/>
              </w:rPr>
              <w:t>48</w:t>
            </w:r>
            <w:r w:rsidRPr="002D741C">
              <w:rPr>
                <w:rFonts w:eastAsia="MS Mincho"/>
                <w:sz w:val="22"/>
                <w:szCs w:val="22"/>
                <w:lang w:val="en-US" w:eastAsia="ja-JP"/>
              </w:rPr>
              <w:t> </w:t>
            </w:r>
            <w:r w:rsidRPr="002D741C">
              <w:rPr>
                <w:rFonts w:eastAsia="MS Mincho"/>
                <w:sz w:val="22"/>
                <w:szCs w:val="22"/>
                <w:lang w:val="en-US"/>
              </w:rPr>
              <w:t>meses</w:t>
            </w:r>
          </w:p>
        </w:tc>
        <w:tc>
          <w:tcPr>
            <w:tcW w:w="3100" w:type="dxa"/>
            <w:shd w:val="clear" w:color="auto" w:fill="auto"/>
          </w:tcPr>
          <w:p w14:paraId="30C0D130" w14:textId="77777777" w:rsidR="00C45062" w:rsidRPr="002D741C" w:rsidRDefault="00C45062" w:rsidP="00AD13BE">
            <w:pPr>
              <w:keepNext/>
              <w:tabs>
                <w:tab w:val="left" w:pos="284"/>
              </w:tabs>
              <w:rPr>
                <w:rFonts w:eastAsia="MS Mincho"/>
                <w:sz w:val="22"/>
                <w:szCs w:val="22"/>
                <w:lang w:val="en-US"/>
              </w:rPr>
            </w:pPr>
            <w:r w:rsidRPr="002D741C">
              <w:rPr>
                <w:rFonts w:eastAsia="MS Mincho"/>
                <w:sz w:val="22"/>
                <w:szCs w:val="22"/>
                <w:lang w:val="en-US"/>
              </w:rPr>
              <w:t>52,3 (44,0</w:t>
            </w:r>
            <w:r w:rsidRPr="002D741C">
              <w:rPr>
                <w:rFonts w:eastAsia="MS Mincho"/>
                <w:sz w:val="22"/>
                <w:szCs w:val="22"/>
                <w:lang w:val="en-US"/>
              </w:rPr>
              <w:noBreakHyphen/>
              <w:t>59,8)</w:t>
            </w:r>
          </w:p>
        </w:tc>
        <w:tc>
          <w:tcPr>
            <w:tcW w:w="3100" w:type="dxa"/>
            <w:shd w:val="clear" w:color="auto" w:fill="auto"/>
          </w:tcPr>
          <w:p w14:paraId="7025E504" w14:textId="77777777" w:rsidR="00C45062" w:rsidRPr="002D741C" w:rsidRDefault="00C45062" w:rsidP="00AD13BE">
            <w:pPr>
              <w:keepNext/>
              <w:tabs>
                <w:tab w:val="left" w:pos="284"/>
              </w:tabs>
              <w:rPr>
                <w:rFonts w:eastAsia="MS Mincho"/>
                <w:sz w:val="22"/>
                <w:szCs w:val="22"/>
                <w:lang w:val="en-US"/>
              </w:rPr>
            </w:pPr>
            <w:r w:rsidRPr="002D741C">
              <w:rPr>
                <w:rFonts w:eastAsia="MS Mincho"/>
                <w:sz w:val="22"/>
                <w:szCs w:val="22"/>
                <w:lang w:val="en-US"/>
              </w:rPr>
              <w:t>78,3 (70,8</w:t>
            </w:r>
            <w:r w:rsidRPr="002D741C">
              <w:rPr>
                <w:rFonts w:eastAsia="MS Mincho"/>
                <w:sz w:val="22"/>
                <w:szCs w:val="22"/>
                <w:lang w:val="en-US"/>
              </w:rPr>
              <w:noBreakHyphen/>
              <w:t>84,1)</w:t>
            </w:r>
          </w:p>
        </w:tc>
      </w:tr>
      <w:tr w:rsidR="00C45062" w:rsidRPr="002D741C" w14:paraId="1D0281E0" w14:textId="77777777" w:rsidTr="00AD13BE">
        <w:trPr>
          <w:cantSplit/>
        </w:trPr>
        <w:tc>
          <w:tcPr>
            <w:tcW w:w="3099" w:type="dxa"/>
            <w:shd w:val="clear" w:color="auto" w:fill="auto"/>
          </w:tcPr>
          <w:p w14:paraId="573999CB" w14:textId="77777777" w:rsidR="00C45062" w:rsidRPr="002D741C" w:rsidRDefault="00C45062" w:rsidP="00AD13BE">
            <w:pPr>
              <w:keepNext/>
              <w:ind w:left="284"/>
              <w:rPr>
                <w:rFonts w:eastAsia="MS Mincho"/>
                <w:sz w:val="22"/>
                <w:szCs w:val="22"/>
                <w:lang w:val="en-US"/>
              </w:rPr>
            </w:pPr>
            <w:r w:rsidRPr="002D741C">
              <w:rPr>
                <w:rFonts w:eastAsia="MS Mincho"/>
                <w:sz w:val="22"/>
                <w:szCs w:val="22"/>
                <w:lang w:val="en-US"/>
              </w:rPr>
              <w:t>60</w:t>
            </w:r>
            <w:r w:rsidRPr="002D741C">
              <w:rPr>
                <w:rFonts w:eastAsia="MS Mincho"/>
                <w:sz w:val="22"/>
                <w:szCs w:val="22"/>
                <w:lang w:val="en-US" w:eastAsia="ja-JP"/>
              </w:rPr>
              <w:t> </w:t>
            </w:r>
            <w:r w:rsidRPr="002D741C">
              <w:rPr>
                <w:rFonts w:eastAsia="MS Mincho"/>
                <w:sz w:val="22"/>
                <w:szCs w:val="22"/>
                <w:lang w:val="en-US"/>
              </w:rPr>
              <w:t>meses</w:t>
            </w:r>
          </w:p>
        </w:tc>
        <w:tc>
          <w:tcPr>
            <w:tcW w:w="3100" w:type="dxa"/>
            <w:shd w:val="clear" w:color="auto" w:fill="auto"/>
          </w:tcPr>
          <w:p w14:paraId="57CDE8D2" w14:textId="77777777" w:rsidR="00C45062" w:rsidRPr="002D741C" w:rsidRDefault="00C45062" w:rsidP="00AD13BE">
            <w:pPr>
              <w:keepNext/>
              <w:tabs>
                <w:tab w:val="left" w:pos="284"/>
              </w:tabs>
              <w:rPr>
                <w:rFonts w:eastAsia="MS Mincho"/>
                <w:sz w:val="22"/>
                <w:szCs w:val="22"/>
                <w:lang w:val="en-US"/>
              </w:rPr>
            </w:pPr>
            <w:r w:rsidRPr="002D741C">
              <w:rPr>
                <w:rFonts w:eastAsia="MS Mincho"/>
                <w:sz w:val="22"/>
                <w:szCs w:val="22"/>
                <w:lang w:val="en-US"/>
              </w:rPr>
              <w:t>47,9 (39,0</w:t>
            </w:r>
            <w:r w:rsidRPr="002D741C">
              <w:rPr>
                <w:rFonts w:eastAsia="MS Mincho"/>
                <w:sz w:val="22"/>
                <w:szCs w:val="22"/>
                <w:lang w:val="en-US"/>
              </w:rPr>
              <w:noBreakHyphen/>
              <w:t>56,3)</w:t>
            </w:r>
          </w:p>
        </w:tc>
        <w:tc>
          <w:tcPr>
            <w:tcW w:w="3100" w:type="dxa"/>
            <w:shd w:val="clear" w:color="auto" w:fill="auto"/>
          </w:tcPr>
          <w:p w14:paraId="1169A598" w14:textId="77777777" w:rsidR="00C45062" w:rsidRPr="002D741C" w:rsidRDefault="00C45062" w:rsidP="00AD13BE">
            <w:pPr>
              <w:keepNext/>
              <w:tabs>
                <w:tab w:val="left" w:pos="284"/>
              </w:tabs>
              <w:rPr>
                <w:rFonts w:eastAsia="MS Mincho"/>
                <w:sz w:val="22"/>
                <w:szCs w:val="22"/>
                <w:lang w:val="en-US"/>
              </w:rPr>
            </w:pPr>
            <w:r w:rsidRPr="002D741C">
              <w:rPr>
                <w:rFonts w:eastAsia="MS Mincho"/>
                <w:sz w:val="22"/>
                <w:szCs w:val="22"/>
                <w:lang w:val="en-US"/>
              </w:rPr>
              <w:t>65,6 (56,1</w:t>
            </w:r>
            <w:r w:rsidRPr="002D741C">
              <w:rPr>
                <w:rFonts w:eastAsia="MS Mincho"/>
                <w:sz w:val="22"/>
                <w:szCs w:val="22"/>
                <w:lang w:val="en-US"/>
              </w:rPr>
              <w:noBreakHyphen/>
              <w:t>73,4)</w:t>
            </w:r>
          </w:p>
        </w:tc>
      </w:tr>
      <w:tr w:rsidR="00C45062" w:rsidRPr="002D741C" w14:paraId="71DBDE3D" w14:textId="77777777" w:rsidTr="00AD13BE">
        <w:trPr>
          <w:cantSplit/>
        </w:trPr>
        <w:tc>
          <w:tcPr>
            <w:tcW w:w="3099" w:type="dxa"/>
            <w:shd w:val="clear" w:color="auto" w:fill="auto"/>
          </w:tcPr>
          <w:p w14:paraId="043D370F" w14:textId="77777777" w:rsidR="00C45062" w:rsidRPr="002D741C" w:rsidRDefault="00C45062" w:rsidP="00AD13BE">
            <w:pPr>
              <w:keepNext/>
              <w:tabs>
                <w:tab w:val="left" w:pos="284"/>
              </w:tabs>
              <w:rPr>
                <w:rFonts w:eastAsia="MS Mincho"/>
                <w:b/>
                <w:sz w:val="22"/>
                <w:szCs w:val="22"/>
                <w:lang w:val="en-US"/>
              </w:rPr>
            </w:pPr>
            <w:r w:rsidRPr="002D741C">
              <w:rPr>
                <w:rFonts w:eastAsia="MS Mincho"/>
                <w:b/>
                <w:sz w:val="22"/>
                <w:szCs w:val="22"/>
                <w:lang w:val="en-US"/>
              </w:rPr>
              <w:t>Supervivencia</w:t>
            </w:r>
          </w:p>
        </w:tc>
        <w:tc>
          <w:tcPr>
            <w:tcW w:w="3100" w:type="dxa"/>
            <w:shd w:val="clear" w:color="auto" w:fill="auto"/>
          </w:tcPr>
          <w:p w14:paraId="3B75F545" w14:textId="77777777" w:rsidR="00C45062" w:rsidRPr="002D741C" w:rsidRDefault="00C45062" w:rsidP="00AD13BE">
            <w:pPr>
              <w:keepNext/>
              <w:tabs>
                <w:tab w:val="left" w:pos="284"/>
              </w:tabs>
              <w:rPr>
                <w:rFonts w:eastAsia="MS Mincho"/>
                <w:sz w:val="22"/>
                <w:szCs w:val="22"/>
                <w:lang w:val="en-US"/>
              </w:rPr>
            </w:pPr>
          </w:p>
        </w:tc>
        <w:tc>
          <w:tcPr>
            <w:tcW w:w="3100" w:type="dxa"/>
            <w:shd w:val="clear" w:color="auto" w:fill="auto"/>
          </w:tcPr>
          <w:p w14:paraId="374F2219" w14:textId="77777777" w:rsidR="00C45062" w:rsidRPr="002D741C" w:rsidRDefault="00C45062" w:rsidP="00AD13BE">
            <w:pPr>
              <w:keepNext/>
              <w:tabs>
                <w:tab w:val="left" w:pos="284"/>
              </w:tabs>
              <w:rPr>
                <w:rFonts w:eastAsia="MS Mincho"/>
                <w:sz w:val="22"/>
                <w:szCs w:val="22"/>
                <w:lang w:val="en-US"/>
              </w:rPr>
            </w:pPr>
          </w:p>
        </w:tc>
      </w:tr>
      <w:tr w:rsidR="00C45062" w:rsidRPr="002D741C" w14:paraId="3E47374F" w14:textId="77777777" w:rsidTr="00AD13BE">
        <w:trPr>
          <w:cantSplit/>
        </w:trPr>
        <w:tc>
          <w:tcPr>
            <w:tcW w:w="3099" w:type="dxa"/>
            <w:shd w:val="clear" w:color="auto" w:fill="auto"/>
          </w:tcPr>
          <w:p w14:paraId="1AE9BD1A" w14:textId="77777777" w:rsidR="00C45062" w:rsidRPr="002D741C" w:rsidRDefault="00C45062" w:rsidP="00AD13BE">
            <w:pPr>
              <w:keepNext/>
              <w:ind w:left="284"/>
              <w:rPr>
                <w:rFonts w:eastAsia="MS Mincho"/>
                <w:sz w:val="22"/>
                <w:szCs w:val="22"/>
                <w:lang w:val="en-US"/>
              </w:rPr>
            </w:pPr>
            <w:r w:rsidRPr="002D741C">
              <w:rPr>
                <w:rFonts w:eastAsia="MS Mincho"/>
                <w:sz w:val="22"/>
                <w:szCs w:val="22"/>
                <w:lang w:val="en-US"/>
              </w:rPr>
              <w:t>36</w:t>
            </w:r>
            <w:r w:rsidRPr="002D741C">
              <w:rPr>
                <w:rFonts w:eastAsia="MS Mincho"/>
                <w:sz w:val="22"/>
                <w:szCs w:val="22"/>
                <w:lang w:val="en-US" w:eastAsia="ja-JP"/>
              </w:rPr>
              <w:t> </w:t>
            </w:r>
            <w:r w:rsidRPr="002D741C">
              <w:rPr>
                <w:rFonts w:eastAsia="MS Mincho"/>
                <w:sz w:val="22"/>
                <w:szCs w:val="22"/>
                <w:lang w:val="en-US"/>
              </w:rPr>
              <w:t>meses</w:t>
            </w:r>
          </w:p>
        </w:tc>
        <w:tc>
          <w:tcPr>
            <w:tcW w:w="3100" w:type="dxa"/>
            <w:shd w:val="clear" w:color="auto" w:fill="auto"/>
          </w:tcPr>
          <w:p w14:paraId="14085A80" w14:textId="77777777" w:rsidR="00C45062" w:rsidRPr="002D741C" w:rsidRDefault="00C45062" w:rsidP="00AD13BE">
            <w:pPr>
              <w:keepNext/>
              <w:tabs>
                <w:tab w:val="left" w:pos="284"/>
              </w:tabs>
              <w:rPr>
                <w:rFonts w:eastAsia="MS Mincho"/>
                <w:sz w:val="22"/>
                <w:szCs w:val="22"/>
                <w:lang w:val="en-US"/>
              </w:rPr>
            </w:pPr>
            <w:r w:rsidRPr="002D741C">
              <w:rPr>
                <w:rFonts w:eastAsia="MS Mincho"/>
                <w:sz w:val="22"/>
                <w:szCs w:val="22"/>
                <w:lang w:val="en-US"/>
              </w:rPr>
              <w:t>94,0 (89,5</w:t>
            </w:r>
            <w:r w:rsidRPr="002D741C">
              <w:rPr>
                <w:rFonts w:eastAsia="MS Mincho"/>
                <w:sz w:val="22"/>
                <w:szCs w:val="22"/>
                <w:lang w:val="en-US"/>
              </w:rPr>
              <w:noBreakHyphen/>
              <w:t>96,7)</w:t>
            </w:r>
          </w:p>
        </w:tc>
        <w:tc>
          <w:tcPr>
            <w:tcW w:w="3100" w:type="dxa"/>
            <w:shd w:val="clear" w:color="auto" w:fill="auto"/>
          </w:tcPr>
          <w:p w14:paraId="1F84A1FD" w14:textId="77777777" w:rsidR="00C45062" w:rsidRPr="002D741C" w:rsidRDefault="00C45062" w:rsidP="00AD13BE">
            <w:pPr>
              <w:keepNext/>
              <w:tabs>
                <w:tab w:val="left" w:pos="284"/>
              </w:tabs>
              <w:rPr>
                <w:rFonts w:eastAsia="MS Mincho"/>
                <w:sz w:val="22"/>
                <w:szCs w:val="22"/>
                <w:lang w:val="en-US"/>
              </w:rPr>
            </w:pPr>
            <w:r w:rsidRPr="002D741C">
              <w:rPr>
                <w:rFonts w:eastAsia="MS Mincho"/>
                <w:sz w:val="22"/>
                <w:szCs w:val="22"/>
                <w:lang w:val="en-US"/>
              </w:rPr>
              <w:t>96,3 (92,4</w:t>
            </w:r>
            <w:r w:rsidRPr="002D741C">
              <w:rPr>
                <w:rFonts w:eastAsia="MS Mincho"/>
                <w:sz w:val="22"/>
                <w:szCs w:val="22"/>
                <w:lang w:val="en-US"/>
              </w:rPr>
              <w:noBreakHyphen/>
              <w:t>98,2)</w:t>
            </w:r>
          </w:p>
        </w:tc>
      </w:tr>
      <w:tr w:rsidR="00C45062" w:rsidRPr="002D741C" w14:paraId="58636AF4" w14:textId="77777777" w:rsidTr="00AD13BE">
        <w:trPr>
          <w:cantSplit/>
        </w:trPr>
        <w:tc>
          <w:tcPr>
            <w:tcW w:w="3099" w:type="dxa"/>
            <w:shd w:val="clear" w:color="auto" w:fill="auto"/>
          </w:tcPr>
          <w:p w14:paraId="4D21A7B7" w14:textId="77777777" w:rsidR="00C45062" w:rsidRPr="002D741C" w:rsidRDefault="00C45062" w:rsidP="00AD13BE">
            <w:pPr>
              <w:keepNext/>
              <w:ind w:left="284"/>
              <w:rPr>
                <w:rFonts w:eastAsia="MS Mincho"/>
                <w:sz w:val="22"/>
                <w:szCs w:val="22"/>
                <w:lang w:val="en-US"/>
              </w:rPr>
            </w:pPr>
            <w:r w:rsidRPr="002D741C">
              <w:rPr>
                <w:rFonts w:eastAsia="MS Mincho"/>
                <w:sz w:val="22"/>
                <w:szCs w:val="22"/>
                <w:lang w:val="en-US"/>
              </w:rPr>
              <w:t>48</w:t>
            </w:r>
            <w:r w:rsidRPr="002D741C">
              <w:rPr>
                <w:rFonts w:eastAsia="MS Mincho"/>
                <w:sz w:val="22"/>
                <w:szCs w:val="22"/>
                <w:lang w:val="en-US" w:eastAsia="ja-JP"/>
              </w:rPr>
              <w:t> </w:t>
            </w:r>
            <w:r w:rsidRPr="002D741C">
              <w:rPr>
                <w:rFonts w:eastAsia="MS Mincho"/>
                <w:sz w:val="22"/>
                <w:szCs w:val="22"/>
                <w:lang w:val="en-US"/>
              </w:rPr>
              <w:t>meses</w:t>
            </w:r>
          </w:p>
        </w:tc>
        <w:tc>
          <w:tcPr>
            <w:tcW w:w="3100" w:type="dxa"/>
            <w:shd w:val="clear" w:color="auto" w:fill="auto"/>
          </w:tcPr>
          <w:p w14:paraId="1F2C0567" w14:textId="77777777" w:rsidR="00C45062" w:rsidRPr="002D741C" w:rsidRDefault="00C45062" w:rsidP="00AD13BE">
            <w:pPr>
              <w:keepNext/>
              <w:tabs>
                <w:tab w:val="left" w:pos="284"/>
              </w:tabs>
              <w:rPr>
                <w:rFonts w:eastAsia="MS Mincho"/>
                <w:sz w:val="22"/>
                <w:szCs w:val="22"/>
                <w:lang w:val="en-US"/>
              </w:rPr>
            </w:pPr>
            <w:r w:rsidRPr="002D741C">
              <w:rPr>
                <w:rFonts w:eastAsia="MS Mincho"/>
                <w:sz w:val="22"/>
                <w:szCs w:val="22"/>
                <w:lang w:val="en-US"/>
              </w:rPr>
              <w:t>87,9 (81,1</w:t>
            </w:r>
            <w:r w:rsidRPr="002D741C">
              <w:rPr>
                <w:rFonts w:eastAsia="MS Mincho"/>
                <w:sz w:val="22"/>
                <w:szCs w:val="22"/>
                <w:lang w:val="en-US"/>
              </w:rPr>
              <w:noBreakHyphen/>
              <w:t>92,3)</w:t>
            </w:r>
          </w:p>
        </w:tc>
        <w:tc>
          <w:tcPr>
            <w:tcW w:w="3100" w:type="dxa"/>
            <w:shd w:val="clear" w:color="auto" w:fill="auto"/>
          </w:tcPr>
          <w:p w14:paraId="76D805CC" w14:textId="77777777" w:rsidR="00C45062" w:rsidRPr="002D741C" w:rsidRDefault="00C45062" w:rsidP="00AD13BE">
            <w:pPr>
              <w:keepNext/>
              <w:tabs>
                <w:tab w:val="left" w:pos="284"/>
              </w:tabs>
              <w:rPr>
                <w:rFonts w:eastAsia="MS Mincho"/>
                <w:sz w:val="22"/>
                <w:szCs w:val="22"/>
                <w:lang w:val="en-US"/>
              </w:rPr>
            </w:pPr>
            <w:r w:rsidRPr="002D741C">
              <w:rPr>
                <w:rFonts w:eastAsia="MS Mincho"/>
                <w:sz w:val="22"/>
                <w:szCs w:val="22"/>
                <w:lang w:val="en-US"/>
              </w:rPr>
              <w:t>95,6 (91,2</w:t>
            </w:r>
            <w:r w:rsidRPr="002D741C">
              <w:rPr>
                <w:rFonts w:eastAsia="MS Mincho"/>
                <w:sz w:val="22"/>
                <w:szCs w:val="22"/>
                <w:lang w:val="en-US"/>
              </w:rPr>
              <w:noBreakHyphen/>
              <w:t>97,8)</w:t>
            </w:r>
          </w:p>
        </w:tc>
      </w:tr>
      <w:tr w:rsidR="00C45062" w:rsidRPr="002D741C" w14:paraId="7FCFB2D9" w14:textId="77777777" w:rsidTr="00AD13BE">
        <w:trPr>
          <w:cantSplit/>
        </w:trPr>
        <w:tc>
          <w:tcPr>
            <w:tcW w:w="3099" w:type="dxa"/>
            <w:shd w:val="clear" w:color="auto" w:fill="auto"/>
          </w:tcPr>
          <w:p w14:paraId="790AF89D" w14:textId="77777777" w:rsidR="00C45062" w:rsidRPr="002D741C" w:rsidRDefault="00C45062" w:rsidP="00AD13BE">
            <w:pPr>
              <w:ind w:left="284"/>
              <w:rPr>
                <w:rFonts w:eastAsia="MS Mincho"/>
                <w:sz w:val="22"/>
                <w:szCs w:val="22"/>
                <w:lang w:val="en-US"/>
              </w:rPr>
            </w:pPr>
            <w:r w:rsidRPr="002D741C">
              <w:rPr>
                <w:rFonts w:eastAsia="MS Mincho"/>
                <w:sz w:val="22"/>
                <w:szCs w:val="22"/>
                <w:lang w:val="en-US"/>
              </w:rPr>
              <w:t>60</w:t>
            </w:r>
            <w:r w:rsidRPr="002D741C">
              <w:rPr>
                <w:rFonts w:eastAsia="MS Mincho"/>
                <w:sz w:val="22"/>
                <w:szCs w:val="22"/>
                <w:lang w:val="en-US" w:eastAsia="ja-JP"/>
              </w:rPr>
              <w:t> </w:t>
            </w:r>
            <w:r w:rsidRPr="002D741C">
              <w:rPr>
                <w:rFonts w:eastAsia="MS Mincho"/>
                <w:sz w:val="22"/>
                <w:szCs w:val="22"/>
                <w:lang w:val="en-US"/>
              </w:rPr>
              <w:t>meses</w:t>
            </w:r>
          </w:p>
        </w:tc>
        <w:tc>
          <w:tcPr>
            <w:tcW w:w="3100" w:type="dxa"/>
            <w:shd w:val="clear" w:color="auto" w:fill="auto"/>
          </w:tcPr>
          <w:p w14:paraId="34F0A768" w14:textId="77777777" w:rsidR="00C45062" w:rsidRPr="002D741C" w:rsidRDefault="00C45062" w:rsidP="00AD13BE">
            <w:pPr>
              <w:tabs>
                <w:tab w:val="left" w:pos="284"/>
              </w:tabs>
              <w:rPr>
                <w:rFonts w:eastAsia="MS Mincho"/>
                <w:sz w:val="22"/>
                <w:szCs w:val="22"/>
                <w:lang w:val="en-US"/>
              </w:rPr>
            </w:pPr>
            <w:r w:rsidRPr="002D741C">
              <w:rPr>
                <w:rFonts w:eastAsia="MS Mincho"/>
                <w:sz w:val="22"/>
                <w:szCs w:val="22"/>
                <w:lang w:val="en-US"/>
              </w:rPr>
              <w:t>81,7 (73,0</w:t>
            </w:r>
            <w:r w:rsidRPr="002D741C">
              <w:rPr>
                <w:rFonts w:eastAsia="MS Mincho"/>
                <w:sz w:val="22"/>
                <w:szCs w:val="22"/>
                <w:lang w:val="en-US"/>
              </w:rPr>
              <w:noBreakHyphen/>
              <w:t>87,8)</w:t>
            </w:r>
          </w:p>
        </w:tc>
        <w:tc>
          <w:tcPr>
            <w:tcW w:w="3100" w:type="dxa"/>
            <w:shd w:val="clear" w:color="auto" w:fill="auto"/>
          </w:tcPr>
          <w:p w14:paraId="0F530ABD" w14:textId="77777777" w:rsidR="00C45062" w:rsidRPr="002D741C" w:rsidRDefault="00C45062" w:rsidP="00AD13BE">
            <w:pPr>
              <w:tabs>
                <w:tab w:val="left" w:pos="284"/>
              </w:tabs>
              <w:rPr>
                <w:rFonts w:eastAsia="MS Mincho"/>
                <w:sz w:val="22"/>
                <w:szCs w:val="22"/>
                <w:lang w:val="en-US"/>
              </w:rPr>
            </w:pPr>
            <w:r w:rsidRPr="002D741C">
              <w:rPr>
                <w:rFonts w:eastAsia="MS Mincho"/>
                <w:sz w:val="22"/>
                <w:szCs w:val="22"/>
                <w:lang w:val="en-US"/>
              </w:rPr>
              <w:t>92,0 (85,3</w:t>
            </w:r>
            <w:r w:rsidRPr="002D741C">
              <w:rPr>
                <w:rFonts w:eastAsia="MS Mincho"/>
                <w:sz w:val="22"/>
                <w:szCs w:val="22"/>
                <w:lang w:val="en-US"/>
              </w:rPr>
              <w:noBreakHyphen/>
              <w:t>95,7)</w:t>
            </w:r>
          </w:p>
        </w:tc>
      </w:tr>
    </w:tbl>
    <w:p w14:paraId="5E0D25E4" w14:textId="77777777" w:rsidR="00C45062" w:rsidRPr="002D741C" w:rsidRDefault="00C45062" w:rsidP="00C45062">
      <w:pPr>
        <w:pStyle w:val="EndnoteText"/>
        <w:widowControl w:val="0"/>
        <w:tabs>
          <w:tab w:val="clear" w:pos="567"/>
        </w:tabs>
        <w:rPr>
          <w:color w:val="000000"/>
          <w:szCs w:val="22"/>
          <w:lang w:val="es-ES_tradnl"/>
        </w:rPr>
      </w:pPr>
    </w:p>
    <w:p w14:paraId="39738DCB" w14:textId="77777777" w:rsidR="00C45062" w:rsidRPr="002D741C" w:rsidRDefault="00C45062" w:rsidP="00C45062">
      <w:pPr>
        <w:pStyle w:val="EndnoteText"/>
        <w:keepNext/>
        <w:widowControl w:val="0"/>
        <w:tabs>
          <w:tab w:val="clear" w:pos="567"/>
        </w:tabs>
        <w:ind w:left="1134" w:hanging="1134"/>
        <w:rPr>
          <w:color w:val="000000"/>
          <w:szCs w:val="22"/>
          <w:lang w:val="es-ES_tradnl"/>
        </w:rPr>
      </w:pPr>
      <w:r w:rsidRPr="002D741C">
        <w:rPr>
          <w:b/>
          <w:color w:val="000000"/>
          <w:szCs w:val="22"/>
          <w:lang w:val="es-ES_tradnl"/>
        </w:rPr>
        <w:t>Figura 1</w:t>
      </w:r>
      <w:r w:rsidRPr="002D741C">
        <w:rPr>
          <w:b/>
          <w:color w:val="000000"/>
          <w:szCs w:val="22"/>
          <w:lang w:val="es-ES_tradnl"/>
        </w:rPr>
        <w:tab/>
        <w:t xml:space="preserve">Estimación de Kaplan-Meier de la variable primaria de supervivencia libre de recurrencia (problación </w:t>
      </w:r>
      <w:smartTag w:uri="urn:schemas-microsoft-com:office:smarttags" w:element="PersonName">
        <w:r w:rsidRPr="002D741C">
          <w:rPr>
            <w:b/>
            <w:color w:val="000000"/>
            <w:szCs w:val="22"/>
            <w:lang w:val="es-ES_tradnl"/>
          </w:rPr>
          <w:t>IT</w:t>
        </w:r>
      </w:smartTag>
      <w:r w:rsidRPr="002D741C">
        <w:rPr>
          <w:b/>
          <w:color w:val="000000"/>
          <w:szCs w:val="22"/>
          <w:lang w:val="es-ES_tradnl"/>
        </w:rPr>
        <w:t>T)</w:t>
      </w:r>
    </w:p>
    <w:p w14:paraId="21138927" w14:textId="77777777" w:rsidR="00C45062" w:rsidRPr="002D741C" w:rsidRDefault="00C45062" w:rsidP="00C45062">
      <w:pPr>
        <w:pStyle w:val="EndnoteText"/>
        <w:keepNext/>
        <w:widowControl w:val="0"/>
        <w:tabs>
          <w:tab w:val="clear" w:pos="567"/>
        </w:tabs>
        <w:rPr>
          <w:color w:val="000000"/>
          <w:szCs w:val="22"/>
          <w:lang w:val="es-ES_tradnl"/>
        </w:rPr>
      </w:pPr>
    </w:p>
    <w:p w14:paraId="05815FEF" w14:textId="77777777" w:rsidR="00C45062" w:rsidRPr="002D741C" w:rsidRDefault="00B34E6C" w:rsidP="00C45062">
      <w:pPr>
        <w:pStyle w:val="EndnoteText"/>
        <w:widowControl w:val="0"/>
        <w:tabs>
          <w:tab w:val="clear" w:pos="567"/>
        </w:tabs>
        <w:rPr>
          <w:color w:val="000000"/>
          <w:szCs w:val="22"/>
          <w:lang w:val="es-ES_tradnl"/>
        </w:rPr>
      </w:pPr>
      <w:r w:rsidRPr="002D741C">
        <w:rPr>
          <w:noProof/>
          <w:snapToGrid/>
          <w:lang w:eastAsia="en-GB"/>
        </w:rPr>
        <mc:AlternateContent>
          <mc:Choice Requires="wpg">
            <w:drawing>
              <wp:anchor distT="0" distB="0" distL="114300" distR="114300" simplePos="0" relativeHeight="251659264" behindDoc="0" locked="0" layoutInCell="1" allowOverlap="1" wp14:anchorId="2451363E" wp14:editId="5A9AAA76">
                <wp:simplePos x="0" y="0"/>
                <wp:positionH relativeFrom="column">
                  <wp:posOffset>-357505</wp:posOffset>
                </wp:positionH>
                <wp:positionV relativeFrom="paragraph">
                  <wp:posOffset>99695</wp:posOffset>
                </wp:positionV>
                <wp:extent cx="5293360" cy="2868295"/>
                <wp:effectExtent l="0" t="0" r="0" b="0"/>
                <wp:wrapNone/>
                <wp:docPr id="15" name="Group 10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93360" cy="2868295"/>
                          <a:chOff x="855" y="6368"/>
                          <a:chExt cx="8336" cy="4517"/>
                        </a:xfrm>
                      </wpg:grpSpPr>
                      <wpg:grpSp>
                        <wpg:cNvPr id="16" name="Group 110"/>
                        <wpg:cNvGrpSpPr>
                          <a:grpSpLocks/>
                        </wpg:cNvGrpSpPr>
                        <wpg:grpSpPr bwMode="auto">
                          <a:xfrm>
                            <a:off x="855" y="6368"/>
                            <a:ext cx="8336" cy="3749"/>
                            <a:chOff x="855" y="6368"/>
                            <a:chExt cx="8336" cy="3749"/>
                          </a:xfrm>
                        </wpg:grpSpPr>
                        <wps:wsp>
                          <wps:cNvPr id="17" name="Text Box 2"/>
                          <wps:cNvSpPr txBox="1">
                            <a:spLocks noChangeArrowheads="1"/>
                          </wps:cNvSpPr>
                          <wps:spPr bwMode="auto">
                            <a:xfrm>
                              <a:off x="855" y="6368"/>
                              <a:ext cx="795" cy="328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D83A030" w14:textId="77777777" w:rsidR="00777AB3" w:rsidRDefault="00777AB3" w:rsidP="00C45062">
                                <w:pPr>
                                  <w:jc w:val="center"/>
                                  <w:rPr>
                                    <w:rFonts w:ascii="Arial" w:hAnsi="Arial" w:cs="Arial"/>
                                  </w:rPr>
                                </w:pPr>
                                <w:r>
                                  <w:rPr>
                                    <w:rFonts w:ascii="Arial" w:hAnsi="Arial" w:cs="Arial"/>
                                  </w:rPr>
                                  <w:t>Probabilidad de supervivencia</w:t>
                                </w:r>
                              </w:p>
                              <w:p w14:paraId="4DA527AE" w14:textId="77777777" w:rsidR="00777AB3" w:rsidRPr="00A33DBA" w:rsidRDefault="00777AB3" w:rsidP="00C45062">
                                <w:pPr>
                                  <w:jc w:val="center"/>
                                  <w:rPr>
                                    <w:rFonts w:ascii="Arial" w:hAnsi="Arial" w:cs="Arial"/>
                                  </w:rPr>
                                </w:pPr>
                                <w:r>
                                  <w:rPr>
                                    <w:rFonts w:ascii="Arial" w:hAnsi="Arial" w:cs="Arial"/>
                                  </w:rPr>
                                  <w:t>libre de recurrencia</w:t>
                                </w:r>
                              </w:p>
                            </w:txbxContent>
                          </wps:txbx>
                          <wps:bodyPr rot="0" vert="vert270" wrap="square" lIns="91440" tIns="45720" rIns="91440" bIns="45720" anchor="t" anchorCtr="0" upright="1">
                            <a:noAutofit/>
                          </wps:bodyPr>
                        </wps:wsp>
                        <wps:wsp>
                          <wps:cNvPr id="18" name="Text Box 2"/>
                          <wps:cNvSpPr txBox="1">
                            <a:spLocks noChangeArrowheads="1"/>
                          </wps:cNvSpPr>
                          <wps:spPr bwMode="auto">
                            <a:xfrm>
                              <a:off x="1970" y="8168"/>
                              <a:ext cx="7221" cy="19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ook w:val="04A0" w:firstRow="1" w:lastRow="0" w:firstColumn="1" w:lastColumn="0" w:noHBand="0" w:noVBand="1"/>
                                </w:tblPr>
                                <w:tblGrid>
                                  <w:gridCol w:w="817"/>
                                  <w:gridCol w:w="2464"/>
                                  <w:gridCol w:w="229"/>
                                  <w:gridCol w:w="851"/>
                                  <w:gridCol w:w="709"/>
                                  <w:gridCol w:w="850"/>
                                </w:tblGrid>
                                <w:tr w:rsidR="00777AB3" w:rsidRPr="00F66EC1" w14:paraId="701CEAEA" w14:textId="77777777" w:rsidTr="009A178F">
                                  <w:trPr>
                                    <w:gridAfter w:val="4"/>
                                    <w:wAfter w:w="2639" w:type="dxa"/>
                                  </w:trPr>
                                  <w:tc>
                                    <w:tcPr>
                                      <w:tcW w:w="3281" w:type="dxa"/>
                                      <w:gridSpan w:val="2"/>
                                      <w:shd w:val="clear" w:color="auto" w:fill="auto"/>
                                    </w:tcPr>
                                    <w:p w14:paraId="456C8241" w14:textId="77777777" w:rsidR="00777AB3" w:rsidRPr="0055776F" w:rsidRDefault="00777AB3" w:rsidP="009A178F">
                                      <w:pPr>
                                        <w:rPr>
                                          <w:rFonts w:ascii="Arial" w:hAnsi="Arial" w:cs="Arial"/>
                                        </w:rPr>
                                      </w:pPr>
                                      <w:r>
                                        <w:rPr>
                                          <w:rFonts w:ascii="Arial" w:hAnsi="Arial" w:cs="Arial"/>
                                        </w:rPr>
                                        <w:t>P &lt; 0,0001</w:t>
                                      </w:r>
                                    </w:p>
                                    <w:p w14:paraId="6ECDD2F3" w14:textId="77777777" w:rsidR="00777AB3" w:rsidRPr="0055776F" w:rsidRDefault="00777AB3" w:rsidP="009A178F">
                                      <w:pPr>
                                        <w:rPr>
                                          <w:rFonts w:ascii="Arial" w:hAnsi="Arial" w:cs="Arial"/>
                                        </w:rPr>
                                      </w:pPr>
                                      <w:r>
                                        <w:rPr>
                                          <w:rFonts w:ascii="Arial" w:hAnsi="Arial" w:cs="Arial"/>
                                        </w:rPr>
                                        <w:t>Cociente de riesgo 0,</w:t>
                                      </w:r>
                                      <w:r w:rsidRPr="0055776F">
                                        <w:rPr>
                                          <w:rFonts w:ascii="Arial" w:hAnsi="Arial" w:cs="Arial"/>
                                        </w:rPr>
                                        <w:t>4</w:t>
                                      </w:r>
                                      <w:r>
                                        <w:rPr>
                                          <w:rFonts w:ascii="Arial" w:hAnsi="Arial" w:cs="Arial"/>
                                        </w:rPr>
                                        <w:t>6</w:t>
                                      </w:r>
                                    </w:p>
                                    <w:p w14:paraId="69229E39" w14:textId="77777777" w:rsidR="00777AB3" w:rsidRPr="00F66EC1" w:rsidRDefault="00777AB3" w:rsidP="009A178F">
                                      <w:pPr>
                                        <w:rPr>
                                          <w:rFonts w:ascii="Arial" w:hAnsi="Arial" w:cs="Arial"/>
                                          <w:lang w:val="es-ES"/>
                                        </w:rPr>
                                      </w:pPr>
                                      <w:r>
                                        <w:rPr>
                                          <w:rFonts w:ascii="Arial" w:hAnsi="Arial" w:cs="Arial"/>
                                        </w:rPr>
                                        <w:t xml:space="preserve">(IC </w:t>
                                      </w:r>
                                      <w:r w:rsidRPr="00A33DBA">
                                        <w:rPr>
                                          <w:rFonts w:ascii="Arial" w:hAnsi="Arial" w:cs="Arial"/>
                                        </w:rPr>
                                        <w:t>95%</w:t>
                                      </w:r>
                                      <w:r>
                                        <w:rPr>
                                          <w:rFonts w:ascii="Arial" w:hAnsi="Arial" w:cs="Arial"/>
                                        </w:rPr>
                                        <w:t>, 0,3</w:t>
                                      </w:r>
                                      <w:r w:rsidRPr="0055776F">
                                        <w:rPr>
                                          <w:rFonts w:ascii="Arial" w:hAnsi="Arial" w:cs="Arial"/>
                                        </w:rPr>
                                        <w:t>2</w:t>
                                      </w:r>
                                      <w:r>
                                        <w:rPr>
                                          <w:rFonts w:ascii="Arial" w:hAnsi="Arial" w:cs="Arial"/>
                                        </w:rPr>
                                        <w:noBreakHyphen/>
                                        <w:t>0,65</w:t>
                                      </w:r>
                                      <w:r w:rsidRPr="0055776F">
                                        <w:rPr>
                                          <w:rFonts w:ascii="Arial" w:hAnsi="Arial" w:cs="Arial"/>
                                        </w:rPr>
                                        <w:t>)</w:t>
                                      </w:r>
                                    </w:p>
                                  </w:tc>
                                </w:tr>
                                <w:tr w:rsidR="00777AB3" w:rsidRPr="0055776F" w14:paraId="0E368163" w14:textId="77777777" w:rsidTr="0096481B">
                                  <w:tc>
                                    <w:tcPr>
                                      <w:tcW w:w="817" w:type="dxa"/>
                                      <w:shd w:val="clear" w:color="auto" w:fill="auto"/>
                                    </w:tcPr>
                                    <w:p w14:paraId="206CF6AA" w14:textId="77777777" w:rsidR="00777AB3" w:rsidRPr="0055776F" w:rsidRDefault="00777AB3" w:rsidP="004B54D7">
                                      <w:pPr>
                                        <w:rPr>
                                          <w:rFonts w:ascii="Arial" w:hAnsi="Arial" w:cs="Arial"/>
                                        </w:rPr>
                                      </w:pPr>
                                    </w:p>
                                  </w:tc>
                                  <w:tc>
                                    <w:tcPr>
                                      <w:tcW w:w="2693" w:type="dxa"/>
                                      <w:gridSpan w:val="2"/>
                                      <w:shd w:val="clear" w:color="auto" w:fill="auto"/>
                                    </w:tcPr>
                                    <w:p w14:paraId="0F3FA1B7" w14:textId="77777777" w:rsidR="00777AB3" w:rsidRPr="0055776F" w:rsidRDefault="00777AB3" w:rsidP="004B54D7">
                                      <w:pPr>
                                        <w:rPr>
                                          <w:rFonts w:ascii="Arial" w:hAnsi="Arial" w:cs="Arial"/>
                                        </w:rPr>
                                      </w:pPr>
                                    </w:p>
                                  </w:tc>
                                  <w:tc>
                                    <w:tcPr>
                                      <w:tcW w:w="851" w:type="dxa"/>
                                      <w:tcBorders>
                                        <w:bottom w:val="single" w:sz="4" w:space="0" w:color="auto"/>
                                      </w:tcBorders>
                                      <w:shd w:val="clear" w:color="auto" w:fill="auto"/>
                                    </w:tcPr>
                                    <w:p w14:paraId="172BA7AC" w14:textId="77777777" w:rsidR="00777AB3" w:rsidRPr="0055776F" w:rsidRDefault="00777AB3" w:rsidP="004B54D7">
                                      <w:pPr>
                                        <w:rPr>
                                          <w:rFonts w:ascii="Arial" w:hAnsi="Arial" w:cs="Arial"/>
                                        </w:rPr>
                                      </w:pPr>
                                      <w:r w:rsidRPr="0055776F">
                                        <w:rPr>
                                          <w:rFonts w:ascii="Arial" w:hAnsi="Arial" w:cs="Arial"/>
                                          <w:lang w:val="de-DE"/>
                                        </w:rPr>
                                        <w:t>N</w:t>
                                      </w:r>
                                    </w:p>
                                  </w:tc>
                                  <w:tc>
                                    <w:tcPr>
                                      <w:tcW w:w="709" w:type="dxa"/>
                                      <w:tcBorders>
                                        <w:bottom w:val="single" w:sz="4" w:space="0" w:color="auto"/>
                                      </w:tcBorders>
                                      <w:shd w:val="clear" w:color="auto" w:fill="auto"/>
                                    </w:tcPr>
                                    <w:p w14:paraId="00CC4230" w14:textId="77777777" w:rsidR="00777AB3" w:rsidRPr="0055776F" w:rsidRDefault="00777AB3" w:rsidP="004B54D7">
                                      <w:pPr>
                                        <w:rPr>
                                          <w:rFonts w:ascii="Arial" w:hAnsi="Arial" w:cs="Arial"/>
                                        </w:rPr>
                                      </w:pPr>
                                      <w:r w:rsidRPr="0055776F">
                                        <w:rPr>
                                          <w:rFonts w:ascii="Arial" w:hAnsi="Arial" w:cs="Arial"/>
                                          <w:lang w:val="de-DE"/>
                                        </w:rPr>
                                        <w:t>Evt</w:t>
                                      </w:r>
                                    </w:p>
                                  </w:tc>
                                  <w:tc>
                                    <w:tcPr>
                                      <w:tcW w:w="850" w:type="dxa"/>
                                      <w:tcBorders>
                                        <w:bottom w:val="single" w:sz="4" w:space="0" w:color="auto"/>
                                      </w:tcBorders>
                                      <w:shd w:val="clear" w:color="auto" w:fill="auto"/>
                                    </w:tcPr>
                                    <w:p w14:paraId="3713D09A" w14:textId="77777777" w:rsidR="00777AB3" w:rsidRPr="0055776F" w:rsidRDefault="00777AB3" w:rsidP="004B54D7">
                                      <w:pPr>
                                        <w:rPr>
                                          <w:rFonts w:ascii="Arial" w:hAnsi="Arial" w:cs="Arial"/>
                                        </w:rPr>
                                      </w:pPr>
                                      <w:r w:rsidRPr="0055776F">
                                        <w:rPr>
                                          <w:rFonts w:ascii="Arial" w:hAnsi="Arial" w:cs="Arial"/>
                                          <w:lang w:val="de-DE"/>
                                        </w:rPr>
                                        <w:t>Cen</w:t>
                                      </w:r>
                                    </w:p>
                                  </w:tc>
                                </w:tr>
                                <w:tr w:rsidR="00777AB3" w:rsidRPr="0055776F" w14:paraId="33C7A4FA" w14:textId="77777777" w:rsidTr="0096481B">
                                  <w:tc>
                                    <w:tcPr>
                                      <w:tcW w:w="817" w:type="dxa"/>
                                      <w:shd w:val="clear" w:color="auto" w:fill="auto"/>
                                    </w:tcPr>
                                    <w:p w14:paraId="5C0E5EF2" w14:textId="77777777" w:rsidR="00777AB3" w:rsidRPr="0055776F" w:rsidRDefault="00777AB3" w:rsidP="004B54D7">
                                      <w:pPr>
                                        <w:rPr>
                                          <w:rFonts w:ascii="Arial" w:hAnsi="Arial" w:cs="Arial"/>
                                        </w:rPr>
                                      </w:pPr>
                                      <w:r w:rsidRPr="0055776F">
                                        <w:rPr>
                                          <w:rFonts w:ascii="Arial" w:hAnsi="Arial" w:cs="Arial"/>
                                          <w:b/>
                                        </w:rPr>
                                        <w:t>——</w:t>
                                      </w:r>
                                    </w:p>
                                  </w:tc>
                                  <w:tc>
                                    <w:tcPr>
                                      <w:tcW w:w="2693" w:type="dxa"/>
                                      <w:gridSpan w:val="2"/>
                                      <w:shd w:val="clear" w:color="auto" w:fill="auto"/>
                                    </w:tcPr>
                                    <w:p w14:paraId="2E5D5BA8" w14:textId="77777777" w:rsidR="00777AB3" w:rsidRPr="0055776F" w:rsidRDefault="00777AB3" w:rsidP="004B54D7">
                                      <w:pPr>
                                        <w:rPr>
                                          <w:rFonts w:ascii="Arial" w:hAnsi="Arial" w:cs="Arial"/>
                                        </w:rPr>
                                      </w:pPr>
                                      <w:r w:rsidRPr="0055776F">
                                        <w:rPr>
                                          <w:rFonts w:ascii="Arial" w:hAnsi="Arial" w:cs="Arial"/>
                                        </w:rPr>
                                        <w:t xml:space="preserve">(1) </w:t>
                                      </w:r>
                                      <w:r>
                                        <w:rPr>
                                          <w:rFonts w:ascii="Arial" w:hAnsi="Arial" w:cs="Arial"/>
                                        </w:rPr>
                                        <w:t>Imatinib 12 </w:t>
                                      </w:r>
                                      <w:r w:rsidRPr="00A33DBA">
                                        <w:rPr>
                                          <w:rFonts w:ascii="Arial" w:hAnsi="Arial" w:cs="Arial"/>
                                        </w:rPr>
                                        <w:t>M</w:t>
                                      </w:r>
                                      <w:r>
                                        <w:rPr>
                                          <w:rFonts w:ascii="Arial" w:hAnsi="Arial" w:cs="Arial"/>
                                        </w:rPr>
                                        <w:t>E</w:t>
                                      </w:r>
                                      <w:r w:rsidRPr="0055776F">
                                        <w:rPr>
                                          <w:rFonts w:ascii="Arial" w:hAnsi="Arial" w:cs="Arial"/>
                                        </w:rPr>
                                        <w:t>:</w:t>
                                      </w:r>
                                    </w:p>
                                  </w:tc>
                                  <w:tc>
                                    <w:tcPr>
                                      <w:tcW w:w="851" w:type="dxa"/>
                                      <w:tcBorders>
                                        <w:top w:val="single" w:sz="4" w:space="0" w:color="auto"/>
                                      </w:tcBorders>
                                      <w:shd w:val="clear" w:color="auto" w:fill="auto"/>
                                    </w:tcPr>
                                    <w:p w14:paraId="4E920B88" w14:textId="77777777" w:rsidR="00777AB3" w:rsidRPr="0055776F" w:rsidRDefault="00777AB3" w:rsidP="004B54D7">
                                      <w:pPr>
                                        <w:rPr>
                                          <w:rFonts w:ascii="Arial" w:hAnsi="Arial" w:cs="Arial"/>
                                        </w:rPr>
                                      </w:pPr>
                                      <w:r w:rsidRPr="0055776F">
                                        <w:rPr>
                                          <w:rFonts w:ascii="Arial" w:hAnsi="Arial" w:cs="Arial"/>
                                        </w:rPr>
                                        <w:t>199</w:t>
                                      </w:r>
                                    </w:p>
                                  </w:tc>
                                  <w:tc>
                                    <w:tcPr>
                                      <w:tcW w:w="709" w:type="dxa"/>
                                      <w:tcBorders>
                                        <w:top w:val="single" w:sz="4" w:space="0" w:color="auto"/>
                                      </w:tcBorders>
                                      <w:shd w:val="clear" w:color="auto" w:fill="auto"/>
                                    </w:tcPr>
                                    <w:p w14:paraId="53D12F88" w14:textId="77777777" w:rsidR="00777AB3" w:rsidRPr="0055776F" w:rsidRDefault="00777AB3" w:rsidP="004B54D7">
                                      <w:pPr>
                                        <w:rPr>
                                          <w:rFonts w:ascii="Arial" w:hAnsi="Arial" w:cs="Arial"/>
                                        </w:rPr>
                                      </w:pPr>
                                      <w:r w:rsidRPr="0055776F">
                                        <w:rPr>
                                          <w:rFonts w:ascii="Arial" w:hAnsi="Arial" w:cs="Arial"/>
                                        </w:rPr>
                                        <w:t>84</w:t>
                                      </w:r>
                                    </w:p>
                                  </w:tc>
                                  <w:tc>
                                    <w:tcPr>
                                      <w:tcW w:w="850" w:type="dxa"/>
                                      <w:tcBorders>
                                        <w:top w:val="single" w:sz="4" w:space="0" w:color="auto"/>
                                      </w:tcBorders>
                                      <w:shd w:val="clear" w:color="auto" w:fill="auto"/>
                                    </w:tcPr>
                                    <w:p w14:paraId="1B19470E" w14:textId="77777777" w:rsidR="00777AB3" w:rsidRPr="0055776F" w:rsidRDefault="00777AB3" w:rsidP="004B54D7">
                                      <w:pPr>
                                        <w:rPr>
                                          <w:rFonts w:ascii="Arial" w:hAnsi="Arial" w:cs="Arial"/>
                                        </w:rPr>
                                      </w:pPr>
                                      <w:r w:rsidRPr="0055776F">
                                        <w:rPr>
                                          <w:rFonts w:ascii="Arial" w:hAnsi="Arial" w:cs="Arial"/>
                                        </w:rPr>
                                        <w:t>115</w:t>
                                      </w:r>
                                    </w:p>
                                  </w:tc>
                                </w:tr>
                                <w:tr w:rsidR="00777AB3" w:rsidRPr="0055776F" w14:paraId="72C830F4" w14:textId="77777777" w:rsidTr="0096481B">
                                  <w:tc>
                                    <w:tcPr>
                                      <w:tcW w:w="817" w:type="dxa"/>
                                      <w:shd w:val="clear" w:color="auto" w:fill="auto"/>
                                    </w:tcPr>
                                    <w:p w14:paraId="0D10C9D7" w14:textId="77777777" w:rsidR="00777AB3" w:rsidRPr="0055776F" w:rsidRDefault="00777AB3" w:rsidP="004B54D7">
                                      <w:pPr>
                                        <w:rPr>
                                          <w:rFonts w:ascii="Arial" w:hAnsi="Arial" w:cs="Arial"/>
                                        </w:rPr>
                                      </w:pPr>
                                      <w:r w:rsidRPr="0055776F">
                                        <w:rPr>
                                          <w:rFonts w:ascii="Arial" w:hAnsi="Arial" w:cs="Arial"/>
                                        </w:rPr>
                                        <w:t>-----</w:t>
                                      </w:r>
                                    </w:p>
                                  </w:tc>
                                  <w:tc>
                                    <w:tcPr>
                                      <w:tcW w:w="2693" w:type="dxa"/>
                                      <w:gridSpan w:val="2"/>
                                      <w:shd w:val="clear" w:color="auto" w:fill="auto"/>
                                    </w:tcPr>
                                    <w:p w14:paraId="581BE75D" w14:textId="77777777" w:rsidR="00777AB3" w:rsidRPr="0055776F" w:rsidRDefault="00777AB3" w:rsidP="004B54D7">
                                      <w:pPr>
                                        <w:rPr>
                                          <w:rFonts w:ascii="Arial" w:hAnsi="Arial" w:cs="Arial"/>
                                        </w:rPr>
                                      </w:pPr>
                                      <w:r>
                                        <w:rPr>
                                          <w:rFonts w:ascii="Arial" w:hAnsi="Arial" w:cs="Arial"/>
                                        </w:rPr>
                                        <w:t>(2) Imatinib 36 </w:t>
                                      </w:r>
                                      <w:r w:rsidRPr="00A33DBA">
                                        <w:rPr>
                                          <w:rFonts w:ascii="Arial" w:hAnsi="Arial" w:cs="Arial"/>
                                        </w:rPr>
                                        <w:t>M</w:t>
                                      </w:r>
                                      <w:r>
                                        <w:rPr>
                                          <w:rFonts w:ascii="Arial" w:hAnsi="Arial" w:cs="Arial"/>
                                        </w:rPr>
                                        <w:t>E</w:t>
                                      </w:r>
                                      <w:r w:rsidRPr="0055776F">
                                        <w:rPr>
                                          <w:rFonts w:ascii="Arial" w:hAnsi="Arial" w:cs="Arial"/>
                                        </w:rPr>
                                        <w:t>:</w:t>
                                      </w:r>
                                    </w:p>
                                  </w:tc>
                                  <w:tc>
                                    <w:tcPr>
                                      <w:tcW w:w="851" w:type="dxa"/>
                                      <w:tcBorders>
                                        <w:bottom w:val="single" w:sz="4" w:space="0" w:color="auto"/>
                                      </w:tcBorders>
                                      <w:shd w:val="clear" w:color="auto" w:fill="auto"/>
                                    </w:tcPr>
                                    <w:p w14:paraId="4187C5B5" w14:textId="77777777" w:rsidR="00777AB3" w:rsidRPr="0055776F" w:rsidRDefault="00777AB3" w:rsidP="004B54D7">
                                      <w:pPr>
                                        <w:rPr>
                                          <w:rFonts w:ascii="Arial" w:hAnsi="Arial" w:cs="Arial"/>
                                        </w:rPr>
                                      </w:pPr>
                                      <w:r w:rsidRPr="0055776F">
                                        <w:rPr>
                                          <w:rFonts w:ascii="Arial" w:hAnsi="Arial" w:cs="Arial"/>
                                        </w:rPr>
                                        <w:t>198</w:t>
                                      </w:r>
                                    </w:p>
                                  </w:tc>
                                  <w:tc>
                                    <w:tcPr>
                                      <w:tcW w:w="709" w:type="dxa"/>
                                      <w:tcBorders>
                                        <w:bottom w:val="single" w:sz="4" w:space="0" w:color="auto"/>
                                      </w:tcBorders>
                                      <w:shd w:val="clear" w:color="auto" w:fill="auto"/>
                                    </w:tcPr>
                                    <w:p w14:paraId="10B89250" w14:textId="77777777" w:rsidR="00777AB3" w:rsidRPr="0055776F" w:rsidRDefault="00777AB3" w:rsidP="004B54D7">
                                      <w:pPr>
                                        <w:rPr>
                                          <w:rFonts w:ascii="Arial" w:hAnsi="Arial" w:cs="Arial"/>
                                        </w:rPr>
                                      </w:pPr>
                                      <w:r w:rsidRPr="0055776F">
                                        <w:rPr>
                                          <w:rFonts w:ascii="Arial" w:hAnsi="Arial" w:cs="Arial"/>
                                        </w:rPr>
                                        <w:t>50</w:t>
                                      </w:r>
                                    </w:p>
                                  </w:tc>
                                  <w:tc>
                                    <w:tcPr>
                                      <w:tcW w:w="850" w:type="dxa"/>
                                      <w:tcBorders>
                                        <w:bottom w:val="single" w:sz="4" w:space="0" w:color="auto"/>
                                      </w:tcBorders>
                                      <w:shd w:val="clear" w:color="auto" w:fill="auto"/>
                                    </w:tcPr>
                                    <w:p w14:paraId="13D1CD93" w14:textId="77777777" w:rsidR="00777AB3" w:rsidRPr="0055776F" w:rsidRDefault="00777AB3" w:rsidP="004B54D7">
                                      <w:pPr>
                                        <w:rPr>
                                          <w:rFonts w:ascii="Arial" w:hAnsi="Arial" w:cs="Arial"/>
                                        </w:rPr>
                                      </w:pPr>
                                      <w:r w:rsidRPr="0055776F">
                                        <w:rPr>
                                          <w:rFonts w:ascii="Arial" w:hAnsi="Arial" w:cs="Arial"/>
                                        </w:rPr>
                                        <w:t>148</w:t>
                                      </w:r>
                                    </w:p>
                                  </w:tc>
                                </w:tr>
                                <w:tr w:rsidR="00777AB3" w:rsidRPr="0055776F" w14:paraId="11E37A91" w14:textId="77777777" w:rsidTr="0096481B">
                                  <w:tc>
                                    <w:tcPr>
                                      <w:tcW w:w="817" w:type="dxa"/>
                                      <w:shd w:val="clear" w:color="auto" w:fill="auto"/>
                                    </w:tcPr>
                                    <w:p w14:paraId="050AF575" w14:textId="77777777" w:rsidR="00777AB3" w:rsidRPr="0055776F" w:rsidRDefault="00777AB3" w:rsidP="004B54D7">
                                      <w:pPr>
                                        <w:rPr>
                                          <w:rFonts w:ascii="Arial" w:hAnsi="Arial" w:cs="Arial"/>
                                        </w:rPr>
                                      </w:pPr>
                                      <w:r w:rsidRPr="0055776F">
                                        <w:rPr>
                                          <w:rFonts w:ascii="Arial" w:hAnsi="Arial" w:cs="Arial"/>
                                        </w:rPr>
                                        <w:t>│││</w:t>
                                      </w:r>
                                    </w:p>
                                  </w:tc>
                                  <w:tc>
                                    <w:tcPr>
                                      <w:tcW w:w="2693" w:type="dxa"/>
                                      <w:gridSpan w:val="2"/>
                                      <w:shd w:val="clear" w:color="auto" w:fill="auto"/>
                                    </w:tcPr>
                                    <w:p w14:paraId="107743E0" w14:textId="77777777" w:rsidR="00777AB3" w:rsidRPr="0055776F" w:rsidRDefault="00777AB3" w:rsidP="004B54D7">
                                      <w:pPr>
                                        <w:rPr>
                                          <w:rFonts w:ascii="Arial" w:hAnsi="Arial" w:cs="Arial"/>
                                        </w:rPr>
                                      </w:pPr>
                                      <w:r>
                                        <w:rPr>
                                          <w:rFonts w:ascii="Arial" w:hAnsi="Arial" w:cs="Arial"/>
                                        </w:rPr>
                                        <w:t>Observaciones censuradas</w:t>
                                      </w:r>
                                    </w:p>
                                  </w:tc>
                                  <w:tc>
                                    <w:tcPr>
                                      <w:tcW w:w="851" w:type="dxa"/>
                                      <w:tcBorders>
                                        <w:top w:val="single" w:sz="4" w:space="0" w:color="auto"/>
                                      </w:tcBorders>
                                      <w:shd w:val="clear" w:color="auto" w:fill="auto"/>
                                    </w:tcPr>
                                    <w:p w14:paraId="4A73AEF5" w14:textId="77777777" w:rsidR="00777AB3" w:rsidRPr="0055776F" w:rsidRDefault="00777AB3" w:rsidP="004B54D7">
                                      <w:pPr>
                                        <w:rPr>
                                          <w:rFonts w:ascii="Arial" w:hAnsi="Arial" w:cs="Arial"/>
                                        </w:rPr>
                                      </w:pPr>
                                    </w:p>
                                  </w:tc>
                                  <w:tc>
                                    <w:tcPr>
                                      <w:tcW w:w="709" w:type="dxa"/>
                                      <w:tcBorders>
                                        <w:top w:val="single" w:sz="4" w:space="0" w:color="auto"/>
                                      </w:tcBorders>
                                      <w:shd w:val="clear" w:color="auto" w:fill="auto"/>
                                    </w:tcPr>
                                    <w:p w14:paraId="530BCAE3" w14:textId="77777777" w:rsidR="00777AB3" w:rsidRPr="0055776F" w:rsidRDefault="00777AB3" w:rsidP="004B54D7">
                                      <w:pPr>
                                        <w:rPr>
                                          <w:rFonts w:ascii="Arial" w:hAnsi="Arial" w:cs="Arial"/>
                                        </w:rPr>
                                      </w:pPr>
                                    </w:p>
                                  </w:tc>
                                  <w:tc>
                                    <w:tcPr>
                                      <w:tcW w:w="850" w:type="dxa"/>
                                      <w:tcBorders>
                                        <w:top w:val="single" w:sz="4" w:space="0" w:color="auto"/>
                                      </w:tcBorders>
                                      <w:shd w:val="clear" w:color="auto" w:fill="auto"/>
                                    </w:tcPr>
                                    <w:p w14:paraId="06735729" w14:textId="77777777" w:rsidR="00777AB3" w:rsidRPr="0055776F" w:rsidRDefault="00777AB3" w:rsidP="004B54D7">
                                      <w:pPr>
                                        <w:rPr>
                                          <w:rFonts w:ascii="Arial" w:hAnsi="Arial" w:cs="Arial"/>
                                        </w:rPr>
                                      </w:pPr>
                                    </w:p>
                                  </w:tc>
                                </w:tr>
                              </w:tbl>
                              <w:p w14:paraId="5EE1C8C4" w14:textId="77777777" w:rsidR="00777AB3" w:rsidRPr="00A33DBA" w:rsidRDefault="00777AB3" w:rsidP="00C45062">
                                <w:pPr>
                                  <w:rPr>
                                    <w:rFonts w:ascii="Arial" w:hAnsi="Arial" w:cs="Arial"/>
                                  </w:rPr>
                                </w:pPr>
                              </w:p>
                            </w:txbxContent>
                          </wps:txbx>
                          <wps:bodyPr rot="0" vert="horz" wrap="square" lIns="91440" tIns="45720" rIns="91440" bIns="45720" anchor="t" anchorCtr="0" upright="1">
                            <a:noAutofit/>
                          </wps:bodyPr>
                        </wps:wsp>
                      </wpg:grpSp>
                      <wps:wsp>
                        <wps:cNvPr id="19" name="Text Box 2"/>
                        <wps:cNvSpPr txBox="1">
                          <a:spLocks noChangeArrowheads="1"/>
                        </wps:cNvSpPr>
                        <wps:spPr bwMode="auto">
                          <a:xfrm>
                            <a:off x="3810" y="10539"/>
                            <a:ext cx="3628" cy="346"/>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E217BAE" w14:textId="77777777" w:rsidR="00777AB3" w:rsidRPr="00A33DBA" w:rsidRDefault="00777AB3" w:rsidP="00C45062">
                              <w:pPr>
                                <w:rPr>
                                  <w:rFonts w:ascii="Arial" w:hAnsi="Arial" w:cs="Arial"/>
                                </w:rPr>
                              </w:pPr>
                              <w:r>
                                <w:rPr>
                                  <w:rFonts w:ascii="Arial" w:hAnsi="Arial" w:cs="Arial"/>
                                  <w:lang w:val="de-DE"/>
                                </w:rPr>
                                <w:t>Tiempo de supervivencia en meses</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451363E" id="Group 109" o:spid="_x0000_s1035" style="position:absolute;margin-left:-28.15pt;margin-top:7.85pt;width:416.8pt;height:225.85pt;z-index:251659264" coordorigin="855,6368" coordsize="8336,45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W26JAMAAE0LAAAOAAAAZHJzL2Uyb0RvYy54bWzUVm1P2zAQ/j5p/8HK95Em6UsS0SIGA01i&#10;GxLsB7iJ86Iltme7Tdiv3/nctFCEJrqNsXywYp99vnvu8WMfn/RtQ9ZM6VrwuRccjTzCeCbympdz&#10;7+vtxbvYI9pQntNGcDb37pj2ThZv3xx3MmWhqESTM0XACddpJ+deZYxMfV9nFWupPhKScTAWQrXU&#10;QFeVfq5oB97bxg9Ho6nfCZVLJTKmNYyeO6O3QP9FwTLzpSg0M6SZexCbwVZhu7StvzimaamorOps&#10;EwY9IIqW1hw23bo6p4aSlaofuWrrTAktCnOUidYXRVFnDHOAbILRXjaXSqwk5lKmXSm3MAG0ezgd&#10;7Db7vL5WpM6hdhOPcNpCjXBbEowSi04nyxQmXSp5I6+VSxF+r0T2TYPZ37fbfukmk2X3SeTgkK6M&#10;QHT6QrXWBeRNeizC3bYIrDckg8FJmETRFGqVgS2Mp3GYTFyZsgpqadfFE4gVrNNoGg+mD5vlMSx2&#10;a8eTYGatPk3dvhjrJjaXGHa2OQ5AwPoHQARIk/1Eba3/FBCPExrQ2KUTzcZYEJo+E4dh4ZM4wMnT&#10;O3Lp3yPXTUUlQ85qy5sB09mA6a3N7L3oSejYhbMstYjpYRh4iEzRjmGEi7OK8pKdKiW6itEcwguw&#10;qp3cLrUV1Km2Tn5FuaeRngHNkHNRGCPhtnjRVCptLploif2ZewpkBaOk6yttHMWGKZbeWjR1flE3&#10;DXZUuTxrFFlTkKAL/NzaRlbUjSK/YDvtpiJlH/houPXEhfXptrMjwGeXtcvf9MseT/J0QHYp8jvA&#10;RAkneyDT8GPbcAbnqwPVm3v6+4oq5pHmIwdok2A8tjKJnfFkFkJH3bcs71sozyoBYmo84n7PjJPW&#10;lVR1WcFmrphcnIICFDVCZYN2gW0yAPK5BP4+C+Eycif7H7MwSGwBQMHiYFCw4cDPwjBwPAwSd+AP&#10;5+GWMDR9HoNQN3eF2mMQ1PzHK6PPTtpfikrJK6FSFMP1ZKkUjCbR5oIYuBRNQ2C8vUejMYrC4VR6&#10;IEcbnXpBScNr/r8jJLzZUMs370v7KLzfR/3bvYIXPwEAAP//AwBQSwMEFAAGAAgAAAAhAAo++2Lh&#10;AAAACgEAAA8AAABkcnMvZG93bnJldi54bWxMj8FqwzAMhu+DvYPRYLfWydrEJY1TStl2KoO1g7Gb&#10;G6tJaGyH2E3St592Wo/S//HrU76ZTMsG7H3jrIR4HgFDWzrd2ErC1/FttgLmg7Jatc6ihBt62BSP&#10;D7nKtBvtJw6HUDEqsT5TEuoQuoxzX9ZolJ+7Di1lZ9cbFWjsK657NVK5aflLFKXcqMbShVp1uKux&#10;vByuRsL7qMbtIn4d9pfz7vZzTD6+9zFK+fw0bdfAAk7hH4Y/fVKHgpxO7mq1Z62EWZIuCKUgEcAI&#10;EELQ4iRhmYol8CLn9y8UvwAAAP//AwBQSwECLQAUAAYACAAAACEAtoM4kv4AAADhAQAAEwAAAAAA&#10;AAAAAAAAAAAAAAAAW0NvbnRlbnRfVHlwZXNdLnhtbFBLAQItABQABgAIAAAAIQA4/SH/1gAAAJQB&#10;AAALAAAAAAAAAAAAAAAAAC8BAABfcmVscy8ucmVsc1BLAQItABQABgAIAAAAIQDHGW26JAMAAE0L&#10;AAAOAAAAAAAAAAAAAAAAAC4CAABkcnMvZTJvRG9jLnhtbFBLAQItABQABgAIAAAAIQAKPvti4QAA&#10;AAoBAAAPAAAAAAAAAAAAAAAAAH4FAABkcnMvZG93bnJldi54bWxQSwUGAAAAAAQABADzAAAAjAYA&#10;AAAA&#10;">
                <v:group id="Group 110" o:spid="_x0000_s1036" style="position:absolute;left:855;top:6368;width:8336;height:3749" coordorigin="855,6368" coordsize="8336,37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shape id="Text Box 2" o:spid="_x0000_s1037" type="#_x0000_t202" style="position:absolute;left:855;top:6368;width:795;height:32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S/RwQAAANsAAAAPAAAAZHJzL2Rvd25yZXYueG1sRE/basJA&#10;EH0X/IdlCn3TTVuoIXUjRRCEQqHesG9DdnKh2dmQnWr067sFwbc5nOvMF4Nr1Yn60Hg28DRNQBEX&#10;3jZcGdhtV5MUVBBki61nMnChAIt8PJpjZv2Zv+i0kUrFEA4ZGqhFukzrUNTkMEx9Rxy50vcOJcK+&#10;0rbHcwx3rX5OklftsOHYUGNHy5qKn82vM/B9uKa0F/2Ja3mZrWgXPspjaszjw/D+BkpokLv45l7b&#10;OH8G/7/EA3T+BwAA//8DAFBLAQItABQABgAIAAAAIQDb4fbL7gAAAIUBAAATAAAAAAAAAAAAAAAA&#10;AAAAAABbQ29udGVudF9UeXBlc10ueG1sUEsBAi0AFAAGAAgAAAAhAFr0LFu/AAAAFQEAAAsAAAAA&#10;AAAAAAAAAAAAHwEAAF9yZWxzLy5yZWxzUEsBAi0AFAAGAAgAAAAhAFihL9HBAAAA2wAAAA8AAAAA&#10;AAAAAAAAAAAABwIAAGRycy9kb3ducmV2LnhtbFBLBQYAAAAAAwADALcAAAD1AgAAAAA=&#10;" stroked="f">
                    <v:fill opacity="0"/>
                    <v:textbox style="layout-flow:vertical;mso-layout-flow-alt:bottom-to-top">
                      <w:txbxContent>
                        <w:p w14:paraId="4D83A030" w14:textId="77777777" w:rsidR="00777AB3" w:rsidRDefault="00777AB3" w:rsidP="00C45062">
                          <w:pPr>
                            <w:jc w:val="center"/>
                            <w:rPr>
                              <w:rFonts w:ascii="Arial" w:hAnsi="Arial" w:cs="Arial"/>
                            </w:rPr>
                          </w:pPr>
                          <w:r>
                            <w:rPr>
                              <w:rFonts w:ascii="Arial" w:hAnsi="Arial" w:cs="Arial"/>
                            </w:rPr>
                            <w:t>Probabilidad de supervivencia</w:t>
                          </w:r>
                        </w:p>
                        <w:p w14:paraId="4DA527AE" w14:textId="77777777" w:rsidR="00777AB3" w:rsidRPr="00A33DBA" w:rsidRDefault="00777AB3" w:rsidP="00C45062">
                          <w:pPr>
                            <w:jc w:val="center"/>
                            <w:rPr>
                              <w:rFonts w:ascii="Arial" w:hAnsi="Arial" w:cs="Arial"/>
                            </w:rPr>
                          </w:pPr>
                          <w:r>
                            <w:rPr>
                              <w:rFonts w:ascii="Arial" w:hAnsi="Arial" w:cs="Arial"/>
                            </w:rPr>
                            <w:t>libre de recurrencia</w:t>
                          </w:r>
                        </w:p>
                      </w:txbxContent>
                    </v:textbox>
                  </v:shape>
                  <v:shape id="Text Box 2" o:spid="_x0000_s1038" type="#_x0000_t202" style="position:absolute;left:1970;top:8168;width:7221;height:19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9tn/xAAAANsAAAAPAAAAZHJzL2Rvd25yZXYueG1sRI9Pa8JA&#10;EMXvQr/DMgVvuttiRaOrlJaCpxbjH/A2ZMckNDsbslsTv33nUOhthvfmvd+st4Nv1I26WAe28DQ1&#10;oIiL4GouLRwPH5MFqJiQHTaBycKdImw3D6M1Zi70vKdbnkolIRwztFCl1GZax6Iij3EaWmLRrqHz&#10;mGTtSu067CXcN/rZmLn2WLM0VNjSW0XFd/7jLZw+r5fzzHyV7/6l7cNgNPultnb8OLyuQCUa0r/5&#10;73rnBF9g5RcZQG9+AQAA//8DAFBLAQItABQABgAIAAAAIQDb4fbL7gAAAIUBAAATAAAAAAAAAAAA&#10;AAAAAAAAAABbQ29udGVudF9UeXBlc10ueG1sUEsBAi0AFAAGAAgAAAAhAFr0LFu/AAAAFQEAAAsA&#10;AAAAAAAAAAAAAAAAHwEAAF9yZWxzLy5yZWxzUEsBAi0AFAAGAAgAAAAhAKL22f/EAAAA2wAAAA8A&#10;AAAAAAAAAAAAAAAABwIAAGRycy9kb3ducmV2LnhtbFBLBQYAAAAAAwADALcAAAD4AgAAAAA=&#10;" filled="f" stroked="f">
                    <v:textbox>
                      <w:txbxContent>
                        <w:tbl>
                          <w:tblPr>
                            <w:tblW w:w="0" w:type="auto"/>
                            <w:tblLook w:val="04A0" w:firstRow="1" w:lastRow="0" w:firstColumn="1" w:lastColumn="0" w:noHBand="0" w:noVBand="1"/>
                          </w:tblPr>
                          <w:tblGrid>
                            <w:gridCol w:w="817"/>
                            <w:gridCol w:w="2464"/>
                            <w:gridCol w:w="229"/>
                            <w:gridCol w:w="851"/>
                            <w:gridCol w:w="709"/>
                            <w:gridCol w:w="850"/>
                          </w:tblGrid>
                          <w:tr w:rsidR="00777AB3" w:rsidRPr="00F66EC1" w14:paraId="701CEAEA" w14:textId="77777777" w:rsidTr="009A178F">
                            <w:trPr>
                              <w:gridAfter w:val="4"/>
                              <w:wAfter w:w="2639" w:type="dxa"/>
                            </w:trPr>
                            <w:tc>
                              <w:tcPr>
                                <w:tcW w:w="3281" w:type="dxa"/>
                                <w:gridSpan w:val="2"/>
                                <w:shd w:val="clear" w:color="auto" w:fill="auto"/>
                              </w:tcPr>
                              <w:p w14:paraId="456C8241" w14:textId="77777777" w:rsidR="00777AB3" w:rsidRPr="0055776F" w:rsidRDefault="00777AB3" w:rsidP="009A178F">
                                <w:pPr>
                                  <w:rPr>
                                    <w:rFonts w:ascii="Arial" w:hAnsi="Arial" w:cs="Arial"/>
                                  </w:rPr>
                                </w:pPr>
                                <w:r>
                                  <w:rPr>
                                    <w:rFonts w:ascii="Arial" w:hAnsi="Arial" w:cs="Arial"/>
                                  </w:rPr>
                                  <w:t>P &lt; 0,0001</w:t>
                                </w:r>
                              </w:p>
                              <w:p w14:paraId="6ECDD2F3" w14:textId="77777777" w:rsidR="00777AB3" w:rsidRPr="0055776F" w:rsidRDefault="00777AB3" w:rsidP="009A178F">
                                <w:pPr>
                                  <w:rPr>
                                    <w:rFonts w:ascii="Arial" w:hAnsi="Arial" w:cs="Arial"/>
                                  </w:rPr>
                                </w:pPr>
                                <w:r>
                                  <w:rPr>
                                    <w:rFonts w:ascii="Arial" w:hAnsi="Arial" w:cs="Arial"/>
                                  </w:rPr>
                                  <w:t>Cociente de riesgo 0,</w:t>
                                </w:r>
                                <w:r w:rsidRPr="0055776F">
                                  <w:rPr>
                                    <w:rFonts w:ascii="Arial" w:hAnsi="Arial" w:cs="Arial"/>
                                  </w:rPr>
                                  <w:t>4</w:t>
                                </w:r>
                                <w:r>
                                  <w:rPr>
                                    <w:rFonts w:ascii="Arial" w:hAnsi="Arial" w:cs="Arial"/>
                                  </w:rPr>
                                  <w:t>6</w:t>
                                </w:r>
                              </w:p>
                              <w:p w14:paraId="69229E39" w14:textId="77777777" w:rsidR="00777AB3" w:rsidRPr="00F66EC1" w:rsidRDefault="00777AB3" w:rsidP="009A178F">
                                <w:pPr>
                                  <w:rPr>
                                    <w:rFonts w:ascii="Arial" w:hAnsi="Arial" w:cs="Arial"/>
                                    <w:lang w:val="es-ES"/>
                                  </w:rPr>
                                </w:pPr>
                                <w:r>
                                  <w:rPr>
                                    <w:rFonts w:ascii="Arial" w:hAnsi="Arial" w:cs="Arial"/>
                                  </w:rPr>
                                  <w:t xml:space="preserve">(IC </w:t>
                                </w:r>
                                <w:r w:rsidRPr="00A33DBA">
                                  <w:rPr>
                                    <w:rFonts w:ascii="Arial" w:hAnsi="Arial" w:cs="Arial"/>
                                  </w:rPr>
                                  <w:t>95%</w:t>
                                </w:r>
                                <w:r>
                                  <w:rPr>
                                    <w:rFonts w:ascii="Arial" w:hAnsi="Arial" w:cs="Arial"/>
                                  </w:rPr>
                                  <w:t>, 0,3</w:t>
                                </w:r>
                                <w:r w:rsidRPr="0055776F">
                                  <w:rPr>
                                    <w:rFonts w:ascii="Arial" w:hAnsi="Arial" w:cs="Arial"/>
                                  </w:rPr>
                                  <w:t>2</w:t>
                                </w:r>
                                <w:r>
                                  <w:rPr>
                                    <w:rFonts w:ascii="Arial" w:hAnsi="Arial" w:cs="Arial"/>
                                  </w:rPr>
                                  <w:noBreakHyphen/>
                                  <w:t>0,65</w:t>
                                </w:r>
                                <w:r w:rsidRPr="0055776F">
                                  <w:rPr>
                                    <w:rFonts w:ascii="Arial" w:hAnsi="Arial" w:cs="Arial"/>
                                  </w:rPr>
                                  <w:t>)</w:t>
                                </w:r>
                              </w:p>
                            </w:tc>
                          </w:tr>
                          <w:tr w:rsidR="00777AB3" w:rsidRPr="0055776F" w14:paraId="0E368163" w14:textId="77777777" w:rsidTr="0096481B">
                            <w:tc>
                              <w:tcPr>
                                <w:tcW w:w="817" w:type="dxa"/>
                                <w:shd w:val="clear" w:color="auto" w:fill="auto"/>
                              </w:tcPr>
                              <w:p w14:paraId="206CF6AA" w14:textId="77777777" w:rsidR="00777AB3" w:rsidRPr="0055776F" w:rsidRDefault="00777AB3" w:rsidP="004B54D7">
                                <w:pPr>
                                  <w:rPr>
                                    <w:rFonts w:ascii="Arial" w:hAnsi="Arial" w:cs="Arial"/>
                                  </w:rPr>
                                </w:pPr>
                              </w:p>
                            </w:tc>
                            <w:tc>
                              <w:tcPr>
                                <w:tcW w:w="2693" w:type="dxa"/>
                                <w:gridSpan w:val="2"/>
                                <w:shd w:val="clear" w:color="auto" w:fill="auto"/>
                              </w:tcPr>
                              <w:p w14:paraId="0F3FA1B7" w14:textId="77777777" w:rsidR="00777AB3" w:rsidRPr="0055776F" w:rsidRDefault="00777AB3" w:rsidP="004B54D7">
                                <w:pPr>
                                  <w:rPr>
                                    <w:rFonts w:ascii="Arial" w:hAnsi="Arial" w:cs="Arial"/>
                                  </w:rPr>
                                </w:pPr>
                              </w:p>
                            </w:tc>
                            <w:tc>
                              <w:tcPr>
                                <w:tcW w:w="851" w:type="dxa"/>
                                <w:tcBorders>
                                  <w:bottom w:val="single" w:sz="4" w:space="0" w:color="auto"/>
                                </w:tcBorders>
                                <w:shd w:val="clear" w:color="auto" w:fill="auto"/>
                              </w:tcPr>
                              <w:p w14:paraId="172BA7AC" w14:textId="77777777" w:rsidR="00777AB3" w:rsidRPr="0055776F" w:rsidRDefault="00777AB3" w:rsidP="004B54D7">
                                <w:pPr>
                                  <w:rPr>
                                    <w:rFonts w:ascii="Arial" w:hAnsi="Arial" w:cs="Arial"/>
                                  </w:rPr>
                                </w:pPr>
                                <w:r w:rsidRPr="0055776F">
                                  <w:rPr>
                                    <w:rFonts w:ascii="Arial" w:hAnsi="Arial" w:cs="Arial"/>
                                    <w:lang w:val="de-DE"/>
                                  </w:rPr>
                                  <w:t>N</w:t>
                                </w:r>
                              </w:p>
                            </w:tc>
                            <w:tc>
                              <w:tcPr>
                                <w:tcW w:w="709" w:type="dxa"/>
                                <w:tcBorders>
                                  <w:bottom w:val="single" w:sz="4" w:space="0" w:color="auto"/>
                                </w:tcBorders>
                                <w:shd w:val="clear" w:color="auto" w:fill="auto"/>
                              </w:tcPr>
                              <w:p w14:paraId="00CC4230" w14:textId="77777777" w:rsidR="00777AB3" w:rsidRPr="0055776F" w:rsidRDefault="00777AB3" w:rsidP="004B54D7">
                                <w:pPr>
                                  <w:rPr>
                                    <w:rFonts w:ascii="Arial" w:hAnsi="Arial" w:cs="Arial"/>
                                  </w:rPr>
                                </w:pPr>
                                <w:r w:rsidRPr="0055776F">
                                  <w:rPr>
                                    <w:rFonts w:ascii="Arial" w:hAnsi="Arial" w:cs="Arial"/>
                                    <w:lang w:val="de-DE"/>
                                  </w:rPr>
                                  <w:t>Evt</w:t>
                                </w:r>
                              </w:p>
                            </w:tc>
                            <w:tc>
                              <w:tcPr>
                                <w:tcW w:w="850" w:type="dxa"/>
                                <w:tcBorders>
                                  <w:bottom w:val="single" w:sz="4" w:space="0" w:color="auto"/>
                                </w:tcBorders>
                                <w:shd w:val="clear" w:color="auto" w:fill="auto"/>
                              </w:tcPr>
                              <w:p w14:paraId="3713D09A" w14:textId="77777777" w:rsidR="00777AB3" w:rsidRPr="0055776F" w:rsidRDefault="00777AB3" w:rsidP="004B54D7">
                                <w:pPr>
                                  <w:rPr>
                                    <w:rFonts w:ascii="Arial" w:hAnsi="Arial" w:cs="Arial"/>
                                  </w:rPr>
                                </w:pPr>
                                <w:r w:rsidRPr="0055776F">
                                  <w:rPr>
                                    <w:rFonts w:ascii="Arial" w:hAnsi="Arial" w:cs="Arial"/>
                                    <w:lang w:val="de-DE"/>
                                  </w:rPr>
                                  <w:t>Cen</w:t>
                                </w:r>
                              </w:p>
                            </w:tc>
                          </w:tr>
                          <w:tr w:rsidR="00777AB3" w:rsidRPr="0055776F" w14:paraId="33C7A4FA" w14:textId="77777777" w:rsidTr="0096481B">
                            <w:tc>
                              <w:tcPr>
                                <w:tcW w:w="817" w:type="dxa"/>
                                <w:shd w:val="clear" w:color="auto" w:fill="auto"/>
                              </w:tcPr>
                              <w:p w14:paraId="5C0E5EF2" w14:textId="77777777" w:rsidR="00777AB3" w:rsidRPr="0055776F" w:rsidRDefault="00777AB3" w:rsidP="004B54D7">
                                <w:pPr>
                                  <w:rPr>
                                    <w:rFonts w:ascii="Arial" w:hAnsi="Arial" w:cs="Arial"/>
                                  </w:rPr>
                                </w:pPr>
                                <w:r w:rsidRPr="0055776F">
                                  <w:rPr>
                                    <w:rFonts w:ascii="Arial" w:hAnsi="Arial" w:cs="Arial"/>
                                    <w:b/>
                                  </w:rPr>
                                  <w:t>——</w:t>
                                </w:r>
                              </w:p>
                            </w:tc>
                            <w:tc>
                              <w:tcPr>
                                <w:tcW w:w="2693" w:type="dxa"/>
                                <w:gridSpan w:val="2"/>
                                <w:shd w:val="clear" w:color="auto" w:fill="auto"/>
                              </w:tcPr>
                              <w:p w14:paraId="2E5D5BA8" w14:textId="77777777" w:rsidR="00777AB3" w:rsidRPr="0055776F" w:rsidRDefault="00777AB3" w:rsidP="004B54D7">
                                <w:pPr>
                                  <w:rPr>
                                    <w:rFonts w:ascii="Arial" w:hAnsi="Arial" w:cs="Arial"/>
                                  </w:rPr>
                                </w:pPr>
                                <w:r w:rsidRPr="0055776F">
                                  <w:rPr>
                                    <w:rFonts w:ascii="Arial" w:hAnsi="Arial" w:cs="Arial"/>
                                  </w:rPr>
                                  <w:t xml:space="preserve">(1) </w:t>
                                </w:r>
                                <w:r>
                                  <w:rPr>
                                    <w:rFonts w:ascii="Arial" w:hAnsi="Arial" w:cs="Arial"/>
                                  </w:rPr>
                                  <w:t>Imatinib 12 </w:t>
                                </w:r>
                                <w:r w:rsidRPr="00A33DBA">
                                  <w:rPr>
                                    <w:rFonts w:ascii="Arial" w:hAnsi="Arial" w:cs="Arial"/>
                                  </w:rPr>
                                  <w:t>M</w:t>
                                </w:r>
                                <w:r>
                                  <w:rPr>
                                    <w:rFonts w:ascii="Arial" w:hAnsi="Arial" w:cs="Arial"/>
                                  </w:rPr>
                                  <w:t>E</w:t>
                                </w:r>
                                <w:r w:rsidRPr="0055776F">
                                  <w:rPr>
                                    <w:rFonts w:ascii="Arial" w:hAnsi="Arial" w:cs="Arial"/>
                                  </w:rPr>
                                  <w:t>:</w:t>
                                </w:r>
                              </w:p>
                            </w:tc>
                            <w:tc>
                              <w:tcPr>
                                <w:tcW w:w="851" w:type="dxa"/>
                                <w:tcBorders>
                                  <w:top w:val="single" w:sz="4" w:space="0" w:color="auto"/>
                                </w:tcBorders>
                                <w:shd w:val="clear" w:color="auto" w:fill="auto"/>
                              </w:tcPr>
                              <w:p w14:paraId="4E920B88" w14:textId="77777777" w:rsidR="00777AB3" w:rsidRPr="0055776F" w:rsidRDefault="00777AB3" w:rsidP="004B54D7">
                                <w:pPr>
                                  <w:rPr>
                                    <w:rFonts w:ascii="Arial" w:hAnsi="Arial" w:cs="Arial"/>
                                  </w:rPr>
                                </w:pPr>
                                <w:r w:rsidRPr="0055776F">
                                  <w:rPr>
                                    <w:rFonts w:ascii="Arial" w:hAnsi="Arial" w:cs="Arial"/>
                                  </w:rPr>
                                  <w:t>199</w:t>
                                </w:r>
                              </w:p>
                            </w:tc>
                            <w:tc>
                              <w:tcPr>
                                <w:tcW w:w="709" w:type="dxa"/>
                                <w:tcBorders>
                                  <w:top w:val="single" w:sz="4" w:space="0" w:color="auto"/>
                                </w:tcBorders>
                                <w:shd w:val="clear" w:color="auto" w:fill="auto"/>
                              </w:tcPr>
                              <w:p w14:paraId="53D12F88" w14:textId="77777777" w:rsidR="00777AB3" w:rsidRPr="0055776F" w:rsidRDefault="00777AB3" w:rsidP="004B54D7">
                                <w:pPr>
                                  <w:rPr>
                                    <w:rFonts w:ascii="Arial" w:hAnsi="Arial" w:cs="Arial"/>
                                  </w:rPr>
                                </w:pPr>
                                <w:r w:rsidRPr="0055776F">
                                  <w:rPr>
                                    <w:rFonts w:ascii="Arial" w:hAnsi="Arial" w:cs="Arial"/>
                                  </w:rPr>
                                  <w:t>84</w:t>
                                </w:r>
                              </w:p>
                            </w:tc>
                            <w:tc>
                              <w:tcPr>
                                <w:tcW w:w="850" w:type="dxa"/>
                                <w:tcBorders>
                                  <w:top w:val="single" w:sz="4" w:space="0" w:color="auto"/>
                                </w:tcBorders>
                                <w:shd w:val="clear" w:color="auto" w:fill="auto"/>
                              </w:tcPr>
                              <w:p w14:paraId="1B19470E" w14:textId="77777777" w:rsidR="00777AB3" w:rsidRPr="0055776F" w:rsidRDefault="00777AB3" w:rsidP="004B54D7">
                                <w:pPr>
                                  <w:rPr>
                                    <w:rFonts w:ascii="Arial" w:hAnsi="Arial" w:cs="Arial"/>
                                  </w:rPr>
                                </w:pPr>
                                <w:r w:rsidRPr="0055776F">
                                  <w:rPr>
                                    <w:rFonts w:ascii="Arial" w:hAnsi="Arial" w:cs="Arial"/>
                                  </w:rPr>
                                  <w:t>115</w:t>
                                </w:r>
                              </w:p>
                            </w:tc>
                          </w:tr>
                          <w:tr w:rsidR="00777AB3" w:rsidRPr="0055776F" w14:paraId="72C830F4" w14:textId="77777777" w:rsidTr="0096481B">
                            <w:tc>
                              <w:tcPr>
                                <w:tcW w:w="817" w:type="dxa"/>
                                <w:shd w:val="clear" w:color="auto" w:fill="auto"/>
                              </w:tcPr>
                              <w:p w14:paraId="0D10C9D7" w14:textId="77777777" w:rsidR="00777AB3" w:rsidRPr="0055776F" w:rsidRDefault="00777AB3" w:rsidP="004B54D7">
                                <w:pPr>
                                  <w:rPr>
                                    <w:rFonts w:ascii="Arial" w:hAnsi="Arial" w:cs="Arial"/>
                                  </w:rPr>
                                </w:pPr>
                                <w:r w:rsidRPr="0055776F">
                                  <w:rPr>
                                    <w:rFonts w:ascii="Arial" w:hAnsi="Arial" w:cs="Arial"/>
                                  </w:rPr>
                                  <w:t>-----</w:t>
                                </w:r>
                              </w:p>
                            </w:tc>
                            <w:tc>
                              <w:tcPr>
                                <w:tcW w:w="2693" w:type="dxa"/>
                                <w:gridSpan w:val="2"/>
                                <w:shd w:val="clear" w:color="auto" w:fill="auto"/>
                              </w:tcPr>
                              <w:p w14:paraId="581BE75D" w14:textId="77777777" w:rsidR="00777AB3" w:rsidRPr="0055776F" w:rsidRDefault="00777AB3" w:rsidP="004B54D7">
                                <w:pPr>
                                  <w:rPr>
                                    <w:rFonts w:ascii="Arial" w:hAnsi="Arial" w:cs="Arial"/>
                                  </w:rPr>
                                </w:pPr>
                                <w:r>
                                  <w:rPr>
                                    <w:rFonts w:ascii="Arial" w:hAnsi="Arial" w:cs="Arial"/>
                                  </w:rPr>
                                  <w:t>(2) Imatinib 36 </w:t>
                                </w:r>
                                <w:r w:rsidRPr="00A33DBA">
                                  <w:rPr>
                                    <w:rFonts w:ascii="Arial" w:hAnsi="Arial" w:cs="Arial"/>
                                  </w:rPr>
                                  <w:t>M</w:t>
                                </w:r>
                                <w:r>
                                  <w:rPr>
                                    <w:rFonts w:ascii="Arial" w:hAnsi="Arial" w:cs="Arial"/>
                                  </w:rPr>
                                  <w:t>E</w:t>
                                </w:r>
                                <w:r w:rsidRPr="0055776F">
                                  <w:rPr>
                                    <w:rFonts w:ascii="Arial" w:hAnsi="Arial" w:cs="Arial"/>
                                  </w:rPr>
                                  <w:t>:</w:t>
                                </w:r>
                              </w:p>
                            </w:tc>
                            <w:tc>
                              <w:tcPr>
                                <w:tcW w:w="851" w:type="dxa"/>
                                <w:tcBorders>
                                  <w:bottom w:val="single" w:sz="4" w:space="0" w:color="auto"/>
                                </w:tcBorders>
                                <w:shd w:val="clear" w:color="auto" w:fill="auto"/>
                              </w:tcPr>
                              <w:p w14:paraId="4187C5B5" w14:textId="77777777" w:rsidR="00777AB3" w:rsidRPr="0055776F" w:rsidRDefault="00777AB3" w:rsidP="004B54D7">
                                <w:pPr>
                                  <w:rPr>
                                    <w:rFonts w:ascii="Arial" w:hAnsi="Arial" w:cs="Arial"/>
                                  </w:rPr>
                                </w:pPr>
                                <w:r w:rsidRPr="0055776F">
                                  <w:rPr>
                                    <w:rFonts w:ascii="Arial" w:hAnsi="Arial" w:cs="Arial"/>
                                  </w:rPr>
                                  <w:t>198</w:t>
                                </w:r>
                              </w:p>
                            </w:tc>
                            <w:tc>
                              <w:tcPr>
                                <w:tcW w:w="709" w:type="dxa"/>
                                <w:tcBorders>
                                  <w:bottom w:val="single" w:sz="4" w:space="0" w:color="auto"/>
                                </w:tcBorders>
                                <w:shd w:val="clear" w:color="auto" w:fill="auto"/>
                              </w:tcPr>
                              <w:p w14:paraId="10B89250" w14:textId="77777777" w:rsidR="00777AB3" w:rsidRPr="0055776F" w:rsidRDefault="00777AB3" w:rsidP="004B54D7">
                                <w:pPr>
                                  <w:rPr>
                                    <w:rFonts w:ascii="Arial" w:hAnsi="Arial" w:cs="Arial"/>
                                  </w:rPr>
                                </w:pPr>
                                <w:r w:rsidRPr="0055776F">
                                  <w:rPr>
                                    <w:rFonts w:ascii="Arial" w:hAnsi="Arial" w:cs="Arial"/>
                                  </w:rPr>
                                  <w:t>50</w:t>
                                </w:r>
                              </w:p>
                            </w:tc>
                            <w:tc>
                              <w:tcPr>
                                <w:tcW w:w="850" w:type="dxa"/>
                                <w:tcBorders>
                                  <w:bottom w:val="single" w:sz="4" w:space="0" w:color="auto"/>
                                </w:tcBorders>
                                <w:shd w:val="clear" w:color="auto" w:fill="auto"/>
                              </w:tcPr>
                              <w:p w14:paraId="13D1CD93" w14:textId="77777777" w:rsidR="00777AB3" w:rsidRPr="0055776F" w:rsidRDefault="00777AB3" w:rsidP="004B54D7">
                                <w:pPr>
                                  <w:rPr>
                                    <w:rFonts w:ascii="Arial" w:hAnsi="Arial" w:cs="Arial"/>
                                  </w:rPr>
                                </w:pPr>
                                <w:r w:rsidRPr="0055776F">
                                  <w:rPr>
                                    <w:rFonts w:ascii="Arial" w:hAnsi="Arial" w:cs="Arial"/>
                                  </w:rPr>
                                  <w:t>148</w:t>
                                </w:r>
                              </w:p>
                            </w:tc>
                          </w:tr>
                          <w:tr w:rsidR="00777AB3" w:rsidRPr="0055776F" w14:paraId="11E37A91" w14:textId="77777777" w:rsidTr="0096481B">
                            <w:tc>
                              <w:tcPr>
                                <w:tcW w:w="817" w:type="dxa"/>
                                <w:shd w:val="clear" w:color="auto" w:fill="auto"/>
                              </w:tcPr>
                              <w:p w14:paraId="050AF575" w14:textId="77777777" w:rsidR="00777AB3" w:rsidRPr="0055776F" w:rsidRDefault="00777AB3" w:rsidP="004B54D7">
                                <w:pPr>
                                  <w:rPr>
                                    <w:rFonts w:ascii="Arial" w:hAnsi="Arial" w:cs="Arial"/>
                                  </w:rPr>
                                </w:pPr>
                                <w:r w:rsidRPr="0055776F">
                                  <w:rPr>
                                    <w:rFonts w:ascii="Arial" w:hAnsi="Arial" w:cs="Arial"/>
                                  </w:rPr>
                                  <w:t>│││</w:t>
                                </w:r>
                              </w:p>
                            </w:tc>
                            <w:tc>
                              <w:tcPr>
                                <w:tcW w:w="2693" w:type="dxa"/>
                                <w:gridSpan w:val="2"/>
                                <w:shd w:val="clear" w:color="auto" w:fill="auto"/>
                              </w:tcPr>
                              <w:p w14:paraId="107743E0" w14:textId="77777777" w:rsidR="00777AB3" w:rsidRPr="0055776F" w:rsidRDefault="00777AB3" w:rsidP="004B54D7">
                                <w:pPr>
                                  <w:rPr>
                                    <w:rFonts w:ascii="Arial" w:hAnsi="Arial" w:cs="Arial"/>
                                  </w:rPr>
                                </w:pPr>
                                <w:r>
                                  <w:rPr>
                                    <w:rFonts w:ascii="Arial" w:hAnsi="Arial" w:cs="Arial"/>
                                  </w:rPr>
                                  <w:t>Observaciones censuradas</w:t>
                                </w:r>
                              </w:p>
                            </w:tc>
                            <w:tc>
                              <w:tcPr>
                                <w:tcW w:w="851" w:type="dxa"/>
                                <w:tcBorders>
                                  <w:top w:val="single" w:sz="4" w:space="0" w:color="auto"/>
                                </w:tcBorders>
                                <w:shd w:val="clear" w:color="auto" w:fill="auto"/>
                              </w:tcPr>
                              <w:p w14:paraId="4A73AEF5" w14:textId="77777777" w:rsidR="00777AB3" w:rsidRPr="0055776F" w:rsidRDefault="00777AB3" w:rsidP="004B54D7">
                                <w:pPr>
                                  <w:rPr>
                                    <w:rFonts w:ascii="Arial" w:hAnsi="Arial" w:cs="Arial"/>
                                  </w:rPr>
                                </w:pPr>
                              </w:p>
                            </w:tc>
                            <w:tc>
                              <w:tcPr>
                                <w:tcW w:w="709" w:type="dxa"/>
                                <w:tcBorders>
                                  <w:top w:val="single" w:sz="4" w:space="0" w:color="auto"/>
                                </w:tcBorders>
                                <w:shd w:val="clear" w:color="auto" w:fill="auto"/>
                              </w:tcPr>
                              <w:p w14:paraId="530BCAE3" w14:textId="77777777" w:rsidR="00777AB3" w:rsidRPr="0055776F" w:rsidRDefault="00777AB3" w:rsidP="004B54D7">
                                <w:pPr>
                                  <w:rPr>
                                    <w:rFonts w:ascii="Arial" w:hAnsi="Arial" w:cs="Arial"/>
                                  </w:rPr>
                                </w:pPr>
                              </w:p>
                            </w:tc>
                            <w:tc>
                              <w:tcPr>
                                <w:tcW w:w="850" w:type="dxa"/>
                                <w:tcBorders>
                                  <w:top w:val="single" w:sz="4" w:space="0" w:color="auto"/>
                                </w:tcBorders>
                                <w:shd w:val="clear" w:color="auto" w:fill="auto"/>
                              </w:tcPr>
                              <w:p w14:paraId="06735729" w14:textId="77777777" w:rsidR="00777AB3" w:rsidRPr="0055776F" w:rsidRDefault="00777AB3" w:rsidP="004B54D7">
                                <w:pPr>
                                  <w:rPr>
                                    <w:rFonts w:ascii="Arial" w:hAnsi="Arial" w:cs="Arial"/>
                                  </w:rPr>
                                </w:pPr>
                              </w:p>
                            </w:tc>
                          </w:tr>
                        </w:tbl>
                        <w:p w14:paraId="5EE1C8C4" w14:textId="77777777" w:rsidR="00777AB3" w:rsidRPr="00A33DBA" w:rsidRDefault="00777AB3" w:rsidP="00C45062">
                          <w:pPr>
                            <w:rPr>
                              <w:rFonts w:ascii="Arial" w:hAnsi="Arial" w:cs="Arial"/>
                            </w:rPr>
                          </w:pPr>
                        </w:p>
                      </w:txbxContent>
                    </v:textbox>
                  </v:shape>
                </v:group>
                <v:shape id="Text Box 2" o:spid="_x0000_s1039" type="#_x0000_t202" style="position:absolute;left:3810;top:10539;width:3628;height: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aFZwwAAANsAAAAPAAAAZHJzL2Rvd25yZXYueG1sRI9Bi8Iw&#10;EIXvC/6HMIIX0VQPS7caRURBQRe26n1sxrbaTEoTtfvvzYKwtxnem/e9mc5bU4kHNa60rGA0jEAQ&#10;Z1aXnCs4HtaDGITzyBory6TglxzMZ52PKSbaPvmHHqnPRQhhl6CCwvs6kdJlBRl0Q1sTB+1iG4M+&#10;rE0udYPPEG4qOY6iT2mw5EAosKZlQdktvZvAXbVxfTrvltdt2j9fx99c7mNWqtdtFxMQnlr/b35f&#10;b3So/wV/v4QB5OwFAAD//wMAUEsBAi0AFAAGAAgAAAAhANvh9svuAAAAhQEAABMAAAAAAAAAAAAA&#10;AAAAAAAAAFtDb250ZW50X1R5cGVzXS54bWxQSwECLQAUAAYACAAAACEAWvQsW78AAAAVAQAACwAA&#10;AAAAAAAAAAAAAAAfAQAAX3JlbHMvLnJlbHNQSwECLQAUAAYACAAAACEAFL2hWcMAAADbAAAADwAA&#10;AAAAAAAAAAAAAAAHAgAAZHJzL2Rvd25yZXYueG1sUEsFBgAAAAADAAMAtwAAAPcCAAAAAA==&#10;" stroked="f">
                  <v:fill opacity="0"/>
                  <v:textbox>
                    <w:txbxContent>
                      <w:p w14:paraId="3E217BAE" w14:textId="77777777" w:rsidR="00777AB3" w:rsidRPr="00A33DBA" w:rsidRDefault="00777AB3" w:rsidP="00C45062">
                        <w:pPr>
                          <w:rPr>
                            <w:rFonts w:ascii="Arial" w:hAnsi="Arial" w:cs="Arial"/>
                          </w:rPr>
                        </w:pPr>
                        <w:r>
                          <w:rPr>
                            <w:rFonts w:ascii="Arial" w:hAnsi="Arial" w:cs="Arial"/>
                            <w:lang w:val="de-DE"/>
                          </w:rPr>
                          <w:t>Tiempo de supervivencia en meses</w:t>
                        </w:r>
                      </w:p>
                    </w:txbxContent>
                  </v:textbox>
                </v:shape>
              </v:group>
            </w:pict>
          </mc:Fallback>
        </mc:AlternateContent>
      </w:r>
      <w:r w:rsidRPr="002D741C">
        <w:rPr>
          <w:noProof/>
          <w:lang w:eastAsia="en-GB"/>
        </w:rPr>
        <w:drawing>
          <wp:inline distT="0" distB="0" distL="0" distR="0" wp14:anchorId="7A8A44B5" wp14:editId="257ADDC6">
            <wp:extent cx="5939790" cy="2679700"/>
            <wp:effectExtent l="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39790" cy="2679700"/>
                    </a:xfrm>
                    <a:prstGeom prst="rect">
                      <a:avLst/>
                    </a:prstGeom>
                    <a:noFill/>
                    <a:ln>
                      <a:noFill/>
                    </a:ln>
                  </pic:spPr>
                </pic:pic>
              </a:graphicData>
            </a:graphic>
          </wp:inline>
        </w:drawing>
      </w:r>
    </w:p>
    <w:p w14:paraId="25929EF9" w14:textId="77777777" w:rsidR="00C45062" w:rsidRPr="002D741C" w:rsidRDefault="00C45062" w:rsidP="00C45062">
      <w:pPr>
        <w:pStyle w:val="EndnoteText"/>
        <w:widowControl w:val="0"/>
        <w:tabs>
          <w:tab w:val="clear" w:pos="567"/>
        </w:tabs>
        <w:rPr>
          <w:color w:val="000000"/>
          <w:szCs w:val="22"/>
          <w:lang w:val="es-ES_tradnl"/>
        </w:rPr>
      </w:pPr>
    </w:p>
    <w:p w14:paraId="04E98B5B" w14:textId="77777777" w:rsidR="00C45062" w:rsidRPr="002D741C" w:rsidRDefault="00C45062" w:rsidP="00C45062">
      <w:pPr>
        <w:rPr>
          <w:noProof/>
        </w:rPr>
      </w:pPr>
    </w:p>
    <w:tbl>
      <w:tblPr>
        <w:tblW w:w="10599" w:type="dxa"/>
        <w:tblInd w:w="-318" w:type="dxa"/>
        <w:tblLook w:val="04A0" w:firstRow="1" w:lastRow="0" w:firstColumn="1" w:lastColumn="0" w:noHBand="0" w:noVBand="1"/>
      </w:tblPr>
      <w:tblGrid>
        <w:gridCol w:w="450"/>
        <w:gridCol w:w="646"/>
        <w:gridCol w:w="645"/>
        <w:gridCol w:w="745"/>
        <w:gridCol w:w="745"/>
        <w:gridCol w:w="745"/>
        <w:gridCol w:w="752"/>
        <w:gridCol w:w="745"/>
        <w:gridCol w:w="745"/>
        <w:gridCol w:w="652"/>
        <w:gridCol w:w="652"/>
        <w:gridCol w:w="649"/>
        <w:gridCol w:w="660"/>
        <w:gridCol w:w="649"/>
        <w:gridCol w:w="564"/>
        <w:gridCol w:w="555"/>
      </w:tblGrid>
      <w:tr w:rsidR="00C45062" w:rsidRPr="002D741C" w14:paraId="574BA7C3" w14:textId="77777777" w:rsidTr="00F22369">
        <w:tc>
          <w:tcPr>
            <w:tcW w:w="10599" w:type="dxa"/>
            <w:gridSpan w:val="16"/>
            <w:shd w:val="clear" w:color="auto" w:fill="auto"/>
          </w:tcPr>
          <w:p w14:paraId="0E93CDD2" w14:textId="77777777" w:rsidR="00C45062" w:rsidRPr="002D741C" w:rsidRDefault="00C45062" w:rsidP="00F22369">
            <w:pPr>
              <w:ind w:left="-27"/>
              <w:rPr>
                <w:rFonts w:ascii="Arial" w:hAnsi="Arial" w:cs="Arial"/>
                <w:sz w:val="16"/>
                <w:szCs w:val="16"/>
              </w:rPr>
            </w:pPr>
            <w:r w:rsidRPr="002D741C">
              <w:rPr>
                <w:rFonts w:ascii="Arial" w:hAnsi="Arial" w:cs="Arial"/>
              </w:rPr>
              <w:t>A riesgo : Eventos</w:t>
            </w:r>
          </w:p>
        </w:tc>
      </w:tr>
      <w:tr w:rsidR="00C45062" w:rsidRPr="002D741C" w14:paraId="1C05CB42" w14:textId="77777777" w:rsidTr="00F22369">
        <w:tc>
          <w:tcPr>
            <w:tcW w:w="450" w:type="dxa"/>
            <w:shd w:val="clear" w:color="auto" w:fill="auto"/>
          </w:tcPr>
          <w:p w14:paraId="0C6FBFB5" w14:textId="77777777" w:rsidR="00C45062" w:rsidRPr="002D741C" w:rsidRDefault="00C45062" w:rsidP="00F22369">
            <w:r w:rsidRPr="002D741C">
              <w:t>(1)</w:t>
            </w:r>
          </w:p>
        </w:tc>
        <w:tc>
          <w:tcPr>
            <w:tcW w:w="646" w:type="dxa"/>
            <w:shd w:val="clear" w:color="auto" w:fill="auto"/>
          </w:tcPr>
          <w:p w14:paraId="361A2A64" w14:textId="77777777" w:rsidR="00C45062" w:rsidRPr="002D741C" w:rsidRDefault="00C45062" w:rsidP="00F22369">
            <w:pPr>
              <w:ind w:left="-27"/>
            </w:pPr>
            <w:r w:rsidRPr="002D741C">
              <w:t>199:0</w:t>
            </w:r>
          </w:p>
        </w:tc>
        <w:tc>
          <w:tcPr>
            <w:tcW w:w="645" w:type="dxa"/>
            <w:shd w:val="clear" w:color="auto" w:fill="auto"/>
          </w:tcPr>
          <w:p w14:paraId="24D91B8A" w14:textId="77777777" w:rsidR="00C45062" w:rsidRPr="002D741C" w:rsidRDefault="00C45062" w:rsidP="00F22369">
            <w:pPr>
              <w:ind w:left="-27"/>
            </w:pPr>
            <w:r w:rsidRPr="002D741C">
              <w:t>182:8</w:t>
            </w:r>
          </w:p>
        </w:tc>
        <w:tc>
          <w:tcPr>
            <w:tcW w:w="745" w:type="dxa"/>
            <w:shd w:val="clear" w:color="auto" w:fill="auto"/>
          </w:tcPr>
          <w:p w14:paraId="38025579" w14:textId="77777777" w:rsidR="00C45062" w:rsidRPr="002D741C" w:rsidRDefault="00C45062" w:rsidP="00F22369">
            <w:pPr>
              <w:ind w:left="-27"/>
            </w:pPr>
            <w:r w:rsidRPr="002D741C">
              <w:t>177:12</w:t>
            </w:r>
          </w:p>
        </w:tc>
        <w:tc>
          <w:tcPr>
            <w:tcW w:w="745" w:type="dxa"/>
            <w:shd w:val="clear" w:color="auto" w:fill="auto"/>
          </w:tcPr>
          <w:p w14:paraId="4C95E2B7" w14:textId="77777777" w:rsidR="00C45062" w:rsidRPr="002D741C" w:rsidRDefault="00C45062" w:rsidP="00F22369">
            <w:pPr>
              <w:ind w:left="-27"/>
            </w:pPr>
            <w:r w:rsidRPr="002D741C">
              <w:t>163:25</w:t>
            </w:r>
          </w:p>
        </w:tc>
        <w:tc>
          <w:tcPr>
            <w:tcW w:w="745" w:type="dxa"/>
            <w:shd w:val="clear" w:color="auto" w:fill="auto"/>
          </w:tcPr>
          <w:p w14:paraId="2D276591" w14:textId="77777777" w:rsidR="00C45062" w:rsidRPr="002D741C" w:rsidRDefault="00C45062" w:rsidP="00F22369">
            <w:pPr>
              <w:ind w:left="-27"/>
            </w:pPr>
            <w:r w:rsidRPr="002D741C">
              <w:t>137:46</w:t>
            </w:r>
          </w:p>
        </w:tc>
        <w:tc>
          <w:tcPr>
            <w:tcW w:w="752" w:type="dxa"/>
            <w:shd w:val="clear" w:color="auto" w:fill="auto"/>
          </w:tcPr>
          <w:p w14:paraId="5B703268" w14:textId="77777777" w:rsidR="00C45062" w:rsidRPr="002D741C" w:rsidRDefault="00C45062" w:rsidP="00F22369">
            <w:pPr>
              <w:ind w:left="-27"/>
            </w:pPr>
            <w:r w:rsidRPr="002D741C">
              <w:t>105:65</w:t>
            </w:r>
          </w:p>
        </w:tc>
        <w:tc>
          <w:tcPr>
            <w:tcW w:w="745" w:type="dxa"/>
            <w:shd w:val="clear" w:color="auto" w:fill="auto"/>
          </w:tcPr>
          <w:p w14:paraId="7A4AAB9A" w14:textId="77777777" w:rsidR="00C45062" w:rsidRPr="002D741C" w:rsidRDefault="00C45062" w:rsidP="00F22369">
            <w:pPr>
              <w:ind w:left="-27"/>
            </w:pPr>
            <w:r w:rsidRPr="002D741C">
              <w:t>88:72</w:t>
            </w:r>
          </w:p>
        </w:tc>
        <w:tc>
          <w:tcPr>
            <w:tcW w:w="745" w:type="dxa"/>
            <w:shd w:val="clear" w:color="auto" w:fill="auto"/>
          </w:tcPr>
          <w:p w14:paraId="1DA61B66" w14:textId="77777777" w:rsidR="00C45062" w:rsidRPr="002D741C" w:rsidRDefault="00C45062" w:rsidP="00F22369">
            <w:pPr>
              <w:ind w:left="-27"/>
            </w:pPr>
            <w:r w:rsidRPr="002D741C">
              <w:t>61:77</w:t>
            </w:r>
          </w:p>
        </w:tc>
        <w:tc>
          <w:tcPr>
            <w:tcW w:w="652" w:type="dxa"/>
            <w:shd w:val="clear" w:color="auto" w:fill="auto"/>
          </w:tcPr>
          <w:p w14:paraId="0875D3A0" w14:textId="77777777" w:rsidR="00C45062" w:rsidRPr="002D741C" w:rsidRDefault="00C45062" w:rsidP="00F22369">
            <w:pPr>
              <w:ind w:left="-27"/>
            </w:pPr>
            <w:r w:rsidRPr="002D741C">
              <w:t>49:81</w:t>
            </w:r>
          </w:p>
        </w:tc>
        <w:tc>
          <w:tcPr>
            <w:tcW w:w="652" w:type="dxa"/>
            <w:shd w:val="clear" w:color="auto" w:fill="auto"/>
          </w:tcPr>
          <w:p w14:paraId="2B44641D" w14:textId="77777777" w:rsidR="00C45062" w:rsidRPr="002D741C" w:rsidRDefault="00C45062" w:rsidP="00F22369">
            <w:pPr>
              <w:ind w:left="-27"/>
            </w:pPr>
            <w:r w:rsidRPr="002D741C">
              <w:t>36:83</w:t>
            </w:r>
          </w:p>
        </w:tc>
        <w:tc>
          <w:tcPr>
            <w:tcW w:w="649" w:type="dxa"/>
            <w:shd w:val="clear" w:color="auto" w:fill="auto"/>
          </w:tcPr>
          <w:p w14:paraId="79C16ED8" w14:textId="77777777" w:rsidR="00C45062" w:rsidRPr="002D741C" w:rsidRDefault="00C45062" w:rsidP="00F22369">
            <w:pPr>
              <w:ind w:left="-27"/>
            </w:pPr>
            <w:r w:rsidRPr="002D741C">
              <w:t>27:84</w:t>
            </w:r>
          </w:p>
        </w:tc>
        <w:tc>
          <w:tcPr>
            <w:tcW w:w="660" w:type="dxa"/>
            <w:shd w:val="clear" w:color="auto" w:fill="auto"/>
          </w:tcPr>
          <w:p w14:paraId="0CC64B29" w14:textId="77777777" w:rsidR="00C45062" w:rsidRPr="002D741C" w:rsidRDefault="00C45062" w:rsidP="00F22369">
            <w:pPr>
              <w:ind w:left="-27"/>
            </w:pPr>
            <w:r w:rsidRPr="002D741C">
              <w:t>14:84</w:t>
            </w:r>
          </w:p>
        </w:tc>
        <w:tc>
          <w:tcPr>
            <w:tcW w:w="649" w:type="dxa"/>
            <w:shd w:val="clear" w:color="auto" w:fill="auto"/>
          </w:tcPr>
          <w:p w14:paraId="2E3E0C95" w14:textId="77777777" w:rsidR="00C45062" w:rsidRPr="002D741C" w:rsidRDefault="00C45062" w:rsidP="00F22369">
            <w:pPr>
              <w:ind w:left="-27"/>
            </w:pPr>
            <w:r w:rsidRPr="002D741C">
              <w:t>10:84</w:t>
            </w:r>
          </w:p>
        </w:tc>
        <w:tc>
          <w:tcPr>
            <w:tcW w:w="564" w:type="dxa"/>
            <w:shd w:val="clear" w:color="auto" w:fill="auto"/>
          </w:tcPr>
          <w:p w14:paraId="1D757BCF" w14:textId="77777777" w:rsidR="00C45062" w:rsidRPr="002D741C" w:rsidRDefault="00C45062" w:rsidP="00F22369">
            <w:pPr>
              <w:ind w:left="-27"/>
            </w:pPr>
            <w:r w:rsidRPr="002D741C">
              <w:t>2:84</w:t>
            </w:r>
          </w:p>
        </w:tc>
        <w:tc>
          <w:tcPr>
            <w:tcW w:w="555" w:type="dxa"/>
            <w:shd w:val="clear" w:color="auto" w:fill="auto"/>
          </w:tcPr>
          <w:p w14:paraId="3F1B7935" w14:textId="77777777" w:rsidR="00C45062" w:rsidRPr="002D741C" w:rsidRDefault="00C45062" w:rsidP="00F22369">
            <w:pPr>
              <w:ind w:left="-27"/>
            </w:pPr>
            <w:r w:rsidRPr="002D741C">
              <w:t>0:84</w:t>
            </w:r>
          </w:p>
        </w:tc>
      </w:tr>
      <w:tr w:rsidR="00C45062" w:rsidRPr="002D741C" w14:paraId="7D40F0B0" w14:textId="77777777" w:rsidTr="00F22369">
        <w:tc>
          <w:tcPr>
            <w:tcW w:w="450" w:type="dxa"/>
            <w:shd w:val="clear" w:color="auto" w:fill="auto"/>
          </w:tcPr>
          <w:p w14:paraId="2553771F" w14:textId="77777777" w:rsidR="00C45062" w:rsidRPr="002D741C" w:rsidRDefault="00C45062" w:rsidP="00F22369">
            <w:r w:rsidRPr="002D741C">
              <w:t>(2)</w:t>
            </w:r>
          </w:p>
        </w:tc>
        <w:tc>
          <w:tcPr>
            <w:tcW w:w="646" w:type="dxa"/>
            <w:shd w:val="clear" w:color="auto" w:fill="auto"/>
          </w:tcPr>
          <w:p w14:paraId="0E0DB96E" w14:textId="77777777" w:rsidR="00C45062" w:rsidRPr="002D741C" w:rsidRDefault="00C45062" w:rsidP="00F22369">
            <w:pPr>
              <w:ind w:left="-27"/>
            </w:pPr>
            <w:r w:rsidRPr="002D741C">
              <w:t>198:0</w:t>
            </w:r>
          </w:p>
        </w:tc>
        <w:tc>
          <w:tcPr>
            <w:tcW w:w="645" w:type="dxa"/>
            <w:shd w:val="clear" w:color="auto" w:fill="auto"/>
          </w:tcPr>
          <w:p w14:paraId="3F8F6A48" w14:textId="77777777" w:rsidR="00C45062" w:rsidRPr="002D741C" w:rsidRDefault="00C45062" w:rsidP="00F22369">
            <w:pPr>
              <w:ind w:left="-27"/>
            </w:pPr>
            <w:r w:rsidRPr="002D741C">
              <w:t>189:5</w:t>
            </w:r>
          </w:p>
        </w:tc>
        <w:tc>
          <w:tcPr>
            <w:tcW w:w="745" w:type="dxa"/>
            <w:shd w:val="clear" w:color="auto" w:fill="auto"/>
          </w:tcPr>
          <w:p w14:paraId="7BED2445" w14:textId="77777777" w:rsidR="00C45062" w:rsidRPr="002D741C" w:rsidRDefault="00C45062" w:rsidP="00F22369">
            <w:pPr>
              <w:ind w:left="-27"/>
            </w:pPr>
            <w:r w:rsidRPr="002D741C">
              <w:t>184:8</w:t>
            </w:r>
          </w:p>
        </w:tc>
        <w:tc>
          <w:tcPr>
            <w:tcW w:w="745" w:type="dxa"/>
            <w:shd w:val="clear" w:color="auto" w:fill="auto"/>
          </w:tcPr>
          <w:p w14:paraId="53955C48" w14:textId="77777777" w:rsidR="00C45062" w:rsidRPr="002D741C" w:rsidRDefault="00C45062" w:rsidP="00F22369">
            <w:pPr>
              <w:ind w:left="-27"/>
            </w:pPr>
            <w:r w:rsidRPr="002D741C">
              <w:t>181:11</w:t>
            </w:r>
          </w:p>
        </w:tc>
        <w:tc>
          <w:tcPr>
            <w:tcW w:w="745" w:type="dxa"/>
            <w:shd w:val="clear" w:color="auto" w:fill="auto"/>
          </w:tcPr>
          <w:p w14:paraId="240221AE" w14:textId="77777777" w:rsidR="00C45062" w:rsidRPr="002D741C" w:rsidRDefault="00C45062" w:rsidP="00F22369">
            <w:pPr>
              <w:ind w:left="-27"/>
            </w:pPr>
            <w:r w:rsidRPr="002D741C">
              <w:t>173:18</w:t>
            </w:r>
          </w:p>
        </w:tc>
        <w:tc>
          <w:tcPr>
            <w:tcW w:w="752" w:type="dxa"/>
            <w:shd w:val="clear" w:color="auto" w:fill="auto"/>
          </w:tcPr>
          <w:p w14:paraId="00D2DCCB" w14:textId="77777777" w:rsidR="00C45062" w:rsidRPr="002D741C" w:rsidRDefault="00C45062" w:rsidP="00F22369">
            <w:pPr>
              <w:ind w:left="-27"/>
            </w:pPr>
            <w:r w:rsidRPr="002D741C">
              <w:t>152:22</w:t>
            </w:r>
          </w:p>
        </w:tc>
        <w:tc>
          <w:tcPr>
            <w:tcW w:w="745" w:type="dxa"/>
            <w:shd w:val="clear" w:color="auto" w:fill="auto"/>
          </w:tcPr>
          <w:p w14:paraId="346CFD49" w14:textId="77777777" w:rsidR="00C45062" w:rsidRPr="002D741C" w:rsidRDefault="00C45062" w:rsidP="00F22369">
            <w:pPr>
              <w:ind w:left="-27"/>
            </w:pPr>
            <w:r w:rsidRPr="002D741C">
              <w:t>133:25</w:t>
            </w:r>
          </w:p>
        </w:tc>
        <w:tc>
          <w:tcPr>
            <w:tcW w:w="745" w:type="dxa"/>
            <w:shd w:val="clear" w:color="auto" w:fill="auto"/>
          </w:tcPr>
          <w:p w14:paraId="543DB36F" w14:textId="77777777" w:rsidR="00C45062" w:rsidRPr="002D741C" w:rsidRDefault="00C45062" w:rsidP="00F22369">
            <w:pPr>
              <w:ind w:left="-27"/>
            </w:pPr>
            <w:r w:rsidRPr="002D741C">
              <w:t>102:29</w:t>
            </w:r>
          </w:p>
        </w:tc>
        <w:tc>
          <w:tcPr>
            <w:tcW w:w="652" w:type="dxa"/>
            <w:shd w:val="clear" w:color="auto" w:fill="auto"/>
          </w:tcPr>
          <w:p w14:paraId="5E198D77" w14:textId="77777777" w:rsidR="00C45062" w:rsidRPr="002D741C" w:rsidRDefault="00C45062" w:rsidP="00F22369">
            <w:pPr>
              <w:ind w:left="-27"/>
            </w:pPr>
            <w:r w:rsidRPr="002D741C">
              <w:t>82:35</w:t>
            </w:r>
          </w:p>
        </w:tc>
        <w:tc>
          <w:tcPr>
            <w:tcW w:w="652" w:type="dxa"/>
            <w:shd w:val="clear" w:color="auto" w:fill="auto"/>
          </w:tcPr>
          <w:p w14:paraId="1554F230" w14:textId="77777777" w:rsidR="00C45062" w:rsidRPr="002D741C" w:rsidRDefault="00C45062" w:rsidP="00F22369">
            <w:pPr>
              <w:ind w:left="-27"/>
            </w:pPr>
            <w:r w:rsidRPr="002D741C">
              <w:t>54:46</w:t>
            </w:r>
          </w:p>
        </w:tc>
        <w:tc>
          <w:tcPr>
            <w:tcW w:w="649" w:type="dxa"/>
            <w:shd w:val="clear" w:color="auto" w:fill="auto"/>
          </w:tcPr>
          <w:p w14:paraId="76DBDAC0" w14:textId="77777777" w:rsidR="00C45062" w:rsidRPr="002D741C" w:rsidRDefault="00C45062" w:rsidP="00F22369">
            <w:pPr>
              <w:ind w:left="-27"/>
            </w:pPr>
            <w:r w:rsidRPr="002D741C">
              <w:t>39:47</w:t>
            </w:r>
          </w:p>
        </w:tc>
        <w:tc>
          <w:tcPr>
            <w:tcW w:w="660" w:type="dxa"/>
            <w:shd w:val="clear" w:color="auto" w:fill="auto"/>
          </w:tcPr>
          <w:p w14:paraId="6B63E43E" w14:textId="77777777" w:rsidR="00C45062" w:rsidRPr="002D741C" w:rsidRDefault="00C45062" w:rsidP="00F22369">
            <w:pPr>
              <w:ind w:left="-27"/>
            </w:pPr>
            <w:r w:rsidRPr="002D741C">
              <w:t>21:49</w:t>
            </w:r>
          </w:p>
        </w:tc>
        <w:tc>
          <w:tcPr>
            <w:tcW w:w="649" w:type="dxa"/>
            <w:shd w:val="clear" w:color="auto" w:fill="auto"/>
          </w:tcPr>
          <w:p w14:paraId="72381F53" w14:textId="77777777" w:rsidR="00C45062" w:rsidRPr="002D741C" w:rsidRDefault="00C45062" w:rsidP="00F22369">
            <w:pPr>
              <w:ind w:left="-27"/>
            </w:pPr>
            <w:r w:rsidRPr="002D741C">
              <w:t>8:50</w:t>
            </w:r>
          </w:p>
        </w:tc>
        <w:tc>
          <w:tcPr>
            <w:tcW w:w="564" w:type="dxa"/>
            <w:shd w:val="clear" w:color="auto" w:fill="auto"/>
          </w:tcPr>
          <w:p w14:paraId="6E169648" w14:textId="77777777" w:rsidR="00C45062" w:rsidRPr="002D741C" w:rsidRDefault="00C45062" w:rsidP="00F22369">
            <w:pPr>
              <w:ind w:left="-27"/>
            </w:pPr>
            <w:r w:rsidRPr="002D741C">
              <w:t>0:50</w:t>
            </w:r>
          </w:p>
        </w:tc>
        <w:tc>
          <w:tcPr>
            <w:tcW w:w="555" w:type="dxa"/>
            <w:shd w:val="clear" w:color="auto" w:fill="auto"/>
          </w:tcPr>
          <w:p w14:paraId="73902DFB" w14:textId="77777777" w:rsidR="00C45062" w:rsidRPr="002D741C" w:rsidRDefault="00C45062" w:rsidP="00F22369">
            <w:pPr>
              <w:ind w:left="-27"/>
            </w:pPr>
          </w:p>
        </w:tc>
      </w:tr>
    </w:tbl>
    <w:p w14:paraId="3F5E8F8A" w14:textId="77777777" w:rsidR="00C45062" w:rsidRPr="002D741C" w:rsidRDefault="00C45062" w:rsidP="00C45062">
      <w:pPr>
        <w:pStyle w:val="EndnoteText"/>
        <w:widowControl w:val="0"/>
        <w:tabs>
          <w:tab w:val="clear" w:pos="567"/>
        </w:tabs>
        <w:rPr>
          <w:color w:val="000000"/>
          <w:szCs w:val="22"/>
          <w:lang w:val="es-ES_tradnl"/>
        </w:rPr>
      </w:pPr>
    </w:p>
    <w:p w14:paraId="29B587DC" w14:textId="77777777" w:rsidR="00C45062" w:rsidRPr="002D741C" w:rsidRDefault="00C45062" w:rsidP="00C45062">
      <w:pPr>
        <w:keepNext/>
        <w:ind w:left="1134" w:hanging="1134"/>
        <w:outlineLvl w:val="6"/>
        <w:rPr>
          <w:rFonts w:eastAsia="MS Mincho"/>
          <w:b/>
          <w:sz w:val="22"/>
          <w:szCs w:val="22"/>
        </w:rPr>
      </w:pPr>
      <w:r w:rsidRPr="002D741C">
        <w:rPr>
          <w:rFonts w:eastAsia="MS Mincho"/>
          <w:b/>
          <w:sz w:val="22"/>
          <w:szCs w:val="22"/>
        </w:rPr>
        <w:lastRenderedPageBreak/>
        <w:t>Figura 2</w:t>
      </w:r>
      <w:r w:rsidRPr="002D741C">
        <w:rPr>
          <w:rFonts w:eastAsia="MS Mincho"/>
          <w:b/>
          <w:sz w:val="22"/>
          <w:szCs w:val="22"/>
        </w:rPr>
        <w:tab/>
        <w:t xml:space="preserve">Estimación de Kaplan-Meier de la supervivencia global (población </w:t>
      </w:r>
      <w:smartTag w:uri="urn:schemas-microsoft-com:office:smarttags" w:element="PersonName">
        <w:r w:rsidRPr="002D741C">
          <w:rPr>
            <w:rFonts w:eastAsia="MS Mincho"/>
            <w:b/>
            <w:sz w:val="22"/>
            <w:szCs w:val="22"/>
          </w:rPr>
          <w:t>IT</w:t>
        </w:r>
      </w:smartTag>
      <w:r w:rsidRPr="002D741C">
        <w:rPr>
          <w:rFonts w:eastAsia="MS Mincho"/>
          <w:b/>
          <w:sz w:val="22"/>
          <w:szCs w:val="22"/>
        </w:rPr>
        <w:t>T)</w:t>
      </w:r>
    </w:p>
    <w:p w14:paraId="3429DDE3" w14:textId="77777777" w:rsidR="00C45062" w:rsidRPr="002D741C" w:rsidRDefault="00C45062" w:rsidP="00C45062">
      <w:pPr>
        <w:pStyle w:val="EndnoteText"/>
        <w:keepNext/>
        <w:widowControl w:val="0"/>
        <w:tabs>
          <w:tab w:val="clear" w:pos="567"/>
        </w:tabs>
        <w:rPr>
          <w:color w:val="000000"/>
          <w:szCs w:val="22"/>
          <w:lang w:val="es-ES_tradnl"/>
        </w:rPr>
      </w:pPr>
    </w:p>
    <w:p w14:paraId="45321492" w14:textId="77777777" w:rsidR="00C45062" w:rsidRPr="002D741C" w:rsidRDefault="00B34E6C" w:rsidP="00C45062">
      <w:pPr>
        <w:pStyle w:val="EndnoteText"/>
        <w:widowControl w:val="0"/>
        <w:tabs>
          <w:tab w:val="clear" w:pos="567"/>
        </w:tabs>
        <w:rPr>
          <w:color w:val="000000"/>
          <w:szCs w:val="22"/>
          <w:lang w:val="es-ES_tradnl"/>
        </w:rPr>
      </w:pPr>
      <w:r w:rsidRPr="002D741C">
        <w:rPr>
          <w:noProof/>
          <w:snapToGrid/>
          <w:lang w:eastAsia="en-GB"/>
        </w:rPr>
        <mc:AlternateContent>
          <mc:Choice Requires="wpg">
            <w:drawing>
              <wp:anchor distT="0" distB="0" distL="114300" distR="114300" simplePos="0" relativeHeight="251658240" behindDoc="0" locked="0" layoutInCell="1" allowOverlap="1" wp14:anchorId="759ABEE2" wp14:editId="4C99C8A8">
                <wp:simplePos x="0" y="0"/>
                <wp:positionH relativeFrom="column">
                  <wp:posOffset>-255270</wp:posOffset>
                </wp:positionH>
                <wp:positionV relativeFrom="paragraph">
                  <wp:posOffset>59055</wp:posOffset>
                </wp:positionV>
                <wp:extent cx="5191125" cy="2848610"/>
                <wp:effectExtent l="0" t="0" r="0" b="0"/>
                <wp:wrapNone/>
                <wp:docPr id="11" name="Group 10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91125" cy="2848610"/>
                          <a:chOff x="1016" y="1733"/>
                          <a:chExt cx="8175" cy="4486"/>
                        </a:xfrm>
                      </wpg:grpSpPr>
                      <wps:wsp>
                        <wps:cNvPr id="12" name="Text Box 2"/>
                        <wps:cNvSpPr txBox="1">
                          <a:spLocks noChangeArrowheads="1"/>
                        </wps:cNvSpPr>
                        <wps:spPr bwMode="auto">
                          <a:xfrm>
                            <a:off x="1016" y="1733"/>
                            <a:ext cx="634" cy="3429"/>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3A09D6F" w14:textId="77777777" w:rsidR="00777AB3" w:rsidRPr="00A33DBA" w:rsidRDefault="00777AB3" w:rsidP="00C45062">
                              <w:pPr>
                                <w:rPr>
                                  <w:rFonts w:ascii="Arial" w:hAnsi="Arial" w:cs="Arial"/>
                                </w:rPr>
                              </w:pPr>
                              <w:r>
                                <w:rPr>
                                  <w:rFonts w:ascii="Arial" w:hAnsi="Arial" w:cs="Arial"/>
                                </w:rPr>
                                <w:t>Probabilidad de supervivencia global</w:t>
                              </w:r>
                            </w:p>
                          </w:txbxContent>
                        </wps:txbx>
                        <wps:bodyPr rot="0" vert="vert270" wrap="square" lIns="91440" tIns="45720" rIns="91440" bIns="45720" anchor="t" anchorCtr="0" upright="1">
                          <a:noAutofit/>
                        </wps:bodyPr>
                      </wps:wsp>
                      <wps:wsp>
                        <wps:cNvPr id="13" name="Text Box 2"/>
                        <wps:cNvSpPr txBox="1">
                          <a:spLocks noChangeArrowheads="1"/>
                        </wps:cNvSpPr>
                        <wps:spPr bwMode="auto">
                          <a:xfrm>
                            <a:off x="1970" y="3248"/>
                            <a:ext cx="7221" cy="2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EA9840" w14:textId="77777777" w:rsidR="00777AB3" w:rsidRDefault="00777AB3" w:rsidP="00C45062">
                              <w:pPr>
                                <w:rPr>
                                  <w:rFonts w:ascii="Arial" w:hAnsi="Arial" w:cs="Arial"/>
                                </w:rPr>
                              </w:pPr>
                            </w:p>
                            <w:tbl>
                              <w:tblPr>
                                <w:tblW w:w="0" w:type="auto"/>
                                <w:tblLook w:val="04A0" w:firstRow="1" w:lastRow="0" w:firstColumn="1" w:lastColumn="0" w:noHBand="0" w:noVBand="1"/>
                              </w:tblPr>
                              <w:tblGrid>
                                <w:gridCol w:w="817"/>
                                <w:gridCol w:w="2464"/>
                                <w:gridCol w:w="851"/>
                                <w:gridCol w:w="709"/>
                                <w:gridCol w:w="850"/>
                              </w:tblGrid>
                              <w:tr w:rsidR="00777AB3" w:rsidRPr="0055776F" w14:paraId="29AF884C" w14:textId="77777777" w:rsidTr="004B54D7">
                                <w:tc>
                                  <w:tcPr>
                                    <w:tcW w:w="5691" w:type="dxa"/>
                                    <w:gridSpan w:val="5"/>
                                    <w:shd w:val="clear" w:color="auto" w:fill="auto"/>
                                  </w:tcPr>
                                  <w:p w14:paraId="58DF9A07" w14:textId="77777777" w:rsidR="00777AB3" w:rsidRPr="0055776F" w:rsidRDefault="00777AB3" w:rsidP="004B54D7">
                                    <w:pPr>
                                      <w:rPr>
                                        <w:rFonts w:ascii="Arial" w:hAnsi="Arial" w:cs="Arial"/>
                                      </w:rPr>
                                    </w:pPr>
                                    <w:r>
                                      <w:rPr>
                                        <w:rFonts w:ascii="Arial" w:hAnsi="Arial" w:cs="Arial"/>
                                      </w:rPr>
                                      <w:t>P = 0,0</w:t>
                                    </w:r>
                                    <w:r w:rsidRPr="0055776F">
                                      <w:rPr>
                                        <w:rFonts w:ascii="Arial" w:hAnsi="Arial" w:cs="Arial"/>
                                      </w:rPr>
                                      <w:t>19</w:t>
                                    </w:r>
                                  </w:p>
                                  <w:p w14:paraId="1524E306" w14:textId="77777777" w:rsidR="00777AB3" w:rsidRPr="00A33DBA" w:rsidRDefault="00777AB3" w:rsidP="0096481B">
                                    <w:pPr>
                                      <w:rPr>
                                        <w:rFonts w:ascii="Arial" w:hAnsi="Arial" w:cs="Arial"/>
                                      </w:rPr>
                                    </w:pPr>
                                    <w:r>
                                      <w:rPr>
                                        <w:rFonts w:ascii="Arial" w:hAnsi="Arial" w:cs="Arial"/>
                                      </w:rPr>
                                      <w:t xml:space="preserve">Cociente de riesgo </w:t>
                                    </w:r>
                                    <w:r w:rsidRPr="00A33DBA">
                                      <w:rPr>
                                        <w:rFonts w:ascii="Arial" w:hAnsi="Arial" w:cs="Arial"/>
                                      </w:rPr>
                                      <w:t>0</w:t>
                                    </w:r>
                                    <w:r>
                                      <w:rPr>
                                        <w:rFonts w:ascii="Arial" w:hAnsi="Arial" w:cs="Arial"/>
                                      </w:rPr>
                                      <w:t>,</w:t>
                                    </w:r>
                                    <w:r w:rsidRPr="00A33DBA">
                                      <w:rPr>
                                        <w:rFonts w:ascii="Arial" w:hAnsi="Arial" w:cs="Arial"/>
                                      </w:rPr>
                                      <w:t>45</w:t>
                                    </w:r>
                                  </w:p>
                                  <w:p w14:paraId="432626E9" w14:textId="77777777" w:rsidR="00777AB3" w:rsidRPr="00CE1E85" w:rsidRDefault="00777AB3" w:rsidP="0096481B">
                                    <w:pPr>
                                      <w:rPr>
                                        <w:rFonts w:ascii="Arial" w:hAnsi="Arial" w:cs="Arial"/>
                                        <w:lang w:val="es-ES"/>
                                      </w:rPr>
                                    </w:pPr>
                                    <w:r w:rsidRPr="00A33DBA">
                                      <w:rPr>
                                        <w:rFonts w:ascii="Arial" w:hAnsi="Arial" w:cs="Arial"/>
                                      </w:rPr>
                                      <w:t>(</w:t>
                                    </w:r>
                                    <w:r>
                                      <w:rPr>
                                        <w:rFonts w:ascii="Arial" w:hAnsi="Arial" w:cs="Arial"/>
                                      </w:rPr>
                                      <w:t xml:space="preserve">IC </w:t>
                                    </w:r>
                                    <w:r w:rsidRPr="00A33DBA">
                                      <w:rPr>
                                        <w:rFonts w:ascii="Arial" w:hAnsi="Arial" w:cs="Arial"/>
                                      </w:rPr>
                                      <w:t>95%, 0</w:t>
                                    </w:r>
                                    <w:r>
                                      <w:rPr>
                                        <w:rFonts w:ascii="Arial" w:hAnsi="Arial" w:cs="Arial"/>
                                      </w:rPr>
                                      <w:t>,22</w:t>
                                    </w:r>
                                    <w:r>
                                      <w:rPr>
                                        <w:rFonts w:ascii="Arial" w:hAnsi="Arial" w:cs="Arial"/>
                                      </w:rPr>
                                      <w:noBreakHyphen/>
                                    </w:r>
                                    <w:r w:rsidRPr="00A33DBA">
                                      <w:rPr>
                                        <w:rFonts w:ascii="Arial" w:hAnsi="Arial" w:cs="Arial"/>
                                      </w:rPr>
                                      <w:t>0</w:t>
                                    </w:r>
                                    <w:r>
                                      <w:rPr>
                                        <w:rFonts w:ascii="Arial" w:hAnsi="Arial" w:cs="Arial"/>
                                      </w:rPr>
                                      <w:t>,</w:t>
                                    </w:r>
                                    <w:r w:rsidRPr="00A33DBA">
                                      <w:rPr>
                                        <w:rFonts w:ascii="Arial" w:hAnsi="Arial" w:cs="Arial"/>
                                      </w:rPr>
                                      <w:t>89)</w:t>
                                    </w:r>
                                  </w:p>
                                </w:tc>
                              </w:tr>
                              <w:tr w:rsidR="00777AB3" w:rsidRPr="0055776F" w14:paraId="6C63017F" w14:textId="77777777" w:rsidTr="004B54D7">
                                <w:tc>
                                  <w:tcPr>
                                    <w:tcW w:w="817" w:type="dxa"/>
                                    <w:shd w:val="clear" w:color="auto" w:fill="auto"/>
                                  </w:tcPr>
                                  <w:p w14:paraId="4E0C824E" w14:textId="77777777" w:rsidR="00777AB3" w:rsidRPr="0055776F" w:rsidRDefault="00777AB3" w:rsidP="004B54D7">
                                    <w:pPr>
                                      <w:rPr>
                                        <w:rFonts w:ascii="Arial" w:hAnsi="Arial" w:cs="Arial"/>
                                      </w:rPr>
                                    </w:pPr>
                                  </w:p>
                                </w:tc>
                                <w:tc>
                                  <w:tcPr>
                                    <w:tcW w:w="2464" w:type="dxa"/>
                                    <w:shd w:val="clear" w:color="auto" w:fill="auto"/>
                                  </w:tcPr>
                                  <w:p w14:paraId="50EFDB1A" w14:textId="77777777" w:rsidR="00777AB3" w:rsidRPr="0055776F" w:rsidRDefault="00777AB3" w:rsidP="004B54D7">
                                    <w:pPr>
                                      <w:rPr>
                                        <w:rFonts w:ascii="Arial" w:hAnsi="Arial" w:cs="Arial"/>
                                      </w:rPr>
                                    </w:pPr>
                                  </w:p>
                                </w:tc>
                                <w:tc>
                                  <w:tcPr>
                                    <w:tcW w:w="851" w:type="dxa"/>
                                    <w:tcBorders>
                                      <w:bottom w:val="single" w:sz="4" w:space="0" w:color="auto"/>
                                    </w:tcBorders>
                                    <w:shd w:val="clear" w:color="auto" w:fill="auto"/>
                                  </w:tcPr>
                                  <w:p w14:paraId="1CB55C73" w14:textId="77777777" w:rsidR="00777AB3" w:rsidRPr="0055776F" w:rsidRDefault="00777AB3" w:rsidP="004B54D7">
                                    <w:pPr>
                                      <w:rPr>
                                        <w:rFonts w:ascii="Arial" w:hAnsi="Arial" w:cs="Arial"/>
                                      </w:rPr>
                                    </w:pPr>
                                    <w:r w:rsidRPr="0055776F">
                                      <w:rPr>
                                        <w:rFonts w:ascii="Arial" w:hAnsi="Arial" w:cs="Arial"/>
                                        <w:lang w:val="de-DE"/>
                                      </w:rPr>
                                      <w:t>N</w:t>
                                    </w:r>
                                  </w:p>
                                </w:tc>
                                <w:tc>
                                  <w:tcPr>
                                    <w:tcW w:w="709" w:type="dxa"/>
                                    <w:tcBorders>
                                      <w:bottom w:val="single" w:sz="4" w:space="0" w:color="auto"/>
                                    </w:tcBorders>
                                    <w:shd w:val="clear" w:color="auto" w:fill="auto"/>
                                  </w:tcPr>
                                  <w:p w14:paraId="74A85FBF" w14:textId="77777777" w:rsidR="00777AB3" w:rsidRPr="0055776F" w:rsidRDefault="00777AB3" w:rsidP="004B54D7">
                                    <w:pPr>
                                      <w:rPr>
                                        <w:rFonts w:ascii="Arial" w:hAnsi="Arial" w:cs="Arial"/>
                                      </w:rPr>
                                    </w:pPr>
                                    <w:r w:rsidRPr="0055776F">
                                      <w:rPr>
                                        <w:rFonts w:ascii="Arial" w:hAnsi="Arial" w:cs="Arial"/>
                                        <w:lang w:val="de-DE"/>
                                      </w:rPr>
                                      <w:t>Evt</w:t>
                                    </w:r>
                                  </w:p>
                                </w:tc>
                                <w:tc>
                                  <w:tcPr>
                                    <w:tcW w:w="850" w:type="dxa"/>
                                    <w:tcBorders>
                                      <w:bottom w:val="single" w:sz="4" w:space="0" w:color="auto"/>
                                    </w:tcBorders>
                                    <w:shd w:val="clear" w:color="auto" w:fill="auto"/>
                                  </w:tcPr>
                                  <w:p w14:paraId="7A6E1686" w14:textId="77777777" w:rsidR="00777AB3" w:rsidRPr="0055776F" w:rsidRDefault="00777AB3" w:rsidP="004B54D7">
                                    <w:pPr>
                                      <w:rPr>
                                        <w:rFonts w:ascii="Arial" w:hAnsi="Arial" w:cs="Arial"/>
                                      </w:rPr>
                                    </w:pPr>
                                    <w:r w:rsidRPr="0055776F">
                                      <w:rPr>
                                        <w:rFonts w:ascii="Arial" w:hAnsi="Arial" w:cs="Arial"/>
                                        <w:lang w:val="de-DE"/>
                                      </w:rPr>
                                      <w:t>Cen</w:t>
                                    </w:r>
                                  </w:p>
                                </w:tc>
                              </w:tr>
                              <w:tr w:rsidR="00777AB3" w:rsidRPr="0055776F" w14:paraId="6C7D56A0" w14:textId="77777777" w:rsidTr="004B54D7">
                                <w:tc>
                                  <w:tcPr>
                                    <w:tcW w:w="817" w:type="dxa"/>
                                    <w:shd w:val="clear" w:color="auto" w:fill="auto"/>
                                  </w:tcPr>
                                  <w:p w14:paraId="2D3D57DA" w14:textId="77777777" w:rsidR="00777AB3" w:rsidRPr="0055776F" w:rsidRDefault="00777AB3" w:rsidP="004B54D7">
                                    <w:pPr>
                                      <w:rPr>
                                        <w:rFonts w:ascii="Arial" w:hAnsi="Arial" w:cs="Arial"/>
                                      </w:rPr>
                                    </w:pPr>
                                    <w:r w:rsidRPr="0055776F">
                                      <w:rPr>
                                        <w:rFonts w:ascii="Arial" w:hAnsi="Arial" w:cs="Arial"/>
                                        <w:b/>
                                      </w:rPr>
                                      <w:t>——</w:t>
                                    </w:r>
                                  </w:p>
                                </w:tc>
                                <w:tc>
                                  <w:tcPr>
                                    <w:tcW w:w="2464" w:type="dxa"/>
                                    <w:shd w:val="clear" w:color="auto" w:fill="auto"/>
                                  </w:tcPr>
                                  <w:p w14:paraId="256023A2" w14:textId="77777777" w:rsidR="00777AB3" w:rsidRPr="0055776F" w:rsidRDefault="00777AB3" w:rsidP="004B54D7">
                                    <w:pPr>
                                      <w:rPr>
                                        <w:rFonts w:ascii="Arial" w:hAnsi="Arial" w:cs="Arial"/>
                                      </w:rPr>
                                    </w:pPr>
                                    <w:r w:rsidRPr="0055776F">
                                      <w:rPr>
                                        <w:rFonts w:ascii="Arial" w:hAnsi="Arial" w:cs="Arial"/>
                                      </w:rPr>
                                      <w:t xml:space="preserve">(1) </w:t>
                                    </w:r>
                                    <w:r>
                                      <w:rPr>
                                        <w:rFonts w:ascii="Arial" w:hAnsi="Arial" w:cs="Arial"/>
                                      </w:rPr>
                                      <w:t>Imatinib 12 </w:t>
                                    </w:r>
                                    <w:r w:rsidRPr="00A33DBA">
                                      <w:rPr>
                                        <w:rFonts w:ascii="Arial" w:hAnsi="Arial" w:cs="Arial"/>
                                      </w:rPr>
                                      <w:t>M</w:t>
                                    </w:r>
                                    <w:r>
                                      <w:rPr>
                                        <w:rFonts w:ascii="Arial" w:hAnsi="Arial" w:cs="Arial"/>
                                      </w:rPr>
                                      <w:t>E</w:t>
                                    </w:r>
                                    <w:r w:rsidRPr="0055776F">
                                      <w:rPr>
                                        <w:rFonts w:ascii="Arial" w:hAnsi="Arial" w:cs="Arial"/>
                                      </w:rPr>
                                      <w:t>:</w:t>
                                    </w:r>
                                  </w:p>
                                </w:tc>
                                <w:tc>
                                  <w:tcPr>
                                    <w:tcW w:w="851" w:type="dxa"/>
                                    <w:tcBorders>
                                      <w:top w:val="single" w:sz="4" w:space="0" w:color="auto"/>
                                    </w:tcBorders>
                                    <w:shd w:val="clear" w:color="auto" w:fill="auto"/>
                                  </w:tcPr>
                                  <w:p w14:paraId="7443C4BB" w14:textId="77777777" w:rsidR="00777AB3" w:rsidRPr="0055776F" w:rsidRDefault="00777AB3" w:rsidP="004B54D7">
                                    <w:pPr>
                                      <w:rPr>
                                        <w:rFonts w:ascii="Arial" w:hAnsi="Arial" w:cs="Arial"/>
                                      </w:rPr>
                                    </w:pPr>
                                    <w:r w:rsidRPr="0055776F">
                                      <w:rPr>
                                        <w:rFonts w:ascii="Arial" w:hAnsi="Arial" w:cs="Arial"/>
                                      </w:rPr>
                                      <w:t>199</w:t>
                                    </w:r>
                                  </w:p>
                                </w:tc>
                                <w:tc>
                                  <w:tcPr>
                                    <w:tcW w:w="709" w:type="dxa"/>
                                    <w:tcBorders>
                                      <w:top w:val="single" w:sz="4" w:space="0" w:color="auto"/>
                                    </w:tcBorders>
                                    <w:shd w:val="clear" w:color="auto" w:fill="auto"/>
                                  </w:tcPr>
                                  <w:p w14:paraId="66DF33B1" w14:textId="77777777" w:rsidR="00777AB3" w:rsidRPr="0055776F" w:rsidRDefault="00777AB3" w:rsidP="004B54D7">
                                    <w:pPr>
                                      <w:rPr>
                                        <w:rFonts w:ascii="Arial" w:hAnsi="Arial" w:cs="Arial"/>
                                      </w:rPr>
                                    </w:pPr>
                                    <w:r w:rsidRPr="0055776F">
                                      <w:rPr>
                                        <w:rFonts w:ascii="Arial" w:hAnsi="Arial" w:cs="Arial"/>
                                      </w:rPr>
                                      <w:t>25</w:t>
                                    </w:r>
                                  </w:p>
                                </w:tc>
                                <w:tc>
                                  <w:tcPr>
                                    <w:tcW w:w="850" w:type="dxa"/>
                                    <w:tcBorders>
                                      <w:top w:val="single" w:sz="4" w:space="0" w:color="auto"/>
                                    </w:tcBorders>
                                    <w:shd w:val="clear" w:color="auto" w:fill="auto"/>
                                  </w:tcPr>
                                  <w:p w14:paraId="1BCEED96" w14:textId="77777777" w:rsidR="00777AB3" w:rsidRPr="0055776F" w:rsidRDefault="00777AB3" w:rsidP="004B54D7">
                                    <w:pPr>
                                      <w:rPr>
                                        <w:rFonts w:ascii="Arial" w:hAnsi="Arial" w:cs="Arial"/>
                                      </w:rPr>
                                    </w:pPr>
                                    <w:r w:rsidRPr="0055776F">
                                      <w:rPr>
                                        <w:rFonts w:ascii="Arial" w:hAnsi="Arial" w:cs="Arial"/>
                                      </w:rPr>
                                      <w:t>174</w:t>
                                    </w:r>
                                  </w:p>
                                </w:tc>
                              </w:tr>
                              <w:tr w:rsidR="00777AB3" w:rsidRPr="0055776F" w14:paraId="0F222E1E" w14:textId="77777777" w:rsidTr="004B54D7">
                                <w:tc>
                                  <w:tcPr>
                                    <w:tcW w:w="817" w:type="dxa"/>
                                    <w:shd w:val="clear" w:color="auto" w:fill="auto"/>
                                  </w:tcPr>
                                  <w:p w14:paraId="1F712EBD" w14:textId="77777777" w:rsidR="00777AB3" w:rsidRPr="0055776F" w:rsidRDefault="00777AB3" w:rsidP="004B54D7">
                                    <w:pPr>
                                      <w:rPr>
                                        <w:rFonts w:ascii="Arial" w:hAnsi="Arial" w:cs="Arial"/>
                                      </w:rPr>
                                    </w:pPr>
                                    <w:r w:rsidRPr="0055776F">
                                      <w:rPr>
                                        <w:rFonts w:ascii="Arial" w:hAnsi="Arial" w:cs="Arial"/>
                                      </w:rPr>
                                      <w:t>-----</w:t>
                                    </w:r>
                                  </w:p>
                                </w:tc>
                                <w:tc>
                                  <w:tcPr>
                                    <w:tcW w:w="2464" w:type="dxa"/>
                                    <w:shd w:val="clear" w:color="auto" w:fill="auto"/>
                                  </w:tcPr>
                                  <w:p w14:paraId="541AD0D1" w14:textId="77777777" w:rsidR="00777AB3" w:rsidRPr="0055776F" w:rsidRDefault="00777AB3" w:rsidP="004B54D7">
                                    <w:pPr>
                                      <w:rPr>
                                        <w:rFonts w:ascii="Arial" w:hAnsi="Arial" w:cs="Arial"/>
                                      </w:rPr>
                                    </w:pPr>
                                    <w:r>
                                      <w:rPr>
                                        <w:rFonts w:ascii="Arial" w:hAnsi="Arial" w:cs="Arial"/>
                                      </w:rPr>
                                      <w:t>(2) Imatinib 36 </w:t>
                                    </w:r>
                                    <w:r w:rsidRPr="00A33DBA">
                                      <w:rPr>
                                        <w:rFonts w:ascii="Arial" w:hAnsi="Arial" w:cs="Arial"/>
                                      </w:rPr>
                                      <w:t>M</w:t>
                                    </w:r>
                                    <w:r>
                                      <w:rPr>
                                        <w:rFonts w:ascii="Arial" w:hAnsi="Arial" w:cs="Arial"/>
                                      </w:rPr>
                                      <w:t>E</w:t>
                                    </w:r>
                                    <w:r w:rsidRPr="0055776F">
                                      <w:rPr>
                                        <w:rFonts w:ascii="Arial" w:hAnsi="Arial" w:cs="Arial"/>
                                      </w:rPr>
                                      <w:t>:</w:t>
                                    </w:r>
                                  </w:p>
                                </w:tc>
                                <w:tc>
                                  <w:tcPr>
                                    <w:tcW w:w="851" w:type="dxa"/>
                                    <w:tcBorders>
                                      <w:bottom w:val="single" w:sz="4" w:space="0" w:color="auto"/>
                                    </w:tcBorders>
                                    <w:shd w:val="clear" w:color="auto" w:fill="auto"/>
                                  </w:tcPr>
                                  <w:p w14:paraId="23C9B8B2" w14:textId="77777777" w:rsidR="00777AB3" w:rsidRPr="0055776F" w:rsidRDefault="00777AB3" w:rsidP="004B54D7">
                                    <w:pPr>
                                      <w:rPr>
                                        <w:rFonts w:ascii="Arial" w:hAnsi="Arial" w:cs="Arial"/>
                                      </w:rPr>
                                    </w:pPr>
                                    <w:r w:rsidRPr="0055776F">
                                      <w:rPr>
                                        <w:rFonts w:ascii="Arial" w:hAnsi="Arial" w:cs="Arial"/>
                                      </w:rPr>
                                      <w:t>198</w:t>
                                    </w:r>
                                  </w:p>
                                </w:tc>
                                <w:tc>
                                  <w:tcPr>
                                    <w:tcW w:w="709" w:type="dxa"/>
                                    <w:tcBorders>
                                      <w:bottom w:val="single" w:sz="4" w:space="0" w:color="auto"/>
                                    </w:tcBorders>
                                    <w:shd w:val="clear" w:color="auto" w:fill="auto"/>
                                  </w:tcPr>
                                  <w:p w14:paraId="0CBF452E" w14:textId="77777777" w:rsidR="00777AB3" w:rsidRPr="0055776F" w:rsidRDefault="00777AB3" w:rsidP="004B54D7">
                                    <w:pPr>
                                      <w:rPr>
                                        <w:rFonts w:ascii="Arial" w:hAnsi="Arial" w:cs="Arial"/>
                                      </w:rPr>
                                    </w:pPr>
                                    <w:r w:rsidRPr="0055776F">
                                      <w:rPr>
                                        <w:rFonts w:ascii="Arial" w:hAnsi="Arial" w:cs="Arial"/>
                                      </w:rPr>
                                      <w:t>12</w:t>
                                    </w:r>
                                  </w:p>
                                </w:tc>
                                <w:tc>
                                  <w:tcPr>
                                    <w:tcW w:w="850" w:type="dxa"/>
                                    <w:tcBorders>
                                      <w:bottom w:val="single" w:sz="4" w:space="0" w:color="auto"/>
                                    </w:tcBorders>
                                    <w:shd w:val="clear" w:color="auto" w:fill="auto"/>
                                  </w:tcPr>
                                  <w:p w14:paraId="20CDB840" w14:textId="77777777" w:rsidR="00777AB3" w:rsidRPr="0055776F" w:rsidRDefault="00777AB3" w:rsidP="004B54D7">
                                    <w:pPr>
                                      <w:rPr>
                                        <w:rFonts w:ascii="Arial" w:hAnsi="Arial" w:cs="Arial"/>
                                      </w:rPr>
                                    </w:pPr>
                                    <w:r w:rsidRPr="0055776F">
                                      <w:rPr>
                                        <w:rFonts w:ascii="Arial" w:hAnsi="Arial" w:cs="Arial"/>
                                      </w:rPr>
                                      <w:t>186</w:t>
                                    </w:r>
                                  </w:p>
                                </w:tc>
                              </w:tr>
                              <w:tr w:rsidR="00777AB3" w:rsidRPr="0055776F" w14:paraId="3953A3E3" w14:textId="77777777" w:rsidTr="004B54D7">
                                <w:tc>
                                  <w:tcPr>
                                    <w:tcW w:w="817" w:type="dxa"/>
                                    <w:shd w:val="clear" w:color="auto" w:fill="auto"/>
                                  </w:tcPr>
                                  <w:p w14:paraId="2D4FF796" w14:textId="77777777" w:rsidR="00777AB3" w:rsidRPr="0055776F" w:rsidRDefault="00777AB3" w:rsidP="004B54D7">
                                    <w:pPr>
                                      <w:rPr>
                                        <w:rFonts w:ascii="Arial" w:hAnsi="Arial" w:cs="Arial"/>
                                      </w:rPr>
                                    </w:pPr>
                                    <w:r w:rsidRPr="0055776F">
                                      <w:rPr>
                                        <w:rFonts w:ascii="Arial" w:hAnsi="Arial" w:cs="Arial"/>
                                      </w:rPr>
                                      <w:t>│││</w:t>
                                    </w:r>
                                  </w:p>
                                </w:tc>
                                <w:tc>
                                  <w:tcPr>
                                    <w:tcW w:w="2464" w:type="dxa"/>
                                    <w:shd w:val="clear" w:color="auto" w:fill="auto"/>
                                  </w:tcPr>
                                  <w:p w14:paraId="6FDA024B" w14:textId="77777777" w:rsidR="00777AB3" w:rsidRPr="0055776F" w:rsidRDefault="00777AB3" w:rsidP="004B54D7">
                                    <w:pPr>
                                      <w:rPr>
                                        <w:rFonts w:ascii="Arial" w:hAnsi="Arial" w:cs="Arial"/>
                                      </w:rPr>
                                    </w:pPr>
                                    <w:r>
                                      <w:rPr>
                                        <w:rFonts w:ascii="Arial" w:hAnsi="Arial" w:cs="Arial"/>
                                      </w:rPr>
                                      <w:t>Observaciones censuradas</w:t>
                                    </w:r>
                                  </w:p>
                                </w:tc>
                                <w:tc>
                                  <w:tcPr>
                                    <w:tcW w:w="851" w:type="dxa"/>
                                    <w:tcBorders>
                                      <w:top w:val="single" w:sz="4" w:space="0" w:color="auto"/>
                                    </w:tcBorders>
                                    <w:shd w:val="clear" w:color="auto" w:fill="auto"/>
                                  </w:tcPr>
                                  <w:p w14:paraId="1996D80E" w14:textId="77777777" w:rsidR="00777AB3" w:rsidRPr="0055776F" w:rsidRDefault="00777AB3" w:rsidP="004B54D7">
                                    <w:pPr>
                                      <w:rPr>
                                        <w:rFonts w:ascii="Arial" w:hAnsi="Arial" w:cs="Arial"/>
                                      </w:rPr>
                                    </w:pPr>
                                  </w:p>
                                </w:tc>
                                <w:tc>
                                  <w:tcPr>
                                    <w:tcW w:w="709" w:type="dxa"/>
                                    <w:tcBorders>
                                      <w:top w:val="single" w:sz="4" w:space="0" w:color="auto"/>
                                    </w:tcBorders>
                                    <w:shd w:val="clear" w:color="auto" w:fill="auto"/>
                                  </w:tcPr>
                                  <w:p w14:paraId="4AEB5EA3" w14:textId="77777777" w:rsidR="00777AB3" w:rsidRPr="0055776F" w:rsidRDefault="00777AB3" w:rsidP="004B54D7">
                                    <w:pPr>
                                      <w:rPr>
                                        <w:rFonts w:ascii="Arial" w:hAnsi="Arial" w:cs="Arial"/>
                                      </w:rPr>
                                    </w:pPr>
                                  </w:p>
                                </w:tc>
                                <w:tc>
                                  <w:tcPr>
                                    <w:tcW w:w="850" w:type="dxa"/>
                                    <w:tcBorders>
                                      <w:top w:val="single" w:sz="4" w:space="0" w:color="auto"/>
                                    </w:tcBorders>
                                    <w:shd w:val="clear" w:color="auto" w:fill="auto"/>
                                  </w:tcPr>
                                  <w:p w14:paraId="429A6CFB" w14:textId="77777777" w:rsidR="00777AB3" w:rsidRPr="0055776F" w:rsidRDefault="00777AB3" w:rsidP="004B54D7">
                                    <w:pPr>
                                      <w:rPr>
                                        <w:rFonts w:ascii="Arial" w:hAnsi="Arial" w:cs="Arial"/>
                                      </w:rPr>
                                    </w:pPr>
                                  </w:p>
                                </w:tc>
                              </w:tr>
                            </w:tbl>
                            <w:p w14:paraId="58C318F9" w14:textId="77777777" w:rsidR="00777AB3" w:rsidRPr="00A33DBA" w:rsidRDefault="00777AB3" w:rsidP="00C45062">
                              <w:pPr>
                                <w:rPr>
                                  <w:rFonts w:ascii="Arial" w:hAnsi="Arial" w:cs="Arial"/>
                                </w:rPr>
                              </w:pPr>
                            </w:p>
                            <w:p w14:paraId="4FA1FCAC" w14:textId="77777777" w:rsidR="00777AB3" w:rsidRPr="00A33DBA" w:rsidRDefault="00777AB3" w:rsidP="00C45062">
                              <w:pPr>
                                <w:rPr>
                                  <w:rFonts w:ascii="Arial" w:hAnsi="Arial" w:cs="Arial"/>
                                </w:rPr>
                              </w:pPr>
                            </w:p>
                          </w:txbxContent>
                        </wps:txbx>
                        <wps:bodyPr rot="0" vert="horz" wrap="square" lIns="91440" tIns="45720" rIns="91440" bIns="45720" anchor="t" anchorCtr="0" upright="1">
                          <a:noAutofit/>
                        </wps:bodyPr>
                      </wps:wsp>
                      <wps:wsp>
                        <wps:cNvPr id="14" name="Text Box 2"/>
                        <wps:cNvSpPr txBox="1">
                          <a:spLocks noChangeArrowheads="1"/>
                        </wps:cNvSpPr>
                        <wps:spPr bwMode="auto">
                          <a:xfrm>
                            <a:off x="3900" y="5873"/>
                            <a:ext cx="3737" cy="346"/>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AB44E74" w14:textId="77777777" w:rsidR="00777AB3" w:rsidRPr="00A33DBA" w:rsidRDefault="00777AB3" w:rsidP="00C45062">
                              <w:pPr>
                                <w:rPr>
                                  <w:rFonts w:ascii="Arial" w:hAnsi="Arial" w:cs="Arial"/>
                                </w:rPr>
                              </w:pPr>
                              <w:r>
                                <w:rPr>
                                  <w:rFonts w:ascii="Arial" w:hAnsi="Arial" w:cs="Arial"/>
                                  <w:lang w:val="de-DE"/>
                                </w:rPr>
                                <w:t>Tiempo de supervivencia en meses</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59ABEE2" id="Group 105" o:spid="_x0000_s1040" style="position:absolute;margin-left:-20.1pt;margin-top:4.65pt;width:408.75pt;height:224.3pt;z-index:251658240" coordorigin="1016,1733" coordsize="8175,44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A79QIAADwKAAAOAAAAZHJzL2Uyb0RvYy54bWzkVl1v0zAUfUfiP1h+Z2k+2rTR2mlsbEIa&#10;MGnjB7iO8yES29huk/HrubaTtitIwJCAiTxYtq99fe85xzc+PevbBm2Z0rXgSxyeTDBinIq85uUS&#10;f7y/ejXHSBvCc9IIzpb4gWl8tnr54rSTGYtEJZqcKQROuM46ucSVMTILAk0r1hJ9IiTjYCyEaomB&#10;oSqDXJEOvLdNEE0ms6ATKpdKUKY1zF56I145/0XBqPlQFJoZ1CwxxGZcq1y7tm2wOiVZqYisajqE&#10;QZ4QRUtqDofuXF0SQ9BG1d+4amuqhBaFOaGiDURR1JS5HCCbcHKUzbUSG+lyKbOulDuYANojnJ7s&#10;lr7f3ipU58BdiBEnLXDkjkXhZGrR6WSZwaJrJe/krfIpQvdG0E8azMGx3Y5Lvxitu3ciB4dkY4RD&#10;py9Ua11A3qh3JDzsSGC9QRQmp+EiDKMpRhRs0TyZz8KBJloBl3ZfOAlnGIE5TOPYU0irN8P+eZgO&#10;mxPYa60ByfzBLtghOJsZSE7vUdW/h+pdRSRzZGkL2IhqNKJ6bxN8LXoUeVjdKospMj1MQzIOIu2h&#10;RVxcVISX7Fwp0VWM5BBe6LKxccMBng470NbJj7D+DmYj4rM48WjHSbR4BBjJpNLmmokW2c4SK7hQ&#10;LkyyvdHGYzsuscRq0dT5Vd00bqDK9UWj0JbA5btyn9/byIr4Wccs8KP9UsfVIx8Nt564sD79cXYG&#10;iPRpexZNv+6dhl301rYW+QOAooS/8FCgoGPbKIUq0MF9X2L9eUMUw6h5ywHbRZgktkC4QTJNIxio&#10;Q8v60EI4rQSUEYOR714YX1Q2UtVlBYd5Nrk4B+0XtYNqH9iQAajvT8kw/ldkuLAEwNWNo2RutUay&#10;UYZpFEEJcrc+mo7CGCvGKLKf1OFOMCT7NQX5WrNn6khCQPqX/1I/UCH8z+Evl7F4MfH6mc7TofSP&#10;+onTOB3r2OO6/9zKGPyK4WY8JxG6Pys8UVwBH55T9g10OHZFb//oW30FAAD//wMAUEsDBBQABgAI&#10;AAAAIQCKF7zO4QAAAAkBAAAPAAAAZHJzL2Rvd25yZXYueG1sTI/NasMwEITvhb6D2EJviez81I3r&#10;dQih7SkEmhRKb4q1sU2slbEU23n7qqf2NssMM99m69E0oqfO1ZYR4mkEgriwuuYS4fP4NnkG4bxi&#10;rRrLhHAjB+v8/i5TqbYDf1B/8KUIJexShVB536ZSuqIio9zUtsTBO9vOKB/OrpS6U0MoN42cRdGT&#10;NKrmsFCplrYVFZfD1SC8D2rYzOPXfnc5b2/fx+X+axcT4uPDuHkB4Wn0f2H4xQ/okAemk72ydqJB&#10;mCyiWYgirOYggp8kSRAnhMUyWYHMM/n/g/wHAAD//wMAUEsBAi0AFAAGAAgAAAAhALaDOJL+AAAA&#10;4QEAABMAAAAAAAAAAAAAAAAAAAAAAFtDb250ZW50X1R5cGVzXS54bWxQSwECLQAUAAYACAAAACEA&#10;OP0h/9YAAACUAQAACwAAAAAAAAAAAAAAAAAvAQAAX3JlbHMvLnJlbHNQSwECLQAUAAYACAAAACEA&#10;/nngO/UCAAA8CgAADgAAAAAAAAAAAAAAAAAuAgAAZHJzL2Uyb0RvYy54bWxQSwECLQAUAAYACAAA&#10;ACEAihe8zuEAAAAJAQAADwAAAAAAAAAAAAAAAABPBQAAZHJzL2Rvd25yZXYueG1sUEsFBgAAAAAE&#10;AAQA8wAAAF0GAAAAAA==&#10;">
                <v:shape id="Text Box 2" o:spid="_x0000_s1041" type="#_x0000_t202" style="position:absolute;left:1016;top:1733;width:634;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oxJwQAAANsAAAAPAAAAZHJzL2Rvd25yZXYueG1sRE9Na8JA&#10;EL0X/A/LCL3VjRZqiK4igiAIQtWK3obsmASzsyE7auyv7xYKvc3jfc503rla3akNlWcDw0ECijj3&#10;tuLCwGG/ektBBUG2WHsmA08KMJ/1XqaYWf/gT7rvpFAxhEOGBkqRJtM65CU5DAPfEEfu4luHEmFb&#10;aNviI4a7Wo+S5EM7rDg2lNjQsqT8urs5A+fjd0pfore4lvfxig5hczmlxrz2u8UElFAn/+I/99rG&#10;+SP4/SUeoGc/AAAA//8DAFBLAQItABQABgAIAAAAIQDb4fbL7gAAAIUBAAATAAAAAAAAAAAAAAAA&#10;AAAAAABbQ29udGVudF9UeXBlc10ueG1sUEsBAi0AFAAGAAgAAAAhAFr0LFu/AAAAFQEAAAsAAAAA&#10;AAAAAAAAAAAAHwEAAF9yZWxzLy5yZWxzUEsBAi0AFAAGAAgAAAAhAEjWjEnBAAAA2wAAAA8AAAAA&#10;AAAAAAAAAAAABwIAAGRycy9kb3ducmV2LnhtbFBLBQYAAAAAAwADALcAAAD1AgAAAAA=&#10;" stroked="f">
                  <v:fill opacity="0"/>
                  <v:textbox style="layout-flow:vertical;mso-layout-flow-alt:bottom-to-top">
                    <w:txbxContent>
                      <w:p w14:paraId="33A09D6F" w14:textId="77777777" w:rsidR="00777AB3" w:rsidRPr="00A33DBA" w:rsidRDefault="00777AB3" w:rsidP="00C45062">
                        <w:pPr>
                          <w:rPr>
                            <w:rFonts w:ascii="Arial" w:hAnsi="Arial" w:cs="Arial"/>
                          </w:rPr>
                        </w:pPr>
                        <w:r>
                          <w:rPr>
                            <w:rFonts w:ascii="Arial" w:hAnsi="Arial" w:cs="Arial"/>
                          </w:rPr>
                          <w:t>Probabilidad de supervivencia global</w:t>
                        </w:r>
                      </w:p>
                    </w:txbxContent>
                  </v:textbox>
                </v:shape>
                <v:shape id="Text Box 2" o:spid="_x0000_s1042" type="#_x0000_t202" style="position:absolute;left:1970;top:3248;width:7221;height:22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kuOwQAAANsAAAAPAAAAZHJzL2Rvd25yZXYueG1sRE9Na8JA&#10;EL0X/A/LCN50V22lxmxEWgo9tZi2grchOybB7GzIbk38925B6G0e73PS7WAbcaHO1441zGcKBHHh&#10;TM2lhu+vt+kzCB+QDTaOScOVPGyz0UOKiXE97+mSh1LEEPYJaqhCaBMpfVGRRT9zLXHkTq6zGCLs&#10;Smk67GO4beRCqZW0WHNsqLCll4qKc/5rNfx8nI6HR/VZvtqntneDkmzXUuvJeNhtQAQawr/47n43&#10;cf4S/n6JB8jsBgAA//8DAFBLAQItABQABgAIAAAAIQDb4fbL7gAAAIUBAAATAAAAAAAAAAAAAAAA&#10;AAAAAABbQ29udGVudF9UeXBlc10ueG1sUEsBAi0AFAAGAAgAAAAhAFr0LFu/AAAAFQEAAAsAAAAA&#10;AAAAAAAAAAAAHwEAAF9yZWxzLy5yZWxzUEsBAi0AFAAGAAgAAAAhAKxSS47BAAAA2wAAAA8AAAAA&#10;AAAAAAAAAAAABwIAAGRycy9kb3ducmV2LnhtbFBLBQYAAAAAAwADALcAAAD1AgAAAAA=&#10;" filled="f" stroked="f">
                  <v:textbox>
                    <w:txbxContent>
                      <w:p w14:paraId="0EEA9840" w14:textId="77777777" w:rsidR="00777AB3" w:rsidRDefault="00777AB3" w:rsidP="00C45062">
                        <w:pPr>
                          <w:rPr>
                            <w:rFonts w:ascii="Arial" w:hAnsi="Arial" w:cs="Arial"/>
                          </w:rPr>
                        </w:pPr>
                      </w:p>
                      <w:tbl>
                        <w:tblPr>
                          <w:tblW w:w="0" w:type="auto"/>
                          <w:tblLook w:val="04A0" w:firstRow="1" w:lastRow="0" w:firstColumn="1" w:lastColumn="0" w:noHBand="0" w:noVBand="1"/>
                        </w:tblPr>
                        <w:tblGrid>
                          <w:gridCol w:w="817"/>
                          <w:gridCol w:w="2464"/>
                          <w:gridCol w:w="851"/>
                          <w:gridCol w:w="709"/>
                          <w:gridCol w:w="850"/>
                        </w:tblGrid>
                        <w:tr w:rsidR="00777AB3" w:rsidRPr="0055776F" w14:paraId="29AF884C" w14:textId="77777777" w:rsidTr="004B54D7">
                          <w:tc>
                            <w:tcPr>
                              <w:tcW w:w="5691" w:type="dxa"/>
                              <w:gridSpan w:val="5"/>
                              <w:shd w:val="clear" w:color="auto" w:fill="auto"/>
                            </w:tcPr>
                            <w:p w14:paraId="58DF9A07" w14:textId="77777777" w:rsidR="00777AB3" w:rsidRPr="0055776F" w:rsidRDefault="00777AB3" w:rsidP="004B54D7">
                              <w:pPr>
                                <w:rPr>
                                  <w:rFonts w:ascii="Arial" w:hAnsi="Arial" w:cs="Arial"/>
                                </w:rPr>
                              </w:pPr>
                              <w:r>
                                <w:rPr>
                                  <w:rFonts w:ascii="Arial" w:hAnsi="Arial" w:cs="Arial"/>
                                </w:rPr>
                                <w:t>P = 0,0</w:t>
                              </w:r>
                              <w:r w:rsidRPr="0055776F">
                                <w:rPr>
                                  <w:rFonts w:ascii="Arial" w:hAnsi="Arial" w:cs="Arial"/>
                                </w:rPr>
                                <w:t>19</w:t>
                              </w:r>
                            </w:p>
                            <w:p w14:paraId="1524E306" w14:textId="77777777" w:rsidR="00777AB3" w:rsidRPr="00A33DBA" w:rsidRDefault="00777AB3" w:rsidP="0096481B">
                              <w:pPr>
                                <w:rPr>
                                  <w:rFonts w:ascii="Arial" w:hAnsi="Arial" w:cs="Arial"/>
                                </w:rPr>
                              </w:pPr>
                              <w:r>
                                <w:rPr>
                                  <w:rFonts w:ascii="Arial" w:hAnsi="Arial" w:cs="Arial"/>
                                </w:rPr>
                                <w:t xml:space="preserve">Cociente de riesgo </w:t>
                              </w:r>
                              <w:r w:rsidRPr="00A33DBA">
                                <w:rPr>
                                  <w:rFonts w:ascii="Arial" w:hAnsi="Arial" w:cs="Arial"/>
                                </w:rPr>
                                <w:t>0</w:t>
                              </w:r>
                              <w:r>
                                <w:rPr>
                                  <w:rFonts w:ascii="Arial" w:hAnsi="Arial" w:cs="Arial"/>
                                </w:rPr>
                                <w:t>,</w:t>
                              </w:r>
                              <w:r w:rsidRPr="00A33DBA">
                                <w:rPr>
                                  <w:rFonts w:ascii="Arial" w:hAnsi="Arial" w:cs="Arial"/>
                                </w:rPr>
                                <w:t>45</w:t>
                              </w:r>
                            </w:p>
                            <w:p w14:paraId="432626E9" w14:textId="77777777" w:rsidR="00777AB3" w:rsidRPr="00CE1E85" w:rsidRDefault="00777AB3" w:rsidP="0096481B">
                              <w:pPr>
                                <w:rPr>
                                  <w:rFonts w:ascii="Arial" w:hAnsi="Arial" w:cs="Arial"/>
                                  <w:lang w:val="es-ES"/>
                                </w:rPr>
                              </w:pPr>
                              <w:r w:rsidRPr="00A33DBA">
                                <w:rPr>
                                  <w:rFonts w:ascii="Arial" w:hAnsi="Arial" w:cs="Arial"/>
                                </w:rPr>
                                <w:t>(</w:t>
                              </w:r>
                              <w:r>
                                <w:rPr>
                                  <w:rFonts w:ascii="Arial" w:hAnsi="Arial" w:cs="Arial"/>
                                </w:rPr>
                                <w:t xml:space="preserve">IC </w:t>
                              </w:r>
                              <w:r w:rsidRPr="00A33DBA">
                                <w:rPr>
                                  <w:rFonts w:ascii="Arial" w:hAnsi="Arial" w:cs="Arial"/>
                                </w:rPr>
                                <w:t>95%, 0</w:t>
                              </w:r>
                              <w:r>
                                <w:rPr>
                                  <w:rFonts w:ascii="Arial" w:hAnsi="Arial" w:cs="Arial"/>
                                </w:rPr>
                                <w:t>,22</w:t>
                              </w:r>
                              <w:r>
                                <w:rPr>
                                  <w:rFonts w:ascii="Arial" w:hAnsi="Arial" w:cs="Arial"/>
                                </w:rPr>
                                <w:noBreakHyphen/>
                              </w:r>
                              <w:r w:rsidRPr="00A33DBA">
                                <w:rPr>
                                  <w:rFonts w:ascii="Arial" w:hAnsi="Arial" w:cs="Arial"/>
                                </w:rPr>
                                <w:t>0</w:t>
                              </w:r>
                              <w:r>
                                <w:rPr>
                                  <w:rFonts w:ascii="Arial" w:hAnsi="Arial" w:cs="Arial"/>
                                </w:rPr>
                                <w:t>,</w:t>
                              </w:r>
                              <w:r w:rsidRPr="00A33DBA">
                                <w:rPr>
                                  <w:rFonts w:ascii="Arial" w:hAnsi="Arial" w:cs="Arial"/>
                                </w:rPr>
                                <w:t>89)</w:t>
                              </w:r>
                            </w:p>
                          </w:tc>
                        </w:tr>
                        <w:tr w:rsidR="00777AB3" w:rsidRPr="0055776F" w14:paraId="6C63017F" w14:textId="77777777" w:rsidTr="004B54D7">
                          <w:tc>
                            <w:tcPr>
                              <w:tcW w:w="817" w:type="dxa"/>
                              <w:shd w:val="clear" w:color="auto" w:fill="auto"/>
                            </w:tcPr>
                            <w:p w14:paraId="4E0C824E" w14:textId="77777777" w:rsidR="00777AB3" w:rsidRPr="0055776F" w:rsidRDefault="00777AB3" w:rsidP="004B54D7">
                              <w:pPr>
                                <w:rPr>
                                  <w:rFonts w:ascii="Arial" w:hAnsi="Arial" w:cs="Arial"/>
                                </w:rPr>
                              </w:pPr>
                            </w:p>
                          </w:tc>
                          <w:tc>
                            <w:tcPr>
                              <w:tcW w:w="2464" w:type="dxa"/>
                              <w:shd w:val="clear" w:color="auto" w:fill="auto"/>
                            </w:tcPr>
                            <w:p w14:paraId="50EFDB1A" w14:textId="77777777" w:rsidR="00777AB3" w:rsidRPr="0055776F" w:rsidRDefault="00777AB3" w:rsidP="004B54D7">
                              <w:pPr>
                                <w:rPr>
                                  <w:rFonts w:ascii="Arial" w:hAnsi="Arial" w:cs="Arial"/>
                                </w:rPr>
                              </w:pPr>
                            </w:p>
                          </w:tc>
                          <w:tc>
                            <w:tcPr>
                              <w:tcW w:w="851" w:type="dxa"/>
                              <w:tcBorders>
                                <w:bottom w:val="single" w:sz="4" w:space="0" w:color="auto"/>
                              </w:tcBorders>
                              <w:shd w:val="clear" w:color="auto" w:fill="auto"/>
                            </w:tcPr>
                            <w:p w14:paraId="1CB55C73" w14:textId="77777777" w:rsidR="00777AB3" w:rsidRPr="0055776F" w:rsidRDefault="00777AB3" w:rsidP="004B54D7">
                              <w:pPr>
                                <w:rPr>
                                  <w:rFonts w:ascii="Arial" w:hAnsi="Arial" w:cs="Arial"/>
                                </w:rPr>
                              </w:pPr>
                              <w:r w:rsidRPr="0055776F">
                                <w:rPr>
                                  <w:rFonts w:ascii="Arial" w:hAnsi="Arial" w:cs="Arial"/>
                                  <w:lang w:val="de-DE"/>
                                </w:rPr>
                                <w:t>N</w:t>
                              </w:r>
                            </w:p>
                          </w:tc>
                          <w:tc>
                            <w:tcPr>
                              <w:tcW w:w="709" w:type="dxa"/>
                              <w:tcBorders>
                                <w:bottom w:val="single" w:sz="4" w:space="0" w:color="auto"/>
                              </w:tcBorders>
                              <w:shd w:val="clear" w:color="auto" w:fill="auto"/>
                            </w:tcPr>
                            <w:p w14:paraId="74A85FBF" w14:textId="77777777" w:rsidR="00777AB3" w:rsidRPr="0055776F" w:rsidRDefault="00777AB3" w:rsidP="004B54D7">
                              <w:pPr>
                                <w:rPr>
                                  <w:rFonts w:ascii="Arial" w:hAnsi="Arial" w:cs="Arial"/>
                                </w:rPr>
                              </w:pPr>
                              <w:r w:rsidRPr="0055776F">
                                <w:rPr>
                                  <w:rFonts w:ascii="Arial" w:hAnsi="Arial" w:cs="Arial"/>
                                  <w:lang w:val="de-DE"/>
                                </w:rPr>
                                <w:t>Evt</w:t>
                              </w:r>
                            </w:p>
                          </w:tc>
                          <w:tc>
                            <w:tcPr>
                              <w:tcW w:w="850" w:type="dxa"/>
                              <w:tcBorders>
                                <w:bottom w:val="single" w:sz="4" w:space="0" w:color="auto"/>
                              </w:tcBorders>
                              <w:shd w:val="clear" w:color="auto" w:fill="auto"/>
                            </w:tcPr>
                            <w:p w14:paraId="7A6E1686" w14:textId="77777777" w:rsidR="00777AB3" w:rsidRPr="0055776F" w:rsidRDefault="00777AB3" w:rsidP="004B54D7">
                              <w:pPr>
                                <w:rPr>
                                  <w:rFonts w:ascii="Arial" w:hAnsi="Arial" w:cs="Arial"/>
                                </w:rPr>
                              </w:pPr>
                              <w:r w:rsidRPr="0055776F">
                                <w:rPr>
                                  <w:rFonts w:ascii="Arial" w:hAnsi="Arial" w:cs="Arial"/>
                                  <w:lang w:val="de-DE"/>
                                </w:rPr>
                                <w:t>Cen</w:t>
                              </w:r>
                            </w:p>
                          </w:tc>
                        </w:tr>
                        <w:tr w:rsidR="00777AB3" w:rsidRPr="0055776F" w14:paraId="6C7D56A0" w14:textId="77777777" w:rsidTr="004B54D7">
                          <w:tc>
                            <w:tcPr>
                              <w:tcW w:w="817" w:type="dxa"/>
                              <w:shd w:val="clear" w:color="auto" w:fill="auto"/>
                            </w:tcPr>
                            <w:p w14:paraId="2D3D57DA" w14:textId="77777777" w:rsidR="00777AB3" w:rsidRPr="0055776F" w:rsidRDefault="00777AB3" w:rsidP="004B54D7">
                              <w:pPr>
                                <w:rPr>
                                  <w:rFonts w:ascii="Arial" w:hAnsi="Arial" w:cs="Arial"/>
                                </w:rPr>
                              </w:pPr>
                              <w:r w:rsidRPr="0055776F">
                                <w:rPr>
                                  <w:rFonts w:ascii="Arial" w:hAnsi="Arial" w:cs="Arial"/>
                                  <w:b/>
                                </w:rPr>
                                <w:t>——</w:t>
                              </w:r>
                            </w:p>
                          </w:tc>
                          <w:tc>
                            <w:tcPr>
                              <w:tcW w:w="2464" w:type="dxa"/>
                              <w:shd w:val="clear" w:color="auto" w:fill="auto"/>
                            </w:tcPr>
                            <w:p w14:paraId="256023A2" w14:textId="77777777" w:rsidR="00777AB3" w:rsidRPr="0055776F" w:rsidRDefault="00777AB3" w:rsidP="004B54D7">
                              <w:pPr>
                                <w:rPr>
                                  <w:rFonts w:ascii="Arial" w:hAnsi="Arial" w:cs="Arial"/>
                                </w:rPr>
                              </w:pPr>
                              <w:r w:rsidRPr="0055776F">
                                <w:rPr>
                                  <w:rFonts w:ascii="Arial" w:hAnsi="Arial" w:cs="Arial"/>
                                </w:rPr>
                                <w:t xml:space="preserve">(1) </w:t>
                              </w:r>
                              <w:r>
                                <w:rPr>
                                  <w:rFonts w:ascii="Arial" w:hAnsi="Arial" w:cs="Arial"/>
                                </w:rPr>
                                <w:t>Imatinib 12 </w:t>
                              </w:r>
                              <w:r w:rsidRPr="00A33DBA">
                                <w:rPr>
                                  <w:rFonts w:ascii="Arial" w:hAnsi="Arial" w:cs="Arial"/>
                                </w:rPr>
                                <w:t>M</w:t>
                              </w:r>
                              <w:r>
                                <w:rPr>
                                  <w:rFonts w:ascii="Arial" w:hAnsi="Arial" w:cs="Arial"/>
                                </w:rPr>
                                <w:t>E</w:t>
                              </w:r>
                              <w:r w:rsidRPr="0055776F">
                                <w:rPr>
                                  <w:rFonts w:ascii="Arial" w:hAnsi="Arial" w:cs="Arial"/>
                                </w:rPr>
                                <w:t>:</w:t>
                              </w:r>
                            </w:p>
                          </w:tc>
                          <w:tc>
                            <w:tcPr>
                              <w:tcW w:w="851" w:type="dxa"/>
                              <w:tcBorders>
                                <w:top w:val="single" w:sz="4" w:space="0" w:color="auto"/>
                              </w:tcBorders>
                              <w:shd w:val="clear" w:color="auto" w:fill="auto"/>
                            </w:tcPr>
                            <w:p w14:paraId="7443C4BB" w14:textId="77777777" w:rsidR="00777AB3" w:rsidRPr="0055776F" w:rsidRDefault="00777AB3" w:rsidP="004B54D7">
                              <w:pPr>
                                <w:rPr>
                                  <w:rFonts w:ascii="Arial" w:hAnsi="Arial" w:cs="Arial"/>
                                </w:rPr>
                              </w:pPr>
                              <w:r w:rsidRPr="0055776F">
                                <w:rPr>
                                  <w:rFonts w:ascii="Arial" w:hAnsi="Arial" w:cs="Arial"/>
                                </w:rPr>
                                <w:t>199</w:t>
                              </w:r>
                            </w:p>
                          </w:tc>
                          <w:tc>
                            <w:tcPr>
                              <w:tcW w:w="709" w:type="dxa"/>
                              <w:tcBorders>
                                <w:top w:val="single" w:sz="4" w:space="0" w:color="auto"/>
                              </w:tcBorders>
                              <w:shd w:val="clear" w:color="auto" w:fill="auto"/>
                            </w:tcPr>
                            <w:p w14:paraId="66DF33B1" w14:textId="77777777" w:rsidR="00777AB3" w:rsidRPr="0055776F" w:rsidRDefault="00777AB3" w:rsidP="004B54D7">
                              <w:pPr>
                                <w:rPr>
                                  <w:rFonts w:ascii="Arial" w:hAnsi="Arial" w:cs="Arial"/>
                                </w:rPr>
                              </w:pPr>
                              <w:r w:rsidRPr="0055776F">
                                <w:rPr>
                                  <w:rFonts w:ascii="Arial" w:hAnsi="Arial" w:cs="Arial"/>
                                </w:rPr>
                                <w:t>25</w:t>
                              </w:r>
                            </w:p>
                          </w:tc>
                          <w:tc>
                            <w:tcPr>
                              <w:tcW w:w="850" w:type="dxa"/>
                              <w:tcBorders>
                                <w:top w:val="single" w:sz="4" w:space="0" w:color="auto"/>
                              </w:tcBorders>
                              <w:shd w:val="clear" w:color="auto" w:fill="auto"/>
                            </w:tcPr>
                            <w:p w14:paraId="1BCEED96" w14:textId="77777777" w:rsidR="00777AB3" w:rsidRPr="0055776F" w:rsidRDefault="00777AB3" w:rsidP="004B54D7">
                              <w:pPr>
                                <w:rPr>
                                  <w:rFonts w:ascii="Arial" w:hAnsi="Arial" w:cs="Arial"/>
                                </w:rPr>
                              </w:pPr>
                              <w:r w:rsidRPr="0055776F">
                                <w:rPr>
                                  <w:rFonts w:ascii="Arial" w:hAnsi="Arial" w:cs="Arial"/>
                                </w:rPr>
                                <w:t>174</w:t>
                              </w:r>
                            </w:p>
                          </w:tc>
                        </w:tr>
                        <w:tr w:rsidR="00777AB3" w:rsidRPr="0055776F" w14:paraId="0F222E1E" w14:textId="77777777" w:rsidTr="004B54D7">
                          <w:tc>
                            <w:tcPr>
                              <w:tcW w:w="817" w:type="dxa"/>
                              <w:shd w:val="clear" w:color="auto" w:fill="auto"/>
                            </w:tcPr>
                            <w:p w14:paraId="1F712EBD" w14:textId="77777777" w:rsidR="00777AB3" w:rsidRPr="0055776F" w:rsidRDefault="00777AB3" w:rsidP="004B54D7">
                              <w:pPr>
                                <w:rPr>
                                  <w:rFonts w:ascii="Arial" w:hAnsi="Arial" w:cs="Arial"/>
                                </w:rPr>
                              </w:pPr>
                              <w:r w:rsidRPr="0055776F">
                                <w:rPr>
                                  <w:rFonts w:ascii="Arial" w:hAnsi="Arial" w:cs="Arial"/>
                                </w:rPr>
                                <w:t>-----</w:t>
                              </w:r>
                            </w:p>
                          </w:tc>
                          <w:tc>
                            <w:tcPr>
                              <w:tcW w:w="2464" w:type="dxa"/>
                              <w:shd w:val="clear" w:color="auto" w:fill="auto"/>
                            </w:tcPr>
                            <w:p w14:paraId="541AD0D1" w14:textId="77777777" w:rsidR="00777AB3" w:rsidRPr="0055776F" w:rsidRDefault="00777AB3" w:rsidP="004B54D7">
                              <w:pPr>
                                <w:rPr>
                                  <w:rFonts w:ascii="Arial" w:hAnsi="Arial" w:cs="Arial"/>
                                </w:rPr>
                              </w:pPr>
                              <w:r>
                                <w:rPr>
                                  <w:rFonts w:ascii="Arial" w:hAnsi="Arial" w:cs="Arial"/>
                                </w:rPr>
                                <w:t>(2) Imatinib 36 </w:t>
                              </w:r>
                              <w:r w:rsidRPr="00A33DBA">
                                <w:rPr>
                                  <w:rFonts w:ascii="Arial" w:hAnsi="Arial" w:cs="Arial"/>
                                </w:rPr>
                                <w:t>M</w:t>
                              </w:r>
                              <w:r>
                                <w:rPr>
                                  <w:rFonts w:ascii="Arial" w:hAnsi="Arial" w:cs="Arial"/>
                                </w:rPr>
                                <w:t>E</w:t>
                              </w:r>
                              <w:r w:rsidRPr="0055776F">
                                <w:rPr>
                                  <w:rFonts w:ascii="Arial" w:hAnsi="Arial" w:cs="Arial"/>
                                </w:rPr>
                                <w:t>:</w:t>
                              </w:r>
                            </w:p>
                          </w:tc>
                          <w:tc>
                            <w:tcPr>
                              <w:tcW w:w="851" w:type="dxa"/>
                              <w:tcBorders>
                                <w:bottom w:val="single" w:sz="4" w:space="0" w:color="auto"/>
                              </w:tcBorders>
                              <w:shd w:val="clear" w:color="auto" w:fill="auto"/>
                            </w:tcPr>
                            <w:p w14:paraId="23C9B8B2" w14:textId="77777777" w:rsidR="00777AB3" w:rsidRPr="0055776F" w:rsidRDefault="00777AB3" w:rsidP="004B54D7">
                              <w:pPr>
                                <w:rPr>
                                  <w:rFonts w:ascii="Arial" w:hAnsi="Arial" w:cs="Arial"/>
                                </w:rPr>
                              </w:pPr>
                              <w:r w:rsidRPr="0055776F">
                                <w:rPr>
                                  <w:rFonts w:ascii="Arial" w:hAnsi="Arial" w:cs="Arial"/>
                                </w:rPr>
                                <w:t>198</w:t>
                              </w:r>
                            </w:p>
                          </w:tc>
                          <w:tc>
                            <w:tcPr>
                              <w:tcW w:w="709" w:type="dxa"/>
                              <w:tcBorders>
                                <w:bottom w:val="single" w:sz="4" w:space="0" w:color="auto"/>
                              </w:tcBorders>
                              <w:shd w:val="clear" w:color="auto" w:fill="auto"/>
                            </w:tcPr>
                            <w:p w14:paraId="0CBF452E" w14:textId="77777777" w:rsidR="00777AB3" w:rsidRPr="0055776F" w:rsidRDefault="00777AB3" w:rsidP="004B54D7">
                              <w:pPr>
                                <w:rPr>
                                  <w:rFonts w:ascii="Arial" w:hAnsi="Arial" w:cs="Arial"/>
                                </w:rPr>
                              </w:pPr>
                              <w:r w:rsidRPr="0055776F">
                                <w:rPr>
                                  <w:rFonts w:ascii="Arial" w:hAnsi="Arial" w:cs="Arial"/>
                                </w:rPr>
                                <w:t>12</w:t>
                              </w:r>
                            </w:p>
                          </w:tc>
                          <w:tc>
                            <w:tcPr>
                              <w:tcW w:w="850" w:type="dxa"/>
                              <w:tcBorders>
                                <w:bottom w:val="single" w:sz="4" w:space="0" w:color="auto"/>
                              </w:tcBorders>
                              <w:shd w:val="clear" w:color="auto" w:fill="auto"/>
                            </w:tcPr>
                            <w:p w14:paraId="20CDB840" w14:textId="77777777" w:rsidR="00777AB3" w:rsidRPr="0055776F" w:rsidRDefault="00777AB3" w:rsidP="004B54D7">
                              <w:pPr>
                                <w:rPr>
                                  <w:rFonts w:ascii="Arial" w:hAnsi="Arial" w:cs="Arial"/>
                                </w:rPr>
                              </w:pPr>
                              <w:r w:rsidRPr="0055776F">
                                <w:rPr>
                                  <w:rFonts w:ascii="Arial" w:hAnsi="Arial" w:cs="Arial"/>
                                </w:rPr>
                                <w:t>186</w:t>
                              </w:r>
                            </w:p>
                          </w:tc>
                        </w:tr>
                        <w:tr w:rsidR="00777AB3" w:rsidRPr="0055776F" w14:paraId="3953A3E3" w14:textId="77777777" w:rsidTr="004B54D7">
                          <w:tc>
                            <w:tcPr>
                              <w:tcW w:w="817" w:type="dxa"/>
                              <w:shd w:val="clear" w:color="auto" w:fill="auto"/>
                            </w:tcPr>
                            <w:p w14:paraId="2D4FF796" w14:textId="77777777" w:rsidR="00777AB3" w:rsidRPr="0055776F" w:rsidRDefault="00777AB3" w:rsidP="004B54D7">
                              <w:pPr>
                                <w:rPr>
                                  <w:rFonts w:ascii="Arial" w:hAnsi="Arial" w:cs="Arial"/>
                                </w:rPr>
                              </w:pPr>
                              <w:r w:rsidRPr="0055776F">
                                <w:rPr>
                                  <w:rFonts w:ascii="Arial" w:hAnsi="Arial" w:cs="Arial"/>
                                </w:rPr>
                                <w:t>│││</w:t>
                              </w:r>
                            </w:p>
                          </w:tc>
                          <w:tc>
                            <w:tcPr>
                              <w:tcW w:w="2464" w:type="dxa"/>
                              <w:shd w:val="clear" w:color="auto" w:fill="auto"/>
                            </w:tcPr>
                            <w:p w14:paraId="6FDA024B" w14:textId="77777777" w:rsidR="00777AB3" w:rsidRPr="0055776F" w:rsidRDefault="00777AB3" w:rsidP="004B54D7">
                              <w:pPr>
                                <w:rPr>
                                  <w:rFonts w:ascii="Arial" w:hAnsi="Arial" w:cs="Arial"/>
                                </w:rPr>
                              </w:pPr>
                              <w:r>
                                <w:rPr>
                                  <w:rFonts w:ascii="Arial" w:hAnsi="Arial" w:cs="Arial"/>
                                </w:rPr>
                                <w:t>Observaciones censuradas</w:t>
                              </w:r>
                            </w:p>
                          </w:tc>
                          <w:tc>
                            <w:tcPr>
                              <w:tcW w:w="851" w:type="dxa"/>
                              <w:tcBorders>
                                <w:top w:val="single" w:sz="4" w:space="0" w:color="auto"/>
                              </w:tcBorders>
                              <w:shd w:val="clear" w:color="auto" w:fill="auto"/>
                            </w:tcPr>
                            <w:p w14:paraId="1996D80E" w14:textId="77777777" w:rsidR="00777AB3" w:rsidRPr="0055776F" w:rsidRDefault="00777AB3" w:rsidP="004B54D7">
                              <w:pPr>
                                <w:rPr>
                                  <w:rFonts w:ascii="Arial" w:hAnsi="Arial" w:cs="Arial"/>
                                </w:rPr>
                              </w:pPr>
                            </w:p>
                          </w:tc>
                          <w:tc>
                            <w:tcPr>
                              <w:tcW w:w="709" w:type="dxa"/>
                              <w:tcBorders>
                                <w:top w:val="single" w:sz="4" w:space="0" w:color="auto"/>
                              </w:tcBorders>
                              <w:shd w:val="clear" w:color="auto" w:fill="auto"/>
                            </w:tcPr>
                            <w:p w14:paraId="4AEB5EA3" w14:textId="77777777" w:rsidR="00777AB3" w:rsidRPr="0055776F" w:rsidRDefault="00777AB3" w:rsidP="004B54D7">
                              <w:pPr>
                                <w:rPr>
                                  <w:rFonts w:ascii="Arial" w:hAnsi="Arial" w:cs="Arial"/>
                                </w:rPr>
                              </w:pPr>
                            </w:p>
                          </w:tc>
                          <w:tc>
                            <w:tcPr>
                              <w:tcW w:w="850" w:type="dxa"/>
                              <w:tcBorders>
                                <w:top w:val="single" w:sz="4" w:space="0" w:color="auto"/>
                              </w:tcBorders>
                              <w:shd w:val="clear" w:color="auto" w:fill="auto"/>
                            </w:tcPr>
                            <w:p w14:paraId="429A6CFB" w14:textId="77777777" w:rsidR="00777AB3" w:rsidRPr="0055776F" w:rsidRDefault="00777AB3" w:rsidP="004B54D7">
                              <w:pPr>
                                <w:rPr>
                                  <w:rFonts w:ascii="Arial" w:hAnsi="Arial" w:cs="Arial"/>
                                </w:rPr>
                              </w:pPr>
                            </w:p>
                          </w:tc>
                        </w:tr>
                      </w:tbl>
                      <w:p w14:paraId="58C318F9" w14:textId="77777777" w:rsidR="00777AB3" w:rsidRPr="00A33DBA" w:rsidRDefault="00777AB3" w:rsidP="00C45062">
                        <w:pPr>
                          <w:rPr>
                            <w:rFonts w:ascii="Arial" w:hAnsi="Arial" w:cs="Arial"/>
                          </w:rPr>
                        </w:pPr>
                      </w:p>
                      <w:p w14:paraId="4FA1FCAC" w14:textId="77777777" w:rsidR="00777AB3" w:rsidRPr="00A33DBA" w:rsidRDefault="00777AB3" w:rsidP="00C45062">
                        <w:pPr>
                          <w:rPr>
                            <w:rFonts w:ascii="Arial" w:hAnsi="Arial" w:cs="Arial"/>
                          </w:rPr>
                        </w:pPr>
                      </w:p>
                    </w:txbxContent>
                  </v:textbox>
                </v:shape>
                <v:shape id="Text Box 2" o:spid="_x0000_s1043" type="#_x0000_t202" style="position:absolute;left:3900;top:5873;width:3737;height: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vA7HwwAAANsAAAAPAAAAZHJzL2Rvd25yZXYueG1sRI9Bi8Iw&#10;EIXvC/6HMIKXRVNlkVKNIqKgoAtb9T42Y1ttJqWJ2v33ZkHY2wzvzfveTOetqcSDGldaVjAcRCCI&#10;M6tLzhUcD+t+DMJ5ZI2VZVLwSw7ms87HFBNtn/xDj9TnIoSwS1BB4X2dSOmyggy6ga2Jg3axjUEf&#10;1iaXusFnCDeVHEXRWBosORAKrGlZUHZL7yZwV21cn8675XWbfp6vo28u9zEr1eu2iwkIT63/N7+v&#10;NzrU/4K/X8IAcvYCAAD//wMAUEsBAi0AFAAGAAgAAAAhANvh9svuAAAAhQEAABMAAAAAAAAAAAAA&#10;AAAAAAAAAFtDb250ZW50X1R5cGVzXS54bWxQSwECLQAUAAYACAAAACEAWvQsW78AAAAVAQAACwAA&#10;AAAAAAAAAAAAAAAfAQAAX3JlbHMvLnJlbHNQSwECLQAUAAYACAAAACEA+rwOx8MAAADbAAAADwAA&#10;AAAAAAAAAAAAAAAHAgAAZHJzL2Rvd25yZXYueG1sUEsFBgAAAAADAAMAtwAAAPcCAAAAAA==&#10;" stroked="f">
                  <v:fill opacity="0"/>
                  <v:textbox>
                    <w:txbxContent>
                      <w:p w14:paraId="7AB44E74" w14:textId="77777777" w:rsidR="00777AB3" w:rsidRPr="00A33DBA" w:rsidRDefault="00777AB3" w:rsidP="00C45062">
                        <w:pPr>
                          <w:rPr>
                            <w:rFonts w:ascii="Arial" w:hAnsi="Arial" w:cs="Arial"/>
                          </w:rPr>
                        </w:pPr>
                        <w:r>
                          <w:rPr>
                            <w:rFonts w:ascii="Arial" w:hAnsi="Arial" w:cs="Arial"/>
                            <w:lang w:val="de-DE"/>
                          </w:rPr>
                          <w:t>Tiempo de supervivencia en meses</w:t>
                        </w:r>
                      </w:p>
                    </w:txbxContent>
                  </v:textbox>
                </v:shape>
              </v:group>
            </w:pict>
          </mc:Fallback>
        </mc:AlternateContent>
      </w:r>
      <w:r w:rsidRPr="002D741C">
        <w:rPr>
          <w:noProof/>
          <w:lang w:eastAsia="en-GB"/>
        </w:rPr>
        <w:drawing>
          <wp:inline distT="0" distB="0" distL="0" distR="0" wp14:anchorId="42B3A5E1" wp14:editId="00EF8235">
            <wp:extent cx="5947410" cy="2632075"/>
            <wp:effectExtent l="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7410" cy="2632075"/>
                    </a:xfrm>
                    <a:prstGeom prst="rect">
                      <a:avLst/>
                    </a:prstGeom>
                    <a:noFill/>
                    <a:ln>
                      <a:noFill/>
                    </a:ln>
                  </pic:spPr>
                </pic:pic>
              </a:graphicData>
            </a:graphic>
          </wp:inline>
        </w:drawing>
      </w:r>
    </w:p>
    <w:p w14:paraId="7232C4A1" w14:textId="77777777" w:rsidR="00C45062" w:rsidRPr="002D741C" w:rsidRDefault="00C45062" w:rsidP="00C45062">
      <w:pPr>
        <w:pStyle w:val="EndnoteText"/>
        <w:widowControl w:val="0"/>
        <w:tabs>
          <w:tab w:val="clear" w:pos="567"/>
        </w:tabs>
        <w:rPr>
          <w:color w:val="000000"/>
          <w:szCs w:val="22"/>
          <w:lang w:val="es-ES_tradnl"/>
        </w:rPr>
      </w:pPr>
    </w:p>
    <w:p w14:paraId="20AE4482" w14:textId="77777777" w:rsidR="00C45062" w:rsidRPr="002D741C" w:rsidRDefault="00C45062" w:rsidP="00C45062">
      <w:pPr>
        <w:pStyle w:val="EndnoteText"/>
        <w:widowControl w:val="0"/>
        <w:tabs>
          <w:tab w:val="clear" w:pos="567"/>
        </w:tabs>
        <w:rPr>
          <w:color w:val="000000"/>
          <w:szCs w:val="22"/>
          <w:lang w:val="es-ES_tradnl"/>
        </w:rPr>
      </w:pPr>
    </w:p>
    <w:tbl>
      <w:tblPr>
        <w:tblW w:w="10632" w:type="dxa"/>
        <w:tblInd w:w="-318" w:type="dxa"/>
        <w:tblLook w:val="04A0" w:firstRow="1" w:lastRow="0" w:firstColumn="1" w:lastColumn="0" w:noHBand="0" w:noVBand="1"/>
      </w:tblPr>
      <w:tblGrid>
        <w:gridCol w:w="450"/>
        <w:gridCol w:w="687"/>
        <w:gridCol w:w="670"/>
        <w:gridCol w:w="710"/>
        <w:gridCol w:w="717"/>
        <w:gridCol w:w="691"/>
        <w:gridCol w:w="770"/>
        <w:gridCol w:w="779"/>
        <w:gridCol w:w="794"/>
        <w:gridCol w:w="653"/>
        <w:gridCol w:w="630"/>
        <w:gridCol w:w="643"/>
        <w:gridCol w:w="670"/>
        <w:gridCol w:w="683"/>
        <w:gridCol w:w="558"/>
        <w:gridCol w:w="527"/>
      </w:tblGrid>
      <w:tr w:rsidR="00C45062" w:rsidRPr="002D741C" w14:paraId="4CE44055" w14:textId="77777777" w:rsidTr="00F22369">
        <w:tc>
          <w:tcPr>
            <w:tcW w:w="10632" w:type="dxa"/>
            <w:gridSpan w:val="16"/>
            <w:shd w:val="clear" w:color="auto" w:fill="auto"/>
          </w:tcPr>
          <w:p w14:paraId="5886F7FB" w14:textId="77777777" w:rsidR="00C45062" w:rsidRPr="002D741C" w:rsidRDefault="00C45062" w:rsidP="00F22369">
            <w:pPr>
              <w:ind w:left="-27"/>
              <w:rPr>
                <w:rFonts w:ascii="Arial" w:hAnsi="Arial" w:cs="Arial"/>
                <w:sz w:val="16"/>
                <w:szCs w:val="16"/>
              </w:rPr>
            </w:pPr>
            <w:r w:rsidRPr="002D741C">
              <w:rPr>
                <w:rFonts w:ascii="Arial" w:hAnsi="Arial" w:cs="Arial"/>
              </w:rPr>
              <w:t>A riesgo : Eventos</w:t>
            </w:r>
          </w:p>
        </w:tc>
      </w:tr>
      <w:tr w:rsidR="00C45062" w:rsidRPr="002D741C" w14:paraId="503FF298" w14:textId="77777777" w:rsidTr="00F22369">
        <w:tc>
          <w:tcPr>
            <w:tcW w:w="450" w:type="dxa"/>
            <w:shd w:val="clear" w:color="auto" w:fill="auto"/>
          </w:tcPr>
          <w:p w14:paraId="6B84E926" w14:textId="77777777" w:rsidR="00C45062" w:rsidRPr="002D741C" w:rsidRDefault="00C45062" w:rsidP="00F22369">
            <w:r w:rsidRPr="002D741C">
              <w:t>(1)</w:t>
            </w:r>
          </w:p>
        </w:tc>
        <w:tc>
          <w:tcPr>
            <w:tcW w:w="687" w:type="dxa"/>
            <w:shd w:val="clear" w:color="auto" w:fill="auto"/>
          </w:tcPr>
          <w:p w14:paraId="64F142B3" w14:textId="77777777" w:rsidR="00C45062" w:rsidRPr="002D741C" w:rsidRDefault="00C45062" w:rsidP="00F22369">
            <w:pPr>
              <w:ind w:left="-45"/>
            </w:pPr>
            <w:r w:rsidRPr="002D741C">
              <w:t>199:0</w:t>
            </w:r>
          </w:p>
        </w:tc>
        <w:tc>
          <w:tcPr>
            <w:tcW w:w="670" w:type="dxa"/>
            <w:shd w:val="clear" w:color="auto" w:fill="auto"/>
          </w:tcPr>
          <w:p w14:paraId="1698BC73" w14:textId="77777777" w:rsidR="00C45062" w:rsidRPr="002D741C" w:rsidRDefault="00C45062" w:rsidP="00F22369">
            <w:pPr>
              <w:ind w:left="-45"/>
            </w:pPr>
            <w:r w:rsidRPr="002D741C">
              <w:t>190:2</w:t>
            </w:r>
          </w:p>
        </w:tc>
        <w:tc>
          <w:tcPr>
            <w:tcW w:w="710" w:type="dxa"/>
            <w:shd w:val="clear" w:color="auto" w:fill="auto"/>
          </w:tcPr>
          <w:p w14:paraId="7C823F12" w14:textId="77777777" w:rsidR="00C45062" w:rsidRPr="002D741C" w:rsidRDefault="00C45062" w:rsidP="00F22369">
            <w:pPr>
              <w:ind w:left="-45"/>
            </w:pPr>
            <w:r w:rsidRPr="002D741C">
              <w:t>188:2</w:t>
            </w:r>
          </w:p>
        </w:tc>
        <w:tc>
          <w:tcPr>
            <w:tcW w:w="717" w:type="dxa"/>
            <w:shd w:val="clear" w:color="auto" w:fill="auto"/>
          </w:tcPr>
          <w:p w14:paraId="2BBA97B1" w14:textId="77777777" w:rsidR="00C45062" w:rsidRPr="002D741C" w:rsidRDefault="00C45062" w:rsidP="00F22369">
            <w:pPr>
              <w:ind w:left="-45"/>
            </w:pPr>
            <w:r w:rsidRPr="002D741C">
              <w:t>183:6</w:t>
            </w:r>
          </w:p>
        </w:tc>
        <w:tc>
          <w:tcPr>
            <w:tcW w:w="691" w:type="dxa"/>
            <w:shd w:val="clear" w:color="auto" w:fill="auto"/>
          </w:tcPr>
          <w:p w14:paraId="305A2869" w14:textId="77777777" w:rsidR="00C45062" w:rsidRPr="002D741C" w:rsidRDefault="00C45062" w:rsidP="00F22369">
            <w:pPr>
              <w:ind w:left="-45"/>
            </w:pPr>
            <w:r w:rsidRPr="002D741C">
              <w:t>176:8</w:t>
            </w:r>
          </w:p>
        </w:tc>
        <w:tc>
          <w:tcPr>
            <w:tcW w:w="770" w:type="dxa"/>
            <w:shd w:val="clear" w:color="auto" w:fill="auto"/>
          </w:tcPr>
          <w:p w14:paraId="0DCD0616" w14:textId="77777777" w:rsidR="00C45062" w:rsidRPr="002D741C" w:rsidRDefault="00C45062" w:rsidP="00F22369">
            <w:pPr>
              <w:ind w:left="-45"/>
            </w:pPr>
            <w:r w:rsidRPr="002D741C">
              <w:t>156:10</w:t>
            </w:r>
          </w:p>
        </w:tc>
        <w:tc>
          <w:tcPr>
            <w:tcW w:w="779" w:type="dxa"/>
            <w:shd w:val="clear" w:color="auto" w:fill="auto"/>
          </w:tcPr>
          <w:p w14:paraId="0D6F277A" w14:textId="77777777" w:rsidR="00C45062" w:rsidRPr="002D741C" w:rsidRDefault="00C45062" w:rsidP="00F22369">
            <w:pPr>
              <w:ind w:left="-45"/>
            </w:pPr>
            <w:r w:rsidRPr="002D741C">
              <w:t>140:11</w:t>
            </w:r>
          </w:p>
        </w:tc>
        <w:tc>
          <w:tcPr>
            <w:tcW w:w="794" w:type="dxa"/>
            <w:shd w:val="clear" w:color="auto" w:fill="auto"/>
          </w:tcPr>
          <w:p w14:paraId="7C4A309C" w14:textId="77777777" w:rsidR="00C45062" w:rsidRPr="002D741C" w:rsidRDefault="00C45062" w:rsidP="00F22369">
            <w:pPr>
              <w:ind w:left="-45"/>
            </w:pPr>
            <w:r w:rsidRPr="002D741C">
              <w:t>105:14</w:t>
            </w:r>
          </w:p>
        </w:tc>
        <w:tc>
          <w:tcPr>
            <w:tcW w:w="653" w:type="dxa"/>
            <w:shd w:val="clear" w:color="auto" w:fill="auto"/>
          </w:tcPr>
          <w:p w14:paraId="4537C0D7" w14:textId="77777777" w:rsidR="00C45062" w:rsidRPr="002D741C" w:rsidRDefault="00C45062" w:rsidP="00F22369">
            <w:pPr>
              <w:ind w:left="-45"/>
            </w:pPr>
            <w:r w:rsidRPr="002D741C">
              <w:t>87:18</w:t>
            </w:r>
          </w:p>
        </w:tc>
        <w:tc>
          <w:tcPr>
            <w:tcW w:w="630" w:type="dxa"/>
            <w:shd w:val="clear" w:color="auto" w:fill="auto"/>
          </w:tcPr>
          <w:p w14:paraId="06EDCECD" w14:textId="77777777" w:rsidR="00C45062" w:rsidRPr="002D741C" w:rsidRDefault="00C45062" w:rsidP="00F22369">
            <w:pPr>
              <w:ind w:left="-45"/>
            </w:pPr>
            <w:r w:rsidRPr="002D741C">
              <w:t>64:22</w:t>
            </w:r>
          </w:p>
        </w:tc>
        <w:tc>
          <w:tcPr>
            <w:tcW w:w="643" w:type="dxa"/>
            <w:shd w:val="clear" w:color="auto" w:fill="auto"/>
          </w:tcPr>
          <w:p w14:paraId="6C234804" w14:textId="77777777" w:rsidR="00C45062" w:rsidRPr="002D741C" w:rsidRDefault="00C45062" w:rsidP="00F22369">
            <w:pPr>
              <w:ind w:left="-45"/>
            </w:pPr>
            <w:r w:rsidRPr="002D741C">
              <w:t>46:23</w:t>
            </w:r>
          </w:p>
        </w:tc>
        <w:tc>
          <w:tcPr>
            <w:tcW w:w="670" w:type="dxa"/>
            <w:shd w:val="clear" w:color="auto" w:fill="auto"/>
          </w:tcPr>
          <w:p w14:paraId="208EAE7A" w14:textId="77777777" w:rsidR="00C45062" w:rsidRPr="002D741C" w:rsidRDefault="00C45062" w:rsidP="00F22369">
            <w:pPr>
              <w:ind w:left="-45"/>
            </w:pPr>
            <w:r w:rsidRPr="002D741C">
              <w:t>27:25</w:t>
            </w:r>
          </w:p>
        </w:tc>
        <w:tc>
          <w:tcPr>
            <w:tcW w:w="683" w:type="dxa"/>
            <w:shd w:val="clear" w:color="auto" w:fill="auto"/>
          </w:tcPr>
          <w:p w14:paraId="1CC83CE3" w14:textId="77777777" w:rsidR="00C45062" w:rsidRPr="002D741C" w:rsidRDefault="00C45062" w:rsidP="00F22369">
            <w:pPr>
              <w:ind w:left="-45"/>
            </w:pPr>
            <w:r w:rsidRPr="002D741C">
              <w:t>20:25</w:t>
            </w:r>
          </w:p>
        </w:tc>
        <w:tc>
          <w:tcPr>
            <w:tcW w:w="558" w:type="dxa"/>
            <w:shd w:val="clear" w:color="auto" w:fill="auto"/>
          </w:tcPr>
          <w:p w14:paraId="48D49DA4" w14:textId="77777777" w:rsidR="00C45062" w:rsidRPr="002D741C" w:rsidRDefault="00C45062" w:rsidP="00F22369">
            <w:pPr>
              <w:ind w:left="-45"/>
            </w:pPr>
            <w:r w:rsidRPr="002D741C">
              <w:t>2:25</w:t>
            </w:r>
          </w:p>
        </w:tc>
        <w:tc>
          <w:tcPr>
            <w:tcW w:w="527" w:type="dxa"/>
            <w:shd w:val="clear" w:color="auto" w:fill="auto"/>
          </w:tcPr>
          <w:p w14:paraId="1FB079DE" w14:textId="77777777" w:rsidR="00C45062" w:rsidRPr="002D741C" w:rsidRDefault="00C45062" w:rsidP="00F22369">
            <w:pPr>
              <w:ind w:left="-45"/>
            </w:pPr>
            <w:r w:rsidRPr="002D741C">
              <w:t>0:25</w:t>
            </w:r>
          </w:p>
        </w:tc>
      </w:tr>
      <w:tr w:rsidR="00C45062" w:rsidRPr="002D741C" w14:paraId="3DC74932" w14:textId="77777777" w:rsidTr="00F22369">
        <w:tc>
          <w:tcPr>
            <w:tcW w:w="450" w:type="dxa"/>
            <w:shd w:val="clear" w:color="auto" w:fill="auto"/>
          </w:tcPr>
          <w:p w14:paraId="404A8CDB" w14:textId="77777777" w:rsidR="00C45062" w:rsidRPr="002D741C" w:rsidRDefault="00C45062" w:rsidP="00F22369">
            <w:r w:rsidRPr="002D741C">
              <w:t>(2)</w:t>
            </w:r>
          </w:p>
        </w:tc>
        <w:tc>
          <w:tcPr>
            <w:tcW w:w="687" w:type="dxa"/>
            <w:shd w:val="clear" w:color="auto" w:fill="auto"/>
          </w:tcPr>
          <w:p w14:paraId="070A8D05" w14:textId="77777777" w:rsidR="00C45062" w:rsidRPr="002D741C" w:rsidRDefault="00C45062" w:rsidP="00F22369">
            <w:pPr>
              <w:ind w:left="-45"/>
            </w:pPr>
            <w:r w:rsidRPr="002D741C">
              <w:t>198:0</w:t>
            </w:r>
          </w:p>
        </w:tc>
        <w:tc>
          <w:tcPr>
            <w:tcW w:w="670" w:type="dxa"/>
            <w:shd w:val="clear" w:color="auto" w:fill="auto"/>
          </w:tcPr>
          <w:p w14:paraId="3AD0BC07" w14:textId="77777777" w:rsidR="00C45062" w:rsidRPr="002D741C" w:rsidRDefault="00C45062" w:rsidP="00F22369">
            <w:pPr>
              <w:ind w:left="-45"/>
            </w:pPr>
            <w:r w:rsidRPr="002D741C">
              <w:t>196:0</w:t>
            </w:r>
          </w:p>
        </w:tc>
        <w:tc>
          <w:tcPr>
            <w:tcW w:w="710" w:type="dxa"/>
            <w:shd w:val="clear" w:color="auto" w:fill="auto"/>
          </w:tcPr>
          <w:p w14:paraId="74CA2FC2" w14:textId="77777777" w:rsidR="00C45062" w:rsidRPr="002D741C" w:rsidRDefault="00C45062" w:rsidP="00F22369">
            <w:pPr>
              <w:ind w:left="-45"/>
            </w:pPr>
            <w:r w:rsidRPr="002D741C">
              <w:t>192:0</w:t>
            </w:r>
          </w:p>
        </w:tc>
        <w:tc>
          <w:tcPr>
            <w:tcW w:w="717" w:type="dxa"/>
            <w:shd w:val="clear" w:color="auto" w:fill="auto"/>
          </w:tcPr>
          <w:p w14:paraId="0B970FCE" w14:textId="77777777" w:rsidR="00C45062" w:rsidRPr="002D741C" w:rsidRDefault="00C45062" w:rsidP="00F22369">
            <w:pPr>
              <w:ind w:left="-45"/>
            </w:pPr>
            <w:r w:rsidRPr="002D741C">
              <w:t>187:4</w:t>
            </w:r>
          </w:p>
        </w:tc>
        <w:tc>
          <w:tcPr>
            <w:tcW w:w="691" w:type="dxa"/>
            <w:shd w:val="clear" w:color="auto" w:fill="auto"/>
          </w:tcPr>
          <w:p w14:paraId="3D45FBB9" w14:textId="77777777" w:rsidR="00C45062" w:rsidRPr="002D741C" w:rsidRDefault="00C45062" w:rsidP="00F22369">
            <w:pPr>
              <w:ind w:left="-45"/>
            </w:pPr>
            <w:r w:rsidRPr="002D741C">
              <w:t>184:5</w:t>
            </w:r>
          </w:p>
        </w:tc>
        <w:tc>
          <w:tcPr>
            <w:tcW w:w="770" w:type="dxa"/>
            <w:shd w:val="clear" w:color="auto" w:fill="auto"/>
          </w:tcPr>
          <w:p w14:paraId="40D6B04A" w14:textId="77777777" w:rsidR="00C45062" w:rsidRPr="002D741C" w:rsidRDefault="00C45062" w:rsidP="00F22369">
            <w:pPr>
              <w:ind w:left="-45"/>
            </w:pPr>
            <w:r w:rsidRPr="002D741C">
              <w:t>164:7</w:t>
            </w:r>
          </w:p>
        </w:tc>
        <w:tc>
          <w:tcPr>
            <w:tcW w:w="779" w:type="dxa"/>
            <w:shd w:val="clear" w:color="auto" w:fill="auto"/>
          </w:tcPr>
          <w:p w14:paraId="0735D6AF" w14:textId="77777777" w:rsidR="00C45062" w:rsidRPr="002D741C" w:rsidRDefault="00C45062" w:rsidP="00F22369">
            <w:pPr>
              <w:ind w:left="-45"/>
            </w:pPr>
            <w:r w:rsidRPr="002D741C">
              <w:t>152:7</w:t>
            </w:r>
          </w:p>
        </w:tc>
        <w:tc>
          <w:tcPr>
            <w:tcW w:w="794" w:type="dxa"/>
            <w:shd w:val="clear" w:color="auto" w:fill="auto"/>
          </w:tcPr>
          <w:p w14:paraId="3779BC36" w14:textId="77777777" w:rsidR="00C45062" w:rsidRPr="002D741C" w:rsidRDefault="00C45062" w:rsidP="00F22369">
            <w:pPr>
              <w:ind w:left="-45"/>
            </w:pPr>
            <w:r w:rsidRPr="002D741C">
              <w:t>119:8</w:t>
            </w:r>
          </w:p>
        </w:tc>
        <w:tc>
          <w:tcPr>
            <w:tcW w:w="653" w:type="dxa"/>
            <w:shd w:val="clear" w:color="auto" w:fill="auto"/>
          </w:tcPr>
          <w:p w14:paraId="543625C7" w14:textId="77777777" w:rsidR="00C45062" w:rsidRPr="002D741C" w:rsidRDefault="00C45062" w:rsidP="00F22369">
            <w:pPr>
              <w:ind w:left="-45"/>
            </w:pPr>
            <w:r w:rsidRPr="002D741C">
              <w:t>100:8</w:t>
            </w:r>
          </w:p>
        </w:tc>
        <w:tc>
          <w:tcPr>
            <w:tcW w:w="630" w:type="dxa"/>
            <w:shd w:val="clear" w:color="auto" w:fill="auto"/>
          </w:tcPr>
          <w:p w14:paraId="3C542C0B" w14:textId="77777777" w:rsidR="00C45062" w:rsidRPr="002D741C" w:rsidRDefault="00C45062" w:rsidP="00F22369">
            <w:pPr>
              <w:ind w:left="-45"/>
            </w:pPr>
            <w:r w:rsidRPr="002D741C">
              <w:t>76:10</w:t>
            </w:r>
          </w:p>
        </w:tc>
        <w:tc>
          <w:tcPr>
            <w:tcW w:w="643" w:type="dxa"/>
            <w:shd w:val="clear" w:color="auto" w:fill="auto"/>
          </w:tcPr>
          <w:p w14:paraId="042A794B" w14:textId="77777777" w:rsidR="00C45062" w:rsidRPr="002D741C" w:rsidRDefault="00C45062" w:rsidP="00F22369">
            <w:pPr>
              <w:ind w:left="-45"/>
            </w:pPr>
            <w:r w:rsidRPr="002D741C">
              <w:t>56:11</w:t>
            </w:r>
          </w:p>
        </w:tc>
        <w:tc>
          <w:tcPr>
            <w:tcW w:w="670" w:type="dxa"/>
            <w:shd w:val="clear" w:color="auto" w:fill="auto"/>
          </w:tcPr>
          <w:p w14:paraId="6C7BD6CF" w14:textId="77777777" w:rsidR="00C45062" w:rsidRPr="002D741C" w:rsidRDefault="00C45062" w:rsidP="00F22369">
            <w:pPr>
              <w:ind w:left="-45"/>
            </w:pPr>
            <w:r w:rsidRPr="002D741C">
              <w:t>31:11</w:t>
            </w:r>
          </w:p>
        </w:tc>
        <w:tc>
          <w:tcPr>
            <w:tcW w:w="683" w:type="dxa"/>
            <w:shd w:val="clear" w:color="auto" w:fill="auto"/>
          </w:tcPr>
          <w:p w14:paraId="65ECB59D" w14:textId="77777777" w:rsidR="00C45062" w:rsidRPr="002D741C" w:rsidRDefault="00C45062" w:rsidP="00F22369">
            <w:pPr>
              <w:ind w:left="-45"/>
            </w:pPr>
            <w:r w:rsidRPr="002D741C">
              <w:t>13:12</w:t>
            </w:r>
          </w:p>
        </w:tc>
        <w:tc>
          <w:tcPr>
            <w:tcW w:w="558" w:type="dxa"/>
            <w:shd w:val="clear" w:color="auto" w:fill="auto"/>
          </w:tcPr>
          <w:p w14:paraId="45002FF6" w14:textId="77777777" w:rsidR="00C45062" w:rsidRPr="002D741C" w:rsidRDefault="00C45062" w:rsidP="00F22369">
            <w:pPr>
              <w:ind w:left="-45"/>
            </w:pPr>
            <w:r w:rsidRPr="002D741C">
              <w:t>0:12</w:t>
            </w:r>
          </w:p>
        </w:tc>
        <w:tc>
          <w:tcPr>
            <w:tcW w:w="527" w:type="dxa"/>
            <w:shd w:val="clear" w:color="auto" w:fill="auto"/>
          </w:tcPr>
          <w:p w14:paraId="333CC7BC" w14:textId="77777777" w:rsidR="00C45062" w:rsidRPr="002D741C" w:rsidRDefault="00C45062" w:rsidP="00F22369">
            <w:pPr>
              <w:ind w:left="-45"/>
            </w:pPr>
          </w:p>
        </w:tc>
      </w:tr>
    </w:tbl>
    <w:p w14:paraId="214FCB19" w14:textId="77777777" w:rsidR="00C45062" w:rsidRPr="002D741C" w:rsidRDefault="00C45062" w:rsidP="00C45062">
      <w:pPr>
        <w:pStyle w:val="EndnoteText"/>
        <w:widowControl w:val="0"/>
        <w:tabs>
          <w:tab w:val="clear" w:pos="567"/>
        </w:tabs>
        <w:rPr>
          <w:color w:val="000000"/>
          <w:szCs w:val="22"/>
          <w:lang w:val="es-ES_tradnl"/>
        </w:rPr>
      </w:pPr>
    </w:p>
    <w:p w14:paraId="0D2F3FF3" w14:textId="77777777" w:rsidR="00C45062" w:rsidRPr="002D741C" w:rsidRDefault="00C45062" w:rsidP="00C45062">
      <w:pPr>
        <w:pStyle w:val="EndnoteText"/>
        <w:widowControl w:val="0"/>
        <w:tabs>
          <w:tab w:val="clear" w:pos="567"/>
        </w:tabs>
        <w:rPr>
          <w:color w:val="000000"/>
          <w:szCs w:val="22"/>
          <w:lang w:val="es-ES_tradnl"/>
        </w:rPr>
      </w:pPr>
      <w:r w:rsidRPr="002D741C">
        <w:rPr>
          <w:color w:val="000000"/>
          <w:szCs w:val="22"/>
          <w:lang w:val="es-ES_tradnl"/>
        </w:rPr>
        <w:t>No existen ensayos controlados en pacientes pediátricos con G</w:t>
      </w:r>
      <w:smartTag w:uri="urn:schemas-microsoft-com:office:smarttags" w:element="PersonName">
        <w:r w:rsidRPr="002D741C">
          <w:rPr>
            <w:color w:val="000000"/>
            <w:szCs w:val="22"/>
            <w:lang w:val="es-ES_tradnl"/>
          </w:rPr>
          <w:t>IS</w:t>
        </w:r>
      </w:smartTag>
      <w:r w:rsidRPr="002D741C">
        <w:rPr>
          <w:color w:val="000000"/>
          <w:szCs w:val="22"/>
          <w:lang w:val="es-ES_tradnl"/>
        </w:rPr>
        <w:t>T c-Kit positivo. En 7 publicaciones se notificaron diecisiete (17) pacientes con G</w:t>
      </w:r>
      <w:smartTag w:uri="urn:schemas-microsoft-com:office:smarttags" w:element="PersonName">
        <w:r w:rsidRPr="002D741C">
          <w:rPr>
            <w:color w:val="000000"/>
            <w:szCs w:val="22"/>
            <w:lang w:val="es-ES_tradnl"/>
          </w:rPr>
          <w:t>IS</w:t>
        </w:r>
      </w:smartTag>
      <w:r w:rsidRPr="002D741C">
        <w:rPr>
          <w:color w:val="000000"/>
          <w:szCs w:val="22"/>
          <w:lang w:val="es-ES_tradnl"/>
        </w:rPr>
        <w:t>T (con o sin mutaciones Kit y PDG</w:t>
      </w:r>
      <w:smartTag w:uri="urn:schemas-microsoft-com:office:smarttags" w:element="PersonName">
        <w:r w:rsidRPr="002D741C">
          <w:rPr>
            <w:color w:val="000000"/>
            <w:szCs w:val="22"/>
            <w:lang w:val="es-ES_tradnl"/>
          </w:rPr>
          <w:t>FR</w:t>
        </w:r>
      </w:smartTag>
      <w:r w:rsidRPr="002D741C">
        <w:rPr>
          <w:color w:val="000000"/>
          <w:szCs w:val="22"/>
          <w:lang w:val="es-ES_tradnl"/>
        </w:rPr>
        <w:t>). La edad de estos pacientes osciló entre 8 y 18 años y se administró imatinib tanto en la indicación adyuvante como en la metastásica a dosis entre 300 y 800 mg diarios. En la mayoría de pacientes pediátricos tratados para G</w:t>
      </w:r>
      <w:smartTag w:uri="urn:schemas-microsoft-com:office:smarttags" w:element="PersonName">
        <w:r w:rsidRPr="002D741C">
          <w:rPr>
            <w:color w:val="000000"/>
            <w:szCs w:val="22"/>
            <w:lang w:val="es-ES_tradnl"/>
          </w:rPr>
          <w:t>IS</w:t>
        </w:r>
      </w:smartTag>
      <w:r w:rsidRPr="002D741C">
        <w:rPr>
          <w:color w:val="000000"/>
          <w:szCs w:val="22"/>
          <w:lang w:val="es-ES_tradnl"/>
        </w:rPr>
        <w:t>T faltaban datos para confirmar las mutaciones c-kit y PDG</w:t>
      </w:r>
      <w:smartTag w:uri="urn:schemas-microsoft-com:office:smarttags" w:element="PersonName">
        <w:r w:rsidRPr="002D741C">
          <w:rPr>
            <w:color w:val="000000"/>
            <w:szCs w:val="22"/>
            <w:lang w:val="es-ES_tradnl"/>
          </w:rPr>
          <w:t>FR</w:t>
        </w:r>
      </w:smartTag>
      <w:r w:rsidRPr="002D741C">
        <w:rPr>
          <w:color w:val="000000"/>
          <w:szCs w:val="22"/>
          <w:lang w:val="es-ES_tradnl"/>
        </w:rPr>
        <w:t xml:space="preserve"> lo que puede suponer resultados clínicos mezclados.</w:t>
      </w:r>
    </w:p>
    <w:p w14:paraId="68B4F3CA" w14:textId="77777777" w:rsidR="00C45062" w:rsidRPr="002D741C" w:rsidRDefault="00C45062" w:rsidP="00C45062">
      <w:pPr>
        <w:pStyle w:val="EndnoteText"/>
        <w:widowControl w:val="0"/>
        <w:tabs>
          <w:tab w:val="clear" w:pos="567"/>
        </w:tabs>
        <w:rPr>
          <w:color w:val="000000"/>
          <w:szCs w:val="22"/>
          <w:lang w:val="es-ES_tradnl"/>
        </w:rPr>
      </w:pPr>
    </w:p>
    <w:p w14:paraId="00F9742A" w14:textId="77777777" w:rsidR="00C45062" w:rsidRPr="002D741C" w:rsidRDefault="00C45062" w:rsidP="00AD13BE">
      <w:pPr>
        <w:pStyle w:val="EndnoteText"/>
        <w:keepNext/>
        <w:widowControl w:val="0"/>
        <w:tabs>
          <w:tab w:val="clear" w:pos="567"/>
        </w:tabs>
        <w:rPr>
          <w:color w:val="000000"/>
          <w:szCs w:val="22"/>
          <w:u w:val="single"/>
          <w:lang w:val="es-ES"/>
        </w:rPr>
      </w:pPr>
      <w:r w:rsidRPr="002D741C">
        <w:rPr>
          <w:color w:val="000000"/>
          <w:szCs w:val="22"/>
          <w:u w:val="single"/>
          <w:lang w:val="es-ES"/>
        </w:rPr>
        <w:t>Ensayos clínicos en DFSP</w:t>
      </w:r>
    </w:p>
    <w:p w14:paraId="7CEA1252" w14:textId="77777777" w:rsidR="00C45062" w:rsidRPr="002D741C" w:rsidRDefault="00C45062" w:rsidP="00C45062">
      <w:pPr>
        <w:pStyle w:val="EndnoteText"/>
        <w:widowControl w:val="0"/>
        <w:tabs>
          <w:tab w:val="clear" w:pos="567"/>
        </w:tabs>
        <w:rPr>
          <w:color w:val="000000"/>
          <w:szCs w:val="22"/>
          <w:lang w:val="es-ES"/>
        </w:rPr>
      </w:pPr>
      <w:r w:rsidRPr="002D741C">
        <w:rPr>
          <w:color w:val="000000"/>
          <w:szCs w:val="22"/>
          <w:lang w:val="es-ES"/>
        </w:rPr>
        <w:t xml:space="preserve">Se realizó un ensayo clínico (estudio B2225) multicéntrico, abierto, de fase II incluyendo 12 pacientes con DFSP tratados con 800 mg diarios de Glivec. Las edades de los pacientes con DFSP variaron de </w:t>
      </w:r>
      <w:smartTag w:uri="urn:schemas-microsoft-com:office:smarttags" w:element="metricconverter">
        <w:smartTagPr>
          <w:attr w:name="ProductID" w:val="23ﾠa"/>
        </w:smartTagPr>
        <w:r w:rsidRPr="002D741C">
          <w:rPr>
            <w:color w:val="000000"/>
            <w:szCs w:val="22"/>
            <w:lang w:val="es-ES"/>
          </w:rPr>
          <w:t>23 a</w:t>
        </w:r>
      </w:smartTag>
      <w:r w:rsidRPr="002D741C">
        <w:rPr>
          <w:color w:val="000000"/>
          <w:szCs w:val="22"/>
          <w:lang w:val="es-ES"/>
        </w:rPr>
        <w:t xml:space="preserve"> 75 años; el DFSP era metastásico, localmente recurrente tras una cirugía resectiva inicial y no se consideró de elección para otra cirugía resectiva en el momento de entrar en el estudio. La evidencia primaria de eficacia se basó en las tasas de respuesta objetivas. De los 12 pacientes incluidos, 9 respondieron, uno completamente y 8 parcialmente. Tres de los respondedores parciales quedaron libres de enfermedad después de someterse a cirugía. La mediana de duración del tratamiento en el estudio B2225 fue de 6,2 meses, con una duración máxima de 24,3 meses. Se notificó la existencia de otros 6 pacientes con DFSP tratados con Glivec en 5 casos publicados, con edades comprendidas entre 18 meses y 49 años. Los pacientes adultos notificados, extraídos de la literatura publicada fueron tratados con 400 mg (4 casos) ó 800 mg (1 caso) de Glivec diarios. Cinco (5) pacientes respondieron, 3 completamente y 2 parcialmente. La mediana de duración del tratamiento en la literatura publicada varió entre 4 semanas y más de 20 meses. En casi todos los respondedores al tratamiento con Glivec, se presentó la t(17:22) [(q22:q13)], o su gen.</w:t>
      </w:r>
    </w:p>
    <w:p w14:paraId="3ACDD44B" w14:textId="77777777" w:rsidR="00C45062" w:rsidRPr="002D741C" w:rsidRDefault="00C45062" w:rsidP="00C45062">
      <w:pPr>
        <w:pStyle w:val="EndnoteText"/>
        <w:widowControl w:val="0"/>
        <w:tabs>
          <w:tab w:val="clear" w:pos="567"/>
        </w:tabs>
        <w:rPr>
          <w:color w:val="000000"/>
          <w:szCs w:val="22"/>
          <w:lang w:val="es-ES"/>
        </w:rPr>
      </w:pPr>
    </w:p>
    <w:p w14:paraId="0556140C" w14:textId="77777777" w:rsidR="00C45062" w:rsidRPr="002D741C" w:rsidRDefault="00C45062" w:rsidP="00C45062">
      <w:pPr>
        <w:pStyle w:val="EndnoteText"/>
        <w:widowControl w:val="0"/>
        <w:tabs>
          <w:tab w:val="clear" w:pos="567"/>
        </w:tabs>
        <w:rPr>
          <w:color w:val="000000"/>
          <w:szCs w:val="22"/>
          <w:lang w:val="es-ES"/>
        </w:rPr>
      </w:pPr>
      <w:r w:rsidRPr="002D741C">
        <w:rPr>
          <w:color w:val="000000"/>
          <w:szCs w:val="22"/>
          <w:lang w:val="es-ES"/>
        </w:rPr>
        <w:t>No existen ensayos controlados en pacientes pediátricos con DFSP. En 3 publicaciones se notificaron cinco (5) pacientes con DFSP y reordenamientos del gen PDG</w:t>
      </w:r>
      <w:smartTag w:uri="urn:schemas-microsoft-com:office:smarttags" w:element="PersonName">
        <w:r w:rsidRPr="002D741C">
          <w:rPr>
            <w:color w:val="000000"/>
            <w:szCs w:val="22"/>
            <w:lang w:val="es-ES"/>
          </w:rPr>
          <w:t>FR</w:t>
        </w:r>
      </w:smartTag>
      <w:r w:rsidRPr="002D741C">
        <w:rPr>
          <w:color w:val="000000"/>
          <w:szCs w:val="22"/>
          <w:lang w:val="es-ES"/>
        </w:rPr>
        <w:t>. La edad de estos pacientes osciló entre recién nacidos y 14 años y se administró imatinib a dosis de 50 mg diarios o dosis entre 400 y 520 mg/m</w:t>
      </w:r>
      <w:r w:rsidRPr="002D741C">
        <w:rPr>
          <w:color w:val="000000"/>
          <w:szCs w:val="22"/>
          <w:vertAlign w:val="superscript"/>
          <w:lang w:val="es-ES"/>
        </w:rPr>
        <w:t>2</w:t>
      </w:r>
      <w:r w:rsidRPr="002D741C">
        <w:rPr>
          <w:color w:val="000000"/>
          <w:szCs w:val="22"/>
          <w:lang w:val="es-ES"/>
        </w:rPr>
        <w:t xml:space="preserve"> diarios. Todos los pacientes alcanzaron respuesta parcial y/o completa.</w:t>
      </w:r>
    </w:p>
    <w:p w14:paraId="524BB8D2" w14:textId="77777777" w:rsidR="00C45062" w:rsidRPr="002D741C" w:rsidRDefault="00C45062" w:rsidP="00C45062">
      <w:pPr>
        <w:pStyle w:val="EndnoteText"/>
        <w:widowControl w:val="0"/>
        <w:tabs>
          <w:tab w:val="clear" w:pos="567"/>
        </w:tabs>
        <w:rPr>
          <w:color w:val="000000"/>
          <w:szCs w:val="22"/>
          <w:lang w:val="es-ES"/>
        </w:rPr>
      </w:pPr>
    </w:p>
    <w:p w14:paraId="3DFE2D6D" w14:textId="77777777" w:rsidR="006D54C0" w:rsidRPr="002D741C" w:rsidRDefault="006D54C0" w:rsidP="00AD13BE">
      <w:pPr>
        <w:keepNext/>
        <w:widowControl w:val="0"/>
        <w:ind w:left="567" w:hanging="567"/>
        <w:rPr>
          <w:color w:val="000000"/>
          <w:sz w:val="22"/>
          <w:szCs w:val="22"/>
        </w:rPr>
      </w:pPr>
      <w:r w:rsidRPr="002D741C">
        <w:rPr>
          <w:b/>
          <w:color w:val="000000"/>
          <w:sz w:val="22"/>
          <w:szCs w:val="22"/>
        </w:rPr>
        <w:t>5.2</w:t>
      </w:r>
      <w:r w:rsidRPr="002D741C">
        <w:rPr>
          <w:b/>
          <w:color w:val="000000"/>
          <w:sz w:val="22"/>
          <w:szCs w:val="22"/>
        </w:rPr>
        <w:tab/>
        <w:t>Propiedades farmacocinéticas</w:t>
      </w:r>
    </w:p>
    <w:p w14:paraId="5B217FF8" w14:textId="77777777" w:rsidR="006D54C0" w:rsidRPr="002D741C" w:rsidRDefault="006D54C0" w:rsidP="00AD13BE">
      <w:pPr>
        <w:pStyle w:val="EndnoteText"/>
        <w:keepNext/>
        <w:widowControl w:val="0"/>
        <w:tabs>
          <w:tab w:val="clear" w:pos="567"/>
        </w:tabs>
        <w:rPr>
          <w:color w:val="000000"/>
          <w:szCs w:val="22"/>
          <w:lang w:val="es-ES"/>
        </w:rPr>
      </w:pPr>
    </w:p>
    <w:p w14:paraId="2F3730F9" w14:textId="77777777" w:rsidR="006D54C0" w:rsidRPr="002D741C" w:rsidRDefault="006D54C0" w:rsidP="00AD13BE">
      <w:pPr>
        <w:pStyle w:val="EndnoteText"/>
        <w:keepNext/>
        <w:widowControl w:val="0"/>
        <w:tabs>
          <w:tab w:val="clear" w:pos="567"/>
        </w:tabs>
        <w:rPr>
          <w:color w:val="000000"/>
          <w:szCs w:val="22"/>
          <w:lang w:val="es-ES"/>
        </w:rPr>
      </w:pPr>
      <w:r w:rsidRPr="002D741C">
        <w:rPr>
          <w:color w:val="000000"/>
          <w:szCs w:val="22"/>
          <w:u w:val="single"/>
          <w:lang w:val="es-ES"/>
        </w:rPr>
        <w:t>Farmacocinética de Glivec</w:t>
      </w:r>
    </w:p>
    <w:p w14:paraId="735E9F2A" w14:textId="77777777" w:rsidR="006D54C0" w:rsidRPr="002D741C" w:rsidRDefault="006D54C0" w:rsidP="006D54C0">
      <w:pPr>
        <w:pStyle w:val="EndnoteText"/>
        <w:widowControl w:val="0"/>
        <w:tabs>
          <w:tab w:val="clear" w:pos="567"/>
        </w:tabs>
        <w:rPr>
          <w:color w:val="000000"/>
          <w:szCs w:val="22"/>
          <w:lang w:val="es-ES"/>
        </w:rPr>
      </w:pPr>
      <w:r w:rsidRPr="002D741C">
        <w:rPr>
          <w:color w:val="000000"/>
          <w:szCs w:val="22"/>
          <w:lang w:val="es-ES"/>
        </w:rPr>
        <w:t xml:space="preserve">La farmacocinética de Glivec ha sido evaluada en un rango de dosificación de </w:t>
      </w:r>
      <w:smartTag w:uri="urn:schemas-microsoft-com:office:smarttags" w:element="metricconverter">
        <w:smartTagPr>
          <w:attr w:name="ProductID" w:val="25 a"/>
        </w:smartTagPr>
        <w:r w:rsidRPr="002D741C">
          <w:rPr>
            <w:color w:val="000000"/>
            <w:szCs w:val="22"/>
            <w:lang w:val="es-ES"/>
          </w:rPr>
          <w:t>25 a</w:t>
        </w:r>
      </w:smartTag>
      <w:r w:rsidRPr="002D741C">
        <w:rPr>
          <w:color w:val="000000"/>
          <w:szCs w:val="22"/>
          <w:lang w:val="es-ES"/>
        </w:rPr>
        <w:t xml:space="preserve"> 1.000 mg. Los perfiles farmacocinéticos plasmáticos se analizaron en el día 1 y en el día 7 o día 28, cuando las </w:t>
      </w:r>
      <w:r w:rsidRPr="002D741C">
        <w:rPr>
          <w:color w:val="000000"/>
          <w:szCs w:val="22"/>
          <w:lang w:val="es-ES"/>
        </w:rPr>
        <w:lastRenderedPageBreak/>
        <w:t>concentraciones plasmáticas habían alcanzado el estado estacionario.</w:t>
      </w:r>
    </w:p>
    <w:p w14:paraId="100CFEE1" w14:textId="77777777" w:rsidR="006D54C0" w:rsidRPr="002D741C" w:rsidRDefault="006D54C0" w:rsidP="006D54C0">
      <w:pPr>
        <w:pStyle w:val="EndnoteText"/>
        <w:widowControl w:val="0"/>
        <w:tabs>
          <w:tab w:val="clear" w:pos="567"/>
        </w:tabs>
        <w:rPr>
          <w:color w:val="000000"/>
          <w:szCs w:val="22"/>
          <w:lang w:val="es-ES"/>
        </w:rPr>
      </w:pPr>
    </w:p>
    <w:p w14:paraId="5D9AB183" w14:textId="77777777" w:rsidR="00DE24EB" w:rsidRPr="002D741C" w:rsidRDefault="00DE24EB" w:rsidP="00AD13BE">
      <w:pPr>
        <w:pStyle w:val="EndnoteText"/>
        <w:keepNext/>
        <w:widowControl w:val="0"/>
        <w:tabs>
          <w:tab w:val="clear" w:pos="567"/>
        </w:tabs>
        <w:rPr>
          <w:color w:val="000000"/>
          <w:szCs w:val="22"/>
          <w:lang w:val="es-ES"/>
        </w:rPr>
      </w:pPr>
      <w:r w:rsidRPr="002D741C">
        <w:rPr>
          <w:color w:val="000000"/>
          <w:szCs w:val="22"/>
          <w:u w:val="single"/>
          <w:lang w:val="es-ES"/>
        </w:rPr>
        <w:t>Absorción</w:t>
      </w:r>
    </w:p>
    <w:p w14:paraId="1298DC23" w14:textId="77777777" w:rsidR="00DE24EB" w:rsidRPr="002D741C" w:rsidRDefault="00DE24EB" w:rsidP="00DE24EB">
      <w:pPr>
        <w:pStyle w:val="EndnoteText"/>
        <w:widowControl w:val="0"/>
        <w:tabs>
          <w:tab w:val="clear" w:pos="567"/>
        </w:tabs>
        <w:rPr>
          <w:color w:val="000000"/>
          <w:szCs w:val="22"/>
          <w:lang w:val="es-ES"/>
        </w:rPr>
      </w:pPr>
      <w:r w:rsidRPr="002D741C">
        <w:rPr>
          <w:color w:val="000000"/>
          <w:szCs w:val="22"/>
          <w:lang w:val="es-ES"/>
        </w:rPr>
        <w:t>La biodisponibilidad absoluta media para imatinib es del 98%. Hubo una elevada variabilidad entre pacientes en las AUC de los niveles plasmáticos de imatinib después de una dosis oral. Cuando se administró junto con una comida rica en grasas, la tasa de absorción de imatinib se redujo mínimamente (11% de reducción en C</w:t>
      </w:r>
      <w:r w:rsidRPr="002D741C">
        <w:rPr>
          <w:color w:val="000000"/>
          <w:szCs w:val="22"/>
          <w:vertAlign w:val="subscript"/>
          <w:lang w:val="es-ES"/>
        </w:rPr>
        <w:t>máx</w:t>
      </w:r>
      <w:r w:rsidRPr="002D741C">
        <w:rPr>
          <w:color w:val="000000"/>
          <w:szCs w:val="22"/>
          <w:lang w:val="es-ES"/>
        </w:rPr>
        <w:t xml:space="preserve"> y prolongación de t</w:t>
      </w:r>
      <w:r w:rsidRPr="002D741C">
        <w:rPr>
          <w:color w:val="000000"/>
          <w:szCs w:val="22"/>
          <w:vertAlign w:val="subscript"/>
          <w:lang w:val="es-ES"/>
        </w:rPr>
        <w:t>máx</w:t>
      </w:r>
      <w:r w:rsidRPr="002D741C">
        <w:rPr>
          <w:color w:val="000000"/>
          <w:szCs w:val="22"/>
          <w:lang w:val="es-ES"/>
        </w:rPr>
        <w:t xml:space="preserve"> de 1,5</w:t>
      </w:r>
      <w:r w:rsidR="00C92ECA" w:rsidRPr="002D741C">
        <w:rPr>
          <w:color w:val="000000"/>
          <w:szCs w:val="22"/>
          <w:lang w:val="es-ES"/>
        </w:rPr>
        <w:t> </w:t>
      </w:r>
      <w:r w:rsidRPr="002D741C">
        <w:rPr>
          <w:color w:val="000000"/>
          <w:szCs w:val="22"/>
          <w:lang w:val="es-ES"/>
        </w:rPr>
        <w:t>h), con una pequeña reducción del AUC (7,4%) comparado con condiciones en ayunas. No se ha investigado el efecto de la cirugía gastrointestinal previa sobre la absorción del fármaco.</w:t>
      </w:r>
    </w:p>
    <w:p w14:paraId="0D41F3A0" w14:textId="77777777" w:rsidR="00DE24EB" w:rsidRPr="002D741C" w:rsidRDefault="00DE24EB" w:rsidP="00DE24EB">
      <w:pPr>
        <w:pStyle w:val="EndnoteText"/>
        <w:widowControl w:val="0"/>
        <w:tabs>
          <w:tab w:val="clear" w:pos="567"/>
        </w:tabs>
        <w:rPr>
          <w:color w:val="000000"/>
          <w:szCs w:val="22"/>
          <w:lang w:val="es-ES"/>
        </w:rPr>
      </w:pPr>
    </w:p>
    <w:p w14:paraId="362BEA7D" w14:textId="77777777" w:rsidR="00DE24EB" w:rsidRPr="002D741C" w:rsidRDefault="00DE24EB" w:rsidP="00AD13BE">
      <w:pPr>
        <w:pStyle w:val="EndnoteText"/>
        <w:keepNext/>
        <w:widowControl w:val="0"/>
        <w:tabs>
          <w:tab w:val="clear" w:pos="567"/>
        </w:tabs>
        <w:rPr>
          <w:color w:val="000000"/>
          <w:szCs w:val="22"/>
          <w:lang w:val="es-ES"/>
        </w:rPr>
      </w:pPr>
      <w:r w:rsidRPr="002D741C">
        <w:rPr>
          <w:color w:val="000000"/>
          <w:szCs w:val="22"/>
          <w:u w:val="single"/>
          <w:lang w:val="es-ES"/>
        </w:rPr>
        <w:t>Distribución</w:t>
      </w:r>
    </w:p>
    <w:p w14:paraId="4DCF7B13" w14:textId="77777777" w:rsidR="00DE24EB" w:rsidRPr="002D741C" w:rsidRDefault="00DE24EB" w:rsidP="00DE24EB">
      <w:pPr>
        <w:pStyle w:val="EndnoteText"/>
        <w:widowControl w:val="0"/>
        <w:tabs>
          <w:tab w:val="clear" w:pos="567"/>
        </w:tabs>
        <w:rPr>
          <w:color w:val="000000"/>
          <w:szCs w:val="22"/>
          <w:lang w:val="es-ES"/>
        </w:rPr>
      </w:pPr>
      <w:r w:rsidRPr="002D741C">
        <w:rPr>
          <w:color w:val="000000"/>
          <w:szCs w:val="22"/>
          <w:lang w:val="es-ES"/>
        </w:rPr>
        <w:t xml:space="preserve">En base a experimentos </w:t>
      </w:r>
      <w:r w:rsidRPr="002D741C">
        <w:rPr>
          <w:i/>
          <w:color w:val="000000"/>
          <w:szCs w:val="22"/>
          <w:lang w:val="es-ES"/>
        </w:rPr>
        <w:t>in</w:t>
      </w:r>
      <w:r w:rsidRPr="002D741C">
        <w:rPr>
          <w:color w:val="000000"/>
          <w:szCs w:val="22"/>
          <w:lang w:val="es-ES"/>
        </w:rPr>
        <w:t xml:space="preserve"> </w:t>
      </w:r>
      <w:r w:rsidRPr="002D741C">
        <w:rPr>
          <w:i/>
          <w:color w:val="000000"/>
          <w:szCs w:val="22"/>
          <w:lang w:val="es-ES"/>
        </w:rPr>
        <w:t>vitro</w:t>
      </w:r>
      <w:r w:rsidRPr="002D741C">
        <w:rPr>
          <w:color w:val="000000"/>
          <w:szCs w:val="22"/>
          <w:lang w:val="es-ES"/>
        </w:rPr>
        <w:t>, a concentraciones clínicamente relevantes de imatinib, la unión a proteínas plasmáticas fue de aproximadamente el 95%, principalmente a albúmina y a alfa-ácido-glicoproteína, con baja unión a lipoproteínas.</w:t>
      </w:r>
    </w:p>
    <w:p w14:paraId="2BB1748D" w14:textId="77777777" w:rsidR="00DE24EB" w:rsidRPr="002D741C" w:rsidRDefault="00DE24EB" w:rsidP="00DE24EB">
      <w:pPr>
        <w:pStyle w:val="EndnoteText"/>
        <w:widowControl w:val="0"/>
        <w:tabs>
          <w:tab w:val="clear" w:pos="567"/>
        </w:tabs>
        <w:rPr>
          <w:color w:val="000000"/>
          <w:szCs w:val="22"/>
          <w:lang w:val="es-ES"/>
        </w:rPr>
      </w:pPr>
    </w:p>
    <w:p w14:paraId="51D1073C" w14:textId="77777777" w:rsidR="00DE24EB" w:rsidRPr="002D741C" w:rsidRDefault="00882C95" w:rsidP="00AD13BE">
      <w:pPr>
        <w:pStyle w:val="EndnoteText"/>
        <w:keepNext/>
        <w:widowControl w:val="0"/>
        <w:tabs>
          <w:tab w:val="clear" w:pos="567"/>
        </w:tabs>
        <w:rPr>
          <w:color w:val="000000"/>
          <w:szCs w:val="22"/>
          <w:lang w:val="es-ES"/>
        </w:rPr>
      </w:pPr>
      <w:r w:rsidRPr="002D741C">
        <w:rPr>
          <w:color w:val="000000"/>
          <w:szCs w:val="22"/>
          <w:u w:val="single"/>
          <w:lang w:val="es-ES"/>
        </w:rPr>
        <w:t>Biotransformación</w:t>
      </w:r>
    </w:p>
    <w:p w14:paraId="5B0F639C" w14:textId="77777777" w:rsidR="00DE24EB" w:rsidRPr="002D741C" w:rsidRDefault="00DE24EB" w:rsidP="00824D7A">
      <w:pPr>
        <w:pStyle w:val="EndnoteText"/>
        <w:widowControl w:val="0"/>
        <w:tabs>
          <w:tab w:val="clear" w:pos="567"/>
        </w:tabs>
        <w:rPr>
          <w:color w:val="000000"/>
          <w:szCs w:val="22"/>
          <w:lang w:val="es-ES"/>
        </w:rPr>
      </w:pPr>
      <w:r w:rsidRPr="002D741C">
        <w:rPr>
          <w:color w:val="000000"/>
          <w:szCs w:val="22"/>
          <w:lang w:val="es-ES"/>
        </w:rPr>
        <w:t xml:space="preserve">El principal metabolito circulante en humanos es el derivado N-desmetilado de piperazina, el cual muestra </w:t>
      </w:r>
      <w:r w:rsidRPr="002D741C">
        <w:rPr>
          <w:i/>
          <w:color w:val="000000"/>
          <w:szCs w:val="22"/>
          <w:lang w:val="es-ES"/>
        </w:rPr>
        <w:t>in vitro</w:t>
      </w:r>
      <w:r w:rsidRPr="002D741C">
        <w:rPr>
          <w:color w:val="000000"/>
          <w:szCs w:val="22"/>
          <w:lang w:val="es-ES"/>
        </w:rPr>
        <w:t xml:space="preserve"> una potencia similar a la del compuesto inicial. </w:t>
      </w:r>
      <w:smartTag w:uri="urn:schemas-microsoft-com:office:smarttags" w:element="PersonName">
        <w:smartTagPr>
          <w:attr w:name="ProductID" w:val="La AUC"/>
        </w:smartTagPr>
        <w:r w:rsidRPr="002D741C">
          <w:rPr>
            <w:color w:val="000000"/>
            <w:szCs w:val="22"/>
            <w:lang w:val="es-ES"/>
          </w:rPr>
          <w:t>La AUC</w:t>
        </w:r>
      </w:smartTag>
      <w:r w:rsidRPr="002D741C">
        <w:rPr>
          <w:color w:val="000000"/>
          <w:szCs w:val="22"/>
          <w:lang w:val="es-ES"/>
        </w:rPr>
        <w:t xml:space="preserve"> plasmática para el metabolito fue de sólo el 16% de </w:t>
      </w:r>
      <w:smartTag w:uri="urn:schemas-microsoft-com:office:smarttags" w:element="PersonName">
        <w:smartTagPr>
          <w:attr w:name="ProductID" w:val="La AUC"/>
        </w:smartTagPr>
        <w:r w:rsidRPr="002D741C">
          <w:rPr>
            <w:color w:val="000000"/>
            <w:szCs w:val="22"/>
            <w:lang w:val="es-ES"/>
          </w:rPr>
          <w:t>la AUC</w:t>
        </w:r>
      </w:smartTag>
      <w:r w:rsidRPr="002D741C">
        <w:rPr>
          <w:color w:val="000000"/>
          <w:szCs w:val="22"/>
          <w:lang w:val="es-ES"/>
        </w:rPr>
        <w:t xml:space="preserve"> del imatinib.</w:t>
      </w:r>
      <w:r w:rsidR="00824D7A" w:rsidRPr="002D741C">
        <w:rPr>
          <w:color w:val="000000"/>
          <w:szCs w:val="22"/>
          <w:lang w:val="es-ES"/>
        </w:rPr>
        <w:t xml:space="preserve"> La unión a proteínas plasmáticas del metabolito N-desmetilado es similar a la del compuesto inicial.</w:t>
      </w:r>
    </w:p>
    <w:p w14:paraId="786D3734" w14:textId="77777777" w:rsidR="00DE24EB" w:rsidRPr="002D741C" w:rsidRDefault="00DE24EB" w:rsidP="00DE24EB">
      <w:pPr>
        <w:pStyle w:val="EndnoteText"/>
        <w:widowControl w:val="0"/>
        <w:tabs>
          <w:tab w:val="clear" w:pos="567"/>
        </w:tabs>
        <w:rPr>
          <w:color w:val="000000"/>
          <w:szCs w:val="22"/>
          <w:lang w:val="es-ES"/>
        </w:rPr>
      </w:pPr>
    </w:p>
    <w:p w14:paraId="10EBB670" w14:textId="77777777" w:rsidR="00DE24EB" w:rsidRPr="002D741C" w:rsidRDefault="00DE24EB" w:rsidP="00DE24EB">
      <w:pPr>
        <w:pStyle w:val="EndnoteText"/>
        <w:widowControl w:val="0"/>
        <w:tabs>
          <w:tab w:val="clear" w:pos="567"/>
        </w:tabs>
        <w:rPr>
          <w:color w:val="000000"/>
          <w:szCs w:val="22"/>
          <w:lang w:val="es-ES"/>
        </w:rPr>
      </w:pPr>
      <w:r w:rsidRPr="002D741C">
        <w:rPr>
          <w:color w:val="000000"/>
          <w:szCs w:val="22"/>
          <w:lang w:val="es-ES"/>
        </w:rPr>
        <w:t>Imatinib junto con su metabolito N-desmetil alcanzaron aproximadamente el 65% de la radioactividad circulante (AUC</w:t>
      </w:r>
      <w:r w:rsidRPr="002D741C">
        <w:rPr>
          <w:color w:val="000000"/>
          <w:szCs w:val="22"/>
          <w:vertAlign w:val="subscript"/>
          <w:lang w:val="es-ES"/>
        </w:rPr>
        <w:t>(0-48h)</w:t>
      </w:r>
      <w:r w:rsidRPr="002D741C">
        <w:rPr>
          <w:color w:val="000000"/>
          <w:szCs w:val="22"/>
          <w:lang w:val="es-ES"/>
        </w:rPr>
        <w:t>). El resto de radioactividad circulante correspondió a un número de metabolitos menores.</w:t>
      </w:r>
    </w:p>
    <w:p w14:paraId="3DC29392" w14:textId="77777777" w:rsidR="00DE24EB" w:rsidRPr="002D741C" w:rsidRDefault="00DE24EB" w:rsidP="00DE24EB">
      <w:pPr>
        <w:pStyle w:val="EndnoteText"/>
        <w:widowControl w:val="0"/>
        <w:tabs>
          <w:tab w:val="clear" w:pos="567"/>
        </w:tabs>
        <w:rPr>
          <w:color w:val="000000"/>
          <w:szCs w:val="22"/>
          <w:lang w:val="es-ES"/>
        </w:rPr>
      </w:pPr>
    </w:p>
    <w:p w14:paraId="6CA41A4F" w14:textId="77777777" w:rsidR="00DE24EB" w:rsidRPr="002D741C" w:rsidRDefault="00DE24EB" w:rsidP="00DE24EB">
      <w:pPr>
        <w:pStyle w:val="EndnoteText"/>
        <w:widowControl w:val="0"/>
        <w:tabs>
          <w:tab w:val="clear" w:pos="567"/>
        </w:tabs>
        <w:rPr>
          <w:color w:val="000000"/>
          <w:szCs w:val="22"/>
          <w:lang w:val="es-ES"/>
        </w:rPr>
      </w:pPr>
      <w:r w:rsidRPr="002D741C">
        <w:rPr>
          <w:color w:val="000000"/>
          <w:szCs w:val="22"/>
          <w:lang w:val="es-ES"/>
        </w:rPr>
        <w:t xml:space="preserve">Los resultados </w:t>
      </w:r>
      <w:r w:rsidRPr="002D741C">
        <w:rPr>
          <w:i/>
          <w:color w:val="000000"/>
          <w:szCs w:val="22"/>
          <w:lang w:val="es-ES"/>
        </w:rPr>
        <w:t>in vitro</w:t>
      </w:r>
      <w:r w:rsidRPr="002D741C">
        <w:rPr>
          <w:color w:val="000000"/>
          <w:szCs w:val="22"/>
          <w:lang w:val="es-ES"/>
        </w:rPr>
        <w:t xml:space="preserve"> mostraron que el </w:t>
      </w:r>
      <w:smartTag w:uri="urn:schemas-microsoft-com:office:smarttags" w:element="PersonName">
        <w:r w:rsidRPr="002D741C">
          <w:rPr>
            <w:color w:val="000000"/>
            <w:szCs w:val="22"/>
            <w:lang w:val="es-ES"/>
          </w:rPr>
          <w:t>CY</w:t>
        </w:r>
      </w:smartTag>
      <w:r w:rsidRPr="002D741C">
        <w:rPr>
          <w:color w:val="000000"/>
          <w:szCs w:val="22"/>
          <w:lang w:val="es-ES"/>
        </w:rPr>
        <w:t>P3A4 fue el principal enzima humano del P450 que cataliza la biotransformación de imatinib. De una serie de medicaciones concomitantes (acetaminofeno, aciclovir, alopurinol, anfotericina, citarabina, eritromicina, fluconazol, hidroxiuera, norfloxacino, penicilina V) sólo eritromicina (IC</w:t>
      </w:r>
      <w:r w:rsidRPr="002D741C">
        <w:rPr>
          <w:color w:val="000000"/>
          <w:szCs w:val="22"/>
          <w:vertAlign w:val="subscript"/>
          <w:lang w:val="es-ES"/>
        </w:rPr>
        <w:t>50</w:t>
      </w:r>
      <w:r w:rsidRPr="002D741C">
        <w:rPr>
          <w:color w:val="000000"/>
          <w:szCs w:val="22"/>
          <w:lang w:val="es-ES"/>
        </w:rPr>
        <w:t xml:space="preserve"> 50 µM) y fluconazol (IC</w:t>
      </w:r>
      <w:r w:rsidRPr="002D741C">
        <w:rPr>
          <w:color w:val="000000"/>
          <w:szCs w:val="22"/>
          <w:vertAlign w:val="subscript"/>
          <w:lang w:val="es-ES"/>
        </w:rPr>
        <w:t>50</w:t>
      </w:r>
      <w:r w:rsidRPr="002D741C">
        <w:rPr>
          <w:color w:val="000000"/>
          <w:szCs w:val="22"/>
          <w:lang w:val="es-ES"/>
        </w:rPr>
        <w:t xml:space="preserve"> 118 µM) mostraron inhibición del metabolismo de imatinib con posible relevancia clínica.</w:t>
      </w:r>
    </w:p>
    <w:p w14:paraId="6E923378" w14:textId="77777777" w:rsidR="00DE24EB" w:rsidRPr="002D741C" w:rsidRDefault="00DE24EB" w:rsidP="00DE24EB">
      <w:pPr>
        <w:pStyle w:val="EndnoteText"/>
        <w:widowControl w:val="0"/>
        <w:tabs>
          <w:tab w:val="clear" w:pos="567"/>
        </w:tabs>
        <w:rPr>
          <w:color w:val="000000"/>
          <w:szCs w:val="22"/>
          <w:lang w:val="es-ES"/>
        </w:rPr>
      </w:pPr>
    </w:p>
    <w:p w14:paraId="79CD7CA6" w14:textId="77777777" w:rsidR="00DE24EB" w:rsidRPr="002D741C" w:rsidRDefault="00DE24EB" w:rsidP="00DE24EB">
      <w:pPr>
        <w:pStyle w:val="EndnoteText"/>
        <w:widowControl w:val="0"/>
        <w:tabs>
          <w:tab w:val="clear" w:pos="567"/>
        </w:tabs>
        <w:rPr>
          <w:color w:val="000000"/>
          <w:szCs w:val="22"/>
          <w:lang w:val="es-ES"/>
        </w:rPr>
      </w:pPr>
      <w:r w:rsidRPr="002D741C">
        <w:rPr>
          <w:i/>
          <w:color w:val="000000"/>
          <w:szCs w:val="22"/>
          <w:lang w:val="es-ES"/>
        </w:rPr>
        <w:t>In vitro</w:t>
      </w:r>
      <w:r w:rsidRPr="002D741C">
        <w:rPr>
          <w:color w:val="000000"/>
          <w:szCs w:val="22"/>
          <w:lang w:val="es-ES"/>
        </w:rPr>
        <w:t xml:space="preserve"> imatinib mostró ser un inhibidor competitivo de sustratos marcadores para </w:t>
      </w:r>
      <w:smartTag w:uri="urn:schemas-microsoft-com:office:smarttags" w:element="PersonName">
        <w:r w:rsidRPr="002D741C">
          <w:rPr>
            <w:color w:val="000000"/>
            <w:szCs w:val="22"/>
            <w:lang w:val="es-ES"/>
          </w:rPr>
          <w:t>CY</w:t>
        </w:r>
      </w:smartTag>
      <w:r w:rsidRPr="002D741C">
        <w:rPr>
          <w:color w:val="000000"/>
          <w:szCs w:val="22"/>
          <w:lang w:val="es-ES"/>
        </w:rPr>
        <w:t xml:space="preserve">P2C9, </w:t>
      </w:r>
      <w:smartTag w:uri="urn:schemas-microsoft-com:office:smarttags" w:element="PersonName">
        <w:r w:rsidRPr="002D741C">
          <w:rPr>
            <w:color w:val="000000"/>
            <w:szCs w:val="22"/>
            <w:lang w:val="es-ES"/>
          </w:rPr>
          <w:t>CY</w:t>
        </w:r>
      </w:smartTag>
      <w:r w:rsidRPr="002D741C">
        <w:rPr>
          <w:color w:val="000000"/>
          <w:szCs w:val="22"/>
          <w:lang w:val="es-ES"/>
        </w:rPr>
        <w:t xml:space="preserve">P2D6 y </w:t>
      </w:r>
      <w:smartTag w:uri="urn:schemas-microsoft-com:office:smarttags" w:element="PersonName">
        <w:r w:rsidRPr="002D741C">
          <w:rPr>
            <w:color w:val="000000"/>
            <w:szCs w:val="22"/>
            <w:lang w:val="es-ES"/>
          </w:rPr>
          <w:t>CY</w:t>
        </w:r>
      </w:smartTag>
      <w:r w:rsidRPr="002D741C">
        <w:rPr>
          <w:color w:val="000000"/>
          <w:szCs w:val="22"/>
          <w:lang w:val="es-ES"/>
        </w:rPr>
        <w:t>P3A4/5. Los valores K</w:t>
      </w:r>
      <w:r w:rsidRPr="002D741C">
        <w:rPr>
          <w:color w:val="000000"/>
          <w:szCs w:val="22"/>
          <w:vertAlign w:val="subscript"/>
          <w:lang w:val="es-ES"/>
        </w:rPr>
        <w:t xml:space="preserve">i </w:t>
      </w:r>
      <w:r w:rsidRPr="002D741C">
        <w:rPr>
          <w:color w:val="000000"/>
          <w:szCs w:val="22"/>
          <w:lang w:val="es-ES"/>
        </w:rPr>
        <w:t>en los microsomas hepáticos humanos fueron 27, 7,5 y 7,9</w:t>
      </w:r>
      <w:r w:rsidR="00C92ECA" w:rsidRPr="002D741C">
        <w:rPr>
          <w:color w:val="000000"/>
          <w:szCs w:val="22"/>
          <w:lang w:val="es-ES"/>
        </w:rPr>
        <w:t> </w:t>
      </w:r>
      <w:r w:rsidRPr="002D741C">
        <w:rPr>
          <w:color w:val="000000"/>
          <w:szCs w:val="22"/>
          <w:lang w:val="es-ES"/>
        </w:rPr>
        <w:sym w:font="Symbol" w:char="F06D"/>
      </w:r>
      <w:r w:rsidRPr="002D741C">
        <w:rPr>
          <w:color w:val="000000"/>
          <w:szCs w:val="22"/>
          <w:lang w:val="es-ES"/>
        </w:rPr>
        <w:t>mol/l, respectivamente. Las concentraciones plasmáticas máximas de imatinib en pacientes son 2</w:t>
      </w:r>
      <w:r w:rsidR="00F11D96" w:rsidRPr="002D741C">
        <w:rPr>
          <w:color w:val="000000"/>
          <w:szCs w:val="22"/>
          <w:lang w:val="es-ES"/>
        </w:rPr>
        <w:t>–</w:t>
      </w:r>
      <w:r w:rsidRPr="002D741C">
        <w:rPr>
          <w:color w:val="000000"/>
          <w:szCs w:val="22"/>
          <w:lang w:val="es-ES"/>
        </w:rPr>
        <w:t>4 </w:t>
      </w:r>
      <w:r w:rsidRPr="002D741C">
        <w:rPr>
          <w:color w:val="000000"/>
          <w:szCs w:val="22"/>
          <w:lang w:val="es-ES"/>
        </w:rPr>
        <w:sym w:font="Symbol" w:char="F06D"/>
      </w:r>
      <w:r w:rsidRPr="002D741C">
        <w:rPr>
          <w:color w:val="000000"/>
          <w:szCs w:val="22"/>
          <w:lang w:val="es-ES"/>
        </w:rPr>
        <w:t xml:space="preserve">mol/l, como consecuencia, es posible una inhibición del metabolismo mediado por </w:t>
      </w:r>
      <w:smartTag w:uri="urn:schemas-microsoft-com:office:smarttags" w:element="PersonName">
        <w:r w:rsidRPr="002D741C">
          <w:rPr>
            <w:color w:val="000000"/>
            <w:szCs w:val="22"/>
            <w:lang w:val="es-ES"/>
          </w:rPr>
          <w:t>CY</w:t>
        </w:r>
      </w:smartTag>
      <w:r w:rsidRPr="002D741C">
        <w:rPr>
          <w:color w:val="000000"/>
          <w:szCs w:val="22"/>
          <w:lang w:val="es-ES"/>
        </w:rPr>
        <w:t xml:space="preserve">P2D6 y/o </w:t>
      </w:r>
      <w:smartTag w:uri="urn:schemas-microsoft-com:office:smarttags" w:element="PersonName">
        <w:r w:rsidRPr="002D741C">
          <w:rPr>
            <w:color w:val="000000"/>
            <w:szCs w:val="22"/>
            <w:lang w:val="es-ES"/>
          </w:rPr>
          <w:t>CY</w:t>
        </w:r>
      </w:smartTag>
      <w:r w:rsidRPr="002D741C">
        <w:rPr>
          <w:color w:val="000000"/>
          <w:szCs w:val="22"/>
          <w:lang w:val="es-ES"/>
        </w:rPr>
        <w:t xml:space="preserve">P3A4/5 de los fármacos administrados conjuntamente. Imatinib no interfirió en la biotransformación del 5-fluorouracilo, pero inhibió el metabolismo del paclitaxel como resultado de una inhibición competitiva del </w:t>
      </w:r>
      <w:smartTag w:uri="urn:schemas-microsoft-com:office:smarttags" w:element="PersonName">
        <w:r w:rsidRPr="002D741C">
          <w:rPr>
            <w:color w:val="000000"/>
            <w:szCs w:val="22"/>
            <w:lang w:val="es-ES"/>
          </w:rPr>
          <w:t>CY</w:t>
        </w:r>
      </w:smartTag>
      <w:r w:rsidRPr="002D741C">
        <w:rPr>
          <w:color w:val="000000"/>
          <w:szCs w:val="22"/>
          <w:lang w:val="es-ES"/>
        </w:rPr>
        <w:t>P2C8 (K</w:t>
      </w:r>
      <w:r w:rsidRPr="002D741C">
        <w:rPr>
          <w:color w:val="000000"/>
          <w:szCs w:val="22"/>
          <w:vertAlign w:val="subscript"/>
          <w:lang w:val="es-ES"/>
        </w:rPr>
        <w:t>i</w:t>
      </w:r>
      <w:r w:rsidRPr="002D741C">
        <w:rPr>
          <w:color w:val="000000"/>
          <w:szCs w:val="22"/>
          <w:lang w:val="es-ES"/>
        </w:rPr>
        <w:t xml:space="preserve"> = 34,7</w:t>
      </w:r>
      <w:r w:rsidR="00C92ECA" w:rsidRPr="002D741C">
        <w:rPr>
          <w:color w:val="000000"/>
          <w:szCs w:val="22"/>
          <w:lang w:val="es-ES"/>
        </w:rPr>
        <w:t> </w:t>
      </w:r>
      <w:r w:rsidRPr="002D741C">
        <w:rPr>
          <w:color w:val="000000"/>
          <w:szCs w:val="22"/>
          <w:lang w:val="es-ES"/>
        </w:rPr>
        <w:t>µM). Este valor K</w:t>
      </w:r>
      <w:r w:rsidRPr="002D741C">
        <w:rPr>
          <w:color w:val="000000"/>
          <w:szCs w:val="22"/>
          <w:vertAlign w:val="subscript"/>
          <w:lang w:val="es-ES"/>
        </w:rPr>
        <w:t>i</w:t>
      </w:r>
      <w:r w:rsidRPr="002D741C">
        <w:rPr>
          <w:color w:val="000000"/>
          <w:szCs w:val="22"/>
          <w:lang w:val="es-ES"/>
        </w:rPr>
        <w:t xml:space="preserve"> es muy superior al nivel plasmático esperado de imatinib en pacientes, por lo tanto no se espera una interacción en la administración conjunta tanto de 5-flulorouracilo o paclitaxel e imatinib.</w:t>
      </w:r>
    </w:p>
    <w:p w14:paraId="5B33E876" w14:textId="77777777" w:rsidR="00DE24EB" w:rsidRPr="002D741C" w:rsidRDefault="00DE24EB" w:rsidP="00DE24EB">
      <w:pPr>
        <w:pStyle w:val="EndnoteText"/>
        <w:widowControl w:val="0"/>
        <w:tabs>
          <w:tab w:val="clear" w:pos="567"/>
        </w:tabs>
        <w:rPr>
          <w:color w:val="000000"/>
          <w:szCs w:val="22"/>
          <w:lang w:val="es-ES"/>
        </w:rPr>
      </w:pPr>
    </w:p>
    <w:p w14:paraId="7169CFF4" w14:textId="77777777" w:rsidR="00DE24EB" w:rsidRPr="002D741C" w:rsidRDefault="00DE24EB" w:rsidP="00AD13BE">
      <w:pPr>
        <w:pStyle w:val="EndnoteText"/>
        <w:keepNext/>
        <w:widowControl w:val="0"/>
        <w:tabs>
          <w:tab w:val="clear" w:pos="567"/>
        </w:tabs>
        <w:rPr>
          <w:color w:val="000000"/>
          <w:szCs w:val="22"/>
          <w:lang w:val="es-ES"/>
        </w:rPr>
      </w:pPr>
      <w:r w:rsidRPr="002D741C">
        <w:rPr>
          <w:color w:val="000000"/>
          <w:szCs w:val="22"/>
          <w:u w:val="single"/>
          <w:lang w:val="es-ES"/>
        </w:rPr>
        <w:t>Eliminación</w:t>
      </w:r>
    </w:p>
    <w:p w14:paraId="035BC2B9" w14:textId="77777777" w:rsidR="00DE24EB" w:rsidRPr="002D741C" w:rsidRDefault="00DE24EB" w:rsidP="00DE24EB">
      <w:pPr>
        <w:pStyle w:val="EndnoteText"/>
        <w:widowControl w:val="0"/>
        <w:tabs>
          <w:tab w:val="clear" w:pos="567"/>
        </w:tabs>
        <w:rPr>
          <w:color w:val="000000"/>
          <w:szCs w:val="22"/>
          <w:lang w:val="es-ES"/>
        </w:rPr>
      </w:pPr>
      <w:r w:rsidRPr="002D741C">
        <w:rPr>
          <w:color w:val="000000"/>
          <w:szCs w:val="22"/>
          <w:lang w:val="es-ES"/>
        </w:rPr>
        <w:t>En base a la recuperación de los compuestos después de una dosis oral de imatinib marcado en el C</w:t>
      </w:r>
      <w:r w:rsidRPr="002D741C">
        <w:rPr>
          <w:color w:val="000000"/>
          <w:szCs w:val="22"/>
          <w:vertAlign w:val="superscript"/>
          <w:lang w:val="es-ES"/>
        </w:rPr>
        <w:t>14</w:t>
      </w:r>
      <w:r w:rsidRPr="002D741C">
        <w:rPr>
          <w:color w:val="000000"/>
          <w:szCs w:val="22"/>
          <w:lang w:val="es-ES"/>
        </w:rPr>
        <w:t>, aproximadamente el 81% de la dosis se recuperó en 7</w:t>
      </w:r>
      <w:r w:rsidR="00C92ECA" w:rsidRPr="002D741C">
        <w:rPr>
          <w:color w:val="000000"/>
          <w:szCs w:val="22"/>
          <w:lang w:val="es-ES"/>
        </w:rPr>
        <w:t> </w:t>
      </w:r>
      <w:r w:rsidRPr="002D741C">
        <w:rPr>
          <w:color w:val="000000"/>
          <w:szCs w:val="22"/>
          <w:lang w:val="es-ES"/>
        </w:rPr>
        <w:t>días en heces (68% de la dosis) y orina (13% de la dosis). Imatinib inalterado alcanza el 25% de la dosis (5% orina, 20% heces), siendo el resto metabolitos.</w:t>
      </w:r>
    </w:p>
    <w:p w14:paraId="7249E914" w14:textId="77777777" w:rsidR="00DE24EB" w:rsidRPr="002D741C" w:rsidRDefault="00DE24EB" w:rsidP="00DE24EB">
      <w:pPr>
        <w:pStyle w:val="EndnoteText"/>
        <w:widowControl w:val="0"/>
        <w:tabs>
          <w:tab w:val="clear" w:pos="567"/>
        </w:tabs>
        <w:rPr>
          <w:color w:val="000000"/>
          <w:szCs w:val="22"/>
          <w:lang w:val="es-ES"/>
        </w:rPr>
      </w:pPr>
    </w:p>
    <w:p w14:paraId="187F951C" w14:textId="77777777" w:rsidR="00DE24EB" w:rsidRPr="002D741C" w:rsidRDefault="00DE24EB" w:rsidP="00AD13BE">
      <w:pPr>
        <w:pStyle w:val="EndnoteText"/>
        <w:keepNext/>
        <w:widowControl w:val="0"/>
        <w:tabs>
          <w:tab w:val="clear" w:pos="567"/>
        </w:tabs>
        <w:rPr>
          <w:color w:val="000000"/>
          <w:szCs w:val="22"/>
          <w:lang w:val="es-ES"/>
        </w:rPr>
      </w:pPr>
      <w:r w:rsidRPr="002D741C">
        <w:rPr>
          <w:color w:val="000000"/>
          <w:szCs w:val="22"/>
          <w:u w:val="single"/>
          <w:lang w:val="es-ES"/>
        </w:rPr>
        <w:t>Farmacocinética plasmática</w:t>
      </w:r>
    </w:p>
    <w:p w14:paraId="71881BED" w14:textId="77777777" w:rsidR="00DE24EB" w:rsidRPr="002D741C" w:rsidRDefault="00DE24EB" w:rsidP="00DE24EB">
      <w:pPr>
        <w:pStyle w:val="EndnoteText"/>
        <w:widowControl w:val="0"/>
        <w:tabs>
          <w:tab w:val="clear" w:pos="567"/>
        </w:tabs>
        <w:rPr>
          <w:color w:val="000000"/>
          <w:szCs w:val="22"/>
          <w:lang w:val="es-ES"/>
        </w:rPr>
      </w:pPr>
      <w:r w:rsidRPr="002D741C">
        <w:rPr>
          <w:color w:val="000000"/>
          <w:szCs w:val="22"/>
          <w:lang w:val="es-ES"/>
        </w:rPr>
        <w:t>Tras la administración oral a voluntarios sanos, el t</w:t>
      </w:r>
      <w:r w:rsidRPr="002D741C">
        <w:rPr>
          <w:color w:val="000000"/>
          <w:szCs w:val="22"/>
          <w:vertAlign w:val="subscript"/>
          <w:lang w:val="es-ES"/>
        </w:rPr>
        <w:t>1/2</w:t>
      </w:r>
      <w:r w:rsidRPr="002D741C">
        <w:rPr>
          <w:color w:val="000000"/>
          <w:szCs w:val="22"/>
          <w:lang w:val="es-ES"/>
        </w:rPr>
        <w:t xml:space="preserve"> fue aproximadamente 18</w:t>
      </w:r>
      <w:r w:rsidR="00C92ECA" w:rsidRPr="002D741C">
        <w:rPr>
          <w:color w:val="000000"/>
          <w:szCs w:val="22"/>
          <w:lang w:val="es-ES"/>
        </w:rPr>
        <w:t> </w:t>
      </w:r>
      <w:r w:rsidRPr="002D741C">
        <w:rPr>
          <w:color w:val="000000"/>
          <w:szCs w:val="22"/>
          <w:lang w:val="es-ES"/>
        </w:rPr>
        <w:t xml:space="preserve">h, sugiriendo que una dosis única al día es apropiada. El aumento en </w:t>
      </w:r>
      <w:smartTag w:uri="urn:schemas-microsoft-com:office:smarttags" w:element="PersonName">
        <w:smartTagPr>
          <w:attr w:name="ProductID" w:val="La AUC"/>
        </w:smartTagPr>
        <w:r w:rsidRPr="002D741C">
          <w:rPr>
            <w:color w:val="000000"/>
            <w:szCs w:val="22"/>
            <w:lang w:val="es-ES"/>
          </w:rPr>
          <w:t>la AUC</w:t>
        </w:r>
      </w:smartTag>
      <w:r w:rsidRPr="002D741C">
        <w:rPr>
          <w:color w:val="000000"/>
          <w:szCs w:val="22"/>
          <w:lang w:val="es-ES"/>
        </w:rPr>
        <w:t xml:space="preserve"> media con incremento de dosis fue lineal y proporcional a la dosis en el rango de 25–1</w:t>
      </w:r>
      <w:r w:rsidR="001453F7" w:rsidRPr="002D741C">
        <w:rPr>
          <w:color w:val="000000"/>
          <w:szCs w:val="22"/>
          <w:lang w:val="es-ES"/>
        </w:rPr>
        <w:t>.</w:t>
      </w:r>
      <w:r w:rsidRPr="002D741C">
        <w:rPr>
          <w:color w:val="000000"/>
          <w:szCs w:val="22"/>
          <w:lang w:val="es-ES"/>
        </w:rPr>
        <w:t>000</w:t>
      </w:r>
      <w:r w:rsidR="006171A6" w:rsidRPr="002D741C">
        <w:rPr>
          <w:color w:val="000000"/>
          <w:szCs w:val="22"/>
          <w:lang w:val="es-ES"/>
        </w:rPr>
        <w:t> mg</w:t>
      </w:r>
      <w:r w:rsidRPr="002D741C">
        <w:rPr>
          <w:color w:val="000000"/>
          <w:szCs w:val="22"/>
          <w:lang w:val="es-ES"/>
        </w:rPr>
        <w:t xml:space="preserve"> de imatinib tras la administración oral. No hubo cambio en la cinética de imatinib a dosis repetidas, y la acumulación fue de 1,5</w:t>
      </w:r>
      <w:r w:rsidR="00F11D96" w:rsidRPr="002D741C">
        <w:rPr>
          <w:color w:val="000000"/>
          <w:szCs w:val="22"/>
          <w:lang w:val="es-ES"/>
        </w:rPr>
        <w:t>–</w:t>
      </w:r>
      <w:r w:rsidRPr="002D741C">
        <w:rPr>
          <w:color w:val="000000"/>
          <w:szCs w:val="22"/>
          <w:lang w:val="es-ES"/>
        </w:rPr>
        <w:t>2,5</w:t>
      </w:r>
      <w:r w:rsidR="00C92ECA" w:rsidRPr="002D741C">
        <w:rPr>
          <w:color w:val="000000"/>
          <w:szCs w:val="22"/>
          <w:lang w:val="es-ES"/>
        </w:rPr>
        <w:t> </w:t>
      </w:r>
      <w:r w:rsidRPr="002D741C">
        <w:rPr>
          <w:color w:val="000000"/>
          <w:szCs w:val="22"/>
          <w:lang w:val="es-ES"/>
        </w:rPr>
        <w:t>veces en estado estacionario cuando se dosifica una vez al día.</w:t>
      </w:r>
    </w:p>
    <w:p w14:paraId="0DA43B40" w14:textId="77777777" w:rsidR="00DE24EB" w:rsidRPr="002D741C" w:rsidRDefault="00DE24EB" w:rsidP="00DE24EB">
      <w:pPr>
        <w:pStyle w:val="EndnoteText"/>
        <w:widowControl w:val="0"/>
        <w:tabs>
          <w:tab w:val="clear" w:pos="567"/>
        </w:tabs>
        <w:rPr>
          <w:color w:val="000000"/>
          <w:szCs w:val="22"/>
          <w:lang w:val="es-ES"/>
        </w:rPr>
      </w:pPr>
    </w:p>
    <w:p w14:paraId="7081CC4E" w14:textId="77777777" w:rsidR="00DE24EB" w:rsidRPr="002D741C" w:rsidRDefault="00DE24EB" w:rsidP="00AD13BE">
      <w:pPr>
        <w:pStyle w:val="EndnoteText"/>
        <w:keepNext/>
        <w:widowControl w:val="0"/>
        <w:tabs>
          <w:tab w:val="clear" w:pos="567"/>
        </w:tabs>
        <w:rPr>
          <w:color w:val="000000"/>
          <w:szCs w:val="22"/>
          <w:lang w:val="es-ES"/>
        </w:rPr>
      </w:pPr>
      <w:r w:rsidRPr="002D741C">
        <w:rPr>
          <w:color w:val="000000"/>
          <w:szCs w:val="22"/>
          <w:u w:val="single"/>
          <w:lang w:val="es-ES"/>
        </w:rPr>
        <w:t>Farmacocinética en pacientes con G</w:t>
      </w:r>
      <w:smartTag w:uri="urn:schemas-microsoft-com:office:smarttags" w:element="PersonName">
        <w:r w:rsidRPr="002D741C">
          <w:rPr>
            <w:color w:val="000000"/>
            <w:szCs w:val="22"/>
            <w:u w:val="single"/>
            <w:lang w:val="es-ES"/>
          </w:rPr>
          <w:t>IS</w:t>
        </w:r>
      </w:smartTag>
      <w:r w:rsidRPr="002D741C">
        <w:rPr>
          <w:color w:val="000000"/>
          <w:szCs w:val="22"/>
          <w:u w:val="single"/>
          <w:lang w:val="es-ES"/>
        </w:rPr>
        <w:t>T</w:t>
      </w:r>
    </w:p>
    <w:p w14:paraId="3E87C62B" w14:textId="77777777" w:rsidR="00DE24EB" w:rsidRPr="002D741C" w:rsidRDefault="00DE24EB" w:rsidP="00DE24EB">
      <w:pPr>
        <w:pStyle w:val="EndnoteText"/>
        <w:widowControl w:val="0"/>
        <w:tabs>
          <w:tab w:val="clear" w:pos="567"/>
        </w:tabs>
        <w:rPr>
          <w:color w:val="000000"/>
          <w:szCs w:val="22"/>
          <w:lang w:val="es-ES"/>
        </w:rPr>
      </w:pPr>
      <w:r w:rsidRPr="002D741C">
        <w:rPr>
          <w:color w:val="000000"/>
          <w:szCs w:val="22"/>
          <w:lang w:val="es-ES"/>
        </w:rPr>
        <w:t>En pacientes con G</w:t>
      </w:r>
      <w:smartTag w:uri="urn:schemas-microsoft-com:office:smarttags" w:element="PersonName">
        <w:r w:rsidRPr="002D741C">
          <w:rPr>
            <w:color w:val="000000"/>
            <w:szCs w:val="22"/>
            <w:lang w:val="es-ES"/>
          </w:rPr>
          <w:t>IS</w:t>
        </w:r>
      </w:smartTag>
      <w:r w:rsidRPr="002D741C">
        <w:rPr>
          <w:color w:val="000000"/>
          <w:szCs w:val="22"/>
          <w:lang w:val="es-ES"/>
        </w:rPr>
        <w:t>T la exposición en el estado estacionario fue 1,5</w:t>
      </w:r>
      <w:r w:rsidR="00C92ECA" w:rsidRPr="002D741C">
        <w:rPr>
          <w:color w:val="000000"/>
          <w:szCs w:val="22"/>
          <w:lang w:val="es-ES"/>
        </w:rPr>
        <w:t> </w:t>
      </w:r>
      <w:r w:rsidRPr="002D741C">
        <w:rPr>
          <w:color w:val="000000"/>
          <w:szCs w:val="22"/>
          <w:lang w:val="es-ES"/>
        </w:rPr>
        <w:t>veces superior a la observada en los pacientes con LMC a la misma dosis (400</w:t>
      </w:r>
      <w:r w:rsidR="006171A6" w:rsidRPr="002D741C">
        <w:rPr>
          <w:color w:val="000000"/>
          <w:szCs w:val="22"/>
          <w:lang w:val="es-ES"/>
        </w:rPr>
        <w:t> mg</w:t>
      </w:r>
      <w:r w:rsidRPr="002D741C">
        <w:rPr>
          <w:color w:val="000000"/>
          <w:szCs w:val="22"/>
          <w:lang w:val="es-ES"/>
        </w:rPr>
        <w:t xml:space="preserve"> al día). En base al análisis farmacocinético </w:t>
      </w:r>
      <w:r w:rsidRPr="002D741C">
        <w:rPr>
          <w:color w:val="000000"/>
          <w:szCs w:val="22"/>
          <w:lang w:val="es-ES"/>
        </w:rPr>
        <w:lastRenderedPageBreak/>
        <w:t>poblacional preliminar en pacientes con G</w:t>
      </w:r>
      <w:smartTag w:uri="urn:schemas-microsoft-com:office:smarttags" w:element="PersonName">
        <w:r w:rsidRPr="002D741C">
          <w:rPr>
            <w:color w:val="000000"/>
            <w:szCs w:val="22"/>
            <w:lang w:val="es-ES"/>
          </w:rPr>
          <w:t>IS</w:t>
        </w:r>
      </w:smartTag>
      <w:r w:rsidRPr="002D741C">
        <w:rPr>
          <w:color w:val="000000"/>
          <w:szCs w:val="22"/>
          <w:lang w:val="es-ES"/>
        </w:rPr>
        <w:t>T, se hallaron tres variables (albúmina, leucocitos y bilirrubina) que presentaban una relación estadísticamente significativa con la farmacocinética de imatinib. Los bajos valores de albúmina causaron un aclaramiento reducido (CL/f) y los niveles elevados de leucocitos dieron lugar a una reducción del CL/f. No obstante, estas asociaciones no resultan suficientemente pronunciadas para garantizar un ajuste de la dosis. En esta población de pacientes, la presencia de metástasis hepáticas podría conducir potencialmente a una insuficiencia hepática y a una disminución del metabolismo.</w:t>
      </w:r>
    </w:p>
    <w:p w14:paraId="79CA46F2" w14:textId="77777777" w:rsidR="00F11D96" w:rsidRPr="002D741C" w:rsidRDefault="00F11D96" w:rsidP="00DE24EB">
      <w:pPr>
        <w:pStyle w:val="EndnoteText"/>
        <w:widowControl w:val="0"/>
        <w:tabs>
          <w:tab w:val="clear" w:pos="567"/>
        </w:tabs>
        <w:rPr>
          <w:color w:val="000000"/>
          <w:szCs w:val="22"/>
          <w:lang w:val="es-ES"/>
        </w:rPr>
      </w:pPr>
    </w:p>
    <w:p w14:paraId="60109E42" w14:textId="77777777" w:rsidR="00DE24EB" w:rsidRPr="002D741C" w:rsidRDefault="00DE24EB" w:rsidP="00AD13BE">
      <w:pPr>
        <w:pStyle w:val="EndnoteText"/>
        <w:keepNext/>
        <w:widowControl w:val="0"/>
        <w:tabs>
          <w:tab w:val="clear" w:pos="567"/>
        </w:tabs>
        <w:rPr>
          <w:color w:val="000000"/>
          <w:szCs w:val="22"/>
          <w:lang w:val="es-ES"/>
        </w:rPr>
      </w:pPr>
      <w:r w:rsidRPr="002D741C">
        <w:rPr>
          <w:color w:val="000000"/>
          <w:szCs w:val="22"/>
          <w:u w:val="single"/>
          <w:lang w:val="es-ES"/>
        </w:rPr>
        <w:t>Farmacocinética de la población</w:t>
      </w:r>
    </w:p>
    <w:p w14:paraId="78943CFD" w14:textId="77777777" w:rsidR="00DE24EB" w:rsidRPr="002D741C" w:rsidRDefault="00DE24EB" w:rsidP="00DE24EB">
      <w:pPr>
        <w:pStyle w:val="EndnoteText"/>
        <w:widowControl w:val="0"/>
        <w:tabs>
          <w:tab w:val="clear" w:pos="567"/>
        </w:tabs>
        <w:rPr>
          <w:color w:val="000000"/>
          <w:szCs w:val="22"/>
          <w:lang w:val="es-ES"/>
        </w:rPr>
      </w:pPr>
      <w:r w:rsidRPr="002D741C">
        <w:rPr>
          <w:color w:val="000000"/>
          <w:szCs w:val="22"/>
          <w:lang w:val="es-ES"/>
        </w:rPr>
        <w:t>En base al análisis farmacocinético de la población en pacientes con LMC, hubo un pequeño efecto de la edad en el volumen de distribución (aumento del 12% en pacientes &gt;</w:t>
      </w:r>
      <w:r w:rsidR="00F11D96" w:rsidRPr="002D741C">
        <w:rPr>
          <w:color w:val="000000"/>
          <w:szCs w:val="22"/>
          <w:lang w:val="es-ES"/>
        </w:rPr>
        <w:t> </w:t>
      </w:r>
      <w:r w:rsidRPr="002D741C">
        <w:rPr>
          <w:color w:val="000000"/>
          <w:szCs w:val="22"/>
          <w:lang w:val="es-ES"/>
        </w:rPr>
        <w:t>65</w:t>
      </w:r>
      <w:r w:rsidR="00C92ECA" w:rsidRPr="002D741C">
        <w:rPr>
          <w:color w:val="000000"/>
          <w:szCs w:val="22"/>
          <w:lang w:val="es-ES"/>
        </w:rPr>
        <w:t> </w:t>
      </w:r>
      <w:r w:rsidRPr="002D741C">
        <w:rPr>
          <w:color w:val="000000"/>
          <w:szCs w:val="22"/>
          <w:lang w:val="es-ES"/>
        </w:rPr>
        <w:t xml:space="preserve">años). No se cree que este cambio sea clínicamente significativo. El efecto del peso en el aclaramiento de imatinib es tal que para un paciente que pese </w:t>
      </w:r>
      <w:smartTag w:uri="urn:schemas-microsoft-com:office:smarttags" w:element="metricconverter">
        <w:smartTagPr>
          <w:attr w:name="ProductID" w:val="50ﾠkg"/>
        </w:smartTagPr>
        <w:r w:rsidRPr="002D741C">
          <w:rPr>
            <w:color w:val="000000"/>
            <w:szCs w:val="22"/>
            <w:lang w:val="es-ES"/>
          </w:rPr>
          <w:t>50</w:t>
        </w:r>
        <w:r w:rsidR="00DF063A" w:rsidRPr="002D741C">
          <w:rPr>
            <w:color w:val="000000"/>
            <w:szCs w:val="22"/>
            <w:lang w:val="es-ES"/>
          </w:rPr>
          <w:t> kg</w:t>
        </w:r>
      </w:smartTag>
      <w:r w:rsidRPr="002D741C">
        <w:rPr>
          <w:color w:val="000000"/>
          <w:szCs w:val="22"/>
          <w:lang w:val="es-ES"/>
        </w:rPr>
        <w:t xml:space="preserve"> el aclaramiento medio esperado es de 8,5</w:t>
      </w:r>
      <w:r w:rsidR="00C92ECA" w:rsidRPr="002D741C">
        <w:rPr>
          <w:color w:val="000000"/>
          <w:szCs w:val="22"/>
          <w:lang w:val="es-ES"/>
        </w:rPr>
        <w:t> </w:t>
      </w:r>
      <w:r w:rsidRPr="002D741C">
        <w:rPr>
          <w:color w:val="000000"/>
          <w:szCs w:val="22"/>
          <w:lang w:val="es-ES"/>
        </w:rPr>
        <w:t xml:space="preserve">l/h, mientras que en un paciente que pese </w:t>
      </w:r>
      <w:smartTag w:uri="urn:schemas-microsoft-com:office:smarttags" w:element="metricconverter">
        <w:smartTagPr>
          <w:attr w:name="ProductID" w:val="100ﾠkg"/>
        </w:smartTagPr>
        <w:r w:rsidRPr="002D741C">
          <w:rPr>
            <w:color w:val="000000"/>
            <w:szCs w:val="22"/>
            <w:lang w:val="es-ES"/>
          </w:rPr>
          <w:t>100</w:t>
        </w:r>
        <w:r w:rsidR="00DF063A" w:rsidRPr="002D741C">
          <w:rPr>
            <w:color w:val="000000"/>
            <w:szCs w:val="22"/>
            <w:lang w:val="es-ES"/>
          </w:rPr>
          <w:t> kg</w:t>
        </w:r>
      </w:smartTag>
      <w:r w:rsidRPr="002D741C">
        <w:rPr>
          <w:color w:val="000000"/>
          <w:szCs w:val="22"/>
          <w:lang w:val="es-ES"/>
        </w:rPr>
        <w:t xml:space="preserve"> el aclaramiento aumentará hasta 11,8</w:t>
      </w:r>
      <w:r w:rsidR="00C92ECA" w:rsidRPr="002D741C">
        <w:rPr>
          <w:color w:val="000000"/>
          <w:szCs w:val="22"/>
          <w:lang w:val="es-ES"/>
        </w:rPr>
        <w:t> </w:t>
      </w:r>
      <w:r w:rsidRPr="002D741C">
        <w:rPr>
          <w:color w:val="000000"/>
          <w:szCs w:val="22"/>
          <w:lang w:val="es-ES"/>
        </w:rPr>
        <w:t>l/h. Estos cambios no se consideran suficientes para justificar un ajuste de dosis en base al peso. El sexo no afecta la cinética de imatinib.</w:t>
      </w:r>
    </w:p>
    <w:p w14:paraId="69F4AF24" w14:textId="77777777" w:rsidR="00DE24EB" w:rsidRPr="002D741C" w:rsidRDefault="00DE24EB" w:rsidP="00DE24EB">
      <w:pPr>
        <w:pStyle w:val="EndnoteText"/>
        <w:widowControl w:val="0"/>
        <w:tabs>
          <w:tab w:val="clear" w:pos="567"/>
        </w:tabs>
        <w:rPr>
          <w:color w:val="000000"/>
          <w:szCs w:val="22"/>
          <w:lang w:val="es-ES"/>
        </w:rPr>
      </w:pPr>
    </w:p>
    <w:p w14:paraId="6AEFF462" w14:textId="77777777" w:rsidR="00DE24EB" w:rsidRPr="002D741C" w:rsidRDefault="00DE24EB" w:rsidP="00AD13BE">
      <w:pPr>
        <w:pStyle w:val="EndnoteText"/>
        <w:keepNext/>
        <w:widowControl w:val="0"/>
        <w:tabs>
          <w:tab w:val="clear" w:pos="567"/>
        </w:tabs>
        <w:rPr>
          <w:color w:val="000000"/>
          <w:szCs w:val="22"/>
          <w:lang w:val="es-ES"/>
        </w:rPr>
      </w:pPr>
      <w:r w:rsidRPr="002D741C">
        <w:rPr>
          <w:color w:val="000000"/>
          <w:szCs w:val="22"/>
          <w:u w:val="single"/>
          <w:lang w:val="es-ES"/>
        </w:rPr>
        <w:t>Farmacocinética en niños</w:t>
      </w:r>
    </w:p>
    <w:p w14:paraId="127F3A8E" w14:textId="77777777" w:rsidR="00DE24EB" w:rsidRPr="002D741C" w:rsidRDefault="00DE24EB" w:rsidP="00DE24EB">
      <w:pPr>
        <w:pStyle w:val="EndnoteText"/>
        <w:widowControl w:val="0"/>
        <w:tabs>
          <w:tab w:val="clear" w:pos="567"/>
        </w:tabs>
        <w:rPr>
          <w:color w:val="000000"/>
          <w:szCs w:val="22"/>
          <w:lang w:val="es-ES"/>
        </w:rPr>
      </w:pPr>
      <w:r w:rsidRPr="002D741C">
        <w:rPr>
          <w:color w:val="000000"/>
          <w:szCs w:val="22"/>
          <w:lang w:val="es-ES"/>
        </w:rPr>
        <w:t>Al igual que en los pacientes adultos, en los pacientes pediátricos de un</w:t>
      </w:r>
      <w:r w:rsidR="00E61562" w:rsidRPr="002D741C">
        <w:rPr>
          <w:color w:val="000000"/>
          <w:szCs w:val="22"/>
          <w:lang w:val="es-ES"/>
        </w:rPr>
        <w:t>os</w:t>
      </w:r>
      <w:r w:rsidRPr="002D741C">
        <w:rPr>
          <w:color w:val="000000"/>
          <w:szCs w:val="22"/>
          <w:lang w:val="es-ES"/>
        </w:rPr>
        <w:t xml:space="preserve"> estudio</w:t>
      </w:r>
      <w:r w:rsidR="00E61562" w:rsidRPr="002D741C">
        <w:rPr>
          <w:color w:val="000000"/>
          <w:szCs w:val="22"/>
          <w:lang w:val="es-ES"/>
        </w:rPr>
        <w:t>s</w:t>
      </w:r>
      <w:r w:rsidRPr="002D741C">
        <w:rPr>
          <w:color w:val="000000"/>
          <w:szCs w:val="22"/>
          <w:lang w:val="es-ES"/>
        </w:rPr>
        <w:t xml:space="preserve"> de fase</w:t>
      </w:r>
      <w:r w:rsidR="00683B3D" w:rsidRPr="002D741C">
        <w:rPr>
          <w:color w:val="000000"/>
          <w:szCs w:val="22"/>
          <w:lang w:val="es-ES"/>
        </w:rPr>
        <w:t> </w:t>
      </w:r>
      <w:r w:rsidRPr="002D741C">
        <w:rPr>
          <w:color w:val="000000"/>
          <w:szCs w:val="22"/>
          <w:lang w:val="es-ES"/>
        </w:rPr>
        <w:t>I</w:t>
      </w:r>
      <w:r w:rsidR="00E61562" w:rsidRPr="002D741C">
        <w:rPr>
          <w:color w:val="000000"/>
          <w:szCs w:val="22"/>
          <w:lang w:val="es-ES"/>
        </w:rPr>
        <w:t xml:space="preserve"> y fase II</w:t>
      </w:r>
      <w:r w:rsidRPr="002D741C">
        <w:rPr>
          <w:color w:val="000000"/>
          <w:szCs w:val="22"/>
          <w:lang w:val="es-ES"/>
        </w:rPr>
        <w:t>, imatinib se absorbió rápidamente tras la administración oral. La dosificación en niños de 260 y 340</w:t>
      </w:r>
      <w:r w:rsidR="006171A6" w:rsidRPr="002D741C">
        <w:rPr>
          <w:color w:val="000000"/>
          <w:szCs w:val="22"/>
          <w:lang w:val="es-ES"/>
        </w:rPr>
        <w:t> mg</w:t>
      </w:r>
      <w:r w:rsidRPr="002D741C">
        <w:rPr>
          <w:color w:val="000000"/>
          <w:szCs w:val="22"/>
          <w:lang w:val="es-ES"/>
        </w:rPr>
        <w:t>/m</w:t>
      </w:r>
      <w:r w:rsidRPr="002D741C">
        <w:rPr>
          <w:color w:val="000000"/>
          <w:szCs w:val="22"/>
          <w:vertAlign w:val="superscript"/>
          <w:lang w:val="es-ES"/>
        </w:rPr>
        <w:t>2</w:t>
      </w:r>
      <w:r w:rsidRPr="002D741C">
        <w:rPr>
          <w:color w:val="000000"/>
          <w:szCs w:val="22"/>
          <w:lang w:val="es-ES"/>
        </w:rPr>
        <w:t>/día alcanzó una exposición similar a las dosis de 400</w:t>
      </w:r>
      <w:r w:rsidR="006171A6" w:rsidRPr="002D741C">
        <w:rPr>
          <w:color w:val="000000"/>
          <w:szCs w:val="22"/>
          <w:lang w:val="es-ES"/>
        </w:rPr>
        <w:t> mg</w:t>
      </w:r>
      <w:r w:rsidRPr="002D741C">
        <w:rPr>
          <w:color w:val="000000"/>
          <w:szCs w:val="22"/>
          <w:lang w:val="es-ES"/>
        </w:rPr>
        <w:t xml:space="preserve"> y 600</w:t>
      </w:r>
      <w:r w:rsidR="006171A6" w:rsidRPr="002D741C">
        <w:rPr>
          <w:color w:val="000000"/>
          <w:szCs w:val="22"/>
          <w:lang w:val="es-ES"/>
        </w:rPr>
        <w:t> mg</w:t>
      </w:r>
      <w:r w:rsidRPr="002D741C">
        <w:rPr>
          <w:color w:val="000000"/>
          <w:szCs w:val="22"/>
          <w:lang w:val="es-ES"/>
        </w:rPr>
        <w:t xml:space="preserve"> en pacientes adultos, respectivamente. La comparación de </w:t>
      </w:r>
      <w:smartTag w:uri="urn:schemas-microsoft-com:office:smarttags" w:element="PersonName">
        <w:smartTagPr>
          <w:attr w:name="ProductID" w:val="La AUC"/>
        </w:smartTagPr>
        <w:r w:rsidRPr="002D741C">
          <w:rPr>
            <w:color w:val="000000"/>
            <w:szCs w:val="22"/>
            <w:lang w:val="es-ES"/>
          </w:rPr>
          <w:t>la AUC</w:t>
        </w:r>
      </w:smartTag>
      <w:r w:rsidRPr="002D741C">
        <w:rPr>
          <w:color w:val="000000"/>
          <w:szCs w:val="22"/>
          <w:vertAlign w:val="subscript"/>
          <w:lang w:val="es-ES"/>
        </w:rPr>
        <w:t>(0-24)</w:t>
      </w:r>
      <w:r w:rsidRPr="002D741C">
        <w:rPr>
          <w:color w:val="000000"/>
          <w:szCs w:val="22"/>
          <w:lang w:val="es-ES"/>
        </w:rPr>
        <w:t xml:space="preserve"> en el día</w:t>
      </w:r>
      <w:r w:rsidR="00C92ECA" w:rsidRPr="002D741C">
        <w:rPr>
          <w:color w:val="000000"/>
          <w:szCs w:val="22"/>
          <w:lang w:val="es-ES"/>
        </w:rPr>
        <w:t> </w:t>
      </w:r>
      <w:r w:rsidRPr="002D741C">
        <w:rPr>
          <w:color w:val="000000"/>
          <w:szCs w:val="22"/>
          <w:lang w:val="es-ES"/>
        </w:rPr>
        <w:t>8 y el día</w:t>
      </w:r>
      <w:r w:rsidR="00C92ECA" w:rsidRPr="002D741C">
        <w:rPr>
          <w:color w:val="000000"/>
          <w:szCs w:val="22"/>
          <w:lang w:val="es-ES"/>
        </w:rPr>
        <w:t> </w:t>
      </w:r>
      <w:r w:rsidRPr="002D741C">
        <w:rPr>
          <w:color w:val="000000"/>
          <w:szCs w:val="22"/>
          <w:lang w:val="es-ES"/>
        </w:rPr>
        <w:t>1 al nivel de dosis de 340</w:t>
      </w:r>
      <w:r w:rsidR="006171A6" w:rsidRPr="002D741C">
        <w:rPr>
          <w:color w:val="000000"/>
          <w:szCs w:val="22"/>
          <w:lang w:val="es-ES"/>
        </w:rPr>
        <w:t> mg</w:t>
      </w:r>
      <w:r w:rsidRPr="002D741C">
        <w:rPr>
          <w:color w:val="000000"/>
          <w:szCs w:val="22"/>
          <w:lang w:val="es-ES"/>
        </w:rPr>
        <w:t>/m</w:t>
      </w:r>
      <w:r w:rsidRPr="002D741C">
        <w:rPr>
          <w:color w:val="000000"/>
          <w:szCs w:val="22"/>
          <w:vertAlign w:val="superscript"/>
          <w:lang w:val="es-ES"/>
        </w:rPr>
        <w:t>2</w:t>
      </w:r>
      <w:r w:rsidRPr="002D741C">
        <w:rPr>
          <w:color w:val="000000"/>
          <w:szCs w:val="22"/>
          <w:lang w:val="es-ES"/>
        </w:rPr>
        <w:t>/día reveló una acumulación de 1,7</w:t>
      </w:r>
      <w:r w:rsidR="00C92ECA" w:rsidRPr="002D741C">
        <w:rPr>
          <w:color w:val="000000"/>
          <w:szCs w:val="22"/>
          <w:lang w:val="es-ES"/>
        </w:rPr>
        <w:t> </w:t>
      </w:r>
      <w:r w:rsidRPr="002D741C">
        <w:rPr>
          <w:color w:val="000000"/>
          <w:szCs w:val="22"/>
          <w:lang w:val="es-ES"/>
        </w:rPr>
        <w:t>veces del fármaco tras la dosificación repetida una vez al día.</w:t>
      </w:r>
    </w:p>
    <w:p w14:paraId="35F6233E" w14:textId="77777777" w:rsidR="006A2DBF" w:rsidRPr="002D741C" w:rsidRDefault="006A2DBF" w:rsidP="006A2DBF">
      <w:pPr>
        <w:pStyle w:val="EndnoteText"/>
        <w:widowControl w:val="0"/>
        <w:tabs>
          <w:tab w:val="clear" w:pos="567"/>
        </w:tabs>
        <w:rPr>
          <w:color w:val="000000"/>
          <w:szCs w:val="22"/>
          <w:lang w:val="es-ES"/>
        </w:rPr>
      </w:pPr>
    </w:p>
    <w:p w14:paraId="3EB2CA34" w14:textId="77777777" w:rsidR="006A2DBF" w:rsidRPr="002D741C" w:rsidRDefault="006A2DBF" w:rsidP="00DE24EB">
      <w:pPr>
        <w:pStyle w:val="EndnoteText"/>
        <w:widowControl w:val="0"/>
        <w:tabs>
          <w:tab w:val="clear" w:pos="567"/>
        </w:tabs>
        <w:rPr>
          <w:color w:val="000000"/>
          <w:szCs w:val="22"/>
          <w:lang w:val="es-ES"/>
        </w:rPr>
      </w:pPr>
      <w:r w:rsidRPr="002D741C">
        <w:rPr>
          <w:color w:val="000000"/>
          <w:szCs w:val="22"/>
          <w:lang w:val="es-ES"/>
        </w:rPr>
        <w:t>En base al análisis farmacocinético de la población agrupada en pacientes pediátricos con alteraciones hematológicas (LMC, LLA Ph+, u otras alteraciones hematológicas tratadas con imatinib), el aclaramiento de imatinib aumenta con el aumento del área de superficie corporal (ASC). Tras la corrección del efecto del ASC, otras características demográficas como la edad, el peso corporal y el índice de masa corporal no tuvieron efectos clínicamente significativos sobre la exposición de imatinib. El análisis confirmó que la exposición de imatinib en pacientes pediátricos que reciben 260 mg/m</w:t>
      </w:r>
      <w:r w:rsidRPr="002D741C">
        <w:rPr>
          <w:color w:val="000000"/>
          <w:szCs w:val="22"/>
          <w:vertAlign w:val="superscript"/>
          <w:lang w:val="es-ES"/>
        </w:rPr>
        <w:t>2</w:t>
      </w:r>
      <w:r w:rsidRPr="002D741C">
        <w:rPr>
          <w:color w:val="000000"/>
          <w:szCs w:val="22"/>
          <w:lang w:val="es-ES"/>
        </w:rPr>
        <w:t xml:space="preserve"> una vez al día (sin superar los 400 mg una vez al día) o 340 mg/m</w:t>
      </w:r>
      <w:r w:rsidRPr="002D741C">
        <w:rPr>
          <w:color w:val="000000"/>
          <w:szCs w:val="22"/>
          <w:vertAlign w:val="superscript"/>
          <w:lang w:val="es-ES"/>
        </w:rPr>
        <w:t>2</w:t>
      </w:r>
      <w:r w:rsidRPr="002D741C">
        <w:rPr>
          <w:color w:val="000000"/>
          <w:szCs w:val="22"/>
          <w:lang w:val="es-ES"/>
        </w:rPr>
        <w:t xml:space="preserve"> una vez al día (sin superar los 600 mg una vez al día) es similar a la de los pacientes adultos que recibieron imatinib a dosis de 400 mg o 600 mg una vez al día.</w:t>
      </w:r>
    </w:p>
    <w:p w14:paraId="6C040E12" w14:textId="77777777" w:rsidR="00DE24EB" w:rsidRPr="002D741C" w:rsidRDefault="00DE24EB" w:rsidP="00DE24EB">
      <w:pPr>
        <w:pStyle w:val="EndnoteText"/>
        <w:widowControl w:val="0"/>
        <w:tabs>
          <w:tab w:val="clear" w:pos="567"/>
        </w:tabs>
        <w:rPr>
          <w:color w:val="000000"/>
          <w:szCs w:val="22"/>
          <w:lang w:val="es-ES"/>
        </w:rPr>
      </w:pPr>
    </w:p>
    <w:p w14:paraId="729CB8EE" w14:textId="77777777" w:rsidR="00DE24EB" w:rsidRPr="002D741C" w:rsidRDefault="00DE24EB" w:rsidP="00AD13BE">
      <w:pPr>
        <w:pStyle w:val="EndnoteText"/>
        <w:keepNext/>
        <w:widowControl w:val="0"/>
        <w:tabs>
          <w:tab w:val="clear" w:pos="567"/>
        </w:tabs>
        <w:rPr>
          <w:color w:val="000000"/>
          <w:szCs w:val="22"/>
          <w:lang w:val="es-ES"/>
        </w:rPr>
      </w:pPr>
      <w:r w:rsidRPr="002D741C">
        <w:rPr>
          <w:color w:val="000000"/>
          <w:szCs w:val="22"/>
          <w:u w:val="single"/>
          <w:lang w:val="es-ES"/>
        </w:rPr>
        <w:t>Disfunción orgánica</w:t>
      </w:r>
    </w:p>
    <w:p w14:paraId="016F6DFD" w14:textId="77777777" w:rsidR="005E78AF" w:rsidRPr="002D741C" w:rsidRDefault="005E78AF" w:rsidP="005E78AF">
      <w:pPr>
        <w:pStyle w:val="EndnoteText"/>
        <w:widowControl w:val="0"/>
        <w:tabs>
          <w:tab w:val="clear" w:pos="567"/>
        </w:tabs>
        <w:rPr>
          <w:color w:val="000000"/>
          <w:szCs w:val="22"/>
          <w:lang w:val="es-ES"/>
        </w:rPr>
      </w:pPr>
      <w:r w:rsidRPr="002D741C">
        <w:rPr>
          <w:color w:val="000000"/>
          <w:szCs w:val="22"/>
          <w:lang w:val="es-ES"/>
        </w:rPr>
        <w:t xml:space="preserve">Imatinib y sus metabolitos no se excretan en una proporción significativa por vía renal. Los pacientes con alteración de la función renal leve y moderada parecen tener una exposición plasmática superior a la de los pacientes con función renal normal. El aumento es de aproximadamente </w:t>
      </w:r>
      <w:smartTag w:uri="urn:schemas-microsoft-com:office:smarttags" w:element="metricconverter">
        <w:smartTagPr>
          <w:attr w:name="ProductID" w:val="1,5 a"/>
        </w:smartTagPr>
        <w:r w:rsidRPr="002D741C">
          <w:rPr>
            <w:color w:val="000000"/>
            <w:szCs w:val="22"/>
            <w:lang w:val="es-ES"/>
          </w:rPr>
          <w:t>1,5 a</w:t>
        </w:r>
      </w:smartTag>
      <w:r w:rsidRPr="002D741C">
        <w:rPr>
          <w:color w:val="000000"/>
          <w:szCs w:val="22"/>
          <w:lang w:val="es-ES"/>
        </w:rPr>
        <w:t xml:space="preserve"> 2 veces, correspondiendo a 1,5 veces la elevación de </w:t>
      </w:r>
      <w:smartTag w:uri="urn:schemas-microsoft-com:office:smarttags" w:element="PersonName">
        <w:smartTagPr>
          <w:attr w:name="ProductID" w:val="la AGP"/>
        </w:smartTagPr>
        <w:r w:rsidRPr="002D741C">
          <w:rPr>
            <w:color w:val="000000"/>
            <w:szCs w:val="22"/>
            <w:lang w:val="es-ES"/>
          </w:rPr>
          <w:t>la AGP</w:t>
        </w:r>
      </w:smartTag>
      <w:r w:rsidRPr="002D741C">
        <w:rPr>
          <w:color w:val="000000"/>
          <w:szCs w:val="22"/>
          <w:lang w:val="es-ES"/>
        </w:rPr>
        <w:t xml:space="preserve"> plasmática, a la cual se une fuertemente imatinib. El aclaramiento del fármaco libre de imatinib es probablemente similar entre pacientes con alteración renal y pacientes con función renal normal, puesto que la excreción renal representa sólo una vía de eliminación menor para imatinib (ver secciones 4.2 y 4.4).</w:t>
      </w:r>
    </w:p>
    <w:p w14:paraId="2ADB2933" w14:textId="77777777" w:rsidR="002A77DF" w:rsidRPr="002D741C" w:rsidRDefault="002A77DF" w:rsidP="002A77DF">
      <w:pPr>
        <w:pStyle w:val="EndnoteText"/>
        <w:widowControl w:val="0"/>
        <w:tabs>
          <w:tab w:val="clear" w:pos="567"/>
        </w:tabs>
        <w:rPr>
          <w:color w:val="000000"/>
          <w:szCs w:val="22"/>
          <w:lang w:val="es-ES"/>
        </w:rPr>
      </w:pPr>
    </w:p>
    <w:p w14:paraId="34C85C66" w14:textId="77777777" w:rsidR="002A77DF" w:rsidRPr="002D741C" w:rsidRDefault="002A77DF" w:rsidP="002A77DF">
      <w:pPr>
        <w:pStyle w:val="EndnoteText"/>
        <w:widowControl w:val="0"/>
        <w:tabs>
          <w:tab w:val="clear" w:pos="567"/>
        </w:tabs>
        <w:rPr>
          <w:color w:val="000000"/>
          <w:szCs w:val="22"/>
          <w:lang w:val="es-ES"/>
        </w:rPr>
      </w:pPr>
      <w:r w:rsidRPr="002D741C">
        <w:rPr>
          <w:color w:val="000000"/>
          <w:szCs w:val="22"/>
          <w:lang w:val="es-ES"/>
        </w:rPr>
        <w:t>Aunque los resultados de un análisis farmacocinético muestran que existe una considerable variación interindividual, la exposición media a imatinib no aumentó en pacientes con varios grados de alteración hepática comparado a pacientes con función hepática normal (ver secciones 4.2, 4.4 y 4.8).</w:t>
      </w:r>
    </w:p>
    <w:p w14:paraId="058D965A" w14:textId="77777777" w:rsidR="00DE24EB" w:rsidRPr="002D741C" w:rsidRDefault="00DE24EB" w:rsidP="00824D7A">
      <w:pPr>
        <w:pStyle w:val="EndnoteText"/>
        <w:widowControl w:val="0"/>
        <w:tabs>
          <w:tab w:val="clear" w:pos="567"/>
        </w:tabs>
        <w:rPr>
          <w:color w:val="000000"/>
          <w:szCs w:val="22"/>
          <w:lang w:val="es-ES"/>
        </w:rPr>
      </w:pPr>
    </w:p>
    <w:p w14:paraId="23CDBBFF" w14:textId="77777777" w:rsidR="00DE24EB" w:rsidRPr="002D741C" w:rsidRDefault="00DE24EB" w:rsidP="00AD13BE">
      <w:pPr>
        <w:keepNext/>
        <w:widowControl w:val="0"/>
        <w:ind w:left="567" w:hanging="567"/>
        <w:rPr>
          <w:color w:val="000000"/>
          <w:sz w:val="22"/>
          <w:szCs w:val="22"/>
        </w:rPr>
      </w:pPr>
      <w:r w:rsidRPr="002D741C">
        <w:rPr>
          <w:b/>
          <w:color w:val="000000"/>
          <w:sz w:val="22"/>
          <w:szCs w:val="22"/>
        </w:rPr>
        <w:t>5.3</w:t>
      </w:r>
      <w:r w:rsidRPr="002D741C">
        <w:rPr>
          <w:b/>
          <w:color w:val="000000"/>
          <w:sz w:val="22"/>
          <w:szCs w:val="22"/>
        </w:rPr>
        <w:tab/>
        <w:t>Datos preclínicos sobre seguridad</w:t>
      </w:r>
    </w:p>
    <w:p w14:paraId="26B1F7CC" w14:textId="77777777" w:rsidR="00DE24EB" w:rsidRPr="002D741C" w:rsidRDefault="00DE24EB" w:rsidP="00AD13BE">
      <w:pPr>
        <w:keepNext/>
        <w:widowControl w:val="0"/>
        <w:rPr>
          <w:color w:val="000000"/>
          <w:sz w:val="22"/>
          <w:szCs w:val="22"/>
        </w:rPr>
      </w:pPr>
    </w:p>
    <w:p w14:paraId="147C1A40" w14:textId="77777777" w:rsidR="00DE24EB" w:rsidRPr="002D741C" w:rsidRDefault="00DE24EB" w:rsidP="00DE24EB">
      <w:pPr>
        <w:widowControl w:val="0"/>
        <w:rPr>
          <w:color w:val="000000"/>
          <w:sz w:val="22"/>
          <w:szCs w:val="22"/>
        </w:rPr>
      </w:pPr>
      <w:r w:rsidRPr="002D741C">
        <w:rPr>
          <w:color w:val="000000"/>
          <w:sz w:val="22"/>
          <w:szCs w:val="22"/>
        </w:rPr>
        <w:t>El perfil de seguridad preclínica de imatinib fue evaluado en ratas, perros, monos y conejos.</w:t>
      </w:r>
    </w:p>
    <w:p w14:paraId="7807CFDE" w14:textId="77777777" w:rsidR="00DE24EB" w:rsidRPr="002D741C" w:rsidRDefault="00DE24EB" w:rsidP="00DE24EB">
      <w:pPr>
        <w:widowControl w:val="0"/>
        <w:rPr>
          <w:color w:val="000000"/>
          <w:sz w:val="22"/>
          <w:szCs w:val="22"/>
        </w:rPr>
      </w:pPr>
    </w:p>
    <w:p w14:paraId="5EBE6C33" w14:textId="77777777" w:rsidR="00DE24EB" w:rsidRPr="002D741C" w:rsidRDefault="00DE24EB" w:rsidP="00DE24EB">
      <w:pPr>
        <w:widowControl w:val="0"/>
        <w:rPr>
          <w:color w:val="000000"/>
          <w:sz w:val="22"/>
          <w:szCs w:val="22"/>
        </w:rPr>
      </w:pPr>
      <w:r w:rsidRPr="002D741C">
        <w:rPr>
          <w:color w:val="000000"/>
          <w:sz w:val="22"/>
          <w:szCs w:val="22"/>
        </w:rPr>
        <w:t>Los estudios de toxicidad de dosis múltiples revelaron cambios hematológicos de leves a moderados en ratas, perros y monos, acompañados por cambios en la médula ósea de ratas y perros.</w:t>
      </w:r>
    </w:p>
    <w:p w14:paraId="4A49BC04" w14:textId="77777777" w:rsidR="00DE24EB" w:rsidRPr="002D741C" w:rsidRDefault="00DE24EB" w:rsidP="00DE24EB">
      <w:pPr>
        <w:widowControl w:val="0"/>
        <w:rPr>
          <w:color w:val="000000"/>
          <w:sz w:val="22"/>
          <w:szCs w:val="22"/>
        </w:rPr>
      </w:pPr>
    </w:p>
    <w:p w14:paraId="09BEB6FB" w14:textId="77777777" w:rsidR="00DE24EB" w:rsidRPr="002D741C" w:rsidRDefault="00DE24EB" w:rsidP="00DE24EB">
      <w:pPr>
        <w:widowControl w:val="0"/>
        <w:rPr>
          <w:color w:val="000000"/>
          <w:sz w:val="22"/>
          <w:szCs w:val="22"/>
        </w:rPr>
      </w:pPr>
      <w:r w:rsidRPr="002D741C">
        <w:rPr>
          <w:color w:val="000000"/>
          <w:sz w:val="22"/>
          <w:szCs w:val="22"/>
        </w:rPr>
        <w:t xml:space="preserve">El hígado fue un órgano diana en ratas y perros. En ambas especies se observaron aumentos de leves a moderados en las transaminasas y leves descensos en el colesterol, triglicéridos y niveles totales de proteínas y albúmina. No se observaron cambios histopatológicos en el hígado de rata. Se observó </w:t>
      </w:r>
      <w:r w:rsidRPr="002D741C">
        <w:rPr>
          <w:color w:val="000000"/>
          <w:sz w:val="22"/>
          <w:szCs w:val="22"/>
        </w:rPr>
        <w:lastRenderedPageBreak/>
        <w:t>toxicidad hepática severa en perros tratados durante 2</w:t>
      </w:r>
      <w:r w:rsidR="00C92ECA" w:rsidRPr="002D741C">
        <w:rPr>
          <w:color w:val="000000"/>
          <w:sz w:val="22"/>
          <w:szCs w:val="22"/>
        </w:rPr>
        <w:t> </w:t>
      </w:r>
      <w:r w:rsidRPr="002D741C">
        <w:rPr>
          <w:color w:val="000000"/>
          <w:sz w:val="22"/>
          <w:szCs w:val="22"/>
        </w:rPr>
        <w:t>semanas, con una elevación de los enzimas hepáticos, necrosis hepatocelular, necrosis del conducto biliar e hiperplasia del conducto biliar.</w:t>
      </w:r>
    </w:p>
    <w:p w14:paraId="747E6045" w14:textId="77777777" w:rsidR="00DE24EB" w:rsidRPr="002D741C" w:rsidRDefault="00DE24EB" w:rsidP="00DE24EB">
      <w:pPr>
        <w:widowControl w:val="0"/>
        <w:rPr>
          <w:color w:val="000000"/>
          <w:sz w:val="22"/>
          <w:szCs w:val="22"/>
        </w:rPr>
      </w:pPr>
    </w:p>
    <w:p w14:paraId="2F4033E6" w14:textId="77777777" w:rsidR="00DE24EB" w:rsidRPr="002D741C" w:rsidRDefault="00DE24EB" w:rsidP="00DE24EB">
      <w:pPr>
        <w:widowControl w:val="0"/>
        <w:rPr>
          <w:color w:val="000000"/>
          <w:sz w:val="22"/>
          <w:szCs w:val="22"/>
        </w:rPr>
      </w:pPr>
      <w:r w:rsidRPr="002D741C">
        <w:rPr>
          <w:color w:val="000000"/>
          <w:sz w:val="22"/>
          <w:szCs w:val="22"/>
        </w:rPr>
        <w:t>Se observó toxicidad renal con mineralización focal, dilatación de los túbulos renales y nefrosis tubular en monos tratados durante 2</w:t>
      </w:r>
      <w:r w:rsidR="00C92ECA" w:rsidRPr="002D741C">
        <w:rPr>
          <w:color w:val="000000"/>
          <w:sz w:val="22"/>
          <w:szCs w:val="22"/>
        </w:rPr>
        <w:t> </w:t>
      </w:r>
      <w:r w:rsidRPr="002D741C">
        <w:rPr>
          <w:color w:val="000000"/>
          <w:sz w:val="22"/>
          <w:szCs w:val="22"/>
        </w:rPr>
        <w:t>semanas. En varios de estos animales se observaron aumentos del nitrógeno ureico en sangre y de la creatinina. En un estudio de 13</w:t>
      </w:r>
      <w:r w:rsidR="00C92ECA" w:rsidRPr="002D741C">
        <w:rPr>
          <w:color w:val="000000"/>
          <w:sz w:val="22"/>
          <w:szCs w:val="22"/>
        </w:rPr>
        <w:t> </w:t>
      </w:r>
      <w:r w:rsidRPr="002D741C">
        <w:rPr>
          <w:color w:val="000000"/>
          <w:sz w:val="22"/>
          <w:szCs w:val="22"/>
        </w:rPr>
        <w:t>semanas en ratas, a dosis &gt;</w:t>
      </w:r>
      <w:r w:rsidR="00F11D96" w:rsidRPr="002D741C">
        <w:rPr>
          <w:color w:val="000000"/>
          <w:sz w:val="22"/>
          <w:szCs w:val="22"/>
        </w:rPr>
        <w:t> </w:t>
      </w:r>
      <w:r w:rsidRPr="002D741C">
        <w:rPr>
          <w:color w:val="000000"/>
          <w:sz w:val="22"/>
          <w:szCs w:val="22"/>
        </w:rPr>
        <w:t>6</w:t>
      </w:r>
      <w:r w:rsidR="006171A6" w:rsidRPr="002D741C">
        <w:rPr>
          <w:color w:val="000000"/>
          <w:sz w:val="22"/>
          <w:szCs w:val="22"/>
        </w:rPr>
        <w:t> mg</w:t>
      </w:r>
      <w:r w:rsidRPr="002D741C">
        <w:rPr>
          <w:color w:val="000000"/>
          <w:sz w:val="22"/>
          <w:szCs w:val="22"/>
        </w:rPr>
        <w:t>/kg se observó hiperplasia del epitelio transicional en la papila renal y en la vejiga urinaria, sin cambios en los parámetros séricos o urinarios. En el tratamiento crónico con imatinib se observó un aumento de la tasa de infecciones oportunistas.</w:t>
      </w:r>
    </w:p>
    <w:p w14:paraId="4D13C9B5" w14:textId="77777777" w:rsidR="00DE24EB" w:rsidRPr="002D741C" w:rsidRDefault="00DE24EB" w:rsidP="00DE24EB">
      <w:pPr>
        <w:widowControl w:val="0"/>
        <w:rPr>
          <w:color w:val="000000"/>
          <w:sz w:val="22"/>
          <w:szCs w:val="22"/>
        </w:rPr>
      </w:pPr>
    </w:p>
    <w:p w14:paraId="0B2E05B7" w14:textId="77777777" w:rsidR="00DE24EB" w:rsidRPr="002D741C" w:rsidRDefault="00DE24EB" w:rsidP="00DE24EB">
      <w:pPr>
        <w:widowControl w:val="0"/>
        <w:rPr>
          <w:color w:val="000000"/>
          <w:sz w:val="22"/>
          <w:szCs w:val="22"/>
        </w:rPr>
      </w:pPr>
      <w:r w:rsidRPr="002D741C">
        <w:rPr>
          <w:color w:val="000000"/>
          <w:sz w:val="22"/>
          <w:szCs w:val="22"/>
        </w:rPr>
        <w:t>En un estudio de 39</w:t>
      </w:r>
      <w:r w:rsidR="00C92ECA" w:rsidRPr="002D741C">
        <w:rPr>
          <w:color w:val="000000"/>
          <w:sz w:val="22"/>
          <w:szCs w:val="22"/>
        </w:rPr>
        <w:t> </w:t>
      </w:r>
      <w:r w:rsidRPr="002D741C">
        <w:rPr>
          <w:color w:val="000000"/>
          <w:sz w:val="22"/>
          <w:szCs w:val="22"/>
        </w:rPr>
        <w:t xml:space="preserve">semanas con monos, no se estableció el </w:t>
      </w:r>
      <w:smartTag w:uri="urn:schemas-microsoft-com:office:smarttags" w:element="PersonName">
        <w:r w:rsidRPr="002D741C">
          <w:rPr>
            <w:color w:val="000000"/>
            <w:sz w:val="22"/>
            <w:szCs w:val="22"/>
          </w:rPr>
          <w:t>NO</w:t>
        </w:r>
      </w:smartTag>
      <w:r w:rsidRPr="002D741C">
        <w:rPr>
          <w:color w:val="000000"/>
          <w:sz w:val="22"/>
          <w:szCs w:val="22"/>
        </w:rPr>
        <w:t>A</w:t>
      </w:r>
      <w:smartTag w:uri="urn:schemas-microsoft-com:office:smarttags" w:element="PersonName">
        <w:r w:rsidRPr="002D741C">
          <w:rPr>
            <w:color w:val="000000"/>
            <w:sz w:val="22"/>
            <w:szCs w:val="22"/>
          </w:rPr>
          <w:t>EL</w:t>
        </w:r>
      </w:smartTag>
      <w:r w:rsidRPr="002D741C">
        <w:rPr>
          <w:color w:val="000000"/>
          <w:sz w:val="22"/>
          <w:szCs w:val="22"/>
        </w:rPr>
        <w:t xml:space="preserve"> </w:t>
      </w:r>
      <w:r w:rsidR="00216132" w:rsidRPr="002D741C">
        <w:rPr>
          <w:color w:val="000000"/>
          <w:sz w:val="22"/>
          <w:szCs w:val="22"/>
        </w:rPr>
        <w:t xml:space="preserve">(nivel sin efectos adversos observados) </w:t>
      </w:r>
      <w:r w:rsidRPr="002D741C">
        <w:rPr>
          <w:color w:val="000000"/>
          <w:sz w:val="22"/>
          <w:szCs w:val="22"/>
        </w:rPr>
        <w:t>a la dosis más baja de 15 mg/kg (aproximadamente un tercio de la dosis humana máxima de 800</w:t>
      </w:r>
      <w:r w:rsidR="006171A6" w:rsidRPr="002D741C">
        <w:rPr>
          <w:color w:val="000000"/>
          <w:sz w:val="22"/>
          <w:szCs w:val="22"/>
        </w:rPr>
        <w:t> mg</w:t>
      </w:r>
      <w:r w:rsidRPr="002D741C">
        <w:rPr>
          <w:color w:val="000000"/>
          <w:sz w:val="22"/>
          <w:szCs w:val="22"/>
        </w:rPr>
        <w:t xml:space="preserve"> en base a la superficie corporal). En estos animales el tratamiento produjo un empeoramiento de infecciones maláricas normalmente suprimidas.</w:t>
      </w:r>
    </w:p>
    <w:p w14:paraId="7F9DF29A" w14:textId="77777777" w:rsidR="00DE24EB" w:rsidRPr="002D741C" w:rsidRDefault="00DE24EB" w:rsidP="00DE24EB">
      <w:pPr>
        <w:widowControl w:val="0"/>
        <w:rPr>
          <w:color w:val="000000"/>
          <w:sz w:val="22"/>
          <w:szCs w:val="22"/>
        </w:rPr>
      </w:pPr>
    </w:p>
    <w:p w14:paraId="6970F5D4" w14:textId="77777777" w:rsidR="00DE24EB" w:rsidRPr="002D741C" w:rsidRDefault="00DE24EB" w:rsidP="00DE24EB">
      <w:pPr>
        <w:widowControl w:val="0"/>
        <w:rPr>
          <w:color w:val="000000"/>
          <w:sz w:val="22"/>
          <w:szCs w:val="22"/>
        </w:rPr>
      </w:pPr>
      <w:r w:rsidRPr="002D741C">
        <w:rPr>
          <w:color w:val="000000"/>
          <w:sz w:val="22"/>
          <w:szCs w:val="22"/>
        </w:rPr>
        <w:t xml:space="preserve">Imatinib no se consideró genotóxico cuando se probó en un ensayo de células bacterianas </w:t>
      </w:r>
      <w:r w:rsidRPr="002D741C">
        <w:rPr>
          <w:i/>
          <w:color w:val="000000"/>
          <w:sz w:val="22"/>
          <w:szCs w:val="22"/>
        </w:rPr>
        <w:t>in vitro</w:t>
      </w:r>
      <w:r w:rsidRPr="002D741C">
        <w:rPr>
          <w:color w:val="000000"/>
          <w:sz w:val="22"/>
          <w:szCs w:val="22"/>
        </w:rPr>
        <w:t xml:space="preserve"> (test de Ames), en un ensayo de células de mamífero</w:t>
      </w:r>
      <w:r w:rsidR="00777D3B" w:rsidRPr="002D741C">
        <w:rPr>
          <w:color w:val="000000"/>
          <w:sz w:val="22"/>
          <w:szCs w:val="22"/>
        </w:rPr>
        <w:t xml:space="preserve"> </w:t>
      </w:r>
      <w:r w:rsidRPr="002D741C">
        <w:rPr>
          <w:i/>
          <w:color w:val="000000"/>
          <w:sz w:val="22"/>
          <w:szCs w:val="22"/>
        </w:rPr>
        <w:t>in vitro</w:t>
      </w:r>
      <w:r w:rsidRPr="002D741C">
        <w:rPr>
          <w:color w:val="000000"/>
          <w:sz w:val="22"/>
          <w:szCs w:val="22"/>
        </w:rPr>
        <w:t xml:space="preserve"> (linfoma de ratón) y en una prueba </w:t>
      </w:r>
      <w:r w:rsidRPr="002D741C">
        <w:rPr>
          <w:i/>
          <w:color w:val="000000"/>
          <w:sz w:val="22"/>
          <w:szCs w:val="22"/>
        </w:rPr>
        <w:t>in vivo</w:t>
      </w:r>
      <w:r w:rsidRPr="002D741C">
        <w:rPr>
          <w:color w:val="000000"/>
          <w:sz w:val="22"/>
          <w:szCs w:val="22"/>
        </w:rPr>
        <w:t xml:space="preserve"> de micronúcleo de rata. Se obtuvieron efectos genotóxicos positivos para imatinib en una prueba de células de mamífero </w:t>
      </w:r>
      <w:r w:rsidRPr="002D741C">
        <w:rPr>
          <w:i/>
          <w:color w:val="000000"/>
          <w:sz w:val="22"/>
          <w:szCs w:val="22"/>
        </w:rPr>
        <w:t>in vitro</w:t>
      </w:r>
      <w:r w:rsidRPr="002D741C">
        <w:rPr>
          <w:color w:val="000000"/>
          <w:sz w:val="22"/>
          <w:szCs w:val="22"/>
        </w:rPr>
        <w:t xml:space="preserve"> (ovario de hámster chino) para clastogenicidad (aberración cromosómica) en presencia de activación metabólica. Dos productos intermedios del proceso de fabricación, que también están presentes en el producto final, son positivos para la mutagénesis en el test de Ames. Uno de estos productos intermedios también fue positivo en el ensayo de linfoma de ratón.</w:t>
      </w:r>
    </w:p>
    <w:p w14:paraId="2D93B7D5" w14:textId="77777777" w:rsidR="00DE24EB" w:rsidRPr="002D741C" w:rsidRDefault="00DE24EB" w:rsidP="00DE24EB">
      <w:pPr>
        <w:widowControl w:val="0"/>
        <w:rPr>
          <w:color w:val="000000"/>
          <w:sz w:val="22"/>
          <w:szCs w:val="22"/>
        </w:rPr>
      </w:pPr>
    </w:p>
    <w:p w14:paraId="17003CD9" w14:textId="77777777" w:rsidR="00DE24EB" w:rsidRPr="002D741C" w:rsidRDefault="00DE24EB" w:rsidP="00DE24EB">
      <w:pPr>
        <w:widowControl w:val="0"/>
        <w:rPr>
          <w:color w:val="000000"/>
          <w:sz w:val="22"/>
          <w:szCs w:val="22"/>
        </w:rPr>
      </w:pPr>
      <w:r w:rsidRPr="002D741C">
        <w:rPr>
          <w:color w:val="000000"/>
          <w:sz w:val="22"/>
          <w:szCs w:val="22"/>
        </w:rPr>
        <w:t>En un estudio de fertilidad con ratas macho tratadas durante 70</w:t>
      </w:r>
      <w:r w:rsidR="00C92ECA" w:rsidRPr="002D741C">
        <w:rPr>
          <w:color w:val="000000"/>
          <w:sz w:val="22"/>
          <w:szCs w:val="22"/>
        </w:rPr>
        <w:t> </w:t>
      </w:r>
      <w:r w:rsidRPr="002D741C">
        <w:rPr>
          <w:color w:val="000000"/>
          <w:sz w:val="22"/>
          <w:szCs w:val="22"/>
        </w:rPr>
        <w:t>días antes del apareamiento, se produjo una disminución del peso de los testículos y del epidídimo y del porcentaje de esperma móvil a la dosis de 60</w:t>
      </w:r>
      <w:r w:rsidR="006171A6" w:rsidRPr="002D741C">
        <w:rPr>
          <w:color w:val="000000"/>
          <w:sz w:val="22"/>
          <w:szCs w:val="22"/>
        </w:rPr>
        <w:t> mg</w:t>
      </w:r>
      <w:r w:rsidRPr="002D741C">
        <w:rPr>
          <w:color w:val="000000"/>
          <w:sz w:val="22"/>
          <w:szCs w:val="22"/>
        </w:rPr>
        <w:t>/kg (equivalente aproximadamente a la dosis clínica máxima de 800</w:t>
      </w:r>
      <w:r w:rsidR="006171A6" w:rsidRPr="002D741C">
        <w:rPr>
          <w:color w:val="000000"/>
          <w:sz w:val="22"/>
          <w:szCs w:val="22"/>
        </w:rPr>
        <w:t> mg</w:t>
      </w:r>
      <w:r w:rsidRPr="002D741C">
        <w:rPr>
          <w:color w:val="000000"/>
          <w:sz w:val="22"/>
          <w:szCs w:val="22"/>
        </w:rPr>
        <w:t>/</w:t>
      </w:r>
      <w:r w:rsidR="008E7F71" w:rsidRPr="002D741C">
        <w:rPr>
          <w:color w:val="000000"/>
          <w:sz w:val="22"/>
          <w:szCs w:val="22"/>
        </w:rPr>
        <w:t>día</w:t>
      </w:r>
      <w:r w:rsidRPr="002D741C">
        <w:rPr>
          <w:color w:val="000000"/>
          <w:sz w:val="22"/>
          <w:szCs w:val="22"/>
        </w:rPr>
        <w:t xml:space="preserve">, en base a la superficie corporal). Esto no se observó a dosis </w:t>
      </w:r>
      <w:r w:rsidRPr="002D741C">
        <w:rPr>
          <w:color w:val="000000"/>
          <w:sz w:val="22"/>
          <w:szCs w:val="22"/>
        </w:rPr>
        <w:sym w:font="Symbol" w:char="F0A3"/>
      </w:r>
      <w:r w:rsidR="00F11D96" w:rsidRPr="002D741C">
        <w:rPr>
          <w:color w:val="000000"/>
          <w:sz w:val="22"/>
          <w:szCs w:val="22"/>
        </w:rPr>
        <w:t> </w:t>
      </w:r>
      <w:r w:rsidRPr="002D741C">
        <w:rPr>
          <w:color w:val="000000"/>
          <w:sz w:val="22"/>
          <w:szCs w:val="22"/>
        </w:rPr>
        <w:t>20</w:t>
      </w:r>
      <w:r w:rsidR="006171A6" w:rsidRPr="002D741C">
        <w:rPr>
          <w:color w:val="000000"/>
          <w:sz w:val="22"/>
          <w:szCs w:val="22"/>
        </w:rPr>
        <w:t> mg</w:t>
      </w:r>
      <w:r w:rsidRPr="002D741C">
        <w:rPr>
          <w:color w:val="000000"/>
          <w:sz w:val="22"/>
          <w:szCs w:val="22"/>
        </w:rPr>
        <w:t>/kg. En perros, a dosis orales &gt;</w:t>
      </w:r>
      <w:r w:rsidR="00F11D96" w:rsidRPr="002D741C">
        <w:rPr>
          <w:color w:val="000000"/>
          <w:sz w:val="22"/>
          <w:szCs w:val="22"/>
        </w:rPr>
        <w:t> </w:t>
      </w:r>
      <w:r w:rsidRPr="002D741C">
        <w:rPr>
          <w:color w:val="000000"/>
          <w:sz w:val="22"/>
          <w:szCs w:val="22"/>
        </w:rPr>
        <w:t>30</w:t>
      </w:r>
      <w:r w:rsidR="006171A6" w:rsidRPr="002D741C">
        <w:rPr>
          <w:color w:val="000000"/>
          <w:sz w:val="22"/>
          <w:szCs w:val="22"/>
        </w:rPr>
        <w:t> mg</w:t>
      </w:r>
      <w:r w:rsidRPr="002D741C">
        <w:rPr>
          <w:color w:val="000000"/>
          <w:sz w:val="22"/>
          <w:szCs w:val="22"/>
        </w:rPr>
        <w:t>/kg también se observó una reducción de leve a moderada en la espermatogénesis. Cuando se administraron dosis a ratas hembra 14</w:t>
      </w:r>
      <w:r w:rsidR="00C92ECA" w:rsidRPr="002D741C">
        <w:rPr>
          <w:color w:val="000000"/>
          <w:sz w:val="22"/>
          <w:szCs w:val="22"/>
        </w:rPr>
        <w:t> </w:t>
      </w:r>
      <w:r w:rsidRPr="002D741C">
        <w:rPr>
          <w:color w:val="000000"/>
          <w:sz w:val="22"/>
          <w:szCs w:val="22"/>
        </w:rPr>
        <w:t>días antes del apareamiento y hasta el día</w:t>
      </w:r>
      <w:r w:rsidR="00C92ECA" w:rsidRPr="002D741C">
        <w:rPr>
          <w:color w:val="000000"/>
          <w:sz w:val="22"/>
          <w:szCs w:val="22"/>
        </w:rPr>
        <w:t> </w:t>
      </w:r>
      <w:r w:rsidRPr="002D741C">
        <w:rPr>
          <w:color w:val="000000"/>
          <w:sz w:val="22"/>
          <w:szCs w:val="22"/>
        </w:rPr>
        <w:t>6 de la gestación, no hubo efecto sobre el apareamiento ni sobre el número de hembras preñadas. A la dosis de 60</w:t>
      </w:r>
      <w:r w:rsidR="006171A6" w:rsidRPr="002D741C">
        <w:rPr>
          <w:color w:val="000000"/>
          <w:sz w:val="22"/>
          <w:szCs w:val="22"/>
        </w:rPr>
        <w:t> mg</w:t>
      </w:r>
      <w:r w:rsidRPr="002D741C">
        <w:rPr>
          <w:color w:val="000000"/>
          <w:sz w:val="22"/>
          <w:szCs w:val="22"/>
        </w:rPr>
        <w:t xml:space="preserve">/kg, las ratas hembra tuvieron un significativo número de pérdidas fetales post-implantación y un reducido número de fetos vivos. Esto no se observó a dosis </w:t>
      </w:r>
      <w:r w:rsidRPr="002D741C">
        <w:rPr>
          <w:color w:val="000000"/>
          <w:sz w:val="22"/>
          <w:szCs w:val="22"/>
        </w:rPr>
        <w:sym w:font="Symbol" w:char="F0A3"/>
      </w:r>
      <w:r w:rsidR="00F11D96" w:rsidRPr="002D741C">
        <w:rPr>
          <w:color w:val="000000"/>
          <w:sz w:val="22"/>
          <w:szCs w:val="22"/>
        </w:rPr>
        <w:t> </w:t>
      </w:r>
      <w:r w:rsidRPr="002D741C">
        <w:rPr>
          <w:color w:val="000000"/>
          <w:sz w:val="22"/>
          <w:szCs w:val="22"/>
        </w:rPr>
        <w:t>20</w:t>
      </w:r>
      <w:r w:rsidR="006171A6" w:rsidRPr="002D741C">
        <w:rPr>
          <w:color w:val="000000"/>
          <w:sz w:val="22"/>
          <w:szCs w:val="22"/>
        </w:rPr>
        <w:t> mg</w:t>
      </w:r>
      <w:r w:rsidRPr="002D741C">
        <w:rPr>
          <w:color w:val="000000"/>
          <w:sz w:val="22"/>
          <w:szCs w:val="22"/>
        </w:rPr>
        <w:t>/kg.</w:t>
      </w:r>
    </w:p>
    <w:p w14:paraId="7F2B1BD5" w14:textId="77777777" w:rsidR="00DE24EB" w:rsidRPr="002D741C" w:rsidRDefault="00DE24EB" w:rsidP="00DE24EB">
      <w:pPr>
        <w:widowControl w:val="0"/>
        <w:rPr>
          <w:color w:val="000000"/>
          <w:sz w:val="22"/>
          <w:szCs w:val="22"/>
        </w:rPr>
      </w:pPr>
    </w:p>
    <w:p w14:paraId="33D7B3C4" w14:textId="77777777" w:rsidR="00DE24EB" w:rsidRPr="002D741C" w:rsidRDefault="00DE24EB" w:rsidP="00DE24EB">
      <w:pPr>
        <w:widowControl w:val="0"/>
        <w:rPr>
          <w:color w:val="000000"/>
          <w:sz w:val="22"/>
          <w:szCs w:val="22"/>
        </w:rPr>
      </w:pPr>
      <w:r w:rsidRPr="002D741C">
        <w:rPr>
          <w:color w:val="000000"/>
          <w:sz w:val="22"/>
          <w:szCs w:val="22"/>
        </w:rPr>
        <w:t>En un estudio oral de desarrollo pre- y postnatal en ratas, se observaron pérdidas vaginales de sangre en el grupo de 45</w:t>
      </w:r>
      <w:r w:rsidR="006171A6" w:rsidRPr="002D741C">
        <w:rPr>
          <w:color w:val="000000"/>
          <w:sz w:val="22"/>
          <w:szCs w:val="22"/>
        </w:rPr>
        <w:t> mg</w:t>
      </w:r>
      <w:r w:rsidRPr="002D741C">
        <w:rPr>
          <w:color w:val="000000"/>
          <w:sz w:val="22"/>
          <w:szCs w:val="22"/>
        </w:rPr>
        <w:t>/kg/día en el día</w:t>
      </w:r>
      <w:r w:rsidR="00C92ECA" w:rsidRPr="002D741C">
        <w:rPr>
          <w:color w:val="000000"/>
          <w:sz w:val="22"/>
          <w:szCs w:val="22"/>
        </w:rPr>
        <w:t> </w:t>
      </w:r>
      <w:r w:rsidRPr="002D741C">
        <w:rPr>
          <w:color w:val="000000"/>
          <w:sz w:val="22"/>
          <w:szCs w:val="22"/>
        </w:rPr>
        <w:t>14 o el día</w:t>
      </w:r>
      <w:r w:rsidR="00C92ECA" w:rsidRPr="002D741C">
        <w:rPr>
          <w:color w:val="000000"/>
          <w:sz w:val="22"/>
          <w:szCs w:val="22"/>
        </w:rPr>
        <w:t> </w:t>
      </w:r>
      <w:r w:rsidRPr="002D741C">
        <w:rPr>
          <w:color w:val="000000"/>
          <w:sz w:val="22"/>
          <w:szCs w:val="22"/>
        </w:rPr>
        <w:t>15 de gestación. A la misma dosis, el número de crías nacidas muertas así como las que murieron entre los días</w:t>
      </w:r>
      <w:r w:rsidR="00C92ECA" w:rsidRPr="002D741C">
        <w:rPr>
          <w:color w:val="000000"/>
          <w:sz w:val="22"/>
          <w:szCs w:val="22"/>
        </w:rPr>
        <w:t> </w:t>
      </w:r>
      <w:r w:rsidRPr="002D741C">
        <w:rPr>
          <w:color w:val="000000"/>
          <w:sz w:val="22"/>
          <w:szCs w:val="22"/>
        </w:rPr>
        <w:t>0 y 4 del postparto aumentó. En las crías F</w:t>
      </w:r>
      <w:r w:rsidRPr="002D741C">
        <w:rPr>
          <w:color w:val="000000"/>
          <w:sz w:val="22"/>
          <w:szCs w:val="22"/>
          <w:vertAlign w:val="subscript"/>
        </w:rPr>
        <w:t>1</w:t>
      </w:r>
      <w:r w:rsidRPr="002D741C">
        <w:rPr>
          <w:color w:val="000000"/>
          <w:sz w:val="22"/>
          <w:szCs w:val="22"/>
        </w:rPr>
        <w:t>, al mismo nivel de dosis, los pesos corporales medios se redujeron desde el nacimiento hasta el sacrificio terminal y el número de animales que alcanzaron el criterio de separación prepucial disminuyó ligeramente. La fertilidad de F</w:t>
      </w:r>
      <w:r w:rsidRPr="002D741C">
        <w:rPr>
          <w:color w:val="000000"/>
          <w:sz w:val="22"/>
          <w:szCs w:val="22"/>
          <w:vertAlign w:val="subscript"/>
        </w:rPr>
        <w:t>1</w:t>
      </w:r>
      <w:r w:rsidRPr="002D741C">
        <w:rPr>
          <w:color w:val="000000"/>
          <w:sz w:val="22"/>
          <w:szCs w:val="22"/>
        </w:rPr>
        <w:t xml:space="preserve"> no se vio afectada, mientras que a 45</w:t>
      </w:r>
      <w:r w:rsidR="006171A6" w:rsidRPr="002D741C">
        <w:rPr>
          <w:color w:val="000000"/>
          <w:sz w:val="22"/>
          <w:szCs w:val="22"/>
        </w:rPr>
        <w:t> mg</w:t>
      </w:r>
      <w:r w:rsidRPr="002D741C">
        <w:rPr>
          <w:color w:val="000000"/>
          <w:sz w:val="22"/>
          <w:szCs w:val="22"/>
        </w:rPr>
        <w:t>/kg/día se observó un número mayor de reabsorciones y un número menor de fetos viables. El nivel de dosis sin efecto</w:t>
      </w:r>
      <w:r w:rsidR="00216132" w:rsidRPr="002D741C">
        <w:rPr>
          <w:color w:val="000000"/>
          <w:sz w:val="22"/>
          <w:szCs w:val="22"/>
        </w:rPr>
        <w:t xml:space="preserve"> observado (</w:t>
      </w:r>
      <w:smartTag w:uri="urn:schemas-microsoft-com:office:smarttags" w:element="PersonName">
        <w:r w:rsidR="00216132" w:rsidRPr="002D741C">
          <w:rPr>
            <w:color w:val="000000"/>
            <w:sz w:val="22"/>
            <w:szCs w:val="22"/>
          </w:rPr>
          <w:t>NO</w:t>
        </w:r>
      </w:smartTag>
      <w:smartTag w:uri="urn:schemas-microsoft-com:office:smarttags" w:element="PersonName">
        <w:r w:rsidR="00216132" w:rsidRPr="002D741C">
          <w:rPr>
            <w:color w:val="000000"/>
            <w:sz w:val="22"/>
            <w:szCs w:val="22"/>
          </w:rPr>
          <w:t>EL</w:t>
        </w:r>
      </w:smartTag>
      <w:r w:rsidR="00216132" w:rsidRPr="002D741C">
        <w:rPr>
          <w:color w:val="000000"/>
          <w:sz w:val="22"/>
          <w:szCs w:val="22"/>
        </w:rPr>
        <w:t>)</w:t>
      </w:r>
      <w:r w:rsidRPr="002D741C">
        <w:rPr>
          <w:color w:val="000000"/>
          <w:sz w:val="22"/>
          <w:szCs w:val="22"/>
        </w:rPr>
        <w:t xml:space="preserve"> para los animales maternos y la generación F</w:t>
      </w:r>
      <w:r w:rsidRPr="002D741C">
        <w:rPr>
          <w:color w:val="000000"/>
          <w:sz w:val="22"/>
          <w:szCs w:val="22"/>
          <w:vertAlign w:val="subscript"/>
        </w:rPr>
        <w:t>1</w:t>
      </w:r>
      <w:r w:rsidRPr="002D741C">
        <w:rPr>
          <w:color w:val="000000"/>
          <w:sz w:val="22"/>
          <w:szCs w:val="22"/>
        </w:rPr>
        <w:t xml:space="preserve"> fue 15</w:t>
      </w:r>
      <w:r w:rsidR="006171A6" w:rsidRPr="002D741C">
        <w:rPr>
          <w:color w:val="000000"/>
          <w:sz w:val="22"/>
          <w:szCs w:val="22"/>
        </w:rPr>
        <w:t> mg</w:t>
      </w:r>
      <w:r w:rsidRPr="002D741C">
        <w:rPr>
          <w:color w:val="000000"/>
          <w:sz w:val="22"/>
          <w:szCs w:val="22"/>
        </w:rPr>
        <w:t>/kg/día (un cuarto de la dosis humana máxima de 800</w:t>
      </w:r>
      <w:r w:rsidR="006171A6" w:rsidRPr="002D741C">
        <w:rPr>
          <w:color w:val="000000"/>
          <w:sz w:val="22"/>
          <w:szCs w:val="22"/>
        </w:rPr>
        <w:t> mg</w:t>
      </w:r>
      <w:r w:rsidRPr="002D741C">
        <w:rPr>
          <w:color w:val="000000"/>
          <w:sz w:val="22"/>
          <w:szCs w:val="22"/>
        </w:rPr>
        <w:t>).</w:t>
      </w:r>
    </w:p>
    <w:p w14:paraId="75182391" w14:textId="77777777" w:rsidR="00DE24EB" w:rsidRPr="002D741C" w:rsidRDefault="00DE24EB" w:rsidP="00DE24EB">
      <w:pPr>
        <w:pStyle w:val="EndnoteText"/>
        <w:widowControl w:val="0"/>
        <w:tabs>
          <w:tab w:val="clear" w:pos="567"/>
        </w:tabs>
        <w:rPr>
          <w:snapToGrid/>
          <w:color w:val="000000"/>
          <w:szCs w:val="22"/>
          <w:lang w:val="es-ES"/>
        </w:rPr>
      </w:pPr>
    </w:p>
    <w:p w14:paraId="3A1968D0" w14:textId="77777777" w:rsidR="00F11D96" w:rsidRPr="002D741C" w:rsidRDefault="00DE24EB" w:rsidP="00DE24EB">
      <w:pPr>
        <w:widowControl w:val="0"/>
        <w:rPr>
          <w:color w:val="000000"/>
          <w:sz w:val="22"/>
          <w:szCs w:val="22"/>
        </w:rPr>
      </w:pPr>
      <w:r w:rsidRPr="002D741C">
        <w:rPr>
          <w:color w:val="000000"/>
          <w:sz w:val="22"/>
          <w:szCs w:val="22"/>
        </w:rPr>
        <w:t xml:space="preserve">Cuando se administró durante la organogénesis a dosis </w:t>
      </w:r>
      <w:r w:rsidRPr="002D741C">
        <w:rPr>
          <w:color w:val="000000"/>
          <w:sz w:val="22"/>
          <w:szCs w:val="22"/>
        </w:rPr>
        <w:sym w:font="Symbol" w:char="F0B3"/>
      </w:r>
      <w:r w:rsidR="00F11D96" w:rsidRPr="002D741C">
        <w:rPr>
          <w:color w:val="000000"/>
          <w:sz w:val="22"/>
          <w:szCs w:val="22"/>
        </w:rPr>
        <w:t> </w:t>
      </w:r>
      <w:r w:rsidRPr="002D741C">
        <w:rPr>
          <w:color w:val="000000"/>
          <w:sz w:val="22"/>
          <w:szCs w:val="22"/>
        </w:rPr>
        <w:t>100</w:t>
      </w:r>
      <w:r w:rsidR="006171A6" w:rsidRPr="002D741C">
        <w:rPr>
          <w:color w:val="000000"/>
          <w:sz w:val="22"/>
          <w:szCs w:val="22"/>
        </w:rPr>
        <w:t> mg</w:t>
      </w:r>
      <w:r w:rsidRPr="002D741C">
        <w:rPr>
          <w:color w:val="000000"/>
          <w:sz w:val="22"/>
          <w:szCs w:val="22"/>
        </w:rPr>
        <w:t>/kg (equivalente aproximadamente a la dosis clínica máxima de 800</w:t>
      </w:r>
      <w:r w:rsidR="006171A6" w:rsidRPr="002D741C">
        <w:rPr>
          <w:color w:val="000000"/>
          <w:sz w:val="22"/>
          <w:szCs w:val="22"/>
        </w:rPr>
        <w:t> mg</w:t>
      </w:r>
      <w:r w:rsidRPr="002D741C">
        <w:rPr>
          <w:color w:val="000000"/>
          <w:sz w:val="22"/>
          <w:szCs w:val="22"/>
        </w:rPr>
        <w:t>/</w:t>
      </w:r>
      <w:r w:rsidR="008E7F71" w:rsidRPr="002D741C">
        <w:rPr>
          <w:color w:val="000000"/>
          <w:sz w:val="22"/>
          <w:szCs w:val="22"/>
        </w:rPr>
        <w:t>día</w:t>
      </w:r>
      <w:r w:rsidRPr="002D741C">
        <w:rPr>
          <w:color w:val="000000"/>
          <w:sz w:val="22"/>
          <w:szCs w:val="22"/>
        </w:rPr>
        <w:t xml:space="preserve">, en base a la superficie corporal) imatinib fue teratogénico en ratas. Los efectos teratogénicos incluyeron exencefalia o encefalocele, ausencia/reducción del hueso frontal y ausencia de los huesos parietales. Estos efectos no se observaron a dosis </w:t>
      </w:r>
      <w:r w:rsidRPr="002D741C">
        <w:rPr>
          <w:color w:val="000000"/>
          <w:sz w:val="22"/>
          <w:szCs w:val="22"/>
        </w:rPr>
        <w:sym w:font="Symbol" w:char="F0A3"/>
      </w:r>
      <w:r w:rsidR="00F11D96" w:rsidRPr="002D741C">
        <w:rPr>
          <w:color w:val="000000"/>
          <w:sz w:val="22"/>
          <w:szCs w:val="22"/>
        </w:rPr>
        <w:t> </w:t>
      </w:r>
      <w:r w:rsidRPr="002D741C">
        <w:rPr>
          <w:color w:val="000000"/>
          <w:sz w:val="22"/>
          <w:szCs w:val="22"/>
        </w:rPr>
        <w:t>30</w:t>
      </w:r>
      <w:r w:rsidR="006171A6" w:rsidRPr="002D741C">
        <w:rPr>
          <w:color w:val="000000"/>
          <w:sz w:val="22"/>
          <w:szCs w:val="22"/>
        </w:rPr>
        <w:t> mg</w:t>
      </w:r>
      <w:r w:rsidRPr="002D741C">
        <w:rPr>
          <w:color w:val="000000"/>
          <w:sz w:val="22"/>
          <w:szCs w:val="22"/>
        </w:rPr>
        <w:t>/kg.</w:t>
      </w:r>
    </w:p>
    <w:p w14:paraId="7BD6C635" w14:textId="77777777" w:rsidR="00DE24EB" w:rsidRPr="002D741C" w:rsidRDefault="00DE24EB" w:rsidP="00DE24EB">
      <w:pPr>
        <w:widowControl w:val="0"/>
        <w:rPr>
          <w:color w:val="000000"/>
          <w:sz w:val="22"/>
          <w:szCs w:val="22"/>
        </w:rPr>
      </w:pPr>
    </w:p>
    <w:p w14:paraId="797EC680" w14:textId="77777777" w:rsidR="00914904" w:rsidRPr="002D741C" w:rsidRDefault="00914904" w:rsidP="00914904">
      <w:pPr>
        <w:widowControl w:val="0"/>
        <w:rPr>
          <w:color w:val="000000"/>
          <w:sz w:val="22"/>
          <w:szCs w:val="22"/>
        </w:rPr>
      </w:pPr>
      <w:r w:rsidRPr="002D741C">
        <w:rPr>
          <w:color w:val="000000"/>
          <w:sz w:val="22"/>
          <w:szCs w:val="22"/>
        </w:rPr>
        <w:t xml:space="preserve">No se identificaron nuevos órganos diana en el estudio de toxicología del desarrollo en ratas jóvenes (día </w:t>
      </w:r>
      <w:smartTag w:uri="urn:schemas-microsoft-com:office:smarttags" w:element="metricconverter">
        <w:smartTagPr>
          <w:attr w:name="ProductID" w:val="10 a"/>
        </w:smartTagPr>
        <w:r w:rsidRPr="002D741C">
          <w:rPr>
            <w:color w:val="000000"/>
            <w:sz w:val="22"/>
            <w:szCs w:val="22"/>
          </w:rPr>
          <w:t>10 a</w:t>
        </w:r>
      </w:smartTag>
      <w:r w:rsidRPr="002D741C">
        <w:rPr>
          <w:color w:val="000000"/>
          <w:sz w:val="22"/>
          <w:szCs w:val="22"/>
        </w:rPr>
        <w:t xml:space="preserve"> 70 postparto) respecto a los órganos diana ya conocidos en ratas adultas. En el estudio de toxicología juvenil se observaron efectos sobre el crecimiento, retraso en la apertura vaginal y la separación prepucial a aproximadamente </w:t>
      </w:r>
      <w:smartTag w:uri="urn:schemas-microsoft-com:office:smarttags" w:element="metricconverter">
        <w:smartTagPr>
          <w:attr w:name="ProductID" w:val="0,3 a"/>
        </w:smartTagPr>
        <w:r w:rsidRPr="002D741C">
          <w:rPr>
            <w:color w:val="000000"/>
            <w:sz w:val="22"/>
            <w:szCs w:val="22"/>
          </w:rPr>
          <w:t>0,3 a</w:t>
        </w:r>
      </w:smartTag>
      <w:r w:rsidRPr="002D741C">
        <w:rPr>
          <w:color w:val="000000"/>
          <w:sz w:val="22"/>
          <w:szCs w:val="22"/>
        </w:rPr>
        <w:t xml:space="preserve"> 2 veces la exposición pediátrica media a la dosis más alta recomendada de 340 mg/m</w:t>
      </w:r>
      <w:r w:rsidRPr="002D741C">
        <w:rPr>
          <w:color w:val="000000"/>
          <w:sz w:val="22"/>
          <w:szCs w:val="22"/>
          <w:vertAlign w:val="superscript"/>
        </w:rPr>
        <w:t>2</w:t>
      </w:r>
      <w:r w:rsidRPr="002D741C">
        <w:rPr>
          <w:color w:val="000000"/>
          <w:sz w:val="22"/>
          <w:szCs w:val="22"/>
        </w:rPr>
        <w:t>. Además, se observó mortalidad en animales jóvenes (alrededor de la fase de destete) a aproximadamente 2 veces la exposición pediátrica media a la dosis más alta recomendada de 340 mg/m</w:t>
      </w:r>
      <w:r w:rsidRPr="002D741C">
        <w:rPr>
          <w:color w:val="000000"/>
          <w:sz w:val="22"/>
          <w:szCs w:val="22"/>
          <w:vertAlign w:val="superscript"/>
        </w:rPr>
        <w:t>2</w:t>
      </w:r>
      <w:r w:rsidRPr="002D741C">
        <w:rPr>
          <w:color w:val="000000"/>
          <w:sz w:val="22"/>
          <w:szCs w:val="22"/>
        </w:rPr>
        <w:t>.</w:t>
      </w:r>
    </w:p>
    <w:p w14:paraId="0F922865" w14:textId="77777777" w:rsidR="00914904" w:rsidRPr="002D741C" w:rsidRDefault="00914904" w:rsidP="0096321F">
      <w:pPr>
        <w:widowControl w:val="0"/>
        <w:rPr>
          <w:color w:val="000000"/>
          <w:sz w:val="22"/>
          <w:szCs w:val="22"/>
        </w:rPr>
      </w:pPr>
    </w:p>
    <w:p w14:paraId="752462F6" w14:textId="77777777" w:rsidR="0096321F" w:rsidRPr="002D741C" w:rsidRDefault="0096321F" w:rsidP="0096321F">
      <w:pPr>
        <w:widowControl w:val="0"/>
        <w:rPr>
          <w:color w:val="000000"/>
          <w:sz w:val="22"/>
          <w:szCs w:val="22"/>
        </w:rPr>
      </w:pPr>
      <w:r w:rsidRPr="002D741C">
        <w:rPr>
          <w:color w:val="000000"/>
          <w:sz w:val="22"/>
          <w:szCs w:val="22"/>
        </w:rPr>
        <w:t xml:space="preserve">En un estudio de carcinogenicidad de 2 años en ratas a las que se administró imatinib a dosis de 15, 30 </w:t>
      </w:r>
      <w:r w:rsidRPr="002D741C">
        <w:rPr>
          <w:color w:val="000000"/>
          <w:sz w:val="22"/>
          <w:szCs w:val="22"/>
        </w:rPr>
        <w:lastRenderedPageBreak/>
        <w:t>y 60 mg/kg/día se observó una reducción de la longevidad estadísticamente significativa en machos a 60 mg/kg/día y en hembras a ≥ 30 mg/kg/día. El examen histopatológico de los animales muertos reveló, como principales causas de muerte o razones para el sacrificio, cardiomiopatía (ambos sexos), nefropatía progresiva crónica (hembras) y papiloma de la glándula del prepucio. Los órganos diana de cambios neoplásicos fueron los riñones, la vejiga urinaria, la uretra, la glándula del prepucio y del clítoris, el intestino delgado, las glándulas paratiroideas, glándulas adrenales y el estómago no glandular.</w:t>
      </w:r>
    </w:p>
    <w:p w14:paraId="0FF56105" w14:textId="77777777" w:rsidR="00216132" w:rsidRPr="002D741C" w:rsidRDefault="00216132" w:rsidP="00216132">
      <w:pPr>
        <w:widowControl w:val="0"/>
        <w:rPr>
          <w:color w:val="000000"/>
          <w:sz w:val="22"/>
          <w:szCs w:val="22"/>
        </w:rPr>
      </w:pPr>
    </w:p>
    <w:p w14:paraId="5397B4C9" w14:textId="77777777" w:rsidR="00216132" w:rsidRPr="002D741C" w:rsidRDefault="00216132" w:rsidP="00297109">
      <w:pPr>
        <w:widowControl w:val="0"/>
        <w:rPr>
          <w:color w:val="000000"/>
          <w:sz w:val="22"/>
          <w:szCs w:val="22"/>
        </w:rPr>
      </w:pPr>
      <w:r w:rsidRPr="002D741C">
        <w:rPr>
          <w:color w:val="000000"/>
          <w:sz w:val="22"/>
          <w:szCs w:val="22"/>
        </w:rPr>
        <w:t xml:space="preserve">El papiloma/carcinoma de la glándula del prepucio/clítoris se observó </w:t>
      </w:r>
      <w:r w:rsidR="00E4139B" w:rsidRPr="002D741C">
        <w:rPr>
          <w:color w:val="000000"/>
          <w:sz w:val="22"/>
          <w:szCs w:val="22"/>
        </w:rPr>
        <w:t>con dosis a partir de</w:t>
      </w:r>
      <w:r w:rsidRPr="002D741C">
        <w:rPr>
          <w:color w:val="000000"/>
          <w:sz w:val="22"/>
          <w:szCs w:val="22"/>
        </w:rPr>
        <w:t xml:space="preserve"> 30 mg/kg/día, representando aproximadamente 0,5 ó 0,3 veces la exposición diaria en el hombre (basada en el AUC) a 400 mg/día u 800 mg/día, respectivamente, y 0,4 veces la exposición diaria en niños (basada en el AUC) a 340 mg/m</w:t>
      </w:r>
      <w:r w:rsidRPr="002D741C">
        <w:rPr>
          <w:color w:val="000000"/>
          <w:sz w:val="22"/>
          <w:szCs w:val="22"/>
          <w:vertAlign w:val="superscript"/>
        </w:rPr>
        <w:t>2</w:t>
      </w:r>
      <w:r w:rsidR="00E4139B" w:rsidRPr="002D741C">
        <w:rPr>
          <w:color w:val="000000"/>
          <w:sz w:val="22"/>
          <w:szCs w:val="22"/>
        </w:rPr>
        <w:t>/día</w:t>
      </w:r>
      <w:r w:rsidRPr="002D741C">
        <w:rPr>
          <w:color w:val="000000"/>
          <w:sz w:val="22"/>
          <w:szCs w:val="22"/>
        </w:rPr>
        <w:t xml:space="preserve">. </w:t>
      </w:r>
      <w:r w:rsidR="00E4139B" w:rsidRPr="002D741C">
        <w:rPr>
          <w:color w:val="000000"/>
          <w:sz w:val="22"/>
          <w:szCs w:val="22"/>
        </w:rPr>
        <w:t>Los niveles sin efectos observados (</w:t>
      </w:r>
      <w:smartTag w:uri="urn:schemas-microsoft-com:office:smarttags" w:element="PersonName">
        <w:r w:rsidR="00E4139B" w:rsidRPr="002D741C">
          <w:rPr>
            <w:color w:val="000000"/>
            <w:sz w:val="22"/>
            <w:szCs w:val="22"/>
          </w:rPr>
          <w:t>NO</w:t>
        </w:r>
      </w:smartTag>
      <w:smartTag w:uri="urn:schemas-microsoft-com:office:smarttags" w:element="PersonName">
        <w:r w:rsidR="00E4139B" w:rsidRPr="002D741C">
          <w:rPr>
            <w:color w:val="000000"/>
            <w:sz w:val="22"/>
            <w:szCs w:val="22"/>
          </w:rPr>
          <w:t>EL</w:t>
        </w:r>
      </w:smartTag>
      <w:r w:rsidR="00E4139B" w:rsidRPr="002D741C">
        <w:rPr>
          <w:color w:val="000000"/>
          <w:sz w:val="22"/>
          <w:szCs w:val="22"/>
        </w:rPr>
        <w:t>) fueron 15</w:t>
      </w:r>
      <w:r w:rsidR="00C42B16" w:rsidRPr="002D741C">
        <w:rPr>
          <w:color w:val="000000"/>
          <w:sz w:val="22"/>
          <w:szCs w:val="22"/>
        </w:rPr>
        <w:t> </w:t>
      </w:r>
      <w:r w:rsidR="00E4139B" w:rsidRPr="002D741C">
        <w:rPr>
          <w:color w:val="000000"/>
          <w:sz w:val="22"/>
          <w:szCs w:val="22"/>
        </w:rPr>
        <w:t>mg/</w:t>
      </w:r>
      <w:r w:rsidR="00C42B16" w:rsidRPr="002D741C">
        <w:rPr>
          <w:color w:val="000000"/>
          <w:sz w:val="22"/>
          <w:szCs w:val="22"/>
        </w:rPr>
        <w:t>kg/</w:t>
      </w:r>
      <w:r w:rsidR="00E4139B" w:rsidRPr="002D741C">
        <w:rPr>
          <w:color w:val="000000"/>
          <w:sz w:val="22"/>
          <w:szCs w:val="22"/>
        </w:rPr>
        <w:t xml:space="preserve">día. El adenoma/carcinoma renal, el papiloma de la vejiga urinaria y la uretra, los adenocarcinomas del intestino delgado, los adenomas de las glándulas paratiroideas, los tumores medulares benignos y malignos de las glándulas adrenales y los papilomas/carcinomas del estómago no glandular se observaron a </w:t>
      </w:r>
      <w:r w:rsidR="00E4139B" w:rsidRPr="002D741C">
        <w:rPr>
          <w:bCs/>
          <w:color w:val="000000"/>
          <w:sz w:val="22"/>
          <w:szCs w:val="22"/>
        </w:rPr>
        <w:t>60 mg/kg</w:t>
      </w:r>
      <w:r w:rsidR="006D54C0" w:rsidRPr="002D741C">
        <w:rPr>
          <w:bCs/>
          <w:color w:val="000000"/>
          <w:sz w:val="22"/>
          <w:szCs w:val="22"/>
        </w:rPr>
        <w:t>/día,</w:t>
      </w:r>
      <w:r w:rsidR="00E4139B" w:rsidRPr="002D741C">
        <w:rPr>
          <w:bCs/>
          <w:color w:val="000000"/>
          <w:sz w:val="22"/>
          <w:szCs w:val="22"/>
        </w:rPr>
        <w:t xml:space="preserve"> representando aproximadamente </w:t>
      </w:r>
      <w:r w:rsidR="00297109" w:rsidRPr="002D741C">
        <w:rPr>
          <w:bCs/>
          <w:color w:val="000000"/>
          <w:sz w:val="22"/>
          <w:szCs w:val="22"/>
        </w:rPr>
        <w:t>1,7 ó 1 ve</w:t>
      </w:r>
      <w:r w:rsidR="00BF0496" w:rsidRPr="002D741C">
        <w:rPr>
          <w:bCs/>
          <w:color w:val="000000"/>
          <w:sz w:val="22"/>
          <w:szCs w:val="22"/>
        </w:rPr>
        <w:t>ces</w:t>
      </w:r>
      <w:r w:rsidR="00297109" w:rsidRPr="002D741C">
        <w:rPr>
          <w:bCs/>
          <w:color w:val="000000"/>
          <w:sz w:val="22"/>
          <w:szCs w:val="22"/>
        </w:rPr>
        <w:t xml:space="preserve"> </w:t>
      </w:r>
      <w:r w:rsidR="00E4139B" w:rsidRPr="002D741C">
        <w:rPr>
          <w:bCs/>
          <w:color w:val="000000"/>
          <w:sz w:val="22"/>
          <w:szCs w:val="22"/>
        </w:rPr>
        <w:t>la exposición diaria en el hombre (basado en el AUC) a 400</w:t>
      </w:r>
      <w:r w:rsidR="00E4139B" w:rsidRPr="002D741C">
        <w:rPr>
          <w:color w:val="000000"/>
          <w:sz w:val="22"/>
          <w:szCs w:val="22"/>
        </w:rPr>
        <w:t> mg/día ó 800 mg/día, respectivamente, y 1,2 veces la exposición diaria en niños (basada en el AUC) a 340 mg/m</w:t>
      </w:r>
      <w:r w:rsidR="00E4139B" w:rsidRPr="002D741C">
        <w:rPr>
          <w:color w:val="000000"/>
          <w:sz w:val="22"/>
          <w:szCs w:val="22"/>
          <w:vertAlign w:val="superscript"/>
        </w:rPr>
        <w:t>2</w:t>
      </w:r>
      <w:r w:rsidR="00D26D81" w:rsidRPr="002D741C">
        <w:rPr>
          <w:color w:val="000000"/>
          <w:sz w:val="22"/>
          <w:szCs w:val="22"/>
        </w:rPr>
        <w:t>/</w:t>
      </w:r>
      <w:r w:rsidR="00E4139B" w:rsidRPr="002D741C">
        <w:rPr>
          <w:color w:val="000000"/>
          <w:sz w:val="22"/>
          <w:szCs w:val="22"/>
        </w:rPr>
        <w:t>día. Los niveles sin efectos observados</w:t>
      </w:r>
      <w:r w:rsidR="00C42B16" w:rsidRPr="002D741C">
        <w:rPr>
          <w:color w:val="000000"/>
          <w:sz w:val="22"/>
          <w:szCs w:val="22"/>
        </w:rPr>
        <w:t xml:space="preserve"> </w:t>
      </w:r>
      <w:r w:rsidR="00E4139B" w:rsidRPr="002D741C">
        <w:rPr>
          <w:color w:val="000000"/>
          <w:sz w:val="22"/>
          <w:szCs w:val="22"/>
        </w:rPr>
        <w:t>(</w:t>
      </w:r>
      <w:smartTag w:uri="urn:schemas-microsoft-com:office:smarttags" w:element="PersonName">
        <w:r w:rsidR="00E4139B" w:rsidRPr="002D741C">
          <w:rPr>
            <w:color w:val="000000"/>
            <w:sz w:val="22"/>
            <w:szCs w:val="22"/>
          </w:rPr>
          <w:t>NO</w:t>
        </w:r>
      </w:smartTag>
      <w:smartTag w:uri="urn:schemas-microsoft-com:office:smarttags" w:element="PersonName">
        <w:r w:rsidR="00E4139B" w:rsidRPr="002D741C">
          <w:rPr>
            <w:color w:val="000000"/>
            <w:sz w:val="22"/>
            <w:szCs w:val="22"/>
          </w:rPr>
          <w:t>EL</w:t>
        </w:r>
      </w:smartTag>
      <w:r w:rsidR="00E4139B" w:rsidRPr="002D741C">
        <w:rPr>
          <w:color w:val="000000"/>
          <w:sz w:val="22"/>
          <w:szCs w:val="22"/>
        </w:rPr>
        <w:t>) fueron 30 mg/kg/día.</w:t>
      </w:r>
    </w:p>
    <w:p w14:paraId="7DFF7728" w14:textId="77777777" w:rsidR="00216132" w:rsidRPr="002D741C" w:rsidRDefault="00216132" w:rsidP="00216132">
      <w:pPr>
        <w:widowControl w:val="0"/>
        <w:rPr>
          <w:color w:val="000000"/>
          <w:sz w:val="22"/>
          <w:szCs w:val="22"/>
        </w:rPr>
      </w:pPr>
    </w:p>
    <w:p w14:paraId="4C8B2833" w14:textId="77777777" w:rsidR="00216132" w:rsidRPr="002D741C" w:rsidRDefault="00216132" w:rsidP="00216132">
      <w:pPr>
        <w:widowControl w:val="0"/>
        <w:rPr>
          <w:color w:val="000000"/>
          <w:sz w:val="22"/>
          <w:szCs w:val="22"/>
        </w:rPr>
      </w:pPr>
      <w:r w:rsidRPr="002D741C">
        <w:rPr>
          <w:color w:val="000000"/>
          <w:sz w:val="22"/>
          <w:szCs w:val="22"/>
        </w:rPr>
        <w:t>Todavía no se ha aclarado el mecanismo ni la relevancia para el hombre de estos hallazgos en el estudio de carcinogenicidad efectuado en ratas.</w:t>
      </w:r>
    </w:p>
    <w:p w14:paraId="1192114F" w14:textId="77777777" w:rsidR="00DE24EB" w:rsidRPr="002D741C" w:rsidRDefault="00DE24EB" w:rsidP="00DE24EB">
      <w:pPr>
        <w:pStyle w:val="EndnoteText"/>
        <w:widowControl w:val="0"/>
        <w:tabs>
          <w:tab w:val="clear" w:pos="567"/>
        </w:tabs>
        <w:rPr>
          <w:color w:val="000000"/>
          <w:szCs w:val="22"/>
          <w:lang w:val="es-ES"/>
        </w:rPr>
      </w:pPr>
    </w:p>
    <w:p w14:paraId="2BAEC2F1" w14:textId="77777777" w:rsidR="00E4139B" w:rsidRPr="002D741C" w:rsidRDefault="00E4139B" w:rsidP="00E4139B">
      <w:pPr>
        <w:pStyle w:val="EndnoteText"/>
        <w:widowControl w:val="0"/>
        <w:tabs>
          <w:tab w:val="clear" w:pos="567"/>
        </w:tabs>
        <w:rPr>
          <w:color w:val="000000"/>
          <w:szCs w:val="22"/>
          <w:lang w:val="es-ES"/>
        </w:rPr>
      </w:pPr>
      <w:r w:rsidRPr="002D741C">
        <w:rPr>
          <w:color w:val="000000"/>
          <w:szCs w:val="22"/>
          <w:lang w:val="es-ES"/>
        </w:rPr>
        <w:t>Lesiones no neoplásicas no identificadas en estudios preclínicos anteriores fueron el sistema cardiovascular, páncreas, órganos endocrinos y dientes. Los cambios más importantes incluyeron hipertrofia cardiaca y dilatación, que condujeron a signos de insuficiencia cardiaca en algunos animales.</w:t>
      </w:r>
    </w:p>
    <w:p w14:paraId="6A7956B7" w14:textId="77777777" w:rsidR="00DE24EB" w:rsidRPr="002D741C" w:rsidRDefault="00DE24EB" w:rsidP="00DE24EB">
      <w:pPr>
        <w:pStyle w:val="EndnoteText"/>
        <w:widowControl w:val="0"/>
        <w:tabs>
          <w:tab w:val="clear" w:pos="567"/>
        </w:tabs>
        <w:rPr>
          <w:color w:val="000000"/>
          <w:szCs w:val="22"/>
          <w:lang w:val="es-ES"/>
        </w:rPr>
      </w:pPr>
    </w:p>
    <w:p w14:paraId="4C00890A" w14:textId="77777777" w:rsidR="00C42B16" w:rsidRPr="002D741C" w:rsidRDefault="006A2DBF" w:rsidP="006A2DBF">
      <w:pPr>
        <w:pStyle w:val="EndnoteText"/>
        <w:widowControl w:val="0"/>
        <w:tabs>
          <w:tab w:val="clear" w:pos="567"/>
        </w:tabs>
        <w:rPr>
          <w:color w:val="000000"/>
          <w:szCs w:val="22"/>
          <w:lang w:val="es-ES"/>
        </w:rPr>
      </w:pPr>
      <w:r w:rsidRPr="002D741C">
        <w:rPr>
          <w:color w:val="000000"/>
          <w:szCs w:val="22"/>
          <w:lang w:val="es-ES"/>
        </w:rPr>
        <w:t>El principio activo imatinib demuestra un riesgo ambiental para los organismos presentes en el sedimento.</w:t>
      </w:r>
    </w:p>
    <w:p w14:paraId="4B962750" w14:textId="77777777" w:rsidR="006A2DBF" w:rsidRPr="002D741C" w:rsidRDefault="006A2DBF" w:rsidP="006A2DBF">
      <w:pPr>
        <w:pStyle w:val="EndnoteText"/>
        <w:widowControl w:val="0"/>
        <w:tabs>
          <w:tab w:val="clear" w:pos="567"/>
        </w:tabs>
        <w:rPr>
          <w:color w:val="000000"/>
          <w:szCs w:val="22"/>
          <w:lang w:val="es-ES"/>
        </w:rPr>
      </w:pPr>
    </w:p>
    <w:p w14:paraId="5A6F0A5E" w14:textId="77777777" w:rsidR="006A2DBF" w:rsidRPr="002D741C" w:rsidRDefault="006A2DBF" w:rsidP="006A2DBF">
      <w:pPr>
        <w:pStyle w:val="EndnoteText"/>
        <w:widowControl w:val="0"/>
        <w:tabs>
          <w:tab w:val="clear" w:pos="567"/>
        </w:tabs>
        <w:rPr>
          <w:color w:val="000000"/>
          <w:szCs w:val="22"/>
          <w:lang w:val="es-ES"/>
        </w:rPr>
      </w:pPr>
    </w:p>
    <w:p w14:paraId="70ED9DF9" w14:textId="77777777" w:rsidR="00DE24EB" w:rsidRPr="002D741C" w:rsidRDefault="00DE24EB" w:rsidP="00AD13BE">
      <w:pPr>
        <w:keepNext/>
        <w:widowControl w:val="0"/>
        <w:ind w:left="567" w:hanging="567"/>
        <w:rPr>
          <w:b/>
          <w:color w:val="000000"/>
          <w:sz w:val="22"/>
          <w:szCs w:val="22"/>
        </w:rPr>
      </w:pPr>
      <w:r w:rsidRPr="002D741C">
        <w:rPr>
          <w:b/>
          <w:color w:val="000000"/>
          <w:sz w:val="22"/>
          <w:szCs w:val="22"/>
        </w:rPr>
        <w:t>6.</w:t>
      </w:r>
      <w:r w:rsidRPr="002D741C">
        <w:rPr>
          <w:b/>
          <w:color w:val="000000"/>
          <w:sz w:val="22"/>
          <w:szCs w:val="22"/>
        </w:rPr>
        <w:tab/>
        <w:t>DATOS FARMACÉUTICOS</w:t>
      </w:r>
    </w:p>
    <w:p w14:paraId="66D253E3" w14:textId="77777777" w:rsidR="00DE24EB" w:rsidRPr="002D741C" w:rsidRDefault="00DE24EB" w:rsidP="00AD13BE">
      <w:pPr>
        <w:pStyle w:val="EndnoteText"/>
        <w:keepNext/>
        <w:widowControl w:val="0"/>
        <w:tabs>
          <w:tab w:val="clear" w:pos="567"/>
        </w:tabs>
        <w:rPr>
          <w:color w:val="000000"/>
          <w:szCs w:val="22"/>
          <w:lang w:val="es-ES"/>
        </w:rPr>
      </w:pPr>
    </w:p>
    <w:p w14:paraId="2DE9242D" w14:textId="77777777" w:rsidR="00DE24EB" w:rsidRPr="002D741C" w:rsidRDefault="00DE24EB" w:rsidP="00AD13BE">
      <w:pPr>
        <w:keepNext/>
        <w:widowControl w:val="0"/>
        <w:ind w:left="567" w:hanging="567"/>
        <w:rPr>
          <w:color w:val="000000"/>
          <w:sz w:val="22"/>
          <w:szCs w:val="22"/>
        </w:rPr>
      </w:pPr>
      <w:r w:rsidRPr="002D741C">
        <w:rPr>
          <w:b/>
          <w:color w:val="000000"/>
          <w:sz w:val="22"/>
          <w:szCs w:val="22"/>
        </w:rPr>
        <w:t>6.1</w:t>
      </w:r>
      <w:r w:rsidRPr="002D741C">
        <w:rPr>
          <w:b/>
          <w:color w:val="000000"/>
          <w:sz w:val="22"/>
          <w:szCs w:val="22"/>
        </w:rPr>
        <w:tab/>
        <w:t>Lista de excipientes</w:t>
      </w:r>
    </w:p>
    <w:p w14:paraId="641D9DB9" w14:textId="77777777" w:rsidR="00DE24EB" w:rsidRPr="002D741C" w:rsidRDefault="00DE24EB" w:rsidP="00AD13BE">
      <w:pPr>
        <w:keepNext/>
        <w:widowControl w:val="0"/>
        <w:rPr>
          <w:color w:val="000000"/>
          <w:sz w:val="22"/>
          <w:szCs w:val="22"/>
        </w:rPr>
      </w:pPr>
    </w:p>
    <w:p w14:paraId="5F38B811" w14:textId="77777777" w:rsidR="00DE24EB" w:rsidRPr="002D741C" w:rsidRDefault="006F58B7" w:rsidP="00AD13BE">
      <w:pPr>
        <w:keepNext/>
        <w:widowControl w:val="0"/>
        <w:rPr>
          <w:color w:val="000000"/>
          <w:sz w:val="22"/>
          <w:szCs w:val="22"/>
        </w:rPr>
      </w:pPr>
      <w:r w:rsidRPr="002D741C">
        <w:rPr>
          <w:color w:val="000000"/>
          <w:sz w:val="22"/>
          <w:szCs w:val="22"/>
        </w:rPr>
        <w:t>Núcleo del comprimido:</w:t>
      </w:r>
    </w:p>
    <w:p w14:paraId="1DFA59AA" w14:textId="77777777" w:rsidR="00DE24EB" w:rsidRPr="002D741C" w:rsidRDefault="00DE24EB" w:rsidP="00AD13BE">
      <w:pPr>
        <w:keepNext/>
        <w:widowControl w:val="0"/>
        <w:rPr>
          <w:color w:val="000000"/>
          <w:sz w:val="22"/>
          <w:szCs w:val="22"/>
          <w:lang w:val="it-IT"/>
        </w:rPr>
      </w:pPr>
      <w:r w:rsidRPr="002D741C">
        <w:rPr>
          <w:color w:val="000000"/>
          <w:sz w:val="22"/>
          <w:szCs w:val="22"/>
          <w:lang w:val="it-IT"/>
        </w:rPr>
        <w:t>Celulosa microcristalina</w:t>
      </w:r>
    </w:p>
    <w:p w14:paraId="284EA168" w14:textId="77777777" w:rsidR="00DE24EB" w:rsidRPr="002D741C" w:rsidRDefault="00DE24EB" w:rsidP="00AD13BE">
      <w:pPr>
        <w:keepNext/>
        <w:widowControl w:val="0"/>
        <w:rPr>
          <w:color w:val="000000"/>
          <w:sz w:val="22"/>
          <w:szCs w:val="22"/>
          <w:lang w:val="it-IT"/>
        </w:rPr>
      </w:pPr>
      <w:r w:rsidRPr="002D741C">
        <w:rPr>
          <w:color w:val="000000"/>
          <w:sz w:val="22"/>
          <w:szCs w:val="22"/>
          <w:lang w:val="it-IT"/>
        </w:rPr>
        <w:t>Crospovidona</w:t>
      </w:r>
    </w:p>
    <w:p w14:paraId="6B92D3AB" w14:textId="77777777" w:rsidR="00DE24EB" w:rsidRPr="002D741C" w:rsidRDefault="00DE24EB" w:rsidP="00AD13BE">
      <w:pPr>
        <w:keepNext/>
        <w:widowControl w:val="0"/>
        <w:rPr>
          <w:color w:val="000000"/>
          <w:sz w:val="22"/>
          <w:szCs w:val="22"/>
          <w:lang w:val="it-IT"/>
        </w:rPr>
      </w:pPr>
      <w:r w:rsidRPr="002D741C">
        <w:rPr>
          <w:color w:val="000000"/>
          <w:sz w:val="22"/>
          <w:szCs w:val="22"/>
          <w:lang w:val="it-IT"/>
        </w:rPr>
        <w:t>Hipromelosa</w:t>
      </w:r>
    </w:p>
    <w:p w14:paraId="7ACF2C7F" w14:textId="77777777" w:rsidR="00DE24EB" w:rsidRPr="002D741C" w:rsidRDefault="00DE24EB" w:rsidP="00AD13BE">
      <w:pPr>
        <w:keepNext/>
        <w:widowControl w:val="0"/>
        <w:rPr>
          <w:color w:val="000000"/>
          <w:sz w:val="22"/>
          <w:szCs w:val="22"/>
          <w:lang w:val="it-IT"/>
        </w:rPr>
      </w:pPr>
      <w:r w:rsidRPr="002D741C">
        <w:rPr>
          <w:color w:val="000000"/>
          <w:sz w:val="22"/>
          <w:szCs w:val="22"/>
          <w:lang w:val="it-IT"/>
        </w:rPr>
        <w:t>Estearato de magnesio</w:t>
      </w:r>
    </w:p>
    <w:p w14:paraId="78EAFB32" w14:textId="77777777" w:rsidR="00DE24EB" w:rsidRPr="002D741C" w:rsidRDefault="00DE24EB" w:rsidP="00DE24EB">
      <w:pPr>
        <w:widowControl w:val="0"/>
        <w:rPr>
          <w:color w:val="000000"/>
          <w:sz w:val="22"/>
          <w:szCs w:val="22"/>
        </w:rPr>
      </w:pPr>
      <w:r w:rsidRPr="002D741C">
        <w:rPr>
          <w:color w:val="000000"/>
          <w:sz w:val="22"/>
          <w:szCs w:val="22"/>
        </w:rPr>
        <w:t>Sílice coloidal anhidra</w:t>
      </w:r>
    </w:p>
    <w:p w14:paraId="69B39F21" w14:textId="77777777" w:rsidR="00DE24EB" w:rsidRPr="002D741C" w:rsidRDefault="00DE24EB" w:rsidP="00DE24EB">
      <w:pPr>
        <w:widowControl w:val="0"/>
        <w:rPr>
          <w:color w:val="000000"/>
          <w:sz w:val="22"/>
          <w:szCs w:val="22"/>
        </w:rPr>
      </w:pPr>
    </w:p>
    <w:p w14:paraId="2AEC9978" w14:textId="77777777" w:rsidR="00DE24EB" w:rsidRPr="002D741C" w:rsidRDefault="006F58B7" w:rsidP="00AD13BE">
      <w:pPr>
        <w:keepNext/>
        <w:widowControl w:val="0"/>
        <w:rPr>
          <w:color w:val="000000"/>
          <w:sz w:val="22"/>
          <w:szCs w:val="22"/>
        </w:rPr>
      </w:pPr>
      <w:r w:rsidRPr="002D741C">
        <w:rPr>
          <w:color w:val="000000"/>
          <w:sz w:val="22"/>
          <w:szCs w:val="22"/>
        </w:rPr>
        <w:t>Recubrimiento del comprimido:</w:t>
      </w:r>
    </w:p>
    <w:p w14:paraId="51C85A53" w14:textId="77777777" w:rsidR="00DE24EB" w:rsidRPr="002D741C" w:rsidRDefault="00DE24EB" w:rsidP="00AD13BE">
      <w:pPr>
        <w:keepNext/>
        <w:widowControl w:val="0"/>
        <w:rPr>
          <w:color w:val="000000"/>
          <w:sz w:val="22"/>
          <w:szCs w:val="22"/>
        </w:rPr>
      </w:pPr>
      <w:r w:rsidRPr="002D741C">
        <w:rPr>
          <w:color w:val="000000"/>
          <w:sz w:val="22"/>
          <w:szCs w:val="22"/>
        </w:rPr>
        <w:t>Rojo óxido de hierro (E172)</w:t>
      </w:r>
    </w:p>
    <w:p w14:paraId="0E3DF1CE" w14:textId="77777777" w:rsidR="00DE24EB" w:rsidRPr="002D741C" w:rsidRDefault="00DE24EB" w:rsidP="00AD13BE">
      <w:pPr>
        <w:keepNext/>
        <w:widowControl w:val="0"/>
        <w:rPr>
          <w:color w:val="000000"/>
          <w:sz w:val="22"/>
          <w:szCs w:val="22"/>
        </w:rPr>
      </w:pPr>
      <w:r w:rsidRPr="002D741C">
        <w:rPr>
          <w:color w:val="000000"/>
          <w:sz w:val="22"/>
          <w:szCs w:val="22"/>
        </w:rPr>
        <w:t>Amarillo óxido de hierro (E172)</w:t>
      </w:r>
    </w:p>
    <w:p w14:paraId="79722288" w14:textId="77777777" w:rsidR="0088176A" w:rsidRPr="002D741C" w:rsidRDefault="0088176A" w:rsidP="00AD13BE">
      <w:pPr>
        <w:keepNext/>
        <w:widowControl w:val="0"/>
        <w:rPr>
          <w:color w:val="000000"/>
          <w:sz w:val="22"/>
          <w:szCs w:val="22"/>
        </w:rPr>
      </w:pPr>
      <w:r w:rsidRPr="002D741C">
        <w:rPr>
          <w:color w:val="000000"/>
          <w:sz w:val="22"/>
          <w:szCs w:val="22"/>
        </w:rPr>
        <w:t>Macrogol</w:t>
      </w:r>
    </w:p>
    <w:p w14:paraId="2AA3AC2D" w14:textId="77777777" w:rsidR="0088176A" w:rsidRPr="002D741C" w:rsidRDefault="0088176A" w:rsidP="00AD13BE">
      <w:pPr>
        <w:keepNext/>
        <w:widowControl w:val="0"/>
        <w:rPr>
          <w:color w:val="000000"/>
          <w:sz w:val="22"/>
          <w:szCs w:val="22"/>
        </w:rPr>
      </w:pPr>
      <w:r w:rsidRPr="002D741C">
        <w:rPr>
          <w:color w:val="000000"/>
          <w:sz w:val="22"/>
          <w:szCs w:val="22"/>
        </w:rPr>
        <w:t>Talco</w:t>
      </w:r>
    </w:p>
    <w:p w14:paraId="6410FC0F" w14:textId="77777777" w:rsidR="0088176A" w:rsidRPr="002D741C" w:rsidRDefault="0088176A" w:rsidP="00DE24EB">
      <w:pPr>
        <w:widowControl w:val="0"/>
        <w:rPr>
          <w:color w:val="000000"/>
          <w:sz w:val="22"/>
          <w:szCs w:val="22"/>
        </w:rPr>
      </w:pPr>
      <w:r w:rsidRPr="002D741C">
        <w:rPr>
          <w:color w:val="000000"/>
          <w:sz w:val="22"/>
          <w:szCs w:val="22"/>
        </w:rPr>
        <w:t>Hipromelosa</w:t>
      </w:r>
    </w:p>
    <w:p w14:paraId="7AA2B0C0" w14:textId="77777777" w:rsidR="00DE24EB" w:rsidRPr="002D741C" w:rsidRDefault="00DE24EB" w:rsidP="00DE24EB">
      <w:pPr>
        <w:widowControl w:val="0"/>
        <w:rPr>
          <w:color w:val="000000"/>
          <w:sz w:val="22"/>
          <w:szCs w:val="22"/>
        </w:rPr>
      </w:pPr>
    </w:p>
    <w:p w14:paraId="4E63A5C4" w14:textId="77777777" w:rsidR="00DE24EB" w:rsidRPr="002D741C" w:rsidRDefault="00DE24EB" w:rsidP="00AD13BE">
      <w:pPr>
        <w:keepNext/>
        <w:widowControl w:val="0"/>
        <w:ind w:left="567" w:hanging="567"/>
        <w:rPr>
          <w:color w:val="000000"/>
          <w:sz w:val="22"/>
          <w:szCs w:val="22"/>
        </w:rPr>
      </w:pPr>
      <w:r w:rsidRPr="002D741C">
        <w:rPr>
          <w:b/>
          <w:color w:val="000000"/>
          <w:sz w:val="22"/>
          <w:szCs w:val="22"/>
        </w:rPr>
        <w:t>6.2</w:t>
      </w:r>
      <w:r w:rsidRPr="002D741C">
        <w:rPr>
          <w:b/>
          <w:color w:val="000000"/>
          <w:sz w:val="22"/>
          <w:szCs w:val="22"/>
        </w:rPr>
        <w:tab/>
        <w:t>Incompatibilidades</w:t>
      </w:r>
    </w:p>
    <w:p w14:paraId="5FDB3F52" w14:textId="77777777" w:rsidR="00DE24EB" w:rsidRPr="002D741C" w:rsidRDefault="00DE24EB" w:rsidP="00AD13BE">
      <w:pPr>
        <w:keepNext/>
        <w:widowControl w:val="0"/>
        <w:rPr>
          <w:color w:val="000000"/>
          <w:sz w:val="22"/>
          <w:szCs w:val="22"/>
        </w:rPr>
      </w:pPr>
    </w:p>
    <w:p w14:paraId="791914F0" w14:textId="77777777" w:rsidR="00DE24EB" w:rsidRPr="002D741C" w:rsidRDefault="00DE24EB" w:rsidP="00E61562">
      <w:pPr>
        <w:widowControl w:val="0"/>
        <w:rPr>
          <w:color w:val="000000"/>
          <w:sz w:val="22"/>
          <w:szCs w:val="22"/>
        </w:rPr>
      </w:pPr>
      <w:r w:rsidRPr="002D741C">
        <w:rPr>
          <w:color w:val="000000"/>
          <w:sz w:val="22"/>
          <w:szCs w:val="22"/>
        </w:rPr>
        <w:t xml:space="preserve">No </w:t>
      </w:r>
      <w:r w:rsidR="00E61562" w:rsidRPr="002D741C">
        <w:rPr>
          <w:color w:val="000000"/>
          <w:sz w:val="22"/>
          <w:szCs w:val="22"/>
        </w:rPr>
        <w:t>procede</w:t>
      </w:r>
      <w:r w:rsidRPr="002D741C">
        <w:rPr>
          <w:color w:val="000000"/>
          <w:sz w:val="22"/>
          <w:szCs w:val="22"/>
        </w:rPr>
        <w:t>.</w:t>
      </w:r>
    </w:p>
    <w:p w14:paraId="52452775" w14:textId="77777777" w:rsidR="00DE24EB" w:rsidRPr="002D741C" w:rsidRDefault="00DE24EB" w:rsidP="00DE24EB">
      <w:pPr>
        <w:pStyle w:val="EndnoteText"/>
        <w:widowControl w:val="0"/>
        <w:tabs>
          <w:tab w:val="clear" w:pos="567"/>
        </w:tabs>
        <w:rPr>
          <w:color w:val="000000"/>
          <w:szCs w:val="22"/>
          <w:lang w:val="es-ES"/>
        </w:rPr>
      </w:pPr>
    </w:p>
    <w:p w14:paraId="42079F7A" w14:textId="77777777" w:rsidR="00DE24EB" w:rsidRPr="002D741C" w:rsidRDefault="00DE24EB" w:rsidP="00AD13BE">
      <w:pPr>
        <w:keepNext/>
        <w:widowControl w:val="0"/>
        <w:ind w:left="567" w:hanging="567"/>
        <w:rPr>
          <w:color w:val="000000"/>
          <w:sz w:val="22"/>
          <w:szCs w:val="22"/>
        </w:rPr>
      </w:pPr>
      <w:r w:rsidRPr="002D741C">
        <w:rPr>
          <w:b/>
          <w:color w:val="000000"/>
          <w:sz w:val="22"/>
          <w:szCs w:val="22"/>
        </w:rPr>
        <w:t>6.3</w:t>
      </w:r>
      <w:r w:rsidRPr="002D741C">
        <w:rPr>
          <w:b/>
          <w:color w:val="000000"/>
          <w:sz w:val="22"/>
          <w:szCs w:val="22"/>
        </w:rPr>
        <w:tab/>
        <w:t>Periodo de validez</w:t>
      </w:r>
    </w:p>
    <w:p w14:paraId="397DDB58" w14:textId="77777777" w:rsidR="00DE24EB" w:rsidRPr="002D741C" w:rsidRDefault="00DE24EB" w:rsidP="00AD13BE">
      <w:pPr>
        <w:keepNext/>
        <w:widowControl w:val="0"/>
        <w:rPr>
          <w:color w:val="000000"/>
          <w:sz w:val="22"/>
          <w:szCs w:val="22"/>
        </w:rPr>
      </w:pPr>
    </w:p>
    <w:p w14:paraId="2C549882" w14:textId="77777777" w:rsidR="00DE24EB" w:rsidRPr="002D741C" w:rsidRDefault="00672E94" w:rsidP="00DE24EB">
      <w:pPr>
        <w:pStyle w:val="EndnoteText"/>
        <w:widowControl w:val="0"/>
        <w:tabs>
          <w:tab w:val="clear" w:pos="567"/>
        </w:tabs>
        <w:rPr>
          <w:color w:val="000000"/>
          <w:szCs w:val="22"/>
          <w:lang w:val="es-ES"/>
        </w:rPr>
      </w:pPr>
      <w:r w:rsidRPr="002D741C">
        <w:rPr>
          <w:color w:val="000000"/>
          <w:szCs w:val="22"/>
          <w:lang w:val="es-ES"/>
        </w:rPr>
        <w:t>3</w:t>
      </w:r>
      <w:r w:rsidR="00C92ECA" w:rsidRPr="002D741C">
        <w:rPr>
          <w:color w:val="000000"/>
          <w:szCs w:val="22"/>
          <w:lang w:val="es-ES"/>
        </w:rPr>
        <w:t> </w:t>
      </w:r>
      <w:r w:rsidR="00DE24EB" w:rsidRPr="002D741C">
        <w:rPr>
          <w:color w:val="000000"/>
          <w:szCs w:val="22"/>
          <w:lang w:val="es-ES"/>
        </w:rPr>
        <w:t>años.</w:t>
      </w:r>
    </w:p>
    <w:p w14:paraId="446B8F63" w14:textId="77777777" w:rsidR="00DE24EB" w:rsidRPr="002D741C" w:rsidRDefault="00DE24EB" w:rsidP="00DE24EB">
      <w:pPr>
        <w:pStyle w:val="EndnoteText"/>
        <w:widowControl w:val="0"/>
        <w:tabs>
          <w:tab w:val="clear" w:pos="567"/>
        </w:tabs>
        <w:rPr>
          <w:color w:val="000000"/>
          <w:szCs w:val="22"/>
          <w:lang w:val="es-ES"/>
        </w:rPr>
      </w:pPr>
    </w:p>
    <w:p w14:paraId="6D68B2D6" w14:textId="77777777" w:rsidR="00DE24EB" w:rsidRPr="002D741C" w:rsidRDefault="00DE24EB" w:rsidP="00AD13BE">
      <w:pPr>
        <w:keepNext/>
        <w:widowControl w:val="0"/>
        <w:ind w:left="567" w:hanging="567"/>
        <w:rPr>
          <w:color w:val="000000"/>
          <w:sz w:val="22"/>
          <w:szCs w:val="22"/>
        </w:rPr>
      </w:pPr>
      <w:r w:rsidRPr="002D741C">
        <w:rPr>
          <w:b/>
          <w:color w:val="000000"/>
          <w:sz w:val="22"/>
          <w:szCs w:val="22"/>
        </w:rPr>
        <w:t>6.4</w:t>
      </w:r>
      <w:r w:rsidRPr="002D741C">
        <w:rPr>
          <w:b/>
          <w:color w:val="000000"/>
          <w:sz w:val="22"/>
          <w:szCs w:val="22"/>
        </w:rPr>
        <w:tab/>
        <w:t>Precauciones especiales de conservación</w:t>
      </w:r>
    </w:p>
    <w:p w14:paraId="64A1AED5" w14:textId="77777777" w:rsidR="00DE24EB" w:rsidRPr="002D741C" w:rsidRDefault="00DE24EB" w:rsidP="00AD13BE">
      <w:pPr>
        <w:keepNext/>
        <w:widowControl w:val="0"/>
        <w:rPr>
          <w:color w:val="000000"/>
          <w:sz w:val="22"/>
          <w:szCs w:val="22"/>
        </w:rPr>
      </w:pPr>
    </w:p>
    <w:p w14:paraId="29BCFB38" w14:textId="77777777" w:rsidR="00DE24EB" w:rsidRPr="002D741C" w:rsidRDefault="00DE24EB" w:rsidP="00DE24EB">
      <w:pPr>
        <w:widowControl w:val="0"/>
        <w:rPr>
          <w:color w:val="000000"/>
          <w:sz w:val="22"/>
          <w:szCs w:val="22"/>
        </w:rPr>
      </w:pPr>
      <w:r w:rsidRPr="002D741C">
        <w:rPr>
          <w:color w:val="000000"/>
          <w:sz w:val="22"/>
          <w:szCs w:val="22"/>
        </w:rPr>
        <w:t xml:space="preserve">No conservar a temperatura superior a </w:t>
      </w:r>
      <w:smartTag w:uri="urn:schemas-microsoft-com:office:smarttags" w:element="metricconverter">
        <w:smartTagPr>
          <w:attr w:name="ProductID" w:val="30ﾰC"/>
        </w:smartTagPr>
        <w:r w:rsidRPr="002D741C">
          <w:rPr>
            <w:color w:val="000000"/>
            <w:sz w:val="22"/>
            <w:szCs w:val="22"/>
          </w:rPr>
          <w:t>30°C</w:t>
        </w:r>
      </w:smartTag>
      <w:r w:rsidRPr="002D741C">
        <w:rPr>
          <w:color w:val="000000"/>
          <w:sz w:val="22"/>
          <w:szCs w:val="22"/>
        </w:rPr>
        <w:t>.</w:t>
      </w:r>
    </w:p>
    <w:p w14:paraId="51FE6504" w14:textId="77777777" w:rsidR="00DE24EB" w:rsidRPr="002D741C" w:rsidRDefault="00DE24EB" w:rsidP="00DE24EB">
      <w:pPr>
        <w:pStyle w:val="EndnoteText"/>
        <w:widowControl w:val="0"/>
        <w:tabs>
          <w:tab w:val="clear" w:pos="567"/>
        </w:tabs>
        <w:rPr>
          <w:color w:val="000000"/>
          <w:szCs w:val="22"/>
          <w:lang w:val="es-ES_tradnl"/>
        </w:rPr>
      </w:pPr>
    </w:p>
    <w:p w14:paraId="277623D8" w14:textId="77777777" w:rsidR="00DE24EB" w:rsidRPr="002D741C" w:rsidRDefault="00DE24EB" w:rsidP="00DE24EB">
      <w:pPr>
        <w:pStyle w:val="EndnoteText"/>
        <w:widowControl w:val="0"/>
        <w:tabs>
          <w:tab w:val="clear" w:pos="567"/>
        </w:tabs>
        <w:rPr>
          <w:color w:val="000000"/>
          <w:szCs w:val="22"/>
          <w:lang w:val="es-ES"/>
        </w:rPr>
      </w:pPr>
      <w:r w:rsidRPr="002D741C">
        <w:rPr>
          <w:color w:val="000000"/>
          <w:szCs w:val="22"/>
          <w:lang w:val="es-ES"/>
        </w:rPr>
        <w:t>Conservar</w:t>
      </w:r>
      <w:r w:rsidRPr="002D741C">
        <w:rPr>
          <w:b/>
          <w:color w:val="000000"/>
          <w:szCs w:val="22"/>
          <w:lang w:val="es-ES"/>
        </w:rPr>
        <w:t xml:space="preserve"> </w:t>
      </w:r>
      <w:r w:rsidRPr="002D741C">
        <w:rPr>
          <w:color w:val="000000"/>
          <w:szCs w:val="22"/>
          <w:lang w:val="es-ES"/>
        </w:rPr>
        <w:t>en el embalaje original para proteger</w:t>
      </w:r>
      <w:r w:rsidR="00E61562" w:rsidRPr="002D741C">
        <w:rPr>
          <w:color w:val="000000"/>
          <w:szCs w:val="22"/>
          <w:lang w:val="es-ES"/>
        </w:rPr>
        <w:t>lo</w:t>
      </w:r>
      <w:r w:rsidRPr="002D741C">
        <w:rPr>
          <w:color w:val="000000"/>
          <w:szCs w:val="22"/>
          <w:lang w:val="es-ES"/>
        </w:rPr>
        <w:t xml:space="preserve"> de la humedad.</w:t>
      </w:r>
    </w:p>
    <w:p w14:paraId="7A49E3B1" w14:textId="77777777" w:rsidR="00DE24EB" w:rsidRPr="002D741C" w:rsidRDefault="00DE24EB" w:rsidP="00DE24EB">
      <w:pPr>
        <w:widowControl w:val="0"/>
        <w:rPr>
          <w:color w:val="000000"/>
          <w:sz w:val="22"/>
          <w:szCs w:val="22"/>
        </w:rPr>
      </w:pPr>
    </w:p>
    <w:p w14:paraId="7FB0EF6A" w14:textId="77777777" w:rsidR="00DE24EB" w:rsidRPr="002D741C" w:rsidRDefault="00A06D26" w:rsidP="00AD13BE">
      <w:pPr>
        <w:keepNext/>
        <w:widowControl w:val="0"/>
        <w:ind w:left="567" w:hanging="567"/>
        <w:rPr>
          <w:b/>
          <w:color w:val="000000"/>
          <w:sz w:val="22"/>
          <w:szCs w:val="22"/>
        </w:rPr>
      </w:pPr>
      <w:r w:rsidRPr="002D741C">
        <w:rPr>
          <w:b/>
          <w:color w:val="000000"/>
          <w:sz w:val="22"/>
          <w:szCs w:val="22"/>
        </w:rPr>
        <w:t>6.5</w:t>
      </w:r>
      <w:r w:rsidRPr="002D741C">
        <w:rPr>
          <w:b/>
          <w:color w:val="000000"/>
          <w:sz w:val="22"/>
          <w:szCs w:val="22"/>
        </w:rPr>
        <w:tab/>
      </w:r>
      <w:r w:rsidR="00DE24EB" w:rsidRPr="002D741C">
        <w:rPr>
          <w:b/>
          <w:color w:val="000000"/>
          <w:sz w:val="22"/>
          <w:szCs w:val="22"/>
        </w:rPr>
        <w:t xml:space="preserve">Naturaleza y contenido del </w:t>
      </w:r>
      <w:r w:rsidR="00BF797D" w:rsidRPr="002D741C">
        <w:rPr>
          <w:b/>
          <w:color w:val="000000"/>
          <w:sz w:val="22"/>
          <w:szCs w:val="22"/>
        </w:rPr>
        <w:t>envase</w:t>
      </w:r>
    </w:p>
    <w:p w14:paraId="41DDA7EC" w14:textId="77777777" w:rsidR="00DE24EB" w:rsidRPr="002D741C" w:rsidRDefault="00DE24EB" w:rsidP="00AD13BE">
      <w:pPr>
        <w:keepNext/>
        <w:widowControl w:val="0"/>
        <w:rPr>
          <w:color w:val="000000"/>
          <w:sz w:val="22"/>
          <w:szCs w:val="22"/>
        </w:rPr>
      </w:pPr>
    </w:p>
    <w:p w14:paraId="6F7FF0A8" w14:textId="77777777" w:rsidR="00676217" w:rsidRPr="002D741C" w:rsidRDefault="00676217" w:rsidP="00AD13BE">
      <w:pPr>
        <w:keepNext/>
        <w:widowControl w:val="0"/>
        <w:rPr>
          <w:color w:val="000000"/>
          <w:sz w:val="22"/>
          <w:szCs w:val="22"/>
          <w:u w:val="single"/>
        </w:rPr>
      </w:pPr>
      <w:r w:rsidRPr="002D741C">
        <w:rPr>
          <w:color w:val="000000"/>
          <w:sz w:val="22"/>
          <w:szCs w:val="22"/>
          <w:u w:val="single"/>
        </w:rPr>
        <w:t>Glivec 100 mg comprimidos recubiertos con película</w:t>
      </w:r>
    </w:p>
    <w:p w14:paraId="1A405AC3" w14:textId="77777777" w:rsidR="00DE24EB" w:rsidRPr="002D741C" w:rsidRDefault="00DE24EB" w:rsidP="00DE24EB">
      <w:pPr>
        <w:widowControl w:val="0"/>
        <w:rPr>
          <w:color w:val="000000"/>
          <w:sz w:val="22"/>
          <w:szCs w:val="22"/>
        </w:rPr>
      </w:pPr>
      <w:r w:rsidRPr="002D741C">
        <w:rPr>
          <w:color w:val="000000"/>
          <w:sz w:val="22"/>
          <w:szCs w:val="22"/>
        </w:rPr>
        <w:t>Blister de PVC/alu.</w:t>
      </w:r>
    </w:p>
    <w:p w14:paraId="31E6BCE3" w14:textId="77777777" w:rsidR="00DE24EB" w:rsidRPr="002D741C" w:rsidRDefault="00DE24EB" w:rsidP="00DE24EB">
      <w:pPr>
        <w:widowControl w:val="0"/>
        <w:rPr>
          <w:color w:val="000000"/>
          <w:sz w:val="22"/>
          <w:szCs w:val="22"/>
        </w:rPr>
      </w:pPr>
      <w:r w:rsidRPr="002D741C">
        <w:rPr>
          <w:color w:val="000000"/>
          <w:sz w:val="22"/>
          <w:szCs w:val="22"/>
        </w:rPr>
        <w:t>Envases</w:t>
      </w:r>
      <w:r w:rsidR="00F53D23" w:rsidRPr="002D741C">
        <w:rPr>
          <w:color w:val="000000"/>
          <w:sz w:val="22"/>
          <w:szCs w:val="22"/>
        </w:rPr>
        <w:t xml:space="preserve"> que contienen</w:t>
      </w:r>
      <w:r w:rsidRPr="002D741C">
        <w:rPr>
          <w:color w:val="000000"/>
          <w:sz w:val="22"/>
          <w:szCs w:val="22"/>
        </w:rPr>
        <w:t xml:space="preserve"> 20, 60, 120 o 180</w:t>
      </w:r>
      <w:r w:rsidR="00C92ECA" w:rsidRPr="002D741C">
        <w:rPr>
          <w:color w:val="000000"/>
          <w:sz w:val="22"/>
          <w:szCs w:val="22"/>
        </w:rPr>
        <w:t> </w:t>
      </w:r>
      <w:r w:rsidRPr="002D741C">
        <w:rPr>
          <w:color w:val="000000"/>
          <w:sz w:val="22"/>
          <w:szCs w:val="22"/>
        </w:rPr>
        <w:t>comprimidos recubiertos con película.</w:t>
      </w:r>
    </w:p>
    <w:p w14:paraId="7BE92654" w14:textId="77777777" w:rsidR="001C67D6" w:rsidRDefault="001C67D6" w:rsidP="001C67D6">
      <w:pPr>
        <w:widowControl w:val="0"/>
        <w:rPr>
          <w:color w:val="000000"/>
          <w:sz w:val="22"/>
          <w:szCs w:val="22"/>
        </w:rPr>
      </w:pPr>
    </w:p>
    <w:p w14:paraId="3A706ADD" w14:textId="77777777" w:rsidR="001C67D6" w:rsidRPr="00EC7D62" w:rsidRDefault="001C67D6" w:rsidP="001C67D6">
      <w:pPr>
        <w:widowControl w:val="0"/>
        <w:rPr>
          <w:color w:val="000000"/>
          <w:sz w:val="22"/>
          <w:szCs w:val="22"/>
        </w:rPr>
      </w:pPr>
      <w:r w:rsidRPr="00EC7D62">
        <w:rPr>
          <w:color w:val="000000"/>
          <w:sz w:val="22"/>
          <w:szCs w:val="22"/>
        </w:rPr>
        <w:t>Blister de PVDC/alu.</w:t>
      </w:r>
    </w:p>
    <w:p w14:paraId="05C06DFD" w14:textId="77777777" w:rsidR="001C67D6" w:rsidRPr="00EC7D62" w:rsidRDefault="001C67D6" w:rsidP="001C67D6">
      <w:pPr>
        <w:pStyle w:val="EndnoteText"/>
        <w:widowControl w:val="0"/>
        <w:tabs>
          <w:tab w:val="clear" w:pos="567"/>
        </w:tabs>
        <w:rPr>
          <w:color w:val="000000"/>
          <w:szCs w:val="22"/>
          <w:lang w:val="es-ES"/>
        </w:rPr>
      </w:pPr>
      <w:r w:rsidRPr="00EC7D62">
        <w:rPr>
          <w:color w:val="000000"/>
          <w:szCs w:val="22"/>
          <w:lang w:val="es-ES"/>
        </w:rPr>
        <w:t xml:space="preserve">Envases que contienen </w:t>
      </w:r>
      <w:r w:rsidR="008D7834">
        <w:rPr>
          <w:color w:val="000000"/>
          <w:szCs w:val="22"/>
          <w:lang w:val="es-ES"/>
        </w:rPr>
        <w:t>6</w:t>
      </w:r>
      <w:r w:rsidRPr="00EC7D62">
        <w:rPr>
          <w:color w:val="000000"/>
          <w:szCs w:val="22"/>
          <w:lang w:val="es-ES"/>
        </w:rPr>
        <w:t xml:space="preserve">0, </w:t>
      </w:r>
      <w:r>
        <w:rPr>
          <w:color w:val="000000"/>
          <w:szCs w:val="22"/>
          <w:lang w:val="es-ES"/>
        </w:rPr>
        <w:t>120</w:t>
      </w:r>
      <w:r w:rsidRPr="00EC7D62">
        <w:rPr>
          <w:color w:val="000000"/>
          <w:szCs w:val="22"/>
          <w:lang w:val="es-ES"/>
        </w:rPr>
        <w:t xml:space="preserve"> o </w:t>
      </w:r>
      <w:r>
        <w:rPr>
          <w:color w:val="000000"/>
          <w:szCs w:val="22"/>
          <w:lang w:val="es-ES"/>
        </w:rPr>
        <w:t>180</w:t>
      </w:r>
      <w:r w:rsidRPr="00EC7D62">
        <w:rPr>
          <w:color w:val="000000"/>
          <w:szCs w:val="22"/>
          <w:lang w:val="es-ES"/>
        </w:rPr>
        <w:t> comprimidos recubiertos con película.</w:t>
      </w:r>
    </w:p>
    <w:p w14:paraId="4248443F" w14:textId="77777777" w:rsidR="00DE24EB" w:rsidRPr="002D741C" w:rsidRDefault="00DE24EB" w:rsidP="00DE24EB">
      <w:pPr>
        <w:widowControl w:val="0"/>
        <w:rPr>
          <w:color w:val="000000"/>
          <w:sz w:val="22"/>
          <w:szCs w:val="22"/>
        </w:rPr>
      </w:pPr>
    </w:p>
    <w:p w14:paraId="696F0DB6" w14:textId="77777777" w:rsidR="00676217" w:rsidRPr="002D741C" w:rsidRDefault="00676217" w:rsidP="00AD13BE">
      <w:pPr>
        <w:keepNext/>
        <w:widowControl w:val="0"/>
        <w:rPr>
          <w:color w:val="000000"/>
          <w:sz w:val="22"/>
          <w:szCs w:val="22"/>
          <w:u w:val="single"/>
        </w:rPr>
      </w:pPr>
      <w:r w:rsidRPr="002D741C">
        <w:rPr>
          <w:color w:val="000000"/>
          <w:sz w:val="22"/>
          <w:szCs w:val="22"/>
          <w:u w:val="single"/>
        </w:rPr>
        <w:t>Glivec 400 mg comprimidos recubiertos con película</w:t>
      </w:r>
    </w:p>
    <w:p w14:paraId="646DDD60" w14:textId="77777777" w:rsidR="00676217" w:rsidRPr="002D741C" w:rsidRDefault="00676217" w:rsidP="00676217">
      <w:pPr>
        <w:widowControl w:val="0"/>
        <w:rPr>
          <w:color w:val="000000"/>
          <w:sz w:val="22"/>
          <w:szCs w:val="22"/>
        </w:rPr>
      </w:pPr>
      <w:r w:rsidRPr="002D741C">
        <w:rPr>
          <w:color w:val="000000"/>
          <w:sz w:val="22"/>
          <w:szCs w:val="22"/>
        </w:rPr>
        <w:t>Blister de PVDC/alu.</w:t>
      </w:r>
    </w:p>
    <w:p w14:paraId="65D2990B" w14:textId="77777777" w:rsidR="00676217" w:rsidRPr="002D741C" w:rsidRDefault="00676217" w:rsidP="00676217">
      <w:pPr>
        <w:pStyle w:val="EndnoteText"/>
        <w:widowControl w:val="0"/>
        <w:tabs>
          <w:tab w:val="clear" w:pos="567"/>
        </w:tabs>
        <w:rPr>
          <w:color w:val="000000"/>
          <w:szCs w:val="22"/>
          <w:lang w:val="es-ES"/>
        </w:rPr>
      </w:pPr>
      <w:r w:rsidRPr="002D741C">
        <w:rPr>
          <w:color w:val="000000"/>
          <w:szCs w:val="22"/>
          <w:lang w:val="es-ES"/>
        </w:rPr>
        <w:t xml:space="preserve">Envases </w:t>
      </w:r>
      <w:r w:rsidR="00F53D23" w:rsidRPr="002D741C">
        <w:rPr>
          <w:color w:val="000000"/>
          <w:szCs w:val="22"/>
          <w:lang w:val="es-ES"/>
        </w:rPr>
        <w:t>que contienen</w:t>
      </w:r>
      <w:r w:rsidRPr="002D741C">
        <w:rPr>
          <w:color w:val="000000"/>
          <w:szCs w:val="22"/>
          <w:lang w:val="es-ES"/>
        </w:rPr>
        <w:t xml:space="preserve"> 10, 30 o 90 comprimidos recubiertos con película.</w:t>
      </w:r>
    </w:p>
    <w:p w14:paraId="5B462DC9" w14:textId="77777777" w:rsidR="00676217" w:rsidRPr="002D741C" w:rsidRDefault="00676217" w:rsidP="00DE24EB">
      <w:pPr>
        <w:widowControl w:val="0"/>
        <w:rPr>
          <w:color w:val="000000"/>
          <w:sz w:val="22"/>
          <w:szCs w:val="22"/>
          <w:lang w:val="es-ES"/>
        </w:rPr>
      </w:pPr>
    </w:p>
    <w:p w14:paraId="2E575C5A" w14:textId="77777777" w:rsidR="00DE24EB" w:rsidRPr="002D741C" w:rsidRDefault="00DE24EB" w:rsidP="00DE24EB">
      <w:pPr>
        <w:widowControl w:val="0"/>
        <w:suppressAutoHyphens/>
        <w:rPr>
          <w:color w:val="000000"/>
          <w:sz w:val="22"/>
          <w:szCs w:val="22"/>
          <w:lang w:val="es-ES"/>
        </w:rPr>
      </w:pPr>
      <w:r w:rsidRPr="002D741C">
        <w:rPr>
          <w:color w:val="000000"/>
          <w:sz w:val="22"/>
          <w:szCs w:val="22"/>
          <w:lang w:val="es-ES"/>
        </w:rPr>
        <w:t xml:space="preserve">Puede que </w:t>
      </w:r>
      <w:r w:rsidR="00FE4098" w:rsidRPr="002D741C">
        <w:rPr>
          <w:color w:val="000000"/>
          <w:sz w:val="22"/>
          <w:szCs w:val="22"/>
          <w:lang w:val="es-ES"/>
        </w:rPr>
        <w:t xml:space="preserve">solamente </w:t>
      </w:r>
      <w:r w:rsidRPr="002D741C">
        <w:rPr>
          <w:color w:val="000000"/>
          <w:sz w:val="22"/>
          <w:szCs w:val="22"/>
          <w:lang w:val="es-ES"/>
        </w:rPr>
        <w:t>estén comercializados</w:t>
      </w:r>
      <w:r w:rsidR="00BF346E" w:rsidRPr="002D741C">
        <w:rPr>
          <w:color w:val="000000"/>
          <w:sz w:val="22"/>
          <w:szCs w:val="22"/>
          <w:lang w:val="es-ES"/>
        </w:rPr>
        <w:t xml:space="preserve"> </w:t>
      </w:r>
      <w:r w:rsidR="00FE4098" w:rsidRPr="002D741C">
        <w:rPr>
          <w:color w:val="000000"/>
          <w:sz w:val="22"/>
          <w:szCs w:val="22"/>
          <w:lang w:val="es-ES"/>
        </w:rPr>
        <w:t>algunos</w:t>
      </w:r>
      <w:r w:rsidRPr="002D741C">
        <w:rPr>
          <w:color w:val="000000"/>
          <w:sz w:val="22"/>
          <w:szCs w:val="22"/>
          <w:lang w:val="es-ES"/>
        </w:rPr>
        <w:t xml:space="preserve"> tamaños de envase</w:t>
      </w:r>
      <w:r w:rsidR="003813D5" w:rsidRPr="002D741C">
        <w:rPr>
          <w:color w:val="000000"/>
          <w:sz w:val="22"/>
          <w:szCs w:val="22"/>
          <w:lang w:val="es-ES"/>
        </w:rPr>
        <w:t>s</w:t>
      </w:r>
      <w:r w:rsidRPr="002D741C">
        <w:rPr>
          <w:color w:val="000000"/>
          <w:sz w:val="22"/>
          <w:szCs w:val="22"/>
          <w:lang w:val="es-ES"/>
        </w:rPr>
        <w:t>.</w:t>
      </w:r>
    </w:p>
    <w:p w14:paraId="687EA47C" w14:textId="77777777" w:rsidR="00DE24EB" w:rsidRPr="002D741C" w:rsidRDefault="00DE24EB" w:rsidP="00DE24EB">
      <w:pPr>
        <w:widowControl w:val="0"/>
        <w:rPr>
          <w:color w:val="000000"/>
          <w:sz w:val="22"/>
          <w:szCs w:val="22"/>
          <w:lang w:val="es-ES"/>
        </w:rPr>
      </w:pPr>
    </w:p>
    <w:p w14:paraId="5D79274D" w14:textId="77777777" w:rsidR="00F11D96" w:rsidRPr="002D741C" w:rsidRDefault="00DE24EB" w:rsidP="00AD13BE">
      <w:pPr>
        <w:keepNext/>
        <w:widowControl w:val="0"/>
        <w:ind w:left="567" w:hanging="567"/>
        <w:rPr>
          <w:b/>
          <w:color w:val="000000"/>
          <w:sz w:val="22"/>
          <w:szCs w:val="22"/>
        </w:rPr>
      </w:pPr>
      <w:r w:rsidRPr="002D741C">
        <w:rPr>
          <w:b/>
          <w:color w:val="000000"/>
          <w:sz w:val="22"/>
          <w:szCs w:val="22"/>
        </w:rPr>
        <w:t>6.6</w:t>
      </w:r>
      <w:r w:rsidRPr="002D741C">
        <w:rPr>
          <w:b/>
          <w:color w:val="000000"/>
          <w:sz w:val="22"/>
          <w:szCs w:val="22"/>
        </w:rPr>
        <w:tab/>
      </w:r>
      <w:r w:rsidR="00E61562" w:rsidRPr="002D741C">
        <w:rPr>
          <w:b/>
          <w:color w:val="000000"/>
          <w:sz w:val="22"/>
          <w:szCs w:val="22"/>
        </w:rPr>
        <w:t>Precauciones especiales de eliminación</w:t>
      </w:r>
    </w:p>
    <w:p w14:paraId="0BE5914A" w14:textId="77777777" w:rsidR="00DE24EB" w:rsidRPr="002D741C" w:rsidRDefault="00DE24EB" w:rsidP="00AD13BE">
      <w:pPr>
        <w:pStyle w:val="EndnoteText"/>
        <w:keepNext/>
        <w:widowControl w:val="0"/>
        <w:tabs>
          <w:tab w:val="clear" w:pos="567"/>
        </w:tabs>
        <w:rPr>
          <w:color w:val="000000"/>
          <w:szCs w:val="22"/>
          <w:lang w:val="es-ES"/>
        </w:rPr>
      </w:pPr>
    </w:p>
    <w:p w14:paraId="01036EF9" w14:textId="77777777" w:rsidR="00DE24EB" w:rsidRPr="002D741C" w:rsidRDefault="006A2DBF" w:rsidP="00DE24EB">
      <w:pPr>
        <w:pStyle w:val="EndnoteText"/>
        <w:widowControl w:val="0"/>
        <w:tabs>
          <w:tab w:val="clear" w:pos="567"/>
        </w:tabs>
        <w:rPr>
          <w:color w:val="000000"/>
          <w:szCs w:val="22"/>
          <w:lang w:val="es-ES"/>
        </w:rPr>
      </w:pPr>
      <w:r w:rsidRPr="002D741C">
        <w:rPr>
          <w:color w:val="000000"/>
          <w:szCs w:val="22"/>
          <w:lang w:val="es-ES"/>
        </w:rPr>
        <w:t>La eliminación del medicamento no utilizado y de todos los materiales que hayan estado en contacto con él se realizará de acuerdo con la normativa local.</w:t>
      </w:r>
    </w:p>
    <w:p w14:paraId="7BC4E493" w14:textId="77777777" w:rsidR="00DE24EB" w:rsidRPr="002D741C" w:rsidRDefault="00DE24EB" w:rsidP="00DE24EB">
      <w:pPr>
        <w:pStyle w:val="EndnoteText"/>
        <w:widowControl w:val="0"/>
        <w:tabs>
          <w:tab w:val="clear" w:pos="567"/>
        </w:tabs>
        <w:rPr>
          <w:color w:val="000000"/>
          <w:szCs w:val="22"/>
          <w:lang w:val="es-ES"/>
        </w:rPr>
      </w:pPr>
    </w:p>
    <w:p w14:paraId="4B81DC5B" w14:textId="77777777" w:rsidR="00CA77E5" w:rsidRPr="002D741C" w:rsidRDefault="00CA77E5" w:rsidP="00DE24EB">
      <w:pPr>
        <w:pStyle w:val="EndnoteText"/>
        <w:widowControl w:val="0"/>
        <w:tabs>
          <w:tab w:val="clear" w:pos="567"/>
        </w:tabs>
        <w:rPr>
          <w:color w:val="000000"/>
          <w:szCs w:val="22"/>
          <w:lang w:val="es-ES"/>
        </w:rPr>
      </w:pPr>
    </w:p>
    <w:p w14:paraId="4FEF654D" w14:textId="77777777" w:rsidR="00DE24EB" w:rsidRPr="002D741C" w:rsidRDefault="00DE24EB" w:rsidP="00AD13BE">
      <w:pPr>
        <w:keepNext/>
        <w:widowControl w:val="0"/>
        <w:ind w:left="567" w:hanging="567"/>
        <w:rPr>
          <w:color w:val="000000"/>
          <w:sz w:val="22"/>
          <w:szCs w:val="22"/>
        </w:rPr>
      </w:pPr>
      <w:r w:rsidRPr="002D741C">
        <w:rPr>
          <w:b/>
          <w:color w:val="000000"/>
          <w:sz w:val="22"/>
          <w:szCs w:val="22"/>
        </w:rPr>
        <w:t>7.</w:t>
      </w:r>
      <w:r w:rsidRPr="002D741C">
        <w:rPr>
          <w:b/>
          <w:color w:val="000000"/>
          <w:sz w:val="22"/>
          <w:szCs w:val="22"/>
        </w:rPr>
        <w:tab/>
        <w:t>T</w:t>
      </w:r>
      <w:smartTag w:uri="urn:schemas-microsoft-com:office:smarttags" w:element="PersonName">
        <w:r w:rsidRPr="002D741C">
          <w:rPr>
            <w:b/>
            <w:color w:val="000000"/>
            <w:sz w:val="22"/>
            <w:szCs w:val="22"/>
          </w:rPr>
          <w:t>IT</w:t>
        </w:r>
      </w:smartTag>
      <w:r w:rsidRPr="002D741C">
        <w:rPr>
          <w:b/>
          <w:color w:val="000000"/>
          <w:sz w:val="22"/>
          <w:szCs w:val="22"/>
        </w:rPr>
        <w:t xml:space="preserve">ULAR </w:t>
      </w:r>
      <w:smartTag w:uri="urn:schemas-microsoft-com:office:smarttags" w:element="PersonName">
        <w:r w:rsidRPr="002D741C">
          <w:rPr>
            <w:b/>
            <w:color w:val="000000"/>
            <w:sz w:val="22"/>
            <w:szCs w:val="22"/>
          </w:rPr>
          <w:t>DE</w:t>
        </w:r>
      </w:smartTag>
      <w:r w:rsidRPr="002D741C">
        <w:rPr>
          <w:b/>
          <w:color w:val="000000"/>
          <w:sz w:val="22"/>
          <w:szCs w:val="22"/>
        </w:rPr>
        <w:t xml:space="preserve"> </w:t>
      </w:r>
      <w:smartTag w:uri="urn:schemas-microsoft-com:office:smarttags" w:element="PersonName">
        <w:smartTagPr>
          <w:attr w:name="ProductID" w:val="LA AUTORIZACIￓN DE"/>
        </w:smartTagPr>
        <w:r w:rsidRPr="002D741C">
          <w:rPr>
            <w:b/>
            <w:color w:val="000000"/>
            <w:sz w:val="22"/>
            <w:szCs w:val="22"/>
          </w:rPr>
          <w:t xml:space="preserve">LA AUTORIZACIÓN </w:t>
        </w:r>
        <w:smartTag w:uri="urn:schemas-microsoft-com:office:smarttags" w:element="PersonName">
          <w:r w:rsidRPr="002D741C">
            <w:rPr>
              <w:b/>
              <w:color w:val="000000"/>
              <w:sz w:val="22"/>
              <w:szCs w:val="22"/>
            </w:rPr>
            <w:t>DE</w:t>
          </w:r>
        </w:smartTag>
      </w:smartTag>
      <w:r w:rsidRPr="002D741C">
        <w:rPr>
          <w:b/>
          <w:color w:val="000000"/>
          <w:sz w:val="22"/>
          <w:szCs w:val="22"/>
        </w:rPr>
        <w:t xml:space="preserve"> COMERCIALIZACIÓN</w:t>
      </w:r>
    </w:p>
    <w:p w14:paraId="2E0E1770" w14:textId="77777777" w:rsidR="00DE24EB" w:rsidRPr="002D741C" w:rsidRDefault="00DE24EB" w:rsidP="00AD13BE">
      <w:pPr>
        <w:pStyle w:val="EndnoteText"/>
        <w:keepNext/>
        <w:widowControl w:val="0"/>
        <w:tabs>
          <w:tab w:val="clear" w:pos="567"/>
        </w:tabs>
        <w:rPr>
          <w:color w:val="000000"/>
          <w:szCs w:val="22"/>
          <w:lang w:val="es-ES"/>
        </w:rPr>
      </w:pPr>
    </w:p>
    <w:p w14:paraId="6DA5DCB5" w14:textId="77777777" w:rsidR="00DE24EB" w:rsidRPr="002D741C" w:rsidRDefault="00DE24EB" w:rsidP="00AD13BE">
      <w:pPr>
        <w:keepNext/>
        <w:widowControl w:val="0"/>
        <w:rPr>
          <w:color w:val="000000"/>
          <w:sz w:val="22"/>
          <w:szCs w:val="22"/>
          <w:lang w:val="en-US"/>
        </w:rPr>
      </w:pPr>
      <w:r w:rsidRPr="002D741C">
        <w:rPr>
          <w:color w:val="000000"/>
          <w:sz w:val="22"/>
          <w:szCs w:val="22"/>
          <w:lang w:val="en-US"/>
        </w:rPr>
        <w:t>Novartis Europharm Limited</w:t>
      </w:r>
    </w:p>
    <w:p w14:paraId="0F10EE5D" w14:textId="77777777" w:rsidR="005127D7" w:rsidRPr="002D741C" w:rsidRDefault="005127D7" w:rsidP="005127D7">
      <w:pPr>
        <w:keepNext/>
        <w:widowControl w:val="0"/>
        <w:rPr>
          <w:color w:val="000000"/>
          <w:sz w:val="22"/>
          <w:szCs w:val="22"/>
          <w:lang w:val="en-US"/>
        </w:rPr>
      </w:pPr>
      <w:r w:rsidRPr="002D741C">
        <w:rPr>
          <w:color w:val="000000"/>
          <w:sz w:val="22"/>
          <w:szCs w:val="22"/>
          <w:lang w:val="en-US"/>
        </w:rPr>
        <w:t>Vista Building</w:t>
      </w:r>
    </w:p>
    <w:p w14:paraId="17951AC3" w14:textId="77777777" w:rsidR="005127D7" w:rsidRPr="002D741C" w:rsidRDefault="005127D7" w:rsidP="005127D7">
      <w:pPr>
        <w:keepNext/>
        <w:widowControl w:val="0"/>
        <w:rPr>
          <w:color w:val="000000"/>
          <w:sz w:val="22"/>
          <w:szCs w:val="22"/>
          <w:lang w:val="en-US"/>
        </w:rPr>
      </w:pPr>
      <w:r w:rsidRPr="002D741C">
        <w:rPr>
          <w:color w:val="000000"/>
          <w:sz w:val="22"/>
          <w:szCs w:val="22"/>
          <w:lang w:val="en-US"/>
        </w:rPr>
        <w:t>Elm Park, Merrion Road</w:t>
      </w:r>
    </w:p>
    <w:p w14:paraId="4E306E6D" w14:textId="77777777" w:rsidR="005127D7" w:rsidRPr="002D741C" w:rsidRDefault="005127D7" w:rsidP="005127D7">
      <w:pPr>
        <w:keepNext/>
        <w:widowControl w:val="0"/>
        <w:rPr>
          <w:color w:val="000000"/>
          <w:sz w:val="22"/>
          <w:szCs w:val="22"/>
        </w:rPr>
      </w:pPr>
      <w:r w:rsidRPr="002D741C">
        <w:rPr>
          <w:color w:val="000000"/>
          <w:sz w:val="22"/>
          <w:szCs w:val="22"/>
        </w:rPr>
        <w:t>Dublin 4</w:t>
      </w:r>
    </w:p>
    <w:p w14:paraId="33091F4B" w14:textId="77777777" w:rsidR="005127D7" w:rsidRPr="002D741C" w:rsidRDefault="005127D7" w:rsidP="005127D7">
      <w:pPr>
        <w:rPr>
          <w:color w:val="000000"/>
          <w:sz w:val="22"/>
          <w:szCs w:val="22"/>
        </w:rPr>
      </w:pPr>
      <w:r w:rsidRPr="002D741C">
        <w:rPr>
          <w:color w:val="000000"/>
          <w:sz w:val="22"/>
          <w:szCs w:val="22"/>
        </w:rPr>
        <w:t>Irlanda</w:t>
      </w:r>
    </w:p>
    <w:p w14:paraId="000255F8" w14:textId="77777777" w:rsidR="00DE24EB" w:rsidRPr="002D741C" w:rsidRDefault="00DE24EB" w:rsidP="00DE24EB">
      <w:pPr>
        <w:pStyle w:val="EndnoteText"/>
        <w:widowControl w:val="0"/>
        <w:tabs>
          <w:tab w:val="clear" w:pos="567"/>
        </w:tabs>
        <w:rPr>
          <w:color w:val="000000"/>
          <w:szCs w:val="22"/>
          <w:lang w:val="es-ES_tradnl"/>
        </w:rPr>
      </w:pPr>
    </w:p>
    <w:p w14:paraId="74A8B6C6" w14:textId="77777777" w:rsidR="00DE24EB" w:rsidRPr="002D741C" w:rsidRDefault="00DE24EB" w:rsidP="00DE24EB">
      <w:pPr>
        <w:pStyle w:val="EndnoteText"/>
        <w:widowControl w:val="0"/>
        <w:tabs>
          <w:tab w:val="clear" w:pos="567"/>
        </w:tabs>
        <w:rPr>
          <w:color w:val="000000"/>
          <w:szCs w:val="22"/>
          <w:lang w:val="es-ES_tradnl"/>
        </w:rPr>
      </w:pPr>
    </w:p>
    <w:p w14:paraId="0778C62A" w14:textId="77777777" w:rsidR="00DE24EB" w:rsidRPr="002D741C" w:rsidRDefault="00DE24EB" w:rsidP="001C67D6">
      <w:pPr>
        <w:pStyle w:val="BodyTextIndent"/>
        <w:keepNext/>
        <w:widowControl w:val="0"/>
        <w:rPr>
          <w:color w:val="000000"/>
          <w:szCs w:val="22"/>
          <w:lang w:val="es-ES"/>
        </w:rPr>
      </w:pPr>
      <w:r w:rsidRPr="002D741C">
        <w:rPr>
          <w:color w:val="000000"/>
          <w:szCs w:val="22"/>
          <w:lang w:val="es-ES"/>
        </w:rPr>
        <w:t>8.</w:t>
      </w:r>
      <w:r w:rsidRPr="002D741C">
        <w:rPr>
          <w:color w:val="000000"/>
          <w:szCs w:val="22"/>
          <w:lang w:val="es-ES"/>
        </w:rPr>
        <w:tab/>
        <w:t>NÚME</w:t>
      </w:r>
      <w:smartTag w:uri="urn:schemas-microsoft-com:office:smarttags" w:element="PersonName">
        <w:r w:rsidRPr="002D741C">
          <w:rPr>
            <w:color w:val="000000"/>
            <w:szCs w:val="22"/>
            <w:lang w:val="es-ES"/>
          </w:rPr>
          <w:t>RO</w:t>
        </w:r>
      </w:smartTag>
      <w:r w:rsidRPr="002D741C">
        <w:rPr>
          <w:color w:val="000000"/>
          <w:szCs w:val="22"/>
          <w:lang w:val="es-ES"/>
        </w:rPr>
        <w:t xml:space="preserve">(S) </w:t>
      </w:r>
      <w:smartTag w:uri="urn:schemas-microsoft-com:office:smarttags" w:element="PersonName">
        <w:r w:rsidRPr="002D741C">
          <w:rPr>
            <w:color w:val="000000"/>
            <w:szCs w:val="22"/>
            <w:lang w:val="es-ES"/>
          </w:rPr>
          <w:t>DE</w:t>
        </w:r>
      </w:smartTag>
      <w:r w:rsidRPr="002D741C">
        <w:rPr>
          <w:color w:val="000000"/>
          <w:szCs w:val="22"/>
          <w:lang w:val="es-ES"/>
        </w:rPr>
        <w:t xml:space="preserve"> AUTORIZACIÓN </w:t>
      </w:r>
      <w:smartTag w:uri="urn:schemas-microsoft-com:office:smarttags" w:element="PersonName">
        <w:r w:rsidRPr="002D741C">
          <w:rPr>
            <w:color w:val="000000"/>
            <w:szCs w:val="22"/>
            <w:lang w:val="es-ES"/>
          </w:rPr>
          <w:t>DE</w:t>
        </w:r>
      </w:smartTag>
      <w:r w:rsidRPr="002D741C">
        <w:rPr>
          <w:color w:val="000000"/>
          <w:szCs w:val="22"/>
          <w:lang w:val="es-ES"/>
        </w:rPr>
        <w:t xml:space="preserve"> COMERCIALIZACIÓN</w:t>
      </w:r>
    </w:p>
    <w:p w14:paraId="3F5700D1" w14:textId="77777777" w:rsidR="00DE24EB" w:rsidRPr="002D741C" w:rsidRDefault="00DE24EB" w:rsidP="001C67D6">
      <w:pPr>
        <w:keepNext/>
        <w:widowControl w:val="0"/>
        <w:rPr>
          <w:color w:val="000000"/>
          <w:sz w:val="22"/>
          <w:szCs w:val="22"/>
        </w:rPr>
      </w:pPr>
    </w:p>
    <w:p w14:paraId="07C71750" w14:textId="77777777" w:rsidR="00676217" w:rsidRPr="00AD13BE" w:rsidRDefault="00676217" w:rsidP="001C67D6">
      <w:pPr>
        <w:keepNext/>
        <w:widowControl w:val="0"/>
        <w:rPr>
          <w:color w:val="000000"/>
          <w:sz w:val="22"/>
          <w:szCs w:val="22"/>
          <w:u w:val="single"/>
        </w:rPr>
      </w:pPr>
      <w:r w:rsidRPr="00AD13BE">
        <w:rPr>
          <w:color w:val="000000"/>
          <w:sz w:val="22"/>
          <w:szCs w:val="22"/>
          <w:u w:val="single"/>
        </w:rPr>
        <w:t>Glivec 100 mg comprimidos recubiertos con película</w:t>
      </w:r>
    </w:p>
    <w:p w14:paraId="7BD6132D" w14:textId="77777777" w:rsidR="00DE24EB" w:rsidRPr="008D0368" w:rsidRDefault="00DE24EB" w:rsidP="001C67D6">
      <w:pPr>
        <w:keepNext/>
        <w:widowControl w:val="0"/>
        <w:rPr>
          <w:color w:val="000000"/>
          <w:sz w:val="22"/>
          <w:szCs w:val="22"/>
          <w:lang w:val="fr-CH"/>
        </w:rPr>
      </w:pPr>
      <w:r w:rsidRPr="008D0368">
        <w:rPr>
          <w:color w:val="000000"/>
          <w:sz w:val="22"/>
          <w:szCs w:val="22"/>
          <w:lang w:val="fr-CH"/>
        </w:rPr>
        <w:t>EU/1/01/198/007</w:t>
      </w:r>
    </w:p>
    <w:p w14:paraId="5EAAB19D" w14:textId="77777777" w:rsidR="00DE24EB" w:rsidRPr="008D0368" w:rsidRDefault="00DE24EB" w:rsidP="001C67D6">
      <w:pPr>
        <w:keepNext/>
        <w:widowControl w:val="0"/>
        <w:rPr>
          <w:color w:val="000000"/>
          <w:sz w:val="22"/>
          <w:szCs w:val="22"/>
          <w:lang w:val="fr-CH"/>
        </w:rPr>
      </w:pPr>
      <w:r w:rsidRPr="008D0368">
        <w:rPr>
          <w:color w:val="000000"/>
          <w:sz w:val="22"/>
          <w:szCs w:val="22"/>
          <w:lang w:val="fr-CH"/>
        </w:rPr>
        <w:t>EU/1/01/198/008</w:t>
      </w:r>
    </w:p>
    <w:p w14:paraId="556CAF12" w14:textId="77777777" w:rsidR="00DE24EB" w:rsidRPr="008D0368" w:rsidRDefault="00DE24EB" w:rsidP="001C67D6">
      <w:pPr>
        <w:keepNext/>
        <w:widowControl w:val="0"/>
        <w:rPr>
          <w:color w:val="000000"/>
          <w:sz w:val="22"/>
          <w:szCs w:val="22"/>
          <w:lang w:val="fr-CH"/>
        </w:rPr>
      </w:pPr>
      <w:r w:rsidRPr="008D0368">
        <w:rPr>
          <w:color w:val="000000"/>
          <w:sz w:val="22"/>
          <w:szCs w:val="22"/>
          <w:lang w:val="fr-CH"/>
        </w:rPr>
        <w:t>EU/1/01/198/</w:t>
      </w:r>
      <w:r w:rsidR="00D758A9" w:rsidRPr="008D0368">
        <w:rPr>
          <w:color w:val="000000"/>
          <w:sz w:val="22"/>
          <w:szCs w:val="22"/>
          <w:lang w:val="fr-CH"/>
        </w:rPr>
        <w:t>011</w:t>
      </w:r>
    </w:p>
    <w:p w14:paraId="458539FA" w14:textId="77777777" w:rsidR="00DE24EB" w:rsidRPr="008D0368" w:rsidRDefault="00DE24EB" w:rsidP="001C67D6">
      <w:pPr>
        <w:keepNext/>
        <w:widowControl w:val="0"/>
        <w:rPr>
          <w:color w:val="000000"/>
          <w:sz w:val="22"/>
          <w:szCs w:val="22"/>
          <w:lang w:val="fr-CH"/>
        </w:rPr>
      </w:pPr>
      <w:r w:rsidRPr="008D0368">
        <w:rPr>
          <w:color w:val="000000"/>
          <w:sz w:val="22"/>
          <w:szCs w:val="22"/>
          <w:lang w:val="fr-CH"/>
        </w:rPr>
        <w:t>EU/1/01/198/</w:t>
      </w:r>
      <w:r w:rsidR="00D758A9" w:rsidRPr="008D0368">
        <w:rPr>
          <w:color w:val="000000"/>
          <w:sz w:val="22"/>
          <w:szCs w:val="22"/>
          <w:lang w:val="fr-CH"/>
        </w:rPr>
        <w:t>012</w:t>
      </w:r>
    </w:p>
    <w:p w14:paraId="230E1000" w14:textId="77777777" w:rsidR="001C67D6" w:rsidRPr="008D0368" w:rsidRDefault="001C67D6" w:rsidP="001C67D6">
      <w:pPr>
        <w:pStyle w:val="EndnoteText"/>
        <w:keepNext/>
        <w:widowControl w:val="0"/>
        <w:tabs>
          <w:tab w:val="clear" w:pos="567"/>
        </w:tabs>
        <w:rPr>
          <w:color w:val="000000"/>
          <w:szCs w:val="22"/>
          <w:lang w:val="fr-CH"/>
        </w:rPr>
      </w:pPr>
      <w:r w:rsidRPr="008D0368">
        <w:rPr>
          <w:color w:val="000000"/>
          <w:szCs w:val="22"/>
          <w:lang w:val="fr-CH"/>
        </w:rPr>
        <w:t>EU/1/01/198/01</w:t>
      </w:r>
      <w:r w:rsidR="00DD44CE" w:rsidRPr="008D0368">
        <w:rPr>
          <w:color w:val="000000"/>
          <w:szCs w:val="22"/>
          <w:lang w:val="fr-CH"/>
        </w:rPr>
        <w:t>4</w:t>
      </w:r>
    </w:p>
    <w:p w14:paraId="6D88A438" w14:textId="77777777" w:rsidR="001C67D6" w:rsidRPr="00DF6C0D" w:rsidRDefault="001C67D6" w:rsidP="008D7834">
      <w:pPr>
        <w:pStyle w:val="EndnoteText"/>
        <w:keepNext/>
        <w:widowControl w:val="0"/>
        <w:tabs>
          <w:tab w:val="clear" w:pos="567"/>
        </w:tabs>
        <w:rPr>
          <w:color w:val="000000"/>
          <w:szCs w:val="22"/>
          <w:lang w:val="es-ES"/>
        </w:rPr>
      </w:pPr>
      <w:r w:rsidRPr="00DF6C0D">
        <w:rPr>
          <w:color w:val="000000"/>
          <w:szCs w:val="22"/>
          <w:lang w:val="es-ES"/>
        </w:rPr>
        <w:t>EU/1/01/198/01</w:t>
      </w:r>
      <w:r w:rsidR="00DD44CE" w:rsidRPr="00DF6C0D">
        <w:rPr>
          <w:color w:val="000000"/>
          <w:szCs w:val="22"/>
          <w:lang w:val="es-ES"/>
        </w:rPr>
        <w:t>5</w:t>
      </w:r>
    </w:p>
    <w:p w14:paraId="2E10D87A" w14:textId="77777777" w:rsidR="008D7834" w:rsidRPr="00DF6C0D" w:rsidRDefault="008D7834" w:rsidP="008D7834">
      <w:pPr>
        <w:pStyle w:val="EndnoteText"/>
        <w:widowControl w:val="0"/>
        <w:tabs>
          <w:tab w:val="clear" w:pos="567"/>
        </w:tabs>
        <w:rPr>
          <w:color w:val="000000"/>
          <w:szCs w:val="22"/>
          <w:lang w:val="es-ES"/>
        </w:rPr>
      </w:pPr>
      <w:r w:rsidRPr="00DF6C0D">
        <w:rPr>
          <w:color w:val="000000"/>
          <w:szCs w:val="22"/>
          <w:lang w:val="es-ES"/>
        </w:rPr>
        <w:t>EU/1/01/198/01</w:t>
      </w:r>
      <w:r w:rsidR="00DD44CE" w:rsidRPr="00DF6C0D">
        <w:rPr>
          <w:color w:val="000000"/>
          <w:szCs w:val="22"/>
          <w:lang w:val="es-ES"/>
        </w:rPr>
        <w:t>6</w:t>
      </w:r>
    </w:p>
    <w:p w14:paraId="574D9BF5" w14:textId="77777777" w:rsidR="00676217" w:rsidRPr="002D741C" w:rsidRDefault="00676217" w:rsidP="00DE24EB">
      <w:pPr>
        <w:widowControl w:val="0"/>
        <w:rPr>
          <w:color w:val="000000"/>
          <w:sz w:val="22"/>
          <w:szCs w:val="22"/>
        </w:rPr>
      </w:pPr>
    </w:p>
    <w:p w14:paraId="5764E576" w14:textId="77777777" w:rsidR="00676217" w:rsidRPr="00AD13BE" w:rsidRDefault="00676217" w:rsidP="00674DE5">
      <w:pPr>
        <w:keepNext/>
        <w:widowControl w:val="0"/>
        <w:rPr>
          <w:color w:val="000000"/>
          <w:sz w:val="22"/>
          <w:szCs w:val="22"/>
          <w:u w:val="single"/>
        </w:rPr>
      </w:pPr>
      <w:r w:rsidRPr="00AD13BE">
        <w:rPr>
          <w:color w:val="000000"/>
          <w:sz w:val="22"/>
          <w:szCs w:val="22"/>
          <w:u w:val="single"/>
        </w:rPr>
        <w:t>Glivec 400 mg comprimidos recubiertos con película</w:t>
      </w:r>
    </w:p>
    <w:p w14:paraId="54C3C971" w14:textId="77777777" w:rsidR="00676217" w:rsidRPr="002D741C" w:rsidRDefault="00676217" w:rsidP="00676217">
      <w:pPr>
        <w:pStyle w:val="EndnoteText"/>
        <w:widowControl w:val="0"/>
        <w:tabs>
          <w:tab w:val="clear" w:pos="567"/>
        </w:tabs>
        <w:rPr>
          <w:snapToGrid/>
          <w:color w:val="000000"/>
          <w:szCs w:val="22"/>
          <w:lang w:val="es-ES"/>
        </w:rPr>
      </w:pPr>
      <w:r w:rsidRPr="002D741C">
        <w:rPr>
          <w:snapToGrid/>
          <w:color w:val="000000"/>
          <w:szCs w:val="22"/>
          <w:lang w:val="es-ES"/>
        </w:rPr>
        <w:t>EU/1/01/198/009</w:t>
      </w:r>
    </w:p>
    <w:p w14:paraId="7613CB44" w14:textId="77777777" w:rsidR="00676217" w:rsidRPr="002D741C" w:rsidRDefault="00676217" w:rsidP="00676217">
      <w:pPr>
        <w:pStyle w:val="EndnoteText"/>
        <w:widowControl w:val="0"/>
        <w:tabs>
          <w:tab w:val="clear" w:pos="567"/>
        </w:tabs>
        <w:rPr>
          <w:snapToGrid/>
          <w:color w:val="000000"/>
          <w:szCs w:val="22"/>
          <w:lang w:val="es-ES"/>
        </w:rPr>
      </w:pPr>
      <w:r w:rsidRPr="002D741C">
        <w:rPr>
          <w:snapToGrid/>
          <w:color w:val="000000"/>
          <w:szCs w:val="22"/>
          <w:lang w:val="es-ES"/>
        </w:rPr>
        <w:t>EU/1/01/198/010</w:t>
      </w:r>
    </w:p>
    <w:p w14:paraId="7069DA06" w14:textId="77777777" w:rsidR="00676217" w:rsidRPr="002D741C" w:rsidRDefault="00676217" w:rsidP="00DE24EB">
      <w:pPr>
        <w:widowControl w:val="0"/>
        <w:rPr>
          <w:color w:val="000000"/>
          <w:sz w:val="22"/>
          <w:szCs w:val="22"/>
        </w:rPr>
      </w:pPr>
      <w:r w:rsidRPr="002D741C">
        <w:rPr>
          <w:color w:val="000000"/>
          <w:sz w:val="22"/>
          <w:szCs w:val="22"/>
          <w:lang w:val="es-ES"/>
        </w:rPr>
        <w:t>EU/1/01/198/013</w:t>
      </w:r>
    </w:p>
    <w:p w14:paraId="27DE0ECB" w14:textId="77777777" w:rsidR="00DE24EB" w:rsidRPr="002D741C" w:rsidRDefault="00DE24EB" w:rsidP="00DE24EB">
      <w:pPr>
        <w:widowControl w:val="0"/>
        <w:rPr>
          <w:color w:val="000000"/>
          <w:sz w:val="22"/>
          <w:szCs w:val="22"/>
        </w:rPr>
      </w:pPr>
    </w:p>
    <w:p w14:paraId="0CEA49E8" w14:textId="77777777" w:rsidR="00DE24EB" w:rsidRPr="002D741C" w:rsidRDefault="00DE24EB" w:rsidP="00DE24EB">
      <w:pPr>
        <w:widowControl w:val="0"/>
        <w:rPr>
          <w:color w:val="000000"/>
          <w:sz w:val="22"/>
          <w:szCs w:val="22"/>
        </w:rPr>
      </w:pPr>
    </w:p>
    <w:p w14:paraId="1321F9B0" w14:textId="77777777" w:rsidR="00DE24EB" w:rsidRPr="002D741C" w:rsidRDefault="00DE24EB" w:rsidP="00AD13BE">
      <w:pPr>
        <w:keepNext/>
        <w:keepLines/>
        <w:widowControl w:val="0"/>
        <w:ind w:left="567" w:hanging="567"/>
        <w:rPr>
          <w:color w:val="000000"/>
          <w:sz w:val="22"/>
          <w:szCs w:val="22"/>
        </w:rPr>
      </w:pPr>
      <w:r w:rsidRPr="002D741C">
        <w:rPr>
          <w:b/>
          <w:color w:val="000000"/>
          <w:sz w:val="22"/>
          <w:szCs w:val="22"/>
        </w:rPr>
        <w:lastRenderedPageBreak/>
        <w:t>9.</w:t>
      </w:r>
      <w:r w:rsidRPr="002D741C">
        <w:rPr>
          <w:b/>
          <w:color w:val="000000"/>
          <w:sz w:val="22"/>
          <w:szCs w:val="22"/>
        </w:rPr>
        <w:tab/>
        <w:t xml:space="preserve">FECHA </w:t>
      </w:r>
      <w:smartTag w:uri="urn:schemas-microsoft-com:office:smarttags" w:element="PersonName">
        <w:r w:rsidRPr="002D741C">
          <w:rPr>
            <w:b/>
            <w:color w:val="000000"/>
            <w:sz w:val="22"/>
            <w:szCs w:val="22"/>
          </w:rPr>
          <w:t>DE</w:t>
        </w:r>
      </w:smartTag>
      <w:r w:rsidRPr="002D741C">
        <w:rPr>
          <w:b/>
          <w:color w:val="000000"/>
          <w:sz w:val="22"/>
          <w:szCs w:val="22"/>
        </w:rPr>
        <w:t xml:space="preserve"> </w:t>
      </w:r>
      <w:smartTag w:uri="urn:schemas-microsoft-com:office:smarttags" w:element="PersonName">
        <w:smartTagPr>
          <w:attr w:name="ProductID" w:val="LA PRIMERA AUTORIZACIￓN"/>
        </w:smartTagPr>
        <w:r w:rsidRPr="002D741C">
          <w:rPr>
            <w:b/>
            <w:color w:val="000000"/>
            <w:sz w:val="22"/>
            <w:szCs w:val="22"/>
          </w:rPr>
          <w:t>LA PRIMERA AUTORIZACIÓN</w:t>
        </w:r>
      </w:smartTag>
      <w:r w:rsidRPr="002D741C">
        <w:rPr>
          <w:b/>
          <w:color w:val="000000"/>
          <w:sz w:val="22"/>
          <w:szCs w:val="22"/>
        </w:rPr>
        <w:t>/RE</w:t>
      </w:r>
      <w:smartTag w:uri="urn:schemas-microsoft-com:office:smarttags" w:element="PersonName">
        <w:r w:rsidRPr="002D741C">
          <w:rPr>
            <w:b/>
            <w:color w:val="000000"/>
            <w:sz w:val="22"/>
            <w:szCs w:val="22"/>
          </w:rPr>
          <w:t>NO</w:t>
        </w:r>
      </w:smartTag>
      <w:r w:rsidRPr="002D741C">
        <w:rPr>
          <w:b/>
          <w:color w:val="000000"/>
          <w:sz w:val="22"/>
          <w:szCs w:val="22"/>
        </w:rPr>
        <w:t xml:space="preserve">VACIÓN </w:t>
      </w:r>
      <w:smartTag w:uri="urn:schemas-microsoft-com:office:smarttags" w:element="PersonName">
        <w:r w:rsidRPr="002D741C">
          <w:rPr>
            <w:b/>
            <w:color w:val="000000"/>
            <w:sz w:val="22"/>
            <w:szCs w:val="22"/>
          </w:rPr>
          <w:t>DE</w:t>
        </w:r>
      </w:smartTag>
      <w:r w:rsidRPr="002D741C">
        <w:rPr>
          <w:b/>
          <w:color w:val="000000"/>
          <w:sz w:val="22"/>
          <w:szCs w:val="22"/>
        </w:rPr>
        <w:t xml:space="preserve"> </w:t>
      </w:r>
      <w:smartTag w:uri="urn:schemas-microsoft-com:office:smarttags" w:element="PersonName">
        <w:smartTagPr>
          <w:attr w:name="ProductID" w:val="LA AUTORIZACIￓN"/>
        </w:smartTagPr>
        <w:r w:rsidRPr="002D741C">
          <w:rPr>
            <w:b/>
            <w:color w:val="000000"/>
            <w:sz w:val="22"/>
            <w:szCs w:val="22"/>
          </w:rPr>
          <w:t>LA AUTORIZACIÓN</w:t>
        </w:r>
      </w:smartTag>
    </w:p>
    <w:p w14:paraId="19749574" w14:textId="77777777" w:rsidR="00DE24EB" w:rsidRPr="002D741C" w:rsidRDefault="00DE24EB" w:rsidP="00AD13BE">
      <w:pPr>
        <w:keepNext/>
        <w:widowControl w:val="0"/>
        <w:rPr>
          <w:color w:val="000000"/>
          <w:sz w:val="22"/>
          <w:szCs w:val="22"/>
        </w:rPr>
      </w:pPr>
    </w:p>
    <w:p w14:paraId="289645AE" w14:textId="77777777" w:rsidR="00DE24EB" w:rsidRPr="002D741C" w:rsidRDefault="00E61562" w:rsidP="00AD13BE">
      <w:pPr>
        <w:keepNext/>
        <w:widowControl w:val="0"/>
        <w:rPr>
          <w:color w:val="000000"/>
          <w:sz w:val="22"/>
          <w:szCs w:val="22"/>
        </w:rPr>
      </w:pPr>
      <w:r w:rsidRPr="002D741C">
        <w:rPr>
          <w:color w:val="000000"/>
          <w:sz w:val="22"/>
          <w:szCs w:val="22"/>
        </w:rPr>
        <w:t xml:space="preserve">Fecha de la primera autorización: </w:t>
      </w:r>
      <w:r w:rsidR="008E5FCB" w:rsidRPr="002D741C">
        <w:rPr>
          <w:color w:val="000000"/>
          <w:sz w:val="22"/>
          <w:szCs w:val="22"/>
        </w:rPr>
        <w:t>07 Noviembre 2001</w:t>
      </w:r>
    </w:p>
    <w:p w14:paraId="27FBE314" w14:textId="77777777" w:rsidR="00DE24EB" w:rsidRPr="002D741C" w:rsidRDefault="00E61562" w:rsidP="00DE24EB">
      <w:pPr>
        <w:widowControl w:val="0"/>
        <w:rPr>
          <w:color w:val="000000"/>
          <w:sz w:val="22"/>
          <w:szCs w:val="22"/>
        </w:rPr>
      </w:pPr>
      <w:r w:rsidRPr="002D741C">
        <w:rPr>
          <w:color w:val="000000"/>
          <w:sz w:val="22"/>
          <w:szCs w:val="22"/>
        </w:rPr>
        <w:t xml:space="preserve">Fecha de la </w:t>
      </w:r>
      <w:r w:rsidR="008E5FCB" w:rsidRPr="002D741C">
        <w:rPr>
          <w:color w:val="000000"/>
          <w:sz w:val="22"/>
          <w:szCs w:val="22"/>
        </w:rPr>
        <w:t xml:space="preserve">última </w:t>
      </w:r>
      <w:r w:rsidRPr="002D741C">
        <w:rPr>
          <w:color w:val="000000"/>
          <w:sz w:val="22"/>
          <w:szCs w:val="22"/>
        </w:rPr>
        <w:t>renovación:</w:t>
      </w:r>
      <w:r w:rsidR="005E78AF" w:rsidRPr="002D741C">
        <w:rPr>
          <w:color w:val="000000"/>
          <w:sz w:val="22"/>
          <w:szCs w:val="22"/>
          <w:lang w:val="es-ES"/>
        </w:rPr>
        <w:t xml:space="preserve"> 07</w:t>
      </w:r>
      <w:r w:rsidR="008E5FCB" w:rsidRPr="002D741C">
        <w:rPr>
          <w:color w:val="000000"/>
          <w:sz w:val="22"/>
          <w:szCs w:val="22"/>
          <w:lang w:val="es-ES"/>
        </w:rPr>
        <w:t xml:space="preserve"> Noviembre </w:t>
      </w:r>
      <w:r w:rsidR="005E78AF" w:rsidRPr="002D741C">
        <w:rPr>
          <w:color w:val="000000"/>
          <w:sz w:val="22"/>
          <w:szCs w:val="22"/>
          <w:lang w:val="es-ES"/>
        </w:rPr>
        <w:t>2006</w:t>
      </w:r>
    </w:p>
    <w:p w14:paraId="054338F5" w14:textId="77777777" w:rsidR="00DE24EB" w:rsidRPr="002D741C" w:rsidRDefault="00DE24EB" w:rsidP="00DE24EB">
      <w:pPr>
        <w:widowControl w:val="0"/>
        <w:rPr>
          <w:color w:val="000000"/>
          <w:sz w:val="22"/>
          <w:szCs w:val="22"/>
        </w:rPr>
      </w:pPr>
    </w:p>
    <w:p w14:paraId="7EECB570" w14:textId="77777777" w:rsidR="00081B45" w:rsidRPr="002D741C" w:rsidRDefault="00081B45" w:rsidP="00DE24EB">
      <w:pPr>
        <w:widowControl w:val="0"/>
        <w:rPr>
          <w:color w:val="000000"/>
          <w:sz w:val="22"/>
          <w:szCs w:val="22"/>
        </w:rPr>
      </w:pPr>
    </w:p>
    <w:p w14:paraId="59F990DB" w14:textId="77777777" w:rsidR="00DE24EB" w:rsidRPr="002D741C" w:rsidRDefault="00DE24EB" w:rsidP="00DE24EB">
      <w:pPr>
        <w:widowControl w:val="0"/>
        <w:ind w:left="567" w:hanging="567"/>
        <w:rPr>
          <w:color w:val="000000"/>
          <w:sz w:val="22"/>
          <w:szCs w:val="22"/>
        </w:rPr>
      </w:pPr>
      <w:r w:rsidRPr="002D741C">
        <w:rPr>
          <w:b/>
          <w:color w:val="000000"/>
          <w:sz w:val="22"/>
          <w:szCs w:val="22"/>
        </w:rPr>
        <w:t>10.</w:t>
      </w:r>
      <w:r w:rsidRPr="002D741C">
        <w:rPr>
          <w:b/>
          <w:color w:val="000000"/>
          <w:sz w:val="22"/>
          <w:szCs w:val="22"/>
        </w:rPr>
        <w:tab/>
        <w:t xml:space="preserve">FECHA </w:t>
      </w:r>
      <w:smartTag w:uri="urn:schemas-microsoft-com:office:smarttags" w:element="PersonName">
        <w:r w:rsidRPr="002D741C">
          <w:rPr>
            <w:b/>
            <w:color w:val="000000"/>
            <w:sz w:val="22"/>
            <w:szCs w:val="22"/>
          </w:rPr>
          <w:t>DE</w:t>
        </w:r>
      </w:smartTag>
      <w:r w:rsidRPr="002D741C">
        <w:rPr>
          <w:b/>
          <w:color w:val="000000"/>
          <w:sz w:val="22"/>
          <w:szCs w:val="22"/>
        </w:rPr>
        <w:t xml:space="preserve"> </w:t>
      </w:r>
      <w:smartTag w:uri="urn:schemas-microsoft-com:office:smarttags" w:element="PersonName">
        <w:smartTagPr>
          <w:attr w:name="ProductID" w:val="LA REVISIￓN DEL"/>
        </w:smartTagPr>
        <w:r w:rsidRPr="002D741C">
          <w:rPr>
            <w:b/>
            <w:color w:val="000000"/>
            <w:sz w:val="22"/>
            <w:szCs w:val="22"/>
          </w:rPr>
          <w:t>LA REV</w:t>
        </w:r>
        <w:smartTag w:uri="urn:schemas-microsoft-com:office:smarttags" w:element="PersonName">
          <w:r w:rsidRPr="002D741C">
            <w:rPr>
              <w:b/>
              <w:color w:val="000000"/>
              <w:sz w:val="22"/>
              <w:szCs w:val="22"/>
            </w:rPr>
            <w:t>I</w:t>
          </w:r>
          <w:smartTag w:uri="urn:schemas-microsoft-com:office:smarttags" w:element="PersonName">
            <w:r w:rsidRPr="002D741C">
              <w:rPr>
                <w:b/>
                <w:color w:val="000000"/>
                <w:sz w:val="22"/>
                <w:szCs w:val="22"/>
              </w:rPr>
              <w:t>S</w:t>
            </w:r>
          </w:smartTag>
        </w:smartTag>
        <w:r w:rsidRPr="002D741C">
          <w:rPr>
            <w:b/>
            <w:color w:val="000000"/>
            <w:sz w:val="22"/>
            <w:szCs w:val="22"/>
          </w:rPr>
          <w:t xml:space="preserve">IÓN </w:t>
        </w:r>
        <w:smartTag w:uri="urn:schemas-microsoft-com:office:smarttags" w:element="stockticker">
          <w:smartTag w:uri="urn:schemas-microsoft-com:office:smarttags" w:element="PersonName">
            <w:r w:rsidRPr="002D741C">
              <w:rPr>
                <w:b/>
                <w:color w:val="000000"/>
                <w:sz w:val="22"/>
                <w:szCs w:val="22"/>
              </w:rPr>
              <w:t>D</w:t>
            </w:r>
            <w:smartTag w:uri="urn:schemas-microsoft-com:office:smarttags" w:element="PersonName">
              <w:r w:rsidRPr="002D741C">
                <w:rPr>
                  <w:b/>
                  <w:color w:val="000000"/>
                  <w:sz w:val="22"/>
                  <w:szCs w:val="22"/>
                </w:rPr>
                <w:t>E</w:t>
              </w:r>
            </w:smartTag>
          </w:smartTag>
          <w:r w:rsidRPr="002D741C">
            <w:rPr>
              <w:b/>
              <w:color w:val="000000"/>
              <w:sz w:val="22"/>
              <w:szCs w:val="22"/>
            </w:rPr>
            <w:t>L</w:t>
          </w:r>
        </w:smartTag>
      </w:smartTag>
      <w:r w:rsidRPr="002D741C">
        <w:rPr>
          <w:b/>
          <w:color w:val="000000"/>
          <w:sz w:val="22"/>
          <w:szCs w:val="22"/>
        </w:rPr>
        <w:t xml:space="preserve"> TEXTO</w:t>
      </w:r>
    </w:p>
    <w:p w14:paraId="56371579" w14:textId="77777777" w:rsidR="00FE4098" w:rsidRPr="002D741C" w:rsidRDefault="00FE4098" w:rsidP="00FE4098">
      <w:pPr>
        <w:widowControl w:val="0"/>
        <w:rPr>
          <w:color w:val="000000"/>
          <w:sz w:val="22"/>
          <w:szCs w:val="22"/>
        </w:rPr>
      </w:pPr>
    </w:p>
    <w:p w14:paraId="1A3F9CB9" w14:textId="77777777" w:rsidR="00BF346E" w:rsidRPr="002D741C" w:rsidRDefault="00BF346E" w:rsidP="00FE4098">
      <w:pPr>
        <w:widowControl w:val="0"/>
        <w:rPr>
          <w:color w:val="000000"/>
          <w:sz w:val="22"/>
          <w:szCs w:val="22"/>
        </w:rPr>
      </w:pPr>
    </w:p>
    <w:p w14:paraId="156C2FEA" w14:textId="77777777" w:rsidR="00FE4098" w:rsidRPr="002D741C" w:rsidRDefault="00FE4098" w:rsidP="00FE4098">
      <w:pPr>
        <w:widowControl w:val="0"/>
        <w:rPr>
          <w:color w:val="000000"/>
          <w:sz w:val="22"/>
          <w:szCs w:val="22"/>
        </w:rPr>
      </w:pPr>
      <w:r w:rsidRPr="002D741C">
        <w:rPr>
          <w:color w:val="000000"/>
          <w:sz w:val="22"/>
          <w:szCs w:val="22"/>
        </w:rPr>
        <w:t xml:space="preserve">La información detallada de este medicamento está disponible en la página web de </w:t>
      </w:r>
      <w:smartTag w:uri="urn:schemas-microsoft-com:office:smarttags" w:element="PersonName">
        <w:smartTagPr>
          <w:attr w:name="ProductID" w:val="la ￼￼￼￼Agencia Europea"/>
        </w:smartTagPr>
        <w:r w:rsidRPr="002D741C">
          <w:rPr>
            <w:color w:val="000000"/>
            <w:sz w:val="22"/>
            <w:szCs w:val="22"/>
          </w:rPr>
          <w:t>la Agencia Europea</w:t>
        </w:r>
      </w:smartTag>
      <w:r w:rsidRPr="002D741C">
        <w:rPr>
          <w:color w:val="000000"/>
          <w:sz w:val="22"/>
          <w:szCs w:val="22"/>
        </w:rPr>
        <w:t xml:space="preserve"> de Medicamentos </w:t>
      </w:r>
      <w:r w:rsidRPr="002D741C">
        <w:rPr>
          <w:noProof/>
          <w:color w:val="000000"/>
          <w:sz w:val="22"/>
          <w:szCs w:val="22"/>
        </w:rPr>
        <w:t>http://www.ema.europa.eu</w:t>
      </w:r>
      <w:r w:rsidR="00FE601B" w:rsidRPr="002D741C">
        <w:rPr>
          <w:noProof/>
          <w:color w:val="000000"/>
          <w:sz w:val="22"/>
          <w:szCs w:val="22"/>
        </w:rPr>
        <w:t>.</w:t>
      </w:r>
    </w:p>
    <w:p w14:paraId="7276DB27" w14:textId="77777777" w:rsidR="001A2F33" w:rsidRPr="002D741C" w:rsidRDefault="00DE24EB" w:rsidP="00382DCE">
      <w:pPr>
        <w:rPr>
          <w:color w:val="000000"/>
          <w:sz w:val="22"/>
          <w:szCs w:val="22"/>
        </w:rPr>
      </w:pPr>
      <w:r w:rsidRPr="002D741C">
        <w:rPr>
          <w:b/>
          <w:color w:val="000000"/>
          <w:sz w:val="22"/>
          <w:szCs w:val="22"/>
        </w:rPr>
        <w:br w:type="page"/>
      </w:r>
    </w:p>
    <w:p w14:paraId="54C25B61" w14:textId="77777777" w:rsidR="001A2F33" w:rsidRPr="002D741C" w:rsidRDefault="001A2F33" w:rsidP="006F58B7">
      <w:pPr>
        <w:ind w:right="1416"/>
        <w:outlineLvl w:val="0"/>
        <w:rPr>
          <w:color w:val="000000"/>
          <w:sz w:val="22"/>
          <w:szCs w:val="22"/>
        </w:rPr>
      </w:pPr>
    </w:p>
    <w:p w14:paraId="3F388DF3" w14:textId="77777777" w:rsidR="001A2F33" w:rsidRPr="002D741C" w:rsidRDefault="001A2F33" w:rsidP="006F58B7">
      <w:pPr>
        <w:ind w:right="1416"/>
        <w:outlineLvl w:val="0"/>
        <w:rPr>
          <w:color w:val="000000"/>
          <w:sz w:val="22"/>
          <w:szCs w:val="22"/>
        </w:rPr>
      </w:pPr>
    </w:p>
    <w:p w14:paraId="77AA8AD3" w14:textId="77777777" w:rsidR="001A2F33" w:rsidRPr="002D741C" w:rsidRDefault="001A2F33" w:rsidP="006F58B7">
      <w:pPr>
        <w:ind w:right="1416"/>
        <w:outlineLvl w:val="0"/>
        <w:rPr>
          <w:color w:val="000000"/>
          <w:sz w:val="22"/>
          <w:szCs w:val="22"/>
        </w:rPr>
      </w:pPr>
    </w:p>
    <w:p w14:paraId="649CC1E7" w14:textId="77777777" w:rsidR="001A2F33" w:rsidRPr="002D741C" w:rsidRDefault="001A2F33" w:rsidP="006F58B7">
      <w:pPr>
        <w:ind w:right="1416"/>
        <w:outlineLvl w:val="0"/>
        <w:rPr>
          <w:color w:val="000000"/>
          <w:sz w:val="22"/>
          <w:szCs w:val="22"/>
        </w:rPr>
      </w:pPr>
    </w:p>
    <w:p w14:paraId="6CC7A17E" w14:textId="77777777" w:rsidR="001A2F33" w:rsidRPr="002D741C" w:rsidRDefault="001A2F33" w:rsidP="006F58B7">
      <w:pPr>
        <w:ind w:right="1416"/>
        <w:outlineLvl w:val="0"/>
        <w:rPr>
          <w:color w:val="000000"/>
          <w:sz w:val="22"/>
          <w:szCs w:val="22"/>
        </w:rPr>
      </w:pPr>
    </w:p>
    <w:p w14:paraId="418B522A" w14:textId="77777777" w:rsidR="001A2F33" w:rsidRPr="002D741C" w:rsidRDefault="001A2F33" w:rsidP="006F58B7">
      <w:pPr>
        <w:ind w:right="1416"/>
        <w:outlineLvl w:val="0"/>
        <w:rPr>
          <w:color w:val="000000"/>
          <w:sz w:val="22"/>
          <w:szCs w:val="22"/>
        </w:rPr>
      </w:pPr>
    </w:p>
    <w:p w14:paraId="18DBE49C" w14:textId="77777777" w:rsidR="001A2F33" w:rsidRPr="002D741C" w:rsidRDefault="001A2F33" w:rsidP="006F58B7">
      <w:pPr>
        <w:ind w:right="1416"/>
        <w:outlineLvl w:val="0"/>
        <w:rPr>
          <w:color w:val="000000"/>
          <w:sz w:val="22"/>
          <w:szCs w:val="22"/>
        </w:rPr>
      </w:pPr>
    </w:p>
    <w:p w14:paraId="46DDF5DC" w14:textId="77777777" w:rsidR="001A2F33" w:rsidRPr="002D741C" w:rsidRDefault="001A2F33" w:rsidP="006F58B7">
      <w:pPr>
        <w:ind w:right="1416"/>
        <w:outlineLvl w:val="0"/>
        <w:rPr>
          <w:color w:val="000000"/>
          <w:sz w:val="22"/>
          <w:szCs w:val="22"/>
        </w:rPr>
      </w:pPr>
    </w:p>
    <w:p w14:paraId="4C2DD3CF" w14:textId="77777777" w:rsidR="001A2F33" w:rsidRPr="002D741C" w:rsidRDefault="001A2F33" w:rsidP="006F58B7">
      <w:pPr>
        <w:ind w:right="1416"/>
        <w:outlineLvl w:val="0"/>
        <w:rPr>
          <w:color w:val="000000"/>
          <w:sz w:val="22"/>
          <w:szCs w:val="22"/>
        </w:rPr>
      </w:pPr>
    </w:p>
    <w:p w14:paraId="152392B4" w14:textId="77777777" w:rsidR="001A2F33" w:rsidRPr="002D741C" w:rsidRDefault="001A2F33" w:rsidP="006F58B7">
      <w:pPr>
        <w:ind w:right="1416"/>
        <w:outlineLvl w:val="0"/>
        <w:rPr>
          <w:color w:val="000000"/>
          <w:sz w:val="22"/>
          <w:szCs w:val="22"/>
        </w:rPr>
      </w:pPr>
    </w:p>
    <w:p w14:paraId="10BFC974" w14:textId="77777777" w:rsidR="001A2F33" w:rsidRPr="002D741C" w:rsidRDefault="001A2F33" w:rsidP="006F58B7">
      <w:pPr>
        <w:ind w:right="1416"/>
        <w:outlineLvl w:val="0"/>
        <w:rPr>
          <w:color w:val="000000"/>
          <w:sz w:val="22"/>
          <w:szCs w:val="22"/>
        </w:rPr>
      </w:pPr>
    </w:p>
    <w:p w14:paraId="28A01440" w14:textId="77777777" w:rsidR="001A2F33" w:rsidRPr="002D741C" w:rsidRDefault="001A2F33" w:rsidP="006F58B7">
      <w:pPr>
        <w:ind w:right="1416"/>
        <w:outlineLvl w:val="0"/>
        <w:rPr>
          <w:color w:val="000000"/>
          <w:sz w:val="22"/>
          <w:szCs w:val="22"/>
        </w:rPr>
      </w:pPr>
    </w:p>
    <w:p w14:paraId="20359C11" w14:textId="77777777" w:rsidR="001A2F33" w:rsidRPr="002D741C" w:rsidRDefault="001A2F33" w:rsidP="006F58B7">
      <w:pPr>
        <w:ind w:right="1416"/>
        <w:outlineLvl w:val="0"/>
        <w:rPr>
          <w:color w:val="000000"/>
          <w:sz w:val="22"/>
          <w:szCs w:val="22"/>
        </w:rPr>
      </w:pPr>
    </w:p>
    <w:p w14:paraId="43B0F039" w14:textId="77777777" w:rsidR="001A2F33" w:rsidRPr="002D741C" w:rsidRDefault="001A2F33" w:rsidP="006F58B7">
      <w:pPr>
        <w:ind w:right="1416"/>
        <w:outlineLvl w:val="0"/>
        <w:rPr>
          <w:color w:val="000000"/>
          <w:sz w:val="22"/>
          <w:szCs w:val="22"/>
        </w:rPr>
      </w:pPr>
    </w:p>
    <w:p w14:paraId="75FC8F73" w14:textId="77777777" w:rsidR="001A2F33" w:rsidRPr="002D741C" w:rsidRDefault="001A2F33" w:rsidP="006F58B7">
      <w:pPr>
        <w:ind w:right="1416"/>
        <w:outlineLvl w:val="0"/>
        <w:rPr>
          <w:color w:val="000000"/>
          <w:sz w:val="22"/>
          <w:szCs w:val="22"/>
        </w:rPr>
      </w:pPr>
    </w:p>
    <w:p w14:paraId="75181953" w14:textId="77777777" w:rsidR="001A2F33" w:rsidRPr="002D741C" w:rsidRDefault="001A2F33" w:rsidP="006F58B7">
      <w:pPr>
        <w:ind w:right="1416"/>
        <w:outlineLvl w:val="0"/>
        <w:rPr>
          <w:color w:val="000000"/>
          <w:sz w:val="22"/>
          <w:szCs w:val="22"/>
        </w:rPr>
      </w:pPr>
    </w:p>
    <w:p w14:paraId="38906A62" w14:textId="77777777" w:rsidR="001A2F33" w:rsidRPr="002D741C" w:rsidRDefault="001A2F33" w:rsidP="006F58B7">
      <w:pPr>
        <w:ind w:right="1416"/>
        <w:outlineLvl w:val="0"/>
        <w:rPr>
          <w:color w:val="000000"/>
          <w:sz w:val="22"/>
          <w:szCs w:val="22"/>
        </w:rPr>
      </w:pPr>
    </w:p>
    <w:p w14:paraId="174DF45E" w14:textId="77777777" w:rsidR="001A2F33" w:rsidRPr="002D741C" w:rsidRDefault="001A2F33" w:rsidP="006F58B7">
      <w:pPr>
        <w:ind w:right="1416"/>
        <w:outlineLvl w:val="0"/>
        <w:rPr>
          <w:color w:val="000000"/>
          <w:sz w:val="22"/>
          <w:szCs w:val="22"/>
        </w:rPr>
      </w:pPr>
    </w:p>
    <w:p w14:paraId="24A4678F" w14:textId="77777777" w:rsidR="001A2F33" w:rsidRPr="002D741C" w:rsidRDefault="001A2F33" w:rsidP="006F58B7">
      <w:pPr>
        <w:ind w:right="1416"/>
        <w:outlineLvl w:val="0"/>
        <w:rPr>
          <w:color w:val="000000"/>
          <w:sz w:val="22"/>
          <w:szCs w:val="22"/>
        </w:rPr>
      </w:pPr>
    </w:p>
    <w:p w14:paraId="52258F45" w14:textId="77777777" w:rsidR="001A2F33" w:rsidRPr="002D741C" w:rsidRDefault="001A2F33" w:rsidP="006F58B7">
      <w:pPr>
        <w:ind w:right="1416"/>
        <w:outlineLvl w:val="0"/>
        <w:rPr>
          <w:color w:val="000000"/>
          <w:sz w:val="22"/>
          <w:szCs w:val="22"/>
        </w:rPr>
      </w:pPr>
    </w:p>
    <w:p w14:paraId="05F63E5C" w14:textId="77777777" w:rsidR="001A2F33" w:rsidRPr="002D741C" w:rsidRDefault="001A2F33" w:rsidP="006F58B7">
      <w:pPr>
        <w:ind w:right="1416"/>
        <w:outlineLvl w:val="0"/>
        <w:rPr>
          <w:color w:val="000000"/>
          <w:sz w:val="22"/>
          <w:szCs w:val="22"/>
        </w:rPr>
      </w:pPr>
    </w:p>
    <w:p w14:paraId="52C2FF4D" w14:textId="77777777" w:rsidR="001A2F33" w:rsidRDefault="001A2F33" w:rsidP="006F58B7">
      <w:pPr>
        <w:ind w:right="1416"/>
        <w:outlineLvl w:val="0"/>
        <w:rPr>
          <w:color w:val="000000"/>
          <w:sz w:val="22"/>
          <w:szCs w:val="22"/>
        </w:rPr>
      </w:pPr>
    </w:p>
    <w:p w14:paraId="1DC90970" w14:textId="77777777" w:rsidR="004E0E63" w:rsidRPr="002D741C" w:rsidRDefault="004E0E63" w:rsidP="006F58B7">
      <w:pPr>
        <w:ind w:right="1416"/>
        <w:outlineLvl w:val="0"/>
        <w:rPr>
          <w:color w:val="000000"/>
          <w:sz w:val="22"/>
          <w:szCs w:val="22"/>
        </w:rPr>
      </w:pPr>
    </w:p>
    <w:p w14:paraId="447BC6B5" w14:textId="77777777" w:rsidR="0040333F" w:rsidRPr="002D741C" w:rsidRDefault="0040333F" w:rsidP="0040333F">
      <w:pPr>
        <w:ind w:right="1416"/>
        <w:jc w:val="center"/>
        <w:outlineLvl w:val="0"/>
        <w:rPr>
          <w:b/>
          <w:color w:val="000000"/>
          <w:sz w:val="22"/>
          <w:szCs w:val="22"/>
        </w:rPr>
      </w:pPr>
      <w:r w:rsidRPr="002D741C">
        <w:rPr>
          <w:b/>
          <w:color w:val="000000"/>
          <w:sz w:val="22"/>
          <w:szCs w:val="22"/>
        </w:rPr>
        <w:t>ANEXO II</w:t>
      </w:r>
    </w:p>
    <w:p w14:paraId="5B82F05C" w14:textId="77777777" w:rsidR="0040333F" w:rsidRPr="002D741C" w:rsidRDefault="0040333F" w:rsidP="0040333F">
      <w:pPr>
        <w:ind w:right="1416"/>
        <w:rPr>
          <w:color w:val="000000"/>
          <w:sz w:val="22"/>
          <w:szCs w:val="22"/>
        </w:rPr>
      </w:pPr>
    </w:p>
    <w:p w14:paraId="494BD4C2" w14:textId="77777777" w:rsidR="0040333F" w:rsidRPr="002D741C" w:rsidRDefault="00A06D26" w:rsidP="00A06D26">
      <w:pPr>
        <w:tabs>
          <w:tab w:val="left" w:pos="1701"/>
        </w:tabs>
        <w:ind w:left="1701" w:right="1418" w:hanging="567"/>
        <w:rPr>
          <w:color w:val="000000"/>
          <w:sz w:val="22"/>
          <w:szCs w:val="22"/>
        </w:rPr>
      </w:pPr>
      <w:r w:rsidRPr="002D741C">
        <w:rPr>
          <w:b/>
          <w:color w:val="000000"/>
          <w:sz w:val="22"/>
          <w:szCs w:val="22"/>
        </w:rPr>
        <w:t>A.</w:t>
      </w:r>
      <w:r w:rsidRPr="002D741C">
        <w:rPr>
          <w:b/>
          <w:color w:val="000000"/>
          <w:sz w:val="22"/>
          <w:szCs w:val="22"/>
        </w:rPr>
        <w:tab/>
      </w:r>
      <w:r w:rsidR="0040333F" w:rsidRPr="002D741C">
        <w:rPr>
          <w:b/>
          <w:color w:val="000000"/>
          <w:sz w:val="22"/>
          <w:szCs w:val="22"/>
        </w:rPr>
        <w:t xml:space="preserve">FABRICANTE RESPONSABLE </w:t>
      </w:r>
      <w:smartTag w:uri="urn:schemas-microsoft-com:office:smarttags" w:element="PersonName">
        <w:r w:rsidR="0040333F" w:rsidRPr="002D741C">
          <w:rPr>
            <w:b/>
            <w:color w:val="000000"/>
            <w:sz w:val="22"/>
            <w:szCs w:val="22"/>
          </w:rPr>
          <w:t>DE</w:t>
        </w:r>
      </w:smartTag>
      <w:r w:rsidR="0040333F" w:rsidRPr="002D741C">
        <w:rPr>
          <w:b/>
          <w:color w:val="000000"/>
          <w:sz w:val="22"/>
          <w:szCs w:val="22"/>
        </w:rPr>
        <w:t xml:space="preserve"> </w:t>
      </w:r>
      <w:smartTag w:uri="urn:schemas-microsoft-com:office:smarttags" w:element="PersonName">
        <w:smartTagPr>
          <w:attr w:name="ProductID" w:val="LA LIBERACIￓN DE"/>
        </w:smartTagPr>
        <w:r w:rsidR="0040333F" w:rsidRPr="002D741C">
          <w:rPr>
            <w:b/>
            <w:color w:val="000000"/>
            <w:sz w:val="22"/>
            <w:szCs w:val="22"/>
          </w:rPr>
          <w:t xml:space="preserve">LA LIBERACIÓN </w:t>
        </w:r>
        <w:smartTag w:uri="urn:schemas-microsoft-com:office:smarttags" w:element="PersonName">
          <w:r w:rsidR="0040333F" w:rsidRPr="002D741C">
            <w:rPr>
              <w:b/>
              <w:color w:val="000000"/>
              <w:sz w:val="22"/>
              <w:szCs w:val="22"/>
            </w:rPr>
            <w:t>DE</w:t>
          </w:r>
        </w:smartTag>
      </w:smartTag>
      <w:r w:rsidR="0040333F" w:rsidRPr="002D741C">
        <w:rPr>
          <w:b/>
          <w:color w:val="000000"/>
          <w:sz w:val="22"/>
          <w:szCs w:val="22"/>
        </w:rPr>
        <w:t xml:space="preserve"> LOS LOTES</w:t>
      </w:r>
    </w:p>
    <w:p w14:paraId="7D2E006C" w14:textId="77777777" w:rsidR="0040333F" w:rsidRPr="002D741C" w:rsidRDefault="0040333F" w:rsidP="0040333F">
      <w:pPr>
        <w:ind w:right="1418"/>
        <w:rPr>
          <w:color w:val="000000"/>
          <w:sz w:val="22"/>
          <w:szCs w:val="22"/>
        </w:rPr>
      </w:pPr>
    </w:p>
    <w:p w14:paraId="68D3294A" w14:textId="77777777" w:rsidR="0040333F" w:rsidRPr="002D741C" w:rsidRDefault="00A06D26" w:rsidP="00A06D26">
      <w:pPr>
        <w:tabs>
          <w:tab w:val="left" w:pos="1701"/>
        </w:tabs>
        <w:ind w:left="1701" w:right="1418" w:hanging="567"/>
        <w:rPr>
          <w:b/>
          <w:color w:val="000000"/>
          <w:sz w:val="22"/>
          <w:szCs w:val="22"/>
        </w:rPr>
      </w:pPr>
      <w:r w:rsidRPr="002D741C">
        <w:rPr>
          <w:b/>
          <w:color w:val="000000"/>
          <w:sz w:val="22"/>
          <w:szCs w:val="22"/>
        </w:rPr>
        <w:t>B.</w:t>
      </w:r>
      <w:r w:rsidRPr="002D741C">
        <w:rPr>
          <w:b/>
          <w:color w:val="000000"/>
          <w:sz w:val="22"/>
          <w:szCs w:val="22"/>
        </w:rPr>
        <w:tab/>
      </w:r>
      <w:r w:rsidR="0040333F" w:rsidRPr="002D741C">
        <w:rPr>
          <w:b/>
          <w:color w:val="000000"/>
          <w:sz w:val="22"/>
          <w:szCs w:val="22"/>
        </w:rPr>
        <w:t xml:space="preserve">CONDICIONES O RESTRICCIONES </w:t>
      </w:r>
      <w:smartTag w:uri="urn:schemas-microsoft-com:office:smarttags" w:element="PersonName">
        <w:r w:rsidR="0040333F" w:rsidRPr="002D741C">
          <w:rPr>
            <w:b/>
            <w:color w:val="000000"/>
            <w:sz w:val="22"/>
            <w:szCs w:val="22"/>
          </w:rPr>
          <w:t>DE</w:t>
        </w:r>
      </w:smartTag>
      <w:r w:rsidR="0040333F" w:rsidRPr="002D741C">
        <w:rPr>
          <w:b/>
          <w:color w:val="000000"/>
          <w:sz w:val="22"/>
          <w:szCs w:val="22"/>
        </w:rPr>
        <w:t xml:space="preserve"> SUMIN</w:t>
      </w:r>
      <w:smartTag w:uri="urn:schemas-microsoft-com:office:smarttags" w:element="PersonName">
        <w:r w:rsidR="0040333F" w:rsidRPr="002D741C">
          <w:rPr>
            <w:b/>
            <w:color w:val="000000"/>
            <w:sz w:val="22"/>
            <w:szCs w:val="22"/>
          </w:rPr>
          <w:t>IS</w:t>
        </w:r>
      </w:smartTag>
      <w:r w:rsidR="0040333F" w:rsidRPr="002D741C">
        <w:rPr>
          <w:b/>
          <w:color w:val="000000"/>
          <w:sz w:val="22"/>
          <w:szCs w:val="22"/>
        </w:rPr>
        <w:t>T</w:t>
      </w:r>
      <w:smartTag w:uri="urn:schemas-microsoft-com:office:smarttags" w:element="PersonName">
        <w:r w:rsidR="0040333F" w:rsidRPr="002D741C">
          <w:rPr>
            <w:b/>
            <w:color w:val="000000"/>
            <w:sz w:val="22"/>
            <w:szCs w:val="22"/>
          </w:rPr>
          <w:t>RO</w:t>
        </w:r>
      </w:smartTag>
      <w:r w:rsidR="0040333F" w:rsidRPr="002D741C">
        <w:rPr>
          <w:b/>
          <w:color w:val="000000"/>
          <w:sz w:val="22"/>
          <w:szCs w:val="22"/>
        </w:rPr>
        <w:t xml:space="preserve"> Y USO</w:t>
      </w:r>
    </w:p>
    <w:p w14:paraId="07E3F80B" w14:textId="77777777" w:rsidR="0040333F" w:rsidRPr="002D741C" w:rsidRDefault="0040333F" w:rsidP="0040333F">
      <w:pPr>
        <w:pStyle w:val="ListParagraph"/>
        <w:ind w:left="0"/>
        <w:rPr>
          <w:color w:val="000000"/>
          <w:sz w:val="22"/>
          <w:szCs w:val="22"/>
        </w:rPr>
      </w:pPr>
    </w:p>
    <w:p w14:paraId="4FAF70A6" w14:textId="77777777" w:rsidR="0040333F" w:rsidRPr="002D741C" w:rsidRDefault="00A06D26" w:rsidP="00A06D26">
      <w:pPr>
        <w:tabs>
          <w:tab w:val="left" w:pos="1701"/>
        </w:tabs>
        <w:ind w:left="1701" w:right="1418" w:hanging="567"/>
        <w:rPr>
          <w:b/>
          <w:color w:val="000000"/>
          <w:sz w:val="22"/>
          <w:szCs w:val="22"/>
        </w:rPr>
      </w:pPr>
      <w:r w:rsidRPr="002D741C">
        <w:rPr>
          <w:b/>
          <w:color w:val="000000"/>
          <w:sz w:val="22"/>
          <w:szCs w:val="22"/>
        </w:rPr>
        <w:t>C.</w:t>
      </w:r>
      <w:r w:rsidRPr="002D741C">
        <w:rPr>
          <w:b/>
          <w:color w:val="000000"/>
          <w:sz w:val="22"/>
          <w:szCs w:val="22"/>
        </w:rPr>
        <w:tab/>
      </w:r>
      <w:r w:rsidR="0040333F" w:rsidRPr="002D741C">
        <w:rPr>
          <w:b/>
          <w:color w:val="000000"/>
          <w:sz w:val="22"/>
          <w:szCs w:val="22"/>
        </w:rPr>
        <w:t>OTRAS CONDICIONES Y REQU</w:t>
      </w:r>
      <w:smartTag w:uri="urn:schemas-microsoft-com:office:smarttags" w:element="PersonName">
        <w:r w:rsidR="0040333F" w:rsidRPr="002D741C">
          <w:rPr>
            <w:b/>
            <w:color w:val="000000"/>
            <w:sz w:val="22"/>
            <w:szCs w:val="22"/>
          </w:rPr>
          <w:t>I</w:t>
        </w:r>
        <w:smartTag w:uri="urn:schemas-microsoft-com:office:smarttags" w:element="PersonName">
          <w:r w:rsidR="0040333F" w:rsidRPr="002D741C">
            <w:rPr>
              <w:b/>
              <w:color w:val="000000"/>
              <w:sz w:val="22"/>
              <w:szCs w:val="22"/>
            </w:rPr>
            <w:t>S</w:t>
          </w:r>
        </w:smartTag>
      </w:smartTag>
      <w:smartTag w:uri="urn:schemas-microsoft-com:office:smarttags" w:element="PersonName">
        <w:r w:rsidR="0040333F" w:rsidRPr="002D741C">
          <w:rPr>
            <w:b/>
            <w:color w:val="000000"/>
            <w:sz w:val="22"/>
            <w:szCs w:val="22"/>
          </w:rPr>
          <w:t>IT</w:t>
        </w:r>
      </w:smartTag>
      <w:r w:rsidR="0040333F" w:rsidRPr="002D741C">
        <w:rPr>
          <w:b/>
          <w:color w:val="000000"/>
          <w:sz w:val="22"/>
          <w:szCs w:val="22"/>
        </w:rPr>
        <w:t xml:space="preserve">OS </w:t>
      </w:r>
      <w:smartTag w:uri="urn:schemas-microsoft-com:office:smarttags" w:element="PersonName">
        <w:r w:rsidR="0040333F" w:rsidRPr="002D741C">
          <w:rPr>
            <w:b/>
            <w:color w:val="000000"/>
            <w:sz w:val="22"/>
            <w:szCs w:val="22"/>
          </w:rPr>
          <w:t>DE</w:t>
        </w:r>
      </w:smartTag>
      <w:r w:rsidR="0040333F" w:rsidRPr="002D741C">
        <w:rPr>
          <w:b/>
          <w:color w:val="000000"/>
          <w:sz w:val="22"/>
          <w:szCs w:val="22"/>
        </w:rPr>
        <w:t xml:space="preserve"> </w:t>
      </w:r>
      <w:smartTag w:uri="urn:schemas-microsoft-com:office:smarttags" w:element="PersonName">
        <w:smartTagPr>
          <w:attr w:name="ProductID" w:val="LA AUTORIZACIￓN DE"/>
        </w:smartTagPr>
        <w:r w:rsidR="0040333F" w:rsidRPr="002D741C">
          <w:rPr>
            <w:b/>
            <w:color w:val="000000"/>
            <w:sz w:val="22"/>
            <w:szCs w:val="22"/>
          </w:rPr>
          <w:t xml:space="preserve">LA AUTORIZACIÓN </w:t>
        </w:r>
        <w:smartTag w:uri="urn:schemas-microsoft-com:office:smarttags" w:element="PersonName">
          <w:r w:rsidR="0040333F" w:rsidRPr="002D741C">
            <w:rPr>
              <w:b/>
              <w:color w:val="000000"/>
              <w:sz w:val="22"/>
              <w:szCs w:val="22"/>
            </w:rPr>
            <w:t>DE</w:t>
          </w:r>
        </w:smartTag>
      </w:smartTag>
      <w:r w:rsidR="0040333F" w:rsidRPr="002D741C">
        <w:rPr>
          <w:b/>
          <w:color w:val="000000"/>
          <w:sz w:val="22"/>
          <w:szCs w:val="22"/>
        </w:rPr>
        <w:t xml:space="preserve"> COMERCIALIZACIÓN</w:t>
      </w:r>
    </w:p>
    <w:p w14:paraId="1881620E" w14:textId="77777777" w:rsidR="000C68BA" w:rsidRPr="002D741C" w:rsidRDefault="000C68BA" w:rsidP="0040333F">
      <w:pPr>
        <w:ind w:left="567" w:hanging="567"/>
        <w:rPr>
          <w:color w:val="000000"/>
          <w:sz w:val="22"/>
          <w:szCs w:val="22"/>
        </w:rPr>
      </w:pPr>
    </w:p>
    <w:p w14:paraId="369B6D15" w14:textId="77777777" w:rsidR="00B80030" w:rsidRPr="002D741C" w:rsidRDefault="000C68BA" w:rsidP="00B80030">
      <w:pPr>
        <w:ind w:left="1701" w:hanging="567"/>
        <w:rPr>
          <w:b/>
          <w:color w:val="000000"/>
          <w:sz w:val="22"/>
          <w:szCs w:val="22"/>
        </w:rPr>
      </w:pPr>
      <w:r w:rsidRPr="002D741C">
        <w:rPr>
          <w:b/>
          <w:color w:val="000000"/>
          <w:sz w:val="22"/>
          <w:szCs w:val="22"/>
        </w:rPr>
        <w:t>D.</w:t>
      </w:r>
      <w:r w:rsidRPr="002D741C">
        <w:rPr>
          <w:b/>
          <w:color w:val="000000"/>
          <w:sz w:val="22"/>
          <w:szCs w:val="22"/>
        </w:rPr>
        <w:tab/>
        <w:t xml:space="preserve">CONDICIONES O RESTRICCIONES </w:t>
      </w:r>
      <w:r w:rsidR="00665FA8" w:rsidRPr="002D741C">
        <w:rPr>
          <w:b/>
          <w:color w:val="000000"/>
          <w:sz w:val="22"/>
          <w:szCs w:val="22"/>
        </w:rPr>
        <w:t>EN R</w:t>
      </w:r>
      <w:smartTag w:uri="urn:schemas-microsoft-com:office:smarttags" w:element="PersonName">
        <w:r w:rsidR="00665FA8" w:rsidRPr="002D741C">
          <w:rPr>
            <w:b/>
            <w:color w:val="000000"/>
            <w:sz w:val="22"/>
            <w:szCs w:val="22"/>
          </w:rPr>
          <w:t>EL</w:t>
        </w:r>
      </w:smartTag>
      <w:r w:rsidR="00665FA8" w:rsidRPr="002D741C">
        <w:rPr>
          <w:b/>
          <w:color w:val="000000"/>
          <w:sz w:val="22"/>
          <w:szCs w:val="22"/>
        </w:rPr>
        <w:t xml:space="preserve">ACIÓN CON </w:t>
      </w:r>
      <w:smartTag w:uri="urn:schemas-microsoft-com:office:smarttags" w:element="PersonName">
        <w:smartTagPr>
          <w:attr w:name="ProductID" w:val="LA UTILIZACIￓN SEGURA"/>
        </w:smartTagPr>
        <w:r w:rsidR="00665FA8" w:rsidRPr="002D741C">
          <w:rPr>
            <w:b/>
            <w:color w:val="000000"/>
            <w:sz w:val="22"/>
            <w:szCs w:val="22"/>
          </w:rPr>
          <w:t xml:space="preserve">LA UTILIZACIÓN </w:t>
        </w:r>
        <w:smartTag w:uri="urn:schemas-microsoft-com:office:smarttags" w:element="PersonName">
          <w:r w:rsidR="00665FA8" w:rsidRPr="002D741C">
            <w:rPr>
              <w:b/>
              <w:color w:val="000000"/>
              <w:sz w:val="22"/>
              <w:szCs w:val="22"/>
            </w:rPr>
            <w:t>SE</w:t>
          </w:r>
        </w:smartTag>
        <w:r w:rsidR="00665FA8" w:rsidRPr="002D741C">
          <w:rPr>
            <w:b/>
            <w:color w:val="000000"/>
            <w:sz w:val="22"/>
            <w:szCs w:val="22"/>
          </w:rPr>
          <w:t>GURA</w:t>
        </w:r>
      </w:smartTag>
      <w:r w:rsidRPr="002D741C">
        <w:rPr>
          <w:b/>
          <w:color w:val="000000"/>
          <w:sz w:val="22"/>
          <w:szCs w:val="22"/>
        </w:rPr>
        <w:t xml:space="preserve"> Y E</w:t>
      </w:r>
      <w:smartTag w:uri="urn:schemas-microsoft-com:office:smarttags" w:element="PersonName">
        <w:r w:rsidRPr="002D741C">
          <w:rPr>
            <w:b/>
            <w:color w:val="000000"/>
            <w:sz w:val="22"/>
            <w:szCs w:val="22"/>
          </w:rPr>
          <w:t>FI</w:t>
        </w:r>
      </w:smartTag>
      <w:r w:rsidRPr="002D741C">
        <w:rPr>
          <w:b/>
          <w:color w:val="000000"/>
          <w:sz w:val="22"/>
          <w:szCs w:val="22"/>
        </w:rPr>
        <w:t xml:space="preserve">CAZ </w:t>
      </w:r>
      <w:smartTag w:uri="urn:schemas-microsoft-com:office:smarttags" w:element="PersonName">
        <w:r w:rsidRPr="002D741C">
          <w:rPr>
            <w:b/>
            <w:color w:val="000000"/>
            <w:sz w:val="22"/>
            <w:szCs w:val="22"/>
          </w:rPr>
          <w:t>D</w:t>
        </w:r>
        <w:smartTag w:uri="urn:schemas-microsoft-com:office:smarttags" w:element="PersonName">
          <w:r w:rsidRPr="002D741C">
            <w:rPr>
              <w:b/>
              <w:color w:val="000000"/>
              <w:sz w:val="22"/>
              <w:szCs w:val="22"/>
            </w:rPr>
            <w:t>E</w:t>
          </w:r>
        </w:smartTag>
      </w:smartTag>
      <w:r w:rsidRPr="002D741C">
        <w:rPr>
          <w:b/>
          <w:color w:val="000000"/>
          <w:sz w:val="22"/>
          <w:szCs w:val="22"/>
        </w:rPr>
        <w:t>L MEDICAMENTO.</w:t>
      </w:r>
    </w:p>
    <w:p w14:paraId="03B488BD" w14:textId="77777777" w:rsidR="0040333F" w:rsidRPr="002D741C" w:rsidRDefault="0040333F" w:rsidP="00B80030">
      <w:pPr>
        <w:ind w:left="567" w:hanging="567"/>
        <w:rPr>
          <w:color w:val="000000"/>
          <w:sz w:val="22"/>
          <w:szCs w:val="22"/>
        </w:rPr>
      </w:pPr>
      <w:r w:rsidRPr="002D741C">
        <w:rPr>
          <w:color w:val="000000"/>
          <w:sz w:val="22"/>
          <w:szCs w:val="22"/>
        </w:rPr>
        <w:br w:type="page"/>
      </w:r>
      <w:r w:rsidRPr="002D741C">
        <w:rPr>
          <w:b/>
          <w:color w:val="000000"/>
          <w:sz w:val="22"/>
          <w:szCs w:val="22"/>
        </w:rPr>
        <w:lastRenderedPageBreak/>
        <w:t>A.</w:t>
      </w:r>
      <w:r w:rsidRPr="002D741C">
        <w:rPr>
          <w:b/>
          <w:color w:val="000000"/>
          <w:sz w:val="22"/>
          <w:szCs w:val="22"/>
        </w:rPr>
        <w:tab/>
        <w:t xml:space="preserve">FABRICANTE RESPONSABLE </w:t>
      </w:r>
      <w:smartTag w:uri="urn:schemas-microsoft-com:office:smarttags" w:element="PersonName">
        <w:r w:rsidRPr="002D741C">
          <w:rPr>
            <w:b/>
            <w:color w:val="000000"/>
            <w:sz w:val="22"/>
            <w:szCs w:val="22"/>
          </w:rPr>
          <w:t>DE</w:t>
        </w:r>
      </w:smartTag>
      <w:r w:rsidRPr="002D741C">
        <w:rPr>
          <w:b/>
          <w:color w:val="000000"/>
          <w:sz w:val="22"/>
          <w:szCs w:val="22"/>
        </w:rPr>
        <w:t xml:space="preserve"> </w:t>
      </w:r>
      <w:smartTag w:uri="urn:schemas-microsoft-com:office:smarttags" w:element="PersonName">
        <w:smartTagPr>
          <w:attr w:name="ProductID" w:val="LA LIBERACIￓN DE"/>
        </w:smartTagPr>
        <w:r w:rsidRPr="002D741C">
          <w:rPr>
            <w:b/>
            <w:color w:val="000000"/>
            <w:sz w:val="22"/>
            <w:szCs w:val="22"/>
          </w:rPr>
          <w:t xml:space="preserve">LA LIBERACIÓN </w:t>
        </w:r>
        <w:smartTag w:uri="urn:schemas-microsoft-com:office:smarttags" w:element="PersonName">
          <w:r w:rsidRPr="002D741C">
            <w:rPr>
              <w:b/>
              <w:color w:val="000000"/>
              <w:sz w:val="22"/>
              <w:szCs w:val="22"/>
            </w:rPr>
            <w:t>DE</w:t>
          </w:r>
        </w:smartTag>
      </w:smartTag>
      <w:r w:rsidRPr="002D741C">
        <w:rPr>
          <w:b/>
          <w:color w:val="000000"/>
          <w:sz w:val="22"/>
          <w:szCs w:val="22"/>
        </w:rPr>
        <w:t xml:space="preserve"> LOS LOTES</w:t>
      </w:r>
    </w:p>
    <w:p w14:paraId="3FEE606D" w14:textId="77777777" w:rsidR="0040333F" w:rsidRPr="002D741C" w:rsidRDefault="0040333F" w:rsidP="0040333F">
      <w:pPr>
        <w:numPr>
          <w:ilvl w:val="12"/>
          <w:numId w:val="0"/>
        </w:numPr>
        <w:ind w:right="1416"/>
        <w:rPr>
          <w:color w:val="000000"/>
          <w:sz w:val="22"/>
          <w:szCs w:val="22"/>
        </w:rPr>
      </w:pPr>
    </w:p>
    <w:p w14:paraId="36F5FE0E" w14:textId="77777777" w:rsidR="0040333F" w:rsidRPr="002D741C" w:rsidRDefault="0040333F" w:rsidP="0040333F">
      <w:pPr>
        <w:numPr>
          <w:ilvl w:val="12"/>
          <w:numId w:val="0"/>
        </w:numPr>
        <w:outlineLvl w:val="0"/>
        <w:rPr>
          <w:color w:val="000000"/>
          <w:sz w:val="22"/>
          <w:szCs w:val="22"/>
          <w:u w:val="single"/>
        </w:rPr>
      </w:pPr>
      <w:r w:rsidRPr="002D741C">
        <w:rPr>
          <w:color w:val="000000"/>
          <w:sz w:val="22"/>
          <w:szCs w:val="22"/>
          <w:u w:val="single"/>
        </w:rPr>
        <w:t>Nombre y dirección del fabricante responsable de la liberación de los lotes</w:t>
      </w:r>
    </w:p>
    <w:p w14:paraId="16202B5E" w14:textId="77777777" w:rsidR="0040333F" w:rsidRPr="00340A34" w:rsidRDefault="0040333F" w:rsidP="0040333F">
      <w:pPr>
        <w:numPr>
          <w:ilvl w:val="12"/>
          <w:numId w:val="0"/>
        </w:numPr>
        <w:rPr>
          <w:color w:val="000000"/>
          <w:sz w:val="22"/>
          <w:szCs w:val="22"/>
        </w:rPr>
      </w:pPr>
    </w:p>
    <w:p w14:paraId="6B2C652D" w14:textId="77777777" w:rsidR="00340A34" w:rsidRPr="003A7F55" w:rsidRDefault="00340A34" w:rsidP="00340A34">
      <w:pPr>
        <w:widowControl w:val="0"/>
        <w:tabs>
          <w:tab w:val="left" w:pos="7513"/>
        </w:tabs>
        <w:rPr>
          <w:color w:val="000000"/>
          <w:sz w:val="22"/>
          <w:szCs w:val="22"/>
          <w:lang w:val="fr-CH"/>
        </w:rPr>
      </w:pPr>
      <w:r w:rsidRPr="003A7F55">
        <w:rPr>
          <w:color w:val="000000"/>
          <w:sz w:val="22"/>
          <w:szCs w:val="22"/>
          <w:lang w:val="fr-CH"/>
        </w:rPr>
        <w:t>Lek d.d, PE PROIZVODNJA LENDAVA</w:t>
      </w:r>
    </w:p>
    <w:p w14:paraId="213259BF" w14:textId="77777777" w:rsidR="00340A34" w:rsidRPr="00340A34" w:rsidRDefault="00340A34" w:rsidP="00340A34">
      <w:pPr>
        <w:widowControl w:val="0"/>
        <w:tabs>
          <w:tab w:val="left" w:pos="7513"/>
        </w:tabs>
        <w:rPr>
          <w:color w:val="000000"/>
          <w:sz w:val="22"/>
          <w:szCs w:val="22"/>
          <w:lang w:val="fr-CH"/>
        </w:rPr>
      </w:pPr>
      <w:r w:rsidRPr="00340A34">
        <w:rPr>
          <w:color w:val="000000"/>
          <w:sz w:val="22"/>
          <w:szCs w:val="22"/>
          <w:lang w:val="fr-CH"/>
        </w:rPr>
        <w:t>Trimlini 2D</w:t>
      </w:r>
    </w:p>
    <w:p w14:paraId="23A9CB88" w14:textId="77777777" w:rsidR="00340A34" w:rsidRPr="008D0368" w:rsidRDefault="00340A34" w:rsidP="00340A34">
      <w:pPr>
        <w:widowControl w:val="0"/>
        <w:tabs>
          <w:tab w:val="left" w:pos="7513"/>
        </w:tabs>
        <w:rPr>
          <w:color w:val="000000"/>
          <w:sz w:val="22"/>
          <w:szCs w:val="22"/>
          <w:lang w:val="es-ES"/>
        </w:rPr>
      </w:pPr>
      <w:r w:rsidRPr="008D0368">
        <w:rPr>
          <w:color w:val="000000"/>
          <w:sz w:val="22"/>
          <w:szCs w:val="22"/>
          <w:lang w:val="es-ES"/>
        </w:rPr>
        <w:t>Lendava, 9220</w:t>
      </w:r>
    </w:p>
    <w:p w14:paraId="43F1DD66" w14:textId="77777777" w:rsidR="00340A34" w:rsidRPr="00340A34" w:rsidRDefault="00340A34" w:rsidP="00340A34">
      <w:pPr>
        <w:widowControl w:val="0"/>
        <w:tabs>
          <w:tab w:val="left" w:pos="7513"/>
        </w:tabs>
        <w:rPr>
          <w:color w:val="000000"/>
          <w:sz w:val="22"/>
          <w:szCs w:val="22"/>
          <w:lang w:val="pt-BR"/>
        </w:rPr>
      </w:pPr>
      <w:r w:rsidRPr="008D0368">
        <w:rPr>
          <w:color w:val="000000"/>
          <w:sz w:val="22"/>
          <w:szCs w:val="22"/>
          <w:lang w:val="es-ES"/>
        </w:rPr>
        <w:t>Eslovenia</w:t>
      </w:r>
    </w:p>
    <w:p w14:paraId="30C7665A" w14:textId="77777777" w:rsidR="00340A34" w:rsidRPr="00340A34" w:rsidRDefault="00340A34" w:rsidP="00340A34">
      <w:pPr>
        <w:widowControl w:val="0"/>
        <w:tabs>
          <w:tab w:val="left" w:pos="7513"/>
        </w:tabs>
        <w:rPr>
          <w:color w:val="000000"/>
          <w:sz w:val="22"/>
          <w:szCs w:val="22"/>
          <w:lang w:val="pt-BR"/>
        </w:rPr>
      </w:pPr>
    </w:p>
    <w:p w14:paraId="6CAE4B6E" w14:textId="77777777" w:rsidR="0040333F" w:rsidRPr="008D0368" w:rsidRDefault="0040333F" w:rsidP="0040333F">
      <w:pPr>
        <w:numPr>
          <w:ilvl w:val="12"/>
          <w:numId w:val="0"/>
        </w:numPr>
        <w:rPr>
          <w:color w:val="000000"/>
          <w:sz w:val="22"/>
          <w:szCs w:val="22"/>
          <w:lang w:val="es-ES"/>
        </w:rPr>
      </w:pPr>
      <w:r w:rsidRPr="008D0368">
        <w:rPr>
          <w:color w:val="000000"/>
          <w:sz w:val="22"/>
          <w:szCs w:val="22"/>
          <w:lang w:val="es-ES"/>
        </w:rPr>
        <w:t>Novartis Pharma GmbH</w:t>
      </w:r>
    </w:p>
    <w:p w14:paraId="7590B8C3" w14:textId="77777777" w:rsidR="0040333F" w:rsidRPr="008D0368" w:rsidRDefault="0040333F" w:rsidP="0040333F">
      <w:pPr>
        <w:numPr>
          <w:ilvl w:val="12"/>
          <w:numId w:val="0"/>
        </w:numPr>
        <w:rPr>
          <w:color w:val="000000"/>
          <w:sz w:val="22"/>
          <w:szCs w:val="22"/>
          <w:lang w:val="es-ES"/>
        </w:rPr>
      </w:pPr>
      <w:r w:rsidRPr="008D0368">
        <w:rPr>
          <w:color w:val="000000"/>
          <w:sz w:val="22"/>
          <w:szCs w:val="22"/>
          <w:lang w:val="es-ES"/>
        </w:rPr>
        <w:t>Roonstrasse 25,</w:t>
      </w:r>
    </w:p>
    <w:p w14:paraId="4C0D1025" w14:textId="77777777" w:rsidR="0040333F" w:rsidRPr="008D0368" w:rsidRDefault="0040333F" w:rsidP="0040333F">
      <w:pPr>
        <w:numPr>
          <w:ilvl w:val="12"/>
          <w:numId w:val="0"/>
        </w:numPr>
        <w:rPr>
          <w:color w:val="000000"/>
          <w:sz w:val="22"/>
          <w:szCs w:val="22"/>
          <w:lang w:val="es-ES"/>
        </w:rPr>
      </w:pPr>
      <w:r w:rsidRPr="008D0368">
        <w:rPr>
          <w:color w:val="000000"/>
          <w:sz w:val="22"/>
          <w:szCs w:val="22"/>
          <w:lang w:val="es-ES"/>
        </w:rPr>
        <w:t>D-90429 Nürnberg</w:t>
      </w:r>
    </w:p>
    <w:p w14:paraId="2C31264C" w14:textId="77777777" w:rsidR="0040333F" w:rsidRPr="002D741C" w:rsidRDefault="0040333F" w:rsidP="0040333F">
      <w:pPr>
        <w:numPr>
          <w:ilvl w:val="12"/>
          <w:numId w:val="0"/>
        </w:numPr>
        <w:rPr>
          <w:color w:val="000000"/>
          <w:sz w:val="22"/>
          <w:szCs w:val="22"/>
          <w:lang w:val="es-ES"/>
        </w:rPr>
      </w:pPr>
      <w:r w:rsidRPr="002D741C">
        <w:rPr>
          <w:color w:val="000000"/>
          <w:sz w:val="22"/>
          <w:szCs w:val="22"/>
          <w:lang w:val="es-ES"/>
        </w:rPr>
        <w:t>Alemania</w:t>
      </w:r>
    </w:p>
    <w:p w14:paraId="7496F6B1" w14:textId="1EEA2C80" w:rsidR="0040333F" w:rsidRDefault="0040333F" w:rsidP="0040333F">
      <w:pPr>
        <w:numPr>
          <w:ilvl w:val="12"/>
          <w:numId w:val="0"/>
        </w:numPr>
        <w:rPr>
          <w:color w:val="000000"/>
          <w:sz w:val="22"/>
          <w:szCs w:val="22"/>
          <w:lang w:val="es-ES"/>
        </w:rPr>
      </w:pPr>
    </w:p>
    <w:p w14:paraId="5C2606E0" w14:textId="77777777" w:rsidR="002D7552" w:rsidRPr="002D7552" w:rsidRDefault="002D7552" w:rsidP="002D7552">
      <w:pPr>
        <w:numPr>
          <w:ilvl w:val="12"/>
          <w:numId w:val="0"/>
        </w:numPr>
        <w:rPr>
          <w:color w:val="000000"/>
          <w:sz w:val="22"/>
          <w:szCs w:val="22"/>
          <w:lang w:val="es-ES"/>
        </w:rPr>
      </w:pPr>
      <w:r w:rsidRPr="002D7552">
        <w:rPr>
          <w:color w:val="000000"/>
          <w:sz w:val="22"/>
          <w:szCs w:val="22"/>
          <w:lang w:val="es-ES"/>
        </w:rPr>
        <w:t>Sandoz S.R.L.</w:t>
      </w:r>
    </w:p>
    <w:p w14:paraId="39E29911" w14:textId="77777777" w:rsidR="002D7552" w:rsidRPr="00C379C5" w:rsidRDefault="002D7552" w:rsidP="002D7552">
      <w:pPr>
        <w:numPr>
          <w:ilvl w:val="12"/>
          <w:numId w:val="0"/>
        </w:numPr>
        <w:rPr>
          <w:color w:val="000000"/>
          <w:sz w:val="22"/>
          <w:szCs w:val="22"/>
          <w:lang w:val="en-GB"/>
        </w:rPr>
      </w:pPr>
      <w:r w:rsidRPr="00C379C5">
        <w:rPr>
          <w:color w:val="000000"/>
          <w:sz w:val="22"/>
          <w:szCs w:val="22"/>
          <w:lang w:val="en-GB"/>
        </w:rPr>
        <w:t>Str. Livezeni nr. 7A</w:t>
      </w:r>
    </w:p>
    <w:p w14:paraId="4516E4E9" w14:textId="77777777" w:rsidR="002D7552" w:rsidRPr="00C379C5" w:rsidRDefault="002D7552" w:rsidP="002D7552">
      <w:pPr>
        <w:numPr>
          <w:ilvl w:val="12"/>
          <w:numId w:val="0"/>
        </w:numPr>
        <w:rPr>
          <w:color w:val="000000"/>
          <w:sz w:val="22"/>
          <w:szCs w:val="22"/>
          <w:lang w:val="en-GB"/>
        </w:rPr>
      </w:pPr>
      <w:r w:rsidRPr="00C379C5">
        <w:rPr>
          <w:color w:val="000000"/>
          <w:sz w:val="22"/>
          <w:szCs w:val="22"/>
          <w:lang w:val="en-GB"/>
        </w:rPr>
        <w:t>540472, Targu Mures</w:t>
      </w:r>
    </w:p>
    <w:p w14:paraId="35D9289F" w14:textId="3D275A89" w:rsidR="002D7552" w:rsidRDefault="002D7552" w:rsidP="002D7552">
      <w:pPr>
        <w:numPr>
          <w:ilvl w:val="12"/>
          <w:numId w:val="0"/>
        </w:numPr>
        <w:rPr>
          <w:color w:val="000000"/>
          <w:sz w:val="22"/>
          <w:szCs w:val="22"/>
          <w:lang w:val="es-ES"/>
        </w:rPr>
      </w:pPr>
      <w:r w:rsidRPr="002D7552">
        <w:rPr>
          <w:color w:val="000000"/>
          <w:sz w:val="22"/>
          <w:szCs w:val="22"/>
          <w:lang w:val="es-ES"/>
        </w:rPr>
        <w:t>Rumanía</w:t>
      </w:r>
    </w:p>
    <w:p w14:paraId="29C90D51" w14:textId="77777777" w:rsidR="002D7552" w:rsidRPr="00340A34" w:rsidRDefault="002D7552" w:rsidP="002D7552">
      <w:pPr>
        <w:numPr>
          <w:ilvl w:val="12"/>
          <w:numId w:val="0"/>
        </w:numPr>
        <w:rPr>
          <w:color w:val="000000"/>
          <w:sz w:val="22"/>
          <w:szCs w:val="22"/>
          <w:lang w:val="es-ES"/>
        </w:rPr>
      </w:pPr>
    </w:p>
    <w:p w14:paraId="5E82D045" w14:textId="77777777" w:rsidR="0040333F" w:rsidRPr="00340A34" w:rsidRDefault="00340A34" w:rsidP="0040333F">
      <w:pPr>
        <w:numPr>
          <w:ilvl w:val="12"/>
          <w:numId w:val="0"/>
        </w:numPr>
        <w:rPr>
          <w:sz w:val="22"/>
          <w:szCs w:val="22"/>
        </w:rPr>
      </w:pPr>
      <w:r w:rsidRPr="00340A34">
        <w:rPr>
          <w:sz w:val="22"/>
          <w:szCs w:val="22"/>
        </w:rPr>
        <w:t>El prospecto impreso del medicamento debe especificar el nombre y dirección del fabricante responsable de la liberación del lote en cuestión.</w:t>
      </w:r>
    </w:p>
    <w:p w14:paraId="5B7CDD87" w14:textId="77777777" w:rsidR="00340A34" w:rsidRPr="00340A34" w:rsidRDefault="00340A34" w:rsidP="0040333F">
      <w:pPr>
        <w:numPr>
          <w:ilvl w:val="12"/>
          <w:numId w:val="0"/>
        </w:numPr>
        <w:rPr>
          <w:sz w:val="22"/>
          <w:szCs w:val="22"/>
        </w:rPr>
      </w:pPr>
    </w:p>
    <w:p w14:paraId="604B648D" w14:textId="77777777" w:rsidR="00340A34" w:rsidRPr="00340A34" w:rsidRDefault="00340A34" w:rsidP="0040333F">
      <w:pPr>
        <w:numPr>
          <w:ilvl w:val="12"/>
          <w:numId w:val="0"/>
        </w:numPr>
        <w:rPr>
          <w:color w:val="000000"/>
          <w:sz w:val="22"/>
          <w:szCs w:val="22"/>
          <w:lang w:val="es-ES"/>
        </w:rPr>
      </w:pPr>
    </w:p>
    <w:p w14:paraId="475D4D43" w14:textId="77777777" w:rsidR="0040333F" w:rsidRPr="002D741C" w:rsidRDefault="0040333F" w:rsidP="004E0E63">
      <w:pPr>
        <w:keepNext/>
        <w:ind w:left="567" w:hanging="567"/>
        <w:rPr>
          <w:color w:val="000000"/>
          <w:sz w:val="22"/>
          <w:szCs w:val="22"/>
        </w:rPr>
      </w:pPr>
      <w:r w:rsidRPr="002D741C">
        <w:rPr>
          <w:b/>
          <w:color w:val="000000"/>
          <w:sz w:val="22"/>
          <w:szCs w:val="22"/>
        </w:rPr>
        <w:t>B.</w:t>
      </w:r>
      <w:r w:rsidRPr="002D741C">
        <w:rPr>
          <w:b/>
          <w:color w:val="000000"/>
          <w:sz w:val="22"/>
          <w:szCs w:val="22"/>
        </w:rPr>
        <w:tab/>
        <w:t xml:space="preserve">CONDICIONES O RESTRICCIONES </w:t>
      </w:r>
      <w:smartTag w:uri="urn:schemas-microsoft-com:office:smarttags" w:element="PersonName">
        <w:r w:rsidRPr="002D741C">
          <w:rPr>
            <w:b/>
            <w:color w:val="000000"/>
            <w:sz w:val="22"/>
            <w:szCs w:val="22"/>
          </w:rPr>
          <w:t>DE</w:t>
        </w:r>
      </w:smartTag>
      <w:r w:rsidRPr="002D741C">
        <w:rPr>
          <w:b/>
          <w:color w:val="000000"/>
          <w:sz w:val="22"/>
          <w:szCs w:val="22"/>
        </w:rPr>
        <w:t xml:space="preserve"> SUMIN</w:t>
      </w:r>
      <w:smartTag w:uri="urn:schemas-microsoft-com:office:smarttags" w:element="PersonName">
        <w:r w:rsidRPr="002D741C">
          <w:rPr>
            <w:b/>
            <w:color w:val="000000"/>
            <w:sz w:val="22"/>
            <w:szCs w:val="22"/>
          </w:rPr>
          <w:t>IS</w:t>
        </w:r>
      </w:smartTag>
      <w:r w:rsidRPr="002D741C">
        <w:rPr>
          <w:b/>
          <w:color w:val="000000"/>
          <w:sz w:val="22"/>
          <w:szCs w:val="22"/>
        </w:rPr>
        <w:t>T</w:t>
      </w:r>
      <w:smartTag w:uri="urn:schemas-microsoft-com:office:smarttags" w:element="PersonName">
        <w:r w:rsidRPr="002D741C">
          <w:rPr>
            <w:b/>
            <w:color w:val="000000"/>
            <w:sz w:val="22"/>
            <w:szCs w:val="22"/>
          </w:rPr>
          <w:t>RO</w:t>
        </w:r>
      </w:smartTag>
      <w:r w:rsidRPr="002D741C">
        <w:rPr>
          <w:b/>
          <w:color w:val="000000"/>
          <w:sz w:val="22"/>
          <w:szCs w:val="22"/>
        </w:rPr>
        <w:t xml:space="preserve"> Y USO</w:t>
      </w:r>
    </w:p>
    <w:p w14:paraId="6169ED96" w14:textId="77777777" w:rsidR="0040333F" w:rsidRPr="002D741C" w:rsidRDefault="0040333F" w:rsidP="004E0E63">
      <w:pPr>
        <w:keepNext/>
        <w:rPr>
          <w:color w:val="000000"/>
          <w:sz w:val="22"/>
          <w:szCs w:val="22"/>
        </w:rPr>
      </w:pPr>
    </w:p>
    <w:p w14:paraId="37CC8310" w14:textId="77777777" w:rsidR="0040333F" w:rsidRPr="002D741C" w:rsidRDefault="0040333F" w:rsidP="0040333F">
      <w:pPr>
        <w:numPr>
          <w:ilvl w:val="12"/>
          <w:numId w:val="0"/>
        </w:numPr>
        <w:rPr>
          <w:color w:val="000000"/>
          <w:sz w:val="22"/>
          <w:szCs w:val="22"/>
        </w:rPr>
      </w:pPr>
      <w:r w:rsidRPr="002D741C">
        <w:rPr>
          <w:color w:val="000000"/>
          <w:sz w:val="22"/>
          <w:szCs w:val="22"/>
        </w:rPr>
        <w:t>Medicamento sujeto a prescripción médica restringida (Ver Anexo I: Ficha Técnica o Resumen de las Características del Producto, sección</w:t>
      </w:r>
      <w:r w:rsidR="00B80030" w:rsidRPr="002D741C">
        <w:rPr>
          <w:color w:val="000000"/>
          <w:sz w:val="22"/>
          <w:szCs w:val="22"/>
        </w:rPr>
        <w:t> </w:t>
      </w:r>
      <w:r w:rsidRPr="002D741C">
        <w:rPr>
          <w:color w:val="000000"/>
          <w:sz w:val="22"/>
          <w:szCs w:val="22"/>
        </w:rPr>
        <w:t>4.2).</w:t>
      </w:r>
    </w:p>
    <w:p w14:paraId="3BCCC20C" w14:textId="77777777" w:rsidR="0040333F" w:rsidRPr="002D741C" w:rsidRDefault="0040333F" w:rsidP="0040333F">
      <w:pPr>
        <w:numPr>
          <w:ilvl w:val="12"/>
          <w:numId w:val="0"/>
        </w:numPr>
        <w:rPr>
          <w:color w:val="000000"/>
          <w:sz w:val="22"/>
          <w:szCs w:val="22"/>
        </w:rPr>
      </w:pPr>
    </w:p>
    <w:p w14:paraId="393D19E8" w14:textId="77777777" w:rsidR="0040333F" w:rsidRPr="002D741C" w:rsidRDefault="0040333F" w:rsidP="0040333F">
      <w:pPr>
        <w:numPr>
          <w:ilvl w:val="12"/>
          <w:numId w:val="0"/>
        </w:numPr>
        <w:rPr>
          <w:color w:val="000000"/>
          <w:sz w:val="22"/>
          <w:szCs w:val="22"/>
        </w:rPr>
      </w:pPr>
    </w:p>
    <w:p w14:paraId="7817A10F" w14:textId="77777777" w:rsidR="0040333F" w:rsidRPr="002D741C" w:rsidRDefault="0040333F" w:rsidP="004E0E63">
      <w:pPr>
        <w:keepNext/>
        <w:ind w:left="567" w:hanging="567"/>
        <w:rPr>
          <w:b/>
          <w:bCs/>
          <w:color w:val="000000"/>
          <w:sz w:val="22"/>
          <w:szCs w:val="22"/>
        </w:rPr>
      </w:pPr>
      <w:r w:rsidRPr="002D741C">
        <w:rPr>
          <w:b/>
          <w:bCs/>
          <w:color w:val="000000"/>
          <w:sz w:val="22"/>
          <w:szCs w:val="22"/>
        </w:rPr>
        <w:t>C.</w:t>
      </w:r>
      <w:r w:rsidRPr="002D741C">
        <w:rPr>
          <w:b/>
          <w:bCs/>
          <w:color w:val="000000"/>
          <w:sz w:val="22"/>
          <w:szCs w:val="22"/>
        </w:rPr>
        <w:tab/>
        <w:t>OTRAS CONDICIONES Y REQU</w:t>
      </w:r>
      <w:smartTag w:uri="urn:schemas-microsoft-com:office:smarttags" w:element="PersonName">
        <w:r w:rsidRPr="002D741C">
          <w:rPr>
            <w:b/>
            <w:bCs/>
            <w:color w:val="000000"/>
            <w:sz w:val="22"/>
            <w:szCs w:val="22"/>
          </w:rPr>
          <w:t>I</w:t>
        </w:r>
        <w:smartTag w:uri="urn:schemas-microsoft-com:office:smarttags" w:element="PersonName">
          <w:r w:rsidRPr="002D741C">
            <w:rPr>
              <w:b/>
              <w:bCs/>
              <w:color w:val="000000"/>
              <w:sz w:val="22"/>
              <w:szCs w:val="22"/>
            </w:rPr>
            <w:t>S</w:t>
          </w:r>
        </w:smartTag>
      </w:smartTag>
      <w:smartTag w:uri="urn:schemas-microsoft-com:office:smarttags" w:element="PersonName">
        <w:r w:rsidRPr="002D741C">
          <w:rPr>
            <w:b/>
            <w:bCs/>
            <w:color w:val="000000"/>
            <w:sz w:val="22"/>
            <w:szCs w:val="22"/>
          </w:rPr>
          <w:t>IT</w:t>
        </w:r>
      </w:smartTag>
      <w:r w:rsidRPr="002D741C">
        <w:rPr>
          <w:b/>
          <w:bCs/>
          <w:color w:val="000000"/>
          <w:sz w:val="22"/>
          <w:szCs w:val="22"/>
        </w:rPr>
        <w:t xml:space="preserve">OS </w:t>
      </w:r>
      <w:smartTag w:uri="urn:schemas-microsoft-com:office:smarttags" w:element="PersonName">
        <w:r w:rsidRPr="002D741C">
          <w:rPr>
            <w:b/>
            <w:bCs/>
            <w:color w:val="000000"/>
            <w:sz w:val="22"/>
            <w:szCs w:val="22"/>
          </w:rPr>
          <w:t>DE</w:t>
        </w:r>
      </w:smartTag>
      <w:r w:rsidRPr="002D741C">
        <w:rPr>
          <w:b/>
          <w:bCs/>
          <w:color w:val="000000"/>
          <w:sz w:val="22"/>
          <w:szCs w:val="22"/>
        </w:rPr>
        <w:t xml:space="preserve"> </w:t>
      </w:r>
      <w:smartTag w:uri="urn:schemas-microsoft-com:office:smarttags" w:element="PersonName">
        <w:smartTagPr>
          <w:attr w:name="ProductID" w:val="LA AUTORIZACIￓN DE"/>
        </w:smartTagPr>
        <w:r w:rsidRPr="002D741C">
          <w:rPr>
            <w:b/>
            <w:bCs/>
            <w:color w:val="000000"/>
            <w:sz w:val="22"/>
            <w:szCs w:val="22"/>
          </w:rPr>
          <w:t xml:space="preserve">LA AUTORIZACIÓN </w:t>
        </w:r>
        <w:smartTag w:uri="urn:schemas-microsoft-com:office:smarttags" w:element="PersonName">
          <w:r w:rsidRPr="002D741C">
            <w:rPr>
              <w:b/>
              <w:bCs/>
              <w:color w:val="000000"/>
              <w:sz w:val="22"/>
              <w:szCs w:val="22"/>
            </w:rPr>
            <w:t>DE</w:t>
          </w:r>
        </w:smartTag>
      </w:smartTag>
      <w:r w:rsidRPr="002D741C">
        <w:rPr>
          <w:b/>
          <w:bCs/>
          <w:color w:val="000000"/>
          <w:sz w:val="22"/>
          <w:szCs w:val="22"/>
        </w:rPr>
        <w:t xml:space="preserve"> COMERCIALIZACIÓN</w:t>
      </w:r>
    </w:p>
    <w:p w14:paraId="3D8ABD1A" w14:textId="77777777" w:rsidR="0040333F" w:rsidRPr="002D741C" w:rsidRDefault="0040333F" w:rsidP="004E0E63">
      <w:pPr>
        <w:keepNext/>
        <w:numPr>
          <w:ilvl w:val="12"/>
          <w:numId w:val="0"/>
        </w:numPr>
        <w:tabs>
          <w:tab w:val="left" w:pos="567"/>
        </w:tabs>
        <w:ind w:left="567" w:hanging="567"/>
        <w:rPr>
          <w:bCs/>
          <w:color w:val="000000"/>
          <w:sz w:val="22"/>
          <w:szCs w:val="22"/>
        </w:rPr>
      </w:pPr>
    </w:p>
    <w:p w14:paraId="0E8563A4" w14:textId="77777777" w:rsidR="000C68BA" w:rsidRPr="002D741C" w:rsidRDefault="000C68BA" w:rsidP="004E0E63">
      <w:pPr>
        <w:keepNext/>
        <w:numPr>
          <w:ilvl w:val="0"/>
          <w:numId w:val="27"/>
        </w:numPr>
        <w:tabs>
          <w:tab w:val="left" w:pos="567"/>
        </w:tabs>
        <w:ind w:left="567" w:hanging="567"/>
        <w:rPr>
          <w:b/>
          <w:bCs/>
          <w:color w:val="000000"/>
          <w:sz w:val="22"/>
          <w:szCs w:val="22"/>
        </w:rPr>
      </w:pPr>
      <w:r w:rsidRPr="002D741C">
        <w:rPr>
          <w:b/>
          <w:bCs/>
          <w:color w:val="000000"/>
          <w:sz w:val="22"/>
          <w:szCs w:val="22"/>
        </w:rPr>
        <w:t>Informes periódicos de seguridad</w:t>
      </w:r>
      <w:r w:rsidR="00EA6877" w:rsidRPr="002D741C">
        <w:rPr>
          <w:b/>
          <w:bCs/>
          <w:color w:val="000000"/>
          <w:sz w:val="22"/>
          <w:szCs w:val="22"/>
        </w:rPr>
        <w:t xml:space="preserve"> (IPS)</w:t>
      </w:r>
    </w:p>
    <w:p w14:paraId="2E4C5236" w14:textId="77777777" w:rsidR="000C68BA" w:rsidRPr="002D741C" w:rsidRDefault="0051504C" w:rsidP="00B80030">
      <w:pPr>
        <w:tabs>
          <w:tab w:val="left" w:pos="567"/>
        </w:tabs>
        <w:rPr>
          <w:bCs/>
          <w:color w:val="000000"/>
          <w:sz w:val="22"/>
          <w:szCs w:val="22"/>
        </w:rPr>
      </w:pPr>
      <w:r w:rsidRPr="002D741C">
        <w:rPr>
          <w:bCs/>
          <w:color w:val="000000"/>
          <w:sz w:val="22"/>
          <w:szCs w:val="22"/>
        </w:rPr>
        <w:t xml:space="preserve">Los requerimientos para la presentación de </w:t>
      </w:r>
      <w:r w:rsidR="000C68BA" w:rsidRPr="002D741C">
        <w:rPr>
          <w:bCs/>
          <w:color w:val="000000"/>
          <w:sz w:val="22"/>
          <w:szCs w:val="22"/>
        </w:rPr>
        <w:t xml:space="preserve">los informes periódicos de seguridad para este medicamento </w:t>
      </w:r>
      <w:r w:rsidRPr="002D741C">
        <w:rPr>
          <w:bCs/>
          <w:color w:val="000000"/>
          <w:sz w:val="22"/>
          <w:szCs w:val="22"/>
        </w:rPr>
        <w:t>se establecen</w:t>
      </w:r>
      <w:r w:rsidR="000C68BA" w:rsidRPr="002D741C">
        <w:rPr>
          <w:bCs/>
          <w:color w:val="000000"/>
          <w:sz w:val="22"/>
          <w:szCs w:val="22"/>
        </w:rPr>
        <w:t xml:space="preserve"> en la lista de fechas de referencia de </w:t>
      </w:r>
      <w:smartTag w:uri="urn:schemas-microsoft-com:office:smarttags" w:element="PersonName">
        <w:smartTagPr>
          <w:attr w:name="ProductID" w:val="la Uni￳n"/>
        </w:smartTagPr>
        <w:r w:rsidR="000C68BA" w:rsidRPr="002D741C">
          <w:rPr>
            <w:bCs/>
            <w:color w:val="000000"/>
            <w:sz w:val="22"/>
            <w:szCs w:val="22"/>
          </w:rPr>
          <w:t>la Unión</w:t>
        </w:r>
      </w:smartTag>
      <w:r w:rsidR="000C68BA" w:rsidRPr="002D741C">
        <w:rPr>
          <w:bCs/>
          <w:color w:val="000000"/>
          <w:sz w:val="22"/>
          <w:szCs w:val="22"/>
        </w:rPr>
        <w:t xml:space="preserve"> (lista EURD) prevista en el artículo 107</w:t>
      </w:r>
      <w:r w:rsidR="00664E0A" w:rsidRPr="002D741C">
        <w:rPr>
          <w:bCs/>
          <w:color w:val="000000"/>
          <w:sz w:val="22"/>
          <w:szCs w:val="22"/>
        </w:rPr>
        <w:t>quarter</w:t>
      </w:r>
      <w:r w:rsidR="000C68BA" w:rsidRPr="002D741C">
        <w:rPr>
          <w:bCs/>
          <w:color w:val="000000"/>
          <w:sz w:val="22"/>
          <w:szCs w:val="22"/>
        </w:rPr>
        <w:t xml:space="preserve">, </w:t>
      </w:r>
      <w:r w:rsidR="00664E0A" w:rsidRPr="002D741C">
        <w:rPr>
          <w:bCs/>
          <w:color w:val="000000"/>
          <w:sz w:val="22"/>
          <w:szCs w:val="22"/>
        </w:rPr>
        <w:t>apartado</w:t>
      </w:r>
      <w:r w:rsidR="000C68BA" w:rsidRPr="002D741C">
        <w:rPr>
          <w:bCs/>
          <w:color w:val="000000"/>
          <w:sz w:val="22"/>
          <w:szCs w:val="22"/>
        </w:rPr>
        <w:t xml:space="preserve"> 7, de </w:t>
      </w:r>
      <w:smartTag w:uri="urn:schemas-microsoft-com:office:smarttags" w:element="PersonName">
        <w:smartTagPr>
          <w:attr w:name="ProductID" w:val="la Directiva"/>
        </w:smartTagPr>
        <w:r w:rsidR="000C68BA" w:rsidRPr="002D741C">
          <w:rPr>
            <w:bCs/>
            <w:color w:val="000000"/>
            <w:sz w:val="22"/>
            <w:szCs w:val="22"/>
          </w:rPr>
          <w:t>la Directiva</w:t>
        </w:r>
      </w:smartTag>
      <w:r w:rsidR="000C68BA" w:rsidRPr="002D741C">
        <w:rPr>
          <w:bCs/>
          <w:color w:val="000000"/>
          <w:sz w:val="22"/>
          <w:szCs w:val="22"/>
        </w:rPr>
        <w:t xml:space="preserve"> 2001/83/CE</w:t>
      </w:r>
      <w:r w:rsidR="00857745" w:rsidRPr="002D741C">
        <w:rPr>
          <w:bCs/>
          <w:color w:val="000000"/>
          <w:sz w:val="22"/>
          <w:szCs w:val="22"/>
        </w:rPr>
        <w:t xml:space="preserve"> y </w:t>
      </w:r>
      <w:r w:rsidRPr="002D741C">
        <w:rPr>
          <w:bCs/>
          <w:color w:val="000000"/>
          <w:sz w:val="22"/>
          <w:szCs w:val="22"/>
        </w:rPr>
        <w:t xml:space="preserve">cualquier actualización posterior </w:t>
      </w:r>
      <w:r w:rsidR="00857745" w:rsidRPr="002D741C">
        <w:rPr>
          <w:bCs/>
          <w:color w:val="000000"/>
          <w:sz w:val="22"/>
          <w:szCs w:val="22"/>
        </w:rPr>
        <w:t>publicada en el p</w:t>
      </w:r>
      <w:r w:rsidR="000C68BA" w:rsidRPr="002D741C">
        <w:rPr>
          <w:bCs/>
          <w:color w:val="000000"/>
          <w:sz w:val="22"/>
          <w:szCs w:val="22"/>
        </w:rPr>
        <w:t>o</w:t>
      </w:r>
      <w:r w:rsidR="00857745" w:rsidRPr="002D741C">
        <w:rPr>
          <w:bCs/>
          <w:color w:val="000000"/>
          <w:sz w:val="22"/>
          <w:szCs w:val="22"/>
        </w:rPr>
        <w:t>r</w:t>
      </w:r>
      <w:r w:rsidR="000C68BA" w:rsidRPr="002D741C">
        <w:rPr>
          <w:bCs/>
          <w:color w:val="000000"/>
          <w:sz w:val="22"/>
          <w:szCs w:val="22"/>
        </w:rPr>
        <w:t>tal web europeo sobre medicamentos.</w:t>
      </w:r>
    </w:p>
    <w:p w14:paraId="40FAADF8" w14:textId="77777777" w:rsidR="0040333F" w:rsidRPr="002D741C" w:rsidRDefault="0040333F" w:rsidP="0040333F">
      <w:pPr>
        <w:ind w:right="-1"/>
        <w:rPr>
          <w:color w:val="000000"/>
          <w:sz w:val="22"/>
          <w:szCs w:val="22"/>
        </w:rPr>
      </w:pPr>
    </w:p>
    <w:p w14:paraId="6BF0E074" w14:textId="77777777" w:rsidR="00B4059D" w:rsidRPr="004E0E63" w:rsidRDefault="00B4059D" w:rsidP="00B80030">
      <w:pPr>
        <w:tabs>
          <w:tab w:val="left" w:pos="567"/>
        </w:tabs>
        <w:ind w:left="567" w:hanging="567"/>
        <w:rPr>
          <w:bCs/>
          <w:color w:val="000000"/>
          <w:sz w:val="22"/>
          <w:szCs w:val="22"/>
        </w:rPr>
      </w:pPr>
    </w:p>
    <w:p w14:paraId="12DFA86C" w14:textId="77777777" w:rsidR="0040333F" w:rsidRPr="002D741C" w:rsidRDefault="000C68BA" w:rsidP="004E0E63">
      <w:pPr>
        <w:keepNext/>
        <w:tabs>
          <w:tab w:val="left" w:pos="567"/>
        </w:tabs>
        <w:ind w:left="567" w:hanging="567"/>
        <w:rPr>
          <w:color w:val="000000"/>
          <w:sz w:val="22"/>
          <w:szCs w:val="22"/>
        </w:rPr>
      </w:pPr>
      <w:r w:rsidRPr="002D741C">
        <w:rPr>
          <w:b/>
          <w:bCs/>
          <w:color w:val="000000"/>
          <w:sz w:val="22"/>
          <w:szCs w:val="22"/>
        </w:rPr>
        <w:t>D.</w:t>
      </w:r>
      <w:r w:rsidRPr="002D741C">
        <w:rPr>
          <w:b/>
          <w:bCs/>
          <w:color w:val="000000"/>
          <w:sz w:val="22"/>
          <w:szCs w:val="22"/>
        </w:rPr>
        <w:tab/>
      </w:r>
      <w:r w:rsidR="0040333F" w:rsidRPr="002D741C">
        <w:rPr>
          <w:b/>
          <w:bCs/>
          <w:color w:val="000000"/>
          <w:sz w:val="22"/>
          <w:szCs w:val="22"/>
        </w:rPr>
        <w:t>CONDICIONES O RESTRICCIONES EN R</w:t>
      </w:r>
      <w:smartTag w:uri="urn:schemas-microsoft-com:office:smarttags" w:element="PersonName">
        <w:r w:rsidR="0040333F" w:rsidRPr="002D741C">
          <w:rPr>
            <w:b/>
            <w:bCs/>
            <w:color w:val="000000"/>
            <w:sz w:val="22"/>
            <w:szCs w:val="22"/>
          </w:rPr>
          <w:t>EL</w:t>
        </w:r>
      </w:smartTag>
      <w:r w:rsidR="0040333F" w:rsidRPr="002D741C">
        <w:rPr>
          <w:b/>
          <w:bCs/>
          <w:color w:val="000000"/>
          <w:sz w:val="22"/>
          <w:szCs w:val="22"/>
        </w:rPr>
        <w:t xml:space="preserve">ACIÓN CON </w:t>
      </w:r>
      <w:smartTag w:uri="urn:schemas-microsoft-com:office:smarttags" w:element="PersonName">
        <w:smartTagPr>
          <w:attr w:name="ProductID" w:val="LA UTILIZACIￓN SEGURA"/>
        </w:smartTagPr>
        <w:r w:rsidR="0040333F" w:rsidRPr="002D741C">
          <w:rPr>
            <w:b/>
            <w:bCs/>
            <w:color w:val="000000"/>
            <w:sz w:val="22"/>
            <w:szCs w:val="22"/>
          </w:rPr>
          <w:t xml:space="preserve">LA UTILIZACIÓN </w:t>
        </w:r>
        <w:smartTag w:uri="urn:schemas-microsoft-com:office:smarttags" w:element="PersonName">
          <w:r w:rsidR="0040333F" w:rsidRPr="002D741C">
            <w:rPr>
              <w:b/>
              <w:bCs/>
              <w:color w:val="000000"/>
              <w:sz w:val="22"/>
              <w:szCs w:val="22"/>
            </w:rPr>
            <w:t>SE</w:t>
          </w:r>
        </w:smartTag>
        <w:r w:rsidR="0040333F" w:rsidRPr="002D741C">
          <w:rPr>
            <w:b/>
            <w:bCs/>
            <w:color w:val="000000"/>
            <w:sz w:val="22"/>
            <w:szCs w:val="22"/>
          </w:rPr>
          <w:t>GURA</w:t>
        </w:r>
      </w:smartTag>
      <w:r w:rsidR="0040333F" w:rsidRPr="002D741C">
        <w:rPr>
          <w:b/>
          <w:bCs/>
          <w:color w:val="000000"/>
          <w:sz w:val="22"/>
          <w:szCs w:val="22"/>
        </w:rPr>
        <w:t xml:space="preserve"> Y E</w:t>
      </w:r>
      <w:smartTag w:uri="urn:schemas-microsoft-com:office:smarttags" w:element="PersonName">
        <w:r w:rsidR="0040333F" w:rsidRPr="002D741C">
          <w:rPr>
            <w:b/>
            <w:bCs/>
            <w:color w:val="000000"/>
            <w:sz w:val="22"/>
            <w:szCs w:val="22"/>
          </w:rPr>
          <w:t>FI</w:t>
        </w:r>
      </w:smartTag>
      <w:r w:rsidR="0040333F" w:rsidRPr="002D741C">
        <w:rPr>
          <w:b/>
          <w:bCs/>
          <w:color w:val="000000"/>
          <w:sz w:val="22"/>
          <w:szCs w:val="22"/>
        </w:rPr>
        <w:t xml:space="preserve">CAZ </w:t>
      </w:r>
      <w:smartTag w:uri="urn:schemas-microsoft-com:office:smarttags" w:element="PersonName">
        <w:r w:rsidR="0040333F" w:rsidRPr="002D741C">
          <w:rPr>
            <w:b/>
            <w:bCs/>
            <w:color w:val="000000"/>
            <w:sz w:val="22"/>
            <w:szCs w:val="22"/>
          </w:rPr>
          <w:t>D</w:t>
        </w:r>
        <w:smartTag w:uri="urn:schemas-microsoft-com:office:smarttags" w:element="PersonName">
          <w:r w:rsidR="0040333F" w:rsidRPr="002D741C">
            <w:rPr>
              <w:b/>
              <w:bCs/>
              <w:color w:val="000000"/>
              <w:sz w:val="22"/>
              <w:szCs w:val="22"/>
            </w:rPr>
            <w:t>E</w:t>
          </w:r>
        </w:smartTag>
      </w:smartTag>
      <w:r w:rsidR="0040333F" w:rsidRPr="002D741C">
        <w:rPr>
          <w:b/>
          <w:bCs/>
          <w:color w:val="000000"/>
          <w:sz w:val="22"/>
          <w:szCs w:val="22"/>
        </w:rPr>
        <w:t>L MEDICAMENTO</w:t>
      </w:r>
    </w:p>
    <w:p w14:paraId="294CE877" w14:textId="77777777" w:rsidR="0040333F" w:rsidRPr="002D741C" w:rsidRDefault="0040333F" w:rsidP="004E0E63">
      <w:pPr>
        <w:pStyle w:val="ListParagraph"/>
        <w:keepNext/>
        <w:ind w:left="0"/>
        <w:rPr>
          <w:color w:val="000000"/>
          <w:sz w:val="22"/>
          <w:szCs w:val="22"/>
        </w:rPr>
      </w:pPr>
    </w:p>
    <w:p w14:paraId="067EDDAC" w14:textId="77777777" w:rsidR="00B4059D" w:rsidRPr="002D741C" w:rsidRDefault="00B4059D" w:rsidP="004E0E63">
      <w:pPr>
        <w:pStyle w:val="ListParagraph"/>
        <w:keepNext/>
        <w:numPr>
          <w:ilvl w:val="0"/>
          <w:numId w:val="27"/>
        </w:numPr>
        <w:ind w:left="567" w:hanging="567"/>
        <w:rPr>
          <w:b/>
          <w:color w:val="000000"/>
          <w:sz w:val="22"/>
          <w:szCs w:val="22"/>
        </w:rPr>
      </w:pPr>
      <w:r w:rsidRPr="002D741C">
        <w:rPr>
          <w:b/>
          <w:color w:val="000000"/>
          <w:sz w:val="22"/>
          <w:szCs w:val="22"/>
        </w:rPr>
        <w:t>Plan de Gestión de Riesgos (PGR)</w:t>
      </w:r>
    </w:p>
    <w:p w14:paraId="4C0ACB0D" w14:textId="77777777" w:rsidR="00B4059D" w:rsidRPr="002D741C" w:rsidRDefault="00B4059D" w:rsidP="0040333F">
      <w:pPr>
        <w:pStyle w:val="ListParagraph"/>
        <w:ind w:left="0"/>
        <w:rPr>
          <w:color w:val="000000"/>
          <w:sz w:val="22"/>
          <w:szCs w:val="22"/>
        </w:rPr>
      </w:pPr>
      <w:r w:rsidRPr="002D741C">
        <w:rPr>
          <w:color w:val="000000"/>
          <w:sz w:val="22"/>
          <w:szCs w:val="22"/>
        </w:rPr>
        <w:t>El TAC realizará las actividades e inter</w:t>
      </w:r>
      <w:r w:rsidR="00857745" w:rsidRPr="002D741C">
        <w:rPr>
          <w:color w:val="000000"/>
          <w:sz w:val="22"/>
          <w:szCs w:val="22"/>
        </w:rPr>
        <w:t xml:space="preserve">venciones de farmacovigilancia necesarias según lo acordado en la versión del PGR incluido en el Módulo 1.8.2 de </w:t>
      </w:r>
      <w:smartTag w:uri="urn:schemas-microsoft-com:office:smarttags" w:element="PersonName">
        <w:smartTagPr>
          <w:attr w:name="ProductID" w:val="la Autorizaci￳n"/>
        </w:smartTagPr>
        <w:r w:rsidR="00857745" w:rsidRPr="002D741C">
          <w:rPr>
            <w:color w:val="000000"/>
            <w:sz w:val="22"/>
            <w:szCs w:val="22"/>
          </w:rPr>
          <w:t>la Autorización</w:t>
        </w:r>
      </w:smartTag>
      <w:r w:rsidR="00857745" w:rsidRPr="002D741C">
        <w:rPr>
          <w:color w:val="000000"/>
          <w:sz w:val="22"/>
          <w:szCs w:val="22"/>
        </w:rPr>
        <w:t xml:space="preserve"> de Comercialización y en cualquier actualización del PGR que se acuerde posteriormente.</w:t>
      </w:r>
    </w:p>
    <w:p w14:paraId="551C9B12" w14:textId="77777777" w:rsidR="00857745" w:rsidRPr="002D741C" w:rsidRDefault="00857745" w:rsidP="0040333F">
      <w:pPr>
        <w:pStyle w:val="ListParagraph"/>
        <w:ind w:left="0"/>
        <w:rPr>
          <w:color w:val="000000"/>
          <w:sz w:val="22"/>
          <w:szCs w:val="22"/>
        </w:rPr>
      </w:pPr>
    </w:p>
    <w:p w14:paraId="4575EA37" w14:textId="77777777" w:rsidR="00857745" w:rsidRPr="002D741C" w:rsidRDefault="00857745" w:rsidP="004E0E63">
      <w:pPr>
        <w:pStyle w:val="ListParagraph"/>
        <w:keepNext/>
        <w:ind w:left="0"/>
        <w:rPr>
          <w:color w:val="000000"/>
          <w:sz w:val="22"/>
          <w:szCs w:val="22"/>
        </w:rPr>
      </w:pPr>
      <w:r w:rsidRPr="002D741C">
        <w:rPr>
          <w:color w:val="000000"/>
          <w:sz w:val="22"/>
          <w:szCs w:val="22"/>
        </w:rPr>
        <w:t>Se debe presentar un PGR actualizado:</w:t>
      </w:r>
    </w:p>
    <w:p w14:paraId="57A7104D" w14:textId="77777777" w:rsidR="00857745" w:rsidRPr="002D741C" w:rsidRDefault="00857745" w:rsidP="004E0E63">
      <w:pPr>
        <w:pStyle w:val="ListParagraph"/>
        <w:keepNext/>
        <w:numPr>
          <w:ilvl w:val="0"/>
          <w:numId w:val="27"/>
        </w:numPr>
        <w:ind w:left="567" w:hanging="567"/>
        <w:rPr>
          <w:color w:val="000000"/>
          <w:sz w:val="22"/>
          <w:szCs w:val="22"/>
        </w:rPr>
      </w:pPr>
      <w:r w:rsidRPr="002D741C">
        <w:rPr>
          <w:color w:val="000000"/>
          <w:sz w:val="22"/>
          <w:szCs w:val="22"/>
        </w:rPr>
        <w:t xml:space="preserve">A petición de </w:t>
      </w:r>
      <w:smartTag w:uri="urn:schemas-microsoft-com:office:smarttags" w:element="PersonName">
        <w:smartTagPr>
          <w:attr w:name="ProductID" w:val="la ￼￼￼￼Agencia Europea"/>
        </w:smartTagPr>
        <w:r w:rsidRPr="002D741C">
          <w:rPr>
            <w:color w:val="000000"/>
            <w:sz w:val="22"/>
            <w:szCs w:val="22"/>
          </w:rPr>
          <w:t>la Agencia Europea</w:t>
        </w:r>
      </w:smartTag>
      <w:r w:rsidRPr="002D741C">
        <w:rPr>
          <w:color w:val="000000"/>
          <w:sz w:val="22"/>
          <w:szCs w:val="22"/>
        </w:rPr>
        <w:t xml:space="preserve"> de Medicamentos</w:t>
      </w:r>
      <w:r w:rsidR="00EA6877" w:rsidRPr="002D741C">
        <w:rPr>
          <w:color w:val="000000"/>
          <w:sz w:val="22"/>
          <w:szCs w:val="22"/>
        </w:rPr>
        <w:t>.</w:t>
      </w:r>
    </w:p>
    <w:p w14:paraId="3F294F63" w14:textId="77777777" w:rsidR="00857745" w:rsidRPr="002D741C" w:rsidRDefault="00857745" w:rsidP="00B80030">
      <w:pPr>
        <w:pStyle w:val="ListParagraph"/>
        <w:numPr>
          <w:ilvl w:val="0"/>
          <w:numId w:val="27"/>
        </w:numPr>
        <w:ind w:left="567" w:hanging="567"/>
        <w:rPr>
          <w:color w:val="000000"/>
          <w:sz w:val="22"/>
          <w:szCs w:val="22"/>
        </w:rPr>
      </w:pPr>
      <w:r w:rsidRPr="002D741C">
        <w:rPr>
          <w:color w:val="000000"/>
          <w:sz w:val="22"/>
          <w:szCs w:val="22"/>
        </w:rPr>
        <w:t>Cuando se modifique el sistema de gestión de riesgos, especialmente como resultado de nueva información disponible que pueda conllevar cambios relevantes en el perfil beneficio/riesgo, o como resultado de la consecución de un hito importante (farmacovigilancia o minimización de riesgos).</w:t>
      </w:r>
    </w:p>
    <w:p w14:paraId="2ED754A5" w14:textId="77777777" w:rsidR="0040333F" w:rsidRPr="002D741C" w:rsidRDefault="0040333F" w:rsidP="004E0E63">
      <w:pPr>
        <w:rPr>
          <w:color w:val="000000"/>
          <w:sz w:val="22"/>
          <w:szCs w:val="22"/>
        </w:rPr>
      </w:pPr>
    </w:p>
    <w:p w14:paraId="15D702F4" w14:textId="77777777" w:rsidR="00601EC3" w:rsidRPr="002D741C" w:rsidRDefault="00601EC3" w:rsidP="00340A34">
      <w:pPr>
        <w:keepNext/>
        <w:widowControl w:val="0"/>
        <w:numPr>
          <w:ilvl w:val="0"/>
          <w:numId w:val="28"/>
        </w:numPr>
        <w:ind w:left="567" w:hanging="567"/>
        <w:rPr>
          <w:color w:val="000000"/>
          <w:sz w:val="22"/>
          <w:szCs w:val="22"/>
        </w:rPr>
      </w:pPr>
      <w:r w:rsidRPr="002D741C">
        <w:rPr>
          <w:b/>
          <w:color w:val="000000"/>
          <w:sz w:val="22"/>
          <w:szCs w:val="22"/>
        </w:rPr>
        <w:lastRenderedPageBreak/>
        <w:t>Obligación de llevar a cabo medidas pos</w:t>
      </w:r>
      <w:r w:rsidR="00EA6877" w:rsidRPr="002D741C">
        <w:rPr>
          <w:b/>
          <w:color w:val="000000"/>
          <w:sz w:val="22"/>
          <w:szCs w:val="22"/>
        </w:rPr>
        <w:t>t-</w:t>
      </w:r>
      <w:r w:rsidRPr="002D741C">
        <w:rPr>
          <w:b/>
          <w:color w:val="000000"/>
          <w:sz w:val="22"/>
          <w:szCs w:val="22"/>
        </w:rPr>
        <w:t>autorización</w:t>
      </w:r>
    </w:p>
    <w:p w14:paraId="74990947" w14:textId="77777777" w:rsidR="00601EC3" w:rsidRPr="002D741C" w:rsidRDefault="00601EC3" w:rsidP="00340A34">
      <w:pPr>
        <w:keepNext/>
        <w:widowControl w:val="0"/>
        <w:rPr>
          <w:color w:val="000000"/>
          <w:sz w:val="22"/>
          <w:szCs w:val="22"/>
        </w:rPr>
      </w:pPr>
    </w:p>
    <w:p w14:paraId="2E05E34D" w14:textId="77777777" w:rsidR="00601EC3" w:rsidRPr="002D741C" w:rsidRDefault="00601EC3" w:rsidP="00340A34">
      <w:pPr>
        <w:keepNext/>
        <w:widowControl w:val="0"/>
        <w:rPr>
          <w:color w:val="000000"/>
          <w:sz w:val="22"/>
          <w:szCs w:val="22"/>
        </w:rPr>
      </w:pPr>
      <w:r w:rsidRPr="002D741C">
        <w:rPr>
          <w:color w:val="000000"/>
          <w:sz w:val="22"/>
          <w:szCs w:val="22"/>
        </w:rPr>
        <w:t>El TAC deberá llevar a cabo, dentro del plazo establecido, las siguientes medidas:</w:t>
      </w:r>
    </w:p>
    <w:p w14:paraId="32EDDA37" w14:textId="77777777" w:rsidR="00601EC3" w:rsidRPr="002D741C" w:rsidRDefault="00601EC3" w:rsidP="00340A34">
      <w:pPr>
        <w:keepNext/>
        <w:widowControl w:val="0"/>
        <w:rPr>
          <w:color w:val="000000"/>
          <w:sz w:val="22"/>
          <w:szCs w:val="22"/>
        </w:rPr>
      </w:pPr>
    </w:p>
    <w:tbl>
      <w:tblPr>
        <w:tblW w:w="4900" w:type="pct"/>
        <w:tblCellMar>
          <w:left w:w="0" w:type="dxa"/>
          <w:right w:w="0" w:type="dxa"/>
        </w:tblCellMar>
        <w:tblLook w:val="04A0" w:firstRow="1" w:lastRow="0" w:firstColumn="1" w:lastColumn="0" w:noHBand="0" w:noVBand="1"/>
      </w:tblPr>
      <w:tblGrid>
        <w:gridCol w:w="7425"/>
        <w:gridCol w:w="1455"/>
      </w:tblGrid>
      <w:tr w:rsidR="00601EC3" w:rsidRPr="002D741C" w14:paraId="26D2800B" w14:textId="77777777" w:rsidTr="004E0E63">
        <w:trPr>
          <w:cantSplit/>
        </w:trPr>
        <w:tc>
          <w:tcPr>
            <w:tcW w:w="4181"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9D93044" w14:textId="77777777" w:rsidR="00601EC3" w:rsidRPr="002D741C" w:rsidRDefault="00601EC3" w:rsidP="00340A34">
            <w:pPr>
              <w:keepNext/>
              <w:tabs>
                <w:tab w:val="left" w:pos="567"/>
              </w:tabs>
              <w:spacing w:line="260" w:lineRule="exact"/>
              <w:rPr>
                <w:rFonts w:eastAsia="Calibri"/>
                <w:b/>
                <w:bCs/>
                <w:sz w:val="22"/>
                <w:szCs w:val="22"/>
                <w:lang w:val="en-GB"/>
              </w:rPr>
            </w:pPr>
            <w:r w:rsidRPr="002D741C">
              <w:rPr>
                <w:b/>
                <w:bCs/>
                <w:sz w:val="22"/>
                <w:lang w:val="en-GB"/>
              </w:rPr>
              <w:t>Descripción</w:t>
            </w:r>
          </w:p>
        </w:tc>
        <w:tc>
          <w:tcPr>
            <w:tcW w:w="819"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C1D9B10" w14:textId="77777777" w:rsidR="00601EC3" w:rsidRPr="002D741C" w:rsidRDefault="00601EC3" w:rsidP="00340A34">
            <w:pPr>
              <w:keepNext/>
              <w:tabs>
                <w:tab w:val="left" w:pos="567"/>
              </w:tabs>
              <w:spacing w:line="260" w:lineRule="exact"/>
              <w:rPr>
                <w:rFonts w:eastAsia="Calibri"/>
                <w:b/>
                <w:bCs/>
                <w:sz w:val="22"/>
                <w:szCs w:val="22"/>
                <w:lang w:val="en-GB"/>
              </w:rPr>
            </w:pPr>
            <w:r w:rsidRPr="002D741C">
              <w:rPr>
                <w:b/>
                <w:bCs/>
                <w:sz w:val="22"/>
                <w:lang w:val="en-GB"/>
              </w:rPr>
              <w:t>Fecha límite</w:t>
            </w:r>
          </w:p>
        </w:tc>
      </w:tr>
      <w:tr w:rsidR="00601EC3" w:rsidRPr="002D741C" w14:paraId="7C406578" w14:textId="77777777" w:rsidTr="004E0E63">
        <w:trPr>
          <w:cantSplit/>
        </w:trPr>
        <w:tc>
          <w:tcPr>
            <w:tcW w:w="4181"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14:paraId="7486E78E" w14:textId="77777777" w:rsidR="00601EC3" w:rsidRPr="002D741C" w:rsidRDefault="00601EC3" w:rsidP="004E0E63">
            <w:pPr>
              <w:tabs>
                <w:tab w:val="left" w:pos="567"/>
              </w:tabs>
              <w:spacing w:line="260" w:lineRule="exact"/>
              <w:rPr>
                <w:rFonts w:eastAsia="Calibri"/>
                <w:sz w:val="22"/>
                <w:szCs w:val="22"/>
                <w:lang w:val="es-ES"/>
              </w:rPr>
            </w:pPr>
            <w:r w:rsidRPr="002D741C">
              <w:rPr>
                <w:sz w:val="22"/>
                <w:lang w:val="es-ES"/>
              </w:rPr>
              <w:t>Llevar a cabo un registro observacional recogiendo datos de eficacia y seguridad en pacientes pediátricos con Leucemia Linfoblástica Aguda (LLA) de nuevo diagnóstico tratados con quimioterapia + imatinib ± HSCT. Presentación del informe final del estudio.</w:t>
            </w:r>
          </w:p>
        </w:tc>
        <w:tc>
          <w:tcPr>
            <w:tcW w:w="819" w:type="pct"/>
            <w:tcBorders>
              <w:top w:val="single" w:sz="4" w:space="0" w:color="auto"/>
              <w:left w:val="nil"/>
              <w:bottom w:val="single" w:sz="8" w:space="0" w:color="auto"/>
              <w:right w:val="single" w:sz="8" w:space="0" w:color="auto"/>
            </w:tcBorders>
            <w:tcMar>
              <w:top w:w="0" w:type="dxa"/>
              <w:left w:w="108" w:type="dxa"/>
              <w:bottom w:w="0" w:type="dxa"/>
              <w:right w:w="108" w:type="dxa"/>
            </w:tcMar>
          </w:tcPr>
          <w:p w14:paraId="766E3050" w14:textId="30A29C74" w:rsidR="00601EC3" w:rsidRPr="002D741C" w:rsidRDefault="00DE01A5" w:rsidP="00DE01A5">
            <w:pPr>
              <w:tabs>
                <w:tab w:val="left" w:pos="567"/>
              </w:tabs>
              <w:spacing w:line="260" w:lineRule="exact"/>
              <w:ind w:right="-1"/>
              <w:rPr>
                <w:rFonts w:eastAsia="Calibri"/>
                <w:sz w:val="22"/>
                <w:szCs w:val="22"/>
                <w:lang w:val="en-GB"/>
              </w:rPr>
            </w:pPr>
            <w:r>
              <w:rPr>
                <w:sz w:val="22"/>
                <w:szCs w:val="22"/>
              </w:rPr>
              <w:t>2</w:t>
            </w:r>
            <w:r w:rsidR="00A3781F" w:rsidRPr="002D741C">
              <w:rPr>
                <w:sz w:val="22"/>
                <w:szCs w:val="22"/>
              </w:rPr>
              <w:t>3/06/202</w:t>
            </w:r>
            <w:r w:rsidR="005174CA">
              <w:rPr>
                <w:sz w:val="22"/>
                <w:szCs w:val="22"/>
              </w:rPr>
              <w:t>3</w:t>
            </w:r>
          </w:p>
        </w:tc>
      </w:tr>
    </w:tbl>
    <w:p w14:paraId="4D81A8E6" w14:textId="77777777" w:rsidR="0040333F" w:rsidRPr="002D741C" w:rsidRDefault="0040333F" w:rsidP="00A75C9F">
      <w:pPr>
        <w:widowControl w:val="0"/>
        <w:rPr>
          <w:color w:val="000000"/>
          <w:sz w:val="22"/>
          <w:szCs w:val="22"/>
        </w:rPr>
      </w:pPr>
      <w:r w:rsidRPr="002D741C">
        <w:rPr>
          <w:color w:val="000000"/>
          <w:sz w:val="22"/>
          <w:szCs w:val="22"/>
        </w:rPr>
        <w:br w:type="page"/>
      </w:r>
    </w:p>
    <w:p w14:paraId="02396696" w14:textId="77777777" w:rsidR="0040333F" w:rsidRPr="002D741C" w:rsidRDefault="0040333F" w:rsidP="0040333F">
      <w:pPr>
        <w:widowControl w:val="0"/>
        <w:ind w:right="566"/>
        <w:rPr>
          <w:color w:val="000000"/>
          <w:sz w:val="22"/>
          <w:szCs w:val="22"/>
        </w:rPr>
      </w:pPr>
    </w:p>
    <w:p w14:paraId="6F213299" w14:textId="77777777" w:rsidR="0040333F" w:rsidRPr="002D741C" w:rsidRDefault="0040333F" w:rsidP="0040333F">
      <w:pPr>
        <w:widowControl w:val="0"/>
        <w:rPr>
          <w:color w:val="000000"/>
          <w:sz w:val="22"/>
          <w:szCs w:val="22"/>
        </w:rPr>
      </w:pPr>
    </w:p>
    <w:p w14:paraId="679F1AEE" w14:textId="77777777" w:rsidR="0040333F" w:rsidRPr="002D741C" w:rsidRDefault="0040333F" w:rsidP="0040333F">
      <w:pPr>
        <w:widowControl w:val="0"/>
        <w:rPr>
          <w:color w:val="000000"/>
          <w:sz w:val="22"/>
          <w:szCs w:val="22"/>
        </w:rPr>
      </w:pPr>
    </w:p>
    <w:p w14:paraId="5DD91D43" w14:textId="77777777" w:rsidR="0040333F" w:rsidRPr="002D741C" w:rsidRDefault="0040333F" w:rsidP="0040333F">
      <w:pPr>
        <w:widowControl w:val="0"/>
        <w:rPr>
          <w:color w:val="000000"/>
          <w:sz w:val="22"/>
          <w:szCs w:val="22"/>
        </w:rPr>
      </w:pPr>
    </w:p>
    <w:p w14:paraId="6D447665" w14:textId="77777777" w:rsidR="0040333F" w:rsidRPr="002D741C" w:rsidRDefault="0040333F" w:rsidP="0040333F">
      <w:pPr>
        <w:widowControl w:val="0"/>
        <w:rPr>
          <w:color w:val="000000"/>
          <w:sz w:val="22"/>
          <w:szCs w:val="22"/>
        </w:rPr>
      </w:pPr>
    </w:p>
    <w:p w14:paraId="767EDF79" w14:textId="77777777" w:rsidR="0040333F" w:rsidRPr="002D741C" w:rsidRDefault="0040333F" w:rsidP="0040333F">
      <w:pPr>
        <w:widowControl w:val="0"/>
        <w:rPr>
          <w:color w:val="000000"/>
          <w:sz w:val="22"/>
          <w:szCs w:val="22"/>
        </w:rPr>
      </w:pPr>
    </w:p>
    <w:p w14:paraId="7C501C9D" w14:textId="77777777" w:rsidR="0040333F" w:rsidRPr="002D741C" w:rsidRDefault="0040333F" w:rsidP="0040333F">
      <w:pPr>
        <w:widowControl w:val="0"/>
        <w:rPr>
          <w:color w:val="000000"/>
          <w:sz w:val="22"/>
          <w:szCs w:val="22"/>
        </w:rPr>
      </w:pPr>
    </w:p>
    <w:p w14:paraId="2866B663" w14:textId="77777777" w:rsidR="0040333F" w:rsidRPr="002D741C" w:rsidRDefault="0040333F" w:rsidP="0040333F">
      <w:pPr>
        <w:widowControl w:val="0"/>
        <w:rPr>
          <w:color w:val="000000"/>
          <w:sz w:val="22"/>
          <w:szCs w:val="22"/>
        </w:rPr>
      </w:pPr>
    </w:p>
    <w:p w14:paraId="076FB77B" w14:textId="77777777" w:rsidR="0040333F" w:rsidRPr="002D741C" w:rsidRDefault="0040333F" w:rsidP="0040333F">
      <w:pPr>
        <w:widowControl w:val="0"/>
        <w:rPr>
          <w:color w:val="000000"/>
          <w:sz w:val="22"/>
          <w:szCs w:val="22"/>
        </w:rPr>
      </w:pPr>
    </w:p>
    <w:p w14:paraId="63DE900C" w14:textId="77777777" w:rsidR="0040333F" w:rsidRPr="002D741C" w:rsidRDefault="0040333F" w:rsidP="0040333F">
      <w:pPr>
        <w:widowControl w:val="0"/>
        <w:rPr>
          <w:color w:val="000000"/>
          <w:sz w:val="22"/>
          <w:szCs w:val="22"/>
        </w:rPr>
      </w:pPr>
    </w:p>
    <w:p w14:paraId="6C48F632" w14:textId="77777777" w:rsidR="0040333F" w:rsidRPr="002D741C" w:rsidRDefault="0040333F" w:rsidP="0040333F">
      <w:pPr>
        <w:widowControl w:val="0"/>
        <w:rPr>
          <w:color w:val="000000"/>
          <w:sz w:val="22"/>
          <w:szCs w:val="22"/>
        </w:rPr>
      </w:pPr>
    </w:p>
    <w:p w14:paraId="4619D433" w14:textId="77777777" w:rsidR="0040333F" w:rsidRPr="002D741C" w:rsidRDefault="0040333F" w:rsidP="0040333F">
      <w:pPr>
        <w:widowControl w:val="0"/>
        <w:rPr>
          <w:color w:val="000000"/>
          <w:sz w:val="22"/>
          <w:szCs w:val="22"/>
        </w:rPr>
      </w:pPr>
    </w:p>
    <w:p w14:paraId="67EE8211" w14:textId="77777777" w:rsidR="0040333F" w:rsidRPr="002D741C" w:rsidRDefault="0040333F" w:rsidP="0040333F">
      <w:pPr>
        <w:widowControl w:val="0"/>
        <w:rPr>
          <w:color w:val="000000"/>
          <w:sz w:val="22"/>
          <w:szCs w:val="22"/>
        </w:rPr>
      </w:pPr>
    </w:p>
    <w:p w14:paraId="4400A256" w14:textId="77777777" w:rsidR="0040333F" w:rsidRPr="002D741C" w:rsidRDefault="0040333F" w:rsidP="0040333F">
      <w:pPr>
        <w:widowControl w:val="0"/>
        <w:rPr>
          <w:color w:val="000000"/>
          <w:sz w:val="22"/>
          <w:szCs w:val="22"/>
        </w:rPr>
      </w:pPr>
    </w:p>
    <w:p w14:paraId="6760A71D" w14:textId="77777777" w:rsidR="0040333F" w:rsidRPr="002D741C" w:rsidRDefault="0040333F" w:rsidP="0040333F">
      <w:pPr>
        <w:widowControl w:val="0"/>
        <w:rPr>
          <w:color w:val="000000"/>
          <w:sz w:val="22"/>
          <w:szCs w:val="22"/>
        </w:rPr>
      </w:pPr>
    </w:p>
    <w:p w14:paraId="01F7F6A1" w14:textId="77777777" w:rsidR="0040333F" w:rsidRPr="002D741C" w:rsidRDefault="0040333F" w:rsidP="0040333F">
      <w:pPr>
        <w:widowControl w:val="0"/>
        <w:rPr>
          <w:color w:val="000000"/>
          <w:sz w:val="22"/>
          <w:szCs w:val="22"/>
        </w:rPr>
      </w:pPr>
    </w:p>
    <w:p w14:paraId="20BD31F7" w14:textId="77777777" w:rsidR="0040333F" w:rsidRPr="002D741C" w:rsidRDefault="0040333F" w:rsidP="0040333F">
      <w:pPr>
        <w:widowControl w:val="0"/>
        <w:rPr>
          <w:color w:val="000000"/>
          <w:sz w:val="22"/>
          <w:szCs w:val="22"/>
        </w:rPr>
      </w:pPr>
    </w:p>
    <w:p w14:paraId="1532A268" w14:textId="77777777" w:rsidR="0040333F" w:rsidRPr="002D741C" w:rsidRDefault="0040333F" w:rsidP="0040333F">
      <w:pPr>
        <w:widowControl w:val="0"/>
        <w:rPr>
          <w:color w:val="000000"/>
          <w:sz w:val="22"/>
          <w:szCs w:val="22"/>
        </w:rPr>
      </w:pPr>
    </w:p>
    <w:p w14:paraId="528D39CF" w14:textId="77777777" w:rsidR="0040333F" w:rsidRPr="002D741C" w:rsidRDefault="0040333F" w:rsidP="0040333F">
      <w:pPr>
        <w:widowControl w:val="0"/>
        <w:rPr>
          <w:color w:val="000000"/>
          <w:sz w:val="22"/>
          <w:szCs w:val="22"/>
        </w:rPr>
      </w:pPr>
    </w:p>
    <w:p w14:paraId="0EEFA5BA" w14:textId="77777777" w:rsidR="0040333F" w:rsidRPr="002D741C" w:rsidRDefault="0040333F" w:rsidP="0040333F">
      <w:pPr>
        <w:widowControl w:val="0"/>
        <w:rPr>
          <w:color w:val="000000"/>
          <w:sz w:val="22"/>
          <w:szCs w:val="22"/>
        </w:rPr>
      </w:pPr>
    </w:p>
    <w:p w14:paraId="1AB576C9" w14:textId="77777777" w:rsidR="0040333F" w:rsidRPr="002D741C" w:rsidRDefault="0040333F" w:rsidP="0040333F">
      <w:pPr>
        <w:widowControl w:val="0"/>
        <w:rPr>
          <w:color w:val="000000"/>
          <w:sz w:val="22"/>
          <w:szCs w:val="22"/>
        </w:rPr>
      </w:pPr>
    </w:p>
    <w:p w14:paraId="3E9AC8EC" w14:textId="77777777" w:rsidR="0040333F" w:rsidRDefault="0040333F" w:rsidP="0040333F">
      <w:pPr>
        <w:widowControl w:val="0"/>
        <w:rPr>
          <w:color w:val="000000"/>
          <w:sz w:val="22"/>
          <w:szCs w:val="22"/>
        </w:rPr>
      </w:pPr>
    </w:p>
    <w:p w14:paraId="531ADFA6" w14:textId="77777777" w:rsidR="006662BC" w:rsidRPr="002D741C" w:rsidRDefault="006662BC" w:rsidP="0040333F">
      <w:pPr>
        <w:widowControl w:val="0"/>
        <w:rPr>
          <w:color w:val="000000"/>
          <w:sz w:val="22"/>
          <w:szCs w:val="22"/>
        </w:rPr>
      </w:pPr>
    </w:p>
    <w:p w14:paraId="4902BBF2" w14:textId="77777777" w:rsidR="0040333F" w:rsidRPr="002D741C" w:rsidRDefault="0040333F" w:rsidP="0040333F">
      <w:pPr>
        <w:pStyle w:val="Heading2"/>
        <w:keepNext w:val="0"/>
        <w:widowControl w:val="0"/>
        <w:rPr>
          <w:color w:val="000000"/>
          <w:szCs w:val="22"/>
          <w:lang w:val="es-ES"/>
        </w:rPr>
      </w:pPr>
      <w:r w:rsidRPr="002D741C">
        <w:rPr>
          <w:color w:val="000000"/>
          <w:szCs w:val="22"/>
          <w:lang w:val="es-ES"/>
        </w:rPr>
        <w:t xml:space="preserve">ANEXO </w:t>
      </w:r>
      <w:smartTag w:uri="urn:schemas-microsoft-com:office:smarttags" w:element="stockticker">
        <w:r w:rsidRPr="002D741C">
          <w:rPr>
            <w:color w:val="000000"/>
            <w:szCs w:val="22"/>
            <w:lang w:val="es-ES"/>
          </w:rPr>
          <w:t>III</w:t>
        </w:r>
      </w:smartTag>
    </w:p>
    <w:p w14:paraId="08F10830" w14:textId="77777777" w:rsidR="0040333F" w:rsidRPr="002D741C" w:rsidRDefault="0040333F" w:rsidP="0040333F">
      <w:pPr>
        <w:widowControl w:val="0"/>
        <w:jc w:val="center"/>
        <w:rPr>
          <w:color w:val="000000"/>
          <w:sz w:val="22"/>
          <w:szCs w:val="22"/>
        </w:rPr>
      </w:pPr>
    </w:p>
    <w:p w14:paraId="21D3C1AD" w14:textId="77777777" w:rsidR="0040333F" w:rsidRPr="002D741C" w:rsidRDefault="0040333F" w:rsidP="0040333F">
      <w:pPr>
        <w:widowControl w:val="0"/>
        <w:jc w:val="center"/>
        <w:rPr>
          <w:b/>
          <w:color w:val="000000"/>
          <w:sz w:val="22"/>
          <w:szCs w:val="22"/>
        </w:rPr>
      </w:pPr>
      <w:r w:rsidRPr="002D741C">
        <w:rPr>
          <w:b/>
          <w:color w:val="000000"/>
          <w:sz w:val="22"/>
          <w:szCs w:val="22"/>
        </w:rPr>
        <w:t>ETIQUETADO Y P</w:t>
      </w:r>
      <w:smartTag w:uri="urn:schemas-microsoft-com:office:smarttags" w:element="PersonName">
        <w:r w:rsidRPr="002D741C">
          <w:rPr>
            <w:b/>
            <w:color w:val="000000"/>
            <w:sz w:val="22"/>
            <w:szCs w:val="22"/>
          </w:rPr>
          <w:t>RO</w:t>
        </w:r>
      </w:smartTag>
      <w:r w:rsidRPr="002D741C">
        <w:rPr>
          <w:b/>
          <w:color w:val="000000"/>
          <w:sz w:val="22"/>
          <w:szCs w:val="22"/>
        </w:rPr>
        <w:t>SPECTO</w:t>
      </w:r>
    </w:p>
    <w:p w14:paraId="53B9D214" w14:textId="77777777" w:rsidR="0040333F" w:rsidRPr="002D741C" w:rsidRDefault="0040333F" w:rsidP="0040333F">
      <w:pPr>
        <w:pStyle w:val="EndnoteText"/>
        <w:widowControl w:val="0"/>
        <w:tabs>
          <w:tab w:val="clear" w:pos="567"/>
        </w:tabs>
        <w:rPr>
          <w:color w:val="000000"/>
          <w:szCs w:val="22"/>
          <w:lang w:val="es-ES"/>
        </w:rPr>
      </w:pPr>
      <w:r w:rsidRPr="002D741C">
        <w:rPr>
          <w:color w:val="000000"/>
          <w:szCs w:val="22"/>
          <w:lang w:val="es-ES"/>
        </w:rPr>
        <w:br w:type="page"/>
      </w:r>
    </w:p>
    <w:p w14:paraId="1ABD2701" w14:textId="77777777" w:rsidR="0040333F" w:rsidRPr="002D741C" w:rsidRDefault="0040333F" w:rsidP="0040333F">
      <w:pPr>
        <w:widowControl w:val="0"/>
        <w:rPr>
          <w:color w:val="000000"/>
          <w:sz w:val="22"/>
          <w:szCs w:val="22"/>
        </w:rPr>
      </w:pPr>
    </w:p>
    <w:p w14:paraId="658E0DC1" w14:textId="77777777" w:rsidR="0040333F" w:rsidRPr="002D741C" w:rsidRDefault="0040333F" w:rsidP="0040333F">
      <w:pPr>
        <w:widowControl w:val="0"/>
        <w:rPr>
          <w:color w:val="000000"/>
          <w:sz w:val="22"/>
          <w:szCs w:val="22"/>
        </w:rPr>
      </w:pPr>
    </w:p>
    <w:p w14:paraId="15B28E64" w14:textId="77777777" w:rsidR="0040333F" w:rsidRPr="002D741C" w:rsidRDefault="0040333F" w:rsidP="0040333F">
      <w:pPr>
        <w:widowControl w:val="0"/>
        <w:rPr>
          <w:color w:val="000000"/>
          <w:sz w:val="22"/>
          <w:szCs w:val="22"/>
        </w:rPr>
      </w:pPr>
    </w:p>
    <w:p w14:paraId="7E0D4DAB" w14:textId="77777777" w:rsidR="0040333F" w:rsidRPr="002D741C" w:rsidRDefault="0040333F" w:rsidP="0040333F">
      <w:pPr>
        <w:widowControl w:val="0"/>
        <w:rPr>
          <w:color w:val="000000"/>
          <w:sz w:val="22"/>
          <w:szCs w:val="22"/>
        </w:rPr>
      </w:pPr>
    </w:p>
    <w:p w14:paraId="5F6993ED" w14:textId="77777777" w:rsidR="0040333F" w:rsidRPr="002D741C" w:rsidRDefault="0040333F" w:rsidP="0040333F">
      <w:pPr>
        <w:widowControl w:val="0"/>
        <w:rPr>
          <w:color w:val="000000"/>
          <w:sz w:val="22"/>
          <w:szCs w:val="22"/>
        </w:rPr>
      </w:pPr>
    </w:p>
    <w:p w14:paraId="705CE035" w14:textId="77777777" w:rsidR="0040333F" w:rsidRPr="002D741C" w:rsidRDefault="0040333F" w:rsidP="0040333F">
      <w:pPr>
        <w:widowControl w:val="0"/>
        <w:rPr>
          <w:color w:val="000000"/>
          <w:sz w:val="22"/>
          <w:szCs w:val="22"/>
        </w:rPr>
      </w:pPr>
    </w:p>
    <w:p w14:paraId="36124DC9" w14:textId="77777777" w:rsidR="0040333F" w:rsidRPr="002D741C" w:rsidRDefault="0040333F" w:rsidP="0040333F">
      <w:pPr>
        <w:widowControl w:val="0"/>
        <w:rPr>
          <w:color w:val="000000"/>
          <w:sz w:val="22"/>
          <w:szCs w:val="22"/>
        </w:rPr>
      </w:pPr>
    </w:p>
    <w:p w14:paraId="773EEDA9" w14:textId="77777777" w:rsidR="0040333F" w:rsidRPr="002D741C" w:rsidRDefault="0040333F" w:rsidP="0040333F">
      <w:pPr>
        <w:widowControl w:val="0"/>
        <w:rPr>
          <w:color w:val="000000"/>
          <w:sz w:val="22"/>
          <w:szCs w:val="22"/>
        </w:rPr>
      </w:pPr>
    </w:p>
    <w:p w14:paraId="44305DD6" w14:textId="77777777" w:rsidR="0040333F" w:rsidRPr="002D741C" w:rsidRDefault="0040333F" w:rsidP="0040333F">
      <w:pPr>
        <w:widowControl w:val="0"/>
        <w:rPr>
          <w:color w:val="000000"/>
          <w:sz w:val="22"/>
          <w:szCs w:val="22"/>
        </w:rPr>
      </w:pPr>
    </w:p>
    <w:p w14:paraId="0E8CB4E2" w14:textId="77777777" w:rsidR="0040333F" w:rsidRPr="002D741C" w:rsidRDefault="0040333F" w:rsidP="0040333F">
      <w:pPr>
        <w:widowControl w:val="0"/>
        <w:rPr>
          <w:color w:val="000000"/>
          <w:sz w:val="22"/>
          <w:szCs w:val="22"/>
        </w:rPr>
      </w:pPr>
    </w:p>
    <w:p w14:paraId="47040949" w14:textId="77777777" w:rsidR="0040333F" w:rsidRPr="002D741C" w:rsidRDefault="0040333F" w:rsidP="0040333F">
      <w:pPr>
        <w:widowControl w:val="0"/>
        <w:rPr>
          <w:color w:val="000000"/>
          <w:sz w:val="22"/>
          <w:szCs w:val="22"/>
        </w:rPr>
      </w:pPr>
    </w:p>
    <w:p w14:paraId="00E4FE6E" w14:textId="77777777" w:rsidR="0040333F" w:rsidRPr="002D741C" w:rsidRDefault="0040333F" w:rsidP="0040333F">
      <w:pPr>
        <w:widowControl w:val="0"/>
        <w:rPr>
          <w:color w:val="000000"/>
          <w:sz w:val="22"/>
          <w:szCs w:val="22"/>
        </w:rPr>
      </w:pPr>
    </w:p>
    <w:p w14:paraId="6C016B52" w14:textId="77777777" w:rsidR="0040333F" w:rsidRPr="002D741C" w:rsidRDefault="0040333F" w:rsidP="0040333F">
      <w:pPr>
        <w:widowControl w:val="0"/>
        <w:rPr>
          <w:color w:val="000000"/>
          <w:sz w:val="22"/>
          <w:szCs w:val="22"/>
        </w:rPr>
      </w:pPr>
    </w:p>
    <w:p w14:paraId="0D7F0CD3" w14:textId="77777777" w:rsidR="0040333F" w:rsidRPr="002D741C" w:rsidRDefault="0040333F" w:rsidP="0040333F">
      <w:pPr>
        <w:widowControl w:val="0"/>
        <w:rPr>
          <w:color w:val="000000"/>
          <w:sz w:val="22"/>
          <w:szCs w:val="22"/>
        </w:rPr>
      </w:pPr>
    </w:p>
    <w:p w14:paraId="5E1BA62F" w14:textId="77777777" w:rsidR="0040333F" w:rsidRPr="002D741C" w:rsidRDefault="0040333F" w:rsidP="0040333F">
      <w:pPr>
        <w:widowControl w:val="0"/>
        <w:rPr>
          <w:color w:val="000000"/>
          <w:sz w:val="22"/>
          <w:szCs w:val="22"/>
        </w:rPr>
      </w:pPr>
    </w:p>
    <w:p w14:paraId="65C3475E" w14:textId="77777777" w:rsidR="0040333F" w:rsidRPr="002D741C" w:rsidRDefault="0040333F" w:rsidP="0040333F">
      <w:pPr>
        <w:widowControl w:val="0"/>
        <w:rPr>
          <w:color w:val="000000"/>
          <w:sz w:val="22"/>
          <w:szCs w:val="22"/>
        </w:rPr>
      </w:pPr>
    </w:p>
    <w:p w14:paraId="0F95C961" w14:textId="77777777" w:rsidR="0040333F" w:rsidRPr="002D741C" w:rsidRDefault="0040333F" w:rsidP="0040333F">
      <w:pPr>
        <w:widowControl w:val="0"/>
        <w:rPr>
          <w:color w:val="000000"/>
          <w:sz w:val="22"/>
          <w:szCs w:val="22"/>
        </w:rPr>
      </w:pPr>
    </w:p>
    <w:p w14:paraId="005B34C1" w14:textId="77777777" w:rsidR="0040333F" w:rsidRPr="002D741C" w:rsidRDefault="0040333F" w:rsidP="0040333F">
      <w:pPr>
        <w:widowControl w:val="0"/>
        <w:rPr>
          <w:color w:val="000000"/>
          <w:sz w:val="22"/>
          <w:szCs w:val="22"/>
        </w:rPr>
      </w:pPr>
    </w:p>
    <w:p w14:paraId="46039187" w14:textId="77777777" w:rsidR="0040333F" w:rsidRPr="002D741C" w:rsidRDefault="0040333F" w:rsidP="0040333F">
      <w:pPr>
        <w:widowControl w:val="0"/>
        <w:rPr>
          <w:color w:val="000000"/>
          <w:sz w:val="22"/>
          <w:szCs w:val="22"/>
        </w:rPr>
      </w:pPr>
    </w:p>
    <w:p w14:paraId="11F2B17A" w14:textId="77777777" w:rsidR="0040333F" w:rsidRPr="002D741C" w:rsidRDefault="0040333F" w:rsidP="0040333F">
      <w:pPr>
        <w:widowControl w:val="0"/>
        <w:rPr>
          <w:color w:val="000000"/>
          <w:sz w:val="22"/>
          <w:szCs w:val="22"/>
        </w:rPr>
      </w:pPr>
    </w:p>
    <w:p w14:paraId="268F577C" w14:textId="77777777" w:rsidR="0040333F" w:rsidRPr="002D741C" w:rsidRDefault="0040333F" w:rsidP="0040333F">
      <w:pPr>
        <w:widowControl w:val="0"/>
        <w:rPr>
          <w:color w:val="000000"/>
          <w:sz w:val="22"/>
          <w:szCs w:val="22"/>
        </w:rPr>
      </w:pPr>
    </w:p>
    <w:p w14:paraId="641BF26E" w14:textId="77777777" w:rsidR="0040333F" w:rsidRDefault="0040333F" w:rsidP="0040333F">
      <w:pPr>
        <w:pStyle w:val="EndnoteText"/>
        <w:widowControl w:val="0"/>
        <w:tabs>
          <w:tab w:val="clear" w:pos="567"/>
        </w:tabs>
        <w:rPr>
          <w:snapToGrid/>
          <w:color w:val="000000"/>
          <w:szCs w:val="22"/>
          <w:lang w:val="es-ES"/>
        </w:rPr>
      </w:pPr>
    </w:p>
    <w:p w14:paraId="1F30639E" w14:textId="77777777" w:rsidR="006662BC" w:rsidRPr="002D741C" w:rsidRDefault="006662BC" w:rsidP="0040333F">
      <w:pPr>
        <w:pStyle w:val="EndnoteText"/>
        <w:widowControl w:val="0"/>
        <w:tabs>
          <w:tab w:val="clear" w:pos="567"/>
        </w:tabs>
        <w:rPr>
          <w:snapToGrid/>
          <w:color w:val="000000"/>
          <w:szCs w:val="22"/>
          <w:lang w:val="es-ES"/>
        </w:rPr>
      </w:pPr>
    </w:p>
    <w:p w14:paraId="1E6A6F54" w14:textId="77777777" w:rsidR="0040333F" w:rsidRPr="002D741C" w:rsidRDefault="0040333F" w:rsidP="0040333F">
      <w:pPr>
        <w:widowControl w:val="0"/>
        <w:jc w:val="center"/>
        <w:rPr>
          <w:color w:val="000000"/>
          <w:sz w:val="22"/>
          <w:szCs w:val="22"/>
        </w:rPr>
      </w:pPr>
      <w:r w:rsidRPr="002D741C">
        <w:rPr>
          <w:b/>
          <w:color w:val="000000"/>
          <w:sz w:val="22"/>
          <w:szCs w:val="22"/>
        </w:rPr>
        <w:t>A. ETIQUETADO</w:t>
      </w:r>
    </w:p>
    <w:p w14:paraId="743DB591" w14:textId="77777777" w:rsidR="0040333F" w:rsidRPr="002D741C" w:rsidRDefault="0040333F" w:rsidP="0040333F">
      <w:pPr>
        <w:rPr>
          <w:color w:val="000000"/>
          <w:sz w:val="22"/>
          <w:szCs w:val="22"/>
        </w:rPr>
      </w:pPr>
      <w:r w:rsidRPr="002D741C">
        <w:rPr>
          <w:color w:val="000000"/>
          <w:sz w:val="22"/>
          <w:szCs w:val="22"/>
        </w:rPr>
        <w:br w:type="page"/>
      </w:r>
    </w:p>
    <w:p w14:paraId="7F0A0FA6" w14:textId="77777777" w:rsidR="006662BC" w:rsidRPr="006662BC" w:rsidRDefault="006662BC" w:rsidP="006662BC">
      <w:pPr>
        <w:jc w:val="both"/>
        <w:rPr>
          <w:color w:val="000000"/>
          <w:sz w:val="22"/>
          <w:szCs w:val="22"/>
        </w:rPr>
      </w:pPr>
    </w:p>
    <w:p w14:paraId="40075A67" w14:textId="77777777" w:rsidR="0040333F" w:rsidRPr="002D741C" w:rsidRDefault="0040333F" w:rsidP="0040333F">
      <w:pPr>
        <w:pBdr>
          <w:top w:val="single" w:sz="4" w:space="1" w:color="auto"/>
          <w:left w:val="single" w:sz="4" w:space="4" w:color="auto"/>
          <w:bottom w:val="single" w:sz="4" w:space="1" w:color="auto"/>
          <w:right w:val="single" w:sz="4" w:space="4" w:color="auto"/>
        </w:pBdr>
        <w:jc w:val="both"/>
        <w:rPr>
          <w:color w:val="000000"/>
          <w:sz w:val="22"/>
          <w:szCs w:val="22"/>
        </w:rPr>
      </w:pPr>
      <w:r w:rsidRPr="002D741C">
        <w:rPr>
          <w:b/>
          <w:color w:val="000000"/>
          <w:sz w:val="22"/>
          <w:szCs w:val="22"/>
        </w:rPr>
        <w:t xml:space="preserve">INFORMACIÓN QUE </w:t>
      </w:r>
      <w:smartTag w:uri="urn:schemas-microsoft-com:office:smarttags" w:element="PersonName">
        <w:r w:rsidRPr="002D741C">
          <w:rPr>
            <w:b/>
            <w:color w:val="000000"/>
            <w:sz w:val="22"/>
            <w:szCs w:val="22"/>
          </w:rPr>
          <w:t>DE</w:t>
        </w:r>
      </w:smartTag>
      <w:r w:rsidRPr="002D741C">
        <w:rPr>
          <w:b/>
          <w:color w:val="000000"/>
          <w:sz w:val="22"/>
          <w:szCs w:val="22"/>
        </w:rPr>
        <w:t xml:space="preserve">BE </w:t>
      </w:r>
      <w:smartTag w:uri="urn:schemas-microsoft-com:office:smarttags" w:element="PersonName">
        <w:r w:rsidRPr="002D741C">
          <w:rPr>
            <w:b/>
            <w:color w:val="000000"/>
            <w:sz w:val="22"/>
            <w:szCs w:val="22"/>
          </w:rPr>
          <w:t>FI</w:t>
        </w:r>
      </w:smartTag>
      <w:r w:rsidRPr="002D741C">
        <w:rPr>
          <w:b/>
          <w:color w:val="000000"/>
          <w:sz w:val="22"/>
          <w:szCs w:val="22"/>
        </w:rPr>
        <w:t xml:space="preserve">GURAR EN </w:t>
      </w:r>
      <w:smartTag w:uri="urn:schemas-microsoft-com:office:smarttags" w:element="PersonName">
        <w:r w:rsidRPr="002D741C">
          <w:rPr>
            <w:b/>
            <w:color w:val="000000"/>
            <w:sz w:val="22"/>
            <w:szCs w:val="22"/>
          </w:rPr>
          <w:t>EL</w:t>
        </w:r>
      </w:smartTag>
      <w:r w:rsidRPr="002D741C">
        <w:rPr>
          <w:b/>
          <w:color w:val="000000"/>
          <w:sz w:val="22"/>
          <w:szCs w:val="22"/>
        </w:rPr>
        <w:t xml:space="preserve"> EMBALAJE EXTERIOR</w:t>
      </w:r>
    </w:p>
    <w:p w14:paraId="7523E813" w14:textId="77777777" w:rsidR="0040333F" w:rsidRPr="002D741C" w:rsidRDefault="0040333F" w:rsidP="0040333F">
      <w:pPr>
        <w:pBdr>
          <w:top w:val="single" w:sz="4" w:space="1" w:color="auto"/>
          <w:left w:val="single" w:sz="4" w:space="4" w:color="auto"/>
          <w:bottom w:val="single" w:sz="4" w:space="1" w:color="auto"/>
          <w:right w:val="single" w:sz="4" w:space="4" w:color="auto"/>
        </w:pBdr>
        <w:jc w:val="both"/>
        <w:rPr>
          <w:color w:val="000000"/>
          <w:sz w:val="22"/>
          <w:szCs w:val="22"/>
        </w:rPr>
      </w:pPr>
    </w:p>
    <w:p w14:paraId="7D8B05C1" w14:textId="77777777" w:rsidR="0040333F" w:rsidRPr="002D741C" w:rsidRDefault="0040333F" w:rsidP="0040333F">
      <w:pPr>
        <w:pBdr>
          <w:top w:val="single" w:sz="4" w:space="1" w:color="auto"/>
          <w:left w:val="single" w:sz="4" w:space="4" w:color="auto"/>
          <w:bottom w:val="single" w:sz="4" w:space="1" w:color="auto"/>
          <w:right w:val="single" w:sz="4" w:space="4" w:color="auto"/>
        </w:pBdr>
        <w:rPr>
          <w:b/>
          <w:color w:val="000000"/>
          <w:sz w:val="22"/>
          <w:szCs w:val="22"/>
        </w:rPr>
      </w:pPr>
      <w:r w:rsidRPr="002D741C">
        <w:rPr>
          <w:b/>
          <w:color w:val="000000"/>
          <w:sz w:val="22"/>
          <w:szCs w:val="22"/>
        </w:rPr>
        <w:t xml:space="preserve">CAJA </w:t>
      </w:r>
      <w:smartTag w:uri="urn:schemas-microsoft-com:office:smarttags" w:element="PersonName">
        <w:r w:rsidRPr="002D741C">
          <w:rPr>
            <w:b/>
            <w:color w:val="000000"/>
            <w:sz w:val="22"/>
            <w:szCs w:val="22"/>
          </w:rPr>
          <w:t>DE</w:t>
        </w:r>
      </w:smartTag>
      <w:r w:rsidRPr="002D741C">
        <w:rPr>
          <w:b/>
          <w:color w:val="000000"/>
          <w:sz w:val="22"/>
          <w:szCs w:val="22"/>
        </w:rPr>
        <w:t xml:space="preserve"> CARTÓN</w:t>
      </w:r>
    </w:p>
    <w:p w14:paraId="5968A9D5" w14:textId="77777777" w:rsidR="0040333F" w:rsidRPr="002D741C" w:rsidRDefault="0040333F" w:rsidP="0040333F">
      <w:pPr>
        <w:rPr>
          <w:color w:val="000000"/>
          <w:sz w:val="22"/>
          <w:szCs w:val="22"/>
        </w:rPr>
      </w:pPr>
    </w:p>
    <w:p w14:paraId="1F483FCD" w14:textId="77777777" w:rsidR="0040333F" w:rsidRPr="002D741C" w:rsidRDefault="0040333F" w:rsidP="0040333F">
      <w:pPr>
        <w:rPr>
          <w:color w:val="000000"/>
          <w:sz w:val="22"/>
          <w:szCs w:val="22"/>
        </w:rPr>
      </w:pPr>
    </w:p>
    <w:p w14:paraId="31C452C5" w14:textId="77777777" w:rsidR="0040333F" w:rsidRPr="002D741C" w:rsidRDefault="0040333F" w:rsidP="0040333F">
      <w:pPr>
        <w:pBdr>
          <w:top w:val="single" w:sz="4" w:space="1" w:color="auto"/>
          <w:left w:val="single" w:sz="4" w:space="4" w:color="auto"/>
          <w:bottom w:val="single" w:sz="4" w:space="1" w:color="auto"/>
          <w:right w:val="single" w:sz="4" w:space="4" w:color="auto"/>
        </w:pBdr>
        <w:ind w:left="567" w:hanging="567"/>
        <w:rPr>
          <w:b/>
          <w:color w:val="000000"/>
          <w:sz w:val="22"/>
          <w:szCs w:val="22"/>
        </w:rPr>
      </w:pPr>
      <w:r w:rsidRPr="002D741C">
        <w:rPr>
          <w:b/>
          <w:color w:val="000000"/>
          <w:sz w:val="22"/>
          <w:szCs w:val="22"/>
        </w:rPr>
        <w:t>1.</w:t>
      </w:r>
      <w:r w:rsidRPr="002D741C">
        <w:rPr>
          <w:b/>
          <w:color w:val="000000"/>
          <w:sz w:val="22"/>
          <w:szCs w:val="22"/>
        </w:rPr>
        <w:tab/>
      </w:r>
      <w:smartTag w:uri="urn:schemas-microsoft-com:office:smarttags" w:element="PersonName">
        <w:r w:rsidRPr="002D741C">
          <w:rPr>
            <w:b/>
            <w:color w:val="000000"/>
            <w:sz w:val="22"/>
            <w:szCs w:val="22"/>
          </w:rPr>
          <w:t>NO</w:t>
        </w:r>
      </w:smartTag>
      <w:r w:rsidRPr="002D741C">
        <w:rPr>
          <w:b/>
          <w:color w:val="000000"/>
          <w:sz w:val="22"/>
          <w:szCs w:val="22"/>
        </w:rPr>
        <w:t xml:space="preserve">MBRE </w:t>
      </w:r>
      <w:smartTag w:uri="urn:schemas-microsoft-com:office:smarttags" w:element="stockticker">
        <w:smartTag w:uri="urn:schemas-microsoft-com:office:smarttags" w:element="PersonName">
          <w:r w:rsidRPr="002D741C">
            <w:rPr>
              <w:b/>
              <w:color w:val="000000"/>
              <w:sz w:val="22"/>
              <w:szCs w:val="22"/>
            </w:rPr>
            <w:t>D</w:t>
          </w:r>
          <w:smartTag w:uri="urn:schemas-microsoft-com:office:smarttags" w:element="PersonName">
            <w:r w:rsidRPr="002D741C">
              <w:rPr>
                <w:b/>
                <w:color w:val="000000"/>
                <w:sz w:val="22"/>
                <w:szCs w:val="22"/>
              </w:rPr>
              <w:t>E</w:t>
            </w:r>
          </w:smartTag>
        </w:smartTag>
        <w:r w:rsidRPr="002D741C">
          <w:rPr>
            <w:b/>
            <w:color w:val="000000"/>
            <w:sz w:val="22"/>
            <w:szCs w:val="22"/>
          </w:rPr>
          <w:t>L</w:t>
        </w:r>
      </w:smartTag>
      <w:r w:rsidRPr="002D741C">
        <w:rPr>
          <w:b/>
          <w:color w:val="000000"/>
          <w:sz w:val="22"/>
          <w:szCs w:val="22"/>
        </w:rPr>
        <w:t xml:space="preserve"> MEDICAMENTO</w:t>
      </w:r>
    </w:p>
    <w:p w14:paraId="53A82B5A" w14:textId="77777777" w:rsidR="0040333F" w:rsidRPr="002D741C" w:rsidRDefault="0040333F" w:rsidP="0040333F">
      <w:pPr>
        <w:rPr>
          <w:color w:val="000000"/>
          <w:sz w:val="22"/>
          <w:szCs w:val="22"/>
        </w:rPr>
      </w:pPr>
    </w:p>
    <w:p w14:paraId="75940916" w14:textId="77777777" w:rsidR="0040333F" w:rsidRPr="002D741C" w:rsidRDefault="0040333F" w:rsidP="0040333F">
      <w:pPr>
        <w:pStyle w:val="EndnoteText"/>
        <w:widowControl w:val="0"/>
        <w:tabs>
          <w:tab w:val="clear" w:pos="567"/>
        </w:tabs>
        <w:rPr>
          <w:color w:val="000000"/>
          <w:szCs w:val="22"/>
          <w:lang w:val="pt-BR"/>
        </w:rPr>
      </w:pPr>
      <w:r w:rsidRPr="002D741C">
        <w:rPr>
          <w:color w:val="000000"/>
          <w:szCs w:val="22"/>
          <w:lang w:val="pt-BR"/>
        </w:rPr>
        <w:t>Glivec 100 mg cápsulas duras</w:t>
      </w:r>
    </w:p>
    <w:p w14:paraId="4B2D98B0" w14:textId="77777777" w:rsidR="0040333F" w:rsidRPr="002D741C" w:rsidRDefault="00A56B0C" w:rsidP="0040333F">
      <w:pPr>
        <w:pStyle w:val="EndnoteText"/>
        <w:widowControl w:val="0"/>
        <w:tabs>
          <w:tab w:val="clear" w:pos="567"/>
        </w:tabs>
        <w:rPr>
          <w:color w:val="000000"/>
          <w:szCs w:val="22"/>
          <w:lang w:val="pt-BR"/>
        </w:rPr>
      </w:pPr>
      <w:r w:rsidRPr="002D741C">
        <w:rPr>
          <w:color w:val="000000"/>
          <w:szCs w:val="22"/>
          <w:lang w:val="pt-BR"/>
        </w:rPr>
        <w:t>i</w:t>
      </w:r>
      <w:r w:rsidR="0040333F" w:rsidRPr="002D741C">
        <w:rPr>
          <w:color w:val="000000"/>
          <w:szCs w:val="22"/>
          <w:lang w:val="pt-BR"/>
        </w:rPr>
        <w:t>matinib</w:t>
      </w:r>
    </w:p>
    <w:p w14:paraId="2F476FFB" w14:textId="77777777" w:rsidR="0040333F" w:rsidRPr="002D741C" w:rsidRDefault="0040333F" w:rsidP="0040333F">
      <w:pPr>
        <w:rPr>
          <w:color w:val="000000"/>
          <w:sz w:val="22"/>
          <w:szCs w:val="22"/>
          <w:lang w:val="pt-BR"/>
        </w:rPr>
      </w:pPr>
    </w:p>
    <w:p w14:paraId="629FB411" w14:textId="77777777" w:rsidR="0040333F" w:rsidRPr="002D741C" w:rsidRDefault="0040333F" w:rsidP="0040333F">
      <w:pPr>
        <w:rPr>
          <w:color w:val="000000"/>
          <w:sz w:val="22"/>
          <w:szCs w:val="22"/>
          <w:lang w:val="pt-BR"/>
        </w:rPr>
      </w:pPr>
    </w:p>
    <w:p w14:paraId="23CBDFBF" w14:textId="77777777" w:rsidR="0040333F" w:rsidRPr="002D741C" w:rsidRDefault="0040333F" w:rsidP="0040333F">
      <w:pPr>
        <w:pBdr>
          <w:top w:val="single" w:sz="4" w:space="1" w:color="auto"/>
          <w:left w:val="single" w:sz="4" w:space="4" w:color="auto"/>
          <w:bottom w:val="single" w:sz="4" w:space="1" w:color="auto"/>
          <w:right w:val="single" w:sz="4" w:space="4" w:color="auto"/>
        </w:pBdr>
        <w:ind w:left="567" w:hanging="567"/>
        <w:rPr>
          <w:b/>
          <w:color w:val="000000"/>
          <w:sz w:val="22"/>
          <w:szCs w:val="22"/>
          <w:lang w:val="pt-BR"/>
        </w:rPr>
      </w:pPr>
      <w:r w:rsidRPr="002D741C">
        <w:rPr>
          <w:b/>
          <w:color w:val="000000"/>
          <w:sz w:val="22"/>
          <w:szCs w:val="22"/>
          <w:lang w:val="pt-BR"/>
        </w:rPr>
        <w:t>2.</w:t>
      </w:r>
      <w:r w:rsidRPr="002D741C">
        <w:rPr>
          <w:b/>
          <w:color w:val="000000"/>
          <w:sz w:val="22"/>
          <w:szCs w:val="22"/>
          <w:lang w:val="pt-BR"/>
        </w:rPr>
        <w:tab/>
        <w:t>PRINCIPIO(S) ACTIVO(S)</w:t>
      </w:r>
    </w:p>
    <w:p w14:paraId="5F53679E" w14:textId="77777777" w:rsidR="0040333F" w:rsidRPr="002D741C" w:rsidRDefault="0040333F" w:rsidP="0040333F">
      <w:pPr>
        <w:rPr>
          <w:color w:val="000000"/>
          <w:sz w:val="22"/>
          <w:szCs w:val="22"/>
          <w:lang w:val="pt-BR"/>
        </w:rPr>
      </w:pPr>
    </w:p>
    <w:p w14:paraId="1DBB124F" w14:textId="77777777" w:rsidR="0040333F" w:rsidRPr="002D741C" w:rsidRDefault="0040333F" w:rsidP="0040333F">
      <w:pPr>
        <w:pStyle w:val="EndnoteText"/>
        <w:widowControl w:val="0"/>
        <w:tabs>
          <w:tab w:val="clear" w:pos="567"/>
        </w:tabs>
        <w:rPr>
          <w:color w:val="000000"/>
          <w:szCs w:val="22"/>
          <w:lang w:val="es-ES"/>
        </w:rPr>
      </w:pPr>
      <w:r w:rsidRPr="002D741C">
        <w:rPr>
          <w:color w:val="000000"/>
          <w:szCs w:val="22"/>
          <w:lang w:val="es-ES"/>
        </w:rPr>
        <w:t>Cada cápsula contiene 100 mg de imatinib (como mesilato).</w:t>
      </w:r>
    </w:p>
    <w:p w14:paraId="2CBA287B" w14:textId="77777777" w:rsidR="0040333F" w:rsidRPr="002D741C" w:rsidRDefault="0040333F" w:rsidP="0040333F">
      <w:pPr>
        <w:rPr>
          <w:color w:val="000000"/>
          <w:sz w:val="22"/>
          <w:szCs w:val="22"/>
        </w:rPr>
      </w:pPr>
    </w:p>
    <w:p w14:paraId="7CAFD0F8" w14:textId="77777777" w:rsidR="0040333F" w:rsidRPr="002D741C" w:rsidRDefault="0040333F" w:rsidP="0040333F">
      <w:pPr>
        <w:rPr>
          <w:color w:val="000000"/>
          <w:sz w:val="22"/>
          <w:szCs w:val="22"/>
        </w:rPr>
      </w:pPr>
    </w:p>
    <w:p w14:paraId="7FF0B592" w14:textId="77777777" w:rsidR="0040333F" w:rsidRPr="002D741C" w:rsidRDefault="0040333F" w:rsidP="0040333F">
      <w:pPr>
        <w:pBdr>
          <w:top w:val="single" w:sz="4" w:space="1" w:color="auto"/>
          <w:left w:val="single" w:sz="4" w:space="4" w:color="auto"/>
          <w:bottom w:val="single" w:sz="4" w:space="1" w:color="auto"/>
          <w:right w:val="single" w:sz="4" w:space="4" w:color="auto"/>
        </w:pBdr>
        <w:ind w:left="567" w:hanging="567"/>
        <w:rPr>
          <w:b/>
          <w:color w:val="000000"/>
          <w:sz w:val="22"/>
          <w:szCs w:val="22"/>
        </w:rPr>
      </w:pPr>
      <w:r w:rsidRPr="002D741C">
        <w:rPr>
          <w:b/>
          <w:color w:val="000000"/>
          <w:sz w:val="22"/>
          <w:szCs w:val="22"/>
        </w:rPr>
        <w:t>3.</w:t>
      </w:r>
      <w:r w:rsidRPr="002D741C">
        <w:rPr>
          <w:b/>
          <w:color w:val="000000"/>
          <w:sz w:val="22"/>
          <w:szCs w:val="22"/>
        </w:rPr>
        <w:tab/>
        <w:t>L</w:t>
      </w:r>
      <w:smartTag w:uri="urn:schemas-microsoft-com:office:smarttags" w:element="PersonName">
        <w:r w:rsidRPr="002D741C">
          <w:rPr>
            <w:b/>
            <w:color w:val="000000"/>
            <w:sz w:val="22"/>
            <w:szCs w:val="22"/>
          </w:rPr>
          <w:t>IS</w:t>
        </w:r>
      </w:smartTag>
      <w:r w:rsidRPr="002D741C">
        <w:rPr>
          <w:b/>
          <w:color w:val="000000"/>
          <w:sz w:val="22"/>
          <w:szCs w:val="22"/>
        </w:rPr>
        <w:t xml:space="preserve">TA </w:t>
      </w:r>
      <w:smartTag w:uri="urn:schemas-microsoft-com:office:smarttags" w:element="PersonName">
        <w:r w:rsidRPr="002D741C">
          <w:rPr>
            <w:b/>
            <w:color w:val="000000"/>
            <w:sz w:val="22"/>
            <w:szCs w:val="22"/>
          </w:rPr>
          <w:t>DE</w:t>
        </w:r>
      </w:smartTag>
      <w:r w:rsidRPr="002D741C">
        <w:rPr>
          <w:b/>
          <w:color w:val="000000"/>
          <w:sz w:val="22"/>
          <w:szCs w:val="22"/>
        </w:rPr>
        <w:t xml:space="preserve"> EXCIPIENTES</w:t>
      </w:r>
    </w:p>
    <w:p w14:paraId="5072AF6E" w14:textId="77777777" w:rsidR="0040333F" w:rsidRPr="002D741C" w:rsidRDefault="0040333F" w:rsidP="0040333F">
      <w:pPr>
        <w:rPr>
          <w:color w:val="000000"/>
          <w:sz w:val="22"/>
          <w:szCs w:val="22"/>
        </w:rPr>
      </w:pPr>
    </w:p>
    <w:p w14:paraId="5AC0DF82" w14:textId="77777777" w:rsidR="0040333F" w:rsidRPr="002D741C" w:rsidRDefault="0040333F" w:rsidP="0040333F">
      <w:pPr>
        <w:rPr>
          <w:color w:val="000000"/>
          <w:sz w:val="22"/>
          <w:szCs w:val="22"/>
        </w:rPr>
      </w:pPr>
    </w:p>
    <w:p w14:paraId="344B622F" w14:textId="77777777" w:rsidR="0040333F" w:rsidRPr="002D741C" w:rsidRDefault="0040333F" w:rsidP="0040333F">
      <w:pPr>
        <w:pBdr>
          <w:top w:val="single" w:sz="4" w:space="1" w:color="auto"/>
          <w:left w:val="single" w:sz="4" w:space="4" w:color="auto"/>
          <w:bottom w:val="single" w:sz="4" w:space="1" w:color="auto"/>
          <w:right w:val="single" w:sz="4" w:space="4" w:color="auto"/>
        </w:pBdr>
        <w:ind w:left="567" w:hanging="567"/>
        <w:rPr>
          <w:b/>
          <w:color w:val="000000"/>
          <w:sz w:val="22"/>
          <w:szCs w:val="22"/>
        </w:rPr>
      </w:pPr>
      <w:r w:rsidRPr="002D741C">
        <w:rPr>
          <w:b/>
          <w:color w:val="000000"/>
          <w:sz w:val="22"/>
          <w:szCs w:val="22"/>
        </w:rPr>
        <w:t>4.</w:t>
      </w:r>
      <w:r w:rsidRPr="002D741C">
        <w:rPr>
          <w:b/>
          <w:color w:val="000000"/>
          <w:sz w:val="22"/>
          <w:szCs w:val="22"/>
        </w:rPr>
        <w:tab/>
        <w:t xml:space="preserve">FORMA FARMACÉUTICA Y CONTENIDO </w:t>
      </w:r>
      <w:smartTag w:uri="urn:schemas-microsoft-com:office:smarttags" w:element="stockticker">
        <w:smartTag w:uri="urn:schemas-microsoft-com:office:smarttags" w:element="PersonName">
          <w:r w:rsidRPr="002D741C">
            <w:rPr>
              <w:b/>
              <w:color w:val="000000"/>
              <w:sz w:val="22"/>
              <w:szCs w:val="22"/>
            </w:rPr>
            <w:t>D</w:t>
          </w:r>
          <w:smartTag w:uri="urn:schemas-microsoft-com:office:smarttags" w:element="PersonName">
            <w:r w:rsidRPr="002D741C">
              <w:rPr>
                <w:b/>
                <w:color w:val="000000"/>
                <w:sz w:val="22"/>
                <w:szCs w:val="22"/>
              </w:rPr>
              <w:t>E</w:t>
            </w:r>
          </w:smartTag>
        </w:smartTag>
        <w:r w:rsidRPr="002D741C">
          <w:rPr>
            <w:b/>
            <w:color w:val="000000"/>
            <w:sz w:val="22"/>
            <w:szCs w:val="22"/>
          </w:rPr>
          <w:t>L</w:t>
        </w:r>
      </w:smartTag>
      <w:r w:rsidRPr="002D741C">
        <w:rPr>
          <w:b/>
          <w:color w:val="000000"/>
          <w:sz w:val="22"/>
          <w:szCs w:val="22"/>
        </w:rPr>
        <w:t xml:space="preserve"> ENVA</w:t>
      </w:r>
      <w:smartTag w:uri="urn:schemas-microsoft-com:office:smarttags" w:element="PersonName">
        <w:r w:rsidRPr="002D741C">
          <w:rPr>
            <w:b/>
            <w:color w:val="000000"/>
            <w:sz w:val="22"/>
            <w:szCs w:val="22"/>
          </w:rPr>
          <w:t>SE</w:t>
        </w:r>
      </w:smartTag>
    </w:p>
    <w:p w14:paraId="4B026463" w14:textId="77777777" w:rsidR="0040333F" w:rsidRPr="002D741C" w:rsidRDefault="0040333F" w:rsidP="0040333F">
      <w:pPr>
        <w:rPr>
          <w:color w:val="000000"/>
          <w:sz w:val="22"/>
          <w:szCs w:val="22"/>
        </w:rPr>
      </w:pPr>
    </w:p>
    <w:p w14:paraId="35D21676" w14:textId="77777777" w:rsidR="0040333F" w:rsidRPr="002D741C" w:rsidRDefault="0040333F" w:rsidP="0040333F">
      <w:pPr>
        <w:widowControl w:val="0"/>
        <w:rPr>
          <w:color w:val="000000"/>
          <w:sz w:val="22"/>
          <w:szCs w:val="22"/>
          <w:lang w:val="pt-BR"/>
        </w:rPr>
      </w:pPr>
      <w:r w:rsidRPr="002D741C">
        <w:rPr>
          <w:color w:val="000000"/>
          <w:sz w:val="22"/>
          <w:szCs w:val="22"/>
          <w:lang w:val="pt-BR"/>
        </w:rPr>
        <w:t>24 cápsulas duras</w:t>
      </w:r>
    </w:p>
    <w:p w14:paraId="57B4874E" w14:textId="77777777" w:rsidR="0040333F" w:rsidRPr="002D741C" w:rsidRDefault="0040333F" w:rsidP="0040333F">
      <w:pPr>
        <w:rPr>
          <w:color w:val="000000"/>
          <w:sz w:val="22"/>
          <w:szCs w:val="22"/>
          <w:shd w:val="clear" w:color="auto" w:fill="D9D9D9"/>
          <w:lang w:val="pt-BR"/>
        </w:rPr>
      </w:pPr>
      <w:r w:rsidRPr="002D741C">
        <w:rPr>
          <w:color w:val="000000"/>
          <w:sz w:val="22"/>
          <w:szCs w:val="22"/>
          <w:shd w:val="clear" w:color="auto" w:fill="D9D9D9"/>
          <w:lang w:val="pt-BR"/>
        </w:rPr>
        <w:t>48 cápsulas duras</w:t>
      </w:r>
    </w:p>
    <w:p w14:paraId="43B79E64" w14:textId="77777777" w:rsidR="0040333F" w:rsidRPr="002D741C" w:rsidRDefault="0040333F" w:rsidP="0040333F">
      <w:pPr>
        <w:rPr>
          <w:color w:val="000000"/>
          <w:sz w:val="22"/>
          <w:szCs w:val="22"/>
          <w:shd w:val="clear" w:color="auto" w:fill="D9D9D9"/>
          <w:lang w:val="pt-BR"/>
        </w:rPr>
      </w:pPr>
      <w:r w:rsidRPr="002D741C">
        <w:rPr>
          <w:color w:val="000000"/>
          <w:sz w:val="22"/>
          <w:szCs w:val="22"/>
          <w:shd w:val="clear" w:color="auto" w:fill="D9D9D9"/>
          <w:lang w:val="pt-BR"/>
        </w:rPr>
        <w:t>96 cápsulas duras</w:t>
      </w:r>
    </w:p>
    <w:p w14:paraId="7644411C" w14:textId="77777777" w:rsidR="0040333F" w:rsidRPr="002D741C" w:rsidRDefault="0040333F" w:rsidP="0040333F">
      <w:pPr>
        <w:rPr>
          <w:color w:val="000000"/>
          <w:sz w:val="22"/>
          <w:szCs w:val="22"/>
          <w:shd w:val="clear" w:color="auto" w:fill="D9D9D9"/>
        </w:rPr>
      </w:pPr>
      <w:r w:rsidRPr="002D741C">
        <w:rPr>
          <w:color w:val="000000"/>
          <w:sz w:val="22"/>
          <w:szCs w:val="22"/>
          <w:shd w:val="clear" w:color="auto" w:fill="D9D9D9"/>
        </w:rPr>
        <w:t>120 cápsulas duras</w:t>
      </w:r>
    </w:p>
    <w:p w14:paraId="3382C6C2" w14:textId="77777777" w:rsidR="0040333F" w:rsidRPr="002D741C" w:rsidRDefault="0040333F" w:rsidP="0040333F">
      <w:pPr>
        <w:rPr>
          <w:color w:val="000000"/>
          <w:sz w:val="22"/>
          <w:szCs w:val="22"/>
          <w:shd w:val="clear" w:color="auto" w:fill="D9D9D9"/>
        </w:rPr>
      </w:pPr>
      <w:r w:rsidRPr="002D741C">
        <w:rPr>
          <w:color w:val="000000"/>
          <w:sz w:val="22"/>
          <w:szCs w:val="22"/>
          <w:shd w:val="clear" w:color="auto" w:fill="D9D9D9"/>
        </w:rPr>
        <w:t>180 cápsulas duras</w:t>
      </w:r>
    </w:p>
    <w:p w14:paraId="3B0FD66C" w14:textId="77777777" w:rsidR="0040333F" w:rsidRPr="002D741C" w:rsidRDefault="0040333F" w:rsidP="0040333F">
      <w:pPr>
        <w:rPr>
          <w:color w:val="000000"/>
          <w:sz w:val="22"/>
          <w:szCs w:val="22"/>
        </w:rPr>
      </w:pPr>
    </w:p>
    <w:p w14:paraId="69A1ADD2" w14:textId="77777777" w:rsidR="0040333F" w:rsidRPr="002D741C" w:rsidRDefault="0040333F" w:rsidP="0040333F">
      <w:pPr>
        <w:rPr>
          <w:color w:val="000000"/>
          <w:sz w:val="22"/>
          <w:szCs w:val="22"/>
        </w:rPr>
      </w:pPr>
    </w:p>
    <w:p w14:paraId="7A964127" w14:textId="77777777" w:rsidR="0040333F" w:rsidRPr="002D741C" w:rsidRDefault="0040333F" w:rsidP="0040333F">
      <w:pPr>
        <w:pBdr>
          <w:top w:val="single" w:sz="4" w:space="1" w:color="auto"/>
          <w:left w:val="single" w:sz="4" w:space="4" w:color="auto"/>
          <w:bottom w:val="single" w:sz="4" w:space="1" w:color="auto"/>
          <w:right w:val="single" w:sz="4" w:space="4" w:color="auto"/>
        </w:pBdr>
        <w:ind w:left="567" w:hanging="567"/>
        <w:rPr>
          <w:b/>
          <w:color w:val="000000"/>
          <w:sz w:val="22"/>
          <w:szCs w:val="22"/>
        </w:rPr>
      </w:pPr>
      <w:r w:rsidRPr="002D741C">
        <w:rPr>
          <w:b/>
          <w:color w:val="000000"/>
          <w:sz w:val="22"/>
          <w:szCs w:val="22"/>
        </w:rPr>
        <w:t>5.</w:t>
      </w:r>
      <w:r w:rsidRPr="002D741C">
        <w:rPr>
          <w:b/>
          <w:color w:val="000000"/>
          <w:sz w:val="22"/>
          <w:szCs w:val="22"/>
        </w:rPr>
        <w:tab/>
        <w:t xml:space="preserve">FORMA Y VÍA(S) </w:t>
      </w:r>
      <w:smartTag w:uri="urn:schemas-microsoft-com:office:smarttags" w:element="PersonName">
        <w:r w:rsidRPr="002D741C">
          <w:rPr>
            <w:b/>
            <w:color w:val="000000"/>
            <w:sz w:val="22"/>
            <w:szCs w:val="22"/>
          </w:rPr>
          <w:t>DE</w:t>
        </w:r>
      </w:smartTag>
      <w:r w:rsidRPr="002D741C">
        <w:rPr>
          <w:b/>
          <w:color w:val="000000"/>
          <w:sz w:val="22"/>
          <w:szCs w:val="22"/>
        </w:rPr>
        <w:t xml:space="preserve"> ADMIN</w:t>
      </w:r>
      <w:smartTag w:uri="urn:schemas-microsoft-com:office:smarttags" w:element="PersonName">
        <w:r w:rsidRPr="002D741C">
          <w:rPr>
            <w:b/>
            <w:color w:val="000000"/>
            <w:sz w:val="22"/>
            <w:szCs w:val="22"/>
          </w:rPr>
          <w:t>IS</w:t>
        </w:r>
      </w:smartTag>
      <w:r w:rsidRPr="002D741C">
        <w:rPr>
          <w:b/>
          <w:color w:val="000000"/>
          <w:sz w:val="22"/>
          <w:szCs w:val="22"/>
        </w:rPr>
        <w:t>TRACIÓN</w:t>
      </w:r>
    </w:p>
    <w:p w14:paraId="714E7CA3" w14:textId="77777777" w:rsidR="0040333F" w:rsidRPr="002D741C" w:rsidRDefault="0040333F" w:rsidP="0040333F">
      <w:pPr>
        <w:rPr>
          <w:color w:val="000000"/>
          <w:sz w:val="22"/>
          <w:szCs w:val="22"/>
        </w:rPr>
      </w:pPr>
    </w:p>
    <w:p w14:paraId="6B1062A3" w14:textId="77777777" w:rsidR="0040333F" w:rsidRPr="002D741C" w:rsidRDefault="0040333F" w:rsidP="0040333F">
      <w:pPr>
        <w:widowControl w:val="0"/>
        <w:rPr>
          <w:color w:val="000000"/>
          <w:sz w:val="22"/>
          <w:szCs w:val="22"/>
        </w:rPr>
      </w:pPr>
      <w:r w:rsidRPr="002D741C">
        <w:rPr>
          <w:color w:val="000000"/>
          <w:sz w:val="22"/>
          <w:szCs w:val="22"/>
        </w:rPr>
        <w:t>Vía oral. Leer el prospecto antes de utilizar este medicamento.</w:t>
      </w:r>
    </w:p>
    <w:p w14:paraId="6EA4F6EE" w14:textId="77777777" w:rsidR="0040333F" w:rsidRPr="002D741C" w:rsidRDefault="0040333F" w:rsidP="0040333F">
      <w:pPr>
        <w:rPr>
          <w:color w:val="000000"/>
          <w:sz w:val="22"/>
          <w:szCs w:val="22"/>
        </w:rPr>
      </w:pPr>
    </w:p>
    <w:p w14:paraId="49A20212" w14:textId="77777777" w:rsidR="0040333F" w:rsidRPr="002D741C" w:rsidRDefault="0040333F" w:rsidP="0040333F">
      <w:pPr>
        <w:rPr>
          <w:color w:val="000000"/>
          <w:sz w:val="22"/>
          <w:szCs w:val="22"/>
        </w:rPr>
      </w:pPr>
    </w:p>
    <w:p w14:paraId="67363EE2" w14:textId="77777777" w:rsidR="0040333F" w:rsidRPr="002D741C" w:rsidRDefault="0040333F" w:rsidP="0040333F">
      <w:pPr>
        <w:pBdr>
          <w:top w:val="single" w:sz="4" w:space="1" w:color="auto"/>
          <w:left w:val="single" w:sz="4" w:space="4" w:color="auto"/>
          <w:bottom w:val="single" w:sz="4" w:space="1" w:color="auto"/>
          <w:right w:val="single" w:sz="4" w:space="4" w:color="auto"/>
        </w:pBdr>
        <w:ind w:left="567" w:hanging="567"/>
        <w:rPr>
          <w:b/>
          <w:color w:val="000000"/>
          <w:sz w:val="22"/>
          <w:szCs w:val="22"/>
        </w:rPr>
      </w:pPr>
      <w:r w:rsidRPr="002D741C">
        <w:rPr>
          <w:b/>
          <w:color w:val="000000"/>
          <w:sz w:val="22"/>
          <w:szCs w:val="22"/>
        </w:rPr>
        <w:t>6.</w:t>
      </w:r>
      <w:r w:rsidRPr="002D741C">
        <w:rPr>
          <w:b/>
          <w:color w:val="000000"/>
          <w:sz w:val="22"/>
          <w:szCs w:val="22"/>
        </w:rPr>
        <w:tab/>
        <w:t xml:space="preserve">ADVERTENCIA ESPECIAL </w:t>
      </w:r>
      <w:smartTag w:uri="urn:schemas-microsoft-com:office:smarttags" w:element="PersonName">
        <w:r w:rsidRPr="002D741C">
          <w:rPr>
            <w:b/>
            <w:color w:val="000000"/>
            <w:sz w:val="22"/>
            <w:szCs w:val="22"/>
          </w:rPr>
          <w:t>DE</w:t>
        </w:r>
      </w:smartTag>
      <w:r w:rsidRPr="002D741C">
        <w:rPr>
          <w:b/>
          <w:color w:val="000000"/>
          <w:sz w:val="22"/>
          <w:szCs w:val="22"/>
        </w:rPr>
        <w:t xml:space="preserve"> QUE </w:t>
      </w:r>
      <w:smartTag w:uri="urn:schemas-microsoft-com:office:smarttags" w:element="PersonName">
        <w:r w:rsidRPr="002D741C">
          <w:rPr>
            <w:b/>
            <w:color w:val="000000"/>
            <w:sz w:val="22"/>
            <w:szCs w:val="22"/>
          </w:rPr>
          <w:t>EL</w:t>
        </w:r>
      </w:smartTag>
      <w:r w:rsidRPr="002D741C">
        <w:rPr>
          <w:b/>
          <w:color w:val="000000"/>
          <w:sz w:val="22"/>
          <w:szCs w:val="22"/>
        </w:rPr>
        <w:t xml:space="preserve"> MEDICAMENTO </w:t>
      </w:r>
      <w:smartTag w:uri="urn:schemas-microsoft-com:office:smarttags" w:element="PersonName">
        <w:r w:rsidRPr="002D741C">
          <w:rPr>
            <w:b/>
            <w:color w:val="000000"/>
            <w:sz w:val="22"/>
            <w:szCs w:val="22"/>
          </w:rPr>
          <w:t>DE</w:t>
        </w:r>
      </w:smartTag>
      <w:r w:rsidRPr="002D741C">
        <w:rPr>
          <w:b/>
          <w:color w:val="000000"/>
          <w:sz w:val="22"/>
          <w:szCs w:val="22"/>
        </w:rPr>
        <w:t>BE MANTENER</w:t>
      </w:r>
      <w:smartTag w:uri="urn:schemas-microsoft-com:office:smarttags" w:element="PersonName">
        <w:r w:rsidRPr="002D741C">
          <w:rPr>
            <w:b/>
            <w:color w:val="000000"/>
            <w:sz w:val="22"/>
            <w:szCs w:val="22"/>
          </w:rPr>
          <w:t>SE</w:t>
        </w:r>
      </w:smartTag>
      <w:r w:rsidRPr="002D741C">
        <w:rPr>
          <w:b/>
          <w:color w:val="000000"/>
          <w:sz w:val="22"/>
          <w:szCs w:val="22"/>
        </w:rPr>
        <w:t xml:space="preserve"> FUERA </w:t>
      </w:r>
      <w:smartTag w:uri="urn:schemas-microsoft-com:office:smarttags" w:element="PersonName">
        <w:r w:rsidRPr="002D741C">
          <w:rPr>
            <w:b/>
            <w:color w:val="000000"/>
            <w:sz w:val="22"/>
            <w:szCs w:val="22"/>
          </w:rPr>
          <w:t>DE</w:t>
        </w:r>
      </w:smartTag>
      <w:r w:rsidRPr="002D741C">
        <w:rPr>
          <w:b/>
          <w:color w:val="000000"/>
          <w:sz w:val="22"/>
          <w:szCs w:val="22"/>
        </w:rPr>
        <w:t xml:space="preserve"> </w:t>
      </w:r>
      <w:smartTag w:uri="urn:schemas-microsoft-com:office:smarttags" w:element="PersonName">
        <w:smartTagPr>
          <w:attr w:name="ProductID" w:val="LA VISTA Y"/>
        </w:smartTagPr>
        <w:r w:rsidRPr="002D741C">
          <w:rPr>
            <w:b/>
            <w:color w:val="000000"/>
            <w:sz w:val="22"/>
            <w:szCs w:val="22"/>
          </w:rPr>
          <w:t>LA V</w:t>
        </w:r>
        <w:smartTag w:uri="urn:schemas-microsoft-com:office:smarttags" w:element="PersonName">
          <w:r w:rsidRPr="002D741C">
            <w:rPr>
              <w:b/>
              <w:color w:val="000000"/>
              <w:sz w:val="22"/>
              <w:szCs w:val="22"/>
            </w:rPr>
            <w:t>IS</w:t>
          </w:r>
        </w:smartTag>
        <w:r w:rsidRPr="002D741C">
          <w:rPr>
            <w:b/>
            <w:color w:val="000000"/>
            <w:sz w:val="22"/>
            <w:szCs w:val="22"/>
          </w:rPr>
          <w:t>TA Y</w:t>
        </w:r>
      </w:smartTag>
      <w:r w:rsidRPr="002D741C">
        <w:rPr>
          <w:b/>
          <w:color w:val="000000"/>
          <w:sz w:val="22"/>
          <w:szCs w:val="22"/>
        </w:rPr>
        <w:t xml:space="preserve"> </w:t>
      </w:r>
      <w:smartTag w:uri="urn:schemas-microsoft-com:office:smarttags" w:element="stockticker">
        <w:smartTag w:uri="urn:schemas-microsoft-com:office:smarttags" w:element="PersonName">
          <w:r w:rsidRPr="002D741C">
            <w:rPr>
              <w:b/>
              <w:color w:val="000000"/>
              <w:sz w:val="22"/>
              <w:szCs w:val="22"/>
            </w:rPr>
            <w:t>D</w:t>
          </w:r>
          <w:smartTag w:uri="urn:schemas-microsoft-com:office:smarttags" w:element="PersonName">
            <w:r w:rsidRPr="002D741C">
              <w:rPr>
                <w:b/>
                <w:color w:val="000000"/>
                <w:sz w:val="22"/>
                <w:szCs w:val="22"/>
              </w:rPr>
              <w:t>E</w:t>
            </w:r>
          </w:smartTag>
        </w:smartTag>
        <w:r w:rsidRPr="002D741C">
          <w:rPr>
            <w:b/>
            <w:color w:val="000000"/>
            <w:sz w:val="22"/>
            <w:szCs w:val="22"/>
          </w:rPr>
          <w:t>L</w:t>
        </w:r>
      </w:smartTag>
      <w:r w:rsidRPr="002D741C">
        <w:rPr>
          <w:b/>
          <w:color w:val="000000"/>
          <w:sz w:val="22"/>
          <w:szCs w:val="22"/>
        </w:rPr>
        <w:t xml:space="preserve"> ALCANCE </w:t>
      </w:r>
      <w:smartTag w:uri="urn:schemas-microsoft-com:office:smarttags" w:element="PersonName">
        <w:r w:rsidRPr="002D741C">
          <w:rPr>
            <w:b/>
            <w:color w:val="000000"/>
            <w:sz w:val="22"/>
            <w:szCs w:val="22"/>
          </w:rPr>
          <w:t>DE</w:t>
        </w:r>
      </w:smartTag>
      <w:r w:rsidRPr="002D741C">
        <w:rPr>
          <w:b/>
          <w:color w:val="000000"/>
          <w:sz w:val="22"/>
          <w:szCs w:val="22"/>
        </w:rPr>
        <w:t xml:space="preserve"> LOS NIÑOS</w:t>
      </w:r>
    </w:p>
    <w:p w14:paraId="271755D8" w14:textId="77777777" w:rsidR="0040333F" w:rsidRPr="002D741C" w:rsidRDefault="0040333F" w:rsidP="0040333F">
      <w:pPr>
        <w:rPr>
          <w:color w:val="000000"/>
          <w:sz w:val="22"/>
          <w:szCs w:val="22"/>
        </w:rPr>
      </w:pPr>
    </w:p>
    <w:p w14:paraId="45450EF8" w14:textId="77777777" w:rsidR="0040333F" w:rsidRPr="002D741C" w:rsidRDefault="0040333F" w:rsidP="0040333F">
      <w:pPr>
        <w:widowControl w:val="0"/>
        <w:rPr>
          <w:color w:val="000000"/>
          <w:sz w:val="22"/>
          <w:szCs w:val="22"/>
        </w:rPr>
      </w:pPr>
      <w:r w:rsidRPr="002D741C">
        <w:rPr>
          <w:color w:val="000000"/>
          <w:sz w:val="22"/>
          <w:szCs w:val="22"/>
        </w:rPr>
        <w:t xml:space="preserve">Mantener fuera </w:t>
      </w:r>
      <w:r w:rsidR="00C15D22" w:rsidRPr="002D741C">
        <w:rPr>
          <w:color w:val="000000"/>
          <w:sz w:val="22"/>
          <w:szCs w:val="22"/>
        </w:rPr>
        <w:t xml:space="preserve">de la vista y </w:t>
      </w:r>
      <w:r w:rsidRPr="002D741C">
        <w:rPr>
          <w:color w:val="000000"/>
          <w:sz w:val="22"/>
          <w:szCs w:val="22"/>
        </w:rPr>
        <w:t>del alcance de los niños.</w:t>
      </w:r>
    </w:p>
    <w:p w14:paraId="055C0F39" w14:textId="77777777" w:rsidR="0040333F" w:rsidRPr="002D741C" w:rsidRDefault="0040333F" w:rsidP="0040333F">
      <w:pPr>
        <w:rPr>
          <w:color w:val="000000"/>
          <w:sz w:val="22"/>
          <w:szCs w:val="22"/>
        </w:rPr>
      </w:pPr>
    </w:p>
    <w:p w14:paraId="37C0A9FE" w14:textId="77777777" w:rsidR="0040333F" w:rsidRPr="002D741C" w:rsidRDefault="0040333F" w:rsidP="0040333F">
      <w:pPr>
        <w:rPr>
          <w:color w:val="000000"/>
          <w:sz w:val="22"/>
          <w:szCs w:val="22"/>
        </w:rPr>
      </w:pPr>
    </w:p>
    <w:p w14:paraId="75463629" w14:textId="77777777" w:rsidR="0040333F" w:rsidRPr="002D741C" w:rsidRDefault="0040333F" w:rsidP="0040333F">
      <w:pPr>
        <w:pBdr>
          <w:top w:val="single" w:sz="4" w:space="1" w:color="auto"/>
          <w:left w:val="single" w:sz="4" w:space="4" w:color="auto"/>
          <w:bottom w:val="single" w:sz="4" w:space="1" w:color="auto"/>
          <w:right w:val="single" w:sz="4" w:space="4" w:color="auto"/>
        </w:pBdr>
        <w:ind w:left="567" w:hanging="567"/>
        <w:rPr>
          <w:b/>
          <w:color w:val="000000"/>
          <w:sz w:val="22"/>
          <w:szCs w:val="22"/>
        </w:rPr>
      </w:pPr>
      <w:r w:rsidRPr="002D741C">
        <w:rPr>
          <w:b/>
          <w:color w:val="000000"/>
          <w:sz w:val="22"/>
          <w:szCs w:val="22"/>
        </w:rPr>
        <w:t>7.</w:t>
      </w:r>
      <w:r w:rsidRPr="002D741C">
        <w:rPr>
          <w:b/>
          <w:color w:val="000000"/>
          <w:sz w:val="22"/>
          <w:szCs w:val="22"/>
        </w:rPr>
        <w:tab/>
        <w:t xml:space="preserve">OTRA(S) ADVERTENCIA(S) ESPECIAL(ES), </w:t>
      </w:r>
      <w:smartTag w:uri="urn:schemas-microsoft-com:office:smarttags" w:element="PersonName">
        <w:r w:rsidRPr="002D741C">
          <w:rPr>
            <w:b/>
            <w:color w:val="000000"/>
            <w:sz w:val="22"/>
            <w:szCs w:val="22"/>
          </w:rPr>
          <w:t>SI</w:t>
        </w:r>
      </w:smartTag>
      <w:r w:rsidRPr="002D741C">
        <w:rPr>
          <w:b/>
          <w:color w:val="000000"/>
          <w:sz w:val="22"/>
          <w:szCs w:val="22"/>
        </w:rPr>
        <w:t xml:space="preserve"> ES NECESARIO</w:t>
      </w:r>
    </w:p>
    <w:p w14:paraId="2198A846" w14:textId="77777777" w:rsidR="0040333F" w:rsidRPr="002D741C" w:rsidRDefault="0040333F" w:rsidP="0040333F">
      <w:pPr>
        <w:rPr>
          <w:color w:val="000000"/>
          <w:sz w:val="22"/>
          <w:szCs w:val="22"/>
        </w:rPr>
      </w:pPr>
    </w:p>
    <w:p w14:paraId="787C5620" w14:textId="77777777" w:rsidR="0040333F" w:rsidRPr="002D741C" w:rsidRDefault="0040333F" w:rsidP="0040333F">
      <w:pPr>
        <w:widowControl w:val="0"/>
        <w:rPr>
          <w:color w:val="000000"/>
          <w:sz w:val="22"/>
          <w:szCs w:val="22"/>
        </w:rPr>
      </w:pPr>
      <w:r w:rsidRPr="002D741C">
        <w:rPr>
          <w:color w:val="000000"/>
          <w:sz w:val="22"/>
          <w:szCs w:val="22"/>
        </w:rPr>
        <w:t>Utilizar únicamente como le indique un médico.</w:t>
      </w:r>
    </w:p>
    <w:p w14:paraId="5500FB84" w14:textId="77777777" w:rsidR="0040333F" w:rsidRPr="002D741C" w:rsidRDefault="0040333F" w:rsidP="0040333F">
      <w:pPr>
        <w:tabs>
          <w:tab w:val="left" w:pos="993"/>
        </w:tabs>
        <w:rPr>
          <w:color w:val="000000"/>
          <w:sz w:val="22"/>
          <w:szCs w:val="22"/>
        </w:rPr>
      </w:pPr>
    </w:p>
    <w:p w14:paraId="21BDD464" w14:textId="77777777" w:rsidR="0040333F" w:rsidRPr="002D741C" w:rsidRDefault="0040333F" w:rsidP="0040333F">
      <w:pPr>
        <w:tabs>
          <w:tab w:val="left" w:pos="993"/>
        </w:tabs>
        <w:rPr>
          <w:color w:val="000000"/>
          <w:sz w:val="22"/>
          <w:szCs w:val="22"/>
        </w:rPr>
      </w:pPr>
    </w:p>
    <w:p w14:paraId="0A89C737" w14:textId="77777777" w:rsidR="0040333F" w:rsidRPr="002D741C" w:rsidRDefault="0040333F" w:rsidP="0040333F">
      <w:pPr>
        <w:pBdr>
          <w:top w:val="single" w:sz="4" w:space="1" w:color="auto"/>
          <w:left w:val="single" w:sz="4" w:space="4" w:color="auto"/>
          <w:bottom w:val="single" w:sz="4" w:space="1" w:color="auto"/>
          <w:right w:val="single" w:sz="4" w:space="4" w:color="auto"/>
        </w:pBdr>
        <w:tabs>
          <w:tab w:val="left" w:pos="993"/>
        </w:tabs>
        <w:ind w:left="567" w:hanging="567"/>
        <w:rPr>
          <w:b/>
          <w:color w:val="000000"/>
          <w:sz w:val="22"/>
          <w:szCs w:val="22"/>
        </w:rPr>
      </w:pPr>
      <w:r w:rsidRPr="002D741C">
        <w:rPr>
          <w:b/>
          <w:color w:val="000000"/>
          <w:sz w:val="22"/>
          <w:szCs w:val="22"/>
        </w:rPr>
        <w:t>8.</w:t>
      </w:r>
      <w:r w:rsidRPr="002D741C">
        <w:rPr>
          <w:b/>
          <w:color w:val="000000"/>
          <w:sz w:val="22"/>
          <w:szCs w:val="22"/>
        </w:rPr>
        <w:tab/>
        <w:t xml:space="preserve">FECHA </w:t>
      </w:r>
      <w:smartTag w:uri="urn:schemas-microsoft-com:office:smarttags" w:element="PersonName">
        <w:r w:rsidRPr="002D741C">
          <w:rPr>
            <w:b/>
            <w:color w:val="000000"/>
            <w:sz w:val="22"/>
            <w:szCs w:val="22"/>
          </w:rPr>
          <w:t>DE</w:t>
        </w:r>
      </w:smartTag>
      <w:r w:rsidRPr="002D741C">
        <w:rPr>
          <w:b/>
          <w:color w:val="000000"/>
          <w:sz w:val="22"/>
          <w:szCs w:val="22"/>
        </w:rPr>
        <w:t xml:space="preserve"> CADUCIDAD</w:t>
      </w:r>
    </w:p>
    <w:p w14:paraId="62AC3603" w14:textId="77777777" w:rsidR="0040333F" w:rsidRPr="002D741C" w:rsidRDefault="0040333F" w:rsidP="0040333F">
      <w:pPr>
        <w:tabs>
          <w:tab w:val="left" w:pos="993"/>
        </w:tabs>
        <w:ind w:left="567" w:hanging="567"/>
        <w:rPr>
          <w:color w:val="000000"/>
          <w:sz w:val="22"/>
          <w:szCs w:val="22"/>
        </w:rPr>
      </w:pPr>
    </w:p>
    <w:p w14:paraId="03A0F14D" w14:textId="77777777" w:rsidR="0040333F" w:rsidRPr="002D741C" w:rsidRDefault="0040333F" w:rsidP="0040333F">
      <w:pPr>
        <w:pStyle w:val="EndnoteText"/>
        <w:widowControl w:val="0"/>
        <w:tabs>
          <w:tab w:val="clear" w:pos="567"/>
        </w:tabs>
        <w:rPr>
          <w:color w:val="000000"/>
          <w:szCs w:val="22"/>
          <w:lang w:val="es-ES"/>
        </w:rPr>
      </w:pPr>
      <w:r w:rsidRPr="002D741C">
        <w:rPr>
          <w:color w:val="000000"/>
          <w:szCs w:val="22"/>
          <w:lang w:val="es-ES"/>
        </w:rPr>
        <w:t>CAD</w:t>
      </w:r>
    </w:p>
    <w:p w14:paraId="5055D324" w14:textId="77777777" w:rsidR="0040333F" w:rsidRPr="002D741C" w:rsidRDefault="0040333F" w:rsidP="0040333F">
      <w:pPr>
        <w:rPr>
          <w:color w:val="000000"/>
          <w:sz w:val="22"/>
          <w:szCs w:val="22"/>
          <w:lang w:val="nl-NL"/>
        </w:rPr>
      </w:pPr>
    </w:p>
    <w:p w14:paraId="0791E073" w14:textId="77777777" w:rsidR="0040333F" w:rsidRPr="002D741C" w:rsidRDefault="0040333F" w:rsidP="0040333F">
      <w:pPr>
        <w:rPr>
          <w:color w:val="000000"/>
          <w:sz w:val="22"/>
          <w:szCs w:val="22"/>
          <w:lang w:val="nl-NL"/>
        </w:rPr>
      </w:pPr>
    </w:p>
    <w:p w14:paraId="025C637D" w14:textId="77777777" w:rsidR="0040333F" w:rsidRPr="002D741C" w:rsidRDefault="0040333F" w:rsidP="0040333F">
      <w:pPr>
        <w:pBdr>
          <w:top w:val="single" w:sz="4" w:space="1" w:color="auto"/>
          <w:left w:val="single" w:sz="4" w:space="4" w:color="auto"/>
          <w:bottom w:val="single" w:sz="4" w:space="1" w:color="auto"/>
          <w:right w:val="single" w:sz="4" w:space="4" w:color="auto"/>
        </w:pBdr>
        <w:ind w:left="567" w:hanging="567"/>
        <w:rPr>
          <w:b/>
          <w:color w:val="000000"/>
          <w:sz w:val="22"/>
          <w:szCs w:val="22"/>
        </w:rPr>
      </w:pPr>
      <w:r w:rsidRPr="002D741C">
        <w:rPr>
          <w:b/>
          <w:color w:val="000000"/>
          <w:sz w:val="22"/>
          <w:szCs w:val="22"/>
        </w:rPr>
        <w:t>9.</w:t>
      </w:r>
      <w:r w:rsidRPr="002D741C">
        <w:rPr>
          <w:b/>
          <w:color w:val="000000"/>
          <w:sz w:val="22"/>
          <w:szCs w:val="22"/>
        </w:rPr>
        <w:tab/>
        <w:t xml:space="preserve">CONDICIONES ESPECIALES </w:t>
      </w:r>
      <w:smartTag w:uri="urn:schemas-microsoft-com:office:smarttags" w:element="PersonName">
        <w:r w:rsidRPr="002D741C">
          <w:rPr>
            <w:b/>
            <w:color w:val="000000"/>
            <w:sz w:val="22"/>
            <w:szCs w:val="22"/>
          </w:rPr>
          <w:t>DE</w:t>
        </w:r>
      </w:smartTag>
      <w:r w:rsidRPr="002D741C">
        <w:rPr>
          <w:b/>
          <w:color w:val="000000"/>
          <w:sz w:val="22"/>
          <w:szCs w:val="22"/>
        </w:rPr>
        <w:t xml:space="preserve"> CON</w:t>
      </w:r>
      <w:smartTag w:uri="urn:schemas-microsoft-com:office:smarttags" w:element="PersonName">
        <w:r w:rsidRPr="002D741C">
          <w:rPr>
            <w:b/>
            <w:color w:val="000000"/>
            <w:sz w:val="22"/>
            <w:szCs w:val="22"/>
          </w:rPr>
          <w:t>SE</w:t>
        </w:r>
      </w:smartTag>
      <w:r w:rsidRPr="002D741C">
        <w:rPr>
          <w:b/>
          <w:color w:val="000000"/>
          <w:sz w:val="22"/>
          <w:szCs w:val="22"/>
        </w:rPr>
        <w:t>RVACIÓN</w:t>
      </w:r>
    </w:p>
    <w:p w14:paraId="2D615F5E" w14:textId="77777777" w:rsidR="0040333F" w:rsidRPr="002D741C" w:rsidRDefault="0040333F" w:rsidP="0040333F">
      <w:pPr>
        <w:rPr>
          <w:color w:val="000000"/>
          <w:sz w:val="22"/>
          <w:szCs w:val="22"/>
        </w:rPr>
      </w:pPr>
    </w:p>
    <w:p w14:paraId="0B947265" w14:textId="77777777" w:rsidR="0040333F" w:rsidRPr="002D741C" w:rsidRDefault="0040333F" w:rsidP="0040333F">
      <w:pPr>
        <w:pStyle w:val="EndnoteText"/>
        <w:widowControl w:val="0"/>
        <w:tabs>
          <w:tab w:val="clear" w:pos="567"/>
        </w:tabs>
        <w:rPr>
          <w:color w:val="000000"/>
          <w:szCs w:val="22"/>
          <w:lang w:val="es-ES"/>
        </w:rPr>
      </w:pPr>
      <w:r w:rsidRPr="002D741C">
        <w:rPr>
          <w:color w:val="000000"/>
          <w:szCs w:val="22"/>
          <w:lang w:val="es-ES"/>
        </w:rPr>
        <w:t xml:space="preserve">No conservar a temperatura superior a </w:t>
      </w:r>
      <w:smartTag w:uri="urn:schemas-microsoft-com:office:smarttags" w:element="metricconverter">
        <w:smartTagPr>
          <w:attr w:name="ProductID" w:val="30ﾰC"/>
        </w:smartTagPr>
        <w:r w:rsidRPr="002D741C">
          <w:rPr>
            <w:color w:val="000000"/>
            <w:szCs w:val="22"/>
            <w:lang w:val="es-ES"/>
          </w:rPr>
          <w:t>30°C</w:t>
        </w:r>
      </w:smartTag>
      <w:r w:rsidRPr="002D741C">
        <w:rPr>
          <w:color w:val="000000"/>
          <w:szCs w:val="22"/>
          <w:lang w:val="es-ES"/>
        </w:rPr>
        <w:t>. Conservar en el embalaje original para protegerlo de la humedad.</w:t>
      </w:r>
    </w:p>
    <w:p w14:paraId="58F53D9E" w14:textId="77777777" w:rsidR="0040333F" w:rsidRPr="002D741C" w:rsidRDefault="0040333F" w:rsidP="0040333F">
      <w:pPr>
        <w:ind w:left="567" w:hanging="567"/>
        <w:rPr>
          <w:color w:val="000000"/>
          <w:sz w:val="22"/>
          <w:szCs w:val="22"/>
        </w:rPr>
      </w:pPr>
    </w:p>
    <w:p w14:paraId="5349C7B0" w14:textId="77777777" w:rsidR="0040333F" w:rsidRPr="002D741C" w:rsidRDefault="0040333F" w:rsidP="0040333F">
      <w:pPr>
        <w:ind w:left="567" w:hanging="567"/>
        <w:rPr>
          <w:color w:val="000000"/>
          <w:sz w:val="22"/>
          <w:szCs w:val="22"/>
        </w:rPr>
      </w:pPr>
    </w:p>
    <w:p w14:paraId="507E9D5A" w14:textId="77777777" w:rsidR="0040333F" w:rsidRPr="002D741C" w:rsidRDefault="0040333F" w:rsidP="0040333F">
      <w:pPr>
        <w:pBdr>
          <w:top w:val="single" w:sz="4" w:space="1" w:color="auto"/>
          <w:left w:val="single" w:sz="4" w:space="4" w:color="auto"/>
          <w:bottom w:val="single" w:sz="4" w:space="1" w:color="auto"/>
          <w:right w:val="single" w:sz="4" w:space="4" w:color="auto"/>
        </w:pBdr>
        <w:ind w:left="567" w:hanging="567"/>
        <w:rPr>
          <w:b/>
          <w:color w:val="000000"/>
          <w:sz w:val="22"/>
          <w:szCs w:val="22"/>
        </w:rPr>
      </w:pPr>
      <w:r w:rsidRPr="002D741C">
        <w:rPr>
          <w:b/>
          <w:color w:val="000000"/>
          <w:sz w:val="22"/>
          <w:szCs w:val="22"/>
        </w:rPr>
        <w:t>10.</w:t>
      </w:r>
      <w:r w:rsidRPr="002D741C">
        <w:rPr>
          <w:b/>
          <w:color w:val="000000"/>
          <w:sz w:val="22"/>
          <w:szCs w:val="22"/>
        </w:rPr>
        <w:tab/>
        <w:t xml:space="preserve">PRECAUCIONES ESPECIALES </w:t>
      </w:r>
      <w:smartTag w:uri="urn:schemas-microsoft-com:office:smarttags" w:element="PersonName">
        <w:r w:rsidRPr="002D741C">
          <w:rPr>
            <w:b/>
            <w:color w:val="000000"/>
            <w:sz w:val="22"/>
            <w:szCs w:val="22"/>
          </w:rPr>
          <w:t>DE</w:t>
        </w:r>
      </w:smartTag>
      <w:r w:rsidRPr="002D741C">
        <w:rPr>
          <w:b/>
          <w:color w:val="000000"/>
          <w:sz w:val="22"/>
          <w:szCs w:val="22"/>
        </w:rPr>
        <w:t xml:space="preserve"> </w:t>
      </w:r>
      <w:smartTag w:uri="urn:schemas-microsoft-com:office:smarttags" w:element="PersonName">
        <w:r w:rsidRPr="002D741C">
          <w:rPr>
            <w:b/>
            <w:color w:val="000000"/>
            <w:sz w:val="22"/>
            <w:szCs w:val="22"/>
          </w:rPr>
          <w:t>EL</w:t>
        </w:r>
      </w:smartTag>
      <w:r w:rsidRPr="002D741C">
        <w:rPr>
          <w:b/>
          <w:color w:val="000000"/>
          <w:sz w:val="22"/>
          <w:szCs w:val="22"/>
        </w:rPr>
        <w:t xml:space="preserve">IMINACIÓN </w:t>
      </w:r>
      <w:smartTag w:uri="urn:schemas-microsoft-com:office:smarttags" w:element="stockticker">
        <w:smartTag w:uri="urn:schemas-microsoft-com:office:smarttags" w:element="PersonName">
          <w:r w:rsidRPr="002D741C">
            <w:rPr>
              <w:b/>
              <w:color w:val="000000"/>
              <w:sz w:val="22"/>
              <w:szCs w:val="22"/>
            </w:rPr>
            <w:t>D</w:t>
          </w:r>
          <w:smartTag w:uri="urn:schemas-microsoft-com:office:smarttags" w:element="PersonName">
            <w:r w:rsidRPr="002D741C">
              <w:rPr>
                <w:b/>
                <w:color w:val="000000"/>
                <w:sz w:val="22"/>
                <w:szCs w:val="22"/>
              </w:rPr>
              <w:t>E</w:t>
            </w:r>
          </w:smartTag>
        </w:smartTag>
        <w:r w:rsidRPr="002D741C">
          <w:rPr>
            <w:b/>
            <w:color w:val="000000"/>
            <w:sz w:val="22"/>
            <w:szCs w:val="22"/>
          </w:rPr>
          <w:t>L</w:t>
        </w:r>
      </w:smartTag>
      <w:r w:rsidRPr="002D741C">
        <w:rPr>
          <w:b/>
          <w:color w:val="000000"/>
          <w:sz w:val="22"/>
          <w:szCs w:val="22"/>
        </w:rPr>
        <w:t xml:space="preserve"> MEDICAMENTO </w:t>
      </w:r>
      <w:smartTag w:uri="urn:schemas-microsoft-com:office:smarttags" w:element="PersonName">
        <w:r w:rsidRPr="002D741C">
          <w:rPr>
            <w:b/>
            <w:color w:val="000000"/>
            <w:sz w:val="22"/>
            <w:szCs w:val="22"/>
          </w:rPr>
          <w:t>NO</w:t>
        </w:r>
      </w:smartTag>
      <w:r w:rsidRPr="002D741C">
        <w:rPr>
          <w:b/>
          <w:color w:val="000000"/>
          <w:sz w:val="22"/>
          <w:szCs w:val="22"/>
        </w:rPr>
        <w:t xml:space="preserve"> UTILIZADO Y </w:t>
      </w:r>
      <w:smartTag w:uri="urn:schemas-microsoft-com:office:smarttags" w:element="PersonName">
        <w:r w:rsidRPr="002D741C">
          <w:rPr>
            <w:b/>
            <w:color w:val="000000"/>
            <w:sz w:val="22"/>
            <w:szCs w:val="22"/>
          </w:rPr>
          <w:t>DE</w:t>
        </w:r>
      </w:smartTag>
      <w:r w:rsidRPr="002D741C">
        <w:rPr>
          <w:b/>
          <w:color w:val="000000"/>
          <w:sz w:val="22"/>
          <w:szCs w:val="22"/>
        </w:rPr>
        <w:t xml:space="preserve"> LOS MATERIALES </w:t>
      </w:r>
      <w:smartTag w:uri="urn:schemas-microsoft-com:office:smarttags" w:element="PersonName">
        <w:r w:rsidRPr="002D741C">
          <w:rPr>
            <w:b/>
            <w:color w:val="000000"/>
            <w:sz w:val="22"/>
            <w:szCs w:val="22"/>
          </w:rPr>
          <w:t>DE</w:t>
        </w:r>
      </w:smartTag>
      <w:r w:rsidRPr="002D741C">
        <w:rPr>
          <w:b/>
          <w:color w:val="000000"/>
          <w:sz w:val="22"/>
          <w:szCs w:val="22"/>
        </w:rPr>
        <w:t xml:space="preserve">RIVADOS </w:t>
      </w:r>
      <w:smartTag w:uri="urn:schemas-microsoft-com:office:smarttags" w:element="PersonName">
        <w:r w:rsidRPr="002D741C">
          <w:rPr>
            <w:b/>
            <w:color w:val="000000"/>
            <w:sz w:val="22"/>
            <w:szCs w:val="22"/>
          </w:rPr>
          <w:t>DE</w:t>
        </w:r>
      </w:smartTag>
      <w:r w:rsidRPr="002D741C">
        <w:rPr>
          <w:b/>
          <w:color w:val="000000"/>
          <w:sz w:val="22"/>
          <w:szCs w:val="22"/>
        </w:rPr>
        <w:t xml:space="preserve"> SU USO (CUANDO CORRESPONDA)</w:t>
      </w:r>
    </w:p>
    <w:p w14:paraId="24676D8C" w14:textId="77777777" w:rsidR="0040333F" w:rsidRPr="002D741C" w:rsidRDefault="0040333F" w:rsidP="0040333F">
      <w:pPr>
        <w:rPr>
          <w:color w:val="000000"/>
          <w:sz w:val="22"/>
          <w:szCs w:val="22"/>
        </w:rPr>
      </w:pPr>
    </w:p>
    <w:p w14:paraId="2EE26442" w14:textId="77777777" w:rsidR="0040333F" w:rsidRPr="002D741C" w:rsidRDefault="0040333F" w:rsidP="0040333F">
      <w:pPr>
        <w:rPr>
          <w:color w:val="000000"/>
          <w:sz w:val="22"/>
          <w:szCs w:val="22"/>
        </w:rPr>
      </w:pPr>
    </w:p>
    <w:p w14:paraId="3E2D0DFF" w14:textId="77777777" w:rsidR="0040333F" w:rsidRPr="002D741C" w:rsidRDefault="0040333F" w:rsidP="0040333F">
      <w:pPr>
        <w:pBdr>
          <w:top w:val="single" w:sz="4" w:space="1" w:color="auto"/>
          <w:left w:val="single" w:sz="4" w:space="4" w:color="auto"/>
          <w:bottom w:val="single" w:sz="4" w:space="1" w:color="auto"/>
          <w:right w:val="single" w:sz="4" w:space="4" w:color="auto"/>
        </w:pBdr>
        <w:ind w:left="567" w:hanging="567"/>
        <w:rPr>
          <w:b/>
          <w:color w:val="000000"/>
          <w:sz w:val="22"/>
          <w:szCs w:val="22"/>
        </w:rPr>
      </w:pPr>
      <w:r w:rsidRPr="002D741C">
        <w:rPr>
          <w:b/>
          <w:color w:val="000000"/>
          <w:sz w:val="22"/>
          <w:szCs w:val="22"/>
        </w:rPr>
        <w:t>11.</w:t>
      </w:r>
      <w:r w:rsidRPr="002D741C">
        <w:rPr>
          <w:b/>
          <w:color w:val="000000"/>
          <w:sz w:val="22"/>
          <w:szCs w:val="22"/>
        </w:rPr>
        <w:tab/>
      </w:r>
      <w:smartTag w:uri="urn:schemas-microsoft-com:office:smarttags" w:element="PersonName">
        <w:r w:rsidRPr="002D741C">
          <w:rPr>
            <w:b/>
            <w:color w:val="000000"/>
            <w:sz w:val="22"/>
            <w:szCs w:val="22"/>
          </w:rPr>
          <w:t>NO</w:t>
        </w:r>
      </w:smartTag>
      <w:r w:rsidRPr="002D741C">
        <w:rPr>
          <w:b/>
          <w:color w:val="000000"/>
          <w:sz w:val="22"/>
          <w:szCs w:val="22"/>
        </w:rPr>
        <w:t xml:space="preserve">MBRE Y DIRECCIÓN </w:t>
      </w:r>
      <w:smartTag w:uri="urn:schemas-microsoft-com:office:smarttags" w:element="stockticker">
        <w:smartTag w:uri="urn:schemas-microsoft-com:office:smarttags" w:element="PersonName">
          <w:r w:rsidRPr="002D741C">
            <w:rPr>
              <w:b/>
              <w:color w:val="000000"/>
              <w:sz w:val="22"/>
              <w:szCs w:val="22"/>
            </w:rPr>
            <w:t>D</w:t>
          </w:r>
          <w:smartTag w:uri="urn:schemas-microsoft-com:office:smarttags" w:element="PersonName">
            <w:r w:rsidRPr="002D741C">
              <w:rPr>
                <w:b/>
                <w:color w:val="000000"/>
                <w:sz w:val="22"/>
                <w:szCs w:val="22"/>
              </w:rPr>
              <w:t>E</w:t>
            </w:r>
          </w:smartTag>
        </w:smartTag>
        <w:r w:rsidRPr="002D741C">
          <w:rPr>
            <w:b/>
            <w:color w:val="000000"/>
            <w:sz w:val="22"/>
            <w:szCs w:val="22"/>
          </w:rPr>
          <w:t>L</w:t>
        </w:r>
      </w:smartTag>
      <w:r w:rsidRPr="002D741C">
        <w:rPr>
          <w:b/>
          <w:color w:val="000000"/>
          <w:sz w:val="22"/>
          <w:szCs w:val="22"/>
        </w:rPr>
        <w:t xml:space="preserve"> T</w:t>
      </w:r>
      <w:smartTag w:uri="urn:schemas-microsoft-com:office:smarttags" w:element="PersonName">
        <w:r w:rsidRPr="002D741C">
          <w:rPr>
            <w:b/>
            <w:color w:val="000000"/>
            <w:sz w:val="22"/>
            <w:szCs w:val="22"/>
          </w:rPr>
          <w:t>IT</w:t>
        </w:r>
      </w:smartTag>
      <w:r w:rsidRPr="002D741C">
        <w:rPr>
          <w:b/>
          <w:color w:val="000000"/>
          <w:sz w:val="22"/>
          <w:szCs w:val="22"/>
        </w:rPr>
        <w:t xml:space="preserve">ULAR </w:t>
      </w:r>
      <w:smartTag w:uri="urn:schemas-microsoft-com:office:smarttags" w:element="PersonName">
        <w:r w:rsidRPr="002D741C">
          <w:rPr>
            <w:b/>
            <w:color w:val="000000"/>
            <w:sz w:val="22"/>
            <w:szCs w:val="22"/>
          </w:rPr>
          <w:t>DE</w:t>
        </w:r>
      </w:smartTag>
      <w:r w:rsidRPr="002D741C">
        <w:rPr>
          <w:b/>
          <w:color w:val="000000"/>
          <w:sz w:val="22"/>
          <w:szCs w:val="22"/>
        </w:rPr>
        <w:t xml:space="preserve"> </w:t>
      </w:r>
      <w:smartTag w:uri="urn:schemas-microsoft-com:office:smarttags" w:element="PersonName">
        <w:smartTagPr>
          <w:attr w:name="ProductID" w:val="LA AUTORIZACIￓN DE"/>
        </w:smartTagPr>
        <w:r w:rsidRPr="002D741C">
          <w:rPr>
            <w:b/>
            <w:color w:val="000000"/>
            <w:sz w:val="22"/>
            <w:szCs w:val="22"/>
          </w:rPr>
          <w:t xml:space="preserve">LA AUTORIZACIÓN </w:t>
        </w:r>
        <w:smartTag w:uri="urn:schemas-microsoft-com:office:smarttags" w:element="PersonName">
          <w:r w:rsidRPr="002D741C">
            <w:rPr>
              <w:b/>
              <w:color w:val="000000"/>
              <w:sz w:val="22"/>
              <w:szCs w:val="22"/>
            </w:rPr>
            <w:t>DE</w:t>
          </w:r>
        </w:smartTag>
      </w:smartTag>
      <w:r w:rsidRPr="002D741C">
        <w:rPr>
          <w:b/>
          <w:color w:val="000000"/>
          <w:sz w:val="22"/>
          <w:szCs w:val="22"/>
        </w:rPr>
        <w:t xml:space="preserve"> COMERCIALIZACIÓN</w:t>
      </w:r>
    </w:p>
    <w:p w14:paraId="617EB731" w14:textId="77777777" w:rsidR="0040333F" w:rsidRPr="002D741C" w:rsidRDefault="0040333F" w:rsidP="0040333F">
      <w:pPr>
        <w:rPr>
          <w:color w:val="000000"/>
          <w:sz w:val="22"/>
          <w:szCs w:val="22"/>
        </w:rPr>
      </w:pPr>
    </w:p>
    <w:p w14:paraId="5546BE8C" w14:textId="77777777" w:rsidR="0040333F" w:rsidRPr="002D741C" w:rsidRDefault="0040333F" w:rsidP="0040333F">
      <w:pPr>
        <w:pStyle w:val="EndnoteText"/>
        <w:widowControl w:val="0"/>
        <w:tabs>
          <w:tab w:val="clear" w:pos="567"/>
        </w:tabs>
        <w:rPr>
          <w:color w:val="000000"/>
          <w:szCs w:val="22"/>
        </w:rPr>
      </w:pPr>
      <w:r w:rsidRPr="002D741C">
        <w:rPr>
          <w:color w:val="000000"/>
          <w:szCs w:val="22"/>
        </w:rPr>
        <w:t>Novartis Europharm Limited</w:t>
      </w:r>
    </w:p>
    <w:p w14:paraId="1608E258" w14:textId="77777777" w:rsidR="005127D7" w:rsidRPr="002D741C" w:rsidRDefault="005127D7" w:rsidP="005127D7">
      <w:pPr>
        <w:keepNext/>
        <w:widowControl w:val="0"/>
        <w:rPr>
          <w:color w:val="000000"/>
          <w:sz w:val="22"/>
          <w:szCs w:val="22"/>
          <w:lang w:val="en-US"/>
        </w:rPr>
      </w:pPr>
      <w:r w:rsidRPr="002D741C">
        <w:rPr>
          <w:color w:val="000000"/>
          <w:sz w:val="22"/>
          <w:szCs w:val="22"/>
          <w:lang w:val="en-US"/>
        </w:rPr>
        <w:t>Vista Building</w:t>
      </w:r>
    </w:p>
    <w:p w14:paraId="6DE00981" w14:textId="77777777" w:rsidR="005127D7" w:rsidRPr="002D741C" w:rsidRDefault="005127D7" w:rsidP="005127D7">
      <w:pPr>
        <w:keepNext/>
        <w:widowControl w:val="0"/>
        <w:rPr>
          <w:color w:val="000000"/>
          <w:sz w:val="22"/>
          <w:szCs w:val="22"/>
          <w:lang w:val="en-US"/>
        </w:rPr>
      </w:pPr>
      <w:r w:rsidRPr="002D741C">
        <w:rPr>
          <w:color w:val="000000"/>
          <w:sz w:val="22"/>
          <w:szCs w:val="22"/>
          <w:lang w:val="en-US"/>
        </w:rPr>
        <w:t>Elm Park, Merrion Road</w:t>
      </w:r>
    </w:p>
    <w:p w14:paraId="46D99B44" w14:textId="77777777" w:rsidR="005127D7" w:rsidRPr="002D741C" w:rsidRDefault="005127D7" w:rsidP="005127D7">
      <w:pPr>
        <w:keepNext/>
        <w:widowControl w:val="0"/>
        <w:rPr>
          <w:color w:val="000000"/>
          <w:sz w:val="22"/>
          <w:szCs w:val="22"/>
        </w:rPr>
      </w:pPr>
      <w:r w:rsidRPr="002D741C">
        <w:rPr>
          <w:color w:val="000000"/>
          <w:sz w:val="22"/>
          <w:szCs w:val="22"/>
        </w:rPr>
        <w:t>Dublin 4</w:t>
      </w:r>
    </w:p>
    <w:p w14:paraId="25264DDB" w14:textId="77777777" w:rsidR="005127D7" w:rsidRPr="002D741C" w:rsidRDefault="005127D7" w:rsidP="005127D7">
      <w:pPr>
        <w:rPr>
          <w:color w:val="000000"/>
          <w:sz w:val="22"/>
          <w:szCs w:val="22"/>
        </w:rPr>
      </w:pPr>
      <w:r w:rsidRPr="002D741C">
        <w:rPr>
          <w:color w:val="000000"/>
          <w:sz w:val="22"/>
          <w:szCs w:val="22"/>
        </w:rPr>
        <w:t>Irlanda</w:t>
      </w:r>
    </w:p>
    <w:p w14:paraId="49858F58" w14:textId="77777777" w:rsidR="0040333F" w:rsidRPr="002D741C" w:rsidRDefault="0040333F" w:rsidP="0040333F">
      <w:pPr>
        <w:rPr>
          <w:color w:val="000000"/>
          <w:sz w:val="22"/>
          <w:szCs w:val="22"/>
          <w:lang w:val="es-ES"/>
        </w:rPr>
      </w:pPr>
    </w:p>
    <w:p w14:paraId="23D8F312" w14:textId="77777777" w:rsidR="0040333F" w:rsidRPr="002D741C" w:rsidRDefault="0040333F" w:rsidP="0040333F">
      <w:pPr>
        <w:rPr>
          <w:color w:val="000000"/>
          <w:sz w:val="22"/>
          <w:szCs w:val="22"/>
          <w:lang w:val="es-ES"/>
        </w:rPr>
      </w:pPr>
    </w:p>
    <w:p w14:paraId="54F1B3AF" w14:textId="77777777" w:rsidR="0040333F" w:rsidRPr="002D741C" w:rsidRDefault="0040333F" w:rsidP="0040333F">
      <w:pPr>
        <w:pBdr>
          <w:top w:val="single" w:sz="4" w:space="1" w:color="auto"/>
          <w:left w:val="single" w:sz="4" w:space="4" w:color="auto"/>
          <w:bottom w:val="single" w:sz="4" w:space="1" w:color="auto"/>
          <w:right w:val="single" w:sz="4" w:space="4" w:color="auto"/>
        </w:pBdr>
        <w:ind w:left="567" w:hanging="567"/>
        <w:rPr>
          <w:b/>
          <w:color w:val="000000"/>
          <w:sz w:val="22"/>
          <w:szCs w:val="22"/>
        </w:rPr>
      </w:pPr>
      <w:r w:rsidRPr="002D741C">
        <w:rPr>
          <w:b/>
          <w:color w:val="000000"/>
          <w:sz w:val="22"/>
          <w:szCs w:val="22"/>
        </w:rPr>
        <w:t>12.</w:t>
      </w:r>
      <w:r w:rsidRPr="002D741C">
        <w:rPr>
          <w:b/>
          <w:color w:val="000000"/>
          <w:sz w:val="22"/>
          <w:szCs w:val="22"/>
        </w:rPr>
        <w:tab/>
        <w:t>NÚME</w:t>
      </w:r>
      <w:smartTag w:uri="urn:schemas-microsoft-com:office:smarttags" w:element="PersonName">
        <w:r w:rsidRPr="002D741C">
          <w:rPr>
            <w:b/>
            <w:color w:val="000000"/>
            <w:sz w:val="22"/>
            <w:szCs w:val="22"/>
          </w:rPr>
          <w:t>RO</w:t>
        </w:r>
      </w:smartTag>
      <w:r w:rsidRPr="002D741C">
        <w:rPr>
          <w:b/>
          <w:color w:val="000000"/>
          <w:sz w:val="22"/>
          <w:szCs w:val="22"/>
        </w:rPr>
        <w:t xml:space="preserve">(S) </w:t>
      </w:r>
      <w:smartTag w:uri="urn:schemas-microsoft-com:office:smarttags" w:element="PersonName">
        <w:r w:rsidRPr="002D741C">
          <w:rPr>
            <w:b/>
            <w:color w:val="000000"/>
            <w:sz w:val="22"/>
            <w:szCs w:val="22"/>
          </w:rPr>
          <w:t>DE</w:t>
        </w:r>
      </w:smartTag>
      <w:r w:rsidRPr="002D741C">
        <w:rPr>
          <w:b/>
          <w:color w:val="000000"/>
          <w:sz w:val="22"/>
          <w:szCs w:val="22"/>
        </w:rPr>
        <w:t xml:space="preserve"> AUTORIZACIÓN </w:t>
      </w:r>
      <w:smartTag w:uri="urn:schemas-microsoft-com:office:smarttags" w:element="PersonName">
        <w:r w:rsidRPr="002D741C">
          <w:rPr>
            <w:b/>
            <w:color w:val="000000"/>
            <w:sz w:val="22"/>
            <w:szCs w:val="22"/>
          </w:rPr>
          <w:t>DE</w:t>
        </w:r>
      </w:smartTag>
      <w:r w:rsidRPr="002D741C">
        <w:rPr>
          <w:b/>
          <w:color w:val="000000"/>
          <w:sz w:val="22"/>
          <w:szCs w:val="22"/>
        </w:rPr>
        <w:t xml:space="preserve"> COMERCIALIZACIÓN</w:t>
      </w:r>
    </w:p>
    <w:p w14:paraId="5787189D" w14:textId="77777777" w:rsidR="0040333F" w:rsidRPr="002D741C" w:rsidRDefault="0040333F" w:rsidP="0040333F">
      <w:pPr>
        <w:rPr>
          <w:color w:val="000000"/>
          <w:sz w:val="22"/>
          <w:szCs w:val="22"/>
        </w:rPr>
      </w:pPr>
    </w:p>
    <w:p w14:paraId="74C82948" w14:textId="77777777" w:rsidR="0040333F" w:rsidRPr="002D741C" w:rsidRDefault="0040333F" w:rsidP="0040333F">
      <w:pPr>
        <w:widowControl w:val="0"/>
        <w:tabs>
          <w:tab w:val="left" w:pos="2268"/>
        </w:tabs>
        <w:rPr>
          <w:color w:val="000000"/>
          <w:sz w:val="22"/>
          <w:szCs w:val="22"/>
          <w:shd w:val="clear" w:color="auto" w:fill="D9D9D9"/>
          <w:lang w:val="pt-BR"/>
        </w:rPr>
      </w:pPr>
      <w:r w:rsidRPr="002D741C">
        <w:rPr>
          <w:color w:val="000000"/>
          <w:sz w:val="22"/>
          <w:szCs w:val="22"/>
          <w:lang w:val="pt-BR"/>
        </w:rPr>
        <w:t>EU/1/01/198/002</w:t>
      </w:r>
      <w:r w:rsidRPr="002D741C">
        <w:rPr>
          <w:color w:val="000000"/>
          <w:sz w:val="22"/>
          <w:szCs w:val="22"/>
          <w:lang w:val="pt-BR"/>
        </w:rPr>
        <w:tab/>
      </w:r>
      <w:r w:rsidRPr="002D741C">
        <w:rPr>
          <w:color w:val="000000"/>
          <w:sz w:val="22"/>
          <w:szCs w:val="22"/>
          <w:shd w:val="clear" w:color="auto" w:fill="D9D9D9"/>
          <w:lang w:val="pt-BR"/>
        </w:rPr>
        <w:t>24 cápsulas</w:t>
      </w:r>
    </w:p>
    <w:p w14:paraId="3DE49EBA" w14:textId="77777777" w:rsidR="0040333F" w:rsidRPr="002D741C" w:rsidRDefault="0040333F" w:rsidP="0040333F">
      <w:pPr>
        <w:tabs>
          <w:tab w:val="left" w:pos="2268"/>
        </w:tabs>
        <w:rPr>
          <w:color w:val="000000"/>
          <w:sz w:val="22"/>
          <w:szCs w:val="22"/>
          <w:shd w:val="clear" w:color="auto" w:fill="D9D9D9"/>
          <w:lang w:val="pt-BR"/>
        </w:rPr>
      </w:pPr>
      <w:r w:rsidRPr="002D741C">
        <w:rPr>
          <w:color w:val="000000"/>
          <w:sz w:val="22"/>
          <w:szCs w:val="22"/>
          <w:shd w:val="clear" w:color="auto" w:fill="D9D9D9"/>
          <w:lang w:val="pt-BR"/>
        </w:rPr>
        <w:t>EU/1/01/198/003</w:t>
      </w:r>
      <w:r w:rsidRPr="002D741C">
        <w:rPr>
          <w:color w:val="000000"/>
          <w:sz w:val="22"/>
          <w:szCs w:val="22"/>
          <w:shd w:val="clear" w:color="auto" w:fill="D9D9D9"/>
          <w:lang w:val="pt-BR"/>
        </w:rPr>
        <w:tab/>
        <w:t>48 cápsulas</w:t>
      </w:r>
    </w:p>
    <w:p w14:paraId="06AA0AE2" w14:textId="77777777" w:rsidR="0040333F" w:rsidRPr="002D741C" w:rsidRDefault="0040333F" w:rsidP="0040333F">
      <w:pPr>
        <w:tabs>
          <w:tab w:val="left" w:pos="2268"/>
        </w:tabs>
        <w:rPr>
          <w:color w:val="000000"/>
          <w:sz w:val="22"/>
          <w:szCs w:val="22"/>
          <w:shd w:val="clear" w:color="auto" w:fill="D9D9D9"/>
          <w:lang w:val="pt-BR"/>
        </w:rPr>
      </w:pPr>
      <w:r w:rsidRPr="002D741C">
        <w:rPr>
          <w:color w:val="000000"/>
          <w:sz w:val="22"/>
          <w:szCs w:val="22"/>
          <w:shd w:val="clear" w:color="auto" w:fill="D9D9D9"/>
          <w:lang w:val="pt-BR"/>
        </w:rPr>
        <w:t>EU/1/01/198/004</w:t>
      </w:r>
      <w:r w:rsidRPr="002D741C">
        <w:rPr>
          <w:color w:val="000000"/>
          <w:sz w:val="22"/>
          <w:szCs w:val="22"/>
          <w:shd w:val="clear" w:color="auto" w:fill="D9D9D9"/>
          <w:lang w:val="pt-BR"/>
        </w:rPr>
        <w:tab/>
        <w:t>96 cápsulas</w:t>
      </w:r>
    </w:p>
    <w:p w14:paraId="44703440" w14:textId="77777777" w:rsidR="0040333F" w:rsidRPr="002D741C" w:rsidRDefault="0040333F" w:rsidP="0040333F">
      <w:pPr>
        <w:tabs>
          <w:tab w:val="left" w:pos="2268"/>
        </w:tabs>
        <w:rPr>
          <w:color w:val="000000"/>
          <w:sz w:val="22"/>
          <w:szCs w:val="22"/>
          <w:shd w:val="clear" w:color="auto" w:fill="D9D9D9"/>
          <w:lang w:val="pt-BR"/>
        </w:rPr>
      </w:pPr>
      <w:r w:rsidRPr="002D741C">
        <w:rPr>
          <w:color w:val="000000"/>
          <w:sz w:val="22"/>
          <w:szCs w:val="22"/>
          <w:shd w:val="clear" w:color="auto" w:fill="D9D9D9"/>
          <w:lang w:val="pt-BR"/>
        </w:rPr>
        <w:t>EU/1/01/198/005</w:t>
      </w:r>
      <w:r w:rsidRPr="002D741C">
        <w:rPr>
          <w:color w:val="000000"/>
          <w:sz w:val="22"/>
          <w:szCs w:val="22"/>
          <w:shd w:val="clear" w:color="auto" w:fill="D9D9D9"/>
          <w:lang w:val="pt-BR"/>
        </w:rPr>
        <w:tab/>
        <w:t>120 cápsulas</w:t>
      </w:r>
    </w:p>
    <w:p w14:paraId="1F916547" w14:textId="77777777" w:rsidR="0040333F" w:rsidRPr="002D741C" w:rsidRDefault="0040333F" w:rsidP="0040333F">
      <w:pPr>
        <w:tabs>
          <w:tab w:val="left" w:pos="2268"/>
        </w:tabs>
        <w:rPr>
          <w:color w:val="000000"/>
          <w:sz w:val="22"/>
          <w:szCs w:val="22"/>
          <w:shd w:val="clear" w:color="auto" w:fill="D9D9D9"/>
          <w:lang w:val="pt-BR"/>
        </w:rPr>
      </w:pPr>
      <w:r w:rsidRPr="002D741C">
        <w:rPr>
          <w:color w:val="000000"/>
          <w:sz w:val="22"/>
          <w:szCs w:val="22"/>
          <w:shd w:val="clear" w:color="auto" w:fill="D9D9D9"/>
          <w:lang w:val="pt-BR"/>
        </w:rPr>
        <w:t>EU/1/01/198/006</w:t>
      </w:r>
      <w:r w:rsidRPr="002D741C">
        <w:rPr>
          <w:color w:val="000000"/>
          <w:sz w:val="22"/>
          <w:szCs w:val="22"/>
          <w:shd w:val="clear" w:color="auto" w:fill="D9D9D9"/>
          <w:lang w:val="pt-BR"/>
        </w:rPr>
        <w:tab/>
        <w:t>180 cápsulas</w:t>
      </w:r>
    </w:p>
    <w:p w14:paraId="27E70918" w14:textId="77777777" w:rsidR="0040333F" w:rsidRPr="002D741C" w:rsidRDefault="0040333F" w:rsidP="0040333F">
      <w:pPr>
        <w:widowControl w:val="0"/>
        <w:rPr>
          <w:color w:val="000000"/>
          <w:sz w:val="22"/>
          <w:szCs w:val="22"/>
          <w:lang w:val="pt-BR"/>
        </w:rPr>
      </w:pPr>
    </w:p>
    <w:p w14:paraId="6554AF50" w14:textId="77777777" w:rsidR="0040333F" w:rsidRPr="002D741C" w:rsidRDefault="0040333F" w:rsidP="0040333F">
      <w:pPr>
        <w:rPr>
          <w:color w:val="000000"/>
          <w:sz w:val="22"/>
          <w:szCs w:val="22"/>
          <w:lang w:val="pt-BR"/>
        </w:rPr>
      </w:pPr>
    </w:p>
    <w:p w14:paraId="7CD688D8" w14:textId="77777777" w:rsidR="0040333F" w:rsidRPr="002D741C" w:rsidRDefault="0040333F" w:rsidP="0040333F">
      <w:pPr>
        <w:pBdr>
          <w:top w:val="single" w:sz="4" w:space="1" w:color="auto"/>
          <w:left w:val="single" w:sz="4" w:space="4" w:color="auto"/>
          <w:bottom w:val="single" w:sz="4" w:space="1" w:color="auto"/>
          <w:right w:val="single" w:sz="4" w:space="4" w:color="auto"/>
        </w:pBdr>
        <w:ind w:left="567" w:hanging="567"/>
        <w:rPr>
          <w:b/>
          <w:color w:val="000000"/>
          <w:sz w:val="22"/>
          <w:szCs w:val="22"/>
          <w:lang w:val="pt-BR"/>
        </w:rPr>
      </w:pPr>
      <w:r w:rsidRPr="002D741C">
        <w:rPr>
          <w:b/>
          <w:color w:val="000000"/>
          <w:sz w:val="22"/>
          <w:szCs w:val="22"/>
          <w:lang w:val="pt-BR"/>
        </w:rPr>
        <w:t>13.</w:t>
      </w:r>
      <w:r w:rsidRPr="002D741C">
        <w:rPr>
          <w:b/>
          <w:color w:val="000000"/>
          <w:sz w:val="22"/>
          <w:szCs w:val="22"/>
          <w:lang w:val="pt-BR"/>
        </w:rPr>
        <w:tab/>
        <w:t>NÚME</w:t>
      </w:r>
      <w:smartTag w:uri="urn:schemas-microsoft-com:office:smarttags" w:element="PersonName">
        <w:r w:rsidRPr="002D741C">
          <w:rPr>
            <w:b/>
            <w:color w:val="000000"/>
            <w:sz w:val="22"/>
            <w:szCs w:val="22"/>
            <w:lang w:val="pt-BR"/>
          </w:rPr>
          <w:t>RO</w:t>
        </w:r>
      </w:smartTag>
      <w:r w:rsidRPr="002D741C">
        <w:rPr>
          <w:b/>
          <w:color w:val="000000"/>
          <w:sz w:val="22"/>
          <w:szCs w:val="22"/>
          <w:lang w:val="pt-BR"/>
        </w:rPr>
        <w:t xml:space="preserve"> </w:t>
      </w:r>
      <w:smartTag w:uri="urn:schemas-microsoft-com:office:smarttags" w:element="PersonName">
        <w:r w:rsidRPr="002D741C">
          <w:rPr>
            <w:b/>
            <w:color w:val="000000"/>
            <w:sz w:val="22"/>
            <w:szCs w:val="22"/>
            <w:lang w:val="pt-BR"/>
          </w:rPr>
          <w:t>DE</w:t>
        </w:r>
      </w:smartTag>
      <w:r w:rsidRPr="002D741C">
        <w:rPr>
          <w:b/>
          <w:color w:val="000000"/>
          <w:sz w:val="22"/>
          <w:szCs w:val="22"/>
          <w:lang w:val="pt-BR"/>
        </w:rPr>
        <w:t xml:space="preserve"> LOTE</w:t>
      </w:r>
    </w:p>
    <w:p w14:paraId="4D4CBF2E" w14:textId="77777777" w:rsidR="0040333F" w:rsidRPr="002D741C" w:rsidRDefault="0040333F" w:rsidP="0040333F">
      <w:pPr>
        <w:rPr>
          <w:color w:val="000000"/>
          <w:sz w:val="22"/>
          <w:szCs w:val="22"/>
          <w:lang w:val="pt-BR"/>
        </w:rPr>
      </w:pPr>
    </w:p>
    <w:p w14:paraId="144F132B" w14:textId="77777777" w:rsidR="0040333F" w:rsidRPr="002D741C" w:rsidRDefault="0040333F" w:rsidP="0040333F">
      <w:pPr>
        <w:widowControl w:val="0"/>
        <w:rPr>
          <w:color w:val="000000"/>
          <w:sz w:val="22"/>
          <w:szCs w:val="22"/>
        </w:rPr>
      </w:pPr>
      <w:r w:rsidRPr="002D741C">
        <w:rPr>
          <w:color w:val="000000"/>
          <w:sz w:val="22"/>
          <w:szCs w:val="22"/>
        </w:rPr>
        <w:t>Lote</w:t>
      </w:r>
    </w:p>
    <w:p w14:paraId="389F08BA" w14:textId="77777777" w:rsidR="0040333F" w:rsidRPr="002D741C" w:rsidRDefault="0040333F" w:rsidP="0040333F">
      <w:pPr>
        <w:rPr>
          <w:color w:val="000000"/>
          <w:sz w:val="22"/>
          <w:szCs w:val="22"/>
        </w:rPr>
      </w:pPr>
    </w:p>
    <w:p w14:paraId="481E9293" w14:textId="77777777" w:rsidR="0040333F" w:rsidRPr="002D741C" w:rsidRDefault="0040333F" w:rsidP="0040333F">
      <w:pPr>
        <w:rPr>
          <w:color w:val="000000"/>
          <w:sz w:val="22"/>
          <w:szCs w:val="22"/>
        </w:rPr>
      </w:pPr>
    </w:p>
    <w:p w14:paraId="57E9E46C" w14:textId="77777777" w:rsidR="0040333F" w:rsidRPr="002D741C" w:rsidRDefault="0040333F" w:rsidP="0040333F">
      <w:pPr>
        <w:pBdr>
          <w:top w:val="single" w:sz="4" w:space="1" w:color="auto"/>
          <w:left w:val="single" w:sz="4" w:space="4" w:color="auto"/>
          <w:bottom w:val="single" w:sz="4" w:space="1" w:color="auto"/>
          <w:right w:val="single" w:sz="4" w:space="4" w:color="auto"/>
        </w:pBdr>
        <w:ind w:left="567" w:hanging="567"/>
        <w:rPr>
          <w:b/>
          <w:color w:val="000000"/>
          <w:sz w:val="22"/>
          <w:szCs w:val="22"/>
        </w:rPr>
      </w:pPr>
      <w:r w:rsidRPr="002D741C">
        <w:rPr>
          <w:b/>
          <w:color w:val="000000"/>
          <w:sz w:val="22"/>
          <w:szCs w:val="22"/>
        </w:rPr>
        <w:t>14.</w:t>
      </w:r>
      <w:r w:rsidRPr="002D741C">
        <w:rPr>
          <w:b/>
          <w:color w:val="000000"/>
          <w:sz w:val="22"/>
          <w:szCs w:val="22"/>
        </w:rPr>
        <w:tab/>
        <w:t xml:space="preserve">CONDICIONES GENERALES </w:t>
      </w:r>
      <w:smartTag w:uri="urn:schemas-microsoft-com:office:smarttags" w:element="PersonName">
        <w:r w:rsidRPr="002D741C">
          <w:rPr>
            <w:b/>
            <w:color w:val="000000"/>
            <w:sz w:val="22"/>
            <w:szCs w:val="22"/>
          </w:rPr>
          <w:t>DE</w:t>
        </w:r>
      </w:smartTag>
      <w:r w:rsidRPr="002D741C">
        <w:rPr>
          <w:b/>
          <w:color w:val="000000"/>
          <w:sz w:val="22"/>
          <w:szCs w:val="22"/>
        </w:rPr>
        <w:t xml:space="preserve"> D</w:t>
      </w:r>
      <w:smartTag w:uri="urn:schemas-microsoft-com:office:smarttags" w:element="PersonName">
        <w:r w:rsidRPr="002D741C">
          <w:rPr>
            <w:b/>
            <w:color w:val="000000"/>
            <w:sz w:val="22"/>
            <w:szCs w:val="22"/>
          </w:rPr>
          <w:t>IS</w:t>
        </w:r>
      </w:smartTag>
      <w:r w:rsidRPr="002D741C">
        <w:rPr>
          <w:b/>
          <w:color w:val="000000"/>
          <w:sz w:val="22"/>
          <w:szCs w:val="22"/>
        </w:rPr>
        <w:t>PENSACIÓN</w:t>
      </w:r>
    </w:p>
    <w:p w14:paraId="42ECE6F7" w14:textId="77777777" w:rsidR="0040333F" w:rsidRPr="002D741C" w:rsidRDefault="0040333F" w:rsidP="0040333F">
      <w:pPr>
        <w:rPr>
          <w:color w:val="000000"/>
          <w:sz w:val="22"/>
          <w:szCs w:val="22"/>
        </w:rPr>
      </w:pPr>
    </w:p>
    <w:p w14:paraId="15656282" w14:textId="77777777" w:rsidR="0040333F" w:rsidRPr="002D741C" w:rsidRDefault="0040333F" w:rsidP="0040333F">
      <w:pPr>
        <w:rPr>
          <w:color w:val="000000"/>
          <w:sz w:val="22"/>
          <w:szCs w:val="22"/>
        </w:rPr>
      </w:pPr>
    </w:p>
    <w:p w14:paraId="6D80C15B" w14:textId="77777777" w:rsidR="0040333F" w:rsidRPr="002D741C" w:rsidRDefault="0040333F" w:rsidP="0040333F">
      <w:pPr>
        <w:pBdr>
          <w:top w:val="single" w:sz="4" w:space="1" w:color="auto"/>
          <w:left w:val="single" w:sz="4" w:space="4" w:color="auto"/>
          <w:bottom w:val="single" w:sz="4" w:space="1" w:color="auto"/>
          <w:right w:val="single" w:sz="4" w:space="4" w:color="auto"/>
        </w:pBdr>
        <w:ind w:left="567" w:hanging="567"/>
        <w:rPr>
          <w:b/>
          <w:color w:val="000000"/>
          <w:sz w:val="22"/>
          <w:szCs w:val="22"/>
        </w:rPr>
      </w:pPr>
      <w:r w:rsidRPr="002D741C">
        <w:rPr>
          <w:b/>
          <w:color w:val="000000"/>
          <w:sz w:val="22"/>
          <w:szCs w:val="22"/>
        </w:rPr>
        <w:t>15.</w:t>
      </w:r>
      <w:r w:rsidRPr="002D741C">
        <w:rPr>
          <w:b/>
          <w:color w:val="000000"/>
          <w:sz w:val="22"/>
          <w:szCs w:val="22"/>
        </w:rPr>
        <w:tab/>
        <w:t xml:space="preserve">INSTRUCCIONES </w:t>
      </w:r>
      <w:smartTag w:uri="urn:schemas-microsoft-com:office:smarttags" w:element="PersonName">
        <w:r w:rsidRPr="002D741C">
          <w:rPr>
            <w:b/>
            <w:color w:val="000000"/>
            <w:sz w:val="22"/>
            <w:szCs w:val="22"/>
          </w:rPr>
          <w:t>DE</w:t>
        </w:r>
      </w:smartTag>
      <w:r w:rsidRPr="002D741C">
        <w:rPr>
          <w:b/>
          <w:color w:val="000000"/>
          <w:sz w:val="22"/>
          <w:szCs w:val="22"/>
        </w:rPr>
        <w:t xml:space="preserve"> USO</w:t>
      </w:r>
    </w:p>
    <w:p w14:paraId="7F86BFBC" w14:textId="77777777" w:rsidR="0040333F" w:rsidRPr="002D741C" w:rsidRDefault="0040333F" w:rsidP="0040333F">
      <w:pPr>
        <w:rPr>
          <w:color w:val="000000"/>
          <w:sz w:val="22"/>
          <w:szCs w:val="22"/>
        </w:rPr>
      </w:pPr>
    </w:p>
    <w:p w14:paraId="6F767CEA" w14:textId="77777777" w:rsidR="0040333F" w:rsidRPr="002D741C" w:rsidRDefault="0040333F" w:rsidP="0040333F">
      <w:pPr>
        <w:rPr>
          <w:color w:val="000000"/>
          <w:sz w:val="22"/>
          <w:szCs w:val="22"/>
        </w:rPr>
      </w:pPr>
    </w:p>
    <w:p w14:paraId="2FA31352" w14:textId="77777777" w:rsidR="0040333F" w:rsidRPr="002D741C" w:rsidRDefault="0040333F" w:rsidP="0040333F">
      <w:pPr>
        <w:pBdr>
          <w:top w:val="single" w:sz="4" w:space="1" w:color="auto"/>
          <w:left w:val="single" w:sz="4" w:space="4" w:color="auto"/>
          <w:bottom w:val="single" w:sz="4" w:space="1" w:color="auto"/>
          <w:right w:val="single" w:sz="4" w:space="4" w:color="auto"/>
        </w:pBdr>
        <w:tabs>
          <w:tab w:val="left" w:pos="567"/>
        </w:tabs>
        <w:spacing w:line="260" w:lineRule="exact"/>
        <w:rPr>
          <w:b/>
          <w:color w:val="000000"/>
          <w:sz w:val="22"/>
          <w:szCs w:val="22"/>
          <w:u w:val="single"/>
        </w:rPr>
      </w:pPr>
      <w:r w:rsidRPr="002D741C">
        <w:rPr>
          <w:b/>
          <w:color w:val="000000"/>
          <w:sz w:val="22"/>
          <w:szCs w:val="22"/>
        </w:rPr>
        <w:t>16.</w:t>
      </w:r>
      <w:r w:rsidRPr="002D741C">
        <w:rPr>
          <w:b/>
          <w:color w:val="000000"/>
          <w:sz w:val="22"/>
          <w:szCs w:val="22"/>
        </w:rPr>
        <w:tab/>
        <w:t>INFORMACIÓN EN BRAILLE</w:t>
      </w:r>
    </w:p>
    <w:p w14:paraId="1E290370" w14:textId="77777777" w:rsidR="0040333F" w:rsidRPr="002D741C" w:rsidRDefault="0040333F" w:rsidP="0040333F">
      <w:pPr>
        <w:rPr>
          <w:color w:val="000000"/>
          <w:sz w:val="22"/>
          <w:szCs w:val="22"/>
        </w:rPr>
      </w:pPr>
    </w:p>
    <w:p w14:paraId="2675A094" w14:textId="77777777" w:rsidR="0040333F" w:rsidRPr="002D741C" w:rsidRDefault="0040333F" w:rsidP="0040333F">
      <w:pPr>
        <w:rPr>
          <w:color w:val="000000"/>
          <w:sz w:val="22"/>
          <w:szCs w:val="22"/>
        </w:rPr>
      </w:pPr>
      <w:r w:rsidRPr="002D741C">
        <w:rPr>
          <w:color w:val="000000"/>
          <w:sz w:val="22"/>
          <w:szCs w:val="22"/>
        </w:rPr>
        <w:t>Glivec 100 mg</w:t>
      </w:r>
    </w:p>
    <w:p w14:paraId="099E0CC9" w14:textId="77777777" w:rsidR="00967C92" w:rsidRPr="002D741C" w:rsidRDefault="00967C92" w:rsidP="00967C92">
      <w:pPr>
        <w:rPr>
          <w:color w:val="000000"/>
          <w:sz w:val="22"/>
          <w:szCs w:val="22"/>
        </w:rPr>
      </w:pPr>
    </w:p>
    <w:p w14:paraId="0F5D2548" w14:textId="77777777" w:rsidR="00967C92" w:rsidRPr="002D741C" w:rsidRDefault="00967C92" w:rsidP="00967C92">
      <w:pPr>
        <w:rPr>
          <w:color w:val="000000"/>
          <w:sz w:val="22"/>
          <w:szCs w:val="22"/>
        </w:rPr>
      </w:pPr>
    </w:p>
    <w:p w14:paraId="036BFFB8" w14:textId="77777777" w:rsidR="00967C92" w:rsidRPr="002D741C" w:rsidRDefault="00967C92" w:rsidP="006662BC">
      <w:pPr>
        <w:widowControl w:val="0"/>
        <w:pBdr>
          <w:top w:val="single" w:sz="4" w:space="1" w:color="auto"/>
          <w:left w:val="single" w:sz="4" w:space="4" w:color="auto"/>
          <w:bottom w:val="single" w:sz="4" w:space="1" w:color="auto"/>
          <w:right w:val="single" w:sz="4" w:space="4" w:color="auto"/>
        </w:pBdr>
        <w:ind w:left="567" w:hanging="570"/>
        <w:outlineLvl w:val="0"/>
        <w:rPr>
          <w:i/>
          <w:noProof/>
          <w:sz w:val="22"/>
          <w:szCs w:val="22"/>
        </w:rPr>
      </w:pPr>
      <w:r w:rsidRPr="002D741C">
        <w:rPr>
          <w:b/>
          <w:noProof/>
          <w:sz w:val="22"/>
          <w:szCs w:val="22"/>
        </w:rPr>
        <w:t>17.</w:t>
      </w:r>
      <w:r w:rsidRPr="002D741C">
        <w:rPr>
          <w:b/>
          <w:noProof/>
          <w:sz w:val="22"/>
          <w:szCs w:val="22"/>
        </w:rPr>
        <w:tab/>
        <w:t>IDENTIFICADOR ÚNICO – CÓDIGO DE BARRAS 2D</w:t>
      </w:r>
    </w:p>
    <w:p w14:paraId="613DF109" w14:textId="77777777" w:rsidR="00967C92" w:rsidRPr="002D741C" w:rsidRDefault="00967C92" w:rsidP="00967C92">
      <w:pPr>
        <w:widowControl w:val="0"/>
        <w:rPr>
          <w:noProof/>
          <w:sz w:val="22"/>
          <w:szCs w:val="22"/>
        </w:rPr>
      </w:pPr>
    </w:p>
    <w:p w14:paraId="2054D325" w14:textId="77777777" w:rsidR="00967C92" w:rsidRPr="009C136D" w:rsidRDefault="00967C92" w:rsidP="00967C92">
      <w:pPr>
        <w:widowControl w:val="0"/>
        <w:rPr>
          <w:noProof/>
          <w:sz w:val="22"/>
          <w:szCs w:val="22"/>
        </w:rPr>
      </w:pPr>
      <w:r w:rsidRPr="002D741C">
        <w:rPr>
          <w:noProof/>
          <w:sz w:val="22"/>
          <w:szCs w:val="22"/>
          <w:shd w:val="pct15" w:color="auto" w:fill="auto"/>
        </w:rPr>
        <w:t>Incluido el código de barras 2D que lleva el identificador único.</w:t>
      </w:r>
    </w:p>
    <w:p w14:paraId="7134E2FE" w14:textId="77777777" w:rsidR="00967C92" w:rsidRPr="002D741C" w:rsidRDefault="00967C92" w:rsidP="00967C92">
      <w:pPr>
        <w:widowControl w:val="0"/>
        <w:rPr>
          <w:noProof/>
          <w:sz w:val="22"/>
          <w:szCs w:val="22"/>
        </w:rPr>
      </w:pPr>
    </w:p>
    <w:p w14:paraId="14F51F17" w14:textId="77777777" w:rsidR="00967C92" w:rsidRPr="002D741C" w:rsidRDefault="00967C92" w:rsidP="00967C92">
      <w:pPr>
        <w:widowControl w:val="0"/>
        <w:rPr>
          <w:noProof/>
          <w:sz w:val="22"/>
          <w:szCs w:val="22"/>
        </w:rPr>
      </w:pPr>
    </w:p>
    <w:p w14:paraId="1AB66FBA" w14:textId="77777777" w:rsidR="00967C92" w:rsidRPr="002D741C" w:rsidRDefault="00967C92" w:rsidP="006662BC">
      <w:pPr>
        <w:widowControl w:val="0"/>
        <w:pBdr>
          <w:top w:val="single" w:sz="4" w:space="1" w:color="auto"/>
          <w:left w:val="single" w:sz="4" w:space="4" w:color="auto"/>
          <w:bottom w:val="single" w:sz="4" w:space="1" w:color="auto"/>
          <w:right w:val="single" w:sz="4" w:space="4" w:color="auto"/>
        </w:pBdr>
        <w:ind w:left="567" w:hanging="570"/>
        <w:outlineLvl w:val="0"/>
        <w:rPr>
          <w:i/>
          <w:noProof/>
          <w:sz w:val="22"/>
          <w:szCs w:val="22"/>
        </w:rPr>
      </w:pPr>
      <w:r w:rsidRPr="002D741C">
        <w:rPr>
          <w:b/>
          <w:noProof/>
          <w:sz w:val="22"/>
          <w:szCs w:val="22"/>
        </w:rPr>
        <w:t>18.</w:t>
      </w:r>
      <w:r w:rsidRPr="002D741C">
        <w:rPr>
          <w:b/>
          <w:noProof/>
          <w:sz w:val="22"/>
          <w:szCs w:val="22"/>
        </w:rPr>
        <w:tab/>
        <w:t>IDENTIFICADOR ÚNICO – INFORMACIÓN EN CARACTERES VISUALES</w:t>
      </w:r>
    </w:p>
    <w:p w14:paraId="63E8F927" w14:textId="77777777" w:rsidR="00967C92" w:rsidRPr="002D741C" w:rsidRDefault="00967C92" w:rsidP="00967C92">
      <w:pPr>
        <w:widowControl w:val="0"/>
        <w:rPr>
          <w:noProof/>
          <w:sz w:val="22"/>
          <w:szCs w:val="22"/>
        </w:rPr>
      </w:pPr>
    </w:p>
    <w:p w14:paraId="7BAB2B0D" w14:textId="77777777" w:rsidR="00967C92" w:rsidRPr="002D741C" w:rsidRDefault="006662BC" w:rsidP="00967C92">
      <w:pPr>
        <w:widowControl w:val="0"/>
        <w:rPr>
          <w:sz w:val="22"/>
          <w:szCs w:val="22"/>
        </w:rPr>
      </w:pPr>
      <w:r>
        <w:rPr>
          <w:sz w:val="22"/>
          <w:szCs w:val="22"/>
        </w:rPr>
        <w:t>PC:</w:t>
      </w:r>
    </w:p>
    <w:p w14:paraId="709F826A" w14:textId="77777777" w:rsidR="00967C92" w:rsidRPr="002D741C" w:rsidRDefault="006662BC" w:rsidP="00967C92">
      <w:pPr>
        <w:widowControl w:val="0"/>
        <w:rPr>
          <w:sz w:val="22"/>
          <w:szCs w:val="22"/>
        </w:rPr>
      </w:pPr>
      <w:r>
        <w:rPr>
          <w:sz w:val="22"/>
          <w:szCs w:val="22"/>
        </w:rPr>
        <w:t>SN:</w:t>
      </w:r>
    </w:p>
    <w:p w14:paraId="325AFD8B" w14:textId="77777777" w:rsidR="00967C92" w:rsidRPr="002D741C" w:rsidRDefault="00967C92" w:rsidP="00967C92">
      <w:pPr>
        <w:widowControl w:val="0"/>
        <w:rPr>
          <w:sz w:val="22"/>
          <w:szCs w:val="22"/>
          <w:shd w:val="pct15" w:color="auto" w:fill="auto"/>
        </w:rPr>
      </w:pPr>
      <w:r w:rsidRPr="002D741C">
        <w:rPr>
          <w:sz w:val="22"/>
          <w:szCs w:val="22"/>
        </w:rPr>
        <w:t>NN:</w:t>
      </w:r>
    </w:p>
    <w:p w14:paraId="67BD79A9" w14:textId="77777777" w:rsidR="0040333F" w:rsidRPr="002D741C" w:rsidRDefault="0040333F" w:rsidP="0040333F">
      <w:pPr>
        <w:rPr>
          <w:color w:val="000000"/>
          <w:sz w:val="22"/>
          <w:szCs w:val="22"/>
        </w:rPr>
      </w:pPr>
    </w:p>
    <w:p w14:paraId="6AF14320" w14:textId="77777777" w:rsidR="0040333F" w:rsidRPr="002D741C" w:rsidRDefault="0040333F" w:rsidP="0040333F">
      <w:pPr>
        <w:rPr>
          <w:color w:val="000000"/>
          <w:sz w:val="22"/>
          <w:szCs w:val="22"/>
        </w:rPr>
      </w:pPr>
      <w:r w:rsidRPr="002D741C">
        <w:rPr>
          <w:b/>
          <w:color w:val="000000"/>
          <w:sz w:val="22"/>
          <w:szCs w:val="22"/>
          <w:u w:val="single"/>
        </w:rPr>
        <w:br w:type="page"/>
      </w:r>
    </w:p>
    <w:p w14:paraId="44A910B2" w14:textId="77777777" w:rsidR="006662BC" w:rsidRPr="006662BC" w:rsidRDefault="006662BC" w:rsidP="006662BC">
      <w:pPr>
        <w:rPr>
          <w:color w:val="000000"/>
          <w:sz w:val="22"/>
          <w:szCs w:val="22"/>
        </w:rPr>
      </w:pPr>
    </w:p>
    <w:p w14:paraId="24F25010" w14:textId="77777777" w:rsidR="0040333F" w:rsidRPr="002D741C" w:rsidRDefault="0040333F" w:rsidP="0040333F">
      <w:pPr>
        <w:pBdr>
          <w:top w:val="single" w:sz="4" w:space="1" w:color="auto"/>
          <w:left w:val="single" w:sz="4" w:space="4" w:color="auto"/>
          <w:bottom w:val="single" w:sz="4" w:space="1" w:color="auto"/>
          <w:right w:val="single" w:sz="4" w:space="4" w:color="auto"/>
        </w:pBdr>
        <w:rPr>
          <w:b/>
          <w:color w:val="000000"/>
          <w:sz w:val="22"/>
          <w:szCs w:val="22"/>
        </w:rPr>
      </w:pPr>
      <w:r w:rsidRPr="002D741C">
        <w:rPr>
          <w:b/>
          <w:color w:val="000000"/>
          <w:sz w:val="22"/>
          <w:szCs w:val="22"/>
        </w:rPr>
        <w:t>INFORMACIÓN MÍNIMA A INCLUIR EN BLÍSTERS O TIRAS</w:t>
      </w:r>
    </w:p>
    <w:p w14:paraId="7EF62FA7" w14:textId="77777777" w:rsidR="0040333F" w:rsidRPr="002D741C" w:rsidRDefault="0040333F" w:rsidP="0040333F">
      <w:pPr>
        <w:pBdr>
          <w:top w:val="single" w:sz="4" w:space="1" w:color="auto"/>
          <w:left w:val="single" w:sz="4" w:space="4" w:color="auto"/>
          <w:bottom w:val="single" w:sz="4" w:space="1" w:color="auto"/>
          <w:right w:val="single" w:sz="4" w:space="4" w:color="auto"/>
        </w:pBdr>
        <w:rPr>
          <w:color w:val="000000"/>
          <w:sz w:val="22"/>
          <w:szCs w:val="22"/>
        </w:rPr>
      </w:pPr>
    </w:p>
    <w:p w14:paraId="458F2290" w14:textId="77777777" w:rsidR="0040333F" w:rsidRPr="002D741C" w:rsidRDefault="0040333F" w:rsidP="0040333F">
      <w:pPr>
        <w:pBdr>
          <w:top w:val="single" w:sz="4" w:space="1" w:color="auto"/>
          <w:left w:val="single" w:sz="4" w:space="4" w:color="auto"/>
          <w:bottom w:val="single" w:sz="4" w:space="1" w:color="auto"/>
          <w:right w:val="single" w:sz="4" w:space="4" w:color="auto"/>
        </w:pBdr>
        <w:rPr>
          <w:b/>
          <w:color w:val="000000"/>
          <w:sz w:val="22"/>
          <w:szCs w:val="22"/>
        </w:rPr>
      </w:pPr>
      <w:r w:rsidRPr="002D741C">
        <w:rPr>
          <w:b/>
          <w:color w:val="000000"/>
          <w:sz w:val="22"/>
          <w:szCs w:val="22"/>
        </w:rPr>
        <w:t>BLÍSTERS</w:t>
      </w:r>
    </w:p>
    <w:p w14:paraId="1F2DC2C2" w14:textId="77777777" w:rsidR="0040333F" w:rsidRPr="002D741C" w:rsidRDefault="0040333F" w:rsidP="0040333F">
      <w:pPr>
        <w:rPr>
          <w:color w:val="000000"/>
          <w:sz w:val="22"/>
          <w:szCs w:val="22"/>
        </w:rPr>
      </w:pPr>
    </w:p>
    <w:p w14:paraId="39955B27" w14:textId="77777777" w:rsidR="0040333F" w:rsidRPr="002D741C" w:rsidRDefault="0040333F" w:rsidP="0040333F">
      <w:pPr>
        <w:rPr>
          <w:color w:val="000000"/>
          <w:sz w:val="22"/>
          <w:szCs w:val="22"/>
        </w:rPr>
      </w:pPr>
    </w:p>
    <w:p w14:paraId="31D6B65E" w14:textId="77777777" w:rsidR="0040333F" w:rsidRPr="002D741C" w:rsidRDefault="0040333F" w:rsidP="0040333F">
      <w:pPr>
        <w:pBdr>
          <w:top w:val="single" w:sz="4" w:space="1" w:color="auto"/>
          <w:left w:val="single" w:sz="4" w:space="4" w:color="auto"/>
          <w:bottom w:val="single" w:sz="4" w:space="1" w:color="auto"/>
          <w:right w:val="single" w:sz="4" w:space="4" w:color="auto"/>
        </w:pBdr>
        <w:ind w:left="567" w:hanging="567"/>
        <w:rPr>
          <w:b/>
          <w:color w:val="000000"/>
          <w:sz w:val="22"/>
          <w:szCs w:val="22"/>
        </w:rPr>
      </w:pPr>
      <w:r w:rsidRPr="002D741C">
        <w:rPr>
          <w:b/>
          <w:color w:val="000000"/>
          <w:sz w:val="22"/>
          <w:szCs w:val="22"/>
        </w:rPr>
        <w:t>1.</w:t>
      </w:r>
      <w:r w:rsidRPr="002D741C">
        <w:rPr>
          <w:b/>
          <w:color w:val="000000"/>
          <w:sz w:val="22"/>
          <w:szCs w:val="22"/>
        </w:rPr>
        <w:tab/>
      </w:r>
      <w:smartTag w:uri="urn:schemas-microsoft-com:office:smarttags" w:element="PersonName">
        <w:r w:rsidRPr="002D741C">
          <w:rPr>
            <w:b/>
            <w:color w:val="000000"/>
            <w:sz w:val="22"/>
            <w:szCs w:val="22"/>
          </w:rPr>
          <w:t>NO</w:t>
        </w:r>
      </w:smartTag>
      <w:r w:rsidRPr="002D741C">
        <w:rPr>
          <w:b/>
          <w:color w:val="000000"/>
          <w:sz w:val="22"/>
          <w:szCs w:val="22"/>
        </w:rPr>
        <w:t xml:space="preserve">MBRE </w:t>
      </w:r>
      <w:smartTag w:uri="urn:schemas-microsoft-com:office:smarttags" w:element="stockticker">
        <w:smartTag w:uri="urn:schemas-microsoft-com:office:smarttags" w:element="PersonName">
          <w:r w:rsidRPr="002D741C">
            <w:rPr>
              <w:b/>
              <w:color w:val="000000"/>
              <w:sz w:val="22"/>
              <w:szCs w:val="22"/>
            </w:rPr>
            <w:t>D</w:t>
          </w:r>
          <w:smartTag w:uri="urn:schemas-microsoft-com:office:smarttags" w:element="PersonName">
            <w:r w:rsidRPr="002D741C">
              <w:rPr>
                <w:b/>
                <w:color w:val="000000"/>
                <w:sz w:val="22"/>
                <w:szCs w:val="22"/>
              </w:rPr>
              <w:t>E</w:t>
            </w:r>
          </w:smartTag>
        </w:smartTag>
        <w:r w:rsidRPr="002D741C">
          <w:rPr>
            <w:b/>
            <w:color w:val="000000"/>
            <w:sz w:val="22"/>
            <w:szCs w:val="22"/>
          </w:rPr>
          <w:t>L</w:t>
        </w:r>
      </w:smartTag>
      <w:r w:rsidRPr="002D741C">
        <w:rPr>
          <w:b/>
          <w:color w:val="000000"/>
          <w:sz w:val="22"/>
          <w:szCs w:val="22"/>
        </w:rPr>
        <w:t xml:space="preserve"> MEDICAMENTO</w:t>
      </w:r>
    </w:p>
    <w:p w14:paraId="151F0DC4" w14:textId="77777777" w:rsidR="0040333F" w:rsidRPr="002D741C" w:rsidRDefault="0040333F" w:rsidP="0040333F">
      <w:pPr>
        <w:ind w:left="567" w:hanging="567"/>
        <w:rPr>
          <w:color w:val="000000"/>
          <w:sz w:val="22"/>
          <w:szCs w:val="22"/>
        </w:rPr>
      </w:pPr>
    </w:p>
    <w:p w14:paraId="635FD4F8" w14:textId="77777777" w:rsidR="0040333F" w:rsidRPr="002D741C" w:rsidRDefault="0040333F" w:rsidP="0040333F">
      <w:pPr>
        <w:widowControl w:val="0"/>
        <w:rPr>
          <w:color w:val="000000"/>
          <w:sz w:val="22"/>
          <w:szCs w:val="22"/>
        </w:rPr>
      </w:pPr>
      <w:r w:rsidRPr="002D741C">
        <w:rPr>
          <w:color w:val="000000"/>
          <w:sz w:val="22"/>
          <w:szCs w:val="22"/>
        </w:rPr>
        <w:t>Glivec 100 mg cápsulas</w:t>
      </w:r>
    </w:p>
    <w:p w14:paraId="6E7A13D8" w14:textId="77777777" w:rsidR="0040333F" w:rsidRPr="002D741C" w:rsidRDefault="00A56B0C" w:rsidP="0040333F">
      <w:pPr>
        <w:widowControl w:val="0"/>
        <w:rPr>
          <w:color w:val="000000"/>
          <w:sz w:val="22"/>
          <w:szCs w:val="22"/>
        </w:rPr>
      </w:pPr>
      <w:r w:rsidRPr="002D741C">
        <w:rPr>
          <w:color w:val="000000"/>
          <w:sz w:val="22"/>
          <w:szCs w:val="22"/>
        </w:rPr>
        <w:t>i</w:t>
      </w:r>
      <w:r w:rsidR="0040333F" w:rsidRPr="002D741C">
        <w:rPr>
          <w:color w:val="000000"/>
          <w:sz w:val="22"/>
          <w:szCs w:val="22"/>
        </w:rPr>
        <w:t>matinib</w:t>
      </w:r>
    </w:p>
    <w:p w14:paraId="5C5838EF" w14:textId="77777777" w:rsidR="0040333F" w:rsidRPr="002D741C" w:rsidRDefault="0040333F" w:rsidP="0040333F">
      <w:pPr>
        <w:rPr>
          <w:color w:val="000000"/>
          <w:sz w:val="22"/>
          <w:szCs w:val="22"/>
        </w:rPr>
      </w:pPr>
    </w:p>
    <w:p w14:paraId="3F8CFF38" w14:textId="77777777" w:rsidR="0040333F" w:rsidRPr="002D741C" w:rsidRDefault="0040333F" w:rsidP="0040333F">
      <w:pPr>
        <w:rPr>
          <w:color w:val="000000"/>
          <w:sz w:val="22"/>
          <w:szCs w:val="22"/>
        </w:rPr>
      </w:pPr>
    </w:p>
    <w:p w14:paraId="1F27CB62" w14:textId="77777777" w:rsidR="0040333F" w:rsidRPr="002D741C" w:rsidRDefault="0040333F" w:rsidP="0040333F">
      <w:pPr>
        <w:pBdr>
          <w:top w:val="single" w:sz="4" w:space="1" w:color="auto"/>
          <w:left w:val="single" w:sz="4" w:space="4" w:color="auto"/>
          <w:bottom w:val="single" w:sz="4" w:space="1" w:color="auto"/>
          <w:right w:val="single" w:sz="4" w:space="4" w:color="auto"/>
        </w:pBdr>
        <w:ind w:left="567" w:hanging="567"/>
        <w:rPr>
          <w:b/>
          <w:color w:val="000000"/>
          <w:sz w:val="22"/>
          <w:szCs w:val="22"/>
        </w:rPr>
      </w:pPr>
      <w:r w:rsidRPr="002D741C">
        <w:rPr>
          <w:b/>
          <w:color w:val="000000"/>
          <w:sz w:val="22"/>
          <w:szCs w:val="22"/>
        </w:rPr>
        <w:t>2.</w:t>
      </w:r>
      <w:r w:rsidRPr="002D741C">
        <w:rPr>
          <w:b/>
          <w:color w:val="000000"/>
          <w:sz w:val="22"/>
          <w:szCs w:val="22"/>
        </w:rPr>
        <w:tab/>
      </w:r>
      <w:smartTag w:uri="urn:schemas-microsoft-com:office:smarttags" w:element="PersonName">
        <w:r w:rsidRPr="002D741C">
          <w:rPr>
            <w:b/>
            <w:color w:val="000000"/>
            <w:sz w:val="22"/>
            <w:szCs w:val="22"/>
          </w:rPr>
          <w:t>NO</w:t>
        </w:r>
      </w:smartTag>
      <w:r w:rsidRPr="002D741C">
        <w:rPr>
          <w:b/>
          <w:color w:val="000000"/>
          <w:sz w:val="22"/>
          <w:szCs w:val="22"/>
        </w:rPr>
        <w:t xml:space="preserve">MBRE </w:t>
      </w:r>
      <w:smartTag w:uri="urn:schemas-microsoft-com:office:smarttags" w:element="stockticker">
        <w:smartTag w:uri="urn:schemas-microsoft-com:office:smarttags" w:element="PersonName">
          <w:r w:rsidRPr="002D741C">
            <w:rPr>
              <w:b/>
              <w:color w:val="000000"/>
              <w:sz w:val="22"/>
              <w:szCs w:val="22"/>
            </w:rPr>
            <w:t>D</w:t>
          </w:r>
          <w:smartTag w:uri="urn:schemas-microsoft-com:office:smarttags" w:element="PersonName">
            <w:r w:rsidRPr="002D741C">
              <w:rPr>
                <w:b/>
                <w:color w:val="000000"/>
                <w:sz w:val="22"/>
                <w:szCs w:val="22"/>
              </w:rPr>
              <w:t>E</w:t>
            </w:r>
          </w:smartTag>
        </w:smartTag>
        <w:r w:rsidRPr="002D741C">
          <w:rPr>
            <w:b/>
            <w:color w:val="000000"/>
            <w:sz w:val="22"/>
            <w:szCs w:val="22"/>
          </w:rPr>
          <w:t>L</w:t>
        </w:r>
      </w:smartTag>
      <w:r w:rsidRPr="002D741C">
        <w:rPr>
          <w:b/>
          <w:color w:val="000000"/>
          <w:sz w:val="22"/>
          <w:szCs w:val="22"/>
        </w:rPr>
        <w:t xml:space="preserve"> T</w:t>
      </w:r>
      <w:smartTag w:uri="urn:schemas-microsoft-com:office:smarttags" w:element="PersonName">
        <w:r w:rsidRPr="002D741C">
          <w:rPr>
            <w:b/>
            <w:color w:val="000000"/>
            <w:sz w:val="22"/>
            <w:szCs w:val="22"/>
          </w:rPr>
          <w:t>IT</w:t>
        </w:r>
      </w:smartTag>
      <w:r w:rsidRPr="002D741C">
        <w:rPr>
          <w:b/>
          <w:color w:val="000000"/>
          <w:sz w:val="22"/>
          <w:szCs w:val="22"/>
        </w:rPr>
        <w:t xml:space="preserve">ULAR </w:t>
      </w:r>
      <w:smartTag w:uri="urn:schemas-microsoft-com:office:smarttags" w:element="PersonName">
        <w:r w:rsidRPr="002D741C">
          <w:rPr>
            <w:b/>
            <w:color w:val="000000"/>
            <w:sz w:val="22"/>
            <w:szCs w:val="22"/>
          </w:rPr>
          <w:t>DE</w:t>
        </w:r>
      </w:smartTag>
      <w:r w:rsidRPr="002D741C">
        <w:rPr>
          <w:b/>
          <w:color w:val="000000"/>
          <w:sz w:val="22"/>
          <w:szCs w:val="22"/>
        </w:rPr>
        <w:t xml:space="preserve"> </w:t>
      </w:r>
      <w:smartTag w:uri="urn:schemas-microsoft-com:office:smarttags" w:element="PersonName">
        <w:smartTagPr>
          <w:attr w:name="ProductID" w:val="LA AUTORIZACIￓN DE"/>
        </w:smartTagPr>
        <w:r w:rsidRPr="002D741C">
          <w:rPr>
            <w:b/>
            <w:color w:val="000000"/>
            <w:sz w:val="22"/>
            <w:szCs w:val="22"/>
          </w:rPr>
          <w:t xml:space="preserve">LA AUTORIZACIÓN </w:t>
        </w:r>
        <w:smartTag w:uri="urn:schemas-microsoft-com:office:smarttags" w:element="PersonName">
          <w:r w:rsidRPr="002D741C">
            <w:rPr>
              <w:b/>
              <w:color w:val="000000"/>
              <w:sz w:val="22"/>
              <w:szCs w:val="22"/>
            </w:rPr>
            <w:t>DE</w:t>
          </w:r>
        </w:smartTag>
      </w:smartTag>
      <w:r w:rsidRPr="002D741C">
        <w:rPr>
          <w:b/>
          <w:color w:val="000000"/>
          <w:sz w:val="22"/>
          <w:szCs w:val="22"/>
        </w:rPr>
        <w:t xml:space="preserve"> COMERCIALIZACIÓN</w:t>
      </w:r>
    </w:p>
    <w:p w14:paraId="54B21F61" w14:textId="77777777" w:rsidR="0040333F" w:rsidRPr="002D741C" w:rsidRDefault="0040333F" w:rsidP="0040333F">
      <w:pPr>
        <w:rPr>
          <w:color w:val="000000"/>
          <w:sz w:val="22"/>
          <w:szCs w:val="22"/>
        </w:rPr>
      </w:pPr>
    </w:p>
    <w:p w14:paraId="506AAF98" w14:textId="77777777" w:rsidR="0040333F" w:rsidRPr="002D741C" w:rsidRDefault="0040333F" w:rsidP="0040333F">
      <w:pPr>
        <w:widowControl w:val="0"/>
        <w:rPr>
          <w:color w:val="000000"/>
          <w:sz w:val="22"/>
          <w:szCs w:val="22"/>
        </w:rPr>
      </w:pPr>
      <w:r w:rsidRPr="002D741C">
        <w:rPr>
          <w:color w:val="000000"/>
          <w:sz w:val="22"/>
          <w:szCs w:val="22"/>
        </w:rPr>
        <w:t>Novartis Europharm Limited</w:t>
      </w:r>
    </w:p>
    <w:p w14:paraId="27DF2E84" w14:textId="77777777" w:rsidR="0040333F" w:rsidRPr="002D741C" w:rsidRDefault="0040333F" w:rsidP="0040333F">
      <w:pPr>
        <w:rPr>
          <w:color w:val="000000"/>
          <w:sz w:val="22"/>
          <w:szCs w:val="22"/>
        </w:rPr>
      </w:pPr>
    </w:p>
    <w:p w14:paraId="38083EB1" w14:textId="77777777" w:rsidR="0040333F" w:rsidRPr="002D741C" w:rsidRDefault="0040333F" w:rsidP="0040333F">
      <w:pPr>
        <w:rPr>
          <w:color w:val="000000"/>
          <w:sz w:val="22"/>
          <w:szCs w:val="22"/>
        </w:rPr>
      </w:pPr>
    </w:p>
    <w:p w14:paraId="2F59E3BE" w14:textId="77777777" w:rsidR="0040333F" w:rsidRPr="002D741C" w:rsidRDefault="0040333F" w:rsidP="0040333F">
      <w:pPr>
        <w:pBdr>
          <w:top w:val="single" w:sz="4" w:space="1" w:color="auto"/>
          <w:left w:val="single" w:sz="4" w:space="4" w:color="auto"/>
          <w:bottom w:val="single" w:sz="4" w:space="1" w:color="auto"/>
          <w:right w:val="single" w:sz="4" w:space="4" w:color="auto"/>
        </w:pBdr>
        <w:ind w:left="567" w:hanging="567"/>
        <w:rPr>
          <w:b/>
          <w:color w:val="000000"/>
          <w:sz w:val="22"/>
          <w:szCs w:val="22"/>
        </w:rPr>
      </w:pPr>
      <w:r w:rsidRPr="002D741C">
        <w:rPr>
          <w:b/>
          <w:color w:val="000000"/>
          <w:sz w:val="22"/>
          <w:szCs w:val="22"/>
        </w:rPr>
        <w:t>3.</w:t>
      </w:r>
      <w:r w:rsidRPr="002D741C">
        <w:rPr>
          <w:b/>
          <w:color w:val="000000"/>
          <w:sz w:val="22"/>
          <w:szCs w:val="22"/>
        </w:rPr>
        <w:tab/>
        <w:t xml:space="preserve">FECHA </w:t>
      </w:r>
      <w:smartTag w:uri="urn:schemas-microsoft-com:office:smarttags" w:element="PersonName">
        <w:r w:rsidRPr="002D741C">
          <w:rPr>
            <w:b/>
            <w:color w:val="000000"/>
            <w:sz w:val="22"/>
            <w:szCs w:val="22"/>
          </w:rPr>
          <w:t>DE</w:t>
        </w:r>
      </w:smartTag>
      <w:r w:rsidRPr="002D741C">
        <w:rPr>
          <w:b/>
          <w:color w:val="000000"/>
          <w:sz w:val="22"/>
          <w:szCs w:val="22"/>
        </w:rPr>
        <w:t xml:space="preserve"> CADUCIDAD</w:t>
      </w:r>
    </w:p>
    <w:p w14:paraId="2682C8E4" w14:textId="77777777" w:rsidR="0040333F" w:rsidRPr="002D741C" w:rsidRDefault="0040333F" w:rsidP="0040333F">
      <w:pPr>
        <w:rPr>
          <w:color w:val="000000"/>
          <w:sz w:val="22"/>
          <w:szCs w:val="22"/>
        </w:rPr>
      </w:pPr>
    </w:p>
    <w:p w14:paraId="026196A4" w14:textId="77777777" w:rsidR="0040333F" w:rsidRPr="002D741C" w:rsidRDefault="0040333F" w:rsidP="0040333F">
      <w:pPr>
        <w:pStyle w:val="EndnoteText"/>
        <w:widowControl w:val="0"/>
        <w:tabs>
          <w:tab w:val="clear" w:pos="567"/>
        </w:tabs>
        <w:rPr>
          <w:color w:val="000000"/>
          <w:szCs w:val="22"/>
          <w:lang w:val="es-ES"/>
        </w:rPr>
      </w:pPr>
      <w:r w:rsidRPr="002D741C">
        <w:rPr>
          <w:color w:val="000000"/>
          <w:szCs w:val="22"/>
          <w:lang w:val="es-ES"/>
        </w:rPr>
        <w:t>EXP</w:t>
      </w:r>
    </w:p>
    <w:p w14:paraId="74DCD3D0" w14:textId="77777777" w:rsidR="0040333F" w:rsidRPr="002D741C" w:rsidRDefault="0040333F" w:rsidP="0040333F">
      <w:pPr>
        <w:rPr>
          <w:color w:val="000000"/>
          <w:sz w:val="22"/>
          <w:szCs w:val="22"/>
          <w:lang w:val="nl-NL"/>
        </w:rPr>
      </w:pPr>
    </w:p>
    <w:p w14:paraId="56B6C248" w14:textId="77777777" w:rsidR="0040333F" w:rsidRPr="002D741C" w:rsidRDefault="0040333F" w:rsidP="0040333F">
      <w:pPr>
        <w:rPr>
          <w:color w:val="000000"/>
          <w:sz w:val="22"/>
          <w:szCs w:val="22"/>
          <w:lang w:val="nl-NL"/>
        </w:rPr>
      </w:pPr>
    </w:p>
    <w:p w14:paraId="3C482E55" w14:textId="77777777" w:rsidR="0040333F" w:rsidRPr="002D741C" w:rsidRDefault="0040333F" w:rsidP="0040333F">
      <w:pPr>
        <w:pBdr>
          <w:top w:val="single" w:sz="4" w:space="1" w:color="auto"/>
          <w:left w:val="single" w:sz="4" w:space="4" w:color="auto"/>
          <w:bottom w:val="single" w:sz="4" w:space="1" w:color="auto"/>
          <w:right w:val="single" w:sz="4" w:space="4" w:color="auto"/>
        </w:pBdr>
        <w:ind w:left="567" w:hanging="567"/>
        <w:rPr>
          <w:b/>
          <w:color w:val="000000"/>
          <w:sz w:val="22"/>
          <w:szCs w:val="22"/>
        </w:rPr>
      </w:pPr>
      <w:r w:rsidRPr="002D741C">
        <w:rPr>
          <w:b/>
          <w:color w:val="000000"/>
          <w:sz w:val="22"/>
          <w:szCs w:val="22"/>
        </w:rPr>
        <w:t>4.</w:t>
      </w:r>
      <w:r w:rsidRPr="002D741C">
        <w:rPr>
          <w:b/>
          <w:color w:val="000000"/>
          <w:sz w:val="22"/>
          <w:szCs w:val="22"/>
        </w:rPr>
        <w:tab/>
        <w:t>NÚME</w:t>
      </w:r>
      <w:smartTag w:uri="urn:schemas-microsoft-com:office:smarttags" w:element="PersonName">
        <w:r w:rsidRPr="002D741C">
          <w:rPr>
            <w:b/>
            <w:color w:val="000000"/>
            <w:sz w:val="22"/>
            <w:szCs w:val="22"/>
          </w:rPr>
          <w:t>RO</w:t>
        </w:r>
      </w:smartTag>
      <w:r w:rsidRPr="002D741C">
        <w:rPr>
          <w:b/>
          <w:color w:val="000000"/>
          <w:sz w:val="22"/>
          <w:szCs w:val="22"/>
        </w:rPr>
        <w:t xml:space="preserve"> </w:t>
      </w:r>
      <w:smartTag w:uri="urn:schemas-microsoft-com:office:smarttags" w:element="PersonName">
        <w:r w:rsidRPr="002D741C">
          <w:rPr>
            <w:b/>
            <w:color w:val="000000"/>
            <w:sz w:val="22"/>
            <w:szCs w:val="22"/>
          </w:rPr>
          <w:t>DE</w:t>
        </w:r>
      </w:smartTag>
      <w:r w:rsidRPr="002D741C">
        <w:rPr>
          <w:b/>
          <w:color w:val="000000"/>
          <w:sz w:val="22"/>
          <w:szCs w:val="22"/>
        </w:rPr>
        <w:t xml:space="preserve"> LOTE</w:t>
      </w:r>
    </w:p>
    <w:p w14:paraId="3826351E" w14:textId="77777777" w:rsidR="0040333F" w:rsidRPr="002D741C" w:rsidRDefault="0040333F" w:rsidP="0040333F">
      <w:pPr>
        <w:rPr>
          <w:color w:val="000000"/>
          <w:sz w:val="22"/>
          <w:szCs w:val="22"/>
        </w:rPr>
      </w:pPr>
    </w:p>
    <w:p w14:paraId="2CD08941" w14:textId="77777777" w:rsidR="0040333F" w:rsidRPr="002D741C" w:rsidRDefault="0040333F" w:rsidP="0040333F">
      <w:pPr>
        <w:pStyle w:val="EndnoteText"/>
        <w:widowControl w:val="0"/>
        <w:tabs>
          <w:tab w:val="clear" w:pos="567"/>
        </w:tabs>
        <w:rPr>
          <w:color w:val="000000"/>
          <w:szCs w:val="22"/>
          <w:lang w:val="es-ES"/>
        </w:rPr>
      </w:pPr>
      <w:r w:rsidRPr="002D741C">
        <w:rPr>
          <w:color w:val="000000"/>
          <w:szCs w:val="22"/>
          <w:lang w:val="es-ES"/>
        </w:rPr>
        <w:t>Lot</w:t>
      </w:r>
    </w:p>
    <w:p w14:paraId="572E55C8" w14:textId="77777777" w:rsidR="0040333F" w:rsidRPr="002D741C" w:rsidRDefault="0040333F" w:rsidP="0040333F">
      <w:pPr>
        <w:pStyle w:val="EndnoteText"/>
        <w:widowControl w:val="0"/>
        <w:tabs>
          <w:tab w:val="clear" w:pos="567"/>
        </w:tabs>
        <w:rPr>
          <w:color w:val="000000"/>
          <w:szCs w:val="22"/>
          <w:lang w:val="es-ES"/>
        </w:rPr>
      </w:pPr>
    </w:p>
    <w:p w14:paraId="279DCB53" w14:textId="77777777" w:rsidR="0040333F" w:rsidRPr="002D741C" w:rsidRDefault="0040333F" w:rsidP="0040333F">
      <w:pPr>
        <w:pStyle w:val="EndnoteText"/>
        <w:widowControl w:val="0"/>
        <w:tabs>
          <w:tab w:val="clear" w:pos="567"/>
        </w:tabs>
        <w:rPr>
          <w:color w:val="000000"/>
          <w:szCs w:val="22"/>
          <w:lang w:val="es-ES"/>
        </w:rPr>
      </w:pPr>
    </w:p>
    <w:p w14:paraId="6B8DF7AE" w14:textId="77777777" w:rsidR="0040333F" w:rsidRPr="002D741C" w:rsidRDefault="0040333F" w:rsidP="006662BC">
      <w:pPr>
        <w:pStyle w:val="EndnoteText"/>
        <w:widowControl w:val="0"/>
        <w:pBdr>
          <w:top w:val="single" w:sz="4" w:space="1" w:color="auto"/>
          <w:left w:val="single" w:sz="4" w:space="4" w:color="auto"/>
          <w:bottom w:val="single" w:sz="4" w:space="1" w:color="auto"/>
          <w:right w:val="single" w:sz="4" w:space="4" w:color="auto"/>
        </w:pBdr>
        <w:tabs>
          <w:tab w:val="clear" w:pos="567"/>
        </w:tabs>
        <w:spacing w:line="260" w:lineRule="exact"/>
        <w:ind w:left="567" w:hanging="567"/>
        <w:rPr>
          <w:color w:val="000000"/>
          <w:szCs w:val="22"/>
          <w:lang w:val="es-ES"/>
        </w:rPr>
      </w:pPr>
      <w:r w:rsidRPr="002D741C">
        <w:rPr>
          <w:b/>
          <w:color w:val="000000"/>
          <w:szCs w:val="22"/>
          <w:lang w:val="es-ES"/>
        </w:rPr>
        <w:t>5.</w:t>
      </w:r>
      <w:r w:rsidRPr="002D741C">
        <w:rPr>
          <w:b/>
          <w:color w:val="000000"/>
          <w:szCs w:val="22"/>
          <w:lang w:val="es-ES"/>
        </w:rPr>
        <w:tab/>
        <w:t>OT</w:t>
      </w:r>
      <w:smartTag w:uri="urn:schemas-microsoft-com:office:smarttags" w:element="PersonName">
        <w:r w:rsidRPr="002D741C">
          <w:rPr>
            <w:b/>
            <w:color w:val="000000"/>
            <w:szCs w:val="22"/>
            <w:lang w:val="es-ES"/>
          </w:rPr>
          <w:t>RO</w:t>
        </w:r>
      </w:smartTag>
      <w:r w:rsidRPr="002D741C">
        <w:rPr>
          <w:b/>
          <w:color w:val="000000"/>
          <w:szCs w:val="22"/>
          <w:lang w:val="es-ES"/>
        </w:rPr>
        <w:t>S</w:t>
      </w:r>
    </w:p>
    <w:p w14:paraId="4063C7D2" w14:textId="77777777" w:rsidR="0040333F" w:rsidRPr="002D741C" w:rsidRDefault="0040333F" w:rsidP="0040333F">
      <w:pPr>
        <w:pStyle w:val="EndnoteText"/>
        <w:widowControl w:val="0"/>
        <w:tabs>
          <w:tab w:val="clear" w:pos="567"/>
        </w:tabs>
        <w:rPr>
          <w:color w:val="000000"/>
          <w:szCs w:val="22"/>
          <w:lang w:val="es-ES"/>
        </w:rPr>
      </w:pPr>
    </w:p>
    <w:p w14:paraId="4EF595A2" w14:textId="77777777" w:rsidR="0040333F" w:rsidRPr="002D741C" w:rsidRDefault="0040333F" w:rsidP="0040333F">
      <w:pPr>
        <w:widowControl w:val="0"/>
        <w:rPr>
          <w:color w:val="000000"/>
          <w:sz w:val="22"/>
          <w:szCs w:val="22"/>
        </w:rPr>
      </w:pPr>
      <w:r w:rsidRPr="002D741C">
        <w:rPr>
          <w:color w:val="000000"/>
          <w:sz w:val="22"/>
          <w:szCs w:val="22"/>
        </w:rPr>
        <w:br w:type="page"/>
      </w:r>
    </w:p>
    <w:p w14:paraId="3E7A5998" w14:textId="77777777" w:rsidR="006662BC" w:rsidRPr="006662BC" w:rsidRDefault="006662BC" w:rsidP="006662BC">
      <w:pPr>
        <w:widowControl w:val="0"/>
        <w:jc w:val="both"/>
        <w:rPr>
          <w:color w:val="000000"/>
          <w:sz w:val="22"/>
          <w:szCs w:val="22"/>
        </w:rPr>
      </w:pPr>
    </w:p>
    <w:p w14:paraId="76CBEBB7" w14:textId="77777777" w:rsidR="0040333F" w:rsidRPr="002D741C" w:rsidRDefault="0040333F" w:rsidP="0040333F">
      <w:pPr>
        <w:widowControl w:val="0"/>
        <w:pBdr>
          <w:top w:val="single" w:sz="4" w:space="1" w:color="auto"/>
          <w:left w:val="single" w:sz="4" w:space="4" w:color="auto"/>
          <w:bottom w:val="single" w:sz="4" w:space="1" w:color="auto"/>
          <w:right w:val="single" w:sz="4" w:space="4" w:color="auto"/>
        </w:pBdr>
        <w:jc w:val="both"/>
        <w:rPr>
          <w:color w:val="000000"/>
          <w:sz w:val="22"/>
          <w:szCs w:val="22"/>
        </w:rPr>
      </w:pPr>
      <w:r w:rsidRPr="002D741C">
        <w:rPr>
          <w:b/>
          <w:color w:val="000000"/>
          <w:sz w:val="22"/>
          <w:szCs w:val="22"/>
        </w:rPr>
        <w:t xml:space="preserve">INFORMACIÓN QUE </w:t>
      </w:r>
      <w:smartTag w:uri="urn:schemas-microsoft-com:office:smarttags" w:element="PersonName">
        <w:r w:rsidRPr="002D741C">
          <w:rPr>
            <w:b/>
            <w:color w:val="000000"/>
            <w:sz w:val="22"/>
            <w:szCs w:val="22"/>
          </w:rPr>
          <w:t>DE</w:t>
        </w:r>
      </w:smartTag>
      <w:r w:rsidRPr="002D741C">
        <w:rPr>
          <w:b/>
          <w:color w:val="000000"/>
          <w:sz w:val="22"/>
          <w:szCs w:val="22"/>
        </w:rPr>
        <w:t xml:space="preserve">BE </w:t>
      </w:r>
      <w:smartTag w:uri="urn:schemas-microsoft-com:office:smarttags" w:element="PersonName">
        <w:r w:rsidRPr="002D741C">
          <w:rPr>
            <w:b/>
            <w:color w:val="000000"/>
            <w:sz w:val="22"/>
            <w:szCs w:val="22"/>
          </w:rPr>
          <w:t>FI</w:t>
        </w:r>
      </w:smartTag>
      <w:r w:rsidRPr="002D741C">
        <w:rPr>
          <w:b/>
          <w:color w:val="000000"/>
          <w:sz w:val="22"/>
          <w:szCs w:val="22"/>
        </w:rPr>
        <w:t xml:space="preserve">GURAR EN </w:t>
      </w:r>
      <w:smartTag w:uri="urn:schemas-microsoft-com:office:smarttags" w:element="PersonName">
        <w:r w:rsidRPr="002D741C">
          <w:rPr>
            <w:b/>
            <w:color w:val="000000"/>
            <w:sz w:val="22"/>
            <w:szCs w:val="22"/>
          </w:rPr>
          <w:t>EL</w:t>
        </w:r>
      </w:smartTag>
      <w:r w:rsidRPr="002D741C">
        <w:rPr>
          <w:b/>
          <w:color w:val="000000"/>
          <w:sz w:val="22"/>
          <w:szCs w:val="22"/>
        </w:rPr>
        <w:t xml:space="preserve"> EMBALAJE EXTERIOR</w:t>
      </w:r>
    </w:p>
    <w:p w14:paraId="081EC0F9" w14:textId="77777777" w:rsidR="0040333F" w:rsidRPr="002D741C" w:rsidRDefault="0040333F" w:rsidP="0040333F">
      <w:pPr>
        <w:widowControl w:val="0"/>
        <w:pBdr>
          <w:top w:val="single" w:sz="4" w:space="1" w:color="auto"/>
          <w:left w:val="single" w:sz="4" w:space="4" w:color="auto"/>
          <w:bottom w:val="single" w:sz="4" w:space="1" w:color="auto"/>
          <w:right w:val="single" w:sz="4" w:space="4" w:color="auto"/>
        </w:pBdr>
        <w:jc w:val="both"/>
        <w:rPr>
          <w:color w:val="000000"/>
          <w:sz w:val="22"/>
          <w:szCs w:val="22"/>
        </w:rPr>
      </w:pPr>
    </w:p>
    <w:p w14:paraId="1EDDBCBE" w14:textId="77777777" w:rsidR="0040333F" w:rsidRPr="002D741C" w:rsidRDefault="0040333F" w:rsidP="0040333F">
      <w:pPr>
        <w:widowControl w:val="0"/>
        <w:pBdr>
          <w:top w:val="single" w:sz="4" w:space="1" w:color="auto"/>
          <w:left w:val="single" w:sz="4" w:space="4" w:color="auto"/>
          <w:bottom w:val="single" w:sz="4" w:space="1" w:color="auto"/>
          <w:right w:val="single" w:sz="4" w:space="4" w:color="auto"/>
        </w:pBdr>
        <w:rPr>
          <w:b/>
          <w:color w:val="000000"/>
          <w:sz w:val="22"/>
          <w:szCs w:val="22"/>
        </w:rPr>
      </w:pPr>
      <w:r w:rsidRPr="002D741C">
        <w:rPr>
          <w:b/>
          <w:color w:val="000000"/>
          <w:sz w:val="22"/>
          <w:szCs w:val="22"/>
        </w:rPr>
        <w:t xml:space="preserve">CAJA </w:t>
      </w:r>
      <w:smartTag w:uri="urn:schemas-microsoft-com:office:smarttags" w:element="PersonName">
        <w:r w:rsidRPr="002D741C">
          <w:rPr>
            <w:b/>
            <w:color w:val="000000"/>
            <w:sz w:val="22"/>
            <w:szCs w:val="22"/>
          </w:rPr>
          <w:t>DE</w:t>
        </w:r>
      </w:smartTag>
      <w:r w:rsidRPr="002D741C">
        <w:rPr>
          <w:b/>
          <w:color w:val="000000"/>
          <w:sz w:val="22"/>
          <w:szCs w:val="22"/>
        </w:rPr>
        <w:t xml:space="preserve"> CARTÓN</w:t>
      </w:r>
    </w:p>
    <w:p w14:paraId="3B9E85E9" w14:textId="77777777" w:rsidR="0040333F" w:rsidRPr="002D741C" w:rsidRDefault="0040333F" w:rsidP="0040333F">
      <w:pPr>
        <w:widowControl w:val="0"/>
        <w:rPr>
          <w:color w:val="000000"/>
          <w:sz w:val="22"/>
          <w:szCs w:val="22"/>
        </w:rPr>
      </w:pPr>
    </w:p>
    <w:p w14:paraId="4B842106" w14:textId="77777777" w:rsidR="0040333F" w:rsidRPr="002D741C" w:rsidRDefault="0040333F" w:rsidP="0040333F">
      <w:pPr>
        <w:widowControl w:val="0"/>
        <w:rPr>
          <w:color w:val="000000"/>
          <w:sz w:val="22"/>
          <w:szCs w:val="22"/>
        </w:rPr>
      </w:pPr>
    </w:p>
    <w:p w14:paraId="26F3B3CE" w14:textId="77777777" w:rsidR="0040333F" w:rsidRPr="002D741C" w:rsidRDefault="0040333F" w:rsidP="0040333F">
      <w:pPr>
        <w:widowControl w:val="0"/>
        <w:pBdr>
          <w:top w:val="single" w:sz="4" w:space="1" w:color="auto"/>
          <w:left w:val="single" w:sz="4" w:space="4" w:color="auto"/>
          <w:bottom w:val="single" w:sz="4" w:space="1" w:color="auto"/>
          <w:right w:val="single" w:sz="4" w:space="4" w:color="auto"/>
        </w:pBdr>
        <w:ind w:left="567" w:hanging="567"/>
        <w:rPr>
          <w:b/>
          <w:color w:val="000000"/>
          <w:sz w:val="22"/>
          <w:szCs w:val="22"/>
        </w:rPr>
      </w:pPr>
      <w:r w:rsidRPr="002D741C">
        <w:rPr>
          <w:b/>
          <w:color w:val="000000"/>
          <w:sz w:val="22"/>
          <w:szCs w:val="22"/>
        </w:rPr>
        <w:t>1.</w:t>
      </w:r>
      <w:r w:rsidRPr="002D741C">
        <w:rPr>
          <w:b/>
          <w:color w:val="000000"/>
          <w:sz w:val="22"/>
          <w:szCs w:val="22"/>
        </w:rPr>
        <w:tab/>
      </w:r>
      <w:smartTag w:uri="urn:schemas-microsoft-com:office:smarttags" w:element="PersonName">
        <w:r w:rsidRPr="002D741C">
          <w:rPr>
            <w:b/>
            <w:color w:val="000000"/>
            <w:sz w:val="22"/>
            <w:szCs w:val="22"/>
          </w:rPr>
          <w:t>NO</w:t>
        </w:r>
      </w:smartTag>
      <w:r w:rsidRPr="002D741C">
        <w:rPr>
          <w:b/>
          <w:color w:val="000000"/>
          <w:sz w:val="22"/>
          <w:szCs w:val="22"/>
        </w:rPr>
        <w:t xml:space="preserve">MBRE </w:t>
      </w:r>
      <w:smartTag w:uri="urn:schemas-microsoft-com:office:smarttags" w:element="stockticker">
        <w:smartTag w:uri="urn:schemas-microsoft-com:office:smarttags" w:element="PersonName">
          <w:r w:rsidRPr="002D741C">
            <w:rPr>
              <w:b/>
              <w:color w:val="000000"/>
              <w:sz w:val="22"/>
              <w:szCs w:val="22"/>
            </w:rPr>
            <w:t>D</w:t>
          </w:r>
          <w:smartTag w:uri="urn:schemas-microsoft-com:office:smarttags" w:element="PersonName">
            <w:r w:rsidRPr="002D741C">
              <w:rPr>
                <w:b/>
                <w:color w:val="000000"/>
                <w:sz w:val="22"/>
                <w:szCs w:val="22"/>
              </w:rPr>
              <w:t>E</w:t>
            </w:r>
          </w:smartTag>
        </w:smartTag>
        <w:r w:rsidRPr="002D741C">
          <w:rPr>
            <w:b/>
            <w:color w:val="000000"/>
            <w:sz w:val="22"/>
            <w:szCs w:val="22"/>
          </w:rPr>
          <w:t>L</w:t>
        </w:r>
      </w:smartTag>
      <w:r w:rsidRPr="002D741C">
        <w:rPr>
          <w:b/>
          <w:color w:val="000000"/>
          <w:sz w:val="22"/>
          <w:szCs w:val="22"/>
        </w:rPr>
        <w:t xml:space="preserve"> MEDICAMENTO</w:t>
      </w:r>
    </w:p>
    <w:p w14:paraId="6E45AA65" w14:textId="77777777" w:rsidR="0040333F" w:rsidRPr="002D741C" w:rsidRDefault="0040333F" w:rsidP="0040333F">
      <w:pPr>
        <w:widowControl w:val="0"/>
        <w:rPr>
          <w:color w:val="000000"/>
          <w:sz w:val="22"/>
          <w:szCs w:val="22"/>
        </w:rPr>
      </w:pPr>
    </w:p>
    <w:p w14:paraId="01A6C641" w14:textId="77777777" w:rsidR="0040333F" w:rsidRPr="002D741C" w:rsidRDefault="0040333F" w:rsidP="0040333F">
      <w:pPr>
        <w:pStyle w:val="EndnoteText"/>
        <w:widowControl w:val="0"/>
        <w:tabs>
          <w:tab w:val="clear" w:pos="567"/>
        </w:tabs>
        <w:rPr>
          <w:color w:val="000000"/>
          <w:szCs w:val="22"/>
          <w:lang w:val="es-ES"/>
        </w:rPr>
      </w:pPr>
      <w:r w:rsidRPr="002D741C">
        <w:rPr>
          <w:color w:val="000000"/>
          <w:szCs w:val="22"/>
          <w:lang w:val="es-ES"/>
        </w:rPr>
        <w:t>Glivec 100 mg comprimidos recubiertos con película</w:t>
      </w:r>
    </w:p>
    <w:p w14:paraId="76104BE8" w14:textId="77777777" w:rsidR="0040333F" w:rsidRPr="002D741C" w:rsidRDefault="00A56B0C" w:rsidP="0040333F">
      <w:pPr>
        <w:pStyle w:val="EndnoteText"/>
        <w:widowControl w:val="0"/>
        <w:tabs>
          <w:tab w:val="clear" w:pos="567"/>
        </w:tabs>
        <w:rPr>
          <w:color w:val="000000"/>
          <w:szCs w:val="22"/>
          <w:lang w:val="pt-BR"/>
        </w:rPr>
      </w:pPr>
      <w:r w:rsidRPr="002D741C">
        <w:rPr>
          <w:color w:val="000000"/>
          <w:szCs w:val="22"/>
          <w:lang w:val="pt-BR"/>
        </w:rPr>
        <w:t>i</w:t>
      </w:r>
      <w:r w:rsidR="0040333F" w:rsidRPr="002D741C">
        <w:rPr>
          <w:color w:val="000000"/>
          <w:szCs w:val="22"/>
          <w:lang w:val="pt-BR"/>
        </w:rPr>
        <w:t>matinib</w:t>
      </w:r>
    </w:p>
    <w:p w14:paraId="6A3CE822" w14:textId="77777777" w:rsidR="0040333F" w:rsidRPr="002D741C" w:rsidRDefault="0040333F" w:rsidP="0040333F">
      <w:pPr>
        <w:widowControl w:val="0"/>
        <w:rPr>
          <w:color w:val="000000"/>
          <w:sz w:val="22"/>
          <w:szCs w:val="22"/>
          <w:lang w:val="pt-BR"/>
        </w:rPr>
      </w:pPr>
    </w:p>
    <w:p w14:paraId="3DA25876" w14:textId="77777777" w:rsidR="0040333F" w:rsidRPr="002D741C" w:rsidRDefault="0040333F" w:rsidP="0040333F">
      <w:pPr>
        <w:widowControl w:val="0"/>
        <w:rPr>
          <w:color w:val="000000"/>
          <w:sz w:val="22"/>
          <w:szCs w:val="22"/>
          <w:lang w:val="pt-BR"/>
        </w:rPr>
      </w:pPr>
    </w:p>
    <w:p w14:paraId="1828873A" w14:textId="77777777" w:rsidR="0040333F" w:rsidRPr="002D741C" w:rsidRDefault="0040333F" w:rsidP="0040333F">
      <w:pPr>
        <w:widowControl w:val="0"/>
        <w:pBdr>
          <w:top w:val="single" w:sz="4" w:space="1" w:color="auto"/>
          <w:left w:val="single" w:sz="4" w:space="4" w:color="auto"/>
          <w:bottom w:val="single" w:sz="4" w:space="1" w:color="auto"/>
          <w:right w:val="single" w:sz="4" w:space="4" w:color="auto"/>
        </w:pBdr>
        <w:ind w:left="567" w:hanging="567"/>
        <w:rPr>
          <w:b/>
          <w:color w:val="000000"/>
          <w:sz w:val="22"/>
          <w:szCs w:val="22"/>
          <w:lang w:val="pt-BR"/>
        </w:rPr>
      </w:pPr>
      <w:r w:rsidRPr="002D741C">
        <w:rPr>
          <w:b/>
          <w:color w:val="000000"/>
          <w:sz w:val="22"/>
          <w:szCs w:val="22"/>
          <w:lang w:val="pt-BR"/>
        </w:rPr>
        <w:t>2.</w:t>
      </w:r>
      <w:r w:rsidRPr="002D741C">
        <w:rPr>
          <w:b/>
          <w:color w:val="000000"/>
          <w:sz w:val="22"/>
          <w:szCs w:val="22"/>
          <w:lang w:val="pt-BR"/>
        </w:rPr>
        <w:tab/>
        <w:t>PRINCIPIO(S) ACTIVO(S)</w:t>
      </w:r>
    </w:p>
    <w:p w14:paraId="65D8862C" w14:textId="77777777" w:rsidR="0040333F" w:rsidRPr="002D741C" w:rsidRDefault="0040333F" w:rsidP="0040333F">
      <w:pPr>
        <w:widowControl w:val="0"/>
        <w:rPr>
          <w:color w:val="000000"/>
          <w:sz w:val="22"/>
          <w:szCs w:val="22"/>
          <w:lang w:val="pt-BR"/>
        </w:rPr>
      </w:pPr>
    </w:p>
    <w:p w14:paraId="3EA0387A" w14:textId="77777777" w:rsidR="0040333F" w:rsidRPr="002D741C" w:rsidRDefault="0040333F" w:rsidP="0040333F">
      <w:pPr>
        <w:pStyle w:val="EndnoteText"/>
        <w:widowControl w:val="0"/>
        <w:tabs>
          <w:tab w:val="clear" w:pos="567"/>
        </w:tabs>
        <w:rPr>
          <w:color w:val="000000"/>
          <w:szCs w:val="22"/>
          <w:lang w:val="es-ES"/>
        </w:rPr>
      </w:pPr>
      <w:r w:rsidRPr="002D741C">
        <w:rPr>
          <w:color w:val="000000"/>
          <w:szCs w:val="22"/>
          <w:lang w:val="es-ES"/>
        </w:rPr>
        <w:t>Cada comprimido recubierto con película contiene 100 mg de imatinib (como mesilato).</w:t>
      </w:r>
    </w:p>
    <w:p w14:paraId="23A368C7" w14:textId="77777777" w:rsidR="0040333F" w:rsidRPr="002D741C" w:rsidRDefault="0040333F" w:rsidP="0040333F">
      <w:pPr>
        <w:widowControl w:val="0"/>
        <w:rPr>
          <w:color w:val="000000"/>
          <w:sz w:val="22"/>
          <w:szCs w:val="22"/>
        </w:rPr>
      </w:pPr>
    </w:p>
    <w:p w14:paraId="4EF76692" w14:textId="77777777" w:rsidR="0040333F" w:rsidRPr="002D741C" w:rsidRDefault="0040333F" w:rsidP="0040333F">
      <w:pPr>
        <w:widowControl w:val="0"/>
        <w:rPr>
          <w:color w:val="000000"/>
          <w:sz w:val="22"/>
          <w:szCs w:val="22"/>
        </w:rPr>
      </w:pPr>
    </w:p>
    <w:p w14:paraId="0426C56F" w14:textId="77777777" w:rsidR="0040333F" w:rsidRPr="002D741C" w:rsidRDefault="0040333F" w:rsidP="0040333F">
      <w:pPr>
        <w:widowControl w:val="0"/>
        <w:pBdr>
          <w:top w:val="single" w:sz="4" w:space="1" w:color="auto"/>
          <w:left w:val="single" w:sz="4" w:space="4" w:color="auto"/>
          <w:bottom w:val="single" w:sz="4" w:space="1" w:color="auto"/>
          <w:right w:val="single" w:sz="4" w:space="4" w:color="auto"/>
        </w:pBdr>
        <w:ind w:left="567" w:hanging="567"/>
        <w:rPr>
          <w:b/>
          <w:color w:val="000000"/>
          <w:sz w:val="22"/>
          <w:szCs w:val="22"/>
        </w:rPr>
      </w:pPr>
      <w:r w:rsidRPr="002D741C">
        <w:rPr>
          <w:b/>
          <w:color w:val="000000"/>
          <w:sz w:val="22"/>
          <w:szCs w:val="22"/>
        </w:rPr>
        <w:t>3.</w:t>
      </w:r>
      <w:r w:rsidRPr="002D741C">
        <w:rPr>
          <w:b/>
          <w:color w:val="000000"/>
          <w:sz w:val="22"/>
          <w:szCs w:val="22"/>
        </w:rPr>
        <w:tab/>
        <w:t>L</w:t>
      </w:r>
      <w:smartTag w:uri="urn:schemas-microsoft-com:office:smarttags" w:element="PersonName">
        <w:r w:rsidRPr="002D741C">
          <w:rPr>
            <w:b/>
            <w:color w:val="000000"/>
            <w:sz w:val="22"/>
            <w:szCs w:val="22"/>
          </w:rPr>
          <w:t>IS</w:t>
        </w:r>
      </w:smartTag>
      <w:r w:rsidRPr="002D741C">
        <w:rPr>
          <w:b/>
          <w:color w:val="000000"/>
          <w:sz w:val="22"/>
          <w:szCs w:val="22"/>
        </w:rPr>
        <w:t xml:space="preserve">TA </w:t>
      </w:r>
      <w:smartTag w:uri="urn:schemas-microsoft-com:office:smarttags" w:element="PersonName">
        <w:r w:rsidRPr="002D741C">
          <w:rPr>
            <w:b/>
            <w:color w:val="000000"/>
            <w:sz w:val="22"/>
            <w:szCs w:val="22"/>
          </w:rPr>
          <w:t>DE</w:t>
        </w:r>
      </w:smartTag>
      <w:r w:rsidRPr="002D741C">
        <w:rPr>
          <w:b/>
          <w:color w:val="000000"/>
          <w:sz w:val="22"/>
          <w:szCs w:val="22"/>
        </w:rPr>
        <w:t xml:space="preserve"> EXCIPIENTES</w:t>
      </w:r>
    </w:p>
    <w:p w14:paraId="5E70F75C" w14:textId="77777777" w:rsidR="0040333F" w:rsidRPr="002D741C" w:rsidRDefault="0040333F" w:rsidP="0040333F">
      <w:pPr>
        <w:widowControl w:val="0"/>
        <w:rPr>
          <w:color w:val="000000"/>
          <w:sz w:val="22"/>
          <w:szCs w:val="22"/>
        </w:rPr>
      </w:pPr>
    </w:p>
    <w:p w14:paraId="2ECE5B91" w14:textId="77777777" w:rsidR="0040333F" w:rsidRPr="002D741C" w:rsidRDefault="0040333F" w:rsidP="0040333F">
      <w:pPr>
        <w:widowControl w:val="0"/>
        <w:rPr>
          <w:color w:val="000000"/>
          <w:sz w:val="22"/>
          <w:szCs w:val="22"/>
        </w:rPr>
      </w:pPr>
    </w:p>
    <w:p w14:paraId="3D9B86AB" w14:textId="77777777" w:rsidR="0040333F" w:rsidRPr="002D741C" w:rsidRDefault="0040333F" w:rsidP="0040333F">
      <w:pPr>
        <w:widowControl w:val="0"/>
        <w:pBdr>
          <w:top w:val="single" w:sz="4" w:space="1" w:color="auto"/>
          <w:left w:val="single" w:sz="4" w:space="4" w:color="auto"/>
          <w:bottom w:val="single" w:sz="4" w:space="1" w:color="auto"/>
          <w:right w:val="single" w:sz="4" w:space="4" w:color="auto"/>
        </w:pBdr>
        <w:ind w:left="567" w:hanging="567"/>
        <w:rPr>
          <w:b/>
          <w:color w:val="000000"/>
          <w:sz w:val="22"/>
          <w:szCs w:val="22"/>
        </w:rPr>
      </w:pPr>
      <w:r w:rsidRPr="002D741C">
        <w:rPr>
          <w:b/>
          <w:color w:val="000000"/>
          <w:sz w:val="22"/>
          <w:szCs w:val="22"/>
        </w:rPr>
        <w:t>4.</w:t>
      </w:r>
      <w:r w:rsidRPr="002D741C">
        <w:rPr>
          <w:b/>
          <w:color w:val="000000"/>
          <w:sz w:val="22"/>
          <w:szCs w:val="22"/>
        </w:rPr>
        <w:tab/>
        <w:t xml:space="preserve">FORMA FARMACÉUTICA Y CONTENIDO </w:t>
      </w:r>
      <w:smartTag w:uri="urn:schemas-microsoft-com:office:smarttags" w:element="stockticker">
        <w:smartTag w:uri="urn:schemas-microsoft-com:office:smarttags" w:element="PersonName">
          <w:r w:rsidRPr="002D741C">
            <w:rPr>
              <w:b/>
              <w:color w:val="000000"/>
              <w:sz w:val="22"/>
              <w:szCs w:val="22"/>
            </w:rPr>
            <w:t>D</w:t>
          </w:r>
          <w:smartTag w:uri="urn:schemas-microsoft-com:office:smarttags" w:element="PersonName">
            <w:r w:rsidRPr="002D741C">
              <w:rPr>
                <w:b/>
                <w:color w:val="000000"/>
                <w:sz w:val="22"/>
                <w:szCs w:val="22"/>
              </w:rPr>
              <w:t>E</w:t>
            </w:r>
          </w:smartTag>
        </w:smartTag>
        <w:r w:rsidRPr="002D741C">
          <w:rPr>
            <w:b/>
            <w:color w:val="000000"/>
            <w:sz w:val="22"/>
            <w:szCs w:val="22"/>
          </w:rPr>
          <w:t>L</w:t>
        </w:r>
      </w:smartTag>
      <w:r w:rsidRPr="002D741C">
        <w:rPr>
          <w:b/>
          <w:color w:val="000000"/>
          <w:sz w:val="22"/>
          <w:szCs w:val="22"/>
        </w:rPr>
        <w:t xml:space="preserve"> ENVA</w:t>
      </w:r>
      <w:smartTag w:uri="urn:schemas-microsoft-com:office:smarttags" w:element="PersonName">
        <w:r w:rsidRPr="002D741C">
          <w:rPr>
            <w:b/>
            <w:color w:val="000000"/>
            <w:sz w:val="22"/>
            <w:szCs w:val="22"/>
          </w:rPr>
          <w:t>SE</w:t>
        </w:r>
      </w:smartTag>
    </w:p>
    <w:p w14:paraId="128A226B" w14:textId="77777777" w:rsidR="0040333F" w:rsidRPr="002D741C" w:rsidRDefault="0040333F" w:rsidP="0040333F">
      <w:pPr>
        <w:widowControl w:val="0"/>
        <w:rPr>
          <w:color w:val="000000"/>
          <w:sz w:val="22"/>
          <w:szCs w:val="22"/>
        </w:rPr>
      </w:pPr>
    </w:p>
    <w:p w14:paraId="5857239C" w14:textId="77777777" w:rsidR="0040333F" w:rsidRPr="002D741C" w:rsidRDefault="0040333F" w:rsidP="0040333F">
      <w:pPr>
        <w:widowControl w:val="0"/>
        <w:rPr>
          <w:color w:val="000000"/>
          <w:sz w:val="22"/>
          <w:szCs w:val="22"/>
        </w:rPr>
      </w:pPr>
      <w:r w:rsidRPr="008D7834">
        <w:rPr>
          <w:color w:val="000000"/>
          <w:sz w:val="22"/>
          <w:szCs w:val="22"/>
        </w:rPr>
        <w:t>20 comprimidos recubiertos con película</w:t>
      </w:r>
    </w:p>
    <w:p w14:paraId="21FDEF1E" w14:textId="77777777" w:rsidR="0040333F" w:rsidRPr="002D741C" w:rsidRDefault="0040333F" w:rsidP="0040333F">
      <w:pPr>
        <w:widowControl w:val="0"/>
        <w:rPr>
          <w:color w:val="000000"/>
          <w:sz w:val="22"/>
          <w:szCs w:val="22"/>
          <w:shd w:val="clear" w:color="auto" w:fill="D9D9D9"/>
        </w:rPr>
      </w:pPr>
      <w:r w:rsidRPr="002D741C">
        <w:rPr>
          <w:color w:val="000000"/>
          <w:sz w:val="22"/>
          <w:szCs w:val="22"/>
          <w:shd w:val="clear" w:color="auto" w:fill="D9D9D9"/>
        </w:rPr>
        <w:t>60 comprimidos recubiertos con película</w:t>
      </w:r>
    </w:p>
    <w:p w14:paraId="25CB0467" w14:textId="77777777" w:rsidR="0040333F" w:rsidRPr="002D741C" w:rsidRDefault="0040333F" w:rsidP="0040333F">
      <w:pPr>
        <w:widowControl w:val="0"/>
        <w:rPr>
          <w:color w:val="000000"/>
          <w:sz w:val="22"/>
          <w:szCs w:val="22"/>
          <w:shd w:val="clear" w:color="auto" w:fill="D9D9D9"/>
        </w:rPr>
      </w:pPr>
      <w:r w:rsidRPr="002D741C">
        <w:rPr>
          <w:color w:val="000000"/>
          <w:sz w:val="22"/>
          <w:szCs w:val="22"/>
          <w:shd w:val="clear" w:color="auto" w:fill="D9D9D9"/>
        </w:rPr>
        <w:t>120 comprimidos recubiertos con película</w:t>
      </w:r>
    </w:p>
    <w:p w14:paraId="7874A73A" w14:textId="77777777" w:rsidR="0040333F" w:rsidRPr="002D741C" w:rsidRDefault="0040333F" w:rsidP="0040333F">
      <w:pPr>
        <w:widowControl w:val="0"/>
        <w:rPr>
          <w:color w:val="000000"/>
          <w:sz w:val="22"/>
          <w:szCs w:val="22"/>
          <w:shd w:val="clear" w:color="auto" w:fill="D9D9D9"/>
        </w:rPr>
      </w:pPr>
      <w:r w:rsidRPr="002D741C">
        <w:rPr>
          <w:color w:val="000000"/>
          <w:sz w:val="22"/>
          <w:szCs w:val="22"/>
          <w:shd w:val="clear" w:color="auto" w:fill="D9D9D9"/>
        </w:rPr>
        <w:t>180 comprimidos recubiertos con película</w:t>
      </w:r>
    </w:p>
    <w:p w14:paraId="2E4044AC" w14:textId="77777777" w:rsidR="0040333F" w:rsidRPr="002D741C" w:rsidRDefault="0040333F" w:rsidP="0040333F">
      <w:pPr>
        <w:widowControl w:val="0"/>
        <w:rPr>
          <w:color w:val="000000"/>
          <w:sz w:val="22"/>
          <w:szCs w:val="22"/>
        </w:rPr>
      </w:pPr>
    </w:p>
    <w:p w14:paraId="729743D6" w14:textId="77777777" w:rsidR="0040333F" w:rsidRPr="002D741C" w:rsidRDefault="0040333F" w:rsidP="0040333F">
      <w:pPr>
        <w:widowControl w:val="0"/>
        <w:rPr>
          <w:color w:val="000000"/>
          <w:sz w:val="22"/>
          <w:szCs w:val="22"/>
        </w:rPr>
      </w:pPr>
    </w:p>
    <w:p w14:paraId="30126247" w14:textId="77777777" w:rsidR="0040333F" w:rsidRPr="002D741C" w:rsidRDefault="0040333F" w:rsidP="0040333F">
      <w:pPr>
        <w:widowControl w:val="0"/>
        <w:pBdr>
          <w:top w:val="single" w:sz="4" w:space="1" w:color="auto"/>
          <w:left w:val="single" w:sz="4" w:space="4" w:color="auto"/>
          <w:bottom w:val="single" w:sz="4" w:space="1" w:color="auto"/>
          <w:right w:val="single" w:sz="4" w:space="4" w:color="auto"/>
        </w:pBdr>
        <w:ind w:left="567" w:hanging="567"/>
        <w:rPr>
          <w:b/>
          <w:color w:val="000000"/>
          <w:sz w:val="22"/>
          <w:szCs w:val="22"/>
        </w:rPr>
      </w:pPr>
      <w:r w:rsidRPr="002D741C">
        <w:rPr>
          <w:b/>
          <w:color w:val="000000"/>
          <w:sz w:val="22"/>
          <w:szCs w:val="22"/>
        </w:rPr>
        <w:t>5.</w:t>
      </w:r>
      <w:r w:rsidRPr="002D741C">
        <w:rPr>
          <w:b/>
          <w:color w:val="000000"/>
          <w:sz w:val="22"/>
          <w:szCs w:val="22"/>
        </w:rPr>
        <w:tab/>
        <w:t xml:space="preserve">FORMA Y VÍA(S) </w:t>
      </w:r>
      <w:smartTag w:uri="urn:schemas-microsoft-com:office:smarttags" w:element="PersonName">
        <w:r w:rsidRPr="002D741C">
          <w:rPr>
            <w:b/>
            <w:color w:val="000000"/>
            <w:sz w:val="22"/>
            <w:szCs w:val="22"/>
          </w:rPr>
          <w:t>DE</w:t>
        </w:r>
      </w:smartTag>
      <w:r w:rsidRPr="002D741C">
        <w:rPr>
          <w:b/>
          <w:color w:val="000000"/>
          <w:sz w:val="22"/>
          <w:szCs w:val="22"/>
        </w:rPr>
        <w:t xml:space="preserve"> ADMIN</w:t>
      </w:r>
      <w:smartTag w:uri="urn:schemas-microsoft-com:office:smarttags" w:element="PersonName">
        <w:r w:rsidRPr="002D741C">
          <w:rPr>
            <w:b/>
            <w:color w:val="000000"/>
            <w:sz w:val="22"/>
            <w:szCs w:val="22"/>
          </w:rPr>
          <w:t>IS</w:t>
        </w:r>
      </w:smartTag>
      <w:r w:rsidRPr="002D741C">
        <w:rPr>
          <w:b/>
          <w:color w:val="000000"/>
          <w:sz w:val="22"/>
          <w:szCs w:val="22"/>
        </w:rPr>
        <w:t>TRACIÓN</w:t>
      </w:r>
    </w:p>
    <w:p w14:paraId="4C51093F" w14:textId="77777777" w:rsidR="0040333F" w:rsidRPr="002D741C" w:rsidRDefault="0040333F" w:rsidP="0040333F">
      <w:pPr>
        <w:widowControl w:val="0"/>
        <w:rPr>
          <w:color w:val="000000"/>
          <w:sz w:val="22"/>
          <w:szCs w:val="22"/>
        </w:rPr>
      </w:pPr>
    </w:p>
    <w:p w14:paraId="5BDC8C5A" w14:textId="77777777" w:rsidR="0040333F" w:rsidRPr="002D741C" w:rsidRDefault="0040333F" w:rsidP="0040333F">
      <w:pPr>
        <w:widowControl w:val="0"/>
        <w:rPr>
          <w:color w:val="000000"/>
          <w:sz w:val="22"/>
          <w:szCs w:val="22"/>
        </w:rPr>
      </w:pPr>
      <w:r w:rsidRPr="002D741C">
        <w:rPr>
          <w:color w:val="000000"/>
          <w:sz w:val="22"/>
          <w:szCs w:val="22"/>
        </w:rPr>
        <w:t>Vía oral. Leer el prospecto antes de utilizar este medicamento.</w:t>
      </w:r>
    </w:p>
    <w:p w14:paraId="37014A10" w14:textId="77777777" w:rsidR="0040333F" w:rsidRPr="002D741C" w:rsidRDefault="0040333F" w:rsidP="0040333F">
      <w:pPr>
        <w:widowControl w:val="0"/>
        <w:rPr>
          <w:color w:val="000000"/>
          <w:sz w:val="22"/>
          <w:szCs w:val="22"/>
        </w:rPr>
      </w:pPr>
    </w:p>
    <w:p w14:paraId="47831AD5" w14:textId="77777777" w:rsidR="0040333F" w:rsidRPr="002D741C" w:rsidRDefault="0040333F" w:rsidP="0040333F">
      <w:pPr>
        <w:widowControl w:val="0"/>
        <w:rPr>
          <w:color w:val="000000"/>
          <w:sz w:val="22"/>
          <w:szCs w:val="22"/>
        </w:rPr>
      </w:pPr>
    </w:p>
    <w:p w14:paraId="0BA9411D" w14:textId="77777777" w:rsidR="0040333F" w:rsidRPr="002D741C" w:rsidRDefault="0040333F" w:rsidP="0040333F">
      <w:pPr>
        <w:widowControl w:val="0"/>
        <w:pBdr>
          <w:top w:val="single" w:sz="4" w:space="1" w:color="auto"/>
          <w:left w:val="single" w:sz="4" w:space="4" w:color="auto"/>
          <w:bottom w:val="single" w:sz="4" w:space="1" w:color="auto"/>
          <w:right w:val="single" w:sz="4" w:space="4" w:color="auto"/>
        </w:pBdr>
        <w:ind w:left="567" w:hanging="567"/>
        <w:rPr>
          <w:b/>
          <w:color w:val="000000"/>
          <w:sz w:val="22"/>
          <w:szCs w:val="22"/>
        </w:rPr>
      </w:pPr>
      <w:r w:rsidRPr="002D741C">
        <w:rPr>
          <w:b/>
          <w:color w:val="000000"/>
          <w:sz w:val="22"/>
          <w:szCs w:val="22"/>
        </w:rPr>
        <w:t>6.</w:t>
      </w:r>
      <w:r w:rsidRPr="002D741C">
        <w:rPr>
          <w:b/>
          <w:color w:val="000000"/>
          <w:sz w:val="22"/>
          <w:szCs w:val="22"/>
        </w:rPr>
        <w:tab/>
        <w:t xml:space="preserve">ADVERTENCIA ESPECIAL </w:t>
      </w:r>
      <w:smartTag w:uri="urn:schemas-microsoft-com:office:smarttags" w:element="PersonName">
        <w:r w:rsidRPr="002D741C">
          <w:rPr>
            <w:b/>
            <w:color w:val="000000"/>
            <w:sz w:val="22"/>
            <w:szCs w:val="22"/>
          </w:rPr>
          <w:t>DE</w:t>
        </w:r>
      </w:smartTag>
      <w:r w:rsidRPr="002D741C">
        <w:rPr>
          <w:b/>
          <w:color w:val="000000"/>
          <w:sz w:val="22"/>
          <w:szCs w:val="22"/>
        </w:rPr>
        <w:t xml:space="preserve"> QUE </w:t>
      </w:r>
      <w:smartTag w:uri="urn:schemas-microsoft-com:office:smarttags" w:element="PersonName">
        <w:r w:rsidRPr="002D741C">
          <w:rPr>
            <w:b/>
            <w:color w:val="000000"/>
            <w:sz w:val="22"/>
            <w:szCs w:val="22"/>
          </w:rPr>
          <w:t>EL</w:t>
        </w:r>
      </w:smartTag>
      <w:r w:rsidRPr="002D741C">
        <w:rPr>
          <w:b/>
          <w:color w:val="000000"/>
          <w:sz w:val="22"/>
          <w:szCs w:val="22"/>
        </w:rPr>
        <w:t xml:space="preserve"> MEDICAMENTO </w:t>
      </w:r>
      <w:smartTag w:uri="urn:schemas-microsoft-com:office:smarttags" w:element="PersonName">
        <w:r w:rsidRPr="002D741C">
          <w:rPr>
            <w:b/>
            <w:color w:val="000000"/>
            <w:sz w:val="22"/>
            <w:szCs w:val="22"/>
          </w:rPr>
          <w:t>DE</w:t>
        </w:r>
      </w:smartTag>
      <w:r w:rsidRPr="002D741C">
        <w:rPr>
          <w:b/>
          <w:color w:val="000000"/>
          <w:sz w:val="22"/>
          <w:szCs w:val="22"/>
        </w:rPr>
        <w:t>BE MANTENER</w:t>
      </w:r>
      <w:smartTag w:uri="urn:schemas-microsoft-com:office:smarttags" w:element="PersonName">
        <w:r w:rsidRPr="002D741C">
          <w:rPr>
            <w:b/>
            <w:color w:val="000000"/>
            <w:sz w:val="22"/>
            <w:szCs w:val="22"/>
          </w:rPr>
          <w:t>SE</w:t>
        </w:r>
      </w:smartTag>
      <w:r w:rsidRPr="002D741C">
        <w:rPr>
          <w:b/>
          <w:color w:val="000000"/>
          <w:sz w:val="22"/>
          <w:szCs w:val="22"/>
        </w:rPr>
        <w:t xml:space="preserve"> FUERA </w:t>
      </w:r>
      <w:smartTag w:uri="urn:schemas-microsoft-com:office:smarttags" w:element="PersonName">
        <w:r w:rsidRPr="002D741C">
          <w:rPr>
            <w:b/>
            <w:color w:val="000000"/>
            <w:sz w:val="22"/>
            <w:szCs w:val="22"/>
          </w:rPr>
          <w:t>DE</w:t>
        </w:r>
      </w:smartTag>
      <w:r w:rsidRPr="002D741C">
        <w:rPr>
          <w:b/>
          <w:color w:val="000000"/>
          <w:sz w:val="22"/>
          <w:szCs w:val="22"/>
        </w:rPr>
        <w:t xml:space="preserve"> </w:t>
      </w:r>
      <w:smartTag w:uri="urn:schemas-microsoft-com:office:smarttags" w:element="PersonName">
        <w:smartTagPr>
          <w:attr w:name="ProductID" w:val="LA VISTA Y"/>
        </w:smartTagPr>
        <w:r w:rsidRPr="002D741C">
          <w:rPr>
            <w:b/>
            <w:color w:val="000000"/>
            <w:sz w:val="22"/>
            <w:szCs w:val="22"/>
          </w:rPr>
          <w:t>LA V</w:t>
        </w:r>
        <w:smartTag w:uri="urn:schemas-microsoft-com:office:smarttags" w:element="PersonName">
          <w:r w:rsidRPr="002D741C">
            <w:rPr>
              <w:b/>
              <w:color w:val="000000"/>
              <w:sz w:val="22"/>
              <w:szCs w:val="22"/>
            </w:rPr>
            <w:t>IS</w:t>
          </w:r>
        </w:smartTag>
        <w:r w:rsidRPr="002D741C">
          <w:rPr>
            <w:b/>
            <w:color w:val="000000"/>
            <w:sz w:val="22"/>
            <w:szCs w:val="22"/>
          </w:rPr>
          <w:t>TA Y</w:t>
        </w:r>
      </w:smartTag>
      <w:r w:rsidRPr="002D741C">
        <w:rPr>
          <w:b/>
          <w:color w:val="000000"/>
          <w:sz w:val="22"/>
          <w:szCs w:val="22"/>
        </w:rPr>
        <w:t xml:space="preserve"> </w:t>
      </w:r>
      <w:smartTag w:uri="urn:schemas-microsoft-com:office:smarttags" w:element="stockticker">
        <w:smartTag w:uri="urn:schemas-microsoft-com:office:smarttags" w:element="PersonName">
          <w:r w:rsidRPr="002D741C">
            <w:rPr>
              <w:b/>
              <w:color w:val="000000"/>
              <w:sz w:val="22"/>
              <w:szCs w:val="22"/>
            </w:rPr>
            <w:t>D</w:t>
          </w:r>
          <w:smartTag w:uri="urn:schemas-microsoft-com:office:smarttags" w:element="PersonName">
            <w:r w:rsidRPr="002D741C">
              <w:rPr>
                <w:b/>
                <w:color w:val="000000"/>
                <w:sz w:val="22"/>
                <w:szCs w:val="22"/>
              </w:rPr>
              <w:t>E</w:t>
            </w:r>
          </w:smartTag>
        </w:smartTag>
        <w:r w:rsidRPr="002D741C">
          <w:rPr>
            <w:b/>
            <w:color w:val="000000"/>
            <w:sz w:val="22"/>
            <w:szCs w:val="22"/>
          </w:rPr>
          <w:t>L</w:t>
        </w:r>
      </w:smartTag>
      <w:r w:rsidRPr="002D741C">
        <w:rPr>
          <w:b/>
          <w:color w:val="000000"/>
          <w:sz w:val="22"/>
          <w:szCs w:val="22"/>
        </w:rPr>
        <w:t xml:space="preserve"> ALCANCE </w:t>
      </w:r>
      <w:smartTag w:uri="urn:schemas-microsoft-com:office:smarttags" w:element="PersonName">
        <w:r w:rsidRPr="002D741C">
          <w:rPr>
            <w:b/>
            <w:color w:val="000000"/>
            <w:sz w:val="22"/>
            <w:szCs w:val="22"/>
          </w:rPr>
          <w:t>DE</w:t>
        </w:r>
      </w:smartTag>
      <w:r w:rsidRPr="002D741C">
        <w:rPr>
          <w:b/>
          <w:color w:val="000000"/>
          <w:sz w:val="22"/>
          <w:szCs w:val="22"/>
        </w:rPr>
        <w:t xml:space="preserve"> LOS NIÑOS</w:t>
      </w:r>
    </w:p>
    <w:p w14:paraId="77339FF1" w14:textId="77777777" w:rsidR="0040333F" w:rsidRPr="002D741C" w:rsidRDefault="0040333F" w:rsidP="0040333F">
      <w:pPr>
        <w:widowControl w:val="0"/>
        <w:rPr>
          <w:color w:val="000000"/>
          <w:sz w:val="22"/>
          <w:szCs w:val="22"/>
        </w:rPr>
      </w:pPr>
    </w:p>
    <w:p w14:paraId="128BD96A" w14:textId="77777777" w:rsidR="0040333F" w:rsidRPr="002D741C" w:rsidRDefault="0040333F" w:rsidP="0040333F">
      <w:pPr>
        <w:widowControl w:val="0"/>
        <w:rPr>
          <w:color w:val="000000"/>
          <w:sz w:val="22"/>
          <w:szCs w:val="22"/>
        </w:rPr>
      </w:pPr>
      <w:r w:rsidRPr="002D741C">
        <w:rPr>
          <w:color w:val="000000"/>
          <w:sz w:val="22"/>
          <w:szCs w:val="22"/>
        </w:rPr>
        <w:t xml:space="preserve">Mantener fuera </w:t>
      </w:r>
      <w:r w:rsidR="00C15D22" w:rsidRPr="002D741C">
        <w:rPr>
          <w:color w:val="000000"/>
          <w:sz w:val="22"/>
          <w:szCs w:val="22"/>
        </w:rPr>
        <w:t xml:space="preserve">de la vista y </w:t>
      </w:r>
      <w:r w:rsidRPr="002D741C">
        <w:rPr>
          <w:color w:val="000000"/>
          <w:sz w:val="22"/>
          <w:szCs w:val="22"/>
        </w:rPr>
        <w:t>del alcance de los niños.</w:t>
      </w:r>
    </w:p>
    <w:p w14:paraId="1A206A89" w14:textId="77777777" w:rsidR="0040333F" w:rsidRPr="002D741C" w:rsidRDefault="0040333F" w:rsidP="0040333F">
      <w:pPr>
        <w:widowControl w:val="0"/>
        <w:rPr>
          <w:color w:val="000000"/>
          <w:sz w:val="22"/>
          <w:szCs w:val="22"/>
        </w:rPr>
      </w:pPr>
    </w:p>
    <w:p w14:paraId="68A3D7FE" w14:textId="77777777" w:rsidR="0040333F" w:rsidRPr="002D741C" w:rsidRDefault="0040333F" w:rsidP="0040333F">
      <w:pPr>
        <w:widowControl w:val="0"/>
        <w:rPr>
          <w:color w:val="000000"/>
          <w:sz w:val="22"/>
          <w:szCs w:val="22"/>
        </w:rPr>
      </w:pPr>
    </w:p>
    <w:p w14:paraId="70A21D63" w14:textId="77777777" w:rsidR="0040333F" w:rsidRPr="002D741C" w:rsidRDefault="0040333F" w:rsidP="0040333F">
      <w:pPr>
        <w:widowControl w:val="0"/>
        <w:pBdr>
          <w:top w:val="single" w:sz="4" w:space="1" w:color="auto"/>
          <w:left w:val="single" w:sz="4" w:space="4" w:color="auto"/>
          <w:bottom w:val="single" w:sz="4" w:space="1" w:color="auto"/>
          <w:right w:val="single" w:sz="4" w:space="4" w:color="auto"/>
        </w:pBdr>
        <w:ind w:left="567" w:hanging="567"/>
        <w:rPr>
          <w:b/>
          <w:color w:val="000000"/>
          <w:sz w:val="22"/>
          <w:szCs w:val="22"/>
        </w:rPr>
      </w:pPr>
      <w:r w:rsidRPr="002D741C">
        <w:rPr>
          <w:b/>
          <w:color w:val="000000"/>
          <w:sz w:val="22"/>
          <w:szCs w:val="22"/>
        </w:rPr>
        <w:t>7.</w:t>
      </w:r>
      <w:r w:rsidRPr="002D741C">
        <w:rPr>
          <w:b/>
          <w:color w:val="000000"/>
          <w:sz w:val="22"/>
          <w:szCs w:val="22"/>
        </w:rPr>
        <w:tab/>
        <w:t xml:space="preserve">OTRA(S) ADVERTENCIA(S) ESPECIAL(ES), </w:t>
      </w:r>
      <w:smartTag w:uri="urn:schemas-microsoft-com:office:smarttags" w:element="PersonName">
        <w:r w:rsidRPr="002D741C">
          <w:rPr>
            <w:b/>
            <w:color w:val="000000"/>
            <w:sz w:val="22"/>
            <w:szCs w:val="22"/>
          </w:rPr>
          <w:t>SI</w:t>
        </w:r>
      </w:smartTag>
      <w:r w:rsidRPr="002D741C">
        <w:rPr>
          <w:b/>
          <w:color w:val="000000"/>
          <w:sz w:val="22"/>
          <w:szCs w:val="22"/>
        </w:rPr>
        <w:t xml:space="preserve"> ES NECESARIO</w:t>
      </w:r>
    </w:p>
    <w:p w14:paraId="164E514F" w14:textId="77777777" w:rsidR="0040333F" w:rsidRPr="002D741C" w:rsidRDefault="0040333F" w:rsidP="0040333F">
      <w:pPr>
        <w:widowControl w:val="0"/>
        <w:rPr>
          <w:color w:val="000000"/>
          <w:sz w:val="22"/>
          <w:szCs w:val="22"/>
        </w:rPr>
      </w:pPr>
    </w:p>
    <w:p w14:paraId="5591FE5E" w14:textId="77777777" w:rsidR="0040333F" w:rsidRPr="002D741C" w:rsidRDefault="0040333F" w:rsidP="0040333F">
      <w:pPr>
        <w:widowControl w:val="0"/>
        <w:rPr>
          <w:color w:val="000000"/>
          <w:sz w:val="22"/>
          <w:szCs w:val="22"/>
        </w:rPr>
      </w:pPr>
      <w:r w:rsidRPr="002D741C">
        <w:rPr>
          <w:color w:val="000000"/>
          <w:sz w:val="22"/>
          <w:szCs w:val="22"/>
        </w:rPr>
        <w:t>Utilizar únicamente como le indique un médico.</w:t>
      </w:r>
    </w:p>
    <w:p w14:paraId="5CD83E9A" w14:textId="77777777" w:rsidR="0040333F" w:rsidRPr="002D741C" w:rsidRDefault="0040333F" w:rsidP="0040333F">
      <w:pPr>
        <w:widowControl w:val="0"/>
        <w:rPr>
          <w:color w:val="000000"/>
          <w:sz w:val="22"/>
          <w:szCs w:val="22"/>
        </w:rPr>
      </w:pPr>
    </w:p>
    <w:p w14:paraId="6EE68DB5" w14:textId="77777777" w:rsidR="0040333F" w:rsidRPr="002D741C" w:rsidRDefault="0040333F" w:rsidP="0040333F">
      <w:pPr>
        <w:widowControl w:val="0"/>
        <w:rPr>
          <w:color w:val="000000"/>
          <w:sz w:val="22"/>
          <w:szCs w:val="22"/>
        </w:rPr>
      </w:pPr>
    </w:p>
    <w:p w14:paraId="1DD74AF2" w14:textId="77777777" w:rsidR="0040333F" w:rsidRPr="002D741C" w:rsidRDefault="0040333F" w:rsidP="0040333F">
      <w:pPr>
        <w:widowControl w:val="0"/>
        <w:pBdr>
          <w:top w:val="single" w:sz="4" w:space="1" w:color="auto"/>
          <w:left w:val="single" w:sz="4" w:space="4" w:color="auto"/>
          <w:bottom w:val="single" w:sz="4" w:space="1" w:color="auto"/>
          <w:right w:val="single" w:sz="4" w:space="4" w:color="auto"/>
        </w:pBdr>
        <w:ind w:left="567" w:hanging="567"/>
        <w:rPr>
          <w:b/>
          <w:color w:val="000000"/>
          <w:sz w:val="22"/>
          <w:szCs w:val="22"/>
        </w:rPr>
      </w:pPr>
      <w:r w:rsidRPr="002D741C">
        <w:rPr>
          <w:b/>
          <w:color w:val="000000"/>
          <w:sz w:val="22"/>
          <w:szCs w:val="22"/>
        </w:rPr>
        <w:t>8.</w:t>
      </w:r>
      <w:r w:rsidRPr="002D741C">
        <w:rPr>
          <w:b/>
          <w:color w:val="000000"/>
          <w:sz w:val="22"/>
          <w:szCs w:val="22"/>
        </w:rPr>
        <w:tab/>
        <w:t xml:space="preserve">FECHA </w:t>
      </w:r>
      <w:smartTag w:uri="urn:schemas-microsoft-com:office:smarttags" w:element="PersonName">
        <w:r w:rsidRPr="002D741C">
          <w:rPr>
            <w:b/>
            <w:color w:val="000000"/>
            <w:sz w:val="22"/>
            <w:szCs w:val="22"/>
          </w:rPr>
          <w:t>DE</w:t>
        </w:r>
      </w:smartTag>
      <w:r w:rsidRPr="002D741C">
        <w:rPr>
          <w:b/>
          <w:color w:val="000000"/>
          <w:sz w:val="22"/>
          <w:szCs w:val="22"/>
        </w:rPr>
        <w:t xml:space="preserve"> CADUCIDAD</w:t>
      </w:r>
    </w:p>
    <w:p w14:paraId="6762F8DC" w14:textId="77777777" w:rsidR="0040333F" w:rsidRPr="002D741C" w:rsidRDefault="0040333F" w:rsidP="0040333F">
      <w:pPr>
        <w:widowControl w:val="0"/>
        <w:ind w:left="567" w:hanging="567"/>
        <w:rPr>
          <w:color w:val="000000"/>
          <w:sz w:val="22"/>
          <w:szCs w:val="22"/>
        </w:rPr>
      </w:pPr>
    </w:p>
    <w:p w14:paraId="5AF1ECAF" w14:textId="77777777" w:rsidR="0040333F" w:rsidRPr="002D741C" w:rsidRDefault="0040333F" w:rsidP="0040333F">
      <w:pPr>
        <w:pStyle w:val="EndnoteText"/>
        <w:widowControl w:val="0"/>
        <w:tabs>
          <w:tab w:val="clear" w:pos="567"/>
        </w:tabs>
        <w:rPr>
          <w:color w:val="000000"/>
          <w:szCs w:val="22"/>
          <w:lang w:val="es-ES"/>
        </w:rPr>
      </w:pPr>
      <w:r w:rsidRPr="002D741C">
        <w:rPr>
          <w:color w:val="000000"/>
          <w:szCs w:val="22"/>
          <w:lang w:val="es-ES"/>
        </w:rPr>
        <w:t>CAD</w:t>
      </w:r>
    </w:p>
    <w:p w14:paraId="0E11CA79" w14:textId="77777777" w:rsidR="0040333F" w:rsidRPr="002D741C" w:rsidRDefault="0040333F" w:rsidP="0040333F">
      <w:pPr>
        <w:widowControl w:val="0"/>
        <w:rPr>
          <w:color w:val="000000"/>
          <w:sz w:val="22"/>
          <w:szCs w:val="22"/>
          <w:lang w:val="nl-NL"/>
        </w:rPr>
      </w:pPr>
    </w:p>
    <w:p w14:paraId="5B912FB7" w14:textId="77777777" w:rsidR="0040333F" w:rsidRPr="002D741C" w:rsidRDefault="0040333F" w:rsidP="0040333F">
      <w:pPr>
        <w:widowControl w:val="0"/>
        <w:rPr>
          <w:color w:val="000000"/>
          <w:sz w:val="22"/>
          <w:szCs w:val="22"/>
          <w:lang w:val="nl-NL"/>
        </w:rPr>
      </w:pPr>
    </w:p>
    <w:p w14:paraId="6BE05C50" w14:textId="77777777" w:rsidR="0040333F" w:rsidRPr="002D741C" w:rsidRDefault="0040333F" w:rsidP="0040333F">
      <w:pPr>
        <w:widowControl w:val="0"/>
        <w:pBdr>
          <w:top w:val="single" w:sz="4" w:space="1" w:color="auto"/>
          <w:left w:val="single" w:sz="4" w:space="4" w:color="auto"/>
          <w:bottom w:val="single" w:sz="4" w:space="1" w:color="auto"/>
          <w:right w:val="single" w:sz="4" w:space="4" w:color="auto"/>
        </w:pBdr>
        <w:ind w:left="567" w:hanging="567"/>
        <w:rPr>
          <w:b/>
          <w:color w:val="000000"/>
          <w:sz w:val="22"/>
          <w:szCs w:val="22"/>
        </w:rPr>
      </w:pPr>
      <w:r w:rsidRPr="002D741C">
        <w:rPr>
          <w:b/>
          <w:color w:val="000000"/>
          <w:sz w:val="22"/>
          <w:szCs w:val="22"/>
        </w:rPr>
        <w:t>9.</w:t>
      </w:r>
      <w:r w:rsidRPr="002D741C">
        <w:rPr>
          <w:b/>
          <w:color w:val="000000"/>
          <w:sz w:val="22"/>
          <w:szCs w:val="22"/>
        </w:rPr>
        <w:tab/>
        <w:t xml:space="preserve">CONDICIONES ESPECIALES </w:t>
      </w:r>
      <w:smartTag w:uri="urn:schemas-microsoft-com:office:smarttags" w:element="PersonName">
        <w:r w:rsidRPr="002D741C">
          <w:rPr>
            <w:b/>
            <w:color w:val="000000"/>
            <w:sz w:val="22"/>
            <w:szCs w:val="22"/>
          </w:rPr>
          <w:t>DE</w:t>
        </w:r>
      </w:smartTag>
      <w:r w:rsidRPr="002D741C">
        <w:rPr>
          <w:b/>
          <w:color w:val="000000"/>
          <w:sz w:val="22"/>
          <w:szCs w:val="22"/>
        </w:rPr>
        <w:t xml:space="preserve"> CON</w:t>
      </w:r>
      <w:smartTag w:uri="urn:schemas-microsoft-com:office:smarttags" w:element="PersonName">
        <w:r w:rsidRPr="002D741C">
          <w:rPr>
            <w:b/>
            <w:color w:val="000000"/>
            <w:sz w:val="22"/>
            <w:szCs w:val="22"/>
          </w:rPr>
          <w:t>SE</w:t>
        </w:r>
      </w:smartTag>
      <w:r w:rsidRPr="002D741C">
        <w:rPr>
          <w:b/>
          <w:color w:val="000000"/>
          <w:sz w:val="22"/>
          <w:szCs w:val="22"/>
        </w:rPr>
        <w:t>RVACIÓN</w:t>
      </w:r>
    </w:p>
    <w:p w14:paraId="19426B4A" w14:textId="77777777" w:rsidR="0040333F" w:rsidRPr="002D741C" w:rsidRDefault="0040333F" w:rsidP="0040333F">
      <w:pPr>
        <w:widowControl w:val="0"/>
        <w:rPr>
          <w:color w:val="000000"/>
          <w:sz w:val="22"/>
          <w:szCs w:val="22"/>
        </w:rPr>
      </w:pPr>
    </w:p>
    <w:p w14:paraId="241AC409" w14:textId="77777777" w:rsidR="0040333F" w:rsidRPr="002D741C" w:rsidRDefault="0040333F" w:rsidP="0040333F">
      <w:pPr>
        <w:pStyle w:val="EndnoteText"/>
        <w:widowControl w:val="0"/>
        <w:tabs>
          <w:tab w:val="clear" w:pos="567"/>
        </w:tabs>
        <w:rPr>
          <w:color w:val="000000"/>
          <w:szCs w:val="22"/>
          <w:lang w:val="es-ES_tradnl"/>
        </w:rPr>
      </w:pPr>
      <w:r w:rsidRPr="002D741C">
        <w:rPr>
          <w:color w:val="000000"/>
          <w:szCs w:val="22"/>
          <w:lang w:val="es-ES_tradnl"/>
        </w:rPr>
        <w:t xml:space="preserve">No conservar a temperatura superior a </w:t>
      </w:r>
      <w:smartTag w:uri="urn:schemas-microsoft-com:office:smarttags" w:element="metricconverter">
        <w:smartTagPr>
          <w:attr w:name="ProductID" w:val="30ﾰC"/>
        </w:smartTagPr>
        <w:r w:rsidRPr="002D741C">
          <w:rPr>
            <w:color w:val="000000"/>
            <w:szCs w:val="22"/>
            <w:lang w:val="es-ES_tradnl"/>
          </w:rPr>
          <w:t>30°C</w:t>
        </w:r>
      </w:smartTag>
      <w:r w:rsidRPr="002D741C">
        <w:rPr>
          <w:color w:val="000000"/>
          <w:szCs w:val="22"/>
          <w:lang w:val="es-ES_tradnl"/>
        </w:rPr>
        <w:t>. Conservar en el embalaje original para protegerlo de la humedad.</w:t>
      </w:r>
    </w:p>
    <w:p w14:paraId="31DF520E" w14:textId="77777777" w:rsidR="0040333F" w:rsidRPr="002D741C" w:rsidRDefault="0040333F" w:rsidP="0040333F">
      <w:pPr>
        <w:widowControl w:val="0"/>
        <w:ind w:left="567" w:hanging="567"/>
        <w:rPr>
          <w:color w:val="000000"/>
          <w:sz w:val="22"/>
          <w:szCs w:val="22"/>
        </w:rPr>
      </w:pPr>
    </w:p>
    <w:p w14:paraId="5F5BB32F" w14:textId="77777777" w:rsidR="0040333F" w:rsidRPr="002D741C" w:rsidRDefault="0040333F" w:rsidP="0040333F">
      <w:pPr>
        <w:widowControl w:val="0"/>
        <w:ind w:left="567" w:hanging="567"/>
        <w:rPr>
          <w:color w:val="000000"/>
          <w:sz w:val="22"/>
          <w:szCs w:val="22"/>
        </w:rPr>
      </w:pPr>
    </w:p>
    <w:p w14:paraId="5BF5F295" w14:textId="77777777" w:rsidR="0040333F" w:rsidRPr="002D741C" w:rsidRDefault="0040333F" w:rsidP="0040333F">
      <w:pPr>
        <w:widowControl w:val="0"/>
        <w:pBdr>
          <w:top w:val="single" w:sz="4" w:space="1" w:color="auto"/>
          <w:left w:val="single" w:sz="4" w:space="4" w:color="auto"/>
          <w:bottom w:val="single" w:sz="4" w:space="1" w:color="auto"/>
          <w:right w:val="single" w:sz="4" w:space="4" w:color="auto"/>
        </w:pBdr>
        <w:ind w:left="567" w:hanging="567"/>
        <w:rPr>
          <w:b/>
          <w:color w:val="000000"/>
          <w:sz w:val="22"/>
          <w:szCs w:val="22"/>
        </w:rPr>
      </w:pPr>
      <w:r w:rsidRPr="002D741C">
        <w:rPr>
          <w:b/>
          <w:color w:val="000000"/>
          <w:sz w:val="22"/>
          <w:szCs w:val="22"/>
        </w:rPr>
        <w:lastRenderedPageBreak/>
        <w:t>10.</w:t>
      </w:r>
      <w:r w:rsidRPr="002D741C">
        <w:rPr>
          <w:b/>
          <w:color w:val="000000"/>
          <w:sz w:val="22"/>
          <w:szCs w:val="22"/>
        </w:rPr>
        <w:tab/>
        <w:t xml:space="preserve">PRECAUCIONES ESPECIALES </w:t>
      </w:r>
      <w:smartTag w:uri="urn:schemas-microsoft-com:office:smarttags" w:element="PersonName">
        <w:r w:rsidRPr="002D741C">
          <w:rPr>
            <w:b/>
            <w:color w:val="000000"/>
            <w:sz w:val="22"/>
            <w:szCs w:val="22"/>
          </w:rPr>
          <w:t>DE</w:t>
        </w:r>
      </w:smartTag>
      <w:r w:rsidRPr="002D741C">
        <w:rPr>
          <w:b/>
          <w:color w:val="000000"/>
          <w:sz w:val="22"/>
          <w:szCs w:val="22"/>
        </w:rPr>
        <w:t xml:space="preserve"> </w:t>
      </w:r>
      <w:smartTag w:uri="urn:schemas-microsoft-com:office:smarttags" w:element="PersonName">
        <w:r w:rsidRPr="002D741C">
          <w:rPr>
            <w:b/>
            <w:color w:val="000000"/>
            <w:sz w:val="22"/>
            <w:szCs w:val="22"/>
          </w:rPr>
          <w:t>EL</w:t>
        </w:r>
      </w:smartTag>
      <w:r w:rsidRPr="002D741C">
        <w:rPr>
          <w:b/>
          <w:color w:val="000000"/>
          <w:sz w:val="22"/>
          <w:szCs w:val="22"/>
        </w:rPr>
        <w:t xml:space="preserve">IMINACIÓN </w:t>
      </w:r>
      <w:smartTag w:uri="urn:schemas-microsoft-com:office:smarttags" w:element="stockticker">
        <w:smartTag w:uri="urn:schemas-microsoft-com:office:smarttags" w:element="PersonName">
          <w:r w:rsidRPr="002D741C">
            <w:rPr>
              <w:b/>
              <w:color w:val="000000"/>
              <w:sz w:val="22"/>
              <w:szCs w:val="22"/>
            </w:rPr>
            <w:t>D</w:t>
          </w:r>
          <w:smartTag w:uri="urn:schemas-microsoft-com:office:smarttags" w:element="PersonName">
            <w:r w:rsidRPr="002D741C">
              <w:rPr>
                <w:b/>
                <w:color w:val="000000"/>
                <w:sz w:val="22"/>
                <w:szCs w:val="22"/>
              </w:rPr>
              <w:t>E</w:t>
            </w:r>
          </w:smartTag>
        </w:smartTag>
        <w:r w:rsidRPr="002D741C">
          <w:rPr>
            <w:b/>
            <w:color w:val="000000"/>
            <w:sz w:val="22"/>
            <w:szCs w:val="22"/>
          </w:rPr>
          <w:t>L</w:t>
        </w:r>
      </w:smartTag>
      <w:r w:rsidRPr="002D741C">
        <w:rPr>
          <w:b/>
          <w:color w:val="000000"/>
          <w:sz w:val="22"/>
          <w:szCs w:val="22"/>
        </w:rPr>
        <w:t xml:space="preserve"> MEDICAMENTO </w:t>
      </w:r>
      <w:smartTag w:uri="urn:schemas-microsoft-com:office:smarttags" w:element="PersonName">
        <w:r w:rsidRPr="002D741C">
          <w:rPr>
            <w:b/>
            <w:color w:val="000000"/>
            <w:sz w:val="22"/>
            <w:szCs w:val="22"/>
          </w:rPr>
          <w:t>NO</w:t>
        </w:r>
      </w:smartTag>
      <w:r w:rsidRPr="002D741C">
        <w:rPr>
          <w:b/>
          <w:color w:val="000000"/>
          <w:sz w:val="22"/>
          <w:szCs w:val="22"/>
        </w:rPr>
        <w:t xml:space="preserve"> UTILIZADO Y </w:t>
      </w:r>
      <w:smartTag w:uri="urn:schemas-microsoft-com:office:smarttags" w:element="PersonName">
        <w:r w:rsidRPr="002D741C">
          <w:rPr>
            <w:b/>
            <w:color w:val="000000"/>
            <w:sz w:val="22"/>
            <w:szCs w:val="22"/>
          </w:rPr>
          <w:t>DE</w:t>
        </w:r>
      </w:smartTag>
      <w:r w:rsidRPr="002D741C">
        <w:rPr>
          <w:b/>
          <w:color w:val="000000"/>
          <w:sz w:val="22"/>
          <w:szCs w:val="22"/>
        </w:rPr>
        <w:t xml:space="preserve"> LOS MATERIALES </w:t>
      </w:r>
      <w:smartTag w:uri="urn:schemas-microsoft-com:office:smarttags" w:element="PersonName">
        <w:r w:rsidRPr="002D741C">
          <w:rPr>
            <w:b/>
            <w:color w:val="000000"/>
            <w:sz w:val="22"/>
            <w:szCs w:val="22"/>
          </w:rPr>
          <w:t>DE</w:t>
        </w:r>
      </w:smartTag>
      <w:r w:rsidRPr="002D741C">
        <w:rPr>
          <w:b/>
          <w:color w:val="000000"/>
          <w:sz w:val="22"/>
          <w:szCs w:val="22"/>
        </w:rPr>
        <w:t xml:space="preserve">RIVADOS </w:t>
      </w:r>
      <w:smartTag w:uri="urn:schemas-microsoft-com:office:smarttags" w:element="PersonName">
        <w:r w:rsidRPr="002D741C">
          <w:rPr>
            <w:b/>
            <w:color w:val="000000"/>
            <w:sz w:val="22"/>
            <w:szCs w:val="22"/>
          </w:rPr>
          <w:t>DE</w:t>
        </w:r>
      </w:smartTag>
      <w:r w:rsidRPr="002D741C">
        <w:rPr>
          <w:b/>
          <w:color w:val="000000"/>
          <w:sz w:val="22"/>
          <w:szCs w:val="22"/>
        </w:rPr>
        <w:t xml:space="preserve"> SU USO (CUANDO CORRESPONDA)</w:t>
      </w:r>
    </w:p>
    <w:p w14:paraId="0568162C" w14:textId="77777777" w:rsidR="0040333F" w:rsidRPr="002D741C" w:rsidRDefault="0040333F" w:rsidP="0040333F">
      <w:pPr>
        <w:widowControl w:val="0"/>
        <w:rPr>
          <w:color w:val="000000"/>
          <w:sz w:val="22"/>
          <w:szCs w:val="22"/>
        </w:rPr>
      </w:pPr>
    </w:p>
    <w:p w14:paraId="052759E0" w14:textId="77777777" w:rsidR="0040333F" w:rsidRPr="002D741C" w:rsidRDefault="0040333F" w:rsidP="0040333F">
      <w:pPr>
        <w:widowControl w:val="0"/>
        <w:rPr>
          <w:color w:val="000000"/>
          <w:sz w:val="22"/>
          <w:szCs w:val="22"/>
        </w:rPr>
      </w:pPr>
    </w:p>
    <w:p w14:paraId="51AF8937" w14:textId="77777777" w:rsidR="0040333F" w:rsidRPr="002D741C" w:rsidRDefault="0040333F" w:rsidP="0040333F">
      <w:pPr>
        <w:widowControl w:val="0"/>
        <w:pBdr>
          <w:top w:val="single" w:sz="4" w:space="1" w:color="auto"/>
          <w:left w:val="single" w:sz="4" w:space="4" w:color="auto"/>
          <w:bottom w:val="single" w:sz="4" w:space="1" w:color="auto"/>
          <w:right w:val="single" w:sz="4" w:space="4" w:color="auto"/>
        </w:pBdr>
        <w:ind w:left="567" w:hanging="567"/>
        <w:rPr>
          <w:b/>
          <w:color w:val="000000"/>
          <w:sz w:val="22"/>
          <w:szCs w:val="22"/>
        </w:rPr>
      </w:pPr>
      <w:r w:rsidRPr="002D741C">
        <w:rPr>
          <w:b/>
          <w:color w:val="000000"/>
          <w:sz w:val="22"/>
          <w:szCs w:val="22"/>
        </w:rPr>
        <w:t>11.</w:t>
      </w:r>
      <w:r w:rsidRPr="002D741C">
        <w:rPr>
          <w:b/>
          <w:color w:val="000000"/>
          <w:sz w:val="22"/>
          <w:szCs w:val="22"/>
        </w:rPr>
        <w:tab/>
      </w:r>
      <w:smartTag w:uri="urn:schemas-microsoft-com:office:smarttags" w:element="PersonName">
        <w:r w:rsidRPr="002D741C">
          <w:rPr>
            <w:b/>
            <w:color w:val="000000"/>
            <w:sz w:val="22"/>
            <w:szCs w:val="22"/>
          </w:rPr>
          <w:t>NO</w:t>
        </w:r>
      </w:smartTag>
      <w:r w:rsidRPr="002D741C">
        <w:rPr>
          <w:b/>
          <w:color w:val="000000"/>
          <w:sz w:val="22"/>
          <w:szCs w:val="22"/>
        </w:rPr>
        <w:t xml:space="preserve">MBRE Y DIRECCIÓN </w:t>
      </w:r>
      <w:smartTag w:uri="urn:schemas-microsoft-com:office:smarttags" w:element="stockticker">
        <w:smartTag w:uri="urn:schemas-microsoft-com:office:smarttags" w:element="PersonName">
          <w:r w:rsidRPr="002D741C">
            <w:rPr>
              <w:b/>
              <w:color w:val="000000"/>
              <w:sz w:val="22"/>
              <w:szCs w:val="22"/>
            </w:rPr>
            <w:t>D</w:t>
          </w:r>
          <w:smartTag w:uri="urn:schemas-microsoft-com:office:smarttags" w:element="PersonName">
            <w:r w:rsidRPr="002D741C">
              <w:rPr>
                <w:b/>
                <w:color w:val="000000"/>
                <w:sz w:val="22"/>
                <w:szCs w:val="22"/>
              </w:rPr>
              <w:t>E</w:t>
            </w:r>
          </w:smartTag>
        </w:smartTag>
        <w:r w:rsidRPr="002D741C">
          <w:rPr>
            <w:b/>
            <w:color w:val="000000"/>
            <w:sz w:val="22"/>
            <w:szCs w:val="22"/>
          </w:rPr>
          <w:t>L</w:t>
        </w:r>
      </w:smartTag>
      <w:r w:rsidRPr="002D741C">
        <w:rPr>
          <w:b/>
          <w:color w:val="000000"/>
          <w:sz w:val="22"/>
          <w:szCs w:val="22"/>
        </w:rPr>
        <w:t xml:space="preserve"> T</w:t>
      </w:r>
      <w:smartTag w:uri="urn:schemas-microsoft-com:office:smarttags" w:element="PersonName">
        <w:r w:rsidRPr="002D741C">
          <w:rPr>
            <w:b/>
            <w:color w:val="000000"/>
            <w:sz w:val="22"/>
            <w:szCs w:val="22"/>
          </w:rPr>
          <w:t>IT</w:t>
        </w:r>
      </w:smartTag>
      <w:r w:rsidRPr="002D741C">
        <w:rPr>
          <w:b/>
          <w:color w:val="000000"/>
          <w:sz w:val="22"/>
          <w:szCs w:val="22"/>
        </w:rPr>
        <w:t xml:space="preserve">ULAR </w:t>
      </w:r>
      <w:smartTag w:uri="urn:schemas-microsoft-com:office:smarttags" w:element="PersonName">
        <w:r w:rsidRPr="002D741C">
          <w:rPr>
            <w:b/>
            <w:color w:val="000000"/>
            <w:sz w:val="22"/>
            <w:szCs w:val="22"/>
          </w:rPr>
          <w:t>DE</w:t>
        </w:r>
      </w:smartTag>
      <w:r w:rsidRPr="002D741C">
        <w:rPr>
          <w:b/>
          <w:color w:val="000000"/>
          <w:sz w:val="22"/>
          <w:szCs w:val="22"/>
        </w:rPr>
        <w:t xml:space="preserve"> </w:t>
      </w:r>
      <w:smartTag w:uri="urn:schemas-microsoft-com:office:smarttags" w:element="PersonName">
        <w:smartTagPr>
          <w:attr w:name="ProductID" w:val="LA AUTORIZACIￓN DE"/>
        </w:smartTagPr>
        <w:r w:rsidRPr="002D741C">
          <w:rPr>
            <w:b/>
            <w:color w:val="000000"/>
            <w:sz w:val="22"/>
            <w:szCs w:val="22"/>
          </w:rPr>
          <w:t xml:space="preserve">LA AUTORIZACIÓN </w:t>
        </w:r>
        <w:smartTag w:uri="urn:schemas-microsoft-com:office:smarttags" w:element="PersonName">
          <w:r w:rsidRPr="002D741C">
            <w:rPr>
              <w:b/>
              <w:color w:val="000000"/>
              <w:sz w:val="22"/>
              <w:szCs w:val="22"/>
            </w:rPr>
            <w:t>DE</w:t>
          </w:r>
        </w:smartTag>
      </w:smartTag>
      <w:r w:rsidRPr="002D741C">
        <w:rPr>
          <w:b/>
          <w:color w:val="000000"/>
          <w:sz w:val="22"/>
          <w:szCs w:val="22"/>
        </w:rPr>
        <w:t xml:space="preserve"> COMERCIALIZACIÓN</w:t>
      </w:r>
    </w:p>
    <w:p w14:paraId="562FEE94" w14:textId="77777777" w:rsidR="0040333F" w:rsidRPr="002D741C" w:rsidRDefault="0040333F" w:rsidP="0040333F">
      <w:pPr>
        <w:widowControl w:val="0"/>
        <w:rPr>
          <w:color w:val="000000"/>
          <w:sz w:val="22"/>
          <w:szCs w:val="22"/>
        </w:rPr>
      </w:pPr>
    </w:p>
    <w:p w14:paraId="07E07750" w14:textId="77777777" w:rsidR="0040333F" w:rsidRPr="002D741C" w:rsidRDefault="0040333F" w:rsidP="0040333F">
      <w:pPr>
        <w:pStyle w:val="EndnoteText"/>
        <w:widowControl w:val="0"/>
        <w:tabs>
          <w:tab w:val="clear" w:pos="567"/>
        </w:tabs>
        <w:rPr>
          <w:color w:val="000000"/>
          <w:szCs w:val="22"/>
        </w:rPr>
      </w:pPr>
      <w:r w:rsidRPr="002D741C">
        <w:rPr>
          <w:color w:val="000000"/>
          <w:szCs w:val="22"/>
        </w:rPr>
        <w:t>Novartis Europharm Limited</w:t>
      </w:r>
    </w:p>
    <w:p w14:paraId="494DFFD8" w14:textId="77777777" w:rsidR="005127D7" w:rsidRPr="002D741C" w:rsidRDefault="005127D7" w:rsidP="005127D7">
      <w:pPr>
        <w:keepNext/>
        <w:widowControl w:val="0"/>
        <w:rPr>
          <w:color w:val="000000"/>
          <w:sz w:val="22"/>
          <w:szCs w:val="22"/>
          <w:lang w:val="en-US"/>
        </w:rPr>
      </w:pPr>
      <w:r w:rsidRPr="002D741C">
        <w:rPr>
          <w:color w:val="000000"/>
          <w:sz w:val="22"/>
          <w:szCs w:val="22"/>
          <w:lang w:val="en-US"/>
        </w:rPr>
        <w:t>Vista Building</w:t>
      </w:r>
    </w:p>
    <w:p w14:paraId="505CDBC2" w14:textId="77777777" w:rsidR="005127D7" w:rsidRPr="002D741C" w:rsidRDefault="005127D7" w:rsidP="005127D7">
      <w:pPr>
        <w:keepNext/>
        <w:widowControl w:val="0"/>
        <w:rPr>
          <w:color w:val="000000"/>
          <w:sz w:val="22"/>
          <w:szCs w:val="22"/>
          <w:lang w:val="en-US"/>
        </w:rPr>
      </w:pPr>
      <w:r w:rsidRPr="002D741C">
        <w:rPr>
          <w:color w:val="000000"/>
          <w:sz w:val="22"/>
          <w:szCs w:val="22"/>
          <w:lang w:val="en-US"/>
        </w:rPr>
        <w:t>Elm Park, Merrion Road</w:t>
      </w:r>
    </w:p>
    <w:p w14:paraId="15677699" w14:textId="77777777" w:rsidR="005127D7" w:rsidRPr="002D741C" w:rsidRDefault="005127D7" w:rsidP="005127D7">
      <w:pPr>
        <w:keepNext/>
        <w:widowControl w:val="0"/>
        <w:rPr>
          <w:color w:val="000000"/>
          <w:sz w:val="22"/>
          <w:szCs w:val="22"/>
        </w:rPr>
      </w:pPr>
      <w:r w:rsidRPr="002D741C">
        <w:rPr>
          <w:color w:val="000000"/>
          <w:sz w:val="22"/>
          <w:szCs w:val="22"/>
        </w:rPr>
        <w:t>Dublin 4</w:t>
      </w:r>
    </w:p>
    <w:p w14:paraId="3D3D8C3F" w14:textId="77777777" w:rsidR="005127D7" w:rsidRPr="002D741C" w:rsidRDefault="005127D7" w:rsidP="005127D7">
      <w:pPr>
        <w:rPr>
          <w:color w:val="000000"/>
          <w:sz w:val="22"/>
          <w:szCs w:val="22"/>
        </w:rPr>
      </w:pPr>
      <w:r w:rsidRPr="002D741C">
        <w:rPr>
          <w:color w:val="000000"/>
          <w:sz w:val="22"/>
          <w:szCs w:val="22"/>
        </w:rPr>
        <w:t>Irlanda</w:t>
      </w:r>
    </w:p>
    <w:p w14:paraId="7D3A1D5B" w14:textId="77777777" w:rsidR="0040333F" w:rsidRPr="002D741C" w:rsidRDefault="0040333F" w:rsidP="0040333F">
      <w:pPr>
        <w:widowControl w:val="0"/>
        <w:rPr>
          <w:color w:val="000000"/>
          <w:sz w:val="22"/>
          <w:szCs w:val="22"/>
          <w:lang w:val="es-ES"/>
        </w:rPr>
      </w:pPr>
    </w:p>
    <w:p w14:paraId="39852F69" w14:textId="77777777" w:rsidR="0040333F" w:rsidRPr="002D741C" w:rsidRDefault="0040333F" w:rsidP="0040333F">
      <w:pPr>
        <w:widowControl w:val="0"/>
        <w:rPr>
          <w:color w:val="000000"/>
          <w:sz w:val="22"/>
          <w:szCs w:val="22"/>
          <w:lang w:val="es-ES"/>
        </w:rPr>
      </w:pPr>
    </w:p>
    <w:p w14:paraId="457892A8" w14:textId="77777777" w:rsidR="0040333F" w:rsidRPr="002D741C" w:rsidRDefault="0040333F" w:rsidP="0040333F">
      <w:pPr>
        <w:widowControl w:val="0"/>
        <w:pBdr>
          <w:top w:val="single" w:sz="4" w:space="1" w:color="auto"/>
          <w:left w:val="single" w:sz="4" w:space="4" w:color="auto"/>
          <w:bottom w:val="single" w:sz="4" w:space="1" w:color="auto"/>
          <w:right w:val="single" w:sz="4" w:space="4" w:color="auto"/>
        </w:pBdr>
        <w:ind w:left="567" w:hanging="567"/>
        <w:rPr>
          <w:b/>
          <w:color w:val="000000"/>
          <w:sz w:val="22"/>
          <w:szCs w:val="22"/>
        </w:rPr>
      </w:pPr>
      <w:r w:rsidRPr="002D741C">
        <w:rPr>
          <w:b/>
          <w:color w:val="000000"/>
          <w:sz w:val="22"/>
          <w:szCs w:val="22"/>
        </w:rPr>
        <w:t>12.</w:t>
      </w:r>
      <w:r w:rsidRPr="002D741C">
        <w:rPr>
          <w:b/>
          <w:color w:val="000000"/>
          <w:sz w:val="22"/>
          <w:szCs w:val="22"/>
        </w:rPr>
        <w:tab/>
        <w:t>NÚME</w:t>
      </w:r>
      <w:smartTag w:uri="urn:schemas-microsoft-com:office:smarttags" w:element="PersonName">
        <w:r w:rsidRPr="002D741C">
          <w:rPr>
            <w:b/>
            <w:color w:val="000000"/>
            <w:sz w:val="22"/>
            <w:szCs w:val="22"/>
          </w:rPr>
          <w:t>RO</w:t>
        </w:r>
      </w:smartTag>
      <w:r w:rsidRPr="002D741C">
        <w:rPr>
          <w:b/>
          <w:color w:val="000000"/>
          <w:sz w:val="22"/>
          <w:szCs w:val="22"/>
        </w:rPr>
        <w:t xml:space="preserve">(S) </w:t>
      </w:r>
      <w:smartTag w:uri="urn:schemas-microsoft-com:office:smarttags" w:element="PersonName">
        <w:r w:rsidRPr="002D741C">
          <w:rPr>
            <w:b/>
            <w:color w:val="000000"/>
            <w:sz w:val="22"/>
            <w:szCs w:val="22"/>
          </w:rPr>
          <w:t>DE</w:t>
        </w:r>
      </w:smartTag>
      <w:r w:rsidRPr="002D741C">
        <w:rPr>
          <w:b/>
          <w:color w:val="000000"/>
          <w:sz w:val="22"/>
          <w:szCs w:val="22"/>
        </w:rPr>
        <w:t xml:space="preserve"> AUTORIZACIÓN </w:t>
      </w:r>
      <w:smartTag w:uri="urn:schemas-microsoft-com:office:smarttags" w:element="PersonName">
        <w:r w:rsidRPr="002D741C">
          <w:rPr>
            <w:b/>
            <w:color w:val="000000"/>
            <w:sz w:val="22"/>
            <w:szCs w:val="22"/>
          </w:rPr>
          <w:t>DE</w:t>
        </w:r>
      </w:smartTag>
      <w:r w:rsidRPr="002D741C">
        <w:rPr>
          <w:b/>
          <w:color w:val="000000"/>
          <w:sz w:val="22"/>
          <w:szCs w:val="22"/>
        </w:rPr>
        <w:t xml:space="preserve"> COMERCIALIZACIÓN</w:t>
      </w:r>
    </w:p>
    <w:p w14:paraId="3D9F03C2" w14:textId="77777777" w:rsidR="0040333F" w:rsidRPr="002D741C" w:rsidRDefault="0040333F" w:rsidP="0040333F">
      <w:pPr>
        <w:widowControl w:val="0"/>
        <w:rPr>
          <w:color w:val="000000"/>
          <w:sz w:val="22"/>
          <w:szCs w:val="22"/>
        </w:rPr>
      </w:pPr>
    </w:p>
    <w:p w14:paraId="18600351" w14:textId="77777777" w:rsidR="0040333F" w:rsidRPr="002D741C" w:rsidRDefault="0040333F" w:rsidP="0040333F">
      <w:pPr>
        <w:tabs>
          <w:tab w:val="left" w:pos="2268"/>
        </w:tabs>
        <w:rPr>
          <w:color w:val="000000"/>
          <w:sz w:val="22"/>
          <w:szCs w:val="22"/>
          <w:shd w:val="clear" w:color="auto" w:fill="D9D9D9"/>
          <w:lang w:val="pt-BR"/>
        </w:rPr>
      </w:pPr>
      <w:r w:rsidRPr="002D741C">
        <w:rPr>
          <w:color w:val="000000"/>
          <w:sz w:val="22"/>
          <w:szCs w:val="22"/>
          <w:lang w:val="pt-BR"/>
        </w:rPr>
        <w:t>EU/1/01/198/007</w:t>
      </w:r>
      <w:r w:rsidRPr="002D741C">
        <w:rPr>
          <w:color w:val="000000"/>
          <w:sz w:val="22"/>
          <w:szCs w:val="22"/>
          <w:lang w:val="pt-BR"/>
        </w:rPr>
        <w:tab/>
      </w:r>
      <w:r w:rsidRPr="002D741C">
        <w:rPr>
          <w:color w:val="000000"/>
          <w:sz w:val="22"/>
          <w:szCs w:val="22"/>
          <w:shd w:val="clear" w:color="auto" w:fill="D9D9D9"/>
          <w:lang w:val="pt-BR"/>
        </w:rPr>
        <w:t>20 comprimidos</w:t>
      </w:r>
      <w:r w:rsidR="001C67D6" w:rsidRPr="008635F3">
        <w:rPr>
          <w:color w:val="000000"/>
          <w:sz w:val="22"/>
          <w:szCs w:val="22"/>
          <w:shd w:val="pct15" w:color="auto" w:fill="auto"/>
          <w:lang w:val="pt-BR"/>
        </w:rPr>
        <w:t xml:space="preserve"> (</w:t>
      </w:r>
      <w:r w:rsidR="001C67D6" w:rsidRPr="008635F3">
        <w:rPr>
          <w:color w:val="000000"/>
          <w:sz w:val="22"/>
          <w:szCs w:val="22"/>
          <w:shd w:val="pct15" w:color="auto" w:fill="auto"/>
        </w:rPr>
        <w:t>Blister de PVC/alu)</w:t>
      </w:r>
    </w:p>
    <w:p w14:paraId="366C0C19" w14:textId="77777777" w:rsidR="0040333F" w:rsidRPr="002D741C" w:rsidRDefault="0040333F" w:rsidP="0040333F">
      <w:pPr>
        <w:tabs>
          <w:tab w:val="left" w:pos="2268"/>
        </w:tabs>
        <w:rPr>
          <w:color w:val="000000"/>
          <w:sz w:val="22"/>
          <w:szCs w:val="22"/>
          <w:shd w:val="clear" w:color="auto" w:fill="D9D9D9"/>
          <w:lang w:val="pt-BR"/>
        </w:rPr>
      </w:pPr>
      <w:r w:rsidRPr="002D741C">
        <w:rPr>
          <w:color w:val="000000"/>
          <w:sz w:val="22"/>
          <w:szCs w:val="22"/>
          <w:shd w:val="clear" w:color="auto" w:fill="D9D9D9"/>
          <w:lang w:val="pt-BR"/>
        </w:rPr>
        <w:t>EU/1/01/198/008</w:t>
      </w:r>
      <w:r w:rsidRPr="002D741C">
        <w:rPr>
          <w:color w:val="000000"/>
          <w:sz w:val="22"/>
          <w:szCs w:val="22"/>
          <w:shd w:val="clear" w:color="auto" w:fill="D9D9D9"/>
          <w:lang w:val="pt-BR"/>
        </w:rPr>
        <w:tab/>
        <w:t>60 comprimidos</w:t>
      </w:r>
      <w:r w:rsidR="001C67D6" w:rsidRPr="008635F3">
        <w:rPr>
          <w:color w:val="000000"/>
          <w:sz w:val="22"/>
          <w:szCs w:val="22"/>
          <w:shd w:val="pct15" w:color="auto" w:fill="auto"/>
          <w:lang w:val="pt-BR"/>
        </w:rPr>
        <w:t xml:space="preserve"> (</w:t>
      </w:r>
      <w:r w:rsidR="001C67D6" w:rsidRPr="008635F3">
        <w:rPr>
          <w:color w:val="000000"/>
          <w:sz w:val="22"/>
          <w:szCs w:val="22"/>
          <w:shd w:val="pct15" w:color="auto" w:fill="auto"/>
        </w:rPr>
        <w:t>Blister de PVC/alu)</w:t>
      </w:r>
    </w:p>
    <w:p w14:paraId="6A18F478" w14:textId="77777777" w:rsidR="0040333F" w:rsidRPr="002D741C" w:rsidRDefault="0040333F" w:rsidP="0040333F">
      <w:pPr>
        <w:tabs>
          <w:tab w:val="left" w:pos="2268"/>
        </w:tabs>
        <w:rPr>
          <w:color w:val="000000"/>
          <w:sz w:val="22"/>
          <w:szCs w:val="22"/>
          <w:shd w:val="clear" w:color="auto" w:fill="D9D9D9"/>
          <w:lang w:val="pt-BR"/>
        </w:rPr>
      </w:pPr>
      <w:r w:rsidRPr="002D741C">
        <w:rPr>
          <w:color w:val="000000"/>
          <w:sz w:val="22"/>
          <w:szCs w:val="22"/>
          <w:shd w:val="clear" w:color="auto" w:fill="D9D9D9"/>
          <w:lang w:val="pt-BR"/>
        </w:rPr>
        <w:t>EU/1/01/198/011</w:t>
      </w:r>
      <w:r w:rsidRPr="002D741C">
        <w:rPr>
          <w:color w:val="000000"/>
          <w:sz w:val="22"/>
          <w:szCs w:val="22"/>
          <w:shd w:val="clear" w:color="auto" w:fill="D9D9D9"/>
          <w:lang w:val="pt-BR"/>
        </w:rPr>
        <w:tab/>
        <w:t>120 comprimidos</w:t>
      </w:r>
      <w:r w:rsidR="001C67D6" w:rsidRPr="008635F3">
        <w:rPr>
          <w:color w:val="000000"/>
          <w:sz w:val="22"/>
          <w:szCs w:val="22"/>
          <w:shd w:val="pct15" w:color="auto" w:fill="auto"/>
          <w:lang w:val="pt-BR"/>
        </w:rPr>
        <w:t xml:space="preserve"> (</w:t>
      </w:r>
      <w:r w:rsidR="001C67D6" w:rsidRPr="008635F3">
        <w:rPr>
          <w:color w:val="000000"/>
          <w:sz w:val="22"/>
          <w:szCs w:val="22"/>
          <w:shd w:val="pct15" w:color="auto" w:fill="auto"/>
        </w:rPr>
        <w:t>Blister de PVC/alu)</w:t>
      </w:r>
    </w:p>
    <w:p w14:paraId="5A67942E" w14:textId="77777777" w:rsidR="0040333F" w:rsidRPr="002D741C" w:rsidRDefault="0040333F" w:rsidP="0040333F">
      <w:pPr>
        <w:tabs>
          <w:tab w:val="left" w:pos="2268"/>
        </w:tabs>
        <w:rPr>
          <w:color w:val="000000"/>
          <w:sz w:val="22"/>
          <w:szCs w:val="22"/>
          <w:shd w:val="clear" w:color="auto" w:fill="D9D9D9"/>
          <w:lang w:val="pt-BR"/>
        </w:rPr>
      </w:pPr>
      <w:r w:rsidRPr="002D741C">
        <w:rPr>
          <w:color w:val="000000"/>
          <w:sz w:val="22"/>
          <w:szCs w:val="22"/>
          <w:shd w:val="clear" w:color="auto" w:fill="D9D9D9"/>
          <w:lang w:val="pt-BR"/>
        </w:rPr>
        <w:t>EU/1/01/198/012</w:t>
      </w:r>
      <w:r w:rsidRPr="002D741C">
        <w:rPr>
          <w:color w:val="000000"/>
          <w:sz w:val="22"/>
          <w:szCs w:val="22"/>
          <w:shd w:val="clear" w:color="auto" w:fill="D9D9D9"/>
          <w:lang w:val="pt-BR"/>
        </w:rPr>
        <w:tab/>
        <w:t>180 comprimidos</w:t>
      </w:r>
      <w:r w:rsidR="001C67D6" w:rsidRPr="008635F3">
        <w:rPr>
          <w:color w:val="000000"/>
          <w:sz w:val="22"/>
          <w:szCs w:val="22"/>
          <w:shd w:val="pct15" w:color="auto" w:fill="auto"/>
          <w:lang w:val="pt-BR"/>
        </w:rPr>
        <w:t xml:space="preserve"> (</w:t>
      </w:r>
      <w:r w:rsidR="001C67D6" w:rsidRPr="008635F3">
        <w:rPr>
          <w:color w:val="000000"/>
          <w:sz w:val="22"/>
          <w:szCs w:val="22"/>
          <w:shd w:val="pct15" w:color="auto" w:fill="auto"/>
        </w:rPr>
        <w:t>Blister de PVC/alu)</w:t>
      </w:r>
    </w:p>
    <w:p w14:paraId="52AC9AD3" w14:textId="77777777" w:rsidR="001C67D6" w:rsidRPr="008635F3" w:rsidRDefault="001C67D6" w:rsidP="001C67D6">
      <w:pPr>
        <w:widowControl w:val="0"/>
        <w:ind w:left="2268" w:hanging="2268"/>
        <w:rPr>
          <w:color w:val="000000"/>
          <w:sz w:val="22"/>
          <w:szCs w:val="22"/>
          <w:shd w:val="pct15" w:color="auto" w:fill="auto"/>
          <w:lang w:val="pt-BR"/>
        </w:rPr>
      </w:pPr>
      <w:r w:rsidRPr="008635F3">
        <w:rPr>
          <w:color w:val="000000"/>
          <w:sz w:val="22"/>
          <w:szCs w:val="22"/>
          <w:shd w:val="pct15" w:color="auto" w:fill="auto"/>
          <w:lang w:val="pt-BR"/>
        </w:rPr>
        <w:t>EU/1/01/198/01</w:t>
      </w:r>
      <w:r w:rsidR="00DD44CE">
        <w:rPr>
          <w:color w:val="000000"/>
          <w:sz w:val="22"/>
          <w:szCs w:val="22"/>
          <w:shd w:val="pct15" w:color="auto" w:fill="auto"/>
          <w:lang w:val="pt-BR"/>
        </w:rPr>
        <w:t>4</w:t>
      </w:r>
      <w:r w:rsidRPr="008635F3">
        <w:rPr>
          <w:color w:val="000000"/>
          <w:sz w:val="22"/>
          <w:szCs w:val="22"/>
          <w:shd w:val="pct15" w:color="auto" w:fill="auto"/>
          <w:lang w:val="pt-BR"/>
        </w:rPr>
        <w:tab/>
      </w:r>
      <w:r w:rsidR="00DD44CE">
        <w:rPr>
          <w:color w:val="000000"/>
          <w:sz w:val="22"/>
          <w:szCs w:val="22"/>
          <w:shd w:val="pct15" w:color="auto" w:fill="auto"/>
          <w:lang w:val="pt-BR"/>
        </w:rPr>
        <w:t>6</w:t>
      </w:r>
      <w:r w:rsidRPr="008635F3">
        <w:rPr>
          <w:color w:val="000000"/>
          <w:sz w:val="22"/>
          <w:szCs w:val="22"/>
          <w:shd w:val="pct15" w:color="auto" w:fill="auto"/>
          <w:lang w:val="pt-BR"/>
        </w:rPr>
        <w:t>0 comprimidos (</w:t>
      </w:r>
      <w:r w:rsidRPr="008D0368">
        <w:rPr>
          <w:color w:val="000000"/>
          <w:sz w:val="22"/>
          <w:szCs w:val="22"/>
          <w:shd w:val="pct15" w:color="auto" w:fill="auto"/>
          <w:lang w:val="pt-BR"/>
        </w:rPr>
        <w:t>Blister de PVDC/alu)</w:t>
      </w:r>
    </w:p>
    <w:p w14:paraId="42BC82FE" w14:textId="77777777" w:rsidR="001C67D6" w:rsidRPr="008635F3" w:rsidRDefault="001C67D6" w:rsidP="001C67D6">
      <w:pPr>
        <w:widowControl w:val="0"/>
        <w:ind w:left="2268" w:hanging="2268"/>
        <w:rPr>
          <w:color w:val="000000"/>
          <w:sz w:val="22"/>
          <w:szCs w:val="22"/>
          <w:shd w:val="pct15" w:color="auto" w:fill="auto"/>
          <w:lang w:val="pt-BR"/>
        </w:rPr>
      </w:pPr>
      <w:r w:rsidRPr="008635F3">
        <w:rPr>
          <w:color w:val="000000"/>
          <w:sz w:val="22"/>
          <w:szCs w:val="22"/>
          <w:shd w:val="pct15" w:color="auto" w:fill="auto"/>
          <w:lang w:val="pt-BR"/>
        </w:rPr>
        <w:t>EU/1/01/198/01</w:t>
      </w:r>
      <w:r w:rsidR="00DD44CE">
        <w:rPr>
          <w:color w:val="000000"/>
          <w:sz w:val="22"/>
          <w:szCs w:val="22"/>
          <w:shd w:val="pct15" w:color="auto" w:fill="auto"/>
          <w:lang w:val="pt-BR"/>
        </w:rPr>
        <w:t>5</w:t>
      </w:r>
      <w:r w:rsidRPr="008635F3">
        <w:rPr>
          <w:color w:val="000000"/>
          <w:sz w:val="22"/>
          <w:szCs w:val="22"/>
          <w:shd w:val="pct15" w:color="auto" w:fill="auto"/>
          <w:lang w:val="pt-BR"/>
        </w:rPr>
        <w:tab/>
        <w:t>1</w:t>
      </w:r>
      <w:r w:rsidR="00DD44CE">
        <w:rPr>
          <w:color w:val="000000"/>
          <w:sz w:val="22"/>
          <w:szCs w:val="22"/>
          <w:shd w:val="pct15" w:color="auto" w:fill="auto"/>
          <w:lang w:val="pt-BR"/>
        </w:rPr>
        <w:t>2</w:t>
      </w:r>
      <w:r w:rsidRPr="008635F3">
        <w:rPr>
          <w:color w:val="000000"/>
          <w:sz w:val="22"/>
          <w:szCs w:val="22"/>
          <w:shd w:val="pct15" w:color="auto" w:fill="auto"/>
          <w:lang w:val="pt-BR"/>
        </w:rPr>
        <w:t>0 comprimidos (</w:t>
      </w:r>
      <w:r w:rsidRPr="008D0368">
        <w:rPr>
          <w:color w:val="000000"/>
          <w:sz w:val="22"/>
          <w:szCs w:val="22"/>
          <w:shd w:val="pct15" w:color="auto" w:fill="auto"/>
          <w:lang w:val="pt-BR"/>
        </w:rPr>
        <w:t>Blister de PVDC/alu)</w:t>
      </w:r>
    </w:p>
    <w:p w14:paraId="54FA2B28" w14:textId="77777777" w:rsidR="008D7834" w:rsidRPr="002D741C" w:rsidRDefault="008D7834" w:rsidP="008D7834">
      <w:pPr>
        <w:tabs>
          <w:tab w:val="left" w:pos="2268"/>
        </w:tabs>
        <w:rPr>
          <w:color w:val="000000"/>
          <w:sz w:val="22"/>
          <w:szCs w:val="22"/>
          <w:shd w:val="clear" w:color="auto" w:fill="D9D9D9"/>
          <w:lang w:val="pt-BR"/>
        </w:rPr>
      </w:pPr>
      <w:r>
        <w:rPr>
          <w:color w:val="000000"/>
          <w:sz w:val="22"/>
          <w:szCs w:val="22"/>
          <w:shd w:val="clear" w:color="auto" w:fill="D9D9D9"/>
          <w:lang w:val="pt-BR"/>
        </w:rPr>
        <w:t>EU/1/01/198/01</w:t>
      </w:r>
      <w:r w:rsidR="00DD44CE">
        <w:rPr>
          <w:color w:val="000000"/>
          <w:sz w:val="22"/>
          <w:szCs w:val="22"/>
          <w:shd w:val="clear" w:color="auto" w:fill="D9D9D9"/>
          <w:lang w:val="pt-BR"/>
        </w:rPr>
        <w:t>6</w:t>
      </w:r>
      <w:r w:rsidRPr="002D741C">
        <w:rPr>
          <w:color w:val="000000"/>
          <w:sz w:val="22"/>
          <w:szCs w:val="22"/>
          <w:shd w:val="clear" w:color="auto" w:fill="D9D9D9"/>
          <w:lang w:val="pt-BR"/>
        </w:rPr>
        <w:tab/>
      </w:r>
      <w:r w:rsidR="00DD44CE">
        <w:rPr>
          <w:color w:val="000000"/>
          <w:sz w:val="22"/>
          <w:szCs w:val="22"/>
          <w:shd w:val="clear" w:color="auto" w:fill="D9D9D9"/>
          <w:lang w:val="pt-BR"/>
        </w:rPr>
        <w:t>18</w:t>
      </w:r>
      <w:r w:rsidRPr="002D741C">
        <w:rPr>
          <w:color w:val="000000"/>
          <w:sz w:val="22"/>
          <w:szCs w:val="22"/>
          <w:shd w:val="clear" w:color="auto" w:fill="D9D9D9"/>
          <w:lang w:val="pt-BR"/>
        </w:rPr>
        <w:t>0 comprimidos</w:t>
      </w:r>
      <w:r w:rsidRPr="008635F3">
        <w:rPr>
          <w:color w:val="000000"/>
          <w:sz w:val="22"/>
          <w:szCs w:val="22"/>
          <w:shd w:val="pct15" w:color="auto" w:fill="auto"/>
          <w:lang w:val="pt-BR"/>
        </w:rPr>
        <w:t xml:space="preserve"> (</w:t>
      </w:r>
      <w:r w:rsidRPr="008D0368">
        <w:rPr>
          <w:color w:val="000000"/>
          <w:sz w:val="22"/>
          <w:szCs w:val="22"/>
          <w:shd w:val="pct15" w:color="auto" w:fill="auto"/>
          <w:lang w:val="pt-BR"/>
        </w:rPr>
        <w:t>Blister de PVDC/alu)</w:t>
      </w:r>
    </w:p>
    <w:p w14:paraId="1C56720E" w14:textId="77777777" w:rsidR="0040333F" w:rsidRPr="002D741C" w:rsidRDefault="0040333F" w:rsidP="0040333F">
      <w:pPr>
        <w:widowControl w:val="0"/>
        <w:rPr>
          <w:color w:val="000000"/>
          <w:sz w:val="22"/>
          <w:szCs w:val="22"/>
          <w:lang w:val="pt-BR"/>
        </w:rPr>
      </w:pPr>
    </w:p>
    <w:p w14:paraId="3B62325E" w14:textId="77777777" w:rsidR="0040333F" w:rsidRPr="002D741C" w:rsidRDefault="0040333F" w:rsidP="0040333F">
      <w:pPr>
        <w:widowControl w:val="0"/>
        <w:rPr>
          <w:color w:val="000000"/>
          <w:sz w:val="22"/>
          <w:szCs w:val="22"/>
          <w:lang w:val="pt-BR"/>
        </w:rPr>
      </w:pPr>
    </w:p>
    <w:p w14:paraId="41330B3A" w14:textId="77777777" w:rsidR="0040333F" w:rsidRPr="002D741C" w:rsidRDefault="0040333F" w:rsidP="0040333F">
      <w:pPr>
        <w:widowControl w:val="0"/>
        <w:pBdr>
          <w:top w:val="single" w:sz="4" w:space="1" w:color="auto"/>
          <w:left w:val="single" w:sz="4" w:space="4" w:color="auto"/>
          <w:bottom w:val="single" w:sz="4" w:space="1" w:color="auto"/>
          <w:right w:val="single" w:sz="4" w:space="4" w:color="auto"/>
        </w:pBdr>
        <w:ind w:left="567" w:hanging="567"/>
        <w:rPr>
          <w:b/>
          <w:color w:val="000000"/>
          <w:sz w:val="22"/>
          <w:szCs w:val="22"/>
          <w:lang w:val="pt-BR"/>
        </w:rPr>
      </w:pPr>
      <w:r w:rsidRPr="002D741C">
        <w:rPr>
          <w:b/>
          <w:color w:val="000000"/>
          <w:sz w:val="22"/>
          <w:szCs w:val="22"/>
          <w:lang w:val="pt-BR"/>
        </w:rPr>
        <w:t>13.</w:t>
      </w:r>
      <w:r w:rsidRPr="002D741C">
        <w:rPr>
          <w:b/>
          <w:color w:val="000000"/>
          <w:sz w:val="22"/>
          <w:szCs w:val="22"/>
          <w:lang w:val="pt-BR"/>
        </w:rPr>
        <w:tab/>
        <w:t>NÚME</w:t>
      </w:r>
      <w:smartTag w:uri="urn:schemas-microsoft-com:office:smarttags" w:element="PersonName">
        <w:r w:rsidRPr="002D741C">
          <w:rPr>
            <w:b/>
            <w:color w:val="000000"/>
            <w:sz w:val="22"/>
            <w:szCs w:val="22"/>
            <w:lang w:val="pt-BR"/>
          </w:rPr>
          <w:t>RO</w:t>
        </w:r>
      </w:smartTag>
      <w:r w:rsidRPr="002D741C">
        <w:rPr>
          <w:b/>
          <w:color w:val="000000"/>
          <w:sz w:val="22"/>
          <w:szCs w:val="22"/>
          <w:lang w:val="pt-BR"/>
        </w:rPr>
        <w:t xml:space="preserve"> </w:t>
      </w:r>
      <w:smartTag w:uri="urn:schemas-microsoft-com:office:smarttags" w:element="PersonName">
        <w:r w:rsidRPr="002D741C">
          <w:rPr>
            <w:b/>
            <w:color w:val="000000"/>
            <w:sz w:val="22"/>
            <w:szCs w:val="22"/>
            <w:lang w:val="pt-BR"/>
          </w:rPr>
          <w:t>DE</w:t>
        </w:r>
      </w:smartTag>
      <w:r w:rsidRPr="002D741C">
        <w:rPr>
          <w:b/>
          <w:color w:val="000000"/>
          <w:sz w:val="22"/>
          <w:szCs w:val="22"/>
          <w:lang w:val="pt-BR"/>
        </w:rPr>
        <w:t xml:space="preserve"> LOTE</w:t>
      </w:r>
    </w:p>
    <w:p w14:paraId="5E428A0F" w14:textId="77777777" w:rsidR="0040333F" w:rsidRPr="002D741C" w:rsidRDefault="0040333F" w:rsidP="0040333F">
      <w:pPr>
        <w:widowControl w:val="0"/>
        <w:rPr>
          <w:color w:val="000000"/>
          <w:sz w:val="22"/>
          <w:szCs w:val="22"/>
          <w:lang w:val="pt-BR"/>
        </w:rPr>
      </w:pPr>
    </w:p>
    <w:p w14:paraId="39B7410F" w14:textId="77777777" w:rsidR="0040333F" w:rsidRPr="002D741C" w:rsidRDefault="0040333F" w:rsidP="0040333F">
      <w:pPr>
        <w:widowControl w:val="0"/>
        <w:rPr>
          <w:color w:val="000000"/>
          <w:sz w:val="22"/>
          <w:szCs w:val="22"/>
          <w:lang w:val="pt-BR"/>
        </w:rPr>
      </w:pPr>
      <w:r w:rsidRPr="002D741C">
        <w:rPr>
          <w:color w:val="000000"/>
          <w:sz w:val="22"/>
          <w:szCs w:val="22"/>
          <w:lang w:val="pt-BR"/>
        </w:rPr>
        <w:t>Lote</w:t>
      </w:r>
    </w:p>
    <w:p w14:paraId="4647AD99" w14:textId="77777777" w:rsidR="0040333F" w:rsidRPr="002D741C" w:rsidRDefault="0040333F" w:rsidP="0040333F">
      <w:pPr>
        <w:widowControl w:val="0"/>
        <w:rPr>
          <w:color w:val="000000"/>
          <w:sz w:val="22"/>
          <w:szCs w:val="22"/>
          <w:lang w:val="pt-BR"/>
        </w:rPr>
      </w:pPr>
    </w:p>
    <w:p w14:paraId="46DB958E" w14:textId="77777777" w:rsidR="0040333F" w:rsidRPr="002D741C" w:rsidRDefault="0040333F" w:rsidP="0040333F">
      <w:pPr>
        <w:widowControl w:val="0"/>
        <w:rPr>
          <w:color w:val="000000"/>
          <w:sz w:val="22"/>
          <w:szCs w:val="22"/>
          <w:lang w:val="pt-BR"/>
        </w:rPr>
      </w:pPr>
    </w:p>
    <w:p w14:paraId="710553A8" w14:textId="77777777" w:rsidR="0040333F" w:rsidRPr="002D741C" w:rsidRDefault="0040333F" w:rsidP="0040333F">
      <w:pPr>
        <w:widowControl w:val="0"/>
        <w:pBdr>
          <w:top w:val="single" w:sz="4" w:space="1" w:color="auto"/>
          <w:left w:val="single" w:sz="4" w:space="4" w:color="auto"/>
          <w:bottom w:val="single" w:sz="4" w:space="1" w:color="auto"/>
          <w:right w:val="single" w:sz="4" w:space="4" w:color="auto"/>
        </w:pBdr>
        <w:ind w:left="567" w:hanging="567"/>
        <w:rPr>
          <w:b/>
          <w:color w:val="000000"/>
          <w:sz w:val="22"/>
          <w:szCs w:val="22"/>
        </w:rPr>
      </w:pPr>
      <w:r w:rsidRPr="002D741C">
        <w:rPr>
          <w:b/>
          <w:color w:val="000000"/>
          <w:sz w:val="22"/>
          <w:szCs w:val="22"/>
        </w:rPr>
        <w:t>14.</w:t>
      </w:r>
      <w:r w:rsidRPr="002D741C">
        <w:rPr>
          <w:b/>
          <w:color w:val="000000"/>
          <w:sz w:val="22"/>
          <w:szCs w:val="22"/>
        </w:rPr>
        <w:tab/>
        <w:t xml:space="preserve">CONDICIONES GENERALES </w:t>
      </w:r>
      <w:smartTag w:uri="urn:schemas-microsoft-com:office:smarttags" w:element="PersonName">
        <w:r w:rsidRPr="002D741C">
          <w:rPr>
            <w:b/>
            <w:color w:val="000000"/>
            <w:sz w:val="22"/>
            <w:szCs w:val="22"/>
          </w:rPr>
          <w:t>DE</w:t>
        </w:r>
      </w:smartTag>
      <w:r w:rsidRPr="002D741C">
        <w:rPr>
          <w:b/>
          <w:color w:val="000000"/>
          <w:sz w:val="22"/>
          <w:szCs w:val="22"/>
        </w:rPr>
        <w:t xml:space="preserve"> D</w:t>
      </w:r>
      <w:smartTag w:uri="urn:schemas-microsoft-com:office:smarttags" w:element="PersonName">
        <w:r w:rsidRPr="002D741C">
          <w:rPr>
            <w:b/>
            <w:color w:val="000000"/>
            <w:sz w:val="22"/>
            <w:szCs w:val="22"/>
          </w:rPr>
          <w:t>IS</w:t>
        </w:r>
      </w:smartTag>
      <w:r w:rsidRPr="002D741C">
        <w:rPr>
          <w:b/>
          <w:color w:val="000000"/>
          <w:sz w:val="22"/>
          <w:szCs w:val="22"/>
        </w:rPr>
        <w:t>PENSACIÓN</w:t>
      </w:r>
    </w:p>
    <w:p w14:paraId="74674386" w14:textId="77777777" w:rsidR="0040333F" w:rsidRPr="002D741C" w:rsidRDefault="0040333F" w:rsidP="0040333F">
      <w:pPr>
        <w:widowControl w:val="0"/>
        <w:rPr>
          <w:color w:val="000000"/>
          <w:sz w:val="22"/>
          <w:szCs w:val="22"/>
        </w:rPr>
      </w:pPr>
    </w:p>
    <w:p w14:paraId="3896504F" w14:textId="77777777" w:rsidR="0040333F" w:rsidRPr="002D741C" w:rsidRDefault="0040333F" w:rsidP="0040333F">
      <w:pPr>
        <w:widowControl w:val="0"/>
        <w:rPr>
          <w:color w:val="000000"/>
          <w:sz w:val="22"/>
          <w:szCs w:val="22"/>
        </w:rPr>
      </w:pPr>
    </w:p>
    <w:p w14:paraId="7993BE70" w14:textId="77777777" w:rsidR="0040333F" w:rsidRPr="002D741C" w:rsidRDefault="0040333F" w:rsidP="0040333F">
      <w:pPr>
        <w:widowControl w:val="0"/>
        <w:pBdr>
          <w:top w:val="single" w:sz="4" w:space="1" w:color="auto"/>
          <w:left w:val="single" w:sz="4" w:space="4" w:color="auto"/>
          <w:bottom w:val="single" w:sz="4" w:space="1" w:color="auto"/>
          <w:right w:val="single" w:sz="4" w:space="4" w:color="auto"/>
        </w:pBdr>
        <w:ind w:left="567" w:hanging="567"/>
        <w:rPr>
          <w:b/>
          <w:color w:val="000000"/>
          <w:sz w:val="22"/>
          <w:szCs w:val="22"/>
        </w:rPr>
      </w:pPr>
      <w:r w:rsidRPr="002D741C">
        <w:rPr>
          <w:b/>
          <w:color w:val="000000"/>
          <w:sz w:val="22"/>
          <w:szCs w:val="22"/>
        </w:rPr>
        <w:t>15.</w:t>
      </w:r>
      <w:r w:rsidRPr="002D741C">
        <w:rPr>
          <w:b/>
          <w:color w:val="000000"/>
          <w:sz w:val="22"/>
          <w:szCs w:val="22"/>
        </w:rPr>
        <w:tab/>
        <w:t xml:space="preserve">INSTRUCCIONES </w:t>
      </w:r>
      <w:smartTag w:uri="urn:schemas-microsoft-com:office:smarttags" w:element="PersonName">
        <w:r w:rsidRPr="002D741C">
          <w:rPr>
            <w:b/>
            <w:color w:val="000000"/>
            <w:sz w:val="22"/>
            <w:szCs w:val="22"/>
          </w:rPr>
          <w:t>DE</w:t>
        </w:r>
      </w:smartTag>
      <w:r w:rsidRPr="002D741C">
        <w:rPr>
          <w:b/>
          <w:color w:val="000000"/>
          <w:sz w:val="22"/>
          <w:szCs w:val="22"/>
        </w:rPr>
        <w:t xml:space="preserve"> USO</w:t>
      </w:r>
    </w:p>
    <w:p w14:paraId="33FDC36D" w14:textId="77777777" w:rsidR="0040333F" w:rsidRPr="002D741C" w:rsidRDefault="0040333F" w:rsidP="0040333F">
      <w:pPr>
        <w:widowControl w:val="0"/>
        <w:rPr>
          <w:color w:val="000000"/>
          <w:sz w:val="22"/>
          <w:szCs w:val="22"/>
        </w:rPr>
      </w:pPr>
    </w:p>
    <w:p w14:paraId="293F0670" w14:textId="77777777" w:rsidR="0040333F" w:rsidRPr="002D741C" w:rsidRDefault="0040333F" w:rsidP="0040333F">
      <w:pPr>
        <w:widowControl w:val="0"/>
        <w:rPr>
          <w:color w:val="000000"/>
          <w:sz w:val="22"/>
          <w:szCs w:val="22"/>
        </w:rPr>
      </w:pPr>
    </w:p>
    <w:p w14:paraId="71E6C85B" w14:textId="77777777" w:rsidR="0040333F" w:rsidRPr="002D741C" w:rsidRDefault="0040333F" w:rsidP="0040333F">
      <w:pPr>
        <w:pBdr>
          <w:top w:val="single" w:sz="4" w:space="1" w:color="auto"/>
          <w:left w:val="single" w:sz="4" w:space="4" w:color="auto"/>
          <w:bottom w:val="single" w:sz="4" w:space="1" w:color="auto"/>
          <w:right w:val="single" w:sz="4" w:space="4" w:color="auto"/>
        </w:pBdr>
        <w:tabs>
          <w:tab w:val="left" w:pos="567"/>
        </w:tabs>
        <w:spacing w:line="260" w:lineRule="exact"/>
        <w:rPr>
          <w:b/>
          <w:color w:val="000000"/>
          <w:sz w:val="22"/>
          <w:szCs w:val="22"/>
          <w:u w:val="single"/>
        </w:rPr>
      </w:pPr>
      <w:r w:rsidRPr="002D741C">
        <w:rPr>
          <w:b/>
          <w:color w:val="000000"/>
          <w:sz w:val="22"/>
          <w:szCs w:val="22"/>
        </w:rPr>
        <w:t>16.</w:t>
      </w:r>
      <w:r w:rsidRPr="002D741C">
        <w:rPr>
          <w:b/>
          <w:color w:val="000000"/>
          <w:sz w:val="22"/>
          <w:szCs w:val="22"/>
        </w:rPr>
        <w:tab/>
        <w:t>INFORMACIÓN EN BRAILLE</w:t>
      </w:r>
    </w:p>
    <w:p w14:paraId="3DA14AD0" w14:textId="77777777" w:rsidR="0040333F" w:rsidRPr="002D741C" w:rsidRDefault="0040333F" w:rsidP="0040333F">
      <w:pPr>
        <w:rPr>
          <w:color w:val="000000"/>
          <w:sz w:val="22"/>
          <w:szCs w:val="22"/>
        </w:rPr>
      </w:pPr>
    </w:p>
    <w:p w14:paraId="6FBFDBDC" w14:textId="77777777" w:rsidR="0040333F" w:rsidRPr="002D741C" w:rsidRDefault="0040333F" w:rsidP="0040333F">
      <w:pPr>
        <w:rPr>
          <w:color w:val="000000"/>
          <w:sz w:val="22"/>
          <w:szCs w:val="22"/>
        </w:rPr>
      </w:pPr>
      <w:r w:rsidRPr="002D741C">
        <w:rPr>
          <w:color w:val="000000"/>
          <w:sz w:val="22"/>
          <w:szCs w:val="22"/>
        </w:rPr>
        <w:t>Glivec 100 mg</w:t>
      </w:r>
    </w:p>
    <w:p w14:paraId="2E628002" w14:textId="77777777" w:rsidR="0040333F" w:rsidRPr="002D741C" w:rsidRDefault="0040333F" w:rsidP="0040333F">
      <w:pPr>
        <w:widowControl w:val="0"/>
        <w:rPr>
          <w:color w:val="000000"/>
          <w:sz w:val="22"/>
          <w:szCs w:val="22"/>
        </w:rPr>
      </w:pPr>
    </w:p>
    <w:p w14:paraId="13D59496" w14:textId="77777777" w:rsidR="00D84B84" w:rsidRPr="002D741C" w:rsidRDefault="00D84B84" w:rsidP="00D84B84">
      <w:pPr>
        <w:rPr>
          <w:color w:val="000000"/>
          <w:sz w:val="22"/>
          <w:szCs w:val="22"/>
        </w:rPr>
      </w:pPr>
    </w:p>
    <w:p w14:paraId="03B1F964" w14:textId="77777777" w:rsidR="00D84B84" w:rsidRPr="002D741C" w:rsidRDefault="00D84B84" w:rsidP="006662BC">
      <w:pPr>
        <w:widowControl w:val="0"/>
        <w:pBdr>
          <w:top w:val="single" w:sz="4" w:space="1" w:color="auto"/>
          <w:left w:val="single" w:sz="4" w:space="4" w:color="auto"/>
          <w:bottom w:val="single" w:sz="4" w:space="1" w:color="auto"/>
          <w:right w:val="single" w:sz="4" w:space="4" w:color="auto"/>
        </w:pBdr>
        <w:ind w:left="567" w:hanging="570"/>
        <w:outlineLvl w:val="0"/>
        <w:rPr>
          <w:i/>
          <w:noProof/>
          <w:sz w:val="22"/>
          <w:szCs w:val="22"/>
        </w:rPr>
      </w:pPr>
      <w:r w:rsidRPr="002D741C">
        <w:rPr>
          <w:b/>
          <w:noProof/>
          <w:sz w:val="22"/>
          <w:szCs w:val="22"/>
        </w:rPr>
        <w:t>17.</w:t>
      </w:r>
      <w:r w:rsidRPr="002D741C">
        <w:rPr>
          <w:b/>
          <w:noProof/>
          <w:sz w:val="22"/>
          <w:szCs w:val="22"/>
        </w:rPr>
        <w:tab/>
        <w:t>IDENTIFICADOR ÚNICO – CÓDIGO DE BARRAS 2D</w:t>
      </w:r>
    </w:p>
    <w:p w14:paraId="5DB91BF6" w14:textId="77777777" w:rsidR="00D84B84" w:rsidRPr="002D741C" w:rsidRDefault="00D84B84" w:rsidP="00D84B84">
      <w:pPr>
        <w:widowControl w:val="0"/>
        <w:rPr>
          <w:noProof/>
          <w:sz w:val="22"/>
          <w:szCs w:val="22"/>
        </w:rPr>
      </w:pPr>
    </w:p>
    <w:p w14:paraId="217293C5" w14:textId="77777777" w:rsidR="00D84B84" w:rsidRPr="009C136D" w:rsidRDefault="00D84B84" w:rsidP="00D84B84">
      <w:pPr>
        <w:widowControl w:val="0"/>
        <w:rPr>
          <w:noProof/>
          <w:sz w:val="22"/>
          <w:szCs w:val="22"/>
        </w:rPr>
      </w:pPr>
      <w:r w:rsidRPr="002D741C">
        <w:rPr>
          <w:noProof/>
          <w:sz w:val="22"/>
          <w:szCs w:val="22"/>
          <w:shd w:val="pct15" w:color="auto" w:fill="auto"/>
        </w:rPr>
        <w:t>Incluido el código de barras 2D que lleva el identificador único.</w:t>
      </w:r>
    </w:p>
    <w:p w14:paraId="439BB985" w14:textId="77777777" w:rsidR="00D84B84" w:rsidRPr="002D741C" w:rsidRDefault="00D84B84" w:rsidP="00D84B84">
      <w:pPr>
        <w:widowControl w:val="0"/>
        <w:rPr>
          <w:noProof/>
          <w:sz w:val="22"/>
          <w:szCs w:val="22"/>
        </w:rPr>
      </w:pPr>
    </w:p>
    <w:p w14:paraId="4828EBB2" w14:textId="77777777" w:rsidR="00D84B84" w:rsidRPr="002D741C" w:rsidRDefault="00D84B84" w:rsidP="00D84B84">
      <w:pPr>
        <w:widowControl w:val="0"/>
        <w:rPr>
          <w:noProof/>
          <w:sz w:val="22"/>
          <w:szCs w:val="22"/>
        </w:rPr>
      </w:pPr>
    </w:p>
    <w:p w14:paraId="64E6F756" w14:textId="77777777" w:rsidR="00D84B84" w:rsidRPr="002D741C" w:rsidRDefault="00D84B84" w:rsidP="006662BC">
      <w:pPr>
        <w:widowControl w:val="0"/>
        <w:pBdr>
          <w:top w:val="single" w:sz="4" w:space="1" w:color="auto"/>
          <w:left w:val="single" w:sz="4" w:space="4" w:color="auto"/>
          <w:bottom w:val="single" w:sz="4" w:space="1" w:color="auto"/>
          <w:right w:val="single" w:sz="4" w:space="4" w:color="auto"/>
        </w:pBdr>
        <w:ind w:left="567" w:hanging="570"/>
        <w:outlineLvl w:val="0"/>
        <w:rPr>
          <w:i/>
          <w:noProof/>
          <w:sz w:val="22"/>
          <w:szCs w:val="22"/>
        </w:rPr>
      </w:pPr>
      <w:r w:rsidRPr="002D741C">
        <w:rPr>
          <w:b/>
          <w:noProof/>
          <w:sz w:val="22"/>
          <w:szCs w:val="22"/>
        </w:rPr>
        <w:t>18.</w:t>
      </w:r>
      <w:r w:rsidRPr="002D741C">
        <w:rPr>
          <w:b/>
          <w:noProof/>
          <w:sz w:val="22"/>
          <w:szCs w:val="22"/>
        </w:rPr>
        <w:tab/>
        <w:t>IDENTIFICADOR ÚNICO – INFORMACIÓN EN CARACTERES VISUALES</w:t>
      </w:r>
    </w:p>
    <w:p w14:paraId="0BAB78C2" w14:textId="77777777" w:rsidR="00D84B84" w:rsidRPr="002D741C" w:rsidRDefault="00D84B84" w:rsidP="00D84B84">
      <w:pPr>
        <w:widowControl w:val="0"/>
        <w:rPr>
          <w:noProof/>
          <w:sz w:val="22"/>
          <w:szCs w:val="22"/>
        </w:rPr>
      </w:pPr>
    </w:p>
    <w:p w14:paraId="4C446E23" w14:textId="77777777" w:rsidR="00D84B84" w:rsidRPr="002D741C" w:rsidRDefault="006662BC" w:rsidP="00D84B84">
      <w:pPr>
        <w:widowControl w:val="0"/>
        <w:rPr>
          <w:sz w:val="22"/>
          <w:szCs w:val="22"/>
        </w:rPr>
      </w:pPr>
      <w:r>
        <w:rPr>
          <w:sz w:val="22"/>
          <w:szCs w:val="22"/>
        </w:rPr>
        <w:t>PC:</w:t>
      </w:r>
    </w:p>
    <w:p w14:paraId="78420F60" w14:textId="77777777" w:rsidR="00D84B84" w:rsidRPr="002D741C" w:rsidRDefault="006662BC" w:rsidP="00D84B84">
      <w:pPr>
        <w:widowControl w:val="0"/>
        <w:rPr>
          <w:sz w:val="22"/>
          <w:szCs w:val="22"/>
        </w:rPr>
      </w:pPr>
      <w:r>
        <w:rPr>
          <w:sz w:val="22"/>
          <w:szCs w:val="22"/>
        </w:rPr>
        <w:t>SN:</w:t>
      </w:r>
    </w:p>
    <w:p w14:paraId="1954CDD6" w14:textId="77777777" w:rsidR="00D84B84" w:rsidRPr="002D741C" w:rsidRDefault="00D84B84" w:rsidP="00D84B84">
      <w:pPr>
        <w:widowControl w:val="0"/>
        <w:rPr>
          <w:sz w:val="22"/>
          <w:szCs w:val="22"/>
          <w:shd w:val="pct15" w:color="auto" w:fill="auto"/>
        </w:rPr>
      </w:pPr>
      <w:r w:rsidRPr="002D741C">
        <w:rPr>
          <w:sz w:val="22"/>
          <w:szCs w:val="22"/>
        </w:rPr>
        <w:t>NN:</w:t>
      </w:r>
    </w:p>
    <w:p w14:paraId="65695D3C" w14:textId="77777777" w:rsidR="00D84B84" w:rsidRPr="002D741C" w:rsidRDefault="00D84B84" w:rsidP="0040333F">
      <w:pPr>
        <w:widowControl w:val="0"/>
        <w:rPr>
          <w:color w:val="000000"/>
          <w:sz w:val="22"/>
          <w:szCs w:val="22"/>
        </w:rPr>
      </w:pPr>
    </w:p>
    <w:p w14:paraId="162AC67A" w14:textId="77777777" w:rsidR="0040333F" w:rsidRPr="002D741C" w:rsidRDefault="0040333F" w:rsidP="0040333F">
      <w:pPr>
        <w:widowControl w:val="0"/>
        <w:rPr>
          <w:color w:val="000000"/>
          <w:sz w:val="22"/>
          <w:szCs w:val="22"/>
        </w:rPr>
      </w:pPr>
      <w:r w:rsidRPr="002D741C">
        <w:rPr>
          <w:b/>
          <w:color w:val="000000"/>
          <w:sz w:val="22"/>
          <w:szCs w:val="22"/>
          <w:u w:val="single"/>
        </w:rPr>
        <w:br w:type="page"/>
      </w:r>
    </w:p>
    <w:p w14:paraId="020CFD95" w14:textId="77777777" w:rsidR="006662BC" w:rsidRPr="006662BC" w:rsidRDefault="006662BC" w:rsidP="006662BC">
      <w:pPr>
        <w:widowControl w:val="0"/>
        <w:rPr>
          <w:color w:val="000000"/>
          <w:sz w:val="22"/>
          <w:szCs w:val="22"/>
        </w:rPr>
      </w:pPr>
    </w:p>
    <w:p w14:paraId="4768E6A4" w14:textId="77777777" w:rsidR="0040333F" w:rsidRPr="002D741C" w:rsidRDefault="0040333F" w:rsidP="0040333F">
      <w:pPr>
        <w:widowControl w:val="0"/>
        <w:pBdr>
          <w:top w:val="single" w:sz="4" w:space="1" w:color="auto"/>
          <w:left w:val="single" w:sz="4" w:space="4" w:color="auto"/>
          <w:bottom w:val="single" w:sz="4" w:space="1" w:color="auto"/>
          <w:right w:val="single" w:sz="4" w:space="4" w:color="auto"/>
        </w:pBdr>
        <w:rPr>
          <w:b/>
          <w:color w:val="000000"/>
          <w:sz w:val="22"/>
          <w:szCs w:val="22"/>
        </w:rPr>
      </w:pPr>
      <w:r w:rsidRPr="002D741C">
        <w:rPr>
          <w:b/>
          <w:color w:val="000000"/>
          <w:sz w:val="22"/>
          <w:szCs w:val="22"/>
        </w:rPr>
        <w:t>INFORMACIÓN MÍNIMA A INCLUIR EN BLÍSTERS O TIRAS</w:t>
      </w:r>
    </w:p>
    <w:p w14:paraId="1E64ED2F" w14:textId="77777777" w:rsidR="0040333F" w:rsidRPr="002D741C" w:rsidRDefault="0040333F" w:rsidP="0040333F">
      <w:pPr>
        <w:widowControl w:val="0"/>
        <w:pBdr>
          <w:top w:val="single" w:sz="4" w:space="1" w:color="auto"/>
          <w:left w:val="single" w:sz="4" w:space="4" w:color="auto"/>
          <w:bottom w:val="single" w:sz="4" w:space="1" w:color="auto"/>
          <w:right w:val="single" w:sz="4" w:space="4" w:color="auto"/>
        </w:pBdr>
        <w:rPr>
          <w:color w:val="000000"/>
          <w:sz w:val="22"/>
          <w:szCs w:val="22"/>
        </w:rPr>
      </w:pPr>
    </w:p>
    <w:p w14:paraId="20EBF91F" w14:textId="77777777" w:rsidR="0040333F" w:rsidRPr="002D741C" w:rsidRDefault="0040333F" w:rsidP="0040333F">
      <w:pPr>
        <w:widowControl w:val="0"/>
        <w:pBdr>
          <w:top w:val="single" w:sz="4" w:space="1" w:color="auto"/>
          <w:left w:val="single" w:sz="4" w:space="4" w:color="auto"/>
          <w:bottom w:val="single" w:sz="4" w:space="1" w:color="auto"/>
          <w:right w:val="single" w:sz="4" w:space="4" w:color="auto"/>
        </w:pBdr>
        <w:rPr>
          <w:b/>
          <w:color w:val="000000"/>
          <w:sz w:val="22"/>
          <w:szCs w:val="22"/>
        </w:rPr>
      </w:pPr>
      <w:r w:rsidRPr="002D741C">
        <w:rPr>
          <w:b/>
          <w:color w:val="000000"/>
          <w:sz w:val="22"/>
          <w:szCs w:val="22"/>
        </w:rPr>
        <w:t>BL</w:t>
      </w:r>
      <w:smartTag w:uri="urn:schemas-microsoft-com:office:smarttags" w:element="PersonName">
        <w:r w:rsidRPr="002D741C">
          <w:rPr>
            <w:b/>
            <w:color w:val="000000"/>
            <w:sz w:val="22"/>
            <w:szCs w:val="22"/>
          </w:rPr>
          <w:t>IS</w:t>
        </w:r>
      </w:smartTag>
      <w:r w:rsidRPr="002D741C">
        <w:rPr>
          <w:b/>
          <w:color w:val="000000"/>
          <w:sz w:val="22"/>
          <w:szCs w:val="22"/>
        </w:rPr>
        <w:t>TERS</w:t>
      </w:r>
    </w:p>
    <w:p w14:paraId="17C0D3F6" w14:textId="77777777" w:rsidR="0040333F" w:rsidRPr="002D741C" w:rsidRDefault="0040333F" w:rsidP="0040333F">
      <w:pPr>
        <w:widowControl w:val="0"/>
        <w:rPr>
          <w:color w:val="000000"/>
          <w:sz w:val="22"/>
          <w:szCs w:val="22"/>
        </w:rPr>
      </w:pPr>
    </w:p>
    <w:p w14:paraId="5B903299" w14:textId="77777777" w:rsidR="0040333F" w:rsidRPr="002D741C" w:rsidRDefault="0040333F" w:rsidP="0040333F">
      <w:pPr>
        <w:widowControl w:val="0"/>
        <w:rPr>
          <w:color w:val="000000"/>
          <w:sz w:val="22"/>
          <w:szCs w:val="22"/>
        </w:rPr>
      </w:pPr>
    </w:p>
    <w:p w14:paraId="45F1F432" w14:textId="77777777" w:rsidR="0040333F" w:rsidRPr="002D741C" w:rsidRDefault="0040333F" w:rsidP="0040333F">
      <w:pPr>
        <w:widowControl w:val="0"/>
        <w:pBdr>
          <w:top w:val="single" w:sz="4" w:space="1" w:color="auto"/>
          <w:left w:val="single" w:sz="4" w:space="4" w:color="auto"/>
          <w:bottom w:val="single" w:sz="4" w:space="1" w:color="auto"/>
          <w:right w:val="single" w:sz="4" w:space="4" w:color="auto"/>
        </w:pBdr>
        <w:ind w:left="567" w:hanging="567"/>
        <w:rPr>
          <w:b/>
          <w:color w:val="000000"/>
          <w:sz w:val="22"/>
          <w:szCs w:val="22"/>
        </w:rPr>
      </w:pPr>
      <w:r w:rsidRPr="002D741C">
        <w:rPr>
          <w:b/>
          <w:color w:val="000000"/>
          <w:sz w:val="22"/>
          <w:szCs w:val="22"/>
        </w:rPr>
        <w:t>1.</w:t>
      </w:r>
      <w:r w:rsidRPr="002D741C">
        <w:rPr>
          <w:b/>
          <w:color w:val="000000"/>
          <w:sz w:val="22"/>
          <w:szCs w:val="22"/>
        </w:rPr>
        <w:tab/>
      </w:r>
      <w:smartTag w:uri="urn:schemas-microsoft-com:office:smarttags" w:element="PersonName">
        <w:r w:rsidRPr="002D741C">
          <w:rPr>
            <w:b/>
            <w:color w:val="000000"/>
            <w:sz w:val="22"/>
            <w:szCs w:val="22"/>
          </w:rPr>
          <w:t>NO</w:t>
        </w:r>
      </w:smartTag>
      <w:r w:rsidRPr="002D741C">
        <w:rPr>
          <w:b/>
          <w:color w:val="000000"/>
          <w:sz w:val="22"/>
          <w:szCs w:val="22"/>
        </w:rPr>
        <w:t xml:space="preserve">MBRE </w:t>
      </w:r>
      <w:smartTag w:uri="urn:schemas-microsoft-com:office:smarttags" w:element="stockticker">
        <w:smartTag w:uri="urn:schemas-microsoft-com:office:smarttags" w:element="PersonName">
          <w:r w:rsidRPr="002D741C">
            <w:rPr>
              <w:b/>
              <w:color w:val="000000"/>
              <w:sz w:val="22"/>
              <w:szCs w:val="22"/>
            </w:rPr>
            <w:t>D</w:t>
          </w:r>
          <w:smartTag w:uri="urn:schemas-microsoft-com:office:smarttags" w:element="PersonName">
            <w:r w:rsidRPr="002D741C">
              <w:rPr>
                <w:b/>
                <w:color w:val="000000"/>
                <w:sz w:val="22"/>
                <w:szCs w:val="22"/>
              </w:rPr>
              <w:t>E</w:t>
            </w:r>
          </w:smartTag>
        </w:smartTag>
        <w:r w:rsidRPr="002D741C">
          <w:rPr>
            <w:b/>
            <w:color w:val="000000"/>
            <w:sz w:val="22"/>
            <w:szCs w:val="22"/>
          </w:rPr>
          <w:t>L</w:t>
        </w:r>
      </w:smartTag>
      <w:r w:rsidRPr="002D741C">
        <w:rPr>
          <w:b/>
          <w:color w:val="000000"/>
          <w:sz w:val="22"/>
          <w:szCs w:val="22"/>
        </w:rPr>
        <w:t xml:space="preserve"> MEDICAMENTO</w:t>
      </w:r>
    </w:p>
    <w:p w14:paraId="6E31E91E" w14:textId="77777777" w:rsidR="0040333F" w:rsidRPr="002D741C" w:rsidRDefault="0040333F" w:rsidP="0040333F">
      <w:pPr>
        <w:widowControl w:val="0"/>
        <w:ind w:left="567" w:hanging="567"/>
        <w:rPr>
          <w:color w:val="000000"/>
          <w:sz w:val="22"/>
          <w:szCs w:val="22"/>
        </w:rPr>
      </w:pPr>
    </w:p>
    <w:p w14:paraId="0BC924A1" w14:textId="77777777" w:rsidR="0040333F" w:rsidRPr="002D741C" w:rsidRDefault="0040333F" w:rsidP="0040333F">
      <w:pPr>
        <w:widowControl w:val="0"/>
        <w:rPr>
          <w:color w:val="000000"/>
          <w:sz w:val="22"/>
          <w:szCs w:val="22"/>
        </w:rPr>
      </w:pPr>
      <w:r w:rsidRPr="002D741C">
        <w:rPr>
          <w:color w:val="000000"/>
          <w:sz w:val="22"/>
          <w:szCs w:val="22"/>
        </w:rPr>
        <w:t>Glivec 100 mg comprimidos</w:t>
      </w:r>
    </w:p>
    <w:p w14:paraId="3E8EEA5D" w14:textId="77777777" w:rsidR="0040333F" w:rsidRPr="002D741C" w:rsidRDefault="00A56B0C" w:rsidP="0040333F">
      <w:pPr>
        <w:widowControl w:val="0"/>
        <w:rPr>
          <w:color w:val="000000"/>
          <w:sz w:val="22"/>
          <w:szCs w:val="22"/>
        </w:rPr>
      </w:pPr>
      <w:r w:rsidRPr="002D741C">
        <w:rPr>
          <w:color w:val="000000"/>
          <w:sz w:val="22"/>
          <w:szCs w:val="22"/>
        </w:rPr>
        <w:t>i</w:t>
      </w:r>
      <w:r w:rsidR="0040333F" w:rsidRPr="002D741C">
        <w:rPr>
          <w:color w:val="000000"/>
          <w:sz w:val="22"/>
          <w:szCs w:val="22"/>
        </w:rPr>
        <w:t>matinib</w:t>
      </w:r>
    </w:p>
    <w:p w14:paraId="0BC1BC44" w14:textId="77777777" w:rsidR="0040333F" w:rsidRPr="002D741C" w:rsidRDefault="0040333F" w:rsidP="0040333F">
      <w:pPr>
        <w:widowControl w:val="0"/>
        <w:rPr>
          <w:color w:val="000000"/>
          <w:sz w:val="22"/>
          <w:szCs w:val="22"/>
        </w:rPr>
      </w:pPr>
    </w:p>
    <w:p w14:paraId="22604550" w14:textId="77777777" w:rsidR="0040333F" w:rsidRPr="002D741C" w:rsidRDefault="0040333F" w:rsidP="0040333F">
      <w:pPr>
        <w:widowControl w:val="0"/>
        <w:rPr>
          <w:color w:val="000000"/>
          <w:sz w:val="22"/>
          <w:szCs w:val="22"/>
        </w:rPr>
      </w:pPr>
    </w:p>
    <w:p w14:paraId="624FC1E9" w14:textId="77777777" w:rsidR="0040333F" w:rsidRPr="002D741C" w:rsidRDefault="0040333F" w:rsidP="0040333F">
      <w:pPr>
        <w:widowControl w:val="0"/>
        <w:pBdr>
          <w:top w:val="single" w:sz="4" w:space="1" w:color="auto"/>
          <w:left w:val="single" w:sz="4" w:space="4" w:color="auto"/>
          <w:bottom w:val="single" w:sz="4" w:space="1" w:color="auto"/>
          <w:right w:val="single" w:sz="4" w:space="4" w:color="auto"/>
        </w:pBdr>
        <w:ind w:left="567" w:hanging="567"/>
        <w:rPr>
          <w:b/>
          <w:color w:val="000000"/>
          <w:sz w:val="22"/>
          <w:szCs w:val="22"/>
        </w:rPr>
      </w:pPr>
      <w:r w:rsidRPr="002D741C">
        <w:rPr>
          <w:b/>
          <w:color w:val="000000"/>
          <w:sz w:val="22"/>
          <w:szCs w:val="22"/>
        </w:rPr>
        <w:t>2.</w:t>
      </w:r>
      <w:r w:rsidRPr="002D741C">
        <w:rPr>
          <w:b/>
          <w:color w:val="000000"/>
          <w:sz w:val="22"/>
          <w:szCs w:val="22"/>
        </w:rPr>
        <w:tab/>
      </w:r>
      <w:smartTag w:uri="urn:schemas-microsoft-com:office:smarttags" w:element="PersonName">
        <w:r w:rsidRPr="002D741C">
          <w:rPr>
            <w:b/>
            <w:color w:val="000000"/>
            <w:sz w:val="22"/>
            <w:szCs w:val="22"/>
          </w:rPr>
          <w:t>NO</w:t>
        </w:r>
      </w:smartTag>
      <w:r w:rsidRPr="002D741C">
        <w:rPr>
          <w:b/>
          <w:color w:val="000000"/>
          <w:sz w:val="22"/>
          <w:szCs w:val="22"/>
        </w:rPr>
        <w:t xml:space="preserve">MBRE </w:t>
      </w:r>
      <w:smartTag w:uri="urn:schemas-microsoft-com:office:smarttags" w:element="stockticker">
        <w:smartTag w:uri="urn:schemas-microsoft-com:office:smarttags" w:element="PersonName">
          <w:r w:rsidRPr="002D741C">
            <w:rPr>
              <w:b/>
              <w:color w:val="000000"/>
              <w:sz w:val="22"/>
              <w:szCs w:val="22"/>
            </w:rPr>
            <w:t>D</w:t>
          </w:r>
          <w:smartTag w:uri="urn:schemas-microsoft-com:office:smarttags" w:element="PersonName">
            <w:r w:rsidRPr="002D741C">
              <w:rPr>
                <w:b/>
                <w:color w:val="000000"/>
                <w:sz w:val="22"/>
                <w:szCs w:val="22"/>
              </w:rPr>
              <w:t>E</w:t>
            </w:r>
          </w:smartTag>
        </w:smartTag>
        <w:r w:rsidRPr="002D741C">
          <w:rPr>
            <w:b/>
            <w:color w:val="000000"/>
            <w:sz w:val="22"/>
            <w:szCs w:val="22"/>
          </w:rPr>
          <w:t>L</w:t>
        </w:r>
      </w:smartTag>
      <w:r w:rsidRPr="002D741C">
        <w:rPr>
          <w:b/>
          <w:color w:val="000000"/>
          <w:sz w:val="22"/>
          <w:szCs w:val="22"/>
        </w:rPr>
        <w:t xml:space="preserve"> T</w:t>
      </w:r>
      <w:smartTag w:uri="urn:schemas-microsoft-com:office:smarttags" w:element="PersonName">
        <w:r w:rsidRPr="002D741C">
          <w:rPr>
            <w:b/>
            <w:color w:val="000000"/>
            <w:sz w:val="22"/>
            <w:szCs w:val="22"/>
          </w:rPr>
          <w:t>IT</w:t>
        </w:r>
      </w:smartTag>
      <w:r w:rsidRPr="002D741C">
        <w:rPr>
          <w:b/>
          <w:color w:val="000000"/>
          <w:sz w:val="22"/>
          <w:szCs w:val="22"/>
        </w:rPr>
        <w:t xml:space="preserve">ULAR </w:t>
      </w:r>
      <w:smartTag w:uri="urn:schemas-microsoft-com:office:smarttags" w:element="PersonName">
        <w:r w:rsidRPr="002D741C">
          <w:rPr>
            <w:b/>
            <w:color w:val="000000"/>
            <w:sz w:val="22"/>
            <w:szCs w:val="22"/>
          </w:rPr>
          <w:t>DE</w:t>
        </w:r>
      </w:smartTag>
      <w:r w:rsidRPr="002D741C">
        <w:rPr>
          <w:b/>
          <w:color w:val="000000"/>
          <w:sz w:val="22"/>
          <w:szCs w:val="22"/>
        </w:rPr>
        <w:t xml:space="preserve"> </w:t>
      </w:r>
      <w:smartTag w:uri="urn:schemas-microsoft-com:office:smarttags" w:element="PersonName">
        <w:smartTagPr>
          <w:attr w:name="ProductID" w:val="LA AUTORIZACIￓN DE"/>
        </w:smartTagPr>
        <w:r w:rsidRPr="002D741C">
          <w:rPr>
            <w:b/>
            <w:color w:val="000000"/>
            <w:sz w:val="22"/>
            <w:szCs w:val="22"/>
          </w:rPr>
          <w:t xml:space="preserve">LA AUTORIZACIÓN </w:t>
        </w:r>
        <w:smartTag w:uri="urn:schemas-microsoft-com:office:smarttags" w:element="PersonName">
          <w:r w:rsidRPr="002D741C">
            <w:rPr>
              <w:b/>
              <w:color w:val="000000"/>
              <w:sz w:val="22"/>
              <w:szCs w:val="22"/>
            </w:rPr>
            <w:t>DE</w:t>
          </w:r>
        </w:smartTag>
      </w:smartTag>
      <w:r w:rsidRPr="002D741C">
        <w:rPr>
          <w:b/>
          <w:color w:val="000000"/>
          <w:sz w:val="22"/>
          <w:szCs w:val="22"/>
        </w:rPr>
        <w:t xml:space="preserve"> COMERCIALIZACIÓN</w:t>
      </w:r>
    </w:p>
    <w:p w14:paraId="28CEFC29" w14:textId="77777777" w:rsidR="0040333F" w:rsidRPr="002D741C" w:rsidRDefault="0040333F" w:rsidP="0040333F">
      <w:pPr>
        <w:widowControl w:val="0"/>
        <w:rPr>
          <w:color w:val="000000"/>
          <w:sz w:val="22"/>
          <w:szCs w:val="22"/>
        </w:rPr>
      </w:pPr>
    </w:p>
    <w:p w14:paraId="27AC75AE" w14:textId="77777777" w:rsidR="0040333F" w:rsidRPr="002D741C" w:rsidRDefault="0040333F" w:rsidP="0040333F">
      <w:pPr>
        <w:widowControl w:val="0"/>
        <w:rPr>
          <w:color w:val="000000"/>
          <w:sz w:val="22"/>
          <w:szCs w:val="22"/>
        </w:rPr>
      </w:pPr>
      <w:r w:rsidRPr="002D741C">
        <w:rPr>
          <w:color w:val="000000"/>
          <w:sz w:val="22"/>
          <w:szCs w:val="22"/>
        </w:rPr>
        <w:t>Novartis Europharm Limited</w:t>
      </w:r>
    </w:p>
    <w:p w14:paraId="1E2B6450" w14:textId="77777777" w:rsidR="0040333F" w:rsidRPr="002D741C" w:rsidRDefault="0040333F" w:rsidP="0040333F">
      <w:pPr>
        <w:widowControl w:val="0"/>
        <w:rPr>
          <w:color w:val="000000"/>
          <w:sz w:val="22"/>
          <w:szCs w:val="22"/>
        </w:rPr>
      </w:pPr>
    </w:p>
    <w:p w14:paraId="01B40B36" w14:textId="77777777" w:rsidR="0040333F" w:rsidRPr="002D741C" w:rsidRDefault="0040333F" w:rsidP="0040333F">
      <w:pPr>
        <w:widowControl w:val="0"/>
        <w:rPr>
          <w:color w:val="000000"/>
          <w:sz w:val="22"/>
          <w:szCs w:val="22"/>
        </w:rPr>
      </w:pPr>
    </w:p>
    <w:p w14:paraId="731EC84B" w14:textId="77777777" w:rsidR="0040333F" w:rsidRPr="002D741C" w:rsidRDefault="0040333F" w:rsidP="0040333F">
      <w:pPr>
        <w:widowControl w:val="0"/>
        <w:pBdr>
          <w:top w:val="single" w:sz="4" w:space="1" w:color="auto"/>
          <w:left w:val="single" w:sz="4" w:space="4" w:color="auto"/>
          <w:bottom w:val="single" w:sz="4" w:space="1" w:color="auto"/>
          <w:right w:val="single" w:sz="4" w:space="4" w:color="auto"/>
        </w:pBdr>
        <w:ind w:left="567" w:hanging="567"/>
        <w:rPr>
          <w:b/>
          <w:color w:val="000000"/>
          <w:sz w:val="22"/>
          <w:szCs w:val="22"/>
        </w:rPr>
      </w:pPr>
      <w:r w:rsidRPr="002D741C">
        <w:rPr>
          <w:b/>
          <w:color w:val="000000"/>
          <w:sz w:val="22"/>
          <w:szCs w:val="22"/>
        </w:rPr>
        <w:t>3.</w:t>
      </w:r>
      <w:r w:rsidRPr="002D741C">
        <w:rPr>
          <w:b/>
          <w:color w:val="000000"/>
          <w:sz w:val="22"/>
          <w:szCs w:val="22"/>
        </w:rPr>
        <w:tab/>
        <w:t xml:space="preserve">FECHA </w:t>
      </w:r>
      <w:smartTag w:uri="urn:schemas-microsoft-com:office:smarttags" w:element="PersonName">
        <w:r w:rsidRPr="002D741C">
          <w:rPr>
            <w:b/>
            <w:color w:val="000000"/>
            <w:sz w:val="22"/>
            <w:szCs w:val="22"/>
          </w:rPr>
          <w:t>DE</w:t>
        </w:r>
      </w:smartTag>
      <w:r w:rsidRPr="002D741C">
        <w:rPr>
          <w:b/>
          <w:color w:val="000000"/>
          <w:sz w:val="22"/>
          <w:szCs w:val="22"/>
        </w:rPr>
        <w:t xml:space="preserve"> CADUCIDAD</w:t>
      </w:r>
    </w:p>
    <w:p w14:paraId="7EF6CF7E" w14:textId="77777777" w:rsidR="0040333F" w:rsidRPr="002D741C" w:rsidRDefault="0040333F" w:rsidP="0040333F">
      <w:pPr>
        <w:widowControl w:val="0"/>
        <w:rPr>
          <w:color w:val="000000"/>
          <w:sz w:val="22"/>
          <w:szCs w:val="22"/>
        </w:rPr>
      </w:pPr>
    </w:p>
    <w:p w14:paraId="5D831B6B" w14:textId="77777777" w:rsidR="0040333F" w:rsidRPr="002D741C" w:rsidRDefault="0040333F" w:rsidP="0040333F">
      <w:pPr>
        <w:pStyle w:val="EndnoteText"/>
        <w:widowControl w:val="0"/>
        <w:tabs>
          <w:tab w:val="clear" w:pos="567"/>
        </w:tabs>
        <w:rPr>
          <w:color w:val="000000"/>
          <w:szCs w:val="22"/>
          <w:lang w:val="es-ES"/>
        </w:rPr>
      </w:pPr>
      <w:r w:rsidRPr="002D741C">
        <w:rPr>
          <w:color w:val="000000"/>
          <w:szCs w:val="22"/>
          <w:lang w:val="es-ES"/>
        </w:rPr>
        <w:t>EXP</w:t>
      </w:r>
    </w:p>
    <w:p w14:paraId="09BFC173" w14:textId="77777777" w:rsidR="0040333F" w:rsidRPr="002D741C" w:rsidRDefault="0040333F" w:rsidP="0040333F">
      <w:pPr>
        <w:widowControl w:val="0"/>
        <w:rPr>
          <w:color w:val="000000"/>
          <w:sz w:val="22"/>
          <w:szCs w:val="22"/>
          <w:lang w:val="nl-NL"/>
        </w:rPr>
      </w:pPr>
    </w:p>
    <w:p w14:paraId="1C6D09A2" w14:textId="77777777" w:rsidR="0040333F" w:rsidRPr="002D741C" w:rsidRDefault="0040333F" w:rsidP="0040333F">
      <w:pPr>
        <w:widowControl w:val="0"/>
        <w:rPr>
          <w:color w:val="000000"/>
          <w:sz w:val="22"/>
          <w:szCs w:val="22"/>
          <w:lang w:val="nl-NL"/>
        </w:rPr>
      </w:pPr>
    </w:p>
    <w:p w14:paraId="1E174FD0" w14:textId="77777777" w:rsidR="0040333F" w:rsidRPr="002D741C" w:rsidRDefault="0040333F" w:rsidP="0040333F">
      <w:pPr>
        <w:widowControl w:val="0"/>
        <w:pBdr>
          <w:top w:val="single" w:sz="4" w:space="1" w:color="auto"/>
          <w:left w:val="single" w:sz="4" w:space="4" w:color="auto"/>
          <w:bottom w:val="single" w:sz="4" w:space="1" w:color="auto"/>
          <w:right w:val="single" w:sz="4" w:space="4" w:color="auto"/>
        </w:pBdr>
        <w:ind w:left="567" w:hanging="567"/>
        <w:rPr>
          <w:b/>
          <w:color w:val="000000"/>
          <w:sz w:val="22"/>
          <w:szCs w:val="22"/>
        </w:rPr>
      </w:pPr>
      <w:r w:rsidRPr="002D741C">
        <w:rPr>
          <w:b/>
          <w:color w:val="000000"/>
          <w:sz w:val="22"/>
          <w:szCs w:val="22"/>
        </w:rPr>
        <w:t>4.</w:t>
      </w:r>
      <w:r w:rsidRPr="002D741C">
        <w:rPr>
          <w:b/>
          <w:color w:val="000000"/>
          <w:sz w:val="22"/>
          <w:szCs w:val="22"/>
        </w:rPr>
        <w:tab/>
        <w:t>NÚME</w:t>
      </w:r>
      <w:smartTag w:uri="urn:schemas-microsoft-com:office:smarttags" w:element="PersonName">
        <w:r w:rsidRPr="002D741C">
          <w:rPr>
            <w:b/>
            <w:color w:val="000000"/>
            <w:sz w:val="22"/>
            <w:szCs w:val="22"/>
          </w:rPr>
          <w:t>RO</w:t>
        </w:r>
      </w:smartTag>
      <w:r w:rsidRPr="002D741C">
        <w:rPr>
          <w:b/>
          <w:color w:val="000000"/>
          <w:sz w:val="22"/>
          <w:szCs w:val="22"/>
        </w:rPr>
        <w:t xml:space="preserve"> </w:t>
      </w:r>
      <w:smartTag w:uri="urn:schemas-microsoft-com:office:smarttags" w:element="PersonName">
        <w:r w:rsidRPr="002D741C">
          <w:rPr>
            <w:b/>
            <w:color w:val="000000"/>
            <w:sz w:val="22"/>
            <w:szCs w:val="22"/>
          </w:rPr>
          <w:t>DE</w:t>
        </w:r>
      </w:smartTag>
      <w:r w:rsidRPr="002D741C">
        <w:rPr>
          <w:b/>
          <w:color w:val="000000"/>
          <w:sz w:val="22"/>
          <w:szCs w:val="22"/>
        </w:rPr>
        <w:t xml:space="preserve"> LOTE</w:t>
      </w:r>
    </w:p>
    <w:p w14:paraId="7F5DAEBB" w14:textId="77777777" w:rsidR="0040333F" w:rsidRPr="002D741C" w:rsidRDefault="0040333F" w:rsidP="0040333F">
      <w:pPr>
        <w:widowControl w:val="0"/>
        <w:rPr>
          <w:color w:val="000000"/>
          <w:sz w:val="22"/>
          <w:szCs w:val="22"/>
        </w:rPr>
      </w:pPr>
    </w:p>
    <w:p w14:paraId="480549C6" w14:textId="77777777" w:rsidR="0040333F" w:rsidRPr="002D741C" w:rsidRDefault="0040333F" w:rsidP="0040333F">
      <w:pPr>
        <w:widowControl w:val="0"/>
        <w:rPr>
          <w:color w:val="000000"/>
          <w:sz w:val="22"/>
          <w:szCs w:val="22"/>
        </w:rPr>
      </w:pPr>
      <w:r w:rsidRPr="002D741C">
        <w:rPr>
          <w:color w:val="000000"/>
          <w:sz w:val="22"/>
          <w:szCs w:val="22"/>
        </w:rPr>
        <w:t>Lot</w:t>
      </w:r>
    </w:p>
    <w:p w14:paraId="0DEC04ED" w14:textId="77777777" w:rsidR="0040333F" w:rsidRPr="002D741C" w:rsidRDefault="0040333F" w:rsidP="0040333F">
      <w:pPr>
        <w:widowControl w:val="0"/>
        <w:rPr>
          <w:color w:val="000000"/>
          <w:sz w:val="22"/>
          <w:szCs w:val="22"/>
        </w:rPr>
      </w:pPr>
    </w:p>
    <w:p w14:paraId="3285C354" w14:textId="77777777" w:rsidR="0040333F" w:rsidRPr="002D741C" w:rsidRDefault="0040333F" w:rsidP="0040333F">
      <w:pPr>
        <w:widowControl w:val="0"/>
        <w:rPr>
          <w:color w:val="000000"/>
          <w:sz w:val="22"/>
          <w:szCs w:val="22"/>
        </w:rPr>
      </w:pPr>
    </w:p>
    <w:p w14:paraId="50A32F14" w14:textId="77777777" w:rsidR="0040333F" w:rsidRPr="002D741C" w:rsidRDefault="0040333F" w:rsidP="0040333F">
      <w:pPr>
        <w:widowControl w:val="0"/>
        <w:pBdr>
          <w:top w:val="single" w:sz="4" w:space="1" w:color="auto"/>
          <w:left w:val="single" w:sz="4" w:space="4" w:color="auto"/>
          <w:bottom w:val="single" w:sz="4" w:space="1" w:color="auto"/>
          <w:right w:val="single" w:sz="4" w:space="4" w:color="auto"/>
        </w:pBdr>
        <w:tabs>
          <w:tab w:val="left" w:pos="567"/>
        </w:tabs>
        <w:spacing w:line="260" w:lineRule="exact"/>
        <w:rPr>
          <w:color w:val="000000"/>
          <w:sz w:val="22"/>
          <w:szCs w:val="22"/>
        </w:rPr>
      </w:pPr>
      <w:r w:rsidRPr="002D741C">
        <w:rPr>
          <w:b/>
          <w:color w:val="000000"/>
          <w:sz w:val="22"/>
          <w:szCs w:val="22"/>
        </w:rPr>
        <w:t>5.</w:t>
      </w:r>
      <w:r w:rsidRPr="002D741C">
        <w:rPr>
          <w:b/>
          <w:color w:val="000000"/>
          <w:sz w:val="22"/>
          <w:szCs w:val="22"/>
        </w:rPr>
        <w:tab/>
        <w:t>OT</w:t>
      </w:r>
      <w:smartTag w:uri="urn:schemas-microsoft-com:office:smarttags" w:element="PersonName">
        <w:r w:rsidRPr="002D741C">
          <w:rPr>
            <w:b/>
            <w:color w:val="000000"/>
            <w:sz w:val="22"/>
            <w:szCs w:val="22"/>
          </w:rPr>
          <w:t>RO</w:t>
        </w:r>
      </w:smartTag>
      <w:r w:rsidRPr="002D741C">
        <w:rPr>
          <w:b/>
          <w:color w:val="000000"/>
          <w:sz w:val="22"/>
          <w:szCs w:val="22"/>
        </w:rPr>
        <w:t>S</w:t>
      </w:r>
    </w:p>
    <w:p w14:paraId="1F51E9A2" w14:textId="77777777" w:rsidR="0040333F" w:rsidRPr="002D741C" w:rsidRDefault="0040333F" w:rsidP="0040333F">
      <w:pPr>
        <w:widowControl w:val="0"/>
        <w:rPr>
          <w:color w:val="000000"/>
          <w:sz w:val="22"/>
          <w:szCs w:val="22"/>
        </w:rPr>
      </w:pPr>
    </w:p>
    <w:p w14:paraId="247CBDC0" w14:textId="77777777" w:rsidR="0040333F" w:rsidRPr="002D741C" w:rsidRDefault="0040333F" w:rsidP="0040333F">
      <w:pPr>
        <w:widowControl w:val="0"/>
        <w:rPr>
          <w:color w:val="000000"/>
          <w:sz w:val="22"/>
          <w:szCs w:val="22"/>
        </w:rPr>
      </w:pPr>
      <w:r w:rsidRPr="002D741C">
        <w:rPr>
          <w:b/>
          <w:color w:val="000000"/>
          <w:sz w:val="22"/>
          <w:szCs w:val="22"/>
        </w:rPr>
        <w:br w:type="page"/>
      </w:r>
    </w:p>
    <w:p w14:paraId="608836AE" w14:textId="77777777" w:rsidR="006662BC" w:rsidRPr="006662BC" w:rsidRDefault="006662BC" w:rsidP="006662BC">
      <w:pPr>
        <w:widowControl w:val="0"/>
        <w:jc w:val="both"/>
        <w:rPr>
          <w:color w:val="000000"/>
          <w:sz w:val="22"/>
          <w:szCs w:val="22"/>
        </w:rPr>
      </w:pPr>
    </w:p>
    <w:p w14:paraId="64A6996F" w14:textId="77777777" w:rsidR="0040333F" w:rsidRPr="002D741C" w:rsidRDefault="0040333F" w:rsidP="0040333F">
      <w:pPr>
        <w:widowControl w:val="0"/>
        <w:pBdr>
          <w:top w:val="single" w:sz="4" w:space="1" w:color="auto"/>
          <w:left w:val="single" w:sz="4" w:space="4" w:color="auto"/>
          <w:bottom w:val="single" w:sz="4" w:space="1" w:color="auto"/>
          <w:right w:val="single" w:sz="4" w:space="4" w:color="auto"/>
        </w:pBdr>
        <w:jc w:val="both"/>
        <w:rPr>
          <w:color w:val="000000"/>
          <w:sz w:val="22"/>
          <w:szCs w:val="22"/>
        </w:rPr>
      </w:pPr>
      <w:r w:rsidRPr="002D741C">
        <w:rPr>
          <w:b/>
          <w:color w:val="000000"/>
          <w:sz w:val="22"/>
          <w:szCs w:val="22"/>
        </w:rPr>
        <w:t xml:space="preserve">INFORMACIÓN QUE </w:t>
      </w:r>
      <w:smartTag w:uri="urn:schemas-microsoft-com:office:smarttags" w:element="PersonName">
        <w:r w:rsidRPr="002D741C">
          <w:rPr>
            <w:b/>
            <w:color w:val="000000"/>
            <w:sz w:val="22"/>
            <w:szCs w:val="22"/>
          </w:rPr>
          <w:t>DE</w:t>
        </w:r>
      </w:smartTag>
      <w:r w:rsidRPr="002D741C">
        <w:rPr>
          <w:b/>
          <w:color w:val="000000"/>
          <w:sz w:val="22"/>
          <w:szCs w:val="22"/>
        </w:rPr>
        <w:t xml:space="preserve">BE </w:t>
      </w:r>
      <w:smartTag w:uri="urn:schemas-microsoft-com:office:smarttags" w:element="PersonName">
        <w:r w:rsidRPr="002D741C">
          <w:rPr>
            <w:b/>
            <w:color w:val="000000"/>
            <w:sz w:val="22"/>
            <w:szCs w:val="22"/>
          </w:rPr>
          <w:t>FI</w:t>
        </w:r>
      </w:smartTag>
      <w:r w:rsidRPr="002D741C">
        <w:rPr>
          <w:b/>
          <w:color w:val="000000"/>
          <w:sz w:val="22"/>
          <w:szCs w:val="22"/>
        </w:rPr>
        <w:t xml:space="preserve">GURAR EN </w:t>
      </w:r>
      <w:smartTag w:uri="urn:schemas-microsoft-com:office:smarttags" w:element="PersonName">
        <w:r w:rsidRPr="002D741C">
          <w:rPr>
            <w:b/>
            <w:color w:val="000000"/>
            <w:sz w:val="22"/>
            <w:szCs w:val="22"/>
          </w:rPr>
          <w:t>EL</w:t>
        </w:r>
      </w:smartTag>
      <w:r w:rsidRPr="002D741C">
        <w:rPr>
          <w:b/>
          <w:color w:val="000000"/>
          <w:sz w:val="22"/>
          <w:szCs w:val="22"/>
        </w:rPr>
        <w:t xml:space="preserve"> EMBALAJE EXTERIOR</w:t>
      </w:r>
    </w:p>
    <w:p w14:paraId="66592A90" w14:textId="77777777" w:rsidR="0040333F" w:rsidRPr="002D741C" w:rsidRDefault="0040333F" w:rsidP="0040333F">
      <w:pPr>
        <w:widowControl w:val="0"/>
        <w:pBdr>
          <w:top w:val="single" w:sz="4" w:space="1" w:color="auto"/>
          <w:left w:val="single" w:sz="4" w:space="4" w:color="auto"/>
          <w:bottom w:val="single" w:sz="4" w:space="1" w:color="auto"/>
          <w:right w:val="single" w:sz="4" w:space="4" w:color="auto"/>
        </w:pBdr>
        <w:jc w:val="both"/>
        <w:rPr>
          <w:color w:val="000000"/>
          <w:sz w:val="22"/>
          <w:szCs w:val="22"/>
        </w:rPr>
      </w:pPr>
    </w:p>
    <w:p w14:paraId="05C2BE18" w14:textId="77777777" w:rsidR="0040333F" w:rsidRPr="002D741C" w:rsidRDefault="0040333F" w:rsidP="0040333F">
      <w:pPr>
        <w:widowControl w:val="0"/>
        <w:pBdr>
          <w:top w:val="single" w:sz="4" w:space="1" w:color="auto"/>
          <w:left w:val="single" w:sz="4" w:space="4" w:color="auto"/>
          <w:bottom w:val="single" w:sz="4" w:space="1" w:color="auto"/>
          <w:right w:val="single" w:sz="4" w:space="4" w:color="auto"/>
        </w:pBdr>
        <w:rPr>
          <w:b/>
          <w:color w:val="000000"/>
          <w:sz w:val="22"/>
          <w:szCs w:val="22"/>
        </w:rPr>
      </w:pPr>
      <w:r w:rsidRPr="002D741C">
        <w:rPr>
          <w:b/>
          <w:color w:val="000000"/>
          <w:sz w:val="22"/>
          <w:szCs w:val="22"/>
        </w:rPr>
        <w:t xml:space="preserve">CAJA </w:t>
      </w:r>
      <w:smartTag w:uri="urn:schemas-microsoft-com:office:smarttags" w:element="PersonName">
        <w:r w:rsidRPr="002D741C">
          <w:rPr>
            <w:b/>
            <w:color w:val="000000"/>
            <w:sz w:val="22"/>
            <w:szCs w:val="22"/>
          </w:rPr>
          <w:t>DE</w:t>
        </w:r>
      </w:smartTag>
      <w:r w:rsidRPr="002D741C">
        <w:rPr>
          <w:b/>
          <w:color w:val="000000"/>
          <w:sz w:val="22"/>
          <w:szCs w:val="22"/>
        </w:rPr>
        <w:t xml:space="preserve"> CARTÓN</w:t>
      </w:r>
    </w:p>
    <w:p w14:paraId="1B0341CA" w14:textId="77777777" w:rsidR="0040333F" w:rsidRPr="002D741C" w:rsidRDefault="0040333F" w:rsidP="0040333F">
      <w:pPr>
        <w:widowControl w:val="0"/>
        <w:rPr>
          <w:color w:val="000000"/>
          <w:sz w:val="22"/>
          <w:szCs w:val="22"/>
        </w:rPr>
      </w:pPr>
    </w:p>
    <w:p w14:paraId="66FF9628" w14:textId="77777777" w:rsidR="0040333F" w:rsidRPr="002D741C" w:rsidRDefault="0040333F" w:rsidP="0040333F">
      <w:pPr>
        <w:widowControl w:val="0"/>
        <w:rPr>
          <w:color w:val="000000"/>
          <w:sz w:val="22"/>
          <w:szCs w:val="22"/>
        </w:rPr>
      </w:pPr>
    </w:p>
    <w:p w14:paraId="76306A13" w14:textId="77777777" w:rsidR="0040333F" w:rsidRPr="002D741C" w:rsidRDefault="0040333F" w:rsidP="0040333F">
      <w:pPr>
        <w:widowControl w:val="0"/>
        <w:pBdr>
          <w:top w:val="single" w:sz="4" w:space="1" w:color="auto"/>
          <w:left w:val="single" w:sz="4" w:space="4" w:color="auto"/>
          <w:bottom w:val="single" w:sz="4" w:space="1" w:color="auto"/>
          <w:right w:val="single" w:sz="4" w:space="4" w:color="auto"/>
        </w:pBdr>
        <w:ind w:left="567" w:hanging="567"/>
        <w:rPr>
          <w:b/>
          <w:color w:val="000000"/>
          <w:sz w:val="22"/>
          <w:szCs w:val="22"/>
        </w:rPr>
      </w:pPr>
      <w:r w:rsidRPr="002D741C">
        <w:rPr>
          <w:b/>
          <w:color w:val="000000"/>
          <w:sz w:val="22"/>
          <w:szCs w:val="22"/>
        </w:rPr>
        <w:t>1.</w:t>
      </w:r>
      <w:r w:rsidRPr="002D741C">
        <w:rPr>
          <w:b/>
          <w:color w:val="000000"/>
          <w:sz w:val="22"/>
          <w:szCs w:val="22"/>
        </w:rPr>
        <w:tab/>
      </w:r>
      <w:smartTag w:uri="urn:schemas-microsoft-com:office:smarttags" w:element="PersonName">
        <w:r w:rsidRPr="002D741C">
          <w:rPr>
            <w:b/>
            <w:color w:val="000000"/>
            <w:sz w:val="22"/>
            <w:szCs w:val="22"/>
          </w:rPr>
          <w:t>NO</w:t>
        </w:r>
      </w:smartTag>
      <w:r w:rsidRPr="002D741C">
        <w:rPr>
          <w:b/>
          <w:color w:val="000000"/>
          <w:sz w:val="22"/>
          <w:szCs w:val="22"/>
        </w:rPr>
        <w:t xml:space="preserve">MBRE </w:t>
      </w:r>
      <w:smartTag w:uri="urn:schemas-microsoft-com:office:smarttags" w:element="stockticker">
        <w:smartTag w:uri="urn:schemas-microsoft-com:office:smarttags" w:element="PersonName">
          <w:r w:rsidRPr="002D741C">
            <w:rPr>
              <w:b/>
              <w:color w:val="000000"/>
              <w:sz w:val="22"/>
              <w:szCs w:val="22"/>
            </w:rPr>
            <w:t>D</w:t>
          </w:r>
          <w:smartTag w:uri="urn:schemas-microsoft-com:office:smarttags" w:element="PersonName">
            <w:r w:rsidRPr="002D741C">
              <w:rPr>
                <w:b/>
                <w:color w:val="000000"/>
                <w:sz w:val="22"/>
                <w:szCs w:val="22"/>
              </w:rPr>
              <w:t>E</w:t>
            </w:r>
          </w:smartTag>
        </w:smartTag>
        <w:r w:rsidRPr="002D741C">
          <w:rPr>
            <w:b/>
            <w:color w:val="000000"/>
            <w:sz w:val="22"/>
            <w:szCs w:val="22"/>
          </w:rPr>
          <w:t>L</w:t>
        </w:r>
      </w:smartTag>
      <w:r w:rsidRPr="002D741C">
        <w:rPr>
          <w:b/>
          <w:color w:val="000000"/>
          <w:sz w:val="22"/>
          <w:szCs w:val="22"/>
        </w:rPr>
        <w:t xml:space="preserve"> MEDICAMENTO</w:t>
      </w:r>
    </w:p>
    <w:p w14:paraId="3A624A2C" w14:textId="77777777" w:rsidR="0040333F" w:rsidRPr="002D741C" w:rsidRDefault="0040333F" w:rsidP="0040333F">
      <w:pPr>
        <w:widowControl w:val="0"/>
        <w:rPr>
          <w:color w:val="000000"/>
          <w:sz w:val="22"/>
          <w:szCs w:val="22"/>
        </w:rPr>
      </w:pPr>
    </w:p>
    <w:p w14:paraId="67C449C8" w14:textId="77777777" w:rsidR="0040333F" w:rsidRPr="002D741C" w:rsidRDefault="0040333F" w:rsidP="0040333F">
      <w:pPr>
        <w:pStyle w:val="EndnoteText"/>
        <w:widowControl w:val="0"/>
        <w:tabs>
          <w:tab w:val="clear" w:pos="567"/>
        </w:tabs>
        <w:rPr>
          <w:color w:val="000000"/>
          <w:szCs w:val="22"/>
          <w:lang w:val="es-ES"/>
        </w:rPr>
      </w:pPr>
      <w:r w:rsidRPr="002D741C">
        <w:rPr>
          <w:color w:val="000000"/>
          <w:szCs w:val="22"/>
          <w:lang w:val="es-ES"/>
        </w:rPr>
        <w:t>Glivec 400 mg comprimidos recubiertos con película</w:t>
      </w:r>
    </w:p>
    <w:p w14:paraId="704F68A7" w14:textId="77777777" w:rsidR="0040333F" w:rsidRPr="002D741C" w:rsidRDefault="00A56B0C" w:rsidP="0040333F">
      <w:pPr>
        <w:pStyle w:val="EndnoteText"/>
        <w:widowControl w:val="0"/>
        <w:tabs>
          <w:tab w:val="clear" w:pos="567"/>
        </w:tabs>
        <w:rPr>
          <w:color w:val="000000"/>
          <w:szCs w:val="22"/>
          <w:lang w:val="pt-BR"/>
        </w:rPr>
      </w:pPr>
      <w:r w:rsidRPr="002D741C">
        <w:rPr>
          <w:color w:val="000000"/>
          <w:szCs w:val="22"/>
          <w:lang w:val="pt-BR"/>
        </w:rPr>
        <w:t>i</w:t>
      </w:r>
      <w:r w:rsidR="0040333F" w:rsidRPr="002D741C">
        <w:rPr>
          <w:color w:val="000000"/>
          <w:szCs w:val="22"/>
          <w:lang w:val="pt-BR"/>
        </w:rPr>
        <w:t>matinib</w:t>
      </w:r>
    </w:p>
    <w:p w14:paraId="316EB732" w14:textId="77777777" w:rsidR="0040333F" w:rsidRPr="002D741C" w:rsidRDefault="0040333F" w:rsidP="0040333F">
      <w:pPr>
        <w:widowControl w:val="0"/>
        <w:rPr>
          <w:color w:val="000000"/>
          <w:sz w:val="22"/>
          <w:szCs w:val="22"/>
          <w:lang w:val="pt-BR"/>
        </w:rPr>
      </w:pPr>
    </w:p>
    <w:p w14:paraId="7F76BB9F" w14:textId="77777777" w:rsidR="0040333F" w:rsidRPr="002D741C" w:rsidRDefault="0040333F" w:rsidP="0040333F">
      <w:pPr>
        <w:widowControl w:val="0"/>
        <w:rPr>
          <w:color w:val="000000"/>
          <w:sz w:val="22"/>
          <w:szCs w:val="22"/>
          <w:lang w:val="pt-BR"/>
        </w:rPr>
      </w:pPr>
    </w:p>
    <w:p w14:paraId="0908C763" w14:textId="77777777" w:rsidR="0040333F" w:rsidRPr="002D741C" w:rsidRDefault="0040333F" w:rsidP="0040333F">
      <w:pPr>
        <w:widowControl w:val="0"/>
        <w:pBdr>
          <w:top w:val="single" w:sz="4" w:space="1" w:color="auto"/>
          <w:left w:val="single" w:sz="4" w:space="4" w:color="auto"/>
          <w:bottom w:val="single" w:sz="4" w:space="1" w:color="auto"/>
          <w:right w:val="single" w:sz="4" w:space="4" w:color="auto"/>
        </w:pBdr>
        <w:ind w:left="567" w:hanging="567"/>
        <w:rPr>
          <w:b/>
          <w:color w:val="000000"/>
          <w:sz w:val="22"/>
          <w:szCs w:val="22"/>
          <w:lang w:val="pt-BR"/>
        </w:rPr>
      </w:pPr>
      <w:r w:rsidRPr="002D741C">
        <w:rPr>
          <w:b/>
          <w:color w:val="000000"/>
          <w:sz w:val="22"/>
          <w:szCs w:val="22"/>
          <w:lang w:val="pt-BR"/>
        </w:rPr>
        <w:t>2.</w:t>
      </w:r>
      <w:r w:rsidRPr="002D741C">
        <w:rPr>
          <w:b/>
          <w:color w:val="000000"/>
          <w:sz w:val="22"/>
          <w:szCs w:val="22"/>
          <w:lang w:val="pt-BR"/>
        </w:rPr>
        <w:tab/>
        <w:t>PRINCIPIO(S) ACTIVO(S)</w:t>
      </w:r>
    </w:p>
    <w:p w14:paraId="30D5E7EC" w14:textId="77777777" w:rsidR="0040333F" w:rsidRPr="002D741C" w:rsidRDefault="0040333F" w:rsidP="0040333F">
      <w:pPr>
        <w:widowControl w:val="0"/>
        <w:rPr>
          <w:color w:val="000000"/>
          <w:sz w:val="22"/>
          <w:szCs w:val="22"/>
          <w:lang w:val="pt-BR"/>
        </w:rPr>
      </w:pPr>
    </w:p>
    <w:p w14:paraId="192F231A" w14:textId="77777777" w:rsidR="0040333F" w:rsidRPr="002D741C" w:rsidRDefault="0040333F" w:rsidP="0040333F">
      <w:pPr>
        <w:pStyle w:val="EndnoteText"/>
        <w:widowControl w:val="0"/>
        <w:tabs>
          <w:tab w:val="clear" w:pos="567"/>
        </w:tabs>
        <w:rPr>
          <w:color w:val="000000"/>
          <w:szCs w:val="22"/>
          <w:lang w:val="es-ES"/>
        </w:rPr>
      </w:pPr>
      <w:r w:rsidRPr="002D741C">
        <w:rPr>
          <w:color w:val="000000"/>
          <w:szCs w:val="22"/>
          <w:lang w:val="es-ES"/>
        </w:rPr>
        <w:t>Cada comprimido recubierto con película contiene 400 mg de imatinib (como mesilato).</w:t>
      </w:r>
    </w:p>
    <w:p w14:paraId="4062522B" w14:textId="77777777" w:rsidR="0040333F" w:rsidRPr="002D741C" w:rsidRDefault="0040333F" w:rsidP="0040333F">
      <w:pPr>
        <w:widowControl w:val="0"/>
        <w:rPr>
          <w:color w:val="000000"/>
          <w:sz w:val="22"/>
          <w:szCs w:val="22"/>
        </w:rPr>
      </w:pPr>
    </w:p>
    <w:p w14:paraId="16F71E87" w14:textId="77777777" w:rsidR="0040333F" w:rsidRPr="002D741C" w:rsidRDefault="0040333F" w:rsidP="0040333F">
      <w:pPr>
        <w:widowControl w:val="0"/>
        <w:rPr>
          <w:color w:val="000000"/>
          <w:sz w:val="22"/>
          <w:szCs w:val="22"/>
        </w:rPr>
      </w:pPr>
    </w:p>
    <w:p w14:paraId="215AF1E5" w14:textId="77777777" w:rsidR="0040333F" w:rsidRPr="002D741C" w:rsidRDefault="0040333F" w:rsidP="0040333F">
      <w:pPr>
        <w:widowControl w:val="0"/>
        <w:pBdr>
          <w:top w:val="single" w:sz="4" w:space="1" w:color="auto"/>
          <w:left w:val="single" w:sz="4" w:space="4" w:color="auto"/>
          <w:bottom w:val="single" w:sz="4" w:space="1" w:color="auto"/>
          <w:right w:val="single" w:sz="4" w:space="4" w:color="auto"/>
        </w:pBdr>
        <w:ind w:left="567" w:hanging="567"/>
        <w:rPr>
          <w:b/>
          <w:color w:val="000000"/>
          <w:sz w:val="22"/>
          <w:szCs w:val="22"/>
        </w:rPr>
      </w:pPr>
      <w:r w:rsidRPr="002D741C">
        <w:rPr>
          <w:b/>
          <w:color w:val="000000"/>
          <w:sz w:val="22"/>
          <w:szCs w:val="22"/>
        </w:rPr>
        <w:t>3.</w:t>
      </w:r>
      <w:r w:rsidRPr="002D741C">
        <w:rPr>
          <w:b/>
          <w:color w:val="000000"/>
          <w:sz w:val="22"/>
          <w:szCs w:val="22"/>
        </w:rPr>
        <w:tab/>
        <w:t>L</w:t>
      </w:r>
      <w:smartTag w:uri="urn:schemas-microsoft-com:office:smarttags" w:element="PersonName">
        <w:r w:rsidRPr="002D741C">
          <w:rPr>
            <w:b/>
            <w:color w:val="000000"/>
            <w:sz w:val="22"/>
            <w:szCs w:val="22"/>
          </w:rPr>
          <w:t>IS</w:t>
        </w:r>
      </w:smartTag>
      <w:r w:rsidRPr="002D741C">
        <w:rPr>
          <w:b/>
          <w:color w:val="000000"/>
          <w:sz w:val="22"/>
          <w:szCs w:val="22"/>
        </w:rPr>
        <w:t xml:space="preserve">TA </w:t>
      </w:r>
      <w:smartTag w:uri="urn:schemas-microsoft-com:office:smarttags" w:element="PersonName">
        <w:r w:rsidRPr="002D741C">
          <w:rPr>
            <w:b/>
            <w:color w:val="000000"/>
            <w:sz w:val="22"/>
            <w:szCs w:val="22"/>
          </w:rPr>
          <w:t>DE</w:t>
        </w:r>
      </w:smartTag>
      <w:r w:rsidRPr="002D741C">
        <w:rPr>
          <w:b/>
          <w:color w:val="000000"/>
          <w:sz w:val="22"/>
          <w:szCs w:val="22"/>
        </w:rPr>
        <w:t xml:space="preserve"> EXCIPIENTES</w:t>
      </w:r>
    </w:p>
    <w:p w14:paraId="38FE914B" w14:textId="77777777" w:rsidR="0040333F" w:rsidRPr="002D741C" w:rsidRDefault="0040333F" w:rsidP="0040333F">
      <w:pPr>
        <w:widowControl w:val="0"/>
        <w:rPr>
          <w:color w:val="000000"/>
          <w:sz w:val="22"/>
          <w:szCs w:val="22"/>
        </w:rPr>
      </w:pPr>
    </w:p>
    <w:p w14:paraId="1918BF71" w14:textId="77777777" w:rsidR="0040333F" w:rsidRPr="002D741C" w:rsidRDefault="0040333F" w:rsidP="0040333F">
      <w:pPr>
        <w:widowControl w:val="0"/>
        <w:rPr>
          <w:color w:val="000000"/>
          <w:sz w:val="22"/>
          <w:szCs w:val="22"/>
        </w:rPr>
      </w:pPr>
    </w:p>
    <w:p w14:paraId="657519AE" w14:textId="77777777" w:rsidR="0040333F" w:rsidRPr="002D741C" w:rsidRDefault="0040333F" w:rsidP="0040333F">
      <w:pPr>
        <w:widowControl w:val="0"/>
        <w:pBdr>
          <w:top w:val="single" w:sz="4" w:space="1" w:color="auto"/>
          <w:left w:val="single" w:sz="4" w:space="4" w:color="auto"/>
          <w:bottom w:val="single" w:sz="4" w:space="1" w:color="auto"/>
          <w:right w:val="single" w:sz="4" w:space="4" w:color="auto"/>
        </w:pBdr>
        <w:ind w:left="567" w:hanging="567"/>
        <w:rPr>
          <w:b/>
          <w:color w:val="000000"/>
          <w:sz w:val="22"/>
          <w:szCs w:val="22"/>
        </w:rPr>
      </w:pPr>
      <w:r w:rsidRPr="002D741C">
        <w:rPr>
          <w:b/>
          <w:color w:val="000000"/>
          <w:sz w:val="22"/>
          <w:szCs w:val="22"/>
        </w:rPr>
        <w:t>4.</w:t>
      </w:r>
      <w:r w:rsidRPr="002D741C">
        <w:rPr>
          <w:b/>
          <w:color w:val="000000"/>
          <w:sz w:val="22"/>
          <w:szCs w:val="22"/>
        </w:rPr>
        <w:tab/>
        <w:t xml:space="preserve">FORMA FARMACÉUTICA Y CONTENIDO </w:t>
      </w:r>
      <w:smartTag w:uri="urn:schemas-microsoft-com:office:smarttags" w:element="stockticker">
        <w:smartTag w:uri="urn:schemas-microsoft-com:office:smarttags" w:element="PersonName">
          <w:r w:rsidRPr="002D741C">
            <w:rPr>
              <w:b/>
              <w:color w:val="000000"/>
              <w:sz w:val="22"/>
              <w:szCs w:val="22"/>
            </w:rPr>
            <w:t>D</w:t>
          </w:r>
          <w:smartTag w:uri="urn:schemas-microsoft-com:office:smarttags" w:element="PersonName">
            <w:r w:rsidRPr="002D741C">
              <w:rPr>
                <w:b/>
                <w:color w:val="000000"/>
                <w:sz w:val="22"/>
                <w:szCs w:val="22"/>
              </w:rPr>
              <w:t>E</w:t>
            </w:r>
          </w:smartTag>
        </w:smartTag>
        <w:r w:rsidRPr="002D741C">
          <w:rPr>
            <w:b/>
            <w:color w:val="000000"/>
            <w:sz w:val="22"/>
            <w:szCs w:val="22"/>
          </w:rPr>
          <w:t>L</w:t>
        </w:r>
      </w:smartTag>
      <w:r w:rsidRPr="002D741C">
        <w:rPr>
          <w:b/>
          <w:color w:val="000000"/>
          <w:sz w:val="22"/>
          <w:szCs w:val="22"/>
        </w:rPr>
        <w:t xml:space="preserve"> ENVA</w:t>
      </w:r>
      <w:smartTag w:uri="urn:schemas-microsoft-com:office:smarttags" w:element="PersonName">
        <w:r w:rsidRPr="002D741C">
          <w:rPr>
            <w:b/>
            <w:color w:val="000000"/>
            <w:sz w:val="22"/>
            <w:szCs w:val="22"/>
          </w:rPr>
          <w:t>SE</w:t>
        </w:r>
      </w:smartTag>
    </w:p>
    <w:p w14:paraId="58671AED" w14:textId="77777777" w:rsidR="0040333F" w:rsidRPr="002D741C" w:rsidRDefault="0040333F" w:rsidP="0040333F">
      <w:pPr>
        <w:widowControl w:val="0"/>
        <w:rPr>
          <w:color w:val="000000"/>
          <w:sz w:val="22"/>
          <w:szCs w:val="22"/>
        </w:rPr>
      </w:pPr>
    </w:p>
    <w:p w14:paraId="0680D376" w14:textId="77777777" w:rsidR="0040333F" w:rsidRPr="002D741C" w:rsidRDefault="0040333F" w:rsidP="0040333F">
      <w:pPr>
        <w:widowControl w:val="0"/>
        <w:rPr>
          <w:color w:val="000000"/>
          <w:sz w:val="22"/>
          <w:szCs w:val="22"/>
        </w:rPr>
      </w:pPr>
      <w:r w:rsidRPr="002D741C">
        <w:rPr>
          <w:color w:val="000000"/>
          <w:sz w:val="22"/>
          <w:szCs w:val="22"/>
        </w:rPr>
        <w:t>10 comprimidos recubiertos con película</w:t>
      </w:r>
    </w:p>
    <w:p w14:paraId="173D15C9" w14:textId="77777777" w:rsidR="0040333F" w:rsidRPr="002D741C" w:rsidRDefault="0040333F" w:rsidP="0040333F">
      <w:pPr>
        <w:widowControl w:val="0"/>
        <w:rPr>
          <w:color w:val="000000"/>
          <w:sz w:val="22"/>
          <w:szCs w:val="22"/>
          <w:shd w:val="clear" w:color="auto" w:fill="D9D9D9"/>
        </w:rPr>
      </w:pPr>
      <w:r w:rsidRPr="002D741C">
        <w:rPr>
          <w:color w:val="000000"/>
          <w:sz w:val="22"/>
          <w:szCs w:val="22"/>
          <w:shd w:val="clear" w:color="auto" w:fill="D9D9D9"/>
        </w:rPr>
        <w:t>30 comprimidos recubiertos con película</w:t>
      </w:r>
    </w:p>
    <w:p w14:paraId="1D79712D" w14:textId="77777777" w:rsidR="0040333F" w:rsidRPr="002D741C" w:rsidRDefault="0040333F" w:rsidP="0040333F">
      <w:pPr>
        <w:widowControl w:val="0"/>
        <w:rPr>
          <w:color w:val="000000"/>
          <w:sz w:val="22"/>
          <w:szCs w:val="22"/>
          <w:shd w:val="clear" w:color="auto" w:fill="D9D9D9"/>
        </w:rPr>
      </w:pPr>
      <w:r w:rsidRPr="002D741C">
        <w:rPr>
          <w:color w:val="000000"/>
          <w:sz w:val="22"/>
          <w:szCs w:val="22"/>
          <w:shd w:val="clear" w:color="auto" w:fill="D9D9D9"/>
        </w:rPr>
        <w:t>90 comprimidos recubiertos con película</w:t>
      </w:r>
    </w:p>
    <w:p w14:paraId="56F784D1" w14:textId="77777777" w:rsidR="0040333F" w:rsidRPr="002D741C" w:rsidRDefault="0040333F" w:rsidP="0040333F">
      <w:pPr>
        <w:widowControl w:val="0"/>
        <w:rPr>
          <w:color w:val="000000"/>
          <w:sz w:val="22"/>
          <w:szCs w:val="22"/>
        </w:rPr>
      </w:pPr>
    </w:p>
    <w:p w14:paraId="70AF2BFA" w14:textId="77777777" w:rsidR="0040333F" w:rsidRPr="002D741C" w:rsidRDefault="0040333F" w:rsidP="0040333F">
      <w:pPr>
        <w:widowControl w:val="0"/>
        <w:rPr>
          <w:color w:val="000000"/>
          <w:sz w:val="22"/>
          <w:szCs w:val="22"/>
        </w:rPr>
      </w:pPr>
    </w:p>
    <w:p w14:paraId="0B36FECC" w14:textId="77777777" w:rsidR="0040333F" w:rsidRPr="002D741C" w:rsidRDefault="0040333F" w:rsidP="0040333F">
      <w:pPr>
        <w:widowControl w:val="0"/>
        <w:pBdr>
          <w:top w:val="single" w:sz="4" w:space="1" w:color="auto"/>
          <w:left w:val="single" w:sz="4" w:space="4" w:color="auto"/>
          <w:bottom w:val="single" w:sz="4" w:space="1" w:color="auto"/>
          <w:right w:val="single" w:sz="4" w:space="4" w:color="auto"/>
        </w:pBdr>
        <w:ind w:left="567" w:hanging="567"/>
        <w:rPr>
          <w:b/>
          <w:color w:val="000000"/>
          <w:sz w:val="22"/>
          <w:szCs w:val="22"/>
        </w:rPr>
      </w:pPr>
      <w:r w:rsidRPr="002D741C">
        <w:rPr>
          <w:b/>
          <w:color w:val="000000"/>
          <w:sz w:val="22"/>
          <w:szCs w:val="22"/>
        </w:rPr>
        <w:t>5.</w:t>
      </w:r>
      <w:r w:rsidRPr="002D741C">
        <w:rPr>
          <w:b/>
          <w:color w:val="000000"/>
          <w:sz w:val="22"/>
          <w:szCs w:val="22"/>
        </w:rPr>
        <w:tab/>
        <w:t xml:space="preserve">FORMA Y VÍA(S) </w:t>
      </w:r>
      <w:smartTag w:uri="urn:schemas-microsoft-com:office:smarttags" w:element="PersonName">
        <w:r w:rsidRPr="002D741C">
          <w:rPr>
            <w:b/>
            <w:color w:val="000000"/>
            <w:sz w:val="22"/>
            <w:szCs w:val="22"/>
          </w:rPr>
          <w:t>DE</w:t>
        </w:r>
      </w:smartTag>
      <w:r w:rsidRPr="002D741C">
        <w:rPr>
          <w:b/>
          <w:color w:val="000000"/>
          <w:sz w:val="22"/>
          <w:szCs w:val="22"/>
        </w:rPr>
        <w:t xml:space="preserve"> ADMIN</w:t>
      </w:r>
      <w:smartTag w:uri="urn:schemas-microsoft-com:office:smarttags" w:element="PersonName">
        <w:r w:rsidRPr="002D741C">
          <w:rPr>
            <w:b/>
            <w:color w:val="000000"/>
            <w:sz w:val="22"/>
            <w:szCs w:val="22"/>
          </w:rPr>
          <w:t>IS</w:t>
        </w:r>
      </w:smartTag>
      <w:r w:rsidRPr="002D741C">
        <w:rPr>
          <w:b/>
          <w:color w:val="000000"/>
          <w:sz w:val="22"/>
          <w:szCs w:val="22"/>
        </w:rPr>
        <w:t>TRACIÓN</w:t>
      </w:r>
    </w:p>
    <w:p w14:paraId="57D99E04" w14:textId="77777777" w:rsidR="0040333F" w:rsidRPr="002D741C" w:rsidRDefault="0040333F" w:rsidP="0040333F">
      <w:pPr>
        <w:widowControl w:val="0"/>
        <w:rPr>
          <w:color w:val="000000"/>
          <w:sz w:val="22"/>
          <w:szCs w:val="22"/>
        </w:rPr>
      </w:pPr>
    </w:p>
    <w:p w14:paraId="528FEB59" w14:textId="77777777" w:rsidR="0040333F" w:rsidRPr="002D741C" w:rsidRDefault="0040333F" w:rsidP="0040333F">
      <w:pPr>
        <w:widowControl w:val="0"/>
        <w:rPr>
          <w:color w:val="000000"/>
          <w:sz w:val="22"/>
          <w:szCs w:val="22"/>
        </w:rPr>
      </w:pPr>
      <w:r w:rsidRPr="002D741C">
        <w:rPr>
          <w:color w:val="000000"/>
          <w:sz w:val="22"/>
          <w:szCs w:val="22"/>
        </w:rPr>
        <w:t>Vía oral. Leer el prospecto antes de utilizar este medicamento.</w:t>
      </w:r>
    </w:p>
    <w:p w14:paraId="7644A4BF" w14:textId="77777777" w:rsidR="0040333F" w:rsidRPr="002D741C" w:rsidRDefault="0040333F" w:rsidP="0040333F">
      <w:pPr>
        <w:widowControl w:val="0"/>
        <w:rPr>
          <w:color w:val="000000"/>
          <w:sz w:val="22"/>
          <w:szCs w:val="22"/>
        </w:rPr>
      </w:pPr>
    </w:p>
    <w:p w14:paraId="42713769" w14:textId="77777777" w:rsidR="0040333F" w:rsidRPr="002D741C" w:rsidRDefault="0040333F" w:rsidP="0040333F">
      <w:pPr>
        <w:widowControl w:val="0"/>
        <w:rPr>
          <w:color w:val="000000"/>
          <w:sz w:val="22"/>
          <w:szCs w:val="22"/>
        </w:rPr>
      </w:pPr>
    </w:p>
    <w:p w14:paraId="0C679316" w14:textId="77777777" w:rsidR="0040333F" w:rsidRPr="002D741C" w:rsidRDefault="0040333F" w:rsidP="0040333F">
      <w:pPr>
        <w:widowControl w:val="0"/>
        <w:pBdr>
          <w:top w:val="single" w:sz="4" w:space="1" w:color="auto"/>
          <w:left w:val="single" w:sz="4" w:space="4" w:color="auto"/>
          <w:bottom w:val="single" w:sz="4" w:space="1" w:color="auto"/>
          <w:right w:val="single" w:sz="4" w:space="4" w:color="auto"/>
        </w:pBdr>
        <w:ind w:left="567" w:hanging="567"/>
        <w:rPr>
          <w:b/>
          <w:color w:val="000000"/>
          <w:sz w:val="22"/>
          <w:szCs w:val="22"/>
        </w:rPr>
      </w:pPr>
      <w:r w:rsidRPr="002D741C">
        <w:rPr>
          <w:b/>
          <w:color w:val="000000"/>
          <w:sz w:val="22"/>
          <w:szCs w:val="22"/>
        </w:rPr>
        <w:t>6.</w:t>
      </w:r>
      <w:r w:rsidRPr="002D741C">
        <w:rPr>
          <w:b/>
          <w:color w:val="000000"/>
          <w:sz w:val="22"/>
          <w:szCs w:val="22"/>
        </w:rPr>
        <w:tab/>
        <w:t xml:space="preserve">ADVERTENCIA ESPECIAL </w:t>
      </w:r>
      <w:smartTag w:uri="urn:schemas-microsoft-com:office:smarttags" w:element="PersonName">
        <w:r w:rsidRPr="002D741C">
          <w:rPr>
            <w:b/>
            <w:color w:val="000000"/>
            <w:sz w:val="22"/>
            <w:szCs w:val="22"/>
          </w:rPr>
          <w:t>DE</w:t>
        </w:r>
      </w:smartTag>
      <w:r w:rsidRPr="002D741C">
        <w:rPr>
          <w:b/>
          <w:color w:val="000000"/>
          <w:sz w:val="22"/>
          <w:szCs w:val="22"/>
        </w:rPr>
        <w:t xml:space="preserve"> QUE </w:t>
      </w:r>
      <w:smartTag w:uri="urn:schemas-microsoft-com:office:smarttags" w:element="PersonName">
        <w:r w:rsidRPr="002D741C">
          <w:rPr>
            <w:b/>
            <w:color w:val="000000"/>
            <w:sz w:val="22"/>
            <w:szCs w:val="22"/>
          </w:rPr>
          <w:t>EL</w:t>
        </w:r>
      </w:smartTag>
      <w:r w:rsidRPr="002D741C">
        <w:rPr>
          <w:b/>
          <w:color w:val="000000"/>
          <w:sz w:val="22"/>
          <w:szCs w:val="22"/>
        </w:rPr>
        <w:t xml:space="preserve"> MEDICAMENTO </w:t>
      </w:r>
      <w:smartTag w:uri="urn:schemas-microsoft-com:office:smarttags" w:element="PersonName">
        <w:r w:rsidRPr="002D741C">
          <w:rPr>
            <w:b/>
            <w:color w:val="000000"/>
            <w:sz w:val="22"/>
            <w:szCs w:val="22"/>
          </w:rPr>
          <w:t>DE</w:t>
        </w:r>
      </w:smartTag>
      <w:r w:rsidRPr="002D741C">
        <w:rPr>
          <w:b/>
          <w:color w:val="000000"/>
          <w:sz w:val="22"/>
          <w:szCs w:val="22"/>
        </w:rPr>
        <w:t>BE MANTENER</w:t>
      </w:r>
      <w:smartTag w:uri="urn:schemas-microsoft-com:office:smarttags" w:element="PersonName">
        <w:r w:rsidRPr="002D741C">
          <w:rPr>
            <w:b/>
            <w:color w:val="000000"/>
            <w:sz w:val="22"/>
            <w:szCs w:val="22"/>
          </w:rPr>
          <w:t>SE</w:t>
        </w:r>
      </w:smartTag>
      <w:r w:rsidRPr="002D741C">
        <w:rPr>
          <w:b/>
          <w:color w:val="000000"/>
          <w:sz w:val="22"/>
          <w:szCs w:val="22"/>
        </w:rPr>
        <w:t xml:space="preserve"> FUERA </w:t>
      </w:r>
      <w:smartTag w:uri="urn:schemas-microsoft-com:office:smarttags" w:element="PersonName">
        <w:r w:rsidRPr="002D741C">
          <w:rPr>
            <w:b/>
            <w:color w:val="000000"/>
            <w:sz w:val="22"/>
            <w:szCs w:val="22"/>
          </w:rPr>
          <w:t>DE</w:t>
        </w:r>
      </w:smartTag>
      <w:r w:rsidRPr="002D741C">
        <w:rPr>
          <w:b/>
          <w:color w:val="000000"/>
          <w:sz w:val="22"/>
          <w:szCs w:val="22"/>
        </w:rPr>
        <w:t xml:space="preserve"> </w:t>
      </w:r>
      <w:smartTag w:uri="urn:schemas-microsoft-com:office:smarttags" w:element="PersonName">
        <w:smartTagPr>
          <w:attr w:name="ProductID" w:val="LA VISTA Y"/>
        </w:smartTagPr>
        <w:r w:rsidRPr="002D741C">
          <w:rPr>
            <w:b/>
            <w:color w:val="000000"/>
            <w:sz w:val="22"/>
            <w:szCs w:val="22"/>
          </w:rPr>
          <w:t>LA V</w:t>
        </w:r>
        <w:smartTag w:uri="urn:schemas-microsoft-com:office:smarttags" w:element="PersonName">
          <w:r w:rsidRPr="002D741C">
            <w:rPr>
              <w:b/>
              <w:color w:val="000000"/>
              <w:sz w:val="22"/>
              <w:szCs w:val="22"/>
            </w:rPr>
            <w:t>IS</w:t>
          </w:r>
        </w:smartTag>
        <w:r w:rsidRPr="002D741C">
          <w:rPr>
            <w:b/>
            <w:color w:val="000000"/>
            <w:sz w:val="22"/>
            <w:szCs w:val="22"/>
          </w:rPr>
          <w:t>TA Y</w:t>
        </w:r>
      </w:smartTag>
      <w:r w:rsidRPr="002D741C">
        <w:rPr>
          <w:b/>
          <w:color w:val="000000"/>
          <w:sz w:val="22"/>
          <w:szCs w:val="22"/>
        </w:rPr>
        <w:t xml:space="preserve"> </w:t>
      </w:r>
      <w:smartTag w:uri="urn:schemas-microsoft-com:office:smarttags" w:element="stockticker">
        <w:smartTag w:uri="urn:schemas-microsoft-com:office:smarttags" w:element="PersonName">
          <w:r w:rsidRPr="002D741C">
            <w:rPr>
              <w:b/>
              <w:color w:val="000000"/>
              <w:sz w:val="22"/>
              <w:szCs w:val="22"/>
            </w:rPr>
            <w:t>D</w:t>
          </w:r>
          <w:smartTag w:uri="urn:schemas-microsoft-com:office:smarttags" w:element="PersonName">
            <w:r w:rsidRPr="002D741C">
              <w:rPr>
                <w:b/>
                <w:color w:val="000000"/>
                <w:sz w:val="22"/>
                <w:szCs w:val="22"/>
              </w:rPr>
              <w:t>E</w:t>
            </w:r>
          </w:smartTag>
        </w:smartTag>
        <w:r w:rsidRPr="002D741C">
          <w:rPr>
            <w:b/>
            <w:color w:val="000000"/>
            <w:sz w:val="22"/>
            <w:szCs w:val="22"/>
          </w:rPr>
          <w:t>L</w:t>
        </w:r>
      </w:smartTag>
      <w:r w:rsidRPr="002D741C">
        <w:rPr>
          <w:b/>
          <w:color w:val="000000"/>
          <w:sz w:val="22"/>
          <w:szCs w:val="22"/>
        </w:rPr>
        <w:t xml:space="preserve"> ALCANCE </w:t>
      </w:r>
      <w:smartTag w:uri="urn:schemas-microsoft-com:office:smarttags" w:element="PersonName">
        <w:r w:rsidRPr="002D741C">
          <w:rPr>
            <w:b/>
            <w:color w:val="000000"/>
            <w:sz w:val="22"/>
            <w:szCs w:val="22"/>
          </w:rPr>
          <w:t>DE</w:t>
        </w:r>
      </w:smartTag>
      <w:r w:rsidRPr="002D741C">
        <w:rPr>
          <w:b/>
          <w:color w:val="000000"/>
          <w:sz w:val="22"/>
          <w:szCs w:val="22"/>
        </w:rPr>
        <w:t xml:space="preserve"> LOS NIÑOS</w:t>
      </w:r>
    </w:p>
    <w:p w14:paraId="7C826198" w14:textId="77777777" w:rsidR="0040333F" w:rsidRPr="002D741C" w:rsidRDefault="0040333F" w:rsidP="0040333F">
      <w:pPr>
        <w:widowControl w:val="0"/>
        <w:rPr>
          <w:color w:val="000000"/>
          <w:sz w:val="22"/>
          <w:szCs w:val="22"/>
        </w:rPr>
      </w:pPr>
    </w:p>
    <w:p w14:paraId="30E703AC" w14:textId="77777777" w:rsidR="0040333F" w:rsidRPr="002D741C" w:rsidRDefault="0040333F" w:rsidP="0040333F">
      <w:pPr>
        <w:widowControl w:val="0"/>
        <w:rPr>
          <w:color w:val="000000"/>
          <w:sz w:val="22"/>
          <w:szCs w:val="22"/>
        </w:rPr>
      </w:pPr>
      <w:r w:rsidRPr="002D741C">
        <w:rPr>
          <w:color w:val="000000"/>
          <w:sz w:val="22"/>
          <w:szCs w:val="22"/>
        </w:rPr>
        <w:t xml:space="preserve">Mantener fuera </w:t>
      </w:r>
      <w:r w:rsidR="00C15D22" w:rsidRPr="002D741C">
        <w:rPr>
          <w:color w:val="000000"/>
          <w:sz w:val="22"/>
          <w:szCs w:val="22"/>
        </w:rPr>
        <w:t xml:space="preserve">de la vista y </w:t>
      </w:r>
      <w:r w:rsidRPr="002D741C">
        <w:rPr>
          <w:color w:val="000000"/>
          <w:sz w:val="22"/>
          <w:szCs w:val="22"/>
        </w:rPr>
        <w:t>del alcance de los niños.</w:t>
      </w:r>
    </w:p>
    <w:p w14:paraId="2984B647" w14:textId="77777777" w:rsidR="0040333F" w:rsidRPr="002D741C" w:rsidRDefault="0040333F" w:rsidP="0040333F">
      <w:pPr>
        <w:widowControl w:val="0"/>
        <w:rPr>
          <w:color w:val="000000"/>
          <w:sz w:val="22"/>
          <w:szCs w:val="22"/>
        </w:rPr>
      </w:pPr>
    </w:p>
    <w:p w14:paraId="63517EA2" w14:textId="77777777" w:rsidR="0040333F" w:rsidRPr="002D741C" w:rsidRDefault="0040333F" w:rsidP="0040333F">
      <w:pPr>
        <w:widowControl w:val="0"/>
        <w:rPr>
          <w:color w:val="000000"/>
          <w:sz w:val="22"/>
          <w:szCs w:val="22"/>
        </w:rPr>
      </w:pPr>
    </w:p>
    <w:p w14:paraId="4873F993" w14:textId="77777777" w:rsidR="0040333F" w:rsidRPr="002D741C" w:rsidRDefault="0040333F" w:rsidP="0040333F">
      <w:pPr>
        <w:widowControl w:val="0"/>
        <w:pBdr>
          <w:top w:val="single" w:sz="4" w:space="1" w:color="auto"/>
          <w:left w:val="single" w:sz="4" w:space="4" w:color="auto"/>
          <w:bottom w:val="single" w:sz="4" w:space="1" w:color="auto"/>
          <w:right w:val="single" w:sz="4" w:space="4" w:color="auto"/>
        </w:pBdr>
        <w:ind w:left="567" w:hanging="567"/>
        <w:rPr>
          <w:b/>
          <w:color w:val="000000"/>
          <w:sz w:val="22"/>
          <w:szCs w:val="22"/>
        </w:rPr>
      </w:pPr>
      <w:r w:rsidRPr="002D741C">
        <w:rPr>
          <w:b/>
          <w:color w:val="000000"/>
          <w:sz w:val="22"/>
          <w:szCs w:val="22"/>
        </w:rPr>
        <w:t>7.</w:t>
      </w:r>
      <w:r w:rsidRPr="002D741C">
        <w:rPr>
          <w:b/>
          <w:color w:val="000000"/>
          <w:sz w:val="22"/>
          <w:szCs w:val="22"/>
        </w:rPr>
        <w:tab/>
        <w:t xml:space="preserve">OTRA(S) ADVERTENCIA(S) ESPECIAL(ES), </w:t>
      </w:r>
      <w:smartTag w:uri="urn:schemas-microsoft-com:office:smarttags" w:element="PersonName">
        <w:r w:rsidRPr="002D741C">
          <w:rPr>
            <w:b/>
            <w:color w:val="000000"/>
            <w:sz w:val="22"/>
            <w:szCs w:val="22"/>
          </w:rPr>
          <w:t>SI</w:t>
        </w:r>
      </w:smartTag>
      <w:r w:rsidRPr="002D741C">
        <w:rPr>
          <w:b/>
          <w:color w:val="000000"/>
          <w:sz w:val="22"/>
          <w:szCs w:val="22"/>
        </w:rPr>
        <w:t xml:space="preserve"> ES NECESARIO</w:t>
      </w:r>
    </w:p>
    <w:p w14:paraId="243A4562" w14:textId="77777777" w:rsidR="0040333F" w:rsidRPr="002D741C" w:rsidRDefault="0040333F" w:rsidP="0040333F">
      <w:pPr>
        <w:widowControl w:val="0"/>
        <w:rPr>
          <w:color w:val="000000"/>
          <w:sz w:val="22"/>
          <w:szCs w:val="22"/>
        </w:rPr>
      </w:pPr>
    </w:p>
    <w:p w14:paraId="6A84974B" w14:textId="77777777" w:rsidR="0040333F" w:rsidRPr="002D741C" w:rsidRDefault="0040333F" w:rsidP="0040333F">
      <w:pPr>
        <w:widowControl w:val="0"/>
        <w:rPr>
          <w:color w:val="000000"/>
          <w:sz w:val="22"/>
          <w:szCs w:val="22"/>
        </w:rPr>
      </w:pPr>
      <w:r w:rsidRPr="002D741C">
        <w:rPr>
          <w:color w:val="000000"/>
          <w:sz w:val="22"/>
          <w:szCs w:val="22"/>
        </w:rPr>
        <w:t>Utilizar únicamente como le indique un médico.</w:t>
      </w:r>
    </w:p>
    <w:p w14:paraId="7BACF827" w14:textId="77777777" w:rsidR="0040333F" w:rsidRPr="002D741C" w:rsidRDefault="0040333F" w:rsidP="0040333F">
      <w:pPr>
        <w:widowControl w:val="0"/>
        <w:tabs>
          <w:tab w:val="left" w:pos="993"/>
        </w:tabs>
        <w:rPr>
          <w:color w:val="000000"/>
          <w:sz w:val="22"/>
          <w:szCs w:val="22"/>
        </w:rPr>
      </w:pPr>
    </w:p>
    <w:p w14:paraId="35B8DD31" w14:textId="77777777" w:rsidR="0040333F" w:rsidRPr="002D741C" w:rsidRDefault="0040333F" w:rsidP="0040333F">
      <w:pPr>
        <w:widowControl w:val="0"/>
        <w:tabs>
          <w:tab w:val="left" w:pos="993"/>
        </w:tabs>
        <w:rPr>
          <w:color w:val="000000"/>
          <w:sz w:val="22"/>
          <w:szCs w:val="22"/>
        </w:rPr>
      </w:pPr>
    </w:p>
    <w:p w14:paraId="100A5F5F" w14:textId="77777777" w:rsidR="0040333F" w:rsidRPr="002D741C" w:rsidRDefault="0040333F" w:rsidP="0040333F">
      <w:pPr>
        <w:widowControl w:val="0"/>
        <w:pBdr>
          <w:top w:val="single" w:sz="4" w:space="1" w:color="auto"/>
          <w:left w:val="single" w:sz="4" w:space="4" w:color="auto"/>
          <w:bottom w:val="single" w:sz="4" w:space="1" w:color="auto"/>
          <w:right w:val="single" w:sz="4" w:space="4" w:color="auto"/>
        </w:pBdr>
        <w:tabs>
          <w:tab w:val="left" w:pos="993"/>
        </w:tabs>
        <w:ind w:left="567" w:hanging="567"/>
        <w:rPr>
          <w:b/>
          <w:color w:val="000000"/>
          <w:sz w:val="22"/>
          <w:szCs w:val="22"/>
        </w:rPr>
      </w:pPr>
      <w:r w:rsidRPr="002D741C">
        <w:rPr>
          <w:b/>
          <w:color w:val="000000"/>
          <w:sz w:val="22"/>
          <w:szCs w:val="22"/>
        </w:rPr>
        <w:t>8.</w:t>
      </w:r>
      <w:r w:rsidRPr="002D741C">
        <w:rPr>
          <w:b/>
          <w:color w:val="000000"/>
          <w:sz w:val="22"/>
          <w:szCs w:val="22"/>
        </w:rPr>
        <w:tab/>
        <w:t xml:space="preserve">FECHA </w:t>
      </w:r>
      <w:smartTag w:uri="urn:schemas-microsoft-com:office:smarttags" w:element="PersonName">
        <w:r w:rsidRPr="002D741C">
          <w:rPr>
            <w:b/>
            <w:color w:val="000000"/>
            <w:sz w:val="22"/>
            <w:szCs w:val="22"/>
          </w:rPr>
          <w:t>DE</w:t>
        </w:r>
      </w:smartTag>
      <w:r w:rsidRPr="002D741C">
        <w:rPr>
          <w:b/>
          <w:color w:val="000000"/>
          <w:sz w:val="22"/>
          <w:szCs w:val="22"/>
        </w:rPr>
        <w:t xml:space="preserve"> CADUCIDAD</w:t>
      </w:r>
    </w:p>
    <w:p w14:paraId="78F96652" w14:textId="77777777" w:rsidR="0040333F" w:rsidRPr="002D741C" w:rsidRDefault="0040333F" w:rsidP="0040333F">
      <w:pPr>
        <w:widowControl w:val="0"/>
        <w:tabs>
          <w:tab w:val="left" w:pos="993"/>
        </w:tabs>
        <w:ind w:left="567" w:hanging="567"/>
        <w:rPr>
          <w:color w:val="000000"/>
          <w:sz w:val="22"/>
          <w:szCs w:val="22"/>
        </w:rPr>
      </w:pPr>
    </w:p>
    <w:p w14:paraId="12D75B71" w14:textId="77777777" w:rsidR="0040333F" w:rsidRPr="002D741C" w:rsidRDefault="0040333F" w:rsidP="0040333F">
      <w:pPr>
        <w:pStyle w:val="EndnoteText"/>
        <w:widowControl w:val="0"/>
        <w:tabs>
          <w:tab w:val="clear" w:pos="567"/>
        </w:tabs>
        <w:rPr>
          <w:color w:val="000000"/>
          <w:szCs w:val="22"/>
          <w:lang w:val="es-ES"/>
        </w:rPr>
      </w:pPr>
      <w:r w:rsidRPr="002D741C">
        <w:rPr>
          <w:color w:val="000000"/>
          <w:szCs w:val="22"/>
          <w:lang w:val="es-ES"/>
        </w:rPr>
        <w:t>CAD</w:t>
      </w:r>
    </w:p>
    <w:p w14:paraId="6ADBB712" w14:textId="77777777" w:rsidR="0040333F" w:rsidRPr="002D741C" w:rsidRDefault="0040333F" w:rsidP="0040333F">
      <w:pPr>
        <w:widowControl w:val="0"/>
        <w:rPr>
          <w:color w:val="000000"/>
          <w:sz w:val="22"/>
          <w:szCs w:val="22"/>
          <w:lang w:val="nl-NL"/>
        </w:rPr>
      </w:pPr>
    </w:p>
    <w:p w14:paraId="0A0B1026" w14:textId="77777777" w:rsidR="0040333F" w:rsidRPr="002D741C" w:rsidRDefault="0040333F" w:rsidP="0040333F">
      <w:pPr>
        <w:widowControl w:val="0"/>
        <w:rPr>
          <w:color w:val="000000"/>
          <w:sz w:val="22"/>
          <w:szCs w:val="22"/>
          <w:lang w:val="nl-NL"/>
        </w:rPr>
      </w:pPr>
    </w:p>
    <w:p w14:paraId="657736C7" w14:textId="77777777" w:rsidR="0040333F" w:rsidRPr="002D741C" w:rsidRDefault="0040333F" w:rsidP="0040333F">
      <w:pPr>
        <w:widowControl w:val="0"/>
        <w:pBdr>
          <w:top w:val="single" w:sz="4" w:space="1" w:color="auto"/>
          <w:left w:val="single" w:sz="4" w:space="4" w:color="auto"/>
          <w:bottom w:val="single" w:sz="4" w:space="1" w:color="auto"/>
          <w:right w:val="single" w:sz="4" w:space="4" w:color="auto"/>
        </w:pBdr>
        <w:ind w:left="567" w:hanging="567"/>
        <w:rPr>
          <w:b/>
          <w:color w:val="000000"/>
          <w:sz w:val="22"/>
          <w:szCs w:val="22"/>
        </w:rPr>
      </w:pPr>
      <w:r w:rsidRPr="002D741C">
        <w:rPr>
          <w:b/>
          <w:color w:val="000000"/>
          <w:sz w:val="22"/>
          <w:szCs w:val="22"/>
        </w:rPr>
        <w:t>9.</w:t>
      </w:r>
      <w:r w:rsidRPr="002D741C">
        <w:rPr>
          <w:b/>
          <w:color w:val="000000"/>
          <w:sz w:val="22"/>
          <w:szCs w:val="22"/>
        </w:rPr>
        <w:tab/>
        <w:t xml:space="preserve">CONDICIONES ESPECIALES </w:t>
      </w:r>
      <w:smartTag w:uri="urn:schemas-microsoft-com:office:smarttags" w:element="PersonName">
        <w:r w:rsidRPr="002D741C">
          <w:rPr>
            <w:b/>
            <w:color w:val="000000"/>
            <w:sz w:val="22"/>
            <w:szCs w:val="22"/>
          </w:rPr>
          <w:t>DE</w:t>
        </w:r>
      </w:smartTag>
      <w:r w:rsidRPr="002D741C">
        <w:rPr>
          <w:b/>
          <w:color w:val="000000"/>
          <w:sz w:val="22"/>
          <w:szCs w:val="22"/>
        </w:rPr>
        <w:t xml:space="preserve"> CON</w:t>
      </w:r>
      <w:smartTag w:uri="urn:schemas-microsoft-com:office:smarttags" w:element="PersonName">
        <w:r w:rsidRPr="002D741C">
          <w:rPr>
            <w:b/>
            <w:color w:val="000000"/>
            <w:sz w:val="22"/>
            <w:szCs w:val="22"/>
          </w:rPr>
          <w:t>SE</w:t>
        </w:r>
      </w:smartTag>
      <w:r w:rsidRPr="002D741C">
        <w:rPr>
          <w:b/>
          <w:color w:val="000000"/>
          <w:sz w:val="22"/>
          <w:szCs w:val="22"/>
        </w:rPr>
        <w:t>RVACIÓN</w:t>
      </w:r>
    </w:p>
    <w:p w14:paraId="297D5A3E" w14:textId="77777777" w:rsidR="0040333F" w:rsidRPr="002D741C" w:rsidRDefault="0040333F" w:rsidP="0040333F">
      <w:pPr>
        <w:widowControl w:val="0"/>
        <w:rPr>
          <w:color w:val="000000"/>
          <w:sz w:val="22"/>
          <w:szCs w:val="22"/>
        </w:rPr>
      </w:pPr>
    </w:p>
    <w:p w14:paraId="48FBD038" w14:textId="77777777" w:rsidR="0040333F" w:rsidRPr="002D741C" w:rsidRDefault="0040333F" w:rsidP="0040333F">
      <w:pPr>
        <w:pStyle w:val="EndnoteText"/>
        <w:widowControl w:val="0"/>
        <w:tabs>
          <w:tab w:val="clear" w:pos="567"/>
        </w:tabs>
        <w:rPr>
          <w:color w:val="000000"/>
          <w:szCs w:val="22"/>
          <w:lang w:val="es-ES"/>
        </w:rPr>
      </w:pPr>
      <w:r w:rsidRPr="002D741C">
        <w:rPr>
          <w:color w:val="000000"/>
          <w:szCs w:val="22"/>
          <w:lang w:val="es-ES"/>
        </w:rPr>
        <w:t xml:space="preserve">No conservar a temperatura superior a </w:t>
      </w:r>
      <w:smartTag w:uri="urn:schemas-microsoft-com:office:smarttags" w:element="metricconverter">
        <w:smartTagPr>
          <w:attr w:name="ProductID" w:val="30ﾰC"/>
        </w:smartTagPr>
        <w:r w:rsidRPr="002D741C">
          <w:rPr>
            <w:color w:val="000000"/>
            <w:szCs w:val="22"/>
            <w:lang w:val="es-ES"/>
          </w:rPr>
          <w:t>30°C</w:t>
        </w:r>
      </w:smartTag>
      <w:r w:rsidRPr="002D741C">
        <w:rPr>
          <w:color w:val="000000"/>
          <w:szCs w:val="22"/>
          <w:lang w:val="es-ES"/>
        </w:rPr>
        <w:t>. Conservar en el embalaje original para protegerlo de la humedad.</w:t>
      </w:r>
    </w:p>
    <w:p w14:paraId="7F6FCA0F" w14:textId="77777777" w:rsidR="0040333F" w:rsidRPr="002D741C" w:rsidRDefault="0040333F" w:rsidP="0040333F">
      <w:pPr>
        <w:widowControl w:val="0"/>
        <w:ind w:left="567" w:hanging="567"/>
        <w:rPr>
          <w:color w:val="000000"/>
          <w:sz w:val="22"/>
          <w:szCs w:val="22"/>
        </w:rPr>
      </w:pPr>
    </w:p>
    <w:p w14:paraId="7EA799DB" w14:textId="77777777" w:rsidR="0040333F" w:rsidRPr="002D741C" w:rsidRDefault="0040333F" w:rsidP="0040333F">
      <w:pPr>
        <w:widowControl w:val="0"/>
        <w:ind w:left="567" w:hanging="567"/>
        <w:rPr>
          <w:color w:val="000000"/>
          <w:sz w:val="22"/>
          <w:szCs w:val="22"/>
        </w:rPr>
      </w:pPr>
    </w:p>
    <w:p w14:paraId="7EC662DC" w14:textId="77777777" w:rsidR="0040333F" w:rsidRPr="002D741C" w:rsidRDefault="0040333F" w:rsidP="006662BC">
      <w:pPr>
        <w:keepLines/>
        <w:widowControl w:val="0"/>
        <w:pBdr>
          <w:top w:val="single" w:sz="4" w:space="1" w:color="auto"/>
          <w:left w:val="single" w:sz="4" w:space="4" w:color="auto"/>
          <w:bottom w:val="single" w:sz="4" w:space="1" w:color="auto"/>
          <w:right w:val="single" w:sz="4" w:space="4" w:color="auto"/>
        </w:pBdr>
        <w:ind w:left="567" w:hanging="567"/>
        <w:rPr>
          <w:b/>
          <w:color w:val="000000"/>
          <w:sz w:val="22"/>
          <w:szCs w:val="22"/>
        </w:rPr>
      </w:pPr>
      <w:r w:rsidRPr="002D741C">
        <w:rPr>
          <w:b/>
          <w:color w:val="000000"/>
          <w:sz w:val="22"/>
          <w:szCs w:val="22"/>
        </w:rPr>
        <w:lastRenderedPageBreak/>
        <w:t>10.</w:t>
      </w:r>
      <w:r w:rsidRPr="002D741C">
        <w:rPr>
          <w:b/>
          <w:color w:val="000000"/>
          <w:sz w:val="22"/>
          <w:szCs w:val="22"/>
        </w:rPr>
        <w:tab/>
        <w:t xml:space="preserve">PRECAUCIONES ESPECIALES </w:t>
      </w:r>
      <w:smartTag w:uri="urn:schemas-microsoft-com:office:smarttags" w:element="PersonName">
        <w:r w:rsidRPr="002D741C">
          <w:rPr>
            <w:b/>
            <w:color w:val="000000"/>
            <w:sz w:val="22"/>
            <w:szCs w:val="22"/>
          </w:rPr>
          <w:t>DE</w:t>
        </w:r>
      </w:smartTag>
      <w:r w:rsidRPr="002D741C">
        <w:rPr>
          <w:b/>
          <w:color w:val="000000"/>
          <w:sz w:val="22"/>
          <w:szCs w:val="22"/>
        </w:rPr>
        <w:t xml:space="preserve"> </w:t>
      </w:r>
      <w:smartTag w:uri="urn:schemas-microsoft-com:office:smarttags" w:element="PersonName">
        <w:r w:rsidRPr="002D741C">
          <w:rPr>
            <w:b/>
            <w:color w:val="000000"/>
            <w:sz w:val="22"/>
            <w:szCs w:val="22"/>
          </w:rPr>
          <w:t>EL</w:t>
        </w:r>
      </w:smartTag>
      <w:r w:rsidRPr="002D741C">
        <w:rPr>
          <w:b/>
          <w:color w:val="000000"/>
          <w:sz w:val="22"/>
          <w:szCs w:val="22"/>
        </w:rPr>
        <w:t xml:space="preserve">IMINACIÓN </w:t>
      </w:r>
      <w:smartTag w:uri="urn:schemas-microsoft-com:office:smarttags" w:element="stockticker">
        <w:smartTag w:uri="urn:schemas-microsoft-com:office:smarttags" w:element="PersonName">
          <w:r w:rsidRPr="002D741C">
            <w:rPr>
              <w:b/>
              <w:color w:val="000000"/>
              <w:sz w:val="22"/>
              <w:szCs w:val="22"/>
            </w:rPr>
            <w:t>D</w:t>
          </w:r>
          <w:smartTag w:uri="urn:schemas-microsoft-com:office:smarttags" w:element="PersonName">
            <w:r w:rsidRPr="002D741C">
              <w:rPr>
                <w:b/>
                <w:color w:val="000000"/>
                <w:sz w:val="22"/>
                <w:szCs w:val="22"/>
              </w:rPr>
              <w:t>E</w:t>
            </w:r>
          </w:smartTag>
        </w:smartTag>
        <w:r w:rsidRPr="002D741C">
          <w:rPr>
            <w:b/>
            <w:color w:val="000000"/>
            <w:sz w:val="22"/>
            <w:szCs w:val="22"/>
          </w:rPr>
          <w:t>L</w:t>
        </w:r>
      </w:smartTag>
      <w:r w:rsidRPr="002D741C">
        <w:rPr>
          <w:b/>
          <w:color w:val="000000"/>
          <w:sz w:val="22"/>
          <w:szCs w:val="22"/>
        </w:rPr>
        <w:t xml:space="preserve"> MEDICAMENTO </w:t>
      </w:r>
      <w:smartTag w:uri="urn:schemas-microsoft-com:office:smarttags" w:element="PersonName">
        <w:r w:rsidRPr="002D741C">
          <w:rPr>
            <w:b/>
            <w:color w:val="000000"/>
            <w:sz w:val="22"/>
            <w:szCs w:val="22"/>
          </w:rPr>
          <w:t>NO</w:t>
        </w:r>
      </w:smartTag>
      <w:r w:rsidRPr="002D741C">
        <w:rPr>
          <w:b/>
          <w:color w:val="000000"/>
          <w:sz w:val="22"/>
          <w:szCs w:val="22"/>
        </w:rPr>
        <w:t xml:space="preserve"> UTILIZADO Y </w:t>
      </w:r>
      <w:smartTag w:uri="urn:schemas-microsoft-com:office:smarttags" w:element="PersonName">
        <w:r w:rsidRPr="002D741C">
          <w:rPr>
            <w:b/>
            <w:color w:val="000000"/>
            <w:sz w:val="22"/>
            <w:szCs w:val="22"/>
          </w:rPr>
          <w:t>DE</w:t>
        </w:r>
      </w:smartTag>
      <w:r w:rsidRPr="002D741C">
        <w:rPr>
          <w:b/>
          <w:color w:val="000000"/>
          <w:sz w:val="22"/>
          <w:szCs w:val="22"/>
        </w:rPr>
        <w:t xml:space="preserve"> LOS MATERIALES </w:t>
      </w:r>
      <w:smartTag w:uri="urn:schemas-microsoft-com:office:smarttags" w:element="PersonName">
        <w:r w:rsidRPr="002D741C">
          <w:rPr>
            <w:b/>
            <w:color w:val="000000"/>
            <w:sz w:val="22"/>
            <w:szCs w:val="22"/>
          </w:rPr>
          <w:t>DE</w:t>
        </w:r>
      </w:smartTag>
      <w:r w:rsidRPr="002D741C">
        <w:rPr>
          <w:b/>
          <w:color w:val="000000"/>
          <w:sz w:val="22"/>
          <w:szCs w:val="22"/>
        </w:rPr>
        <w:t xml:space="preserve">RIVADOS </w:t>
      </w:r>
      <w:smartTag w:uri="urn:schemas-microsoft-com:office:smarttags" w:element="PersonName">
        <w:r w:rsidRPr="002D741C">
          <w:rPr>
            <w:b/>
            <w:color w:val="000000"/>
            <w:sz w:val="22"/>
            <w:szCs w:val="22"/>
          </w:rPr>
          <w:t>DE</w:t>
        </w:r>
      </w:smartTag>
      <w:r w:rsidRPr="002D741C">
        <w:rPr>
          <w:b/>
          <w:color w:val="000000"/>
          <w:sz w:val="22"/>
          <w:szCs w:val="22"/>
        </w:rPr>
        <w:t xml:space="preserve"> SU USO (CUANDO CORRESPONDA)</w:t>
      </w:r>
    </w:p>
    <w:p w14:paraId="1BCB9F50" w14:textId="77777777" w:rsidR="0040333F" w:rsidRPr="002D741C" w:rsidRDefault="0040333F" w:rsidP="0040333F">
      <w:pPr>
        <w:widowControl w:val="0"/>
        <w:rPr>
          <w:color w:val="000000"/>
          <w:sz w:val="22"/>
          <w:szCs w:val="22"/>
        </w:rPr>
      </w:pPr>
    </w:p>
    <w:p w14:paraId="6DAB909C" w14:textId="77777777" w:rsidR="0040333F" w:rsidRPr="002D741C" w:rsidRDefault="0040333F" w:rsidP="0040333F">
      <w:pPr>
        <w:widowControl w:val="0"/>
        <w:rPr>
          <w:color w:val="000000"/>
          <w:sz w:val="22"/>
          <w:szCs w:val="22"/>
        </w:rPr>
      </w:pPr>
    </w:p>
    <w:p w14:paraId="69D794A0" w14:textId="77777777" w:rsidR="0040333F" w:rsidRPr="002D741C" w:rsidRDefault="0040333F" w:rsidP="0040333F">
      <w:pPr>
        <w:widowControl w:val="0"/>
        <w:pBdr>
          <w:top w:val="single" w:sz="4" w:space="1" w:color="auto"/>
          <w:left w:val="single" w:sz="4" w:space="4" w:color="auto"/>
          <w:bottom w:val="single" w:sz="4" w:space="1" w:color="auto"/>
          <w:right w:val="single" w:sz="4" w:space="4" w:color="auto"/>
        </w:pBdr>
        <w:ind w:left="567" w:hanging="567"/>
        <w:rPr>
          <w:b/>
          <w:color w:val="000000"/>
          <w:sz w:val="22"/>
          <w:szCs w:val="22"/>
        </w:rPr>
      </w:pPr>
      <w:r w:rsidRPr="002D741C">
        <w:rPr>
          <w:b/>
          <w:color w:val="000000"/>
          <w:sz w:val="22"/>
          <w:szCs w:val="22"/>
        </w:rPr>
        <w:t>11.</w:t>
      </w:r>
      <w:r w:rsidRPr="002D741C">
        <w:rPr>
          <w:b/>
          <w:color w:val="000000"/>
          <w:sz w:val="22"/>
          <w:szCs w:val="22"/>
        </w:rPr>
        <w:tab/>
      </w:r>
      <w:smartTag w:uri="urn:schemas-microsoft-com:office:smarttags" w:element="PersonName">
        <w:r w:rsidRPr="002D741C">
          <w:rPr>
            <w:b/>
            <w:color w:val="000000"/>
            <w:sz w:val="22"/>
            <w:szCs w:val="22"/>
          </w:rPr>
          <w:t>NO</w:t>
        </w:r>
      </w:smartTag>
      <w:r w:rsidRPr="002D741C">
        <w:rPr>
          <w:b/>
          <w:color w:val="000000"/>
          <w:sz w:val="22"/>
          <w:szCs w:val="22"/>
        </w:rPr>
        <w:t xml:space="preserve">MBRE Y DIRECCIÓN </w:t>
      </w:r>
      <w:smartTag w:uri="urn:schemas-microsoft-com:office:smarttags" w:element="stockticker">
        <w:smartTag w:uri="urn:schemas-microsoft-com:office:smarttags" w:element="PersonName">
          <w:r w:rsidRPr="002D741C">
            <w:rPr>
              <w:b/>
              <w:color w:val="000000"/>
              <w:sz w:val="22"/>
              <w:szCs w:val="22"/>
            </w:rPr>
            <w:t>D</w:t>
          </w:r>
          <w:smartTag w:uri="urn:schemas-microsoft-com:office:smarttags" w:element="PersonName">
            <w:r w:rsidRPr="002D741C">
              <w:rPr>
                <w:b/>
                <w:color w:val="000000"/>
                <w:sz w:val="22"/>
                <w:szCs w:val="22"/>
              </w:rPr>
              <w:t>E</w:t>
            </w:r>
          </w:smartTag>
        </w:smartTag>
        <w:r w:rsidRPr="002D741C">
          <w:rPr>
            <w:b/>
            <w:color w:val="000000"/>
            <w:sz w:val="22"/>
            <w:szCs w:val="22"/>
          </w:rPr>
          <w:t>L</w:t>
        </w:r>
      </w:smartTag>
      <w:r w:rsidRPr="002D741C">
        <w:rPr>
          <w:b/>
          <w:color w:val="000000"/>
          <w:sz w:val="22"/>
          <w:szCs w:val="22"/>
        </w:rPr>
        <w:t xml:space="preserve"> T</w:t>
      </w:r>
      <w:smartTag w:uri="urn:schemas-microsoft-com:office:smarttags" w:element="PersonName">
        <w:r w:rsidRPr="002D741C">
          <w:rPr>
            <w:b/>
            <w:color w:val="000000"/>
            <w:sz w:val="22"/>
            <w:szCs w:val="22"/>
          </w:rPr>
          <w:t>IT</w:t>
        </w:r>
      </w:smartTag>
      <w:r w:rsidRPr="002D741C">
        <w:rPr>
          <w:b/>
          <w:color w:val="000000"/>
          <w:sz w:val="22"/>
          <w:szCs w:val="22"/>
        </w:rPr>
        <w:t xml:space="preserve">ULAR </w:t>
      </w:r>
      <w:smartTag w:uri="urn:schemas-microsoft-com:office:smarttags" w:element="PersonName">
        <w:r w:rsidRPr="002D741C">
          <w:rPr>
            <w:b/>
            <w:color w:val="000000"/>
            <w:sz w:val="22"/>
            <w:szCs w:val="22"/>
          </w:rPr>
          <w:t>DE</w:t>
        </w:r>
      </w:smartTag>
      <w:r w:rsidRPr="002D741C">
        <w:rPr>
          <w:b/>
          <w:color w:val="000000"/>
          <w:sz w:val="22"/>
          <w:szCs w:val="22"/>
        </w:rPr>
        <w:t xml:space="preserve"> </w:t>
      </w:r>
      <w:smartTag w:uri="urn:schemas-microsoft-com:office:smarttags" w:element="PersonName">
        <w:smartTagPr>
          <w:attr w:name="ProductID" w:val="LA AUTORIZACIￓN DE"/>
        </w:smartTagPr>
        <w:r w:rsidRPr="002D741C">
          <w:rPr>
            <w:b/>
            <w:color w:val="000000"/>
            <w:sz w:val="22"/>
            <w:szCs w:val="22"/>
          </w:rPr>
          <w:t xml:space="preserve">LA AUTORIZACIÓN </w:t>
        </w:r>
        <w:smartTag w:uri="urn:schemas-microsoft-com:office:smarttags" w:element="PersonName">
          <w:r w:rsidRPr="002D741C">
            <w:rPr>
              <w:b/>
              <w:color w:val="000000"/>
              <w:sz w:val="22"/>
              <w:szCs w:val="22"/>
            </w:rPr>
            <w:t>DE</w:t>
          </w:r>
        </w:smartTag>
      </w:smartTag>
      <w:r w:rsidRPr="002D741C">
        <w:rPr>
          <w:b/>
          <w:color w:val="000000"/>
          <w:sz w:val="22"/>
          <w:szCs w:val="22"/>
        </w:rPr>
        <w:t xml:space="preserve"> COMERCIALIZACIÓN</w:t>
      </w:r>
    </w:p>
    <w:p w14:paraId="0E6DA3F5" w14:textId="77777777" w:rsidR="0040333F" w:rsidRPr="002D741C" w:rsidRDefault="0040333F" w:rsidP="0040333F">
      <w:pPr>
        <w:widowControl w:val="0"/>
        <w:rPr>
          <w:color w:val="000000"/>
          <w:sz w:val="22"/>
          <w:szCs w:val="22"/>
        </w:rPr>
      </w:pPr>
    </w:p>
    <w:p w14:paraId="1F379BB6" w14:textId="77777777" w:rsidR="0040333F" w:rsidRPr="002D741C" w:rsidRDefault="0040333F" w:rsidP="0040333F">
      <w:pPr>
        <w:pStyle w:val="EndnoteText"/>
        <w:widowControl w:val="0"/>
        <w:tabs>
          <w:tab w:val="clear" w:pos="567"/>
        </w:tabs>
        <w:rPr>
          <w:color w:val="000000"/>
          <w:szCs w:val="22"/>
        </w:rPr>
      </w:pPr>
      <w:r w:rsidRPr="002D741C">
        <w:rPr>
          <w:color w:val="000000"/>
          <w:szCs w:val="22"/>
        </w:rPr>
        <w:t>Novartis Europharm Limited</w:t>
      </w:r>
    </w:p>
    <w:p w14:paraId="335D6751" w14:textId="77777777" w:rsidR="005127D7" w:rsidRPr="002D741C" w:rsidRDefault="005127D7" w:rsidP="005127D7">
      <w:pPr>
        <w:keepNext/>
        <w:widowControl w:val="0"/>
        <w:rPr>
          <w:color w:val="000000"/>
          <w:sz w:val="22"/>
          <w:szCs w:val="22"/>
          <w:lang w:val="en-US"/>
        </w:rPr>
      </w:pPr>
      <w:r w:rsidRPr="002D741C">
        <w:rPr>
          <w:color w:val="000000"/>
          <w:sz w:val="22"/>
          <w:szCs w:val="22"/>
          <w:lang w:val="en-US"/>
        </w:rPr>
        <w:t>Vista Building</w:t>
      </w:r>
    </w:p>
    <w:p w14:paraId="21514BDF" w14:textId="77777777" w:rsidR="005127D7" w:rsidRPr="002D741C" w:rsidRDefault="005127D7" w:rsidP="005127D7">
      <w:pPr>
        <w:keepNext/>
        <w:widowControl w:val="0"/>
        <w:rPr>
          <w:color w:val="000000"/>
          <w:sz w:val="22"/>
          <w:szCs w:val="22"/>
          <w:lang w:val="en-US"/>
        </w:rPr>
      </w:pPr>
      <w:r w:rsidRPr="002D741C">
        <w:rPr>
          <w:color w:val="000000"/>
          <w:sz w:val="22"/>
          <w:szCs w:val="22"/>
          <w:lang w:val="en-US"/>
        </w:rPr>
        <w:t>Elm Park, Merrion Road</w:t>
      </w:r>
    </w:p>
    <w:p w14:paraId="46D85B64" w14:textId="77777777" w:rsidR="005127D7" w:rsidRPr="002D741C" w:rsidRDefault="005127D7" w:rsidP="005127D7">
      <w:pPr>
        <w:keepNext/>
        <w:widowControl w:val="0"/>
        <w:rPr>
          <w:color w:val="000000"/>
          <w:sz w:val="22"/>
          <w:szCs w:val="22"/>
        </w:rPr>
      </w:pPr>
      <w:r w:rsidRPr="002D741C">
        <w:rPr>
          <w:color w:val="000000"/>
          <w:sz w:val="22"/>
          <w:szCs w:val="22"/>
        </w:rPr>
        <w:t>Dublin 4</w:t>
      </w:r>
    </w:p>
    <w:p w14:paraId="7536D9B3" w14:textId="77777777" w:rsidR="005127D7" w:rsidRPr="002D741C" w:rsidRDefault="005127D7" w:rsidP="005127D7">
      <w:pPr>
        <w:rPr>
          <w:color w:val="000000"/>
          <w:sz w:val="22"/>
          <w:szCs w:val="22"/>
        </w:rPr>
      </w:pPr>
      <w:r w:rsidRPr="002D741C">
        <w:rPr>
          <w:color w:val="000000"/>
          <w:sz w:val="22"/>
          <w:szCs w:val="22"/>
        </w:rPr>
        <w:t>Irlanda</w:t>
      </w:r>
    </w:p>
    <w:p w14:paraId="544AA814" w14:textId="77777777" w:rsidR="0040333F" w:rsidRPr="002D741C" w:rsidRDefault="0040333F" w:rsidP="0040333F">
      <w:pPr>
        <w:widowControl w:val="0"/>
        <w:rPr>
          <w:color w:val="000000"/>
          <w:sz w:val="22"/>
          <w:szCs w:val="22"/>
          <w:lang w:val="es-ES"/>
        </w:rPr>
      </w:pPr>
    </w:p>
    <w:p w14:paraId="4F1EF170" w14:textId="77777777" w:rsidR="0040333F" w:rsidRPr="002D741C" w:rsidRDefault="0040333F" w:rsidP="0040333F">
      <w:pPr>
        <w:widowControl w:val="0"/>
        <w:rPr>
          <w:color w:val="000000"/>
          <w:sz w:val="22"/>
          <w:szCs w:val="22"/>
          <w:lang w:val="es-ES"/>
        </w:rPr>
      </w:pPr>
    </w:p>
    <w:p w14:paraId="71213E49" w14:textId="77777777" w:rsidR="0040333F" w:rsidRPr="002D741C" w:rsidRDefault="0040333F" w:rsidP="0040333F">
      <w:pPr>
        <w:widowControl w:val="0"/>
        <w:pBdr>
          <w:top w:val="single" w:sz="4" w:space="1" w:color="auto"/>
          <w:left w:val="single" w:sz="4" w:space="4" w:color="auto"/>
          <w:bottom w:val="single" w:sz="4" w:space="1" w:color="auto"/>
          <w:right w:val="single" w:sz="4" w:space="4" w:color="auto"/>
        </w:pBdr>
        <w:ind w:left="567" w:hanging="567"/>
        <w:rPr>
          <w:b/>
          <w:color w:val="000000"/>
          <w:sz w:val="22"/>
          <w:szCs w:val="22"/>
        </w:rPr>
      </w:pPr>
      <w:r w:rsidRPr="002D741C">
        <w:rPr>
          <w:b/>
          <w:color w:val="000000"/>
          <w:sz w:val="22"/>
          <w:szCs w:val="22"/>
        </w:rPr>
        <w:t>12.</w:t>
      </w:r>
      <w:r w:rsidRPr="002D741C">
        <w:rPr>
          <w:b/>
          <w:color w:val="000000"/>
          <w:sz w:val="22"/>
          <w:szCs w:val="22"/>
        </w:rPr>
        <w:tab/>
        <w:t>NÚME</w:t>
      </w:r>
      <w:smartTag w:uri="urn:schemas-microsoft-com:office:smarttags" w:element="PersonName">
        <w:r w:rsidRPr="002D741C">
          <w:rPr>
            <w:b/>
            <w:color w:val="000000"/>
            <w:sz w:val="22"/>
            <w:szCs w:val="22"/>
          </w:rPr>
          <w:t>RO</w:t>
        </w:r>
      </w:smartTag>
      <w:r w:rsidRPr="002D741C">
        <w:rPr>
          <w:b/>
          <w:color w:val="000000"/>
          <w:sz w:val="22"/>
          <w:szCs w:val="22"/>
        </w:rPr>
        <w:t xml:space="preserve">(S) </w:t>
      </w:r>
      <w:smartTag w:uri="urn:schemas-microsoft-com:office:smarttags" w:element="PersonName">
        <w:r w:rsidRPr="002D741C">
          <w:rPr>
            <w:b/>
            <w:color w:val="000000"/>
            <w:sz w:val="22"/>
            <w:szCs w:val="22"/>
          </w:rPr>
          <w:t>DE</w:t>
        </w:r>
      </w:smartTag>
      <w:r w:rsidRPr="002D741C">
        <w:rPr>
          <w:b/>
          <w:color w:val="000000"/>
          <w:sz w:val="22"/>
          <w:szCs w:val="22"/>
        </w:rPr>
        <w:t xml:space="preserve"> AUTORIZACIÓN </w:t>
      </w:r>
      <w:smartTag w:uri="urn:schemas-microsoft-com:office:smarttags" w:element="PersonName">
        <w:r w:rsidRPr="002D741C">
          <w:rPr>
            <w:b/>
            <w:color w:val="000000"/>
            <w:sz w:val="22"/>
            <w:szCs w:val="22"/>
          </w:rPr>
          <w:t>DE</w:t>
        </w:r>
      </w:smartTag>
      <w:r w:rsidRPr="002D741C">
        <w:rPr>
          <w:b/>
          <w:color w:val="000000"/>
          <w:sz w:val="22"/>
          <w:szCs w:val="22"/>
        </w:rPr>
        <w:t xml:space="preserve"> COMERCIALIZACIÓN</w:t>
      </w:r>
    </w:p>
    <w:p w14:paraId="235F663D" w14:textId="77777777" w:rsidR="0040333F" w:rsidRPr="002D741C" w:rsidRDefault="0040333F" w:rsidP="0040333F">
      <w:pPr>
        <w:widowControl w:val="0"/>
        <w:rPr>
          <w:color w:val="000000"/>
          <w:sz w:val="22"/>
          <w:szCs w:val="22"/>
        </w:rPr>
      </w:pPr>
    </w:p>
    <w:p w14:paraId="1DE20568" w14:textId="77777777" w:rsidR="0040333F" w:rsidRPr="002D741C" w:rsidRDefault="0040333F" w:rsidP="0040333F">
      <w:pPr>
        <w:tabs>
          <w:tab w:val="left" w:pos="2268"/>
        </w:tabs>
        <w:rPr>
          <w:color w:val="000000"/>
          <w:sz w:val="22"/>
          <w:szCs w:val="22"/>
          <w:shd w:val="clear" w:color="auto" w:fill="D9D9D9"/>
          <w:lang w:val="pt-BR"/>
        </w:rPr>
      </w:pPr>
      <w:r w:rsidRPr="002D741C">
        <w:rPr>
          <w:color w:val="000000"/>
          <w:sz w:val="22"/>
          <w:szCs w:val="22"/>
          <w:lang w:val="pt-BR"/>
        </w:rPr>
        <w:t>EU/1/01/198/009</w:t>
      </w:r>
      <w:r w:rsidRPr="002D741C">
        <w:rPr>
          <w:color w:val="000000"/>
          <w:sz w:val="22"/>
          <w:szCs w:val="22"/>
          <w:lang w:val="pt-BR"/>
        </w:rPr>
        <w:tab/>
      </w:r>
      <w:r w:rsidRPr="002D741C">
        <w:rPr>
          <w:color w:val="000000"/>
          <w:sz w:val="22"/>
          <w:szCs w:val="22"/>
          <w:shd w:val="clear" w:color="auto" w:fill="D9D9D9"/>
          <w:lang w:val="pt-BR"/>
        </w:rPr>
        <w:t>10 comprimidos</w:t>
      </w:r>
    </w:p>
    <w:p w14:paraId="02F6390E" w14:textId="77777777" w:rsidR="0040333F" w:rsidRPr="002D741C" w:rsidRDefault="0040333F" w:rsidP="0040333F">
      <w:pPr>
        <w:tabs>
          <w:tab w:val="left" w:pos="2268"/>
        </w:tabs>
        <w:rPr>
          <w:color w:val="000000"/>
          <w:sz w:val="22"/>
          <w:szCs w:val="22"/>
          <w:shd w:val="clear" w:color="auto" w:fill="D9D9D9"/>
          <w:lang w:val="pt-BR"/>
        </w:rPr>
      </w:pPr>
      <w:r w:rsidRPr="002D741C">
        <w:rPr>
          <w:color w:val="000000"/>
          <w:sz w:val="22"/>
          <w:szCs w:val="22"/>
          <w:shd w:val="clear" w:color="auto" w:fill="D9D9D9"/>
          <w:lang w:val="pt-BR"/>
        </w:rPr>
        <w:t>EU/1/01/198/010</w:t>
      </w:r>
      <w:r w:rsidRPr="002D741C">
        <w:rPr>
          <w:color w:val="000000"/>
          <w:sz w:val="22"/>
          <w:szCs w:val="22"/>
          <w:shd w:val="clear" w:color="auto" w:fill="D9D9D9"/>
          <w:lang w:val="pt-BR"/>
        </w:rPr>
        <w:tab/>
        <w:t>30 comprimidos</w:t>
      </w:r>
    </w:p>
    <w:p w14:paraId="3AF7927F" w14:textId="77777777" w:rsidR="0040333F" w:rsidRPr="002D741C" w:rsidRDefault="0040333F" w:rsidP="0040333F">
      <w:pPr>
        <w:tabs>
          <w:tab w:val="left" w:pos="2268"/>
        </w:tabs>
        <w:rPr>
          <w:color w:val="000000"/>
          <w:sz w:val="22"/>
          <w:szCs w:val="22"/>
          <w:shd w:val="clear" w:color="auto" w:fill="D9D9D9"/>
          <w:lang w:val="pt-BR"/>
        </w:rPr>
      </w:pPr>
      <w:r w:rsidRPr="002D741C">
        <w:rPr>
          <w:color w:val="000000"/>
          <w:sz w:val="22"/>
          <w:szCs w:val="22"/>
          <w:shd w:val="clear" w:color="auto" w:fill="D9D9D9"/>
          <w:lang w:val="pt-BR"/>
        </w:rPr>
        <w:t>EU/1/01/198/013</w:t>
      </w:r>
      <w:r w:rsidRPr="002D741C">
        <w:rPr>
          <w:color w:val="000000"/>
          <w:sz w:val="22"/>
          <w:szCs w:val="22"/>
          <w:shd w:val="clear" w:color="auto" w:fill="D9D9D9"/>
          <w:lang w:val="pt-BR"/>
        </w:rPr>
        <w:tab/>
        <w:t>90 comprimidos</w:t>
      </w:r>
    </w:p>
    <w:p w14:paraId="46BBE5C2" w14:textId="77777777" w:rsidR="0040333F" w:rsidRPr="002D741C" w:rsidRDefault="0040333F" w:rsidP="0040333F">
      <w:pPr>
        <w:widowControl w:val="0"/>
        <w:rPr>
          <w:color w:val="000000"/>
          <w:sz w:val="22"/>
          <w:szCs w:val="22"/>
          <w:lang w:val="pt-BR"/>
        </w:rPr>
      </w:pPr>
    </w:p>
    <w:p w14:paraId="316A293B" w14:textId="77777777" w:rsidR="0040333F" w:rsidRPr="002D741C" w:rsidRDefault="0040333F" w:rsidP="0040333F">
      <w:pPr>
        <w:widowControl w:val="0"/>
        <w:rPr>
          <w:color w:val="000000"/>
          <w:sz w:val="22"/>
          <w:szCs w:val="22"/>
          <w:lang w:val="pt-BR"/>
        </w:rPr>
      </w:pPr>
    </w:p>
    <w:p w14:paraId="50BC8989" w14:textId="77777777" w:rsidR="0040333F" w:rsidRPr="002D741C" w:rsidRDefault="0040333F" w:rsidP="0040333F">
      <w:pPr>
        <w:widowControl w:val="0"/>
        <w:pBdr>
          <w:top w:val="single" w:sz="4" w:space="1" w:color="auto"/>
          <w:left w:val="single" w:sz="4" w:space="4" w:color="auto"/>
          <w:bottom w:val="single" w:sz="4" w:space="1" w:color="auto"/>
          <w:right w:val="single" w:sz="4" w:space="4" w:color="auto"/>
        </w:pBdr>
        <w:ind w:left="567" w:hanging="567"/>
        <w:rPr>
          <w:b/>
          <w:color w:val="000000"/>
          <w:sz w:val="22"/>
          <w:szCs w:val="22"/>
        </w:rPr>
      </w:pPr>
      <w:r w:rsidRPr="002D741C">
        <w:rPr>
          <w:b/>
          <w:color w:val="000000"/>
          <w:sz w:val="22"/>
          <w:szCs w:val="22"/>
        </w:rPr>
        <w:t>13.</w:t>
      </w:r>
      <w:r w:rsidRPr="002D741C">
        <w:rPr>
          <w:b/>
          <w:color w:val="000000"/>
          <w:sz w:val="22"/>
          <w:szCs w:val="22"/>
        </w:rPr>
        <w:tab/>
        <w:t>NÚME</w:t>
      </w:r>
      <w:smartTag w:uri="urn:schemas-microsoft-com:office:smarttags" w:element="PersonName">
        <w:r w:rsidRPr="002D741C">
          <w:rPr>
            <w:b/>
            <w:color w:val="000000"/>
            <w:sz w:val="22"/>
            <w:szCs w:val="22"/>
          </w:rPr>
          <w:t>RO</w:t>
        </w:r>
      </w:smartTag>
      <w:r w:rsidRPr="002D741C">
        <w:rPr>
          <w:b/>
          <w:color w:val="000000"/>
          <w:sz w:val="22"/>
          <w:szCs w:val="22"/>
        </w:rPr>
        <w:t xml:space="preserve"> </w:t>
      </w:r>
      <w:smartTag w:uri="urn:schemas-microsoft-com:office:smarttags" w:element="PersonName">
        <w:r w:rsidRPr="002D741C">
          <w:rPr>
            <w:b/>
            <w:color w:val="000000"/>
            <w:sz w:val="22"/>
            <w:szCs w:val="22"/>
          </w:rPr>
          <w:t>DE</w:t>
        </w:r>
      </w:smartTag>
      <w:r w:rsidRPr="002D741C">
        <w:rPr>
          <w:b/>
          <w:color w:val="000000"/>
          <w:sz w:val="22"/>
          <w:szCs w:val="22"/>
        </w:rPr>
        <w:t xml:space="preserve"> LOTE</w:t>
      </w:r>
    </w:p>
    <w:p w14:paraId="6BF52316" w14:textId="77777777" w:rsidR="0040333F" w:rsidRPr="002D741C" w:rsidRDefault="0040333F" w:rsidP="0040333F">
      <w:pPr>
        <w:widowControl w:val="0"/>
        <w:rPr>
          <w:color w:val="000000"/>
          <w:sz w:val="22"/>
          <w:szCs w:val="22"/>
        </w:rPr>
      </w:pPr>
    </w:p>
    <w:p w14:paraId="364FE66C" w14:textId="77777777" w:rsidR="0040333F" w:rsidRPr="002D741C" w:rsidRDefault="0040333F" w:rsidP="0040333F">
      <w:pPr>
        <w:widowControl w:val="0"/>
        <w:rPr>
          <w:color w:val="000000"/>
          <w:sz w:val="22"/>
          <w:szCs w:val="22"/>
        </w:rPr>
      </w:pPr>
      <w:r w:rsidRPr="002D741C">
        <w:rPr>
          <w:color w:val="000000"/>
          <w:sz w:val="22"/>
          <w:szCs w:val="22"/>
        </w:rPr>
        <w:t>Lote</w:t>
      </w:r>
    </w:p>
    <w:p w14:paraId="32479893" w14:textId="77777777" w:rsidR="0040333F" w:rsidRPr="002D741C" w:rsidRDefault="0040333F" w:rsidP="0040333F">
      <w:pPr>
        <w:widowControl w:val="0"/>
        <w:rPr>
          <w:color w:val="000000"/>
          <w:sz w:val="22"/>
          <w:szCs w:val="22"/>
        </w:rPr>
      </w:pPr>
    </w:p>
    <w:p w14:paraId="7FB502FC" w14:textId="77777777" w:rsidR="0040333F" w:rsidRPr="002D741C" w:rsidRDefault="0040333F" w:rsidP="0040333F">
      <w:pPr>
        <w:widowControl w:val="0"/>
        <w:rPr>
          <w:color w:val="000000"/>
          <w:sz w:val="22"/>
          <w:szCs w:val="22"/>
        </w:rPr>
      </w:pPr>
    </w:p>
    <w:p w14:paraId="5E40779B" w14:textId="77777777" w:rsidR="0040333F" w:rsidRPr="002D741C" w:rsidRDefault="0040333F" w:rsidP="0040333F">
      <w:pPr>
        <w:widowControl w:val="0"/>
        <w:pBdr>
          <w:top w:val="single" w:sz="4" w:space="1" w:color="auto"/>
          <w:left w:val="single" w:sz="4" w:space="4" w:color="auto"/>
          <w:bottom w:val="single" w:sz="4" w:space="1" w:color="auto"/>
          <w:right w:val="single" w:sz="4" w:space="4" w:color="auto"/>
        </w:pBdr>
        <w:ind w:left="567" w:hanging="567"/>
        <w:rPr>
          <w:b/>
          <w:color w:val="000000"/>
          <w:sz w:val="22"/>
          <w:szCs w:val="22"/>
        </w:rPr>
      </w:pPr>
      <w:r w:rsidRPr="002D741C">
        <w:rPr>
          <w:b/>
          <w:color w:val="000000"/>
          <w:sz w:val="22"/>
          <w:szCs w:val="22"/>
        </w:rPr>
        <w:t>14.</w:t>
      </w:r>
      <w:r w:rsidRPr="002D741C">
        <w:rPr>
          <w:b/>
          <w:color w:val="000000"/>
          <w:sz w:val="22"/>
          <w:szCs w:val="22"/>
        </w:rPr>
        <w:tab/>
        <w:t xml:space="preserve">CONDICIONES GENERALES </w:t>
      </w:r>
      <w:smartTag w:uri="urn:schemas-microsoft-com:office:smarttags" w:element="PersonName">
        <w:r w:rsidRPr="002D741C">
          <w:rPr>
            <w:b/>
            <w:color w:val="000000"/>
            <w:sz w:val="22"/>
            <w:szCs w:val="22"/>
          </w:rPr>
          <w:t>DE</w:t>
        </w:r>
      </w:smartTag>
      <w:r w:rsidRPr="002D741C">
        <w:rPr>
          <w:b/>
          <w:color w:val="000000"/>
          <w:sz w:val="22"/>
          <w:szCs w:val="22"/>
        </w:rPr>
        <w:t xml:space="preserve"> D</w:t>
      </w:r>
      <w:smartTag w:uri="urn:schemas-microsoft-com:office:smarttags" w:element="PersonName">
        <w:r w:rsidRPr="002D741C">
          <w:rPr>
            <w:b/>
            <w:color w:val="000000"/>
            <w:sz w:val="22"/>
            <w:szCs w:val="22"/>
          </w:rPr>
          <w:t>IS</w:t>
        </w:r>
      </w:smartTag>
      <w:r w:rsidRPr="002D741C">
        <w:rPr>
          <w:b/>
          <w:color w:val="000000"/>
          <w:sz w:val="22"/>
          <w:szCs w:val="22"/>
        </w:rPr>
        <w:t>PENSACIÓN</w:t>
      </w:r>
    </w:p>
    <w:p w14:paraId="6A394B19" w14:textId="77777777" w:rsidR="0040333F" w:rsidRPr="002D741C" w:rsidRDefault="0040333F" w:rsidP="0040333F">
      <w:pPr>
        <w:widowControl w:val="0"/>
        <w:rPr>
          <w:color w:val="000000"/>
          <w:sz w:val="22"/>
          <w:szCs w:val="22"/>
        </w:rPr>
      </w:pPr>
    </w:p>
    <w:p w14:paraId="3302FD76" w14:textId="77777777" w:rsidR="0040333F" w:rsidRPr="002D741C" w:rsidRDefault="0040333F" w:rsidP="0040333F">
      <w:pPr>
        <w:widowControl w:val="0"/>
        <w:rPr>
          <w:color w:val="000000"/>
          <w:sz w:val="22"/>
          <w:szCs w:val="22"/>
        </w:rPr>
      </w:pPr>
    </w:p>
    <w:p w14:paraId="14C2699E" w14:textId="77777777" w:rsidR="0040333F" w:rsidRPr="002D741C" w:rsidRDefault="0040333F" w:rsidP="0040333F">
      <w:pPr>
        <w:widowControl w:val="0"/>
        <w:pBdr>
          <w:top w:val="single" w:sz="4" w:space="1" w:color="auto"/>
          <w:left w:val="single" w:sz="4" w:space="4" w:color="auto"/>
          <w:bottom w:val="single" w:sz="4" w:space="1" w:color="auto"/>
          <w:right w:val="single" w:sz="4" w:space="4" w:color="auto"/>
        </w:pBdr>
        <w:ind w:left="567" w:hanging="567"/>
        <w:rPr>
          <w:b/>
          <w:color w:val="000000"/>
          <w:sz w:val="22"/>
          <w:szCs w:val="22"/>
        </w:rPr>
      </w:pPr>
      <w:r w:rsidRPr="002D741C">
        <w:rPr>
          <w:b/>
          <w:color w:val="000000"/>
          <w:sz w:val="22"/>
          <w:szCs w:val="22"/>
        </w:rPr>
        <w:t>15.</w:t>
      </w:r>
      <w:r w:rsidRPr="002D741C">
        <w:rPr>
          <w:b/>
          <w:color w:val="000000"/>
          <w:sz w:val="22"/>
          <w:szCs w:val="22"/>
        </w:rPr>
        <w:tab/>
        <w:t xml:space="preserve">INSTRUCCIONES </w:t>
      </w:r>
      <w:smartTag w:uri="urn:schemas-microsoft-com:office:smarttags" w:element="PersonName">
        <w:r w:rsidRPr="002D741C">
          <w:rPr>
            <w:b/>
            <w:color w:val="000000"/>
            <w:sz w:val="22"/>
            <w:szCs w:val="22"/>
          </w:rPr>
          <w:t>DE</w:t>
        </w:r>
      </w:smartTag>
      <w:r w:rsidRPr="002D741C">
        <w:rPr>
          <w:b/>
          <w:color w:val="000000"/>
          <w:sz w:val="22"/>
          <w:szCs w:val="22"/>
        </w:rPr>
        <w:t xml:space="preserve"> USO</w:t>
      </w:r>
    </w:p>
    <w:p w14:paraId="015A8C66" w14:textId="77777777" w:rsidR="0040333F" w:rsidRPr="002D741C" w:rsidRDefault="0040333F" w:rsidP="0040333F">
      <w:pPr>
        <w:widowControl w:val="0"/>
        <w:rPr>
          <w:color w:val="000000"/>
          <w:sz w:val="22"/>
          <w:szCs w:val="22"/>
        </w:rPr>
      </w:pPr>
    </w:p>
    <w:p w14:paraId="09C8C8CD" w14:textId="77777777" w:rsidR="0040333F" w:rsidRPr="002D741C" w:rsidRDefault="0040333F" w:rsidP="0040333F">
      <w:pPr>
        <w:widowControl w:val="0"/>
        <w:rPr>
          <w:color w:val="000000"/>
          <w:sz w:val="22"/>
          <w:szCs w:val="22"/>
        </w:rPr>
      </w:pPr>
    </w:p>
    <w:p w14:paraId="76CC063C" w14:textId="77777777" w:rsidR="0040333F" w:rsidRPr="002D741C" w:rsidRDefault="0040333F" w:rsidP="0040333F">
      <w:pPr>
        <w:pBdr>
          <w:top w:val="single" w:sz="4" w:space="1" w:color="auto"/>
          <w:left w:val="single" w:sz="4" w:space="4" w:color="auto"/>
          <w:bottom w:val="single" w:sz="4" w:space="1" w:color="auto"/>
          <w:right w:val="single" w:sz="4" w:space="4" w:color="auto"/>
        </w:pBdr>
        <w:tabs>
          <w:tab w:val="left" w:pos="567"/>
        </w:tabs>
        <w:spacing w:line="260" w:lineRule="exact"/>
        <w:rPr>
          <w:b/>
          <w:color w:val="000000"/>
          <w:sz w:val="22"/>
          <w:szCs w:val="22"/>
          <w:u w:val="single"/>
        </w:rPr>
      </w:pPr>
      <w:r w:rsidRPr="002D741C">
        <w:rPr>
          <w:b/>
          <w:color w:val="000000"/>
          <w:sz w:val="22"/>
          <w:szCs w:val="22"/>
        </w:rPr>
        <w:t>16.</w:t>
      </w:r>
      <w:r w:rsidRPr="002D741C">
        <w:rPr>
          <w:b/>
          <w:color w:val="000000"/>
          <w:sz w:val="22"/>
          <w:szCs w:val="22"/>
        </w:rPr>
        <w:tab/>
        <w:t>INFORMACIÓN EN BRAILLE</w:t>
      </w:r>
    </w:p>
    <w:p w14:paraId="0C18261F" w14:textId="77777777" w:rsidR="0040333F" w:rsidRPr="002D741C" w:rsidRDefault="0040333F" w:rsidP="0040333F">
      <w:pPr>
        <w:rPr>
          <w:color w:val="000000"/>
          <w:sz w:val="22"/>
          <w:szCs w:val="22"/>
        </w:rPr>
      </w:pPr>
    </w:p>
    <w:p w14:paraId="157B27F0" w14:textId="77777777" w:rsidR="0040333F" w:rsidRPr="002D741C" w:rsidRDefault="0040333F" w:rsidP="0040333F">
      <w:pPr>
        <w:rPr>
          <w:color w:val="000000"/>
          <w:sz w:val="22"/>
          <w:szCs w:val="22"/>
        </w:rPr>
      </w:pPr>
      <w:r w:rsidRPr="002D741C">
        <w:rPr>
          <w:color w:val="000000"/>
          <w:sz w:val="22"/>
          <w:szCs w:val="22"/>
        </w:rPr>
        <w:t>Glivec 400 mg</w:t>
      </w:r>
    </w:p>
    <w:p w14:paraId="30B7F044" w14:textId="77777777" w:rsidR="00D84B84" w:rsidRPr="002D741C" w:rsidRDefault="00D84B84" w:rsidP="00D84B84">
      <w:pPr>
        <w:widowControl w:val="0"/>
        <w:rPr>
          <w:color w:val="000000"/>
          <w:sz w:val="22"/>
          <w:szCs w:val="22"/>
        </w:rPr>
      </w:pPr>
    </w:p>
    <w:p w14:paraId="1B891E86" w14:textId="77777777" w:rsidR="00D84B84" w:rsidRPr="002D741C" w:rsidRDefault="00D84B84" w:rsidP="00D84B84">
      <w:pPr>
        <w:rPr>
          <w:color w:val="000000"/>
          <w:sz w:val="22"/>
          <w:szCs w:val="22"/>
        </w:rPr>
      </w:pPr>
    </w:p>
    <w:p w14:paraId="7664A888" w14:textId="77777777" w:rsidR="00D84B84" w:rsidRPr="002D741C" w:rsidRDefault="00D84B84" w:rsidP="006662BC">
      <w:pPr>
        <w:widowControl w:val="0"/>
        <w:pBdr>
          <w:top w:val="single" w:sz="4" w:space="1" w:color="auto"/>
          <w:left w:val="single" w:sz="4" w:space="4" w:color="auto"/>
          <w:bottom w:val="single" w:sz="4" w:space="1" w:color="auto"/>
          <w:right w:val="single" w:sz="4" w:space="4" w:color="auto"/>
        </w:pBdr>
        <w:ind w:left="567" w:hanging="570"/>
        <w:outlineLvl w:val="0"/>
        <w:rPr>
          <w:i/>
          <w:noProof/>
          <w:sz w:val="22"/>
          <w:szCs w:val="22"/>
        </w:rPr>
      </w:pPr>
      <w:r w:rsidRPr="002D741C">
        <w:rPr>
          <w:b/>
          <w:noProof/>
          <w:sz w:val="22"/>
          <w:szCs w:val="22"/>
        </w:rPr>
        <w:t>17.</w:t>
      </w:r>
      <w:r w:rsidRPr="002D741C">
        <w:rPr>
          <w:b/>
          <w:noProof/>
          <w:sz w:val="22"/>
          <w:szCs w:val="22"/>
        </w:rPr>
        <w:tab/>
        <w:t>IDENTIFICADOR ÚNICO – CÓDIGO DE BARRAS 2D</w:t>
      </w:r>
    </w:p>
    <w:p w14:paraId="0EA26FE8" w14:textId="77777777" w:rsidR="00D84B84" w:rsidRPr="002D741C" w:rsidRDefault="00D84B84" w:rsidP="00D84B84">
      <w:pPr>
        <w:widowControl w:val="0"/>
        <w:rPr>
          <w:noProof/>
          <w:sz w:val="22"/>
          <w:szCs w:val="22"/>
        </w:rPr>
      </w:pPr>
    </w:p>
    <w:p w14:paraId="08ABCC8F" w14:textId="77777777" w:rsidR="00D84B84" w:rsidRPr="009C136D" w:rsidRDefault="00D84B84" w:rsidP="00D84B84">
      <w:pPr>
        <w:widowControl w:val="0"/>
        <w:rPr>
          <w:noProof/>
          <w:sz w:val="22"/>
          <w:szCs w:val="22"/>
        </w:rPr>
      </w:pPr>
      <w:r w:rsidRPr="002D741C">
        <w:rPr>
          <w:noProof/>
          <w:sz w:val="22"/>
          <w:szCs w:val="22"/>
          <w:shd w:val="pct15" w:color="auto" w:fill="auto"/>
        </w:rPr>
        <w:t>Incluido el código de barras 2D que lleva el identificador único.</w:t>
      </w:r>
    </w:p>
    <w:p w14:paraId="41D3430B" w14:textId="77777777" w:rsidR="00D84B84" w:rsidRPr="002D741C" w:rsidRDefault="00D84B84" w:rsidP="00D84B84">
      <w:pPr>
        <w:widowControl w:val="0"/>
        <w:rPr>
          <w:noProof/>
          <w:sz w:val="22"/>
          <w:szCs w:val="22"/>
        </w:rPr>
      </w:pPr>
    </w:p>
    <w:p w14:paraId="60BFE692" w14:textId="77777777" w:rsidR="00D84B84" w:rsidRPr="002D741C" w:rsidRDefault="00D84B84" w:rsidP="00D84B84">
      <w:pPr>
        <w:widowControl w:val="0"/>
        <w:rPr>
          <w:noProof/>
          <w:sz w:val="22"/>
          <w:szCs w:val="22"/>
        </w:rPr>
      </w:pPr>
    </w:p>
    <w:p w14:paraId="3CFD4642" w14:textId="77777777" w:rsidR="00D84B84" w:rsidRPr="002D741C" w:rsidRDefault="00D84B84" w:rsidP="006662BC">
      <w:pPr>
        <w:widowControl w:val="0"/>
        <w:pBdr>
          <w:top w:val="single" w:sz="4" w:space="1" w:color="auto"/>
          <w:left w:val="single" w:sz="4" w:space="4" w:color="auto"/>
          <w:bottom w:val="single" w:sz="4" w:space="1" w:color="auto"/>
          <w:right w:val="single" w:sz="4" w:space="4" w:color="auto"/>
        </w:pBdr>
        <w:ind w:left="567" w:hanging="570"/>
        <w:outlineLvl w:val="0"/>
        <w:rPr>
          <w:i/>
          <w:noProof/>
          <w:sz w:val="22"/>
          <w:szCs w:val="22"/>
        </w:rPr>
      </w:pPr>
      <w:r w:rsidRPr="002D741C">
        <w:rPr>
          <w:b/>
          <w:noProof/>
          <w:sz w:val="22"/>
          <w:szCs w:val="22"/>
        </w:rPr>
        <w:t>18.</w:t>
      </w:r>
      <w:r w:rsidRPr="002D741C">
        <w:rPr>
          <w:b/>
          <w:noProof/>
          <w:sz w:val="22"/>
          <w:szCs w:val="22"/>
        </w:rPr>
        <w:tab/>
        <w:t>IDENTIFICADOR ÚNICO – INFORMACIÓN EN CARACTERES VISUALES</w:t>
      </w:r>
    </w:p>
    <w:p w14:paraId="5B7D15EF" w14:textId="77777777" w:rsidR="00D84B84" w:rsidRPr="002D741C" w:rsidRDefault="00D84B84" w:rsidP="00D84B84">
      <w:pPr>
        <w:widowControl w:val="0"/>
        <w:rPr>
          <w:noProof/>
          <w:sz w:val="22"/>
          <w:szCs w:val="22"/>
        </w:rPr>
      </w:pPr>
    </w:p>
    <w:p w14:paraId="68BF685C" w14:textId="77777777" w:rsidR="00D84B84" w:rsidRPr="002D741C" w:rsidRDefault="006662BC" w:rsidP="00D84B84">
      <w:pPr>
        <w:widowControl w:val="0"/>
        <w:rPr>
          <w:sz w:val="22"/>
          <w:szCs w:val="22"/>
        </w:rPr>
      </w:pPr>
      <w:r>
        <w:rPr>
          <w:sz w:val="22"/>
          <w:szCs w:val="22"/>
        </w:rPr>
        <w:t>PC:</w:t>
      </w:r>
    </w:p>
    <w:p w14:paraId="121378E7" w14:textId="77777777" w:rsidR="00D84B84" w:rsidRPr="002D741C" w:rsidRDefault="006662BC" w:rsidP="00D84B84">
      <w:pPr>
        <w:widowControl w:val="0"/>
        <w:rPr>
          <w:sz w:val="22"/>
          <w:szCs w:val="22"/>
        </w:rPr>
      </w:pPr>
      <w:r>
        <w:rPr>
          <w:sz w:val="22"/>
          <w:szCs w:val="22"/>
        </w:rPr>
        <w:t>SN:</w:t>
      </w:r>
    </w:p>
    <w:p w14:paraId="1011E37A" w14:textId="77777777" w:rsidR="00D84B84" w:rsidRPr="002D741C" w:rsidRDefault="00D84B84" w:rsidP="00D84B84">
      <w:pPr>
        <w:widowControl w:val="0"/>
        <w:rPr>
          <w:sz w:val="22"/>
          <w:szCs w:val="22"/>
          <w:shd w:val="pct15" w:color="auto" w:fill="auto"/>
        </w:rPr>
      </w:pPr>
      <w:r w:rsidRPr="002D741C">
        <w:rPr>
          <w:sz w:val="22"/>
          <w:szCs w:val="22"/>
        </w:rPr>
        <w:t>NN:</w:t>
      </w:r>
    </w:p>
    <w:p w14:paraId="19508395" w14:textId="77777777" w:rsidR="0040333F" w:rsidRPr="002D741C" w:rsidRDefault="0040333F" w:rsidP="0040333F">
      <w:pPr>
        <w:widowControl w:val="0"/>
        <w:rPr>
          <w:color w:val="000000"/>
          <w:sz w:val="22"/>
          <w:szCs w:val="22"/>
        </w:rPr>
      </w:pPr>
    </w:p>
    <w:p w14:paraId="40D4B0D0" w14:textId="77777777" w:rsidR="0040333F" w:rsidRPr="002D741C" w:rsidRDefault="0040333F" w:rsidP="0040333F">
      <w:pPr>
        <w:widowControl w:val="0"/>
        <w:rPr>
          <w:color w:val="000000"/>
          <w:sz w:val="22"/>
          <w:szCs w:val="22"/>
        </w:rPr>
      </w:pPr>
      <w:r w:rsidRPr="002D741C">
        <w:rPr>
          <w:b/>
          <w:color w:val="000000"/>
          <w:sz w:val="22"/>
          <w:szCs w:val="22"/>
          <w:u w:val="single"/>
        </w:rPr>
        <w:br w:type="page"/>
      </w:r>
    </w:p>
    <w:p w14:paraId="3A8FF28E" w14:textId="77777777" w:rsidR="006662BC" w:rsidRPr="006662BC" w:rsidRDefault="006662BC" w:rsidP="006662BC">
      <w:pPr>
        <w:widowControl w:val="0"/>
        <w:rPr>
          <w:color w:val="000000"/>
          <w:sz w:val="22"/>
          <w:szCs w:val="22"/>
        </w:rPr>
      </w:pPr>
    </w:p>
    <w:p w14:paraId="3F590701" w14:textId="77777777" w:rsidR="0040333F" w:rsidRPr="002D741C" w:rsidRDefault="0040333F" w:rsidP="0040333F">
      <w:pPr>
        <w:widowControl w:val="0"/>
        <w:pBdr>
          <w:top w:val="single" w:sz="4" w:space="1" w:color="auto"/>
          <w:left w:val="single" w:sz="4" w:space="4" w:color="auto"/>
          <w:bottom w:val="single" w:sz="4" w:space="1" w:color="auto"/>
          <w:right w:val="single" w:sz="4" w:space="4" w:color="auto"/>
        </w:pBdr>
        <w:rPr>
          <w:b/>
          <w:color w:val="000000"/>
          <w:sz w:val="22"/>
          <w:szCs w:val="22"/>
        </w:rPr>
      </w:pPr>
      <w:r w:rsidRPr="002D741C">
        <w:rPr>
          <w:b/>
          <w:color w:val="000000"/>
          <w:sz w:val="22"/>
          <w:szCs w:val="22"/>
        </w:rPr>
        <w:t>INFORMACIÓN MÍNIMA A INCLUIR EN BLÍSTERS O TIRAS</w:t>
      </w:r>
    </w:p>
    <w:p w14:paraId="556E8DE6" w14:textId="77777777" w:rsidR="0040333F" w:rsidRPr="002D741C" w:rsidRDefault="0040333F" w:rsidP="0040333F">
      <w:pPr>
        <w:widowControl w:val="0"/>
        <w:pBdr>
          <w:top w:val="single" w:sz="4" w:space="1" w:color="auto"/>
          <w:left w:val="single" w:sz="4" w:space="4" w:color="auto"/>
          <w:bottom w:val="single" w:sz="4" w:space="1" w:color="auto"/>
          <w:right w:val="single" w:sz="4" w:space="4" w:color="auto"/>
        </w:pBdr>
        <w:rPr>
          <w:color w:val="000000"/>
          <w:sz w:val="22"/>
          <w:szCs w:val="22"/>
        </w:rPr>
      </w:pPr>
    </w:p>
    <w:p w14:paraId="0D4696E9" w14:textId="77777777" w:rsidR="0040333F" w:rsidRPr="002D741C" w:rsidRDefault="0040333F" w:rsidP="0040333F">
      <w:pPr>
        <w:widowControl w:val="0"/>
        <w:pBdr>
          <w:top w:val="single" w:sz="4" w:space="1" w:color="auto"/>
          <w:left w:val="single" w:sz="4" w:space="4" w:color="auto"/>
          <w:bottom w:val="single" w:sz="4" w:space="1" w:color="auto"/>
          <w:right w:val="single" w:sz="4" w:space="4" w:color="auto"/>
        </w:pBdr>
        <w:rPr>
          <w:b/>
          <w:color w:val="000000"/>
          <w:sz w:val="22"/>
          <w:szCs w:val="22"/>
        </w:rPr>
      </w:pPr>
      <w:r w:rsidRPr="002D741C">
        <w:rPr>
          <w:b/>
          <w:color w:val="000000"/>
          <w:sz w:val="22"/>
          <w:szCs w:val="22"/>
        </w:rPr>
        <w:t>BL</w:t>
      </w:r>
      <w:smartTag w:uri="urn:schemas-microsoft-com:office:smarttags" w:element="PersonName">
        <w:r w:rsidRPr="002D741C">
          <w:rPr>
            <w:b/>
            <w:color w:val="000000"/>
            <w:sz w:val="22"/>
            <w:szCs w:val="22"/>
          </w:rPr>
          <w:t>IS</w:t>
        </w:r>
      </w:smartTag>
      <w:r w:rsidRPr="002D741C">
        <w:rPr>
          <w:b/>
          <w:color w:val="000000"/>
          <w:sz w:val="22"/>
          <w:szCs w:val="22"/>
        </w:rPr>
        <w:t>TERS</w:t>
      </w:r>
    </w:p>
    <w:p w14:paraId="681820C4" w14:textId="77777777" w:rsidR="0040333F" w:rsidRPr="002D741C" w:rsidRDefault="0040333F" w:rsidP="0040333F">
      <w:pPr>
        <w:widowControl w:val="0"/>
        <w:rPr>
          <w:color w:val="000000"/>
          <w:sz w:val="22"/>
          <w:szCs w:val="22"/>
        </w:rPr>
      </w:pPr>
    </w:p>
    <w:p w14:paraId="00ADDAEB" w14:textId="77777777" w:rsidR="0040333F" w:rsidRPr="002D741C" w:rsidRDefault="0040333F" w:rsidP="0040333F">
      <w:pPr>
        <w:widowControl w:val="0"/>
        <w:rPr>
          <w:color w:val="000000"/>
          <w:sz w:val="22"/>
          <w:szCs w:val="22"/>
        </w:rPr>
      </w:pPr>
    </w:p>
    <w:p w14:paraId="28B42970" w14:textId="77777777" w:rsidR="0040333F" w:rsidRPr="002D741C" w:rsidRDefault="0040333F" w:rsidP="0040333F">
      <w:pPr>
        <w:widowControl w:val="0"/>
        <w:pBdr>
          <w:top w:val="single" w:sz="4" w:space="1" w:color="auto"/>
          <w:left w:val="single" w:sz="4" w:space="4" w:color="auto"/>
          <w:bottom w:val="single" w:sz="4" w:space="1" w:color="auto"/>
          <w:right w:val="single" w:sz="4" w:space="4" w:color="auto"/>
        </w:pBdr>
        <w:ind w:left="567" w:hanging="567"/>
        <w:rPr>
          <w:b/>
          <w:color w:val="000000"/>
          <w:sz w:val="22"/>
          <w:szCs w:val="22"/>
        </w:rPr>
      </w:pPr>
      <w:r w:rsidRPr="002D741C">
        <w:rPr>
          <w:b/>
          <w:color w:val="000000"/>
          <w:sz w:val="22"/>
          <w:szCs w:val="22"/>
        </w:rPr>
        <w:t>1.</w:t>
      </w:r>
      <w:r w:rsidRPr="002D741C">
        <w:rPr>
          <w:b/>
          <w:color w:val="000000"/>
          <w:sz w:val="22"/>
          <w:szCs w:val="22"/>
        </w:rPr>
        <w:tab/>
      </w:r>
      <w:smartTag w:uri="urn:schemas-microsoft-com:office:smarttags" w:element="PersonName">
        <w:r w:rsidRPr="002D741C">
          <w:rPr>
            <w:b/>
            <w:color w:val="000000"/>
            <w:sz w:val="22"/>
            <w:szCs w:val="22"/>
          </w:rPr>
          <w:t>NO</w:t>
        </w:r>
      </w:smartTag>
      <w:r w:rsidRPr="002D741C">
        <w:rPr>
          <w:b/>
          <w:color w:val="000000"/>
          <w:sz w:val="22"/>
          <w:szCs w:val="22"/>
        </w:rPr>
        <w:t xml:space="preserve">MBRE </w:t>
      </w:r>
      <w:smartTag w:uri="urn:schemas-microsoft-com:office:smarttags" w:element="stockticker">
        <w:smartTag w:uri="urn:schemas-microsoft-com:office:smarttags" w:element="PersonName">
          <w:r w:rsidRPr="002D741C">
            <w:rPr>
              <w:b/>
              <w:color w:val="000000"/>
              <w:sz w:val="22"/>
              <w:szCs w:val="22"/>
            </w:rPr>
            <w:t>D</w:t>
          </w:r>
          <w:smartTag w:uri="urn:schemas-microsoft-com:office:smarttags" w:element="PersonName">
            <w:r w:rsidRPr="002D741C">
              <w:rPr>
                <w:b/>
                <w:color w:val="000000"/>
                <w:sz w:val="22"/>
                <w:szCs w:val="22"/>
              </w:rPr>
              <w:t>E</w:t>
            </w:r>
          </w:smartTag>
        </w:smartTag>
        <w:r w:rsidRPr="002D741C">
          <w:rPr>
            <w:b/>
            <w:color w:val="000000"/>
            <w:sz w:val="22"/>
            <w:szCs w:val="22"/>
          </w:rPr>
          <w:t>L</w:t>
        </w:r>
      </w:smartTag>
      <w:r w:rsidRPr="002D741C">
        <w:rPr>
          <w:b/>
          <w:color w:val="000000"/>
          <w:sz w:val="22"/>
          <w:szCs w:val="22"/>
        </w:rPr>
        <w:t xml:space="preserve"> MEDICAMENTO</w:t>
      </w:r>
    </w:p>
    <w:p w14:paraId="22A66CC8" w14:textId="77777777" w:rsidR="0040333F" w:rsidRPr="002D741C" w:rsidRDefault="0040333F" w:rsidP="0040333F">
      <w:pPr>
        <w:widowControl w:val="0"/>
        <w:ind w:left="567" w:hanging="567"/>
        <w:rPr>
          <w:color w:val="000000"/>
          <w:sz w:val="22"/>
          <w:szCs w:val="22"/>
        </w:rPr>
      </w:pPr>
    </w:p>
    <w:p w14:paraId="65A7F162" w14:textId="77777777" w:rsidR="0040333F" w:rsidRPr="002D741C" w:rsidRDefault="0040333F" w:rsidP="0040333F">
      <w:pPr>
        <w:widowControl w:val="0"/>
        <w:rPr>
          <w:color w:val="000000"/>
          <w:sz w:val="22"/>
          <w:szCs w:val="22"/>
        </w:rPr>
      </w:pPr>
      <w:r w:rsidRPr="002D741C">
        <w:rPr>
          <w:color w:val="000000"/>
          <w:sz w:val="22"/>
          <w:szCs w:val="22"/>
        </w:rPr>
        <w:t>Glivec 400 mg comprimidos</w:t>
      </w:r>
    </w:p>
    <w:p w14:paraId="76E4320C" w14:textId="77777777" w:rsidR="0040333F" w:rsidRPr="002D741C" w:rsidRDefault="00A56B0C" w:rsidP="0040333F">
      <w:pPr>
        <w:widowControl w:val="0"/>
        <w:rPr>
          <w:color w:val="000000"/>
          <w:sz w:val="22"/>
          <w:szCs w:val="22"/>
        </w:rPr>
      </w:pPr>
      <w:r w:rsidRPr="002D741C">
        <w:rPr>
          <w:color w:val="000000"/>
          <w:sz w:val="22"/>
          <w:szCs w:val="22"/>
        </w:rPr>
        <w:t>i</w:t>
      </w:r>
      <w:r w:rsidR="0040333F" w:rsidRPr="002D741C">
        <w:rPr>
          <w:color w:val="000000"/>
          <w:sz w:val="22"/>
          <w:szCs w:val="22"/>
        </w:rPr>
        <w:t>matinib</w:t>
      </w:r>
    </w:p>
    <w:p w14:paraId="2B60FF08" w14:textId="77777777" w:rsidR="0040333F" w:rsidRPr="002D741C" w:rsidRDefault="0040333F" w:rsidP="0040333F">
      <w:pPr>
        <w:widowControl w:val="0"/>
        <w:rPr>
          <w:color w:val="000000"/>
          <w:sz w:val="22"/>
          <w:szCs w:val="22"/>
        </w:rPr>
      </w:pPr>
    </w:p>
    <w:p w14:paraId="4324955F" w14:textId="77777777" w:rsidR="0040333F" w:rsidRPr="002D741C" w:rsidRDefault="0040333F" w:rsidP="0040333F">
      <w:pPr>
        <w:widowControl w:val="0"/>
        <w:rPr>
          <w:color w:val="000000"/>
          <w:sz w:val="22"/>
          <w:szCs w:val="22"/>
        </w:rPr>
      </w:pPr>
    </w:p>
    <w:p w14:paraId="6D833194" w14:textId="77777777" w:rsidR="0040333F" w:rsidRPr="002D741C" w:rsidRDefault="0040333F" w:rsidP="0040333F">
      <w:pPr>
        <w:widowControl w:val="0"/>
        <w:pBdr>
          <w:top w:val="single" w:sz="4" w:space="1" w:color="auto"/>
          <w:left w:val="single" w:sz="4" w:space="4" w:color="auto"/>
          <w:bottom w:val="single" w:sz="4" w:space="1" w:color="auto"/>
          <w:right w:val="single" w:sz="4" w:space="4" w:color="auto"/>
        </w:pBdr>
        <w:ind w:left="567" w:hanging="567"/>
        <w:rPr>
          <w:b/>
          <w:color w:val="000000"/>
          <w:sz w:val="22"/>
          <w:szCs w:val="22"/>
        </w:rPr>
      </w:pPr>
      <w:r w:rsidRPr="002D741C">
        <w:rPr>
          <w:b/>
          <w:color w:val="000000"/>
          <w:sz w:val="22"/>
          <w:szCs w:val="22"/>
        </w:rPr>
        <w:t>2.</w:t>
      </w:r>
      <w:r w:rsidRPr="002D741C">
        <w:rPr>
          <w:b/>
          <w:color w:val="000000"/>
          <w:sz w:val="22"/>
          <w:szCs w:val="22"/>
        </w:rPr>
        <w:tab/>
      </w:r>
      <w:smartTag w:uri="urn:schemas-microsoft-com:office:smarttags" w:element="PersonName">
        <w:r w:rsidRPr="002D741C">
          <w:rPr>
            <w:b/>
            <w:color w:val="000000"/>
            <w:sz w:val="22"/>
            <w:szCs w:val="22"/>
          </w:rPr>
          <w:t>NO</w:t>
        </w:r>
      </w:smartTag>
      <w:r w:rsidRPr="002D741C">
        <w:rPr>
          <w:b/>
          <w:color w:val="000000"/>
          <w:sz w:val="22"/>
          <w:szCs w:val="22"/>
        </w:rPr>
        <w:t xml:space="preserve">MBRE </w:t>
      </w:r>
      <w:smartTag w:uri="urn:schemas-microsoft-com:office:smarttags" w:element="stockticker">
        <w:smartTag w:uri="urn:schemas-microsoft-com:office:smarttags" w:element="PersonName">
          <w:r w:rsidRPr="002D741C">
            <w:rPr>
              <w:b/>
              <w:color w:val="000000"/>
              <w:sz w:val="22"/>
              <w:szCs w:val="22"/>
            </w:rPr>
            <w:t>D</w:t>
          </w:r>
          <w:smartTag w:uri="urn:schemas-microsoft-com:office:smarttags" w:element="PersonName">
            <w:r w:rsidRPr="002D741C">
              <w:rPr>
                <w:b/>
                <w:color w:val="000000"/>
                <w:sz w:val="22"/>
                <w:szCs w:val="22"/>
              </w:rPr>
              <w:t>E</w:t>
            </w:r>
          </w:smartTag>
        </w:smartTag>
        <w:r w:rsidRPr="002D741C">
          <w:rPr>
            <w:b/>
            <w:color w:val="000000"/>
            <w:sz w:val="22"/>
            <w:szCs w:val="22"/>
          </w:rPr>
          <w:t>L</w:t>
        </w:r>
      </w:smartTag>
      <w:r w:rsidRPr="002D741C">
        <w:rPr>
          <w:b/>
          <w:color w:val="000000"/>
          <w:sz w:val="22"/>
          <w:szCs w:val="22"/>
        </w:rPr>
        <w:t xml:space="preserve"> T</w:t>
      </w:r>
      <w:smartTag w:uri="urn:schemas-microsoft-com:office:smarttags" w:element="PersonName">
        <w:r w:rsidRPr="002D741C">
          <w:rPr>
            <w:b/>
            <w:color w:val="000000"/>
            <w:sz w:val="22"/>
            <w:szCs w:val="22"/>
          </w:rPr>
          <w:t>IT</w:t>
        </w:r>
      </w:smartTag>
      <w:r w:rsidRPr="002D741C">
        <w:rPr>
          <w:b/>
          <w:color w:val="000000"/>
          <w:sz w:val="22"/>
          <w:szCs w:val="22"/>
        </w:rPr>
        <w:t xml:space="preserve">ULAR </w:t>
      </w:r>
      <w:smartTag w:uri="urn:schemas-microsoft-com:office:smarttags" w:element="PersonName">
        <w:r w:rsidRPr="002D741C">
          <w:rPr>
            <w:b/>
            <w:color w:val="000000"/>
            <w:sz w:val="22"/>
            <w:szCs w:val="22"/>
          </w:rPr>
          <w:t>DE</w:t>
        </w:r>
      </w:smartTag>
      <w:r w:rsidRPr="002D741C">
        <w:rPr>
          <w:b/>
          <w:color w:val="000000"/>
          <w:sz w:val="22"/>
          <w:szCs w:val="22"/>
        </w:rPr>
        <w:t xml:space="preserve"> </w:t>
      </w:r>
      <w:smartTag w:uri="urn:schemas-microsoft-com:office:smarttags" w:element="PersonName">
        <w:smartTagPr>
          <w:attr w:name="ProductID" w:val="LA AUTORIZACIￓN DE"/>
        </w:smartTagPr>
        <w:r w:rsidRPr="002D741C">
          <w:rPr>
            <w:b/>
            <w:color w:val="000000"/>
            <w:sz w:val="22"/>
            <w:szCs w:val="22"/>
          </w:rPr>
          <w:t xml:space="preserve">LA AUTORIZACIÓN </w:t>
        </w:r>
        <w:smartTag w:uri="urn:schemas-microsoft-com:office:smarttags" w:element="PersonName">
          <w:r w:rsidRPr="002D741C">
            <w:rPr>
              <w:b/>
              <w:color w:val="000000"/>
              <w:sz w:val="22"/>
              <w:szCs w:val="22"/>
            </w:rPr>
            <w:t>DE</w:t>
          </w:r>
        </w:smartTag>
      </w:smartTag>
      <w:r w:rsidRPr="002D741C">
        <w:rPr>
          <w:b/>
          <w:color w:val="000000"/>
          <w:sz w:val="22"/>
          <w:szCs w:val="22"/>
        </w:rPr>
        <w:t xml:space="preserve"> COMERCIALIZACIÓN</w:t>
      </w:r>
    </w:p>
    <w:p w14:paraId="5D11F353" w14:textId="77777777" w:rsidR="0040333F" w:rsidRPr="002D741C" w:rsidRDefault="0040333F" w:rsidP="0040333F">
      <w:pPr>
        <w:widowControl w:val="0"/>
        <w:rPr>
          <w:color w:val="000000"/>
          <w:sz w:val="22"/>
          <w:szCs w:val="22"/>
        </w:rPr>
      </w:pPr>
    </w:p>
    <w:p w14:paraId="14B09B09" w14:textId="77777777" w:rsidR="0040333F" w:rsidRPr="002D741C" w:rsidRDefault="0040333F" w:rsidP="0040333F">
      <w:pPr>
        <w:widowControl w:val="0"/>
        <w:rPr>
          <w:color w:val="000000"/>
          <w:sz w:val="22"/>
          <w:szCs w:val="22"/>
        </w:rPr>
      </w:pPr>
      <w:r w:rsidRPr="002D741C">
        <w:rPr>
          <w:color w:val="000000"/>
          <w:sz w:val="22"/>
          <w:szCs w:val="22"/>
        </w:rPr>
        <w:t>Novartis Europharm Limited</w:t>
      </w:r>
    </w:p>
    <w:p w14:paraId="5638609D" w14:textId="77777777" w:rsidR="0040333F" w:rsidRPr="002D741C" w:rsidRDefault="0040333F" w:rsidP="0040333F">
      <w:pPr>
        <w:widowControl w:val="0"/>
        <w:rPr>
          <w:color w:val="000000"/>
          <w:sz w:val="22"/>
          <w:szCs w:val="22"/>
        </w:rPr>
      </w:pPr>
    </w:p>
    <w:p w14:paraId="4BDF57A7" w14:textId="77777777" w:rsidR="0040333F" w:rsidRPr="002D741C" w:rsidRDefault="0040333F" w:rsidP="0040333F">
      <w:pPr>
        <w:widowControl w:val="0"/>
        <w:rPr>
          <w:color w:val="000000"/>
          <w:sz w:val="22"/>
          <w:szCs w:val="22"/>
        </w:rPr>
      </w:pPr>
    </w:p>
    <w:p w14:paraId="52327BBB" w14:textId="77777777" w:rsidR="0040333F" w:rsidRPr="002D741C" w:rsidRDefault="0040333F" w:rsidP="0040333F">
      <w:pPr>
        <w:widowControl w:val="0"/>
        <w:pBdr>
          <w:top w:val="single" w:sz="4" w:space="1" w:color="auto"/>
          <w:left w:val="single" w:sz="4" w:space="4" w:color="auto"/>
          <w:bottom w:val="single" w:sz="4" w:space="1" w:color="auto"/>
          <w:right w:val="single" w:sz="4" w:space="4" w:color="auto"/>
        </w:pBdr>
        <w:ind w:left="567" w:hanging="567"/>
        <w:rPr>
          <w:b/>
          <w:color w:val="000000"/>
          <w:sz w:val="22"/>
          <w:szCs w:val="22"/>
        </w:rPr>
      </w:pPr>
      <w:r w:rsidRPr="002D741C">
        <w:rPr>
          <w:b/>
          <w:color w:val="000000"/>
          <w:sz w:val="22"/>
          <w:szCs w:val="22"/>
        </w:rPr>
        <w:t>3.</w:t>
      </w:r>
      <w:r w:rsidRPr="002D741C">
        <w:rPr>
          <w:b/>
          <w:color w:val="000000"/>
          <w:sz w:val="22"/>
          <w:szCs w:val="22"/>
        </w:rPr>
        <w:tab/>
        <w:t xml:space="preserve">FECHA </w:t>
      </w:r>
      <w:smartTag w:uri="urn:schemas-microsoft-com:office:smarttags" w:element="PersonName">
        <w:r w:rsidRPr="002D741C">
          <w:rPr>
            <w:b/>
            <w:color w:val="000000"/>
            <w:sz w:val="22"/>
            <w:szCs w:val="22"/>
          </w:rPr>
          <w:t>DE</w:t>
        </w:r>
      </w:smartTag>
      <w:r w:rsidRPr="002D741C">
        <w:rPr>
          <w:b/>
          <w:color w:val="000000"/>
          <w:sz w:val="22"/>
          <w:szCs w:val="22"/>
        </w:rPr>
        <w:t xml:space="preserve"> CADUCIDAD</w:t>
      </w:r>
    </w:p>
    <w:p w14:paraId="75C19B82" w14:textId="77777777" w:rsidR="0040333F" w:rsidRPr="002D741C" w:rsidRDefault="0040333F" w:rsidP="0040333F">
      <w:pPr>
        <w:widowControl w:val="0"/>
        <w:rPr>
          <w:color w:val="000000"/>
          <w:sz w:val="22"/>
          <w:szCs w:val="22"/>
        </w:rPr>
      </w:pPr>
    </w:p>
    <w:p w14:paraId="1F77BD9E" w14:textId="77777777" w:rsidR="0040333F" w:rsidRPr="002D741C" w:rsidRDefault="0040333F" w:rsidP="0040333F">
      <w:pPr>
        <w:pStyle w:val="EndnoteText"/>
        <w:widowControl w:val="0"/>
        <w:tabs>
          <w:tab w:val="clear" w:pos="567"/>
        </w:tabs>
        <w:rPr>
          <w:color w:val="000000"/>
          <w:szCs w:val="22"/>
          <w:lang w:val="es-ES"/>
        </w:rPr>
      </w:pPr>
      <w:r w:rsidRPr="002D741C">
        <w:rPr>
          <w:color w:val="000000"/>
          <w:szCs w:val="22"/>
          <w:lang w:val="es-ES"/>
        </w:rPr>
        <w:t>EXP</w:t>
      </w:r>
    </w:p>
    <w:p w14:paraId="4FB225BF" w14:textId="77777777" w:rsidR="0040333F" w:rsidRPr="002D741C" w:rsidRDefault="0040333F" w:rsidP="0040333F">
      <w:pPr>
        <w:widowControl w:val="0"/>
        <w:rPr>
          <w:color w:val="000000"/>
          <w:sz w:val="22"/>
          <w:szCs w:val="22"/>
          <w:lang w:val="nl-NL"/>
        </w:rPr>
      </w:pPr>
    </w:p>
    <w:p w14:paraId="005EF7F1" w14:textId="77777777" w:rsidR="0040333F" w:rsidRPr="002D741C" w:rsidRDefault="0040333F" w:rsidP="0040333F">
      <w:pPr>
        <w:widowControl w:val="0"/>
        <w:rPr>
          <w:color w:val="000000"/>
          <w:sz w:val="22"/>
          <w:szCs w:val="22"/>
          <w:lang w:val="nl-NL"/>
        </w:rPr>
      </w:pPr>
    </w:p>
    <w:p w14:paraId="565A8D13" w14:textId="77777777" w:rsidR="0040333F" w:rsidRPr="002D741C" w:rsidRDefault="0040333F" w:rsidP="0040333F">
      <w:pPr>
        <w:widowControl w:val="0"/>
        <w:pBdr>
          <w:top w:val="single" w:sz="4" w:space="1" w:color="auto"/>
          <w:left w:val="single" w:sz="4" w:space="4" w:color="auto"/>
          <w:bottom w:val="single" w:sz="4" w:space="1" w:color="auto"/>
          <w:right w:val="single" w:sz="4" w:space="4" w:color="auto"/>
        </w:pBdr>
        <w:ind w:left="567" w:hanging="567"/>
        <w:rPr>
          <w:b/>
          <w:color w:val="000000"/>
          <w:sz w:val="22"/>
          <w:szCs w:val="22"/>
        </w:rPr>
      </w:pPr>
      <w:r w:rsidRPr="002D741C">
        <w:rPr>
          <w:b/>
          <w:color w:val="000000"/>
          <w:sz w:val="22"/>
          <w:szCs w:val="22"/>
        </w:rPr>
        <w:t>4.</w:t>
      </w:r>
      <w:r w:rsidRPr="002D741C">
        <w:rPr>
          <w:b/>
          <w:color w:val="000000"/>
          <w:sz w:val="22"/>
          <w:szCs w:val="22"/>
        </w:rPr>
        <w:tab/>
        <w:t>NÚME</w:t>
      </w:r>
      <w:smartTag w:uri="urn:schemas-microsoft-com:office:smarttags" w:element="PersonName">
        <w:r w:rsidRPr="002D741C">
          <w:rPr>
            <w:b/>
            <w:color w:val="000000"/>
            <w:sz w:val="22"/>
            <w:szCs w:val="22"/>
          </w:rPr>
          <w:t>RO</w:t>
        </w:r>
      </w:smartTag>
      <w:r w:rsidRPr="002D741C">
        <w:rPr>
          <w:b/>
          <w:color w:val="000000"/>
          <w:sz w:val="22"/>
          <w:szCs w:val="22"/>
        </w:rPr>
        <w:t xml:space="preserve"> </w:t>
      </w:r>
      <w:smartTag w:uri="urn:schemas-microsoft-com:office:smarttags" w:element="PersonName">
        <w:r w:rsidRPr="002D741C">
          <w:rPr>
            <w:b/>
            <w:color w:val="000000"/>
            <w:sz w:val="22"/>
            <w:szCs w:val="22"/>
          </w:rPr>
          <w:t>DE</w:t>
        </w:r>
      </w:smartTag>
      <w:r w:rsidRPr="002D741C">
        <w:rPr>
          <w:b/>
          <w:color w:val="000000"/>
          <w:sz w:val="22"/>
          <w:szCs w:val="22"/>
        </w:rPr>
        <w:t xml:space="preserve"> LOTE</w:t>
      </w:r>
    </w:p>
    <w:p w14:paraId="6AE2F867" w14:textId="77777777" w:rsidR="0040333F" w:rsidRPr="002D741C" w:rsidRDefault="0040333F" w:rsidP="0040333F">
      <w:pPr>
        <w:widowControl w:val="0"/>
        <w:rPr>
          <w:color w:val="000000"/>
          <w:sz w:val="22"/>
          <w:szCs w:val="22"/>
        </w:rPr>
      </w:pPr>
    </w:p>
    <w:p w14:paraId="2060823A" w14:textId="77777777" w:rsidR="0040333F" w:rsidRPr="002D741C" w:rsidRDefault="0040333F" w:rsidP="0040333F">
      <w:pPr>
        <w:pStyle w:val="EndnoteText"/>
        <w:widowControl w:val="0"/>
        <w:tabs>
          <w:tab w:val="clear" w:pos="567"/>
        </w:tabs>
        <w:rPr>
          <w:color w:val="000000"/>
          <w:szCs w:val="22"/>
          <w:lang w:val="es-ES_tradnl"/>
        </w:rPr>
      </w:pPr>
      <w:r w:rsidRPr="002D741C">
        <w:rPr>
          <w:color w:val="000000"/>
          <w:szCs w:val="22"/>
          <w:lang w:val="es-ES_tradnl"/>
        </w:rPr>
        <w:t>Lot</w:t>
      </w:r>
    </w:p>
    <w:p w14:paraId="3170B9D2" w14:textId="77777777" w:rsidR="0040333F" w:rsidRPr="002D741C" w:rsidRDefault="0040333F" w:rsidP="0040333F">
      <w:pPr>
        <w:pStyle w:val="EndnoteText"/>
        <w:widowControl w:val="0"/>
        <w:tabs>
          <w:tab w:val="clear" w:pos="567"/>
        </w:tabs>
        <w:rPr>
          <w:color w:val="000000"/>
          <w:szCs w:val="22"/>
          <w:lang w:val="es-ES_tradnl"/>
        </w:rPr>
      </w:pPr>
    </w:p>
    <w:p w14:paraId="4C958375" w14:textId="77777777" w:rsidR="0040333F" w:rsidRPr="002D741C" w:rsidRDefault="0040333F" w:rsidP="0040333F">
      <w:pPr>
        <w:pStyle w:val="EndnoteText"/>
        <w:widowControl w:val="0"/>
        <w:tabs>
          <w:tab w:val="clear" w:pos="567"/>
        </w:tabs>
        <w:rPr>
          <w:color w:val="000000"/>
          <w:szCs w:val="22"/>
          <w:lang w:val="es-ES_tradnl"/>
        </w:rPr>
      </w:pPr>
    </w:p>
    <w:p w14:paraId="1EE0F500" w14:textId="77777777" w:rsidR="0040333F" w:rsidRPr="002D741C" w:rsidRDefault="0040333F" w:rsidP="006662BC">
      <w:pPr>
        <w:pStyle w:val="EndnoteText"/>
        <w:widowControl w:val="0"/>
        <w:pBdr>
          <w:top w:val="single" w:sz="4" w:space="1" w:color="auto"/>
          <w:left w:val="single" w:sz="4" w:space="4" w:color="auto"/>
          <w:bottom w:val="single" w:sz="4" w:space="1" w:color="auto"/>
          <w:right w:val="single" w:sz="4" w:space="4" w:color="auto"/>
        </w:pBdr>
        <w:tabs>
          <w:tab w:val="clear" w:pos="567"/>
        </w:tabs>
        <w:spacing w:line="260" w:lineRule="exact"/>
        <w:ind w:left="567" w:hanging="567"/>
        <w:rPr>
          <w:color w:val="000000"/>
          <w:szCs w:val="22"/>
          <w:lang w:val="es-ES_tradnl"/>
        </w:rPr>
      </w:pPr>
      <w:r w:rsidRPr="002D741C">
        <w:rPr>
          <w:b/>
          <w:color w:val="000000"/>
          <w:szCs w:val="22"/>
          <w:lang w:val="es-ES_tradnl"/>
        </w:rPr>
        <w:t>5.</w:t>
      </w:r>
      <w:r w:rsidRPr="002D741C">
        <w:rPr>
          <w:b/>
          <w:color w:val="000000"/>
          <w:szCs w:val="22"/>
          <w:lang w:val="es-ES_tradnl"/>
        </w:rPr>
        <w:tab/>
        <w:t>OT</w:t>
      </w:r>
      <w:smartTag w:uri="urn:schemas-microsoft-com:office:smarttags" w:element="PersonName">
        <w:r w:rsidRPr="002D741C">
          <w:rPr>
            <w:b/>
            <w:color w:val="000000"/>
            <w:szCs w:val="22"/>
            <w:lang w:val="es-ES_tradnl"/>
          </w:rPr>
          <w:t>RO</w:t>
        </w:r>
      </w:smartTag>
      <w:r w:rsidRPr="002D741C">
        <w:rPr>
          <w:b/>
          <w:color w:val="000000"/>
          <w:szCs w:val="22"/>
          <w:lang w:val="es-ES_tradnl"/>
        </w:rPr>
        <w:t>S</w:t>
      </w:r>
    </w:p>
    <w:p w14:paraId="3723BE24" w14:textId="77777777" w:rsidR="0040333F" w:rsidRPr="002D741C" w:rsidRDefault="0040333F" w:rsidP="0040333F">
      <w:pPr>
        <w:pStyle w:val="EndnoteText"/>
        <w:widowControl w:val="0"/>
        <w:tabs>
          <w:tab w:val="clear" w:pos="567"/>
        </w:tabs>
        <w:rPr>
          <w:color w:val="000000"/>
          <w:szCs w:val="22"/>
          <w:lang w:val="es-ES_tradnl"/>
        </w:rPr>
      </w:pPr>
    </w:p>
    <w:p w14:paraId="71424D4E" w14:textId="77777777" w:rsidR="0040333F" w:rsidRPr="002D741C" w:rsidRDefault="0040333F" w:rsidP="0040333F">
      <w:pPr>
        <w:pStyle w:val="EndnoteText"/>
        <w:widowControl w:val="0"/>
        <w:tabs>
          <w:tab w:val="clear" w:pos="567"/>
        </w:tabs>
        <w:rPr>
          <w:color w:val="000000"/>
          <w:szCs w:val="22"/>
          <w:lang w:val="es-ES_tradnl"/>
        </w:rPr>
      </w:pPr>
      <w:r w:rsidRPr="002D741C">
        <w:rPr>
          <w:color w:val="000000"/>
          <w:szCs w:val="22"/>
          <w:lang w:val="es-ES_tradnl"/>
        </w:rPr>
        <w:br w:type="page"/>
      </w:r>
    </w:p>
    <w:p w14:paraId="179CAE90" w14:textId="77777777" w:rsidR="0040333F" w:rsidRPr="002D741C" w:rsidRDefault="0040333F" w:rsidP="0040333F">
      <w:pPr>
        <w:widowControl w:val="0"/>
        <w:rPr>
          <w:color w:val="000000"/>
          <w:sz w:val="22"/>
          <w:szCs w:val="22"/>
        </w:rPr>
      </w:pPr>
    </w:p>
    <w:p w14:paraId="70E17C49" w14:textId="77777777" w:rsidR="0040333F" w:rsidRPr="002D741C" w:rsidRDefault="0040333F" w:rsidP="0040333F">
      <w:pPr>
        <w:widowControl w:val="0"/>
        <w:rPr>
          <w:color w:val="000000"/>
          <w:sz w:val="22"/>
          <w:szCs w:val="22"/>
        </w:rPr>
      </w:pPr>
    </w:p>
    <w:p w14:paraId="156A02A5" w14:textId="77777777" w:rsidR="0040333F" w:rsidRPr="002D741C" w:rsidRDefault="0040333F" w:rsidP="0040333F">
      <w:pPr>
        <w:widowControl w:val="0"/>
        <w:rPr>
          <w:color w:val="000000"/>
          <w:sz w:val="22"/>
          <w:szCs w:val="22"/>
        </w:rPr>
      </w:pPr>
    </w:p>
    <w:p w14:paraId="1EF42CD0" w14:textId="77777777" w:rsidR="0040333F" w:rsidRPr="002D741C" w:rsidRDefault="0040333F" w:rsidP="0040333F">
      <w:pPr>
        <w:widowControl w:val="0"/>
        <w:rPr>
          <w:color w:val="000000"/>
          <w:sz w:val="22"/>
          <w:szCs w:val="22"/>
        </w:rPr>
      </w:pPr>
    </w:p>
    <w:p w14:paraId="1867FC3C" w14:textId="77777777" w:rsidR="0040333F" w:rsidRPr="002D741C" w:rsidRDefault="0040333F" w:rsidP="0040333F">
      <w:pPr>
        <w:pStyle w:val="EndnoteText"/>
        <w:widowControl w:val="0"/>
        <w:tabs>
          <w:tab w:val="clear" w:pos="567"/>
        </w:tabs>
        <w:rPr>
          <w:snapToGrid/>
          <w:color w:val="000000"/>
          <w:szCs w:val="22"/>
          <w:lang w:val="es-ES"/>
        </w:rPr>
      </w:pPr>
    </w:p>
    <w:p w14:paraId="68444703" w14:textId="77777777" w:rsidR="0040333F" w:rsidRPr="002D741C" w:rsidRDefault="0040333F" w:rsidP="0040333F">
      <w:pPr>
        <w:widowControl w:val="0"/>
        <w:rPr>
          <w:color w:val="000000"/>
          <w:sz w:val="22"/>
          <w:szCs w:val="22"/>
        </w:rPr>
      </w:pPr>
    </w:p>
    <w:p w14:paraId="1E65274B" w14:textId="77777777" w:rsidR="0040333F" w:rsidRPr="002D741C" w:rsidRDefault="0040333F" w:rsidP="0040333F">
      <w:pPr>
        <w:widowControl w:val="0"/>
        <w:rPr>
          <w:color w:val="000000"/>
          <w:sz w:val="22"/>
          <w:szCs w:val="22"/>
        </w:rPr>
      </w:pPr>
    </w:p>
    <w:p w14:paraId="29A11C9F" w14:textId="77777777" w:rsidR="0040333F" w:rsidRPr="002D741C" w:rsidRDefault="0040333F" w:rsidP="0040333F">
      <w:pPr>
        <w:widowControl w:val="0"/>
        <w:rPr>
          <w:color w:val="000000"/>
          <w:sz w:val="22"/>
          <w:szCs w:val="22"/>
        </w:rPr>
      </w:pPr>
    </w:p>
    <w:p w14:paraId="24D3D854" w14:textId="77777777" w:rsidR="0040333F" w:rsidRPr="002D741C" w:rsidRDefault="0040333F" w:rsidP="0040333F">
      <w:pPr>
        <w:widowControl w:val="0"/>
        <w:rPr>
          <w:color w:val="000000"/>
          <w:sz w:val="22"/>
          <w:szCs w:val="22"/>
        </w:rPr>
      </w:pPr>
    </w:p>
    <w:p w14:paraId="6E1EDCD0" w14:textId="77777777" w:rsidR="0040333F" w:rsidRPr="002D741C" w:rsidRDefault="0040333F" w:rsidP="0040333F">
      <w:pPr>
        <w:widowControl w:val="0"/>
        <w:rPr>
          <w:color w:val="000000"/>
          <w:sz w:val="22"/>
          <w:szCs w:val="22"/>
        </w:rPr>
      </w:pPr>
    </w:p>
    <w:p w14:paraId="310A10A6" w14:textId="77777777" w:rsidR="0040333F" w:rsidRPr="002D741C" w:rsidRDefault="0040333F" w:rsidP="0040333F">
      <w:pPr>
        <w:widowControl w:val="0"/>
        <w:rPr>
          <w:color w:val="000000"/>
          <w:sz w:val="22"/>
          <w:szCs w:val="22"/>
        </w:rPr>
      </w:pPr>
    </w:p>
    <w:p w14:paraId="6A2D7829" w14:textId="77777777" w:rsidR="0040333F" w:rsidRPr="002D741C" w:rsidRDefault="0040333F" w:rsidP="0040333F">
      <w:pPr>
        <w:widowControl w:val="0"/>
        <w:rPr>
          <w:color w:val="000000"/>
          <w:sz w:val="22"/>
          <w:szCs w:val="22"/>
        </w:rPr>
      </w:pPr>
    </w:p>
    <w:p w14:paraId="6D679E26" w14:textId="77777777" w:rsidR="0040333F" w:rsidRPr="002D741C" w:rsidRDefault="0040333F" w:rsidP="0040333F">
      <w:pPr>
        <w:widowControl w:val="0"/>
        <w:rPr>
          <w:color w:val="000000"/>
          <w:sz w:val="22"/>
          <w:szCs w:val="22"/>
        </w:rPr>
      </w:pPr>
    </w:p>
    <w:p w14:paraId="3B2B0F2B" w14:textId="77777777" w:rsidR="0040333F" w:rsidRPr="002D741C" w:rsidRDefault="0040333F" w:rsidP="0040333F">
      <w:pPr>
        <w:widowControl w:val="0"/>
        <w:rPr>
          <w:color w:val="000000"/>
          <w:sz w:val="22"/>
          <w:szCs w:val="22"/>
        </w:rPr>
      </w:pPr>
    </w:p>
    <w:p w14:paraId="7DF1A5BB" w14:textId="77777777" w:rsidR="0040333F" w:rsidRPr="002D741C" w:rsidRDefault="0040333F" w:rsidP="0040333F">
      <w:pPr>
        <w:widowControl w:val="0"/>
        <w:rPr>
          <w:color w:val="000000"/>
          <w:sz w:val="22"/>
          <w:szCs w:val="22"/>
        </w:rPr>
      </w:pPr>
    </w:p>
    <w:p w14:paraId="3A6FF138" w14:textId="77777777" w:rsidR="0040333F" w:rsidRPr="002D741C" w:rsidRDefault="0040333F" w:rsidP="0040333F">
      <w:pPr>
        <w:widowControl w:val="0"/>
        <w:rPr>
          <w:color w:val="000000"/>
          <w:sz w:val="22"/>
          <w:szCs w:val="22"/>
        </w:rPr>
      </w:pPr>
    </w:p>
    <w:p w14:paraId="7385B59A" w14:textId="77777777" w:rsidR="0040333F" w:rsidRPr="002D741C" w:rsidRDefault="0040333F" w:rsidP="0040333F">
      <w:pPr>
        <w:widowControl w:val="0"/>
        <w:rPr>
          <w:color w:val="000000"/>
          <w:sz w:val="22"/>
          <w:szCs w:val="22"/>
        </w:rPr>
      </w:pPr>
    </w:p>
    <w:p w14:paraId="6B94C0FD" w14:textId="77777777" w:rsidR="0040333F" w:rsidRPr="002D741C" w:rsidRDefault="0040333F" w:rsidP="0040333F">
      <w:pPr>
        <w:widowControl w:val="0"/>
        <w:rPr>
          <w:color w:val="000000"/>
          <w:sz w:val="22"/>
          <w:szCs w:val="22"/>
        </w:rPr>
      </w:pPr>
    </w:p>
    <w:p w14:paraId="44BCA76A" w14:textId="77777777" w:rsidR="0040333F" w:rsidRPr="002D741C" w:rsidRDefault="0040333F" w:rsidP="0040333F">
      <w:pPr>
        <w:widowControl w:val="0"/>
        <w:rPr>
          <w:color w:val="000000"/>
          <w:sz w:val="22"/>
          <w:szCs w:val="22"/>
        </w:rPr>
      </w:pPr>
    </w:p>
    <w:p w14:paraId="146F70F1" w14:textId="77777777" w:rsidR="0040333F" w:rsidRPr="002D741C" w:rsidRDefault="0040333F" w:rsidP="0040333F">
      <w:pPr>
        <w:widowControl w:val="0"/>
        <w:rPr>
          <w:color w:val="000000"/>
          <w:sz w:val="22"/>
          <w:szCs w:val="22"/>
        </w:rPr>
      </w:pPr>
    </w:p>
    <w:p w14:paraId="124C8274" w14:textId="77777777" w:rsidR="0040333F" w:rsidRPr="002D741C" w:rsidRDefault="0040333F" w:rsidP="0040333F">
      <w:pPr>
        <w:pStyle w:val="EndnoteText"/>
        <w:widowControl w:val="0"/>
        <w:tabs>
          <w:tab w:val="clear" w:pos="567"/>
        </w:tabs>
        <w:rPr>
          <w:snapToGrid/>
          <w:color w:val="000000"/>
          <w:szCs w:val="22"/>
          <w:lang w:val="es-ES"/>
        </w:rPr>
      </w:pPr>
    </w:p>
    <w:p w14:paraId="1C3558C3" w14:textId="77777777" w:rsidR="0040333F" w:rsidRDefault="0040333F" w:rsidP="0040333F">
      <w:pPr>
        <w:pStyle w:val="EndnoteText"/>
        <w:widowControl w:val="0"/>
        <w:tabs>
          <w:tab w:val="clear" w:pos="567"/>
        </w:tabs>
        <w:rPr>
          <w:snapToGrid/>
          <w:color w:val="000000"/>
          <w:szCs w:val="22"/>
          <w:lang w:val="es-ES"/>
        </w:rPr>
      </w:pPr>
    </w:p>
    <w:p w14:paraId="459AE24B" w14:textId="77777777" w:rsidR="006662BC" w:rsidRPr="002D741C" w:rsidRDefault="006662BC" w:rsidP="0040333F">
      <w:pPr>
        <w:pStyle w:val="EndnoteText"/>
        <w:widowControl w:val="0"/>
        <w:tabs>
          <w:tab w:val="clear" w:pos="567"/>
        </w:tabs>
        <w:rPr>
          <w:snapToGrid/>
          <w:color w:val="000000"/>
          <w:szCs w:val="22"/>
          <w:lang w:val="es-ES"/>
        </w:rPr>
      </w:pPr>
    </w:p>
    <w:p w14:paraId="61E82C96" w14:textId="77777777" w:rsidR="0040333F" w:rsidRPr="002D741C" w:rsidRDefault="0040333F" w:rsidP="0040333F">
      <w:pPr>
        <w:pStyle w:val="Heading2"/>
        <w:keepNext w:val="0"/>
        <w:widowControl w:val="0"/>
        <w:rPr>
          <w:color w:val="000000"/>
          <w:szCs w:val="22"/>
          <w:lang w:val="es-ES"/>
        </w:rPr>
      </w:pPr>
      <w:r w:rsidRPr="002D741C">
        <w:rPr>
          <w:color w:val="000000"/>
          <w:szCs w:val="22"/>
          <w:lang w:val="es-ES"/>
        </w:rPr>
        <w:t>B. P</w:t>
      </w:r>
      <w:smartTag w:uri="urn:schemas-microsoft-com:office:smarttags" w:element="PersonName">
        <w:r w:rsidRPr="002D741C">
          <w:rPr>
            <w:color w:val="000000"/>
            <w:szCs w:val="22"/>
            <w:lang w:val="es-ES"/>
          </w:rPr>
          <w:t>RO</w:t>
        </w:r>
      </w:smartTag>
      <w:r w:rsidRPr="002D741C">
        <w:rPr>
          <w:color w:val="000000"/>
          <w:szCs w:val="22"/>
          <w:lang w:val="es-ES"/>
        </w:rPr>
        <w:t>SPECTO</w:t>
      </w:r>
    </w:p>
    <w:p w14:paraId="6DE8E373" w14:textId="77777777" w:rsidR="0040333F" w:rsidRPr="002D741C" w:rsidRDefault="0040333F" w:rsidP="0040333F">
      <w:pPr>
        <w:widowControl w:val="0"/>
        <w:jc w:val="center"/>
        <w:rPr>
          <w:b/>
          <w:color w:val="000000"/>
          <w:sz w:val="22"/>
          <w:szCs w:val="22"/>
        </w:rPr>
      </w:pPr>
      <w:r w:rsidRPr="002D741C">
        <w:rPr>
          <w:color w:val="000000"/>
          <w:sz w:val="22"/>
          <w:szCs w:val="22"/>
        </w:rPr>
        <w:br w:type="page"/>
      </w:r>
      <w:r w:rsidR="00D42445" w:rsidRPr="002D741C">
        <w:rPr>
          <w:b/>
          <w:color w:val="000000"/>
          <w:sz w:val="22"/>
          <w:szCs w:val="22"/>
        </w:rPr>
        <w:lastRenderedPageBreak/>
        <w:t>Prospecto: información para el usuario</w:t>
      </w:r>
    </w:p>
    <w:p w14:paraId="1A6AA007" w14:textId="77777777" w:rsidR="0040333F" w:rsidRPr="002D741C" w:rsidRDefault="0040333F" w:rsidP="0040333F">
      <w:pPr>
        <w:widowControl w:val="0"/>
        <w:jc w:val="center"/>
        <w:rPr>
          <w:color w:val="000000"/>
          <w:sz w:val="22"/>
          <w:szCs w:val="22"/>
        </w:rPr>
      </w:pPr>
    </w:p>
    <w:p w14:paraId="0789D9BA" w14:textId="77777777" w:rsidR="0040333F" w:rsidRPr="002D741C" w:rsidRDefault="0040333F" w:rsidP="0040333F">
      <w:pPr>
        <w:widowControl w:val="0"/>
        <w:jc w:val="center"/>
        <w:rPr>
          <w:color w:val="000000"/>
          <w:sz w:val="22"/>
          <w:szCs w:val="22"/>
        </w:rPr>
      </w:pPr>
      <w:r w:rsidRPr="002D741C">
        <w:rPr>
          <w:b/>
          <w:color w:val="000000"/>
          <w:sz w:val="22"/>
          <w:szCs w:val="22"/>
        </w:rPr>
        <w:t>Glivec 100 mg cápsulas duras</w:t>
      </w:r>
    </w:p>
    <w:p w14:paraId="4E727C5A" w14:textId="77777777" w:rsidR="0040333F" w:rsidRPr="002D741C" w:rsidRDefault="00A56B0C" w:rsidP="0040333F">
      <w:pPr>
        <w:widowControl w:val="0"/>
        <w:jc w:val="center"/>
        <w:rPr>
          <w:color w:val="000000"/>
          <w:sz w:val="22"/>
          <w:szCs w:val="22"/>
        </w:rPr>
      </w:pPr>
      <w:r w:rsidRPr="002D741C">
        <w:rPr>
          <w:color w:val="000000"/>
          <w:sz w:val="22"/>
          <w:szCs w:val="22"/>
        </w:rPr>
        <w:t>i</w:t>
      </w:r>
      <w:r w:rsidR="0040333F" w:rsidRPr="002D741C">
        <w:rPr>
          <w:color w:val="000000"/>
          <w:sz w:val="22"/>
          <w:szCs w:val="22"/>
        </w:rPr>
        <w:t>matinib</w:t>
      </w:r>
    </w:p>
    <w:p w14:paraId="191962FD" w14:textId="77777777" w:rsidR="0040333F" w:rsidRPr="002D741C" w:rsidRDefault="0040333F" w:rsidP="0040333F">
      <w:pPr>
        <w:widowControl w:val="0"/>
        <w:rPr>
          <w:color w:val="000000"/>
          <w:sz w:val="22"/>
          <w:szCs w:val="22"/>
        </w:rPr>
      </w:pPr>
    </w:p>
    <w:p w14:paraId="7DF732A9" w14:textId="77777777" w:rsidR="003D425D" w:rsidRPr="002D741C" w:rsidRDefault="00B34E6C" w:rsidP="003D425D">
      <w:pPr>
        <w:tabs>
          <w:tab w:val="left" w:pos="567"/>
        </w:tabs>
        <w:rPr>
          <w:sz w:val="22"/>
          <w:szCs w:val="24"/>
          <w:lang w:eastAsia="zh-CN"/>
        </w:rPr>
      </w:pPr>
      <w:r w:rsidRPr="002D741C">
        <w:rPr>
          <w:noProof/>
          <w:sz w:val="22"/>
          <w:lang w:val="en-GB" w:eastAsia="en-GB"/>
        </w:rPr>
        <w:drawing>
          <wp:inline distT="0" distB="0" distL="0" distR="0" wp14:anchorId="785CE303" wp14:editId="1E7DECC4">
            <wp:extent cx="198755" cy="174625"/>
            <wp:effectExtent l="0" t="0" r="0" b="0"/>
            <wp:docPr id="8" name="Picture 1" descr="C:\Users\horemansk\AppData\Local\Microsoft\Windows\Temporary Internet Files\Content.Word\BT_1000x858p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oremansk\AppData\Local\Microsoft\Windows\Temporary Internet Files\Content.Word\BT_1000x858px.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8755" cy="174625"/>
                    </a:xfrm>
                    <a:prstGeom prst="rect">
                      <a:avLst/>
                    </a:prstGeom>
                    <a:noFill/>
                    <a:ln>
                      <a:noFill/>
                    </a:ln>
                  </pic:spPr>
                </pic:pic>
              </a:graphicData>
            </a:graphic>
          </wp:inline>
        </w:drawing>
      </w:r>
      <w:r w:rsidR="003D425D" w:rsidRPr="002D741C">
        <w:rPr>
          <w:sz w:val="22"/>
          <w:szCs w:val="24"/>
          <w:lang w:eastAsia="zh-CN"/>
        </w:rPr>
        <w:t>Este medicamento está sujeto a seguimiento adicional, lo que agilizará la detección de nueva información sobre su seguridad. Puede contribuir comunicando los efectos adversos que pudiera usted tener. La parte final de la sección 4 incluye información sobre cómo comunicar estos efectos adversos.</w:t>
      </w:r>
    </w:p>
    <w:p w14:paraId="0F5F8ACA" w14:textId="77777777" w:rsidR="0040333F" w:rsidRPr="002D741C" w:rsidRDefault="0040333F" w:rsidP="0040333F">
      <w:pPr>
        <w:widowControl w:val="0"/>
        <w:rPr>
          <w:color w:val="000000"/>
          <w:sz w:val="22"/>
          <w:szCs w:val="22"/>
        </w:rPr>
      </w:pPr>
    </w:p>
    <w:p w14:paraId="5F5C1191" w14:textId="77777777" w:rsidR="00D938DC" w:rsidRPr="002D741C" w:rsidRDefault="00D938DC" w:rsidP="00D938DC">
      <w:pPr>
        <w:widowControl w:val="0"/>
        <w:ind w:right="-2"/>
        <w:rPr>
          <w:color w:val="000000"/>
          <w:sz w:val="22"/>
          <w:szCs w:val="22"/>
        </w:rPr>
      </w:pPr>
      <w:r w:rsidRPr="002D741C">
        <w:rPr>
          <w:b/>
          <w:color w:val="000000"/>
          <w:sz w:val="22"/>
          <w:szCs w:val="22"/>
        </w:rPr>
        <w:t>Lea todo el prospecto detenidamente antes de empezar a tomar este medicamento, porque contiene información importante para usted.</w:t>
      </w:r>
    </w:p>
    <w:p w14:paraId="6A1ACBA1" w14:textId="77777777" w:rsidR="00D938DC" w:rsidRPr="002D741C" w:rsidRDefault="00D938DC" w:rsidP="00D938DC">
      <w:pPr>
        <w:widowControl w:val="0"/>
        <w:numPr>
          <w:ilvl w:val="0"/>
          <w:numId w:val="2"/>
        </w:numPr>
        <w:tabs>
          <w:tab w:val="clear" w:pos="927"/>
        </w:tabs>
        <w:ind w:left="567" w:right="-2" w:hanging="567"/>
        <w:rPr>
          <w:color w:val="000000"/>
          <w:sz w:val="22"/>
          <w:szCs w:val="22"/>
        </w:rPr>
      </w:pPr>
      <w:r w:rsidRPr="002D741C">
        <w:rPr>
          <w:color w:val="000000"/>
          <w:sz w:val="22"/>
          <w:szCs w:val="22"/>
        </w:rPr>
        <w:t>Conserve este prospecto, ya que puede tener que volver a leerlo.</w:t>
      </w:r>
    </w:p>
    <w:p w14:paraId="2102C52B" w14:textId="77777777" w:rsidR="00D938DC" w:rsidRPr="002D741C" w:rsidRDefault="00D938DC" w:rsidP="00D938DC">
      <w:pPr>
        <w:widowControl w:val="0"/>
        <w:numPr>
          <w:ilvl w:val="0"/>
          <w:numId w:val="2"/>
        </w:numPr>
        <w:tabs>
          <w:tab w:val="clear" w:pos="927"/>
        </w:tabs>
        <w:ind w:left="567" w:right="-2" w:hanging="567"/>
        <w:rPr>
          <w:color w:val="000000"/>
          <w:sz w:val="22"/>
          <w:szCs w:val="22"/>
        </w:rPr>
      </w:pPr>
      <w:r w:rsidRPr="002D741C">
        <w:rPr>
          <w:color w:val="000000"/>
          <w:sz w:val="22"/>
          <w:szCs w:val="22"/>
        </w:rPr>
        <w:t>Si tiene alguna duda, consulte a su médico, farmacéutico o enfermero.</w:t>
      </w:r>
    </w:p>
    <w:p w14:paraId="0252C8C2" w14:textId="77777777" w:rsidR="00D938DC" w:rsidRPr="002D741C" w:rsidRDefault="00D938DC" w:rsidP="00D938DC">
      <w:pPr>
        <w:widowControl w:val="0"/>
        <w:numPr>
          <w:ilvl w:val="0"/>
          <w:numId w:val="2"/>
        </w:numPr>
        <w:tabs>
          <w:tab w:val="clear" w:pos="927"/>
        </w:tabs>
        <w:ind w:left="567" w:right="-2" w:hanging="567"/>
        <w:rPr>
          <w:color w:val="000000"/>
          <w:sz w:val="22"/>
          <w:szCs w:val="22"/>
        </w:rPr>
      </w:pPr>
      <w:r w:rsidRPr="002D741C">
        <w:rPr>
          <w:color w:val="000000"/>
          <w:sz w:val="22"/>
          <w:szCs w:val="22"/>
        </w:rPr>
        <w:t xml:space="preserve">Este medicamento se le ha recetado solamente a usted, y no debe dárselo a otras personas aunque </w:t>
      </w:r>
      <w:r w:rsidR="00606ADD" w:rsidRPr="002D741C">
        <w:rPr>
          <w:color w:val="000000"/>
          <w:sz w:val="22"/>
          <w:szCs w:val="22"/>
        </w:rPr>
        <w:t xml:space="preserve">tengan </w:t>
      </w:r>
      <w:r w:rsidRPr="002D741C">
        <w:rPr>
          <w:color w:val="000000"/>
          <w:sz w:val="22"/>
          <w:szCs w:val="22"/>
        </w:rPr>
        <w:t>los mismos síntomas que usted, ya que puede perjudicarles.</w:t>
      </w:r>
    </w:p>
    <w:p w14:paraId="3CEC6E8D" w14:textId="77777777" w:rsidR="00D938DC" w:rsidRPr="002D741C" w:rsidRDefault="00D938DC" w:rsidP="00D938DC">
      <w:pPr>
        <w:widowControl w:val="0"/>
        <w:numPr>
          <w:ilvl w:val="12"/>
          <w:numId w:val="0"/>
        </w:numPr>
        <w:tabs>
          <w:tab w:val="left" w:pos="567"/>
        </w:tabs>
        <w:ind w:left="567" w:right="-2" w:hanging="567"/>
        <w:rPr>
          <w:color w:val="000000"/>
          <w:sz w:val="22"/>
          <w:szCs w:val="22"/>
          <w:lang w:val="es-ES"/>
        </w:rPr>
      </w:pPr>
      <w:r w:rsidRPr="002D741C">
        <w:rPr>
          <w:color w:val="000000"/>
          <w:sz w:val="22"/>
          <w:szCs w:val="22"/>
          <w:lang w:val="es-ES"/>
        </w:rPr>
        <w:t>-</w:t>
      </w:r>
      <w:r w:rsidRPr="002D741C">
        <w:rPr>
          <w:color w:val="000000"/>
          <w:sz w:val="22"/>
          <w:szCs w:val="22"/>
          <w:lang w:val="es-ES"/>
        </w:rPr>
        <w:tab/>
        <w:t>Si experimenta efectos adversos, consulte a su médico, farmacéutico o enfermero, incluso si se trata de efectos adversos que no aparecen en este prospecto.</w:t>
      </w:r>
      <w:r w:rsidR="00A64D43" w:rsidRPr="002D741C">
        <w:rPr>
          <w:color w:val="000000"/>
          <w:sz w:val="22"/>
          <w:szCs w:val="22"/>
          <w:lang w:val="es-ES"/>
        </w:rPr>
        <w:t xml:space="preserve"> Ver sección 4.</w:t>
      </w:r>
    </w:p>
    <w:p w14:paraId="5559FA47" w14:textId="77777777" w:rsidR="00D938DC" w:rsidRPr="002D741C" w:rsidRDefault="00D938DC" w:rsidP="00D938DC">
      <w:pPr>
        <w:widowControl w:val="0"/>
        <w:numPr>
          <w:ilvl w:val="12"/>
          <w:numId w:val="0"/>
        </w:numPr>
        <w:tabs>
          <w:tab w:val="left" w:pos="567"/>
        </w:tabs>
        <w:ind w:left="567" w:right="-2" w:hanging="567"/>
        <w:rPr>
          <w:color w:val="000000"/>
          <w:sz w:val="22"/>
          <w:szCs w:val="22"/>
        </w:rPr>
      </w:pPr>
    </w:p>
    <w:p w14:paraId="77E36B94" w14:textId="77777777" w:rsidR="00D938DC" w:rsidRPr="002D741C" w:rsidRDefault="00D938DC" w:rsidP="00D938DC">
      <w:pPr>
        <w:widowControl w:val="0"/>
        <w:numPr>
          <w:ilvl w:val="12"/>
          <w:numId w:val="0"/>
        </w:numPr>
        <w:tabs>
          <w:tab w:val="left" w:pos="567"/>
        </w:tabs>
        <w:ind w:left="567" w:right="-2" w:hanging="567"/>
        <w:rPr>
          <w:color w:val="000000"/>
          <w:sz w:val="22"/>
          <w:szCs w:val="22"/>
        </w:rPr>
      </w:pPr>
    </w:p>
    <w:p w14:paraId="6AA2FB48" w14:textId="77777777" w:rsidR="00D938DC" w:rsidRPr="002D741C" w:rsidRDefault="00D938DC" w:rsidP="00D938DC">
      <w:pPr>
        <w:widowControl w:val="0"/>
        <w:numPr>
          <w:ilvl w:val="12"/>
          <w:numId w:val="0"/>
        </w:numPr>
        <w:ind w:right="-2"/>
        <w:rPr>
          <w:color w:val="000000"/>
          <w:sz w:val="22"/>
          <w:szCs w:val="22"/>
        </w:rPr>
      </w:pPr>
      <w:r w:rsidRPr="002D741C">
        <w:rPr>
          <w:b/>
          <w:color w:val="000000"/>
          <w:sz w:val="22"/>
          <w:szCs w:val="22"/>
        </w:rPr>
        <w:t>Contenido del prospecto</w:t>
      </w:r>
    </w:p>
    <w:p w14:paraId="098EF65D" w14:textId="77777777" w:rsidR="00D938DC" w:rsidRPr="002D741C" w:rsidRDefault="00D938DC" w:rsidP="00D938DC">
      <w:pPr>
        <w:widowControl w:val="0"/>
        <w:numPr>
          <w:ilvl w:val="12"/>
          <w:numId w:val="0"/>
        </w:numPr>
        <w:ind w:left="567" w:right="-29" w:hanging="567"/>
        <w:rPr>
          <w:color w:val="000000"/>
          <w:sz w:val="22"/>
          <w:szCs w:val="22"/>
        </w:rPr>
      </w:pPr>
      <w:r w:rsidRPr="002D741C">
        <w:rPr>
          <w:color w:val="000000"/>
          <w:sz w:val="22"/>
          <w:szCs w:val="22"/>
        </w:rPr>
        <w:t>1.</w:t>
      </w:r>
      <w:r w:rsidRPr="002D741C">
        <w:rPr>
          <w:color w:val="000000"/>
          <w:sz w:val="22"/>
          <w:szCs w:val="22"/>
        </w:rPr>
        <w:tab/>
        <w:t>Qué es Glivec y para qué se utiliza</w:t>
      </w:r>
    </w:p>
    <w:p w14:paraId="4C8E1544" w14:textId="77777777" w:rsidR="00D938DC" w:rsidRPr="002D741C" w:rsidRDefault="00D938DC" w:rsidP="00D938DC">
      <w:pPr>
        <w:widowControl w:val="0"/>
        <w:numPr>
          <w:ilvl w:val="12"/>
          <w:numId w:val="0"/>
        </w:numPr>
        <w:ind w:left="567" w:right="-29" w:hanging="567"/>
        <w:rPr>
          <w:color w:val="000000"/>
          <w:sz w:val="22"/>
          <w:szCs w:val="22"/>
        </w:rPr>
      </w:pPr>
      <w:r w:rsidRPr="002D741C">
        <w:rPr>
          <w:color w:val="000000"/>
          <w:sz w:val="22"/>
          <w:szCs w:val="22"/>
        </w:rPr>
        <w:t>2.</w:t>
      </w:r>
      <w:r w:rsidRPr="002D741C">
        <w:rPr>
          <w:color w:val="000000"/>
          <w:sz w:val="22"/>
          <w:szCs w:val="22"/>
        </w:rPr>
        <w:tab/>
        <w:t>Qué necesita saber antes de empezar a tomar Glivec</w:t>
      </w:r>
    </w:p>
    <w:p w14:paraId="01D2B67C" w14:textId="77777777" w:rsidR="00D938DC" w:rsidRPr="002D741C" w:rsidRDefault="00D938DC" w:rsidP="00D938DC">
      <w:pPr>
        <w:widowControl w:val="0"/>
        <w:numPr>
          <w:ilvl w:val="12"/>
          <w:numId w:val="0"/>
        </w:numPr>
        <w:ind w:left="567" w:right="-29" w:hanging="567"/>
        <w:rPr>
          <w:color w:val="000000"/>
          <w:sz w:val="22"/>
          <w:szCs w:val="22"/>
        </w:rPr>
      </w:pPr>
      <w:r w:rsidRPr="002D741C">
        <w:rPr>
          <w:color w:val="000000"/>
          <w:sz w:val="22"/>
          <w:szCs w:val="22"/>
        </w:rPr>
        <w:t>3.</w:t>
      </w:r>
      <w:r w:rsidRPr="002D741C">
        <w:rPr>
          <w:color w:val="000000"/>
          <w:sz w:val="22"/>
          <w:szCs w:val="22"/>
        </w:rPr>
        <w:tab/>
        <w:t>Cómo tomar Glivec</w:t>
      </w:r>
    </w:p>
    <w:p w14:paraId="0BAF724A" w14:textId="77777777" w:rsidR="00D938DC" w:rsidRPr="002D741C" w:rsidRDefault="00D938DC" w:rsidP="00D938DC">
      <w:pPr>
        <w:widowControl w:val="0"/>
        <w:numPr>
          <w:ilvl w:val="12"/>
          <w:numId w:val="0"/>
        </w:numPr>
        <w:ind w:left="567" w:right="-29" w:hanging="567"/>
        <w:rPr>
          <w:color w:val="000000"/>
          <w:sz w:val="22"/>
          <w:szCs w:val="22"/>
        </w:rPr>
      </w:pPr>
      <w:r w:rsidRPr="002D741C">
        <w:rPr>
          <w:color w:val="000000"/>
          <w:sz w:val="22"/>
          <w:szCs w:val="22"/>
        </w:rPr>
        <w:t>4.</w:t>
      </w:r>
      <w:r w:rsidRPr="002D741C">
        <w:rPr>
          <w:color w:val="000000"/>
          <w:sz w:val="22"/>
          <w:szCs w:val="22"/>
        </w:rPr>
        <w:tab/>
        <w:t>Posibles efectos adversos</w:t>
      </w:r>
    </w:p>
    <w:p w14:paraId="64C0400C" w14:textId="77777777" w:rsidR="00D938DC" w:rsidRPr="002D741C" w:rsidRDefault="00D938DC" w:rsidP="00D938DC">
      <w:pPr>
        <w:widowControl w:val="0"/>
        <w:ind w:left="567" w:right="-29" w:hanging="567"/>
        <w:rPr>
          <w:color w:val="000000"/>
          <w:sz w:val="22"/>
          <w:szCs w:val="22"/>
        </w:rPr>
      </w:pPr>
      <w:r w:rsidRPr="002D741C">
        <w:rPr>
          <w:color w:val="000000"/>
          <w:sz w:val="22"/>
          <w:szCs w:val="22"/>
        </w:rPr>
        <w:t>5.</w:t>
      </w:r>
      <w:r w:rsidRPr="002D741C">
        <w:rPr>
          <w:color w:val="000000"/>
          <w:sz w:val="22"/>
          <w:szCs w:val="22"/>
        </w:rPr>
        <w:tab/>
        <w:t>Conservación de Glivec</w:t>
      </w:r>
    </w:p>
    <w:p w14:paraId="3E6601EA" w14:textId="77777777" w:rsidR="00D938DC" w:rsidRPr="002D741C" w:rsidRDefault="00D938DC" w:rsidP="00D938DC">
      <w:pPr>
        <w:widowControl w:val="0"/>
        <w:ind w:left="567" w:right="-29" w:hanging="567"/>
        <w:rPr>
          <w:color w:val="000000"/>
          <w:sz w:val="22"/>
          <w:szCs w:val="22"/>
        </w:rPr>
      </w:pPr>
      <w:r w:rsidRPr="002D741C">
        <w:rPr>
          <w:color w:val="000000"/>
          <w:sz w:val="22"/>
          <w:szCs w:val="22"/>
        </w:rPr>
        <w:t>6.</w:t>
      </w:r>
      <w:r w:rsidRPr="002D741C">
        <w:rPr>
          <w:color w:val="000000"/>
          <w:sz w:val="22"/>
          <w:szCs w:val="22"/>
        </w:rPr>
        <w:tab/>
        <w:t>Contenido del envase e información adicional</w:t>
      </w:r>
    </w:p>
    <w:p w14:paraId="6A643856" w14:textId="77777777" w:rsidR="00D938DC" w:rsidRPr="002D741C" w:rsidRDefault="00D938DC" w:rsidP="00D938DC">
      <w:pPr>
        <w:widowControl w:val="0"/>
        <w:ind w:right="-29"/>
        <w:rPr>
          <w:color w:val="000000"/>
          <w:sz w:val="22"/>
          <w:szCs w:val="22"/>
        </w:rPr>
      </w:pPr>
    </w:p>
    <w:p w14:paraId="21D21C47" w14:textId="77777777" w:rsidR="00D938DC" w:rsidRPr="002D741C" w:rsidRDefault="00D938DC" w:rsidP="00D938DC">
      <w:pPr>
        <w:pStyle w:val="Heading5"/>
        <w:keepNext w:val="0"/>
        <w:widowControl w:val="0"/>
        <w:rPr>
          <w:b w:val="0"/>
          <w:color w:val="000000"/>
          <w:szCs w:val="22"/>
        </w:rPr>
      </w:pPr>
    </w:p>
    <w:p w14:paraId="14938BE3" w14:textId="77777777" w:rsidR="00D938DC" w:rsidRPr="002D741C" w:rsidRDefault="00D938DC" w:rsidP="006662BC">
      <w:pPr>
        <w:keepNext/>
        <w:widowControl w:val="0"/>
        <w:numPr>
          <w:ilvl w:val="12"/>
          <w:numId w:val="0"/>
        </w:numPr>
        <w:ind w:left="567" w:right="-2" w:hanging="567"/>
        <w:rPr>
          <w:color w:val="000000"/>
          <w:sz w:val="22"/>
          <w:szCs w:val="22"/>
        </w:rPr>
      </w:pPr>
      <w:r w:rsidRPr="002D741C">
        <w:rPr>
          <w:b/>
          <w:color w:val="000000"/>
          <w:sz w:val="22"/>
          <w:szCs w:val="22"/>
        </w:rPr>
        <w:t>1.</w:t>
      </w:r>
      <w:r w:rsidRPr="002D741C">
        <w:rPr>
          <w:b/>
          <w:color w:val="000000"/>
          <w:sz w:val="22"/>
          <w:szCs w:val="22"/>
        </w:rPr>
        <w:tab/>
        <w:t>Qué es Glivec y para qué se utiliza</w:t>
      </w:r>
    </w:p>
    <w:p w14:paraId="7B6A50DD" w14:textId="77777777" w:rsidR="00D938DC" w:rsidRPr="002D741C" w:rsidRDefault="00D938DC" w:rsidP="006662BC">
      <w:pPr>
        <w:pStyle w:val="EndnoteText"/>
        <w:keepNext/>
        <w:widowControl w:val="0"/>
        <w:numPr>
          <w:ilvl w:val="12"/>
          <w:numId w:val="0"/>
        </w:numPr>
        <w:tabs>
          <w:tab w:val="clear" w:pos="567"/>
        </w:tabs>
        <w:rPr>
          <w:color w:val="000000"/>
          <w:szCs w:val="22"/>
          <w:lang w:val="es-ES"/>
        </w:rPr>
      </w:pPr>
    </w:p>
    <w:p w14:paraId="38AD207A" w14:textId="77777777" w:rsidR="00D938DC" w:rsidRPr="002D741C" w:rsidRDefault="00D938DC" w:rsidP="00D938DC">
      <w:pPr>
        <w:pStyle w:val="EndnoteText"/>
        <w:widowControl w:val="0"/>
        <w:numPr>
          <w:ilvl w:val="12"/>
          <w:numId w:val="0"/>
        </w:numPr>
        <w:tabs>
          <w:tab w:val="clear" w:pos="567"/>
        </w:tabs>
        <w:rPr>
          <w:color w:val="000000"/>
          <w:szCs w:val="22"/>
          <w:lang w:val="es-ES"/>
        </w:rPr>
      </w:pPr>
      <w:r w:rsidRPr="002D741C">
        <w:rPr>
          <w:color w:val="000000"/>
          <w:szCs w:val="22"/>
          <w:lang w:val="es-ES"/>
        </w:rPr>
        <w:t>Glivec es un medicamento que contiene un principio activo denominado imatinib. Este medicamento actúa inhibiendo el crecimiento de las células anormales en las enfermedades que se describen a continuación. Éstas incluyen algunos tipos de cáncer.</w:t>
      </w:r>
    </w:p>
    <w:p w14:paraId="64C3BB44" w14:textId="77777777" w:rsidR="00D938DC" w:rsidRPr="002D741C" w:rsidRDefault="00D938DC" w:rsidP="00D938DC">
      <w:pPr>
        <w:pStyle w:val="EndnoteText"/>
        <w:widowControl w:val="0"/>
        <w:numPr>
          <w:ilvl w:val="12"/>
          <w:numId w:val="0"/>
        </w:numPr>
        <w:tabs>
          <w:tab w:val="clear" w:pos="567"/>
        </w:tabs>
        <w:rPr>
          <w:color w:val="000000"/>
          <w:szCs w:val="22"/>
          <w:lang w:val="es-ES"/>
        </w:rPr>
      </w:pPr>
    </w:p>
    <w:p w14:paraId="43F3FC77" w14:textId="77777777" w:rsidR="00D938DC" w:rsidRPr="002D741C" w:rsidRDefault="00D938DC" w:rsidP="006662BC">
      <w:pPr>
        <w:pStyle w:val="EndnoteText"/>
        <w:keepNext/>
        <w:widowControl w:val="0"/>
        <w:numPr>
          <w:ilvl w:val="12"/>
          <w:numId w:val="0"/>
        </w:numPr>
        <w:tabs>
          <w:tab w:val="clear" w:pos="567"/>
        </w:tabs>
        <w:rPr>
          <w:b/>
          <w:color w:val="000000"/>
          <w:szCs w:val="22"/>
          <w:lang w:val="es-ES"/>
        </w:rPr>
      </w:pPr>
      <w:r w:rsidRPr="002D741C">
        <w:rPr>
          <w:b/>
          <w:color w:val="000000"/>
          <w:szCs w:val="22"/>
          <w:lang w:val="es-ES"/>
        </w:rPr>
        <w:t>Glivec es un tratamiento para adultos y niños para:</w:t>
      </w:r>
    </w:p>
    <w:p w14:paraId="02293621" w14:textId="77777777" w:rsidR="00D938DC" w:rsidRPr="002D741C" w:rsidRDefault="00D938DC" w:rsidP="006662BC">
      <w:pPr>
        <w:pStyle w:val="EndnoteText"/>
        <w:keepNext/>
        <w:widowControl w:val="0"/>
        <w:numPr>
          <w:ilvl w:val="12"/>
          <w:numId w:val="0"/>
        </w:numPr>
        <w:tabs>
          <w:tab w:val="clear" w:pos="567"/>
        </w:tabs>
        <w:rPr>
          <w:color w:val="000000"/>
          <w:szCs w:val="22"/>
          <w:lang w:val="es-ES"/>
        </w:rPr>
      </w:pPr>
    </w:p>
    <w:p w14:paraId="020E3BC0" w14:textId="77777777" w:rsidR="006A2DBF" w:rsidRPr="002D741C" w:rsidRDefault="00D938DC" w:rsidP="006A2DBF">
      <w:pPr>
        <w:pStyle w:val="EndnoteText"/>
        <w:widowControl w:val="0"/>
        <w:numPr>
          <w:ilvl w:val="0"/>
          <w:numId w:val="17"/>
        </w:numPr>
        <w:tabs>
          <w:tab w:val="clear" w:pos="567"/>
          <w:tab w:val="clear" w:pos="717"/>
          <w:tab w:val="num" w:pos="-7088"/>
        </w:tabs>
        <w:ind w:left="567" w:hanging="567"/>
        <w:rPr>
          <w:color w:val="000000"/>
          <w:szCs w:val="22"/>
          <w:lang w:val="es-ES"/>
        </w:rPr>
      </w:pPr>
      <w:r w:rsidRPr="002D741C">
        <w:rPr>
          <w:b/>
          <w:color w:val="000000"/>
          <w:szCs w:val="22"/>
          <w:lang w:val="es-ES"/>
        </w:rPr>
        <w:t>Leucemia mieloide crónica (LMC)</w:t>
      </w:r>
      <w:r w:rsidRPr="002D741C">
        <w:rPr>
          <w:color w:val="000000"/>
          <w:szCs w:val="22"/>
          <w:lang w:val="es-ES"/>
        </w:rPr>
        <w:t>. La leucemia es un cáncer de las células blancas de la sangre. Estas células blancas normalmente ayudan al cuerpo a combatir infecciones. La leucemia mieloide crónica es una forma de leucemia en la que unas células blancas anormales (llamadas células mieloides) empiezan a crecer sin control.</w:t>
      </w:r>
      <w:r w:rsidR="006A2DBF" w:rsidRPr="002D741C">
        <w:rPr>
          <w:color w:val="000000"/>
          <w:szCs w:val="22"/>
          <w:lang w:val="es-ES"/>
        </w:rPr>
        <w:t xml:space="preserve"> </w:t>
      </w:r>
    </w:p>
    <w:p w14:paraId="7716EB39" w14:textId="77777777" w:rsidR="00EA78D1" w:rsidRPr="002D741C" w:rsidRDefault="006A2DBF" w:rsidP="006A2DBF">
      <w:pPr>
        <w:pStyle w:val="EndnoteText"/>
        <w:widowControl w:val="0"/>
        <w:numPr>
          <w:ilvl w:val="0"/>
          <w:numId w:val="17"/>
        </w:numPr>
        <w:tabs>
          <w:tab w:val="clear" w:pos="567"/>
          <w:tab w:val="clear" w:pos="717"/>
        </w:tabs>
        <w:ind w:left="567" w:hanging="567"/>
        <w:rPr>
          <w:color w:val="000000"/>
          <w:szCs w:val="22"/>
          <w:lang w:val="es-ES"/>
        </w:rPr>
      </w:pPr>
      <w:r w:rsidRPr="002D741C">
        <w:rPr>
          <w:b/>
          <w:color w:val="000000"/>
          <w:szCs w:val="22"/>
          <w:lang w:val="es-ES"/>
        </w:rPr>
        <w:t>Leucemia linfoblástica aguda cromosoma Filadelfia positivo (LLA Ph-positivo)</w:t>
      </w:r>
      <w:r w:rsidRPr="002D741C">
        <w:rPr>
          <w:color w:val="000000"/>
          <w:szCs w:val="22"/>
          <w:lang w:val="es-ES"/>
        </w:rPr>
        <w:t>. La leucemia es un cáncer de las células blancas de la sangre. Estas células blancas normalmente ayudan al cuerpo a combatir infecciones. La leucemia linfoblástica aguda es una forma de leucemia en que unas células blancas anormales (llamadas linfoblastos) empiezan a crecer sin control. Glivec inhibe el crecimiento de estas células.</w:t>
      </w:r>
    </w:p>
    <w:p w14:paraId="454ADC91" w14:textId="77777777" w:rsidR="00D938DC" w:rsidRPr="002D741C" w:rsidRDefault="00D938DC" w:rsidP="00D938DC">
      <w:pPr>
        <w:pStyle w:val="EndnoteText"/>
        <w:widowControl w:val="0"/>
        <w:numPr>
          <w:ilvl w:val="12"/>
          <w:numId w:val="0"/>
        </w:numPr>
        <w:tabs>
          <w:tab w:val="clear" w:pos="567"/>
        </w:tabs>
        <w:rPr>
          <w:color w:val="000000"/>
          <w:szCs w:val="22"/>
          <w:lang w:val="es-ES"/>
        </w:rPr>
      </w:pPr>
    </w:p>
    <w:p w14:paraId="63FC8A67" w14:textId="77777777" w:rsidR="00D938DC" w:rsidRPr="002D741C" w:rsidRDefault="00D938DC" w:rsidP="006662BC">
      <w:pPr>
        <w:pStyle w:val="EndnoteText"/>
        <w:keepNext/>
        <w:widowControl w:val="0"/>
        <w:numPr>
          <w:ilvl w:val="12"/>
          <w:numId w:val="0"/>
        </w:numPr>
        <w:tabs>
          <w:tab w:val="clear" w:pos="567"/>
        </w:tabs>
        <w:rPr>
          <w:b/>
          <w:color w:val="000000"/>
          <w:szCs w:val="22"/>
          <w:lang w:val="es-ES"/>
        </w:rPr>
      </w:pPr>
      <w:r w:rsidRPr="002D741C">
        <w:rPr>
          <w:b/>
          <w:color w:val="000000"/>
          <w:szCs w:val="22"/>
          <w:lang w:val="es-ES"/>
        </w:rPr>
        <w:t>Glivec también es un tratamiento para adultos para:</w:t>
      </w:r>
    </w:p>
    <w:p w14:paraId="6A56888D" w14:textId="77777777" w:rsidR="00D938DC" w:rsidRPr="002D741C" w:rsidRDefault="00D938DC" w:rsidP="006662BC">
      <w:pPr>
        <w:pStyle w:val="EndnoteText"/>
        <w:keepNext/>
        <w:widowControl w:val="0"/>
        <w:numPr>
          <w:ilvl w:val="12"/>
          <w:numId w:val="0"/>
        </w:numPr>
        <w:tabs>
          <w:tab w:val="clear" w:pos="567"/>
        </w:tabs>
        <w:rPr>
          <w:color w:val="000000"/>
          <w:szCs w:val="22"/>
          <w:lang w:val="es-ES"/>
        </w:rPr>
      </w:pPr>
    </w:p>
    <w:p w14:paraId="14C18216" w14:textId="77777777" w:rsidR="00D938DC" w:rsidRPr="002D741C" w:rsidRDefault="00D938DC" w:rsidP="00D938DC">
      <w:pPr>
        <w:pStyle w:val="EndnoteText"/>
        <w:numPr>
          <w:ilvl w:val="0"/>
          <w:numId w:val="17"/>
        </w:numPr>
        <w:tabs>
          <w:tab w:val="clear" w:pos="567"/>
          <w:tab w:val="clear" w:pos="717"/>
        </w:tabs>
        <w:ind w:left="567" w:hanging="567"/>
        <w:rPr>
          <w:color w:val="000000"/>
          <w:szCs w:val="22"/>
          <w:lang w:val="es-ES"/>
        </w:rPr>
      </w:pPr>
      <w:r w:rsidRPr="002D741C">
        <w:rPr>
          <w:b/>
          <w:color w:val="000000"/>
          <w:szCs w:val="22"/>
          <w:lang w:val="es-ES"/>
        </w:rPr>
        <w:t>Síndromes mielodisplásicos/mieloproliferativos (</w:t>
      </w:r>
      <w:smartTag w:uri="urn:schemas-microsoft-com:office:smarttags" w:element="stockticker">
        <w:r w:rsidRPr="002D741C">
          <w:rPr>
            <w:b/>
            <w:color w:val="000000"/>
            <w:szCs w:val="22"/>
            <w:lang w:val="es-ES"/>
          </w:rPr>
          <w:t>SMD</w:t>
        </w:r>
      </w:smartTag>
      <w:r w:rsidRPr="002D741C">
        <w:rPr>
          <w:b/>
          <w:color w:val="000000"/>
          <w:szCs w:val="22"/>
          <w:lang w:val="es-ES"/>
        </w:rPr>
        <w:t>/</w:t>
      </w:r>
      <w:smartTag w:uri="urn:schemas-microsoft-com:office:smarttags" w:element="stockticker">
        <w:r w:rsidRPr="002D741C">
          <w:rPr>
            <w:b/>
            <w:color w:val="000000"/>
            <w:szCs w:val="22"/>
            <w:lang w:val="es-ES"/>
          </w:rPr>
          <w:t>SMP</w:t>
        </w:r>
      </w:smartTag>
      <w:r w:rsidRPr="002D741C">
        <w:rPr>
          <w:b/>
          <w:color w:val="000000"/>
          <w:szCs w:val="22"/>
          <w:lang w:val="es-ES"/>
        </w:rPr>
        <w:t>)</w:t>
      </w:r>
      <w:r w:rsidRPr="002D741C">
        <w:rPr>
          <w:color w:val="000000"/>
          <w:szCs w:val="22"/>
          <w:lang w:val="es-ES"/>
        </w:rPr>
        <w:t>. Estos son un grupo de enfermedades de la sangre en que algunas células de la sangre empiezan a crecer sin control. Glivec inhibe el crecimiento de estas células en un cierto subtipo de estas enfermedades.</w:t>
      </w:r>
    </w:p>
    <w:p w14:paraId="5EA838F1" w14:textId="77777777" w:rsidR="00D938DC" w:rsidRPr="002D741C" w:rsidRDefault="00D938DC" w:rsidP="00D938DC">
      <w:pPr>
        <w:pStyle w:val="EndnoteText"/>
        <w:widowControl w:val="0"/>
        <w:numPr>
          <w:ilvl w:val="0"/>
          <w:numId w:val="17"/>
        </w:numPr>
        <w:tabs>
          <w:tab w:val="clear" w:pos="567"/>
          <w:tab w:val="clear" w:pos="717"/>
        </w:tabs>
        <w:ind w:left="567" w:hanging="567"/>
        <w:rPr>
          <w:color w:val="000000"/>
          <w:szCs w:val="22"/>
          <w:lang w:val="es-ES"/>
        </w:rPr>
      </w:pPr>
      <w:r w:rsidRPr="002D741C">
        <w:rPr>
          <w:b/>
          <w:color w:val="000000"/>
          <w:szCs w:val="22"/>
          <w:lang w:val="es-ES"/>
        </w:rPr>
        <w:t>Síndrome hipereosinofílico (SHE) y/o leucemia eosinofílica crónica (LEC)</w:t>
      </w:r>
      <w:r w:rsidRPr="002D741C">
        <w:rPr>
          <w:color w:val="000000"/>
          <w:szCs w:val="22"/>
          <w:lang w:val="es-ES"/>
        </w:rPr>
        <w:t>. Estas son enfermedades de la sangre en las que unas células de la sangre (llamadas eosinófilos) empiezan a crecer sin control. Glivec inhibe el crecimiento de estas células en un cierto subtipo de estas enfermedades.</w:t>
      </w:r>
    </w:p>
    <w:p w14:paraId="769D632B" w14:textId="77777777" w:rsidR="00D938DC" w:rsidRPr="002D741C" w:rsidRDefault="00D938DC" w:rsidP="00D938DC">
      <w:pPr>
        <w:pStyle w:val="EndnoteText"/>
        <w:widowControl w:val="0"/>
        <w:numPr>
          <w:ilvl w:val="0"/>
          <w:numId w:val="17"/>
        </w:numPr>
        <w:tabs>
          <w:tab w:val="clear" w:pos="567"/>
          <w:tab w:val="clear" w:pos="717"/>
        </w:tabs>
        <w:ind w:left="567" w:hanging="567"/>
        <w:rPr>
          <w:color w:val="000000"/>
          <w:szCs w:val="22"/>
          <w:lang w:val="es-ES"/>
        </w:rPr>
      </w:pPr>
      <w:r w:rsidRPr="002D741C">
        <w:rPr>
          <w:b/>
          <w:color w:val="000000"/>
          <w:szCs w:val="22"/>
          <w:lang w:val="es-ES"/>
        </w:rPr>
        <w:t>Tumores del estroma gastrointestinal (G</w:t>
      </w:r>
      <w:smartTag w:uri="urn:schemas-microsoft-com:office:smarttags" w:element="PersonName">
        <w:r w:rsidRPr="002D741C">
          <w:rPr>
            <w:b/>
            <w:color w:val="000000"/>
            <w:szCs w:val="22"/>
            <w:lang w:val="es-ES"/>
          </w:rPr>
          <w:t>IS</w:t>
        </w:r>
      </w:smartTag>
      <w:r w:rsidRPr="002D741C">
        <w:rPr>
          <w:b/>
          <w:color w:val="000000"/>
          <w:szCs w:val="22"/>
          <w:lang w:val="es-ES"/>
        </w:rPr>
        <w:t>T)</w:t>
      </w:r>
      <w:r w:rsidRPr="002D741C">
        <w:rPr>
          <w:color w:val="000000"/>
          <w:szCs w:val="22"/>
          <w:lang w:val="es-ES"/>
        </w:rPr>
        <w:t>. G</w:t>
      </w:r>
      <w:smartTag w:uri="urn:schemas-microsoft-com:office:smarttags" w:element="PersonName">
        <w:r w:rsidRPr="002D741C">
          <w:rPr>
            <w:color w:val="000000"/>
            <w:szCs w:val="22"/>
            <w:lang w:val="es-ES"/>
          </w:rPr>
          <w:t>IS</w:t>
        </w:r>
      </w:smartTag>
      <w:r w:rsidRPr="002D741C">
        <w:rPr>
          <w:color w:val="000000"/>
          <w:szCs w:val="22"/>
          <w:lang w:val="es-ES"/>
        </w:rPr>
        <w:t>T es un cáncer del estómago e intestino. Se origina por un crecimiento celular incontrolado de los tejidos de soporte de estos órganos.</w:t>
      </w:r>
    </w:p>
    <w:p w14:paraId="0EF25EDC" w14:textId="77777777" w:rsidR="00D938DC" w:rsidRPr="002D741C" w:rsidRDefault="00D938DC" w:rsidP="006662BC">
      <w:pPr>
        <w:keepNext/>
        <w:keepLines/>
        <w:widowControl w:val="0"/>
        <w:numPr>
          <w:ilvl w:val="0"/>
          <w:numId w:val="17"/>
        </w:numPr>
        <w:tabs>
          <w:tab w:val="clear" w:pos="717"/>
        </w:tabs>
        <w:ind w:left="567" w:hanging="567"/>
        <w:rPr>
          <w:color w:val="000000"/>
          <w:sz w:val="22"/>
          <w:szCs w:val="22"/>
        </w:rPr>
      </w:pPr>
      <w:r w:rsidRPr="002D741C">
        <w:rPr>
          <w:b/>
          <w:color w:val="000000"/>
          <w:sz w:val="22"/>
          <w:szCs w:val="22"/>
        </w:rPr>
        <w:lastRenderedPageBreak/>
        <w:t>Dermatofibrosarcoma protuberans (DFSP)</w:t>
      </w:r>
      <w:r w:rsidRPr="002D741C">
        <w:rPr>
          <w:color w:val="000000"/>
          <w:sz w:val="22"/>
          <w:szCs w:val="22"/>
        </w:rPr>
        <w:t>. El DFSP es un cáncer del tejido que está debajo de la piel en que algunas células empiezan a crecer sin control. Glivec inhibe el crecimiento de estas células.</w:t>
      </w:r>
    </w:p>
    <w:p w14:paraId="032DE9AE" w14:textId="77777777" w:rsidR="00D938DC" w:rsidRPr="002D741C" w:rsidRDefault="00D938DC" w:rsidP="00D938DC">
      <w:pPr>
        <w:pStyle w:val="EndnoteText"/>
        <w:widowControl w:val="0"/>
        <w:numPr>
          <w:ilvl w:val="12"/>
          <w:numId w:val="0"/>
        </w:numPr>
        <w:tabs>
          <w:tab w:val="clear" w:pos="567"/>
        </w:tabs>
        <w:rPr>
          <w:color w:val="000000"/>
          <w:szCs w:val="22"/>
          <w:lang w:val="es-ES"/>
        </w:rPr>
      </w:pPr>
      <w:r w:rsidRPr="002D741C">
        <w:rPr>
          <w:color w:val="000000"/>
          <w:szCs w:val="22"/>
          <w:lang w:val="es-ES"/>
        </w:rPr>
        <w:t>En el resto de este prospecto se utilizan estas abreviaturas al referirse a estas enfermedades.</w:t>
      </w:r>
    </w:p>
    <w:p w14:paraId="136A5DD4" w14:textId="77777777" w:rsidR="00D938DC" w:rsidRPr="002D741C" w:rsidRDefault="00D938DC" w:rsidP="00D938DC">
      <w:pPr>
        <w:pStyle w:val="EndnoteText"/>
        <w:widowControl w:val="0"/>
        <w:numPr>
          <w:ilvl w:val="12"/>
          <w:numId w:val="0"/>
        </w:numPr>
        <w:tabs>
          <w:tab w:val="clear" w:pos="567"/>
        </w:tabs>
        <w:rPr>
          <w:color w:val="000000"/>
          <w:szCs w:val="22"/>
          <w:lang w:val="es-ES"/>
        </w:rPr>
      </w:pPr>
    </w:p>
    <w:p w14:paraId="729E4889" w14:textId="77777777" w:rsidR="00D938DC" w:rsidRPr="002D741C" w:rsidRDefault="00D938DC" w:rsidP="00D938DC">
      <w:pPr>
        <w:pStyle w:val="EndnoteText"/>
        <w:widowControl w:val="0"/>
        <w:numPr>
          <w:ilvl w:val="12"/>
          <w:numId w:val="0"/>
        </w:numPr>
        <w:tabs>
          <w:tab w:val="clear" w:pos="567"/>
        </w:tabs>
        <w:rPr>
          <w:color w:val="000000"/>
          <w:szCs w:val="22"/>
          <w:lang w:val="es-ES"/>
        </w:rPr>
      </w:pPr>
      <w:r w:rsidRPr="002D741C">
        <w:rPr>
          <w:color w:val="000000"/>
          <w:szCs w:val="22"/>
          <w:lang w:val="es-ES"/>
        </w:rPr>
        <w:t>Si tiene alguna pregunta sobre cómo actúa Glivec o porqué este medicamento se le ha recetado a usted, pregunte a su médico.</w:t>
      </w:r>
    </w:p>
    <w:p w14:paraId="3D519B4B" w14:textId="77777777" w:rsidR="00D938DC" w:rsidRPr="002D741C" w:rsidRDefault="00D938DC" w:rsidP="00D938DC">
      <w:pPr>
        <w:pStyle w:val="EndnoteText"/>
        <w:widowControl w:val="0"/>
        <w:numPr>
          <w:ilvl w:val="12"/>
          <w:numId w:val="0"/>
        </w:numPr>
        <w:tabs>
          <w:tab w:val="clear" w:pos="567"/>
        </w:tabs>
        <w:rPr>
          <w:color w:val="000000"/>
          <w:szCs w:val="22"/>
          <w:lang w:val="es-ES"/>
        </w:rPr>
      </w:pPr>
    </w:p>
    <w:p w14:paraId="7EBF58E5" w14:textId="77777777" w:rsidR="00D938DC" w:rsidRPr="002D741C" w:rsidRDefault="00D938DC" w:rsidP="00D938DC">
      <w:pPr>
        <w:widowControl w:val="0"/>
        <w:numPr>
          <w:ilvl w:val="12"/>
          <w:numId w:val="0"/>
        </w:numPr>
        <w:ind w:left="567" w:right="-2" w:hanging="567"/>
        <w:rPr>
          <w:color w:val="000000"/>
          <w:sz w:val="22"/>
          <w:szCs w:val="22"/>
        </w:rPr>
      </w:pPr>
    </w:p>
    <w:p w14:paraId="0DC2426E" w14:textId="77777777" w:rsidR="00D938DC" w:rsidRPr="002D741C" w:rsidRDefault="00D938DC" w:rsidP="006662BC">
      <w:pPr>
        <w:keepNext/>
        <w:widowControl w:val="0"/>
        <w:numPr>
          <w:ilvl w:val="12"/>
          <w:numId w:val="0"/>
        </w:numPr>
        <w:ind w:left="567" w:right="-2" w:hanging="567"/>
        <w:rPr>
          <w:color w:val="000000"/>
          <w:sz w:val="22"/>
          <w:szCs w:val="22"/>
        </w:rPr>
      </w:pPr>
      <w:r w:rsidRPr="002D741C">
        <w:rPr>
          <w:b/>
          <w:color w:val="000000"/>
          <w:sz w:val="22"/>
          <w:szCs w:val="22"/>
        </w:rPr>
        <w:t>2.</w:t>
      </w:r>
      <w:r w:rsidRPr="002D741C">
        <w:rPr>
          <w:b/>
          <w:color w:val="000000"/>
          <w:sz w:val="22"/>
          <w:szCs w:val="22"/>
        </w:rPr>
        <w:tab/>
        <w:t>Qué necesita saber antes de empezar a tomar Glivec</w:t>
      </w:r>
    </w:p>
    <w:p w14:paraId="707B258A" w14:textId="77777777" w:rsidR="00D938DC" w:rsidRPr="002D741C" w:rsidRDefault="00D938DC" w:rsidP="006662BC">
      <w:pPr>
        <w:keepNext/>
        <w:widowControl w:val="0"/>
        <w:numPr>
          <w:ilvl w:val="12"/>
          <w:numId w:val="0"/>
        </w:numPr>
        <w:ind w:right="-2"/>
        <w:rPr>
          <w:color w:val="000000"/>
          <w:sz w:val="22"/>
          <w:szCs w:val="22"/>
        </w:rPr>
      </w:pPr>
    </w:p>
    <w:p w14:paraId="3F5C0616" w14:textId="77777777" w:rsidR="00D938DC" w:rsidRPr="002D741C" w:rsidRDefault="00D938DC" w:rsidP="00D938DC">
      <w:pPr>
        <w:widowControl w:val="0"/>
        <w:numPr>
          <w:ilvl w:val="12"/>
          <w:numId w:val="0"/>
        </w:numPr>
        <w:ind w:right="-2"/>
        <w:rPr>
          <w:color w:val="000000"/>
          <w:sz w:val="22"/>
          <w:szCs w:val="22"/>
        </w:rPr>
      </w:pPr>
      <w:r w:rsidRPr="002D741C">
        <w:rPr>
          <w:color w:val="000000"/>
          <w:sz w:val="22"/>
          <w:szCs w:val="22"/>
        </w:rPr>
        <w:t>Sólo le recetará Glivec un médico con experiencia en medicamentos para tratar el cáncer de células sanguíneas o los tumores sólidos.</w:t>
      </w:r>
    </w:p>
    <w:p w14:paraId="486243A6" w14:textId="77777777" w:rsidR="00D938DC" w:rsidRPr="002D741C" w:rsidRDefault="00D938DC" w:rsidP="00D938DC">
      <w:pPr>
        <w:widowControl w:val="0"/>
        <w:numPr>
          <w:ilvl w:val="12"/>
          <w:numId w:val="0"/>
        </w:numPr>
        <w:ind w:right="-2"/>
        <w:rPr>
          <w:color w:val="000000"/>
          <w:sz w:val="22"/>
          <w:szCs w:val="22"/>
        </w:rPr>
      </w:pPr>
    </w:p>
    <w:p w14:paraId="7CC9FFFB" w14:textId="77777777" w:rsidR="00D938DC" w:rsidRPr="002D741C" w:rsidRDefault="00D938DC" w:rsidP="00D938DC">
      <w:pPr>
        <w:widowControl w:val="0"/>
        <w:numPr>
          <w:ilvl w:val="12"/>
          <w:numId w:val="0"/>
        </w:numPr>
        <w:ind w:right="-2"/>
        <w:rPr>
          <w:color w:val="000000"/>
          <w:sz w:val="22"/>
          <w:szCs w:val="22"/>
        </w:rPr>
      </w:pPr>
      <w:r w:rsidRPr="002D741C">
        <w:rPr>
          <w:color w:val="000000"/>
          <w:sz w:val="22"/>
          <w:szCs w:val="22"/>
        </w:rPr>
        <w:t>Siga cuidadosamente todas las instrucciones de su médico, aunque éstas sean diferentes de la información general contenida en este prospecto.</w:t>
      </w:r>
    </w:p>
    <w:p w14:paraId="6C6E47BA" w14:textId="77777777" w:rsidR="00D938DC" w:rsidRPr="002D741C" w:rsidRDefault="00D938DC" w:rsidP="00D938DC">
      <w:pPr>
        <w:widowControl w:val="0"/>
        <w:numPr>
          <w:ilvl w:val="12"/>
          <w:numId w:val="0"/>
        </w:numPr>
        <w:ind w:right="-2"/>
        <w:rPr>
          <w:color w:val="000000"/>
          <w:sz w:val="22"/>
          <w:szCs w:val="22"/>
        </w:rPr>
      </w:pPr>
    </w:p>
    <w:p w14:paraId="5DC29B09" w14:textId="77777777" w:rsidR="00D938DC" w:rsidRPr="002D741C" w:rsidRDefault="00D938DC" w:rsidP="006662BC">
      <w:pPr>
        <w:keepNext/>
        <w:widowControl w:val="0"/>
        <w:numPr>
          <w:ilvl w:val="12"/>
          <w:numId w:val="0"/>
        </w:numPr>
        <w:rPr>
          <w:color w:val="000000"/>
          <w:sz w:val="22"/>
          <w:szCs w:val="22"/>
        </w:rPr>
      </w:pPr>
      <w:r w:rsidRPr="002D741C">
        <w:rPr>
          <w:b/>
          <w:color w:val="000000"/>
          <w:sz w:val="22"/>
          <w:szCs w:val="22"/>
        </w:rPr>
        <w:t>No tome Glivec:</w:t>
      </w:r>
    </w:p>
    <w:p w14:paraId="0DC29AD7" w14:textId="77777777" w:rsidR="00D938DC" w:rsidRPr="002D741C" w:rsidRDefault="00D938DC" w:rsidP="006662BC">
      <w:pPr>
        <w:keepNext/>
        <w:keepLines/>
        <w:widowControl w:val="0"/>
        <w:numPr>
          <w:ilvl w:val="12"/>
          <w:numId w:val="0"/>
        </w:numPr>
        <w:ind w:left="567" w:hanging="567"/>
        <w:rPr>
          <w:color w:val="000000"/>
          <w:sz w:val="22"/>
          <w:szCs w:val="22"/>
        </w:rPr>
      </w:pPr>
      <w:r w:rsidRPr="002D741C">
        <w:rPr>
          <w:color w:val="000000"/>
          <w:sz w:val="22"/>
          <w:szCs w:val="22"/>
        </w:rPr>
        <w:t>-</w:t>
      </w:r>
      <w:r w:rsidRPr="002D741C">
        <w:rPr>
          <w:color w:val="000000"/>
          <w:sz w:val="22"/>
          <w:szCs w:val="22"/>
        </w:rPr>
        <w:tab/>
        <w:t xml:space="preserve">si es alérgico al imatinib o a </w:t>
      </w:r>
      <w:r w:rsidR="00542B0E" w:rsidRPr="002D741C">
        <w:rPr>
          <w:color w:val="000000"/>
          <w:sz w:val="22"/>
          <w:szCs w:val="22"/>
        </w:rPr>
        <w:t>alguno</w:t>
      </w:r>
      <w:r w:rsidRPr="002D741C">
        <w:rPr>
          <w:color w:val="000000"/>
          <w:sz w:val="22"/>
          <w:szCs w:val="22"/>
        </w:rPr>
        <w:t xml:space="preserve"> de los demás componentes de este medicamento (incluidos en la sección 6).</w:t>
      </w:r>
    </w:p>
    <w:p w14:paraId="7DBAD32A" w14:textId="77777777" w:rsidR="00D938DC" w:rsidRPr="002D741C" w:rsidRDefault="00D938DC" w:rsidP="00D938DC">
      <w:pPr>
        <w:widowControl w:val="0"/>
        <w:numPr>
          <w:ilvl w:val="12"/>
          <w:numId w:val="0"/>
        </w:numPr>
        <w:ind w:left="567" w:right="-2" w:hanging="567"/>
        <w:rPr>
          <w:b/>
          <w:color w:val="000000"/>
          <w:sz w:val="22"/>
          <w:szCs w:val="22"/>
        </w:rPr>
      </w:pPr>
      <w:r w:rsidRPr="002D741C">
        <w:rPr>
          <w:color w:val="000000"/>
          <w:sz w:val="22"/>
          <w:szCs w:val="22"/>
        </w:rPr>
        <w:t xml:space="preserve">Si este caso le aplica a usted, </w:t>
      </w:r>
      <w:r w:rsidRPr="002D741C">
        <w:rPr>
          <w:b/>
          <w:color w:val="000000"/>
          <w:sz w:val="22"/>
          <w:szCs w:val="22"/>
        </w:rPr>
        <w:t>informe a su médico y no tome Glivec.</w:t>
      </w:r>
    </w:p>
    <w:p w14:paraId="0343E0C8" w14:textId="77777777" w:rsidR="00D938DC" w:rsidRPr="002D741C" w:rsidRDefault="00D938DC" w:rsidP="00D938DC">
      <w:pPr>
        <w:widowControl w:val="0"/>
        <w:numPr>
          <w:ilvl w:val="12"/>
          <w:numId w:val="0"/>
        </w:numPr>
        <w:ind w:left="567" w:right="-2" w:hanging="567"/>
        <w:rPr>
          <w:color w:val="000000"/>
          <w:sz w:val="22"/>
          <w:szCs w:val="22"/>
        </w:rPr>
      </w:pPr>
    </w:p>
    <w:p w14:paraId="5E130922" w14:textId="77777777" w:rsidR="00D938DC" w:rsidRPr="002D741C" w:rsidRDefault="00D938DC" w:rsidP="00D938DC">
      <w:pPr>
        <w:widowControl w:val="0"/>
        <w:numPr>
          <w:ilvl w:val="12"/>
          <w:numId w:val="0"/>
        </w:numPr>
        <w:ind w:left="567" w:right="-2" w:hanging="567"/>
        <w:rPr>
          <w:color w:val="000000"/>
          <w:sz w:val="22"/>
          <w:szCs w:val="22"/>
        </w:rPr>
      </w:pPr>
      <w:r w:rsidRPr="002D741C">
        <w:rPr>
          <w:color w:val="000000"/>
          <w:sz w:val="22"/>
          <w:szCs w:val="22"/>
        </w:rPr>
        <w:t>Si usted cree que puede ser alérgico pero no está seguro, pida consejo a su médico.</w:t>
      </w:r>
    </w:p>
    <w:p w14:paraId="1B524B34" w14:textId="77777777" w:rsidR="00D938DC" w:rsidRPr="002D741C" w:rsidRDefault="00D938DC" w:rsidP="00D938DC">
      <w:pPr>
        <w:widowControl w:val="0"/>
        <w:numPr>
          <w:ilvl w:val="12"/>
          <w:numId w:val="0"/>
        </w:numPr>
        <w:ind w:right="-2"/>
        <w:rPr>
          <w:color w:val="000000"/>
          <w:sz w:val="22"/>
          <w:szCs w:val="22"/>
        </w:rPr>
      </w:pPr>
    </w:p>
    <w:p w14:paraId="3F1BB8F2" w14:textId="77777777" w:rsidR="00D938DC" w:rsidRPr="002D741C" w:rsidRDefault="00D938DC" w:rsidP="006662BC">
      <w:pPr>
        <w:keepNext/>
        <w:widowControl w:val="0"/>
        <w:numPr>
          <w:ilvl w:val="12"/>
          <w:numId w:val="0"/>
        </w:numPr>
        <w:ind w:right="-2"/>
        <w:rPr>
          <w:b/>
          <w:color w:val="000000"/>
          <w:sz w:val="22"/>
          <w:szCs w:val="22"/>
        </w:rPr>
      </w:pPr>
      <w:r w:rsidRPr="002D741C">
        <w:rPr>
          <w:b/>
          <w:color w:val="000000"/>
          <w:sz w:val="22"/>
          <w:szCs w:val="22"/>
        </w:rPr>
        <w:t>Advertencias y precauciones</w:t>
      </w:r>
    </w:p>
    <w:p w14:paraId="2592F874" w14:textId="77777777" w:rsidR="00D938DC" w:rsidRPr="002D741C" w:rsidRDefault="00D938DC" w:rsidP="006662BC">
      <w:pPr>
        <w:keepNext/>
        <w:widowControl w:val="0"/>
        <w:numPr>
          <w:ilvl w:val="12"/>
          <w:numId w:val="0"/>
        </w:numPr>
        <w:ind w:right="-2"/>
        <w:rPr>
          <w:color w:val="000000"/>
          <w:sz w:val="22"/>
          <w:szCs w:val="22"/>
        </w:rPr>
      </w:pPr>
      <w:r w:rsidRPr="002D741C">
        <w:rPr>
          <w:color w:val="000000"/>
          <w:sz w:val="22"/>
          <w:szCs w:val="22"/>
        </w:rPr>
        <w:t>Consulte a su médico antes de empezar a tomar Glivec:</w:t>
      </w:r>
    </w:p>
    <w:p w14:paraId="12523A22" w14:textId="77777777" w:rsidR="00D938DC" w:rsidRPr="002D741C" w:rsidRDefault="00D938DC" w:rsidP="00D938DC">
      <w:pPr>
        <w:widowControl w:val="0"/>
        <w:numPr>
          <w:ilvl w:val="12"/>
          <w:numId w:val="0"/>
        </w:numPr>
        <w:ind w:left="567" w:hanging="567"/>
        <w:rPr>
          <w:color w:val="000000"/>
          <w:sz w:val="22"/>
          <w:szCs w:val="22"/>
        </w:rPr>
      </w:pPr>
      <w:r w:rsidRPr="002D741C">
        <w:rPr>
          <w:color w:val="000000"/>
          <w:sz w:val="22"/>
          <w:szCs w:val="22"/>
        </w:rPr>
        <w:t>-</w:t>
      </w:r>
      <w:r w:rsidRPr="002D741C">
        <w:rPr>
          <w:color w:val="000000"/>
          <w:sz w:val="22"/>
          <w:szCs w:val="22"/>
        </w:rPr>
        <w:tab/>
        <w:t>si tiene o ha tenido algún problema de hígado, riñón o corazón.</w:t>
      </w:r>
    </w:p>
    <w:p w14:paraId="778CE278" w14:textId="77777777" w:rsidR="00D938DC" w:rsidRPr="002D741C" w:rsidRDefault="00D938DC" w:rsidP="00D938DC">
      <w:pPr>
        <w:widowControl w:val="0"/>
        <w:numPr>
          <w:ilvl w:val="12"/>
          <w:numId w:val="0"/>
        </w:numPr>
        <w:ind w:left="567" w:hanging="567"/>
        <w:rPr>
          <w:color w:val="000000"/>
          <w:sz w:val="22"/>
          <w:szCs w:val="22"/>
        </w:rPr>
      </w:pPr>
      <w:r w:rsidRPr="002D741C">
        <w:rPr>
          <w:color w:val="000000"/>
          <w:sz w:val="22"/>
          <w:szCs w:val="22"/>
        </w:rPr>
        <w:t>-</w:t>
      </w:r>
      <w:r w:rsidRPr="002D741C">
        <w:rPr>
          <w:color w:val="000000"/>
          <w:sz w:val="22"/>
          <w:szCs w:val="22"/>
        </w:rPr>
        <w:tab/>
        <w:t>si está tomando un medicamento que contiene levotiroxina porque le han extirpado la glándula tiroides.</w:t>
      </w:r>
    </w:p>
    <w:p w14:paraId="72D917AB" w14:textId="77777777" w:rsidR="009664E2" w:rsidRPr="002D741C" w:rsidRDefault="009664E2" w:rsidP="009664E2">
      <w:pPr>
        <w:widowControl w:val="0"/>
        <w:numPr>
          <w:ilvl w:val="12"/>
          <w:numId w:val="0"/>
        </w:numPr>
        <w:ind w:left="567" w:hanging="567"/>
        <w:rPr>
          <w:color w:val="000000"/>
          <w:sz w:val="22"/>
          <w:szCs w:val="22"/>
        </w:rPr>
      </w:pPr>
      <w:r w:rsidRPr="002D741C">
        <w:rPr>
          <w:color w:val="000000"/>
          <w:sz w:val="22"/>
          <w:szCs w:val="22"/>
        </w:rPr>
        <w:t>-</w:t>
      </w:r>
      <w:r w:rsidRPr="002D741C">
        <w:rPr>
          <w:color w:val="000000"/>
          <w:sz w:val="22"/>
          <w:szCs w:val="22"/>
        </w:rPr>
        <w:tab/>
        <w:t>si alguna vez ha tenido o podría tener en este momento una infección por el virus de la hepatitis B. Esto se debe a que Glivec podría hacer que la hepatitis B se volviese activa de nuevo, lo que puede resultar mortal en algunos casos. El médico deberá comprobar atentamente si hay signos de esta infección antes de comenzar el tratamiento.</w:t>
      </w:r>
    </w:p>
    <w:p w14:paraId="0D6DE18D" w14:textId="77777777" w:rsidR="007B421A" w:rsidRPr="002D741C" w:rsidRDefault="007B421A" w:rsidP="007B421A">
      <w:pPr>
        <w:widowControl w:val="0"/>
        <w:numPr>
          <w:ilvl w:val="0"/>
          <w:numId w:val="30"/>
        </w:numPr>
        <w:ind w:left="567" w:hanging="567"/>
        <w:rPr>
          <w:color w:val="000000"/>
          <w:sz w:val="22"/>
          <w:szCs w:val="22"/>
          <w:lang w:val="es-ES"/>
        </w:rPr>
      </w:pPr>
      <w:r w:rsidRPr="002D741C">
        <w:rPr>
          <w:color w:val="000000"/>
          <w:sz w:val="22"/>
          <w:szCs w:val="22"/>
          <w:lang w:val="es-ES"/>
        </w:rPr>
        <w:t>si mientras esté tomando Glivec le aparecieran moratones, sangrados, fiebre, fatiga y confusión, por favor contacte con su médico. Esto podría ser una señal de daño de los vasos sanguíneos llamada microangiopatía trombótica (MAT).</w:t>
      </w:r>
    </w:p>
    <w:p w14:paraId="4B729D63" w14:textId="77777777" w:rsidR="007B421A" w:rsidRPr="002D741C" w:rsidRDefault="007B421A" w:rsidP="009664E2">
      <w:pPr>
        <w:widowControl w:val="0"/>
        <w:numPr>
          <w:ilvl w:val="12"/>
          <w:numId w:val="0"/>
        </w:numPr>
        <w:ind w:left="567" w:hanging="567"/>
        <w:rPr>
          <w:color w:val="000000"/>
          <w:sz w:val="22"/>
          <w:szCs w:val="22"/>
          <w:lang w:val="es-ES"/>
        </w:rPr>
      </w:pPr>
    </w:p>
    <w:p w14:paraId="070CBD87" w14:textId="77777777" w:rsidR="00D938DC" w:rsidRPr="002D741C" w:rsidRDefault="00D938DC" w:rsidP="00D938DC">
      <w:pPr>
        <w:widowControl w:val="0"/>
        <w:rPr>
          <w:color w:val="000000"/>
          <w:sz w:val="22"/>
          <w:szCs w:val="22"/>
        </w:rPr>
      </w:pPr>
      <w:r w:rsidRPr="002D741C">
        <w:rPr>
          <w:color w:val="000000"/>
          <w:sz w:val="22"/>
          <w:szCs w:val="22"/>
        </w:rPr>
        <w:t xml:space="preserve">Si alguno de estos casos es aplicable a usted, </w:t>
      </w:r>
      <w:r w:rsidRPr="002D741C">
        <w:rPr>
          <w:b/>
          <w:color w:val="000000"/>
          <w:sz w:val="22"/>
          <w:szCs w:val="22"/>
        </w:rPr>
        <w:t>informe a su médico antes de tomar Glivec.</w:t>
      </w:r>
    </w:p>
    <w:p w14:paraId="0ECFA05D" w14:textId="77777777" w:rsidR="00715D27" w:rsidRPr="002D741C" w:rsidRDefault="00715D27" w:rsidP="00715D27">
      <w:pPr>
        <w:widowControl w:val="0"/>
        <w:rPr>
          <w:color w:val="000000"/>
          <w:sz w:val="22"/>
          <w:szCs w:val="22"/>
        </w:rPr>
      </w:pPr>
    </w:p>
    <w:p w14:paraId="4E47CBBA" w14:textId="77777777" w:rsidR="00A833C7" w:rsidRPr="002D741C" w:rsidRDefault="00A833C7" w:rsidP="00A833C7">
      <w:pPr>
        <w:widowControl w:val="0"/>
        <w:rPr>
          <w:color w:val="000000"/>
          <w:sz w:val="22"/>
          <w:szCs w:val="22"/>
        </w:rPr>
      </w:pPr>
      <w:r w:rsidRPr="002D741C">
        <w:rPr>
          <w:color w:val="000000"/>
          <w:sz w:val="22"/>
          <w:szCs w:val="22"/>
        </w:rPr>
        <w:t xml:space="preserve">Es posible que aumente su sensibilidad al sol mientras esté tomando Glivec. Es importante que cubra las zonas de la piel que estén expuestas al sol y utilice </w:t>
      </w:r>
      <w:r w:rsidR="004E2103" w:rsidRPr="002D741C">
        <w:rPr>
          <w:color w:val="000000"/>
          <w:sz w:val="22"/>
          <w:szCs w:val="22"/>
        </w:rPr>
        <w:t>protector</w:t>
      </w:r>
      <w:r w:rsidRPr="002D741C">
        <w:rPr>
          <w:color w:val="000000"/>
          <w:sz w:val="22"/>
          <w:szCs w:val="22"/>
        </w:rPr>
        <w:t xml:space="preserve"> solar de protección alta. Estas precauciones también aplican a los niños.</w:t>
      </w:r>
    </w:p>
    <w:p w14:paraId="335F8466" w14:textId="77777777" w:rsidR="00D938DC" w:rsidRPr="002D741C" w:rsidRDefault="00D938DC" w:rsidP="00D938DC">
      <w:pPr>
        <w:widowControl w:val="0"/>
        <w:rPr>
          <w:color w:val="000000"/>
          <w:sz w:val="22"/>
          <w:szCs w:val="22"/>
        </w:rPr>
      </w:pPr>
    </w:p>
    <w:p w14:paraId="7267111F" w14:textId="77777777" w:rsidR="00D938DC" w:rsidRPr="002D741C" w:rsidRDefault="00D938DC" w:rsidP="00D938DC">
      <w:pPr>
        <w:widowControl w:val="0"/>
        <w:rPr>
          <w:color w:val="000000"/>
          <w:sz w:val="22"/>
          <w:szCs w:val="22"/>
        </w:rPr>
      </w:pPr>
      <w:r w:rsidRPr="002D741C">
        <w:rPr>
          <w:b/>
          <w:color w:val="000000"/>
          <w:sz w:val="22"/>
          <w:szCs w:val="22"/>
        </w:rPr>
        <w:t xml:space="preserve">Durante el tratamiento con Glivec, informe a su médico inmediatamente </w:t>
      </w:r>
      <w:r w:rsidRPr="002D741C">
        <w:rPr>
          <w:color w:val="000000"/>
          <w:sz w:val="22"/>
          <w:szCs w:val="22"/>
        </w:rPr>
        <w:t>si aumenta de peso muy rápidamente. Glivec puede causar retención de agua en el cuerpo (retención de líquidos grave).</w:t>
      </w:r>
    </w:p>
    <w:p w14:paraId="7708CAD1" w14:textId="77777777" w:rsidR="00D938DC" w:rsidRPr="002D741C" w:rsidRDefault="00D938DC" w:rsidP="00D938DC">
      <w:pPr>
        <w:widowControl w:val="0"/>
        <w:rPr>
          <w:color w:val="000000"/>
          <w:sz w:val="22"/>
          <w:szCs w:val="22"/>
        </w:rPr>
      </w:pPr>
    </w:p>
    <w:p w14:paraId="2759BE2C" w14:textId="77777777" w:rsidR="00D938DC" w:rsidRPr="002D741C" w:rsidRDefault="00D938DC" w:rsidP="00D938DC">
      <w:pPr>
        <w:widowControl w:val="0"/>
        <w:rPr>
          <w:color w:val="000000"/>
          <w:sz w:val="22"/>
          <w:szCs w:val="22"/>
        </w:rPr>
      </w:pPr>
      <w:r w:rsidRPr="002D741C">
        <w:rPr>
          <w:color w:val="000000"/>
          <w:sz w:val="22"/>
          <w:szCs w:val="22"/>
        </w:rPr>
        <w:t>Mientras esté tomando Glivec, su médico le controlará regularmente si el medicamento está actuando. También se le realizarán análisis de sangre y será pesado regularmente.</w:t>
      </w:r>
    </w:p>
    <w:p w14:paraId="38E15668" w14:textId="77777777" w:rsidR="00D938DC" w:rsidRPr="002D741C" w:rsidRDefault="00D938DC" w:rsidP="00D938DC">
      <w:pPr>
        <w:widowControl w:val="0"/>
        <w:rPr>
          <w:color w:val="000000"/>
          <w:sz w:val="22"/>
          <w:szCs w:val="22"/>
        </w:rPr>
      </w:pPr>
    </w:p>
    <w:p w14:paraId="37BCA501" w14:textId="77777777" w:rsidR="00D938DC" w:rsidRPr="002D741C" w:rsidRDefault="00D938DC" w:rsidP="006662BC">
      <w:pPr>
        <w:keepNext/>
        <w:widowControl w:val="0"/>
        <w:rPr>
          <w:b/>
          <w:color w:val="000000"/>
          <w:sz w:val="22"/>
          <w:szCs w:val="22"/>
        </w:rPr>
      </w:pPr>
      <w:r w:rsidRPr="002D741C">
        <w:rPr>
          <w:b/>
          <w:color w:val="000000"/>
          <w:sz w:val="22"/>
          <w:szCs w:val="22"/>
        </w:rPr>
        <w:t>Niños y adolescentes</w:t>
      </w:r>
    </w:p>
    <w:p w14:paraId="5B12ED4E" w14:textId="77777777" w:rsidR="00D938DC" w:rsidRPr="002D741C" w:rsidRDefault="00D938DC" w:rsidP="00D938DC">
      <w:pPr>
        <w:widowControl w:val="0"/>
        <w:rPr>
          <w:color w:val="000000"/>
          <w:sz w:val="22"/>
          <w:szCs w:val="22"/>
        </w:rPr>
      </w:pPr>
      <w:r w:rsidRPr="002D741C">
        <w:rPr>
          <w:color w:val="000000"/>
          <w:sz w:val="22"/>
          <w:szCs w:val="22"/>
        </w:rPr>
        <w:t>Glivec es también un tratamiento para niños con LMC. No hay experiencia en niños con LMC menores de 2 años de edad. La experiencia en niños con LLA Ph-positivo es limitada</w:t>
      </w:r>
      <w:r w:rsidR="006555DE" w:rsidRPr="002D741C">
        <w:rPr>
          <w:color w:val="000000"/>
          <w:sz w:val="22"/>
          <w:szCs w:val="22"/>
        </w:rPr>
        <w:t xml:space="preserve"> y la experiencia en niños con SMD/SMP, DFSP, G</w:t>
      </w:r>
      <w:smartTag w:uri="urn:schemas-microsoft-com:office:smarttags" w:element="PersonName">
        <w:r w:rsidR="006555DE" w:rsidRPr="002D741C">
          <w:rPr>
            <w:color w:val="000000"/>
            <w:sz w:val="22"/>
            <w:szCs w:val="22"/>
          </w:rPr>
          <w:t>IS</w:t>
        </w:r>
      </w:smartTag>
      <w:r w:rsidR="006555DE" w:rsidRPr="002D741C">
        <w:rPr>
          <w:color w:val="000000"/>
          <w:sz w:val="22"/>
          <w:szCs w:val="22"/>
        </w:rPr>
        <w:t>T y SHE/LEC es muy limitada</w:t>
      </w:r>
      <w:r w:rsidRPr="002D741C">
        <w:rPr>
          <w:color w:val="000000"/>
          <w:sz w:val="22"/>
          <w:szCs w:val="22"/>
        </w:rPr>
        <w:t>.</w:t>
      </w:r>
    </w:p>
    <w:p w14:paraId="0026B04B" w14:textId="77777777" w:rsidR="00D938DC" w:rsidRPr="002D741C" w:rsidRDefault="00D938DC" w:rsidP="00D938DC">
      <w:pPr>
        <w:pStyle w:val="EndnoteText"/>
        <w:widowControl w:val="0"/>
        <w:numPr>
          <w:ilvl w:val="12"/>
          <w:numId w:val="0"/>
        </w:numPr>
        <w:tabs>
          <w:tab w:val="clear" w:pos="567"/>
        </w:tabs>
        <w:rPr>
          <w:color w:val="000000"/>
          <w:szCs w:val="22"/>
          <w:lang w:val="es-ES_tradnl"/>
        </w:rPr>
      </w:pPr>
    </w:p>
    <w:p w14:paraId="6745D063" w14:textId="77777777" w:rsidR="00D938DC" w:rsidRPr="002D741C" w:rsidRDefault="00D938DC" w:rsidP="00D938DC">
      <w:pPr>
        <w:pStyle w:val="EndnoteText"/>
        <w:widowControl w:val="0"/>
        <w:numPr>
          <w:ilvl w:val="12"/>
          <w:numId w:val="0"/>
        </w:numPr>
        <w:tabs>
          <w:tab w:val="clear" w:pos="567"/>
        </w:tabs>
        <w:rPr>
          <w:color w:val="000000"/>
          <w:szCs w:val="22"/>
          <w:lang w:val="es-ES_tradnl"/>
        </w:rPr>
      </w:pPr>
      <w:r w:rsidRPr="002D741C">
        <w:rPr>
          <w:color w:val="000000"/>
          <w:szCs w:val="22"/>
          <w:lang w:val="es-ES_tradnl"/>
        </w:rPr>
        <w:t>Algunos niños y adolescentes que toman Glivec pueden tener un crecimiento más lento de lo normal. El médico controlará el crecimiento en visitas periódicas.</w:t>
      </w:r>
    </w:p>
    <w:p w14:paraId="7C584712" w14:textId="77777777" w:rsidR="00D938DC" w:rsidRPr="002D741C" w:rsidRDefault="00D938DC" w:rsidP="00D938DC">
      <w:pPr>
        <w:pStyle w:val="EndnoteText"/>
        <w:widowControl w:val="0"/>
        <w:numPr>
          <w:ilvl w:val="12"/>
          <w:numId w:val="0"/>
        </w:numPr>
        <w:tabs>
          <w:tab w:val="clear" w:pos="567"/>
        </w:tabs>
        <w:rPr>
          <w:color w:val="000000"/>
          <w:szCs w:val="22"/>
          <w:lang w:val="es-ES_tradnl"/>
        </w:rPr>
      </w:pPr>
    </w:p>
    <w:p w14:paraId="61AB7559" w14:textId="77777777" w:rsidR="00D938DC" w:rsidRPr="002D741C" w:rsidRDefault="00542B0E" w:rsidP="006662BC">
      <w:pPr>
        <w:pStyle w:val="EndnoteText"/>
        <w:keepNext/>
        <w:widowControl w:val="0"/>
        <w:numPr>
          <w:ilvl w:val="12"/>
          <w:numId w:val="0"/>
        </w:numPr>
        <w:tabs>
          <w:tab w:val="clear" w:pos="567"/>
        </w:tabs>
        <w:rPr>
          <w:b/>
          <w:bCs/>
          <w:color w:val="000000"/>
          <w:szCs w:val="22"/>
          <w:lang w:val="es-ES"/>
        </w:rPr>
      </w:pPr>
      <w:r w:rsidRPr="002D741C">
        <w:rPr>
          <w:b/>
          <w:bCs/>
          <w:color w:val="000000"/>
          <w:szCs w:val="22"/>
          <w:lang w:val="es-ES"/>
        </w:rPr>
        <w:lastRenderedPageBreak/>
        <w:t>O</w:t>
      </w:r>
      <w:r w:rsidR="00D938DC" w:rsidRPr="002D741C">
        <w:rPr>
          <w:b/>
          <w:bCs/>
          <w:color w:val="000000"/>
          <w:szCs w:val="22"/>
          <w:lang w:val="es-ES"/>
        </w:rPr>
        <w:t>tros medicamentos</w:t>
      </w:r>
      <w:r w:rsidRPr="002D741C">
        <w:rPr>
          <w:b/>
          <w:bCs/>
          <w:color w:val="000000"/>
          <w:szCs w:val="22"/>
          <w:lang w:val="es-ES"/>
        </w:rPr>
        <w:t xml:space="preserve"> y Glivec</w:t>
      </w:r>
    </w:p>
    <w:p w14:paraId="09C1C242" w14:textId="77777777" w:rsidR="00D938DC" w:rsidRPr="002D741C" w:rsidRDefault="00D938DC" w:rsidP="00D938DC">
      <w:pPr>
        <w:pStyle w:val="EndnoteText"/>
        <w:widowControl w:val="0"/>
        <w:numPr>
          <w:ilvl w:val="12"/>
          <w:numId w:val="0"/>
        </w:numPr>
        <w:tabs>
          <w:tab w:val="clear" w:pos="567"/>
        </w:tabs>
        <w:rPr>
          <w:color w:val="000000"/>
          <w:szCs w:val="22"/>
          <w:lang w:val="es-ES"/>
        </w:rPr>
      </w:pPr>
      <w:r w:rsidRPr="002D741C">
        <w:rPr>
          <w:color w:val="000000"/>
          <w:szCs w:val="22"/>
          <w:lang w:val="es-ES"/>
        </w:rPr>
        <w:t xml:space="preserve">Informe a su médico o farmacéutico si está utilizando, ha </w:t>
      </w:r>
      <w:r w:rsidR="00542B0E" w:rsidRPr="002D741C">
        <w:rPr>
          <w:color w:val="000000"/>
          <w:szCs w:val="22"/>
          <w:lang w:val="es-ES"/>
        </w:rPr>
        <w:t xml:space="preserve">tomado </w:t>
      </w:r>
      <w:r w:rsidRPr="002D741C">
        <w:rPr>
          <w:color w:val="000000"/>
          <w:szCs w:val="22"/>
          <w:lang w:val="es-ES"/>
        </w:rPr>
        <w:t>recientemente o p</w:t>
      </w:r>
      <w:r w:rsidR="00CB5282" w:rsidRPr="002D741C">
        <w:rPr>
          <w:color w:val="000000"/>
          <w:szCs w:val="22"/>
          <w:lang w:val="es-ES"/>
        </w:rPr>
        <w:t>udiera</w:t>
      </w:r>
      <w:r w:rsidRPr="002D741C">
        <w:rPr>
          <w:color w:val="000000"/>
          <w:szCs w:val="22"/>
          <w:lang w:val="es-ES"/>
        </w:rPr>
        <w:t xml:space="preserve"> tener que </w:t>
      </w:r>
      <w:r w:rsidR="00542B0E" w:rsidRPr="002D741C">
        <w:rPr>
          <w:color w:val="000000"/>
          <w:szCs w:val="22"/>
          <w:lang w:val="es-ES"/>
        </w:rPr>
        <w:t xml:space="preserve">tomar </w:t>
      </w:r>
      <w:r w:rsidRPr="002D741C">
        <w:rPr>
          <w:color w:val="000000"/>
          <w:szCs w:val="22"/>
          <w:lang w:val="es-ES"/>
        </w:rPr>
        <w:t>cualquier otro medicamento, incluso los adquiridos sin receta (como paracetamol) e incluso los medicamentos a base de plantas medicinales (como Hierba de San Juan). Algunos medicamentos pueden interferir con el efecto de Glivec cuando se administran conjuntamente. Éstos pueden aumentar o disminuir el efecto de Glivec, conduciendo a un aumento de los efectos adversos o haciendo que Glivec sea menos efectivo. Glivec puede producir el mismo efecto a otros medicamentos.</w:t>
      </w:r>
    </w:p>
    <w:p w14:paraId="6946192B" w14:textId="77777777" w:rsidR="00D938DC" w:rsidRPr="002D741C" w:rsidRDefault="00D938DC" w:rsidP="00D938DC">
      <w:pPr>
        <w:pStyle w:val="EndnoteText"/>
        <w:widowControl w:val="0"/>
        <w:numPr>
          <w:ilvl w:val="12"/>
          <w:numId w:val="0"/>
        </w:numPr>
        <w:tabs>
          <w:tab w:val="clear" w:pos="567"/>
        </w:tabs>
        <w:rPr>
          <w:color w:val="000000"/>
          <w:szCs w:val="22"/>
          <w:lang w:val="es-ES"/>
        </w:rPr>
      </w:pPr>
    </w:p>
    <w:p w14:paraId="4140737E" w14:textId="77777777" w:rsidR="00106BB5" w:rsidRPr="002D741C" w:rsidRDefault="00106BB5" w:rsidP="00D938DC">
      <w:pPr>
        <w:pStyle w:val="EndnoteText"/>
        <w:widowControl w:val="0"/>
        <w:numPr>
          <w:ilvl w:val="12"/>
          <w:numId w:val="0"/>
        </w:numPr>
        <w:tabs>
          <w:tab w:val="clear" w:pos="567"/>
        </w:tabs>
        <w:rPr>
          <w:color w:val="000000"/>
          <w:szCs w:val="22"/>
          <w:lang w:val="es-ES"/>
        </w:rPr>
      </w:pPr>
      <w:r w:rsidRPr="002D741C">
        <w:rPr>
          <w:color w:val="000000"/>
          <w:szCs w:val="22"/>
          <w:lang w:val="es-ES"/>
        </w:rPr>
        <w:t>Informe a su médico si está utilizando medicamentos que previenen la formación de coágulos en la sangre.</w:t>
      </w:r>
    </w:p>
    <w:p w14:paraId="609B7FB0" w14:textId="77777777" w:rsidR="00106BB5" w:rsidRPr="002D741C" w:rsidRDefault="00106BB5" w:rsidP="00D938DC">
      <w:pPr>
        <w:pStyle w:val="EndnoteText"/>
        <w:widowControl w:val="0"/>
        <w:numPr>
          <w:ilvl w:val="12"/>
          <w:numId w:val="0"/>
        </w:numPr>
        <w:tabs>
          <w:tab w:val="clear" w:pos="567"/>
        </w:tabs>
        <w:rPr>
          <w:color w:val="000000"/>
          <w:szCs w:val="22"/>
          <w:lang w:val="es-ES"/>
        </w:rPr>
      </w:pPr>
    </w:p>
    <w:p w14:paraId="487E77C0" w14:textId="77777777" w:rsidR="00D938DC" w:rsidRPr="002D741C" w:rsidRDefault="00D938DC" w:rsidP="006662BC">
      <w:pPr>
        <w:pStyle w:val="EndnoteText"/>
        <w:keepNext/>
        <w:widowControl w:val="0"/>
        <w:numPr>
          <w:ilvl w:val="12"/>
          <w:numId w:val="0"/>
        </w:numPr>
        <w:tabs>
          <w:tab w:val="clear" w:pos="567"/>
        </w:tabs>
        <w:rPr>
          <w:b/>
          <w:color w:val="000000"/>
          <w:szCs w:val="22"/>
          <w:lang w:val="es-ES"/>
        </w:rPr>
      </w:pPr>
      <w:r w:rsidRPr="002D741C">
        <w:rPr>
          <w:b/>
          <w:color w:val="000000"/>
          <w:szCs w:val="22"/>
          <w:lang w:val="es-ES"/>
        </w:rPr>
        <w:t>Embarazo, lactancia y fertilidad</w:t>
      </w:r>
    </w:p>
    <w:p w14:paraId="36C4E169" w14:textId="77777777" w:rsidR="00D938DC" w:rsidRPr="002D741C" w:rsidRDefault="00D938DC" w:rsidP="00D938DC">
      <w:pPr>
        <w:pStyle w:val="EndnoteText"/>
        <w:widowControl w:val="0"/>
        <w:ind w:left="567" w:hanging="567"/>
        <w:rPr>
          <w:color w:val="000000"/>
          <w:szCs w:val="22"/>
          <w:lang w:val="es-ES"/>
        </w:rPr>
      </w:pPr>
      <w:r w:rsidRPr="002D741C">
        <w:rPr>
          <w:b/>
          <w:color w:val="000000"/>
          <w:szCs w:val="22"/>
          <w:lang w:val="es-ES"/>
        </w:rPr>
        <w:t>-</w:t>
      </w:r>
      <w:r w:rsidRPr="002D741C">
        <w:rPr>
          <w:b/>
          <w:color w:val="000000"/>
          <w:szCs w:val="22"/>
          <w:lang w:val="es-ES"/>
        </w:rPr>
        <w:tab/>
      </w:r>
      <w:r w:rsidRPr="002D741C">
        <w:rPr>
          <w:color w:val="000000"/>
          <w:szCs w:val="22"/>
          <w:lang w:val="es-ES"/>
        </w:rPr>
        <w:t>Si está embarazada o en periodo de lactancia, cree que podría estar embarazada o tiene intención de quedarse embarazada, consulte a su médico antes de utilizar este medicamento.</w:t>
      </w:r>
    </w:p>
    <w:p w14:paraId="3A0838C2" w14:textId="77777777" w:rsidR="00D938DC" w:rsidRPr="002D741C" w:rsidRDefault="00D938DC" w:rsidP="00D938DC">
      <w:pPr>
        <w:pStyle w:val="EndnoteText"/>
        <w:widowControl w:val="0"/>
        <w:numPr>
          <w:ilvl w:val="0"/>
          <w:numId w:val="18"/>
        </w:numPr>
        <w:tabs>
          <w:tab w:val="clear" w:pos="567"/>
          <w:tab w:val="clear" w:pos="717"/>
        </w:tabs>
        <w:ind w:left="567" w:hanging="567"/>
        <w:rPr>
          <w:color w:val="000000"/>
          <w:szCs w:val="22"/>
          <w:lang w:val="es-ES"/>
        </w:rPr>
      </w:pPr>
      <w:r w:rsidRPr="002D741C">
        <w:rPr>
          <w:color w:val="000000"/>
          <w:szCs w:val="22"/>
          <w:lang w:val="es-ES"/>
        </w:rPr>
        <w:t>No está recomendado el uso de Glivec durante el embarazo excepto si fuese claramente necesario, ya que puede causar un daño a su bebé. Su médico comentará con usted los posibles riesgos de tomar Glivec durante el embarazo.</w:t>
      </w:r>
    </w:p>
    <w:p w14:paraId="68764C7B" w14:textId="77777777" w:rsidR="00D938DC" w:rsidRPr="002D741C" w:rsidRDefault="00D938DC" w:rsidP="00D938DC">
      <w:pPr>
        <w:pStyle w:val="EndnoteText"/>
        <w:widowControl w:val="0"/>
        <w:numPr>
          <w:ilvl w:val="0"/>
          <w:numId w:val="18"/>
        </w:numPr>
        <w:tabs>
          <w:tab w:val="clear" w:pos="567"/>
          <w:tab w:val="clear" w:pos="717"/>
        </w:tabs>
        <w:ind w:left="567" w:hanging="567"/>
        <w:rPr>
          <w:color w:val="000000"/>
          <w:szCs w:val="22"/>
          <w:lang w:val="es-ES"/>
        </w:rPr>
      </w:pPr>
      <w:r w:rsidRPr="002D741C">
        <w:rPr>
          <w:color w:val="000000"/>
          <w:szCs w:val="22"/>
          <w:lang w:val="es-ES"/>
        </w:rPr>
        <w:t>Se recomienda a las mujeres que pudiesen quedarse embarazadas que utilicen un método anticonceptivo efectivo durante el tratamiento</w:t>
      </w:r>
      <w:r w:rsidR="001A723C">
        <w:rPr>
          <w:color w:val="000000"/>
          <w:szCs w:val="22"/>
          <w:lang w:val="es-ES"/>
        </w:rPr>
        <w:t xml:space="preserve"> y hasta 15</w:t>
      </w:r>
      <w:r w:rsidR="001A723C" w:rsidRPr="002D741C">
        <w:rPr>
          <w:lang w:val="es-ES"/>
        </w:rPr>
        <w:t> </w:t>
      </w:r>
      <w:r w:rsidR="001A723C">
        <w:rPr>
          <w:color w:val="000000"/>
          <w:szCs w:val="22"/>
          <w:lang w:val="es-ES"/>
        </w:rPr>
        <w:t>días después de haber finalizado el tratamiento</w:t>
      </w:r>
      <w:r w:rsidRPr="002D741C">
        <w:rPr>
          <w:color w:val="000000"/>
          <w:szCs w:val="22"/>
          <w:lang w:val="es-ES"/>
        </w:rPr>
        <w:t>.</w:t>
      </w:r>
    </w:p>
    <w:p w14:paraId="1D60FB01" w14:textId="77777777" w:rsidR="00D938DC" w:rsidRPr="002D741C" w:rsidRDefault="00D938DC" w:rsidP="00D938DC">
      <w:pPr>
        <w:widowControl w:val="0"/>
        <w:numPr>
          <w:ilvl w:val="12"/>
          <w:numId w:val="0"/>
        </w:numPr>
        <w:ind w:left="567" w:hanging="567"/>
        <w:rPr>
          <w:color w:val="000000"/>
          <w:sz w:val="22"/>
          <w:szCs w:val="22"/>
        </w:rPr>
      </w:pPr>
      <w:r w:rsidRPr="002D741C">
        <w:rPr>
          <w:color w:val="000000"/>
          <w:szCs w:val="22"/>
          <w:lang w:val="es-ES"/>
        </w:rPr>
        <w:t>-</w:t>
      </w:r>
      <w:r w:rsidRPr="002D741C">
        <w:rPr>
          <w:color w:val="000000"/>
          <w:szCs w:val="22"/>
          <w:lang w:val="es-ES"/>
        </w:rPr>
        <w:tab/>
      </w:r>
      <w:r w:rsidRPr="002D741C">
        <w:rPr>
          <w:color w:val="000000"/>
          <w:sz w:val="22"/>
          <w:szCs w:val="22"/>
        </w:rPr>
        <w:t>No dé el pecho a su bebé durante el tratamiento con Glivec</w:t>
      </w:r>
      <w:r w:rsidR="001A723C">
        <w:rPr>
          <w:color w:val="000000"/>
          <w:sz w:val="22"/>
          <w:szCs w:val="22"/>
        </w:rPr>
        <w:t xml:space="preserve"> </w:t>
      </w:r>
      <w:r w:rsidR="001A723C" w:rsidRPr="00B246BB">
        <w:rPr>
          <w:color w:val="000000"/>
          <w:sz w:val="22"/>
          <w:szCs w:val="22"/>
        </w:rPr>
        <w:t>ni los siguiente 15</w:t>
      </w:r>
      <w:r w:rsidR="001A723C" w:rsidRPr="00B246BB">
        <w:rPr>
          <w:sz w:val="22"/>
          <w:szCs w:val="22"/>
          <w:lang w:val="es-ES"/>
        </w:rPr>
        <w:t> días tras la finalización del tratamiento, p</w:t>
      </w:r>
      <w:r w:rsidR="001A723C">
        <w:rPr>
          <w:sz w:val="22"/>
          <w:szCs w:val="22"/>
          <w:lang w:val="es-ES"/>
        </w:rPr>
        <w:t>uede</w:t>
      </w:r>
      <w:r w:rsidR="001A723C" w:rsidRPr="00B246BB">
        <w:rPr>
          <w:sz w:val="22"/>
          <w:szCs w:val="22"/>
          <w:lang w:val="es-ES"/>
        </w:rPr>
        <w:t xml:space="preserve"> hacer daño a su bebé</w:t>
      </w:r>
      <w:r w:rsidRPr="002D741C">
        <w:rPr>
          <w:color w:val="000000"/>
          <w:sz w:val="22"/>
          <w:szCs w:val="22"/>
        </w:rPr>
        <w:t>.</w:t>
      </w:r>
    </w:p>
    <w:p w14:paraId="2C8A138E" w14:textId="77777777" w:rsidR="00D938DC" w:rsidRPr="002D741C" w:rsidRDefault="00D938DC" w:rsidP="00D938DC">
      <w:pPr>
        <w:widowControl w:val="0"/>
        <w:numPr>
          <w:ilvl w:val="12"/>
          <w:numId w:val="0"/>
        </w:numPr>
        <w:ind w:left="567" w:hanging="567"/>
        <w:rPr>
          <w:color w:val="000000"/>
          <w:sz w:val="22"/>
          <w:szCs w:val="22"/>
        </w:rPr>
      </w:pPr>
      <w:r w:rsidRPr="002D741C">
        <w:rPr>
          <w:color w:val="000000"/>
          <w:sz w:val="22"/>
          <w:szCs w:val="22"/>
        </w:rPr>
        <w:t>-</w:t>
      </w:r>
      <w:r w:rsidRPr="002D741C">
        <w:rPr>
          <w:color w:val="000000"/>
          <w:sz w:val="22"/>
          <w:szCs w:val="22"/>
        </w:rPr>
        <w:tab/>
        <w:t>Los pacientes que estén preocupados sobre su fertilidad mientras estén tomando Glivec deberán consultarlo con su médico.</w:t>
      </w:r>
    </w:p>
    <w:p w14:paraId="481CFF49" w14:textId="77777777" w:rsidR="00D938DC" w:rsidRPr="002D741C" w:rsidRDefault="00D938DC" w:rsidP="00D938DC">
      <w:pPr>
        <w:widowControl w:val="0"/>
        <w:numPr>
          <w:ilvl w:val="12"/>
          <w:numId w:val="0"/>
        </w:numPr>
        <w:rPr>
          <w:color w:val="000000"/>
          <w:sz w:val="22"/>
          <w:szCs w:val="22"/>
        </w:rPr>
      </w:pPr>
    </w:p>
    <w:p w14:paraId="1B7A5F0D" w14:textId="77777777" w:rsidR="00D938DC" w:rsidRPr="002D741C" w:rsidRDefault="00D938DC" w:rsidP="006662BC">
      <w:pPr>
        <w:keepNext/>
        <w:widowControl w:val="0"/>
        <w:numPr>
          <w:ilvl w:val="12"/>
          <w:numId w:val="0"/>
        </w:numPr>
        <w:ind w:right="-2"/>
        <w:rPr>
          <w:color w:val="000000"/>
          <w:sz w:val="22"/>
          <w:szCs w:val="22"/>
        </w:rPr>
      </w:pPr>
      <w:r w:rsidRPr="002D741C">
        <w:rPr>
          <w:b/>
          <w:color w:val="000000"/>
          <w:sz w:val="22"/>
          <w:szCs w:val="22"/>
        </w:rPr>
        <w:t>Conducción y uso de máquinas</w:t>
      </w:r>
    </w:p>
    <w:p w14:paraId="409D2CCC" w14:textId="77777777" w:rsidR="00D938DC" w:rsidRPr="002D741C" w:rsidRDefault="00D938DC" w:rsidP="00D938DC">
      <w:pPr>
        <w:widowControl w:val="0"/>
        <w:numPr>
          <w:ilvl w:val="12"/>
          <w:numId w:val="0"/>
        </w:numPr>
        <w:ind w:right="-29"/>
        <w:rPr>
          <w:color w:val="000000"/>
          <w:sz w:val="22"/>
          <w:szCs w:val="22"/>
        </w:rPr>
      </w:pPr>
      <w:r w:rsidRPr="002D741C">
        <w:rPr>
          <w:color w:val="000000"/>
          <w:sz w:val="22"/>
          <w:szCs w:val="22"/>
        </w:rPr>
        <w:t>Puede sufrir mareos o somnolencia o visión borrosa mientras está tomando este medicamento. Si los sufre, no conduzca ni maneje herramientas o máquinas hasta que se sienta bien de nuevo.</w:t>
      </w:r>
    </w:p>
    <w:p w14:paraId="68CC54FD" w14:textId="77777777" w:rsidR="0040333F" w:rsidRPr="002D741C" w:rsidRDefault="0040333F" w:rsidP="0040333F">
      <w:pPr>
        <w:widowControl w:val="0"/>
        <w:numPr>
          <w:ilvl w:val="12"/>
          <w:numId w:val="0"/>
        </w:numPr>
        <w:ind w:right="-29"/>
        <w:rPr>
          <w:color w:val="000000"/>
          <w:sz w:val="22"/>
          <w:szCs w:val="22"/>
        </w:rPr>
      </w:pPr>
    </w:p>
    <w:p w14:paraId="01E567AC" w14:textId="77777777" w:rsidR="0040333F" w:rsidRPr="002D741C" w:rsidRDefault="0040333F" w:rsidP="0040333F">
      <w:pPr>
        <w:pStyle w:val="EndnoteText"/>
        <w:widowControl w:val="0"/>
        <w:numPr>
          <w:ilvl w:val="12"/>
          <w:numId w:val="0"/>
        </w:numPr>
        <w:tabs>
          <w:tab w:val="clear" w:pos="567"/>
        </w:tabs>
        <w:rPr>
          <w:color w:val="000000"/>
          <w:szCs w:val="22"/>
          <w:lang w:val="es-ES"/>
        </w:rPr>
      </w:pPr>
    </w:p>
    <w:p w14:paraId="58C6EB54" w14:textId="77777777" w:rsidR="0040333F" w:rsidRPr="002D741C" w:rsidRDefault="0040333F" w:rsidP="006662BC">
      <w:pPr>
        <w:keepNext/>
        <w:widowControl w:val="0"/>
        <w:numPr>
          <w:ilvl w:val="12"/>
          <w:numId w:val="0"/>
        </w:numPr>
        <w:ind w:left="567" w:right="-2" w:hanging="567"/>
        <w:rPr>
          <w:color w:val="000000"/>
          <w:sz w:val="22"/>
          <w:szCs w:val="22"/>
        </w:rPr>
      </w:pPr>
      <w:r w:rsidRPr="002D741C">
        <w:rPr>
          <w:b/>
          <w:color w:val="000000"/>
          <w:sz w:val="22"/>
          <w:szCs w:val="22"/>
        </w:rPr>
        <w:t>3.</w:t>
      </w:r>
      <w:r w:rsidRPr="002D741C">
        <w:rPr>
          <w:b/>
          <w:color w:val="000000"/>
          <w:sz w:val="22"/>
          <w:szCs w:val="22"/>
        </w:rPr>
        <w:tab/>
      </w:r>
      <w:r w:rsidR="00D42445" w:rsidRPr="002D741C">
        <w:rPr>
          <w:b/>
          <w:color w:val="000000"/>
          <w:sz w:val="22"/>
          <w:szCs w:val="22"/>
        </w:rPr>
        <w:t>Cómo tomar</w:t>
      </w:r>
      <w:r w:rsidRPr="002D741C">
        <w:rPr>
          <w:b/>
          <w:color w:val="000000"/>
          <w:sz w:val="22"/>
          <w:szCs w:val="22"/>
        </w:rPr>
        <w:t xml:space="preserve"> </w:t>
      </w:r>
      <w:r w:rsidR="00C460D6" w:rsidRPr="002D741C">
        <w:rPr>
          <w:b/>
          <w:color w:val="000000"/>
          <w:sz w:val="22"/>
          <w:szCs w:val="22"/>
        </w:rPr>
        <w:t>Glivec</w:t>
      </w:r>
    </w:p>
    <w:p w14:paraId="623ED80C" w14:textId="77777777" w:rsidR="0040333F" w:rsidRPr="002D741C" w:rsidRDefault="0040333F" w:rsidP="006662BC">
      <w:pPr>
        <w:pStyle w:val="EndnoteText"/>
        <w:keepNext/>
        <w:widowControl w:val="0"/>
        <w:numPr>
          <w:ilvl w:val="12"/>
          <w:numId w:val="0"/>
        </w:numPr>
        <w:tabs>
          <w:tab w:val="clear" w:pos="567"/>
        </w:tabs>
        <w:rPr>
          <w:color w:val="000000"/>
          <w:szCs w:val="22"/>
          <w:lang w:val="es-ES"/>
        </w:rPr>
      </w:pPr>
    </w:p>
    <w:p w14:paraId="1FF32FBC" w14:textId="77777777" w:rsidR="0040333F" w:rsidRPr="002D741C" w:rsidRDefault="0040333F" w:rsidP="0040333F">
      <w:pPr>
        <w:pStyle w:val="EndnoteText"/>
        <w:widowControl w:val="0"/>
        <w:numPr>
          <w:ilvl w:val="12"/>
          <w:numId w:val="0"/>
        </w:numPr>
        <w:tabs>
          <w:tab w:val="clear" w:pos="567"/>
        </w:tabs>
        <w:rPr>
          <w:color w:val="000000"/>
          <w:szCs w:val="22"/>
          <w:lang w:val="es-ES"/>
        </w:rPr>
      </w:pPr>
      <w:r w:rsidRPr="002D741C">
        <w:rPr>
          <w:color w:val="000000"/>
          <w:szCs w:val="22"/>
          <w:lang w:val="es-ES"/>
        </w:rPr>
        <w:t>Su médico le ha prescrito Glivec porque sufre una enfermedad grave. Glivec puede ayudarle a combatir esta enfermedad.</w:t>
      </w:r>
    </w:p>
    <w:p w14:paraId="4F7AFDF0" w14:textId="77777777" w:rsidR="0040333F" w:rsidRPr="002D741C" w:rsidRDefault="0040333F" w:rsidP="0040333F">
      <w:pPr>
        <w:pStyle w:val="EndnoteText"/>
        <w:widowControl w:val="0"/>
        <w:numPr>
          <w:ilvl w:val="12"/>
          <w:numId w:val="0"/>
        </w:numPr>
        <w:tabs>
          <w:tab w:val="clear" w:pos="567"/>
        </w:tabs>
        <w:rPr>
          <w:color w:val="000000"/>
          <w:szCs w:val="22"/>
          <w:lang w:val="es-ES"/>
        </w:rPr>
      </w:pPr>
    </w:p>
    <w:p w14:paraId="3C6CB455" w14:textId="77777777" w:rsidR="0040333F" w:rsidRPr="002D741C" w:rsidRDefault="0040333F" w:rsidP="0040333F">
      <w:pPr>
        <w:pStyle w:val="EndnoteText"/>
        <w:widowControl w:val="0"/>
        <w:numPr>
          <w:ilvl w:val="12"/>
          <w:numId w:val="0"/>
        </w:numPr>
        <w:tabs>
          <w:tab w:val="clear" w:pos="567"/>
        </w:tabs>
        <w:rPr>
          <w:color w:val="000000"/>
          <w:szCs w:val="22"/>
          <w:lang w:val="es-ES"/>
        </w:rPr>
      </w:pPr>
      <w:r w:rsidRPr="002D741C">
        <w:rPr>
          <w:color w:val="000000"/>
          <w:szCs w:val="22"/>
          <w:lang w:val="es-ES"/>
        </w:rPr>
        <w:t xml:space="preserve">Sin embargo, siga exactamente las instrucciones de administración de </w:t>
      </w:r>
      <w:r w:rsidR="00D42445" w:rsidRPr="002D741C">
        <w:rPr>
          <w:color w:val="000000"/>
          <w:szCs w:val="22"/>
          <w:lang w:val="es-ES"/>
        </w:rPr>
        <w:t xml:space="preserve">este medicamento </w:t>
      </w:r>
      <w:r w:rsidRPr="002D741C">
        <w:rPr>
          <w:color w:val="000000"/>
          <w:szCs w:val="22"/>
          <w:lang w:val="es-ES"/>
        </w:rPr>
        <w:t>indicadas por su médico</w:t>
      </w:r>
      <w:r w:rsidR="00D42445" w:rsidRPr="002D741C">
        <w:rPr>
          <w:color w:val="000000"/>
          <w:szCs w:val="22"/>
          <w:lang w:val="es-ES"/>
        </w:rPr>
        <w:t xml:space="preserve"> o farmacéutico</w:t>
      </w:r>
      <w:r w:rsidRPr="002D741C">
        <w:rPr>
          <w:color w:val="000000"/>
          <w:szCs w:val="22"/>
          <w:lang w:val="es-ES"/>
        </w:rPr>
        <w:t>. Es importante que lo haga durante el tiempo que se lo indique su médico</w:t>
      </w:r>
      <w:r w:rsidR="00D42445" w:rsidRPr="002D741C">
        <w:rPr>
          <w:color w:val="000000"/>
          <w:szCs w:val="22"/>
          <w:lang w:val="es-ES"/>
        </w:rPr>
        <w:t xml:space="preserve"> o farmacéutico</w:t>
      </w:r>
      <w:r w:rsidRPr="002D741C">
        <w:rPr>
          <w:color w:val="000000"/>
          <w:szCs w:val="22"/>
          <w:lang w:val="es-ES"/>
        </w:rPr>
        <w:t xml:space="preserve">. </w:t>
      </w:r>
      <w:r w:rsidR="00D42445" w:rsidRPr="002D741C">
        <w:rPr>
          <w:color w:val="000000"/>
          <w:szCs w:val="22"/>
          <w:lang w:val="es-ES"/>
        </w:rPr>
        <w:t>En caso de duda, c</w:t>
      </w:r>
      <w:r w:rsidRPr="002D741C">
        <w:rPr>
          <w:color w:val="000000"/>
          <w:szCs w:val="22"/>
          <w:lang w:val="es-ES"/>
        </w:rPr>
        <w:t xml:space="preserve">onsulte </w:t>
      </w:r>
      <w:r w:rsidR="0098245B" w:rsidRPr="002D741C">
        <w:rPr>
          <w:color w:val="000000"/>
          <w:szCs w:val="22"/>
          <w:lang w:val="es-ES"/>
        </w:rPr>
        <w:t xml:space="preserve">de nuevo </w:t>
      </w:r>
      <w:r w:rsidRPr="002D741C">
        <w:rPr>
          <w:color w:val="000000"/>
          <w:szCs w:val="22"/>
          <w:lang w:val="es-ES"/>
        </w:rPr>
        <w:t>a su médico o farmacéutico.</w:t>
      </w:r>
    </w:p>
    <w:p w14:paraId="314EFA0B" w14:textId="77777777" w:rsidR="0040333F" w:rsidRPr="002D741C" w:rsidRDefault="0040333F" w:rsidP="0040333F">
      <w:pPr>
        <w:pStyle w:val="EndnoteText"/>
        <w:widowControl w:val="0"/>
        <w:numPr>
          <w:ilvl w:val="12"/>
          <w:numId w:val="0"/>
        </w:numPr>
        <w:tabs>
          <w:tab w:val="clear" w:pos="567"/>
        </w:tabs>
        <w:rPr>
          <w:color w:val="000000"/>
          <w:szCs w:val="22"/>
          <w:lang w:val="es-ES"/>
        </w:rPr>
      </w:pPr>
    </w:p>
    <w:p w14:paraId="3DDB57AE" w14:textId="77777777" w:rsidR="0040333F" w:rsidRPr="002D741C" w:rsidRDefault="0040333F" w:rsidP="0040333F">
      <w:pPr>
        <w:pStyle w:val="EndnoteText"/>
        <w:widowControl w:val="0"/>
        <w:numPr>
          <w:ilvl w:val="12"/>
          <w:numId w:val="0"/>
        </w:numPr>
        <w:tabs>
          <w:tab w:val="clear" w:pos="567"/>
        </w:tabs>
        <w:rPr>
          <w:color w:val="000000"/>
          <w:szCs w:val="22"/>
          <w:lang w:val="es-ES"/>
        </w:rPr>
      </w:pPr>
      <w:r w:rsidRPr="002D741C">
        <w:rPr>
          <w:color w:val="000000"/>
          <w:szCs w:val="22"/>
          <w:lang w:val="es-ES"/>
        </w:rPr>
        <w:t>No deje de tomar Glivec a menos que se lo indique su médico. Si no puede tomar el medicamento como le ha recetado su médico o piensa que no necesita tomarlo durante más tiempo, contacte con su médico inmediatamente.</w:t>
      </w:r>
    </w:p>
    <w:p w14:paraId="22BF8654" w14:textId="77777777" w:rsidR="0040333F" w:rsidRPr="002D741C" w:rsidRDefault="0040333F" w:rsidP="0040333F">
      <w:pPr>
        <w:pStyle w:val="EndnoteText"/>
        <w:widowControl w:val="0"/>
        <w:numPr>
          <w:ilvl w:val="12"/>
          <w:numId w:val="0"/>
        </w:numPr>
        <w:tabs>
          <w:tab w:val="clear" w:pos="567"/>
        </w:tabs>
        <w:rPr>
          <w:color w:val="000000"/>
          <w:szCs w:val="22"/>
          <w:lang w:val="es-ES"/>
        </w:rPr>
      </w:pPr>
    </w:p>
    <w:p w14:paraId="28910F5F" w14:textId="77777777" w:rsidR="0040333F" w:rsidRPr="002D741C" w:rsidRDefault="0040333F" w:rsidP="006662BC">
      <w:pPr>
        <w:pStyle w:val="EndnoteText"/>
        <w:keepNext/>
        <w:widowControl w:val="0"/>
        <w:numPr>
          <w:ilvl w:val="12"/>
          <w:numId w:val="0"/>
        </w:numPr>
        <w:tabs>
          <w:tab w:val="clear" w:pos="567"/>
        </w:tabs>
        <w:rPr>
          <w:color w:val="000000"/>
          <w:szCs w:val="22"/>
          <w:lang w:val="es-ES"/>
        </w:rPr>
      </w:pPr>
      <w:r w:rsidRPr="002D741C">
        <w:rPr>
          <w:b/>
          <w:color w:val="000000"/>
          <w:szCs w:val="22"/>
          <w:lang w:val="es-ES"/>
        </w:rPr>
        <w:t>Qué cantidad tomar</w:t>
      </w:r>
      <w:r w:rsidR="00D42445" w:rsidRPr="002D741C">
        <w:rPr>
          <w:b/>
          <w:color w:val="000000"/>
          <w:szCs w:val="22"/>
          <w:lang w:val="es-ES"/>
        </w:rPr>
        <w:t xml:space="preserve"> de Glivec</w:t>
      </w:r>
    </w:p>
    <w:p w14:paraId="60077498" w14:textId="77777777" w:rsidR="0040333F" w:rsidRPr="002D741C" w:rsidRDefault="0040333F" w:rsidP="006662BC">
      <w:pPr>
        <w:pStyle w:val="EndnoteText"/>
        <w:keepNext/>
        <w:widowControl w:val="0"/>
        <w:numPr>
          <w:ilvl w:val="12"/>
          <w:numId w:val="0"/>
        </w:numPr>
        <w:tabs>
          <w:tab w:val="clear" w:pos="567"/>
        </w:tabs>
        <w:rPr>
          <w:color w:val="000000"/>
          <w:szCs w:val="22"/>
          <w:lang w:val="es-ES"/>
        </w:rPr>
      </w:pPr>
    </w:p>
    <w:p w14:paraId="1910D731" w14:textId="77777777" w:rsidR="0040333F" w:rsidRPr="002D741C" w:rsidRDefault="0040333F" w:rsidP="006662BC">
      <w:pPr>
        <w:pStyle w:val="EndnoteText"/>
        <w:keepNext/>
        <w:widowControl w:val="0"/>
        <w:numPr>
          <w:ilvl w:val="12"/>
          <w:numId w:val="0"/>
        </w:numPr>
        <w:tabs>
          <w:tab w:val="clear" w:pos="567"/>
        </w:tabs>
        <w:rPr>
          <w:b/>
          <w:color w:val="000000"/>
          <w:szCs w:val="22"/>
          <w:lang w:val="es-ES"/>
        </w:rPr>
      </w:pPr>
      <w:r w:rsidRPr="002D741C">
        <w:rPr>
          <w:b/>
          <w:color w:val="000000"/>
          <w:szCs w:val="22"/>
          <w:lang w:val="es-ES"/>
        </w:rPr>
        <w:t>Uso en adultos</w:t>
      </w:r>
    </w:p>
    <w:p w14:paraId="361C42D3" w14:textId="77777777" w:rsidR="0040333F" w:rsidRPr="002D741C" w:rsidRDefault="0040333F" w:rsidP="0040333F">
      <w:pPr>
        <w:pStyle w:val="EndnoteText"/>
        <w:widowControl w:val="0"/>
        <w:numPr>
          <w:ilvl w:val="12"/>
          <w:numId w:val="0"/>
        </w:numPr>
        <w:tabs>
          <w:tab w:val="clear" w:pos="567"/>
        </w:tabs>
        <w:rPr>
          <w:color w:val="000000"/>
          <w:szCs w:val="22"/>
          <w:lang w:val="es-ES"/>
        </w:rPr>
      </w:pPr>
      <w:r w:rsidRPr="002D741C">
        <w:rPr>
          <w:color w:val="000000"/>
          <w:szCs w:val="22"/>
          <w:lang w:val="es-ES"/>
        </w:rPr>
        <w:t>Su médico le indicará exactamente cuántas cápsulas de Glivec debe tomar.</w:t>
      </w:r>
    </w:p>
    <w:p w14:paraId="753C7230" w14:textId="77777777" w:rsidR="0040333F" w:rsidRPr="002D741C" w:rsidRDefault="0040333F" w:rsidP="0040333F">
      <w:pPr>
        <w:pStyle w:val="EndnoteText"/>
        <w:widowControl w:val="0"/>
        <w:numPr>
          <w:ilvl w:val="12"/>
          <w:numId w:val="0"/>
        </w:numPr>
        <w:tabs>
          <w:tab w:val="clear" w:pos="567"/>
        </w:tabs>
        <w:rPr>
          <w:color w:val="000000"/>
          <w:szCs w:val="22"/>
          <w:lang w:val="es-ES"/>
        </w:rPr>
      </w:pPr>
    </w:p>
    <w:p w14:paraId="2AF59DF7" w14:textId="77777777" w:rsidR="0040333F" w:rsidRPr="002D741C" w:rsidRDefault="0040333F" w:rsidP="006662BC">
      <w:pPr>
        <w:pStyle w:val="EndnoteText"/>
        <w:keepNext/>
        <w:widowControl w:val="0"/>
        <w:numPr>
          <w:ilvl w:val="0"/>
          <w:numId w:val="19"/>
        </w:numPr>
        <w:tabs>
          <w:tab w:val="clear" w:pos="357"/>
          <w:tab w:val="clear" w:pos="567"/>
        </w:tabs>
        <w:ind w:left="480" w:hanging="480"/>
        <w:rPr>
          <w:color w:val="000000"/>
          <w:szCs w:val="22"/>
          <w:lang w:val="es-ES"/>
        </w:rPr>
      </w:pPr>
      <w:r w:rsidRPr="002D741C">
        <w:rPr>
          <w:b/>
          <w:color w:val="000000"/>
          <w:szCs w:val="22"/>
          <w:lang w:val="es-ES"/>
        </w:rPr>
        <w:t>Si usted está siendo tratado de LMC:</w:t>
      </w:r>
    </w:p>
    <w:p w14:paraId="2BB9D064" w14:textId="77777777" w:rsidR="0040333F" w:rsidRPr="002D741C" w:rsidRDefault="0040333F" w:rsidP="006662BC">
      <w:pPr>
        <w:pStyle w:val="EndnoteText"/>
        <w:keepNext/>
        <w:widowControl w:val="0"/>
        <w:tabs>
          <w:tab w:val="clear" w:pos="567"/>
        </w:tabs>
        <w:ind w:firstLine="480"/>
        <w:rPr>
          <w:color w:val="000000"/>
          <w:szCs w:val="22"/>
          <w:lang w:val="es-ES"/>
        </w:rPr>
      </w:pPr>
      <w:r w:rsidRPr="002D741C">
        <w:rPr>
          <w:color w:val="000000"/>
          <w:szCs w:val="22"/>
          <w:lang w:val="es-ES"/>
        </w:rPr>
        <w:t>Dependiendo de su situación, la dosis inicial normal es de 400 mg o 600 mg:</w:t>
      </w:r>
    </w:p>
    <w:p w14:paraId="127C66FF" w14:textId="77777777" w:rsidR="0040333F" w:rsidRPr="002D741C" w:rsidRDefault="0040333F" w:rsidP="006662BC">
      <w:pPr>
        <w:pStyle w:val="EndnoteText"/>
        <w:keepNext/>
        <w:widowControl w:val="0"/>
        <w:numPr>
          <w:ilvl w:val="12"/>
          <w:numId w:val="0"/>
        </w:numPr>
        <w:tabs>
          <w:tab w:val="clear" w:pos="567"/>
          <w:tab w:val="left" w:pos="1080"/>
        </w:tabs>
        <w:ind w:left="480"/>
        <w:rPr>
          <w:color w:val="000000"/>
          <w:szCs w:val="22"/>
          <w:lang w:val="es-ES"/>
        </w:rPr>
      </w:pPr>
      <w:r w:rsidRPr="002D741C">
        <w:rPr>
          <w:color w:val="000000"/>
          <w:szCs w:val="22"/>
          <w:lang w:val="es-ES"/>
        </w:rPr>
        <w:t>-</w:t>
      </w:r>
      <w:r w:rsidRPr="002D741C">
        <w:rPr>
          <w:color w:val="000000"/>
          <w:szCs w:val="22"/>
          <w:lang w:val="es-ES"/>
        </w:rPr>
        <w:tab/>
      </w:r>
      <w:r w:rsidRPr="002D741C">
        <w:rPr>
          <w:b/>
          <w:color w:val="000000"/>
          <w:szCs w:val="22"/>
          <w:lang w:val="es-ES"/>
        </w:rPr>
        <w:t>400 mg</w:t>
      </w:r>
      <w:r w:rsidRPr="002D741C">
        <w:rPr>
          <w:color w:val="000000"/>
          <w:szCs w:val="22"/>
          <w:lang w:val="es-ES"/>
        </w:rPr>
        <w:t xml:space="preserve">, es decir 4 cápsulas </w:t>
      </w:r>
      <w:r w:rsidRPr="002D741C">
        <w:rPr>
          <w:b/>
          <w:color w:val="000000"/>
          <w:szCs w:val="22"/>
          <w:lang w:val="es-ES"/>
        </w:rPr>
        <w:t>una vez al día</w:t>
      </w:r>
      <w:r w:rsidRPr="002D741C">
        <w:rPr>
          <w:color w:val="000000"/>
          <w:szCs w:val="22"/>
          <w:lang w:val="es-ES"/>
        </w:rPr>
        <w:t>,</w:t>
      </w:r>
    </w:p>
    <w:p w14:paraId="4987EFDF" w14:textId="77777777" w:rsidR="0040333F" w:rsidRPr="002D741C" w:rsidRDefault="0040333F" w:rsidP="0040333F">
      <w:pPr>
        <w:pStyle w:val="EndnoteText"/>
        <w:widowControl w:val="0"/>
        <w:numPr>
          <w:ilvl w:val="12"/>
          <w:numId w:val="0"/>
        </w:numPr>
        <w:tabs>
          <w:tab w:val="clear" w:pos="567"/>
        </w:tabs>
        <w:ind w:left="1080" w:hanging="600"/>
        <w:rPr>
          <w:color w:val="000000"/>
          <w:szCs w:val="22"/>
          <w:lang w:val="es-ES"/>
        </w:rPr>
      </w:pPr>
      <w:r w:rsidRPr="002D741C">
        <w:rPr>
          <w:color w:val="000000"/>
          <w:szCs w:val="22"/>
          <w:lang w:val="es-ES"/>
        </w:rPr>
        <w:t>-</w:t>
      </w:r>
      <w:r w:rsidRPr="002D741C">
        <w:rPr>
          <w:color w:val="000000"/>
          <w:szCs w:val="22"/>
          <w:lang w:val="es-ES"/>
        </w:rPr>
        <w:tab/>
      </w:r>
      <w:r w:rsidRPr="002D741C">
        <w:rPr>
          <w:b/>
          <w:color w:val="000000"/>
          <w:szCs w:val="22"/>
          <w:lang w:val="es-ES"/>
        </w:rPr>
        <w:t>600 mg</w:t>
      </w:r>
      <w:r w:rsidRPr="002D741C">
        <w:rPr>
          <w:color w:val="000000"/>
          <w:szCs w:val="22"/>
          <w:lang w:val="es-ES"/>
        </w:rPr>
        <w:t xml:space="preserve">, es decir 6 cápsulas </w:t>
      </w:r>
      <w:r w:rsidRPr="002D741C">
        <w:rPr>
          <w:b/>
          <w:color w:val="000000"/>
          <w:szCs w:val="22"/>
          <w:lang w:val="es-ES"/>
        </w:rPr>
        <w:t>una vez al día</w:t>
      </w:r>
      <w:r w:rsidRPr="002D741C">
        <w:rPr>
          <w:color w:val="000000"/>
          <w:szCs w:val="22"/>
          <w:lang w:val="es-ES"/>
        </w:rPr>
        <w:t>.</w:t>
      </w:r>
    </w:p>
    <w:p w14:paraId="7F0A106E" w14:textId="77777777" w:rsidR="0040333F" w:rsidRPr="002D741C" w:rsidRDefault="0040333F" w:rsidP="0040333F">
      <w:pPr>
        <w:pStyle w:val="EndnoteText"/>
        <w:widowControl w:val="0"/>
        <w:numPr>
          <w:ilvl w:val="12"/>
          <w:numId w:val="0"/>
        </w:numPr>
        <w:rPr>
          <w:color w:val="000000"/>
          <w:szCs w:val="22"/>
          <w:lang w:val="es-ES"/>
        </w:rPr>
      </w:pPr>
    </w:p>
    <w:p w14:paraId="402544AC" w14:textId="77777777" w:rsidR="0040333F" w:rsidRPr="002D741C" w:rsidRDefault="0040333F" w:rsidP="006662BC">
      <w:pPr>
        <w:pStyle w:val="EndnoteText"/>
        <w:keepNext/>
        <w:widowControl w:val="0"/>
        <w:numPr>
          <w:ilvl w:val="0"/>
          <w:numId w:val="19"/>
        </w:numPr>
        <w:tabs>
          <w:tab w:val="clear" w:pos="357"/>
          <w:tab w:val="clear" w:pos="567"/>
        </w:tabs>
        <w:ind w:left="480" w:hanging="480"/>
        <w:rPr>
          <w:color w:val="000000"/>
          <w:szCs w:val="22"/>
          <w:lang w:val="es-ES"/>
        </w:rPr>
      </w:pPr>
      <w:r w:rsidRPr="002D741C">
        <w:rPr>
          <w:b/>
          <w:color w:val="000000"/>
          <w:szCs w:val="22"/>
          <w:lang w:val="es-ES"/>
        </w:rPr>
        <w:t>Si usted está siendo tratado de G</w:t>
      </w:r>
      <w:smartTag w:uri="urn:schemas-microsoft-com:office:smarttags" w:element="PersonName">
        <w:r w:rsidRPr="002D741C">
          <w:rPr>
            <w:b/>
            <w:color w:val="000000"/>
            <w:szCs w:val="22"/>
            <w:lang w:val="es-ES"/>
          </w:rPr>
          <w:t>IS</w:t>
        </w:r>
      </w:smartTag>
      <w:r w:rsidRPr="002D741C">
        <w:rPr>
          <w:b/>
          <w:color w:val="000000"/>
          <w:szCs w:val="22"/>
          <w:lang w:val="es-ES"/>
        </w:rPr>
        <w:t>T:</w:t>
      </w:r>
    </w:p>
    <w:p w14:paraId="70C845EF" w14:textId="77777777" w:rsidR="0040333F" w:rsidRPr="002D741C" w:rsidRDefault="0040333F" w:rsidP="0040333F">
      <w:pPr>
        <w:pStyle w:val="EndnoteText"/>
        <w:widowControl w:val="0"/>
        <w:tabs>
          <w:tab w:val="clear" w:pos="567"/>
        </w:tabs>
        <w:ind w:left="480"/>
        <w:rPr>
          <w:color w:val="000000"/>
          <w:szCs w:val="22"/>
          <w:lang w:val="es-ES"/>
        </w:rPr>
      </w:pPr>
      <w:r w:rsidRPr="002D741C">
        <w:rPr>
          <w:color w:val="000000"/>
          <w:szCs w:val="22"/>
          <w:lang w:val="es-ES"/>
        </w:rPr>
        <w:t xml:space="preserve">La dosis inicial es 400 mg, es decir 4 cápsulas </w:t>
      </w:r>
      <w:r w:rsidRPr="002D741C">
        <w:rPr>
          <w:b/>
          <w:color w:val="000000"/>
          <w:szCs w:val="22"/>
          <w:lang w:val="es-ES"/>
        </w:rPr>
        <w:t>una vez al día</w:t>
      </w:r>
      <w:r w:rsidRPr="002D741C">
        <w:rPr>
          <w:color w:val="000000"/>
          <w:szCs w:val="22"/>
          <w:lang w:val="es-ES"/>
        </w:rPr>
        <w:t>.</w:t>
      </w:r>
    </w:p>
    <w:p w14:paraId="4E2FDEA7" w14:textId="77777777" w:rsidR="0040333F" w:rsidRPr="002D741C" w:rsidRDefault="0040333F" w:rsidP="0040333F">
      <w:pPr>
        <w:pStyle w:val="EndnoteText"/>
        <w:widowControl w:val="0"/>
        <w:numPr>
          <w:ilvl w:val="12"/>
          <w:numId w:val="0"/>
        </w:numPr>
        <w:rPr>
          <w:color w:val="000000"/>
          <w:szCs w:val="22"/>
          <w:lang w:val="es-ES"/>
        </w:rPr>
      </w:pPr>
    </w:p>
    <w:p w14:paraId="1D7D9E30" w14:textId="77777777" w:rsidR="0040333F" w:rsidRPr="002D741C" w:rsidRDefault="0040333F" w:rsidP="0040333F">
      <w:pPr>
        <w:pStyle w:val="EndnoteText"/>
        <w:widowControl w:val="0"/>
        <w:numPr>
          <w:ilvl w:val="12"/>
          <w:numId w:val="0"/>
        </w:numPr>
        <w:rPr>
          <w:color w:val="000000"/>
          <w:szCs w:val="22"/>
          <w:lang w:val="es-ES"/>
        </w:rPr>
      </w:pPr>
      <w:r w:rsidRPr="002D741C">
        <w:rPr>
          <w:color w:val="000000"/>
          <w:szCs w:val="22"/>
          <w:lang w:val="es-ES"/>
        </w:rPr>
        <w:lastRenderedPageBreak/>
        <w:t>Para LMC y G</w:t>
      </w:r>
      <w:smartTag w:uri="urn:schemas-microsoft-com:office:smarttags" w:element="PersonName">
        <w:r w:rsidRPr="002D741C">
          <w:rPr>
            <w:color w:val="000000"/>
            <w:szCs w:val="22"/>
            <w:lang w:val="es-ES"/>
          </w:rPr>
          <w:t>IS</w:t>
        </w:r>
      </w:smartTag>
      <w:r w:rsidRPr="002D741C">
        <w:rPr>
          <w:color w:val="000000"/>
          <w:szCs w:val="22"/>
          <w:lang w:val="es-ES"/>
        </w:rPr>
        <w:t>T, su médico puede prescribirle una dosis superior o inferior dependiendo de cómo responda al tratamiento. Si su dosis diaria es de 800 mg (8 cápsulas), debe tomar 4 cápsulas por la mañana y 4 cápsulas por la noche.</w:t>
      </w:r>
    </w:p>
    <w:p w14:paraId="772A5207" w14:textId="77777777" w:rsidR="0040333F" w:rsidRPr="002D741C" w:rsidRDefault="0040333F" w:rsidP="0040333F">
      <w:pPr>
        <w:pStyle w:val="EndnoteText"/>
        <w:widowControl w:val="0"/>
        <w:numPr>
          <w:ilvl w:val="12"/>
          <w:numId w:val="0"/>
        </w:numPr>
        <w:tabs>
          <w:tab w:val="clear" w:pos="567"/>
        </w:tabs>
        <w:rPr>
          <w:color w:val="000000"/>
          <w:szCs w:val="22"/>
          <w:lang w:val="es-ES"/>
        </w:rPr>
      </w:pPr>
    </w:p>
    <w:p w14:paraId="2D99D865" w14:textId="77777777" w:rsidR="0040333F" w:rsidRPr="002D741C" w:rsidRDefault="0040333F" w:rsidP="006662BC">
      <w:pPr>
        <w:pStyle w:val="EndnoteText"/>
        <w:keepNext/>
        <w:widowControl w:val="0"/>
        <w:numPr>
          <w:ilvl w:val="0"/>
          <w:numId w:val="19"/>
        </w:numPr>
        <w:tabs>
          <w:tab w:val="clear" w:pos="357"/>
          <w:tab w:val="clear" w:pos="567"/>
        </w:tabs>
        <w:ind w:left="480" w:hanging="480"/>
        <w:rPr>
          <w:color w:val="000000"/>
          <w:szCs w:val="22"/>
          <w:lang w:val="es-ES"/>
        </w:rPr>
      </w:pPr>
      <w:r w:rsidRPr="002D741C">
        <w:rPr>
          <w:b/>
          <w:color w:val="000000"/>
          <w:szCs w:val="22"/>
          <w:lang w:val="es-ES"/>
        </w:rPr>
        <w:t>Si está siendo tratado de LLA Ph-positivo</w:t>
      </w:r>
      <w:r w:rsidRPr="002D741C">
        <w:rPr>
          <w:b/>
          <w:bCs/>
          <w:color w:val="000000"/>
          <w:szCs w:val="22"/>
          <w:lang w:val="es-ES"/>
        </w:rPr>
        <w:t>:</w:t>
      </w:r>
    </w:p>
    <w:p w14:paraId="020F6C4B" w14:textId="77777777" w:rsidR="0040333F" w:rsidRPr="002D741C" w:rsidRDefault="0040333F" w:rsidP="0040333F">
      <w:pPr>
        <w:pStyle w:val="EndnoteText"/>
        <w:widowControl w:val="0"/>
        <w:tabs>
          <w:tab w:val="clear" w:pos="567"/>
        </w:tabs>
        <w:ind w:left="480"/>
        <w:rPr>
          <w:color w:val="000000"/>
          <w:szCs w:val="22"/>
          <w:lang w:val="es-ES"/>
        </w:rPr>
      </w:pPr>
      <w:r w:rsidRPr="002D741C">
        <w:rPr>
          <w:color w:val="000000"/>
          <w:szCs w:val="22"/>
          <w:lang w:val="es-ES"/>
        </w:rPr>
        <w:t xml:space="preserve">La dosis inicial es de 600 mg, es decir 6 cápsulas </w:t>
      </w:r>
      <w:r w:rsidRPr="002D741C">
        <w:rPr>
          <w:b/>
          <w:color w:val="000000"/>
          <w:szCs w:val="22"/>
          <w:lang w:val="es-ES"/>
        </w:rPr>
        <w:t>una vez</w:t>
      </w:r>
      <w:r w:rsidRPr="002D741C">
        <w:rPr>
          <w:color w:val="000000"/>
          <w:szCs w:val="22"/>
          <w:lang w:val="es-ES"/>
        </w:rPr>
        <w:t xml:space="preserve"> al día.</w:t>
      </w:r>
    </w:p>
    <w:p w14:paraId="24BA254E" w14:textId="77777777" w:rsidR="0040333F" w:rsidRPr="002D741C" w:rsidRDefault="0040333F" w:rsidP="0040333F">
      <w:pPr>
        <w:pStyle w:val="EndnoteText"/>
        <w:widowControl w:val="0"/>
        <w:numPr>
          <w:ilvl w:val="12"/>
          <w:numId w:val="0"/>
        </w:numPr>
        <w:tabs>
          <w:tab w:val="clear" w:pos="567"/>
        </w:tabs>
        <w:rPr>
          <w:color w:val="000000"/>
          <w:szCs w:val="22"/>
          <w:lang w:val="es-ES"/>
        </w:rPr>
      </w:pPr>
    </w:p>
    <w:p w14:paraId="1435F3B0" w14:textId="77777777" w:rsidR="0040333F" w:rsidRPr="002D741C" w:rsidRDefault="0040333F" w:rsidP="006662BC">
      <w:pPr>
        <w:pStyle w:val="EndnoteText"/>
        <w:keepNext/>
        <w:widowControl w:val="0"/>
        <w:numPr>
          <w:ilvl w:val="0"/>
          <w:numId w:val="19"/>
        </w:numPr>
        <w:tabs>
          <w:tab w:val="clear" w:pos="357"/>
          <w:tab w:val="clear" w:pos="567"/>
          <w:tab w:val="num" w:pos="480"/>
        </w:tabs>
        <w:rPr>
          <w:b/>
          <w:color w:val="000000"/>
          <w:szCs w:val="22"/>
          <w:lang w:val="es-ES"/>
        </w:rPr>
      </w:pPr>
      <w:r w:rsidRPr="002D741C">
        <w:rPr>
          <w:b/>
          <w:color w:val="000000"/>
          <w:szCs w:val="22"/>
          <w:lang w:val="es-ES"/>
        </w:rPr>
        <w:t xml:space="preserve">Si está siendo tratado de </w:t>
      </w:r>
      <w:smartTag w:uri="urn:schemas-microsoft-com:office:smarttags" w:element="stockticker">
        <w:r w:rsidRPr="002D741C">
          <w:rPr>
            <w:b/>
            <w:color w:val="000000"/>
            <w:szCs w:val="22"/>
            <w:lang w:val="es-ES"/>
          </w:rPr>
          <w:t>SMD</w:t>
        </w:r>
      </w:smartTag>
      <w:r w:rsidRPr="002D741C">
        <w:rPr>
          <w:b/>
          <w:color w:val="000000"/>
          <w:szCs w:val="22"/>
          <w:lang w:val="es-ES"/>
        </w:rPr>
        <w:t>/</w:t>
      </w:r>
      <w:smartTag w:uri="urn:schemas-microsoft-com:office:smarttags" w:element="stockticker">
        <w:r w:rsidRPr="002D741C">
          <w:rPr>
            <w:b/>
            <w:color w:val="000000"/>
            <w:szCs w:val="22"/>
            <w:lang w:val="es-ES"/>
          </w:rPr>
          <w:t>SMP</w:t>
        </w:r>
      </w:smartTag>
      <w:r w:rsidRPr="002D741C">
        <w:rPr>
          <w:b/>
          <w:color w:val="000000"/>
          <w:szCs w:val="22"/>
          <w:lang w:val="es-ES"/>
        </w:rPr>
        <w:t>:</w:t>
      </w:r>
    </w:p>
    <w:p w14:paraId="74D262F4" w14:textId="77777777" w:rsidR="0040333F" w:rsidRPr="002D741C" w:rsidRDefault="0040333F" w:rsidP="0040333F">
      <w:pPr>
        <w:pStyle w:val="EndnoteText"/>
        <w:widowControl w:val="0"/>
        <w:tabs>
          <w:tab w:val="clear" w:pos="567"/>
        </w:tabs>
        <w:ind w:left="480"/>
        <w:rPr>
          <w:color w:val="000000"/>
          <w:szCs w:val="22"/>
          <w:lang w:val="es-ES"/>
        </w:rPr>
      </w:pPr>
      <w:r w:rsidRPr="002D741C">
        <w:rPr>
          <w:color w:val="000000"/>
          <w:szCs w:val="22"/>
          <w:lang w:val="es-ES"/>
        </w:rPr>
        <w:t xml:space="preserve">La dosis inicial es de 400 mg, es decir, 4 cápsulas </w:t>
      </w:r>
      <w:r w:rsidRPr="002D741C">
        <w:rPr>
          <w:b/>
          <w:color w:val="000000"/>
          <w:szCs w:val="22"/>
          <w:lang w:val="es-ES"/>
        </w:rPr>
        <w:t>una vez</w:t>
      </w:r>
      <w:r w:rsidRPr="002D741C">
        <w:rPr>
          <w:color w:val="000000"/>
          <w:szCs w:val="22"/>
          <w:lang w:val="es-ES"/>
        </w:rPr>
        <w:t xml:space="preserve"> al día.</w:t>
      </w:r>
    </w:p>
    <w:p w14:paraId="462B1770" w14:textId="77777777" w:rsidR="0040333F" w:rsidRPr="002D741C" w:rsidRDefault="0040333F" w:rsidP="0040333F">
      <w:pPr>
        <w:pStyle w:val="EndnoteText"/>
        <w:widowControl w:val="0"/>
        <w:numPr>
          <w:ilvl w:val="12"/>
          <w:numId w:val="0"/>
        </w:numPr>
        <w:tabs>
          <w:tab w:val="clear" w:pos="567"/>
        </w:tabs>
        <w:rPr>
          <w:color w:val="000000"/>
          <w:szCs w:val="22"/>
          <w:lang w:val="es-ES"/>
        </w:rPr>
      </w:pPr>
    </w:p>
    <w:p w14:paraId="7E2EF3A2" w14:textId="77777777" w:rsidR="0040333F" w:rsidRPr="002D741C" w:rsidRDefault="0040333F" w:rsidP="006662BC">
      <w:pPr>
        <w:pStyle w:val="EndnoteText"/>
        <w:keepNext/>
        <w:widowControl w:val="0"/>
        <w:numPr>
          <w:ilvl w:val="0"/>
          <w:numId w:val="19"/>
        </w:numPr>
        <w:tabs>
          <w:tab w:val="clear" w:pos="357"/>
          <w:tab w:val="clear" w:pos="567"/>
        </w:tabs>
        <w:ind w:left="480" w:hanging="480"/>
        <w:rPr>
          <w:b/>
          <w:color w:val="000000"/>
          <w:szCs w:val="22"/>
          <w:lang w:val="es-ES"/>
        </w:rPr>
      </w:pPr>
      <w:r w:rsidRPr="002D741C">
        <w:rPr>
          <w:b/>
          <w:color w:val="000000"/>
          <w:szCs w:val="22"/>
          <w:lang w:val="es-ES"/>
        </w:rPr>
        <w:t>Si está siendo tratado de SHE/LEC:</w:t>
      </w:r>
    </w:p>
    <w:p w14:paraId="6A4586C9" w14:textId="77777777" w:rsidR="0040333F" w:rsidRPr="002D741C" w:rsidRDefault="0040333F" w:rsidP="0040333F">
      <w:pPr>
        <w:pStyle w:val="EndnoteText"/>
        <w:widowControl w:val="0"/>
        <w:tabs>
          <w:tab w:val="clear" w:pos="567"/>
        </w:tabs>
        <w:ind w:left="480"/>
        <w:rPr>
          <w:color w:val="000000"/>
          <w:szCs w:val="22"/>
          <w:lang w:val="es-ES"/>
        </w:rPr>
      </w:pPr>
      <w:r w:rsidRPr="002D741C">
        <w:rPr>
          <w:rFonts w:eastAsia="MS Mincho"/>
          <w:color w:val="000000"/>
          <w:szCs w:val="22"/>
          <w:lang w:val="es-ES_tradnl" w:eastAsia="ja-JP"/>
        </w:rPr>
        <w:t xml:space="preserve">La dosis inicial es de 100 mg, es decir una cápsula </w:t>
      </w:r>
      <w:r w:rsidRPr="002D741C">
        <w:rPr>
          <w:rFonts w:eastAsia="MS Mincho"/>
          <w:b/>
          <w:color w:val="000000"/>
          <w:szCs w:val="22"/>
          <w:lang w:val="es-ES_tradnl" w:eastAsia="ja-JP"/>
        </w:rPr>
        <w:t xml:space="preserve">una vez </w:t>
      </w:r>
      <w:r w:rsidRPr="002D741C">
        <w:rPr>
          <w:rFonts w:eastAsia="MS Mincho"/>
          <w:color w:val="000000"/>
          <w:szCs w:val="22"/>
          <w:lang w:val="es-ES_tradnl" w:eastAsia="ja-JP"/>
        </w:rPr>
        <w:t xml:space="preserve">al día. Su médico puede decidir aumentar la dosis a 400 mg, es decir, 4 cápsulas </w:t>
      </w:r>
      <w:r w:rsidRPr="002D741C">
        <w:rPr>
          <w:rFonts w:eastAsia="MS Mincho"/>
          <w:b/>
          <w:color w:val="000000"/>
          <w:szCs w:val="22"/>
          <w:lang w:val="es-ES_tradnl" w:eastAsia="ja-JP"/>
        </w:rPr>
        <w:t>una vez</w:t>
      </w:r>
      <w:r w:rsidRPr="002D741C">
        <w:rPr>
          <w:rFonts w:eastAsia="MS Mincho"/>
          <w:color w:val="000000"/>
          <w:szCs w:val="22"/>
          <w:lang w:val="es-ES_tradnl" w:eastAsia="ja-JP"/>
        </w:rPr>
        <w:t xml:space="preserve"> al día, dependiendo de cómo responda a su tratamiento.</w:t>
      </w:r>
    </w:p>
    <w:p w14:paraId="0850AD75" w14:textId="77777777" w:rsidR="0040333F" w:rsidRPr="002D741C" w:rsidRDefault="0040333F" w:rsidP="0040333F">
      <w:pPr>
        <w:pStyle w:val="EndnoteText"/>
        <w:widowControl w:val="0"/>
        <w:numPr>
          <w:ilvl w:val="12"/>
          <w:numId w:val="0"/>
        </w:numPr>
        <w:tabs>
          <w:tab w:val="clear" w:pos="567"/>
        </w:tabs>
        <w:rPr>
          <w:color w:val="000000"/>
          <w:szCs w:val="22"/>
          <w:lang w:val="es-ES"/>
        </w:rPr>
      </w:pPr>
    </w:p>
    <w:p w14:paraId="1A1B0C37" w14:textId="77777777" w:rsidR="0040333F" w:rsidRPr="002D741C" w:rsidRDefault="0040333F" w:rsidP="006662BC">
      <w:pPr>
        <w:pStyle w:val="EndnoteText"/>
        <w:keepNext/>
        <w:widowControl w:val="0"/>
        <w:numPr>
          <w:ilvl w:val="0"/>
          <w:numId w:val="19"/>
        </w:numPr>
        <w:tabs>
          <w:tab w:val="clear" w:pos="357"/>
          <w:tab w:val="clear" w:pos="567"/>
          <w:tab w:val="num" w:pos="480"/>
        </w:tabs>
        <w:rPr>
          <w:color w:val="000000"/>
          <w:szCs w:val="22"/>
          <w:lang w:val="es-ES"/>
        </w:rPr>
      </w:pPr>
      <w:r w:rsidRPr="002D741C">
        <w:rPr>
          <w:b/>
          <w:color w:val="000000"/>
          <w:szCs w:val="22"/>
          <w:lang w:val="es-ES"/>
        </w:rPr>
        <w:t>Si está siendo tratado de DFSP:</w:t>
      </w:r>
    </w:p>
    <w:p w14:paraId="1AB061FD" w14:textId="77777777" w:rsidR="0040333F" w:rsidRPr="002D741C" w:rsidRDefault="0040333F" w:rsidP="0040333F">
      <w:pPr>
        <w:pStyle w:val="EndnoteText"/>
        <w:widowControl w:val="0"/>
        <w:tabs>
          <w:tab w:val="clear" w:pos="567"/>
        </w:tabs>
        <w:ind w:left="480"/>
        <w:rPr>
          <w:color w:val="000000"/>
          <w:szCs w:val="22"/>
          <w:lang w:val="es-ES"/>
        </w:rPr>
      </w:pPr>
      <w:r w:rsidRPr="002D741C">
        <w:rPr>
          <w:color w:val="000000"/>
          <w:szCs w:val="22"/>
          <w:lang w:val="es-ES"/>
        </w:rPr>
        <w:t>La dosis es de 800 mg al día (8 cápsulas), es decir, 4 cápsulas por la mañana y 4 cápsulas por la noche.</w:t>
      </w:r>
    </w:p>
    <w:p w14:paraId="7BABEFBD" w14:textId="77777777" w:rsidR="0040333F" w:rsidRPr="002D741C" w:rsidRDefault="0040333F" w:rsidP="0040333F">
      <w:pPr>
        <w:pStyle w:val="EndnoteText"/>
        <w:widowControl w:val="0"/>
        <w:numPr>
          <w:ilvl w:val="12"/>
          <w:numId w:val="0"/>
        </w:numPr>
        <w:tabs>
          <w:tab w:val="clear" w:pos="567"/>
        </w:tabs>
        <w:rPr>
          <w:color w:val="000000"/>
          <w:szCs w:val="22"/>
          <w:lang w:val="es-ES"/>
        </w:rPr>
      </w:pPr>
    </w:p>
    <w:p w14:paraId="0E1914C8" w14:textId="77777777" w:rsidR="0040333F" w:rsidRPr="002D741C" w:rsidRDefault="0040333F" w:rsidP="006662BC">
      <w:pPr>
        <w:pStyle w:val="EndnoteText"/>
        <w:keepNext/>
        <w:widowControl w:val="0"/>
        <w:numPr>
          <w:ilvl w:val="12"/>
          <w:numId w:val="0"/>
        </w:numPr>
        <w:tabs>
          <w:tab w:val="clear" w:pos="567"/>
        </w:tabs>
        <w:rPr>
          <w:b/>
          <w:color w:val="000000"/>
          <w:szCs w:val="22"/>
          <w:lang w:val="es-ES"/>
        </w:rPr>
      </w:pPr>
      <w:r w:rsidRPr="002D741C">
        <w:rPr>
          <w:b/>
          <w:color w:val="000000"/>
          <w:szCs w:val="22"/>
          <w:lang w:val="es-ES"/>
        </w:rPr>
        <w:t>Uso en niños</w:t>
      </w:r>
      <w:r w:rsidR="00D42445" w:rsidRPr="002D741C">
        <w:rPr>
          <w:b/>
          <w:color w:val="000000"/>
          <w:szCs w:val="22"/>
          <w:lang w:val="es-ES"/>
        </w:rPr>
        <w:t xml:space="preserve"> y adolescentes</w:t>
      </w:r>
    </w:p>
    <w:p w14:paraId="733EFE84" w14:textId="77777777" w:rsidR="0040333F" w:rsidRPr="002D741C" w:rsidRDefault="0040333F" w:rsidP="0040333F">
      <w:pPr>
        <w:pStyle w:val="EndnoteText"/>
        <w:widowControl w:val="0"/>
        <w:numPr>
          <w:ilvl w:val="12"/>
          <w:numId w:val="0"/>
        </w:numPr>
        <w:tabs>
          <w:tab w:val="clear" w:pos="567"/>
        </w:tabs>
        <w:rPr>
          <w:color w:val="000000"/>
          <w:szCs w:val="22"/>
          <w:lang w:val="es-ES"/>
        </w:rPr>
      </w:pPr>
      <w:r w:rsidRPr="002D741C">
        <w:rPr>
          <w:color w:val="000000"/>
          <w:szCs w:val="22"/>
          <w:lang w:val="es-ES"/>
        </w:rPr>
        <w:t>El médico le indicará cuántas cápsulas de Glivec debe administrar al niño. La cantidad de Glivec administrada dependerá de la situación del niño, peso corporal y altura. La dosis total diaria en niños no debe superar los 800 mg</w:t>
      </w:r>
      <w:r w:rsidR="004E57AF" w:rsidRPr="002D741C">
        <w:rPr>
          <w:color w:val="000000"/>
          <w:szCs w:val="22"/>
          <w:lang w:val="es-ES"/>
        </w:rPr>
        <w:t xml:space="preserve"> en LMC y 600 mg en LLA Ph+</w:t>
      </w:r>
      <w:r w:rsidRPr="002D741C">
        <w:rPr>
          <w:color w:val="000000"/>
          <w:szCs w:val="22"/>
          <w:lang w:val="es-ES"/>
        </w:rPr>
        <w:t>. El tratamiento puede darse al niño una vez al día o, alternativamente, la dosis puede repartirse en dos tomas (la mitad por la mañana y la mitad por la noche).</w:t>
      </w:r>
    </w:p>
    <w:p w14:paraId="52B70131" w14:textId="77777777" w:rsidR="0040333F" w:rsidRPr="002D741C" w:rsidRDefault="0040333F" w:rsidP="0040333F">
      <w:pPr>
        <w:pStyle w:val="EndnoteText"/>
        <w:widowControl w:val="0"/>
        <w:numPr>
          <w:ilvl w:val="12"/>
          <w:numId w:val="0"/>
        </w:numPr>
        <w:tabs>
          <w:tab w:val="clear" w:pos="567"/>
        </w:tabs>
        <w:rPr>
          <w:color w:val="000000"/>
          <w:szCs w:val="22"/>
          <w:lang w:val="es-ES"/>
        </w:rPr>
      </w:pPr>
    </w:p>
    <w:p w14:paraId="51B59CBA" w14:textId="77777777" w:rsidR="0040333F" w:rsidRPr="002D741C" w:rsidRDefault="0040333F" w:rsidP="006662BC">
      <w:pPr>
        <w:pStyle w:val="EndnoteText"/>
        <w:keepNext/>
        <w:widowControl w:val="0"/>
        <w:numPr>
          <w:ilvl w:val="12"/>
          <w:numId w:val="0"/>
        </w:numPr>
        <w:tabs>
          <w:tab w:val="clear" w:pos="567"/>
        </w:tabs>
        <w:rPr>
          <w:color w:val="000000"/>
          <w:szCs w:val="22"/>
          <w:lang w:val="es-ES"/>
        </w:rPr>
      </w:pPr>
      <w:r w:rsidRPr="002D741C">
        <w:rPr>
          <w:b/>
          <w:color w:val="000000"/>
          <w:szCs w:val="22"/>
          <w:lang w:val="es-ES"/>
        </w:rPr>
        <w:t>Cuándo y cómo tomar Glivec</w:t>
      </w:r>
    </w:p>
    <w:p w14:paraId="3F4A62F0" w14:textId="77777777" w:rsidR="0040333F" w:rsidRPr="002D741C" w:rsidRDefault="0040333F" w:rsidP="0040333F">
      <w:pPr>
        <w:pStyle w:val="EndnoteText"/>
        <w:widowControl w:val="0"/>
        <w:numPr>
          <w:ilvl w:val="0"/>
          <w:numId w:val="19"/>
        </w:numPr>
        <w:tabs>
          <w:tab w:val="clear" w:pos="357"/>
          <w:tab w:val="clear" w:pos="567"/>
        </w:tabs>
        <w:ind w:left="567" w:hanging="567"/>
        <w:rPr>
          <w:color w:val="000000"/>
          <w:szCs w:val="22"/>
          <w:lang w:val="es-ES"/>
        </w:rPr>
      </w:pPr>
      <w:r w:rsidRPr="002D741C">
        <w:rPr>
          <w:b/>
          <w:color w:val="000000"/>
          <w:szCs w:val="22"/>
          <w:lang w:val="es-ES"/>
        </w:rPr>
        <w:t xml:space="preserve">Tome Glivec con alimentos. </w:t>
      </w:r>
      <w:r w:rsidRPr="002D741C">
        <w:rPr>
          <w:color w:val="000000"/>
          <w:szCs w:val="22"/>
          <w:lang w:val="es-ES"/>
        </w:rPr>
        <w:t>Esto ayudará a protegerle de problemas en su estómago al tomar Glivec.</w:t>
      </w:r>
    </w:p>
    <w:p w14:paraId="23C26316" w14:textId="77777777" w:rsidR="0040333F" w:rsidRPr="002D741C" w:rsidRDefault="0040333F" w:rsidP="0040333F">
      <w:pPr>
        <w:pStyle w:val="EndnoteText"/>
        <w:widowControl w:val="0"/>
        <w:numPr>
          <w:ilvl w:val="0"/>
          <w:numId w:val="19"/>
        </w:numPr>
        <w:tabs>
          <w:tab w:val="clear" w:pos="357"/>
          <w:tab w:val="clear" w:pos="567"/>
        </w:tabs>
        <w:ind w:left="567" w:hanging="567"/>
        <w:rPr>
          <w:color w:val="000000"/>
          <w:szCs w:val="22"/>
          <w:lang w:val="es-ES"/>
        </w:rPr>
      </w:pPr>
      <w:r w:rsidRPr="002D741C">
        <w:rPr>
          <w:b/>
          <w:color w:val="000000"/>
          <w:szCs w:val="22"/>
          <w:lang w:val="es-ES"/>
        </w:rPr>
        <w:t>Tráguese las cápsulas con un gran vaso de agua.</w:t>
      </w:r>
      <w:r w:rsidRPr="002D741C">
        <w:rPr>
          <w:color w:val="000000"/>
          <w:szCs w:val="22"/>
          <w:lang w:val="es-ES"/>
        </w:rPr>
        <w:t xml:space="preserve"> No abra ni triture las cápsulas a menos que tenga dificultad para tragarlas (por ejemplo, en niños).</w:t>
      </w:r>
    </w:p>
    <w:p w14:paraId="73600AEC" w14:textId="77777777" w:rsidR="0040333F" w:rsidRPr="002D741C" w:rsidRDefault="0040333F" w:rsidP="0040333F">
      <w:pPr>
        <w:pStyle w:val="EndnoteText"/>
        <w:widowControl w:val="0"/>
        <w:numPr>
          <w:ilvl w:val="0"/>
          <w:numId w:val="19"/>
        </w:numPr>
        <w:tabs>
          <w:tab w:val="clear" w:pos="357"/>
          <w:tab w:val="clear" w:pos="567"/>
        </w:tabs>
        <w:ind w:left="567" w:hanging="567"/>
        <w:rPr>
          <w:color w:val="000000"/>
          <w:szCs w:val="22"/>
          <w:lang w:val="es-ES"/>
        </w:rPr>
      </w:pPr>
      <w:r w:rsidRPr="002D741C">
        <w:rPr>
          <w:color w:val="000000"/>
          <w:szCs w:val="22"/>
          <w:lang w:val="es-ES"/>
        </w:rPr>
        <w:t>Si es incapaz de tragar las cápsulas, puede abrirlas y verter el polvo en un vaso de agua o zumo de manzana.</w:t>
      </w:r>
    </w:p>
    <w:p w14:paraId="468FE7F6" w14:textId="77777777" w:rsidR="0040333F" w:rsidRPr="002D741C" w:rsidRDefault="0040333F" w:rsidP="0040333F">
      <w:pPr>
        <w:pStyle w:val="EndnoteText"/>
        <w:widowControl w:val="0"/>
        <w:numPr>
          <w:ilvl w:val="0"/>
          <w:numId w:val="19"/>
        </w:numPr>
        <w:tabs>
          <w:tab w:val="clear" w:pos="357"/>
          <w:tab w:val="clear" w:pos="567"/>
        </w:tabs>
        <w:ind w:left="567" w:hanging="567"/>
        <w:rPr>
          <w:color w:val="000000"/>
          <w:szCs w:val="22"/>
          <w:lang w:val="es-ES"/>
        </w:rPr>
      </w:pPr>
      <w:r w:rsidRPr="002D741C">
        <w:rPr>
          <w:color w:val="000000"/>
          <w:szCs w:val="22"/>
          <w:lang w:val="es-ES"/>
        </w:rPr>
        <w:t>Si Vd. es una mujer embarazada o que puede quedar embarazada y trata de abrir las cápsulas, deberá manejar el contenido con precaución con el fin de evitar el contacto con la piel y los ojos o la inhalación. Deberá lavarse las manos inmediatamente después de abrir las cápsulas.</w:t>
      </w:r>
    </w:p>
    <w:p w14:paraId="19C29552" w14:textId="77777777" w:rsidR="0040333F" w:rsidRPr="002D741C" w:rsidRDefault="0040333F" w:rsidP="0040333F">
      <w:pPr>
        <w:pStyle w:val="EndnoteText"/>
        <w:widowControl w:val="0"/>
        <w:numPr>
          <w:ilvl w:val="12"/>
          <w:numId w:val="0"/>
        </w:numPr>
        <w:tabs>
          <w:tab w:val="clear" w:pos="567"/>
        </w:tabs>
        <w:rPr>
          <w:color w:val="000000"/>
          <w:szCs w:val="22"/>
          <w:lang w:val="es-ES"/>
        </w:rPr>
      </w:pPr>
    </w:p>
    <w:p w14:paraId="58E7332B" w14:textId="77777777" w:rsidR="0040333F" w:rsidRPr="002D741C" w:rsidRDefault="0040333F" w:rsidP="006662BC">
      <w:pPr>
        <w:pStyle w:val="EndnoteText"/>
        <w:keepNext/>
        <w:widowControl w:val="0"/>
        <w:numPr>
          <w:ilvl w:val="12"/>
          <w:numId w:val="0"/>
        </w:numPr>
        <w:tabs>
          <w:tab w:val="clear" w:pos="567"/>
        </w:tabs>
        <w:rPr>
          <w:b/>
          <w:color w:val="000000"/>
          <w:szCs w:val="22"/>
          <w:lang w:val="es-ES"/>
        </w:rPr>
      </w:pPr>
      <w:r w:rsidRPr="002D741C">
        <w:rPr>
          <w:b/>
          <w:color w:val="000000"/>
          <w:szCs w:val="22"/>
          <w:lang w:val="es-ES"/>
        </w:rPr>
        <w:t>Durante cuánto tiempo tomar Glivec</w:t>
      </w:r>
    </w:p>
    <w:p w14:paraId="38A2E44B" w14:textId="77777777" w:rsidR="0040333F" w:rsidRPr="002D741C" w:rsidRDefault="0040333F" w:rsidP="0040333F">
      <w:pPr>
        <w:pStyle w:val="EndnoteText"/>
        <w:widowControl w:val="0"/>
        <w:numPr>
          <w:ilvl w:val="12"/>
          <w:numId w:val="0"/>
        </w:numPr>
        <w:tabs>
          <w:tab w:val="clear" w:pos="567"/>
        </w:tabs>
        <w:rPr>
          <w:color w:val="000000"/>
          <w:szCs w:val="22"/>
          <w:lang w:val="es-ES"/>
        </w:rPr>
      </w:pPr>
      <w:r w:rsidRPr="002D741C">
        <w:rPr>
          <w:color w:val="000000"/>
          <w:szCs w:val="22"/>
          <w:lang w:val="es-ES"/>
        </w:rPr>
        <w:t>Continúe tomando Glivec cada día durante el tiempo que su médico le diga.</w:t>
      </w:r>
    </w:p>
    <w:p w14:paraId="5C1CEBC2" w14:textId="77777777" w:rsidR="0040333F" w:rsidRPr="002D741C" w:rsidRDefault="0040333F" w:rsidP="0040333F">
      <w:pPr>
        <w:pStyle w:val="EndnoteText"/>
        <w:widowControl w:val="0"/>
        <w:numPr>
          <w:ilvl w:val="12"/>
          <w:numId w:val="0"/>
        </w:numPr>
        <w:tabs>
          <w:tab w:val="clear" w:pos="567"/>
        </w:tabs>
        <w:rPr>
          <w:color w:val="000000"/>
          <w:szCs w:val="22"/>
          <w:lang w:val="es-ES"/>
        </w:rPr>
      </w:pPr>
    </w:p>
    <w:p w14:paraId="5C8D5B80" w14:textId="77777777" w:rsidR="0040333F" w:rsidRPr="002D741C" w:rsidRDefault="0040333F" w:rsidP="006662BC">
      <w:pPr>
        <w:keepNext/>
        <w:widowControl w:val="0"/>
        <w:numPr>
          <w:ilvl w:val="12"/>
          <w:numId w:val="0"/>
        </w:numPr>
        <w:ind w:right="-2"/>
        <w:rPr>
          <w:color w:val="000000"/>
          <w:sz w:val="22"/>
          <w:szCs w:val="22"/>
        </w:rPr>
      </w:pPr>
      <w:r w:rsidRPr="002D741C">
        <w:rPr>
          <w:b/>
          <w:color w:val="000000"/>
          <w:sz w:val="22"/>
          <w:szCs w:val="22"/>
        </w:rPr>
        <w:t xml:space="preserve">Si toma más Glivec del que </w:t>
      </w:r>
      <w:r w:rsidR="00D42445" w:rsidRPr="002D741C">
        <w:rPr>
          <w:b/>
          <w:color w:val="000000"/>
          <w:sz w:val="22"/>
          <w:szCs w:val="22"/>
        </w:rPr>
        <w:t>debe</w:t>
      </w:r>
    </w:p>
    <w:p w14:paraId="35FC182A" w14:textId="77777777" w:rsidR="0040333F" w:rsidRPr="002D741C" w:rsidRDefault="0040333F" w:rsidP="0040333F">
      <w:pPr>
        <w:pStyle w:val="EndnoteText"/>
        <w:widowControl w:val="0"/>
        <w:numPr>
          <w:ilvl w:val="12"/>
          <w:numId w:val="0"/>
        </w:numPr>
        <w:tabs>
          <w:tab w:val="clear" w:pos="567"/>
        </w:tabs>
        <w:rPr>
          <w:color w:val="000000"/>
          <w:szCs w:val="22"/>
          <w:lang w:val="es-ES"/>
        </w:rPr>
      </w:pPr>
      <w:r w:rsidRPr="002D741C">
        <w:rPr>
          <w:color w:val="000000"/>
          <w:szCs w:val="22"/>
          <w:lang w:val="es-ES"/>
        </w:rPr>
        <w:t xml:space="preserve">Si accidentalmente ha tomado demasiadas cápsulas, hable con su médico </w:t>
      </w:r>
      <w:r w:rsidRPr="002D741C">
        <w:rPr>
          <w:b/>
          <w:color w:val="000000"/>
          <w:szCs w:val="22"/>
          <w:lang w:val="es-ES"/>
        </w:rPr>
        <w:t>inmediatamente</w:t>
      </w:r>
      <w:r w:rsidRPr="002D741C">
        <w:rPr>
          <w:color w:val="000000"/>
          <w:szCs w:val="22"/>
          <w:lang w:val="es-ES"/>
        </w:rPr>
        <w:t>. Puede requerir atención médica. Lleve el envase del medicamento.</w:t>
      </w:r>
    </w:p>
    <w:p w14:paraId="2337D4DB" w14:textId="77777777" w:rsidR="0040333F" w:rsidRPr="002D741C" w:rsidRDefault="0040333F" w:rsidP="0040333F">
      <w:pPr>
        <w:pStyle w:val="EndnoteText"/>
        <w:widowControl w:val="0"/>
        <w:numPr>
          <w:ilvl w:val="12"/>
          <w:numId w:val="0"/>
        </w:numPr>
        <w:tabs>
          <w:tab w:val="clear" w:pos="567"/>
        </w:tabs>
        <w:rPr>
          <w:color w:val="000000"/>
          <w:szCs w:val="22"/>
          <w:lang w:val="es-ES"/>
        </w:rPr>
      </w:pPr>
    </w:p>
    <w:p w14:paraId="2FEDA7FB" w14:textId="77777777" w:rsidR="0040333F" w:rsidRPr="002D741C" w:rsidRDefault="0040333F" w:rsidP="006662BC">
      <w:pPr>
        <w:pStyle w:val="EndnoteText"/>
        <w:keepNext/>
        <w:widowControl w:val="0"/>
        <w:numPr>
          <w:ilvl w:val="12"/>
          <w:numId w:val="0"/>
        </w:numPr>
        <w:tabs>
          <w:tab w:val="clear" w:pos="567"/>
        </w:tabs>
        <w:rPr>
          <w:b/>
          <w:bCs/>
          <w:color w:val="000000"/>
          <w:szCs w:val="22"/>
          <w:lang w:val="es-ES"/>
        </w:rPr>
      </w:pPr>
      <w:r w:rsidRPr="002D741C">
        <w:rPr>
          <w:b/>
          <w:bCs/>
          <w:color w:val="000000"/>
          <w:szCs w:val="22"/>
          <w:lang w:val="es-ES"/>
        </w:rPr>
        <w:t>Si olvidó tomar Glivec</w:t>
      </w:r>
    </w:p>
    <w:p w14:paraId="4B521A88" w14:textId="77777777" w:rsidR="0040333F" w:rsidRPr="002D741C" w:rsidRDefault="0040333F" w:rsidP="0040333F">
      <w:pPr>
        <w:pStyle w:val="EndnoteText"/>
        <w:widowControl w:val="0"/>
        <w:numPr>
          <w:ilvl w:val="0"/>
          <w:numId w:val="20"/>
        </w:numPr>
        <w:tabs>
          <w:tab w:val="clear" w:pos="357"/>
          <w:tab w:val="clear" w:pos="567"/>
        </w:tabs>
        <w:ind w:left="567" w:hanging="567"/>
        <w:rPr>
          <w:color w:val="000000"/>
          <w:szCs w:val="22"/>
          <w:lang w:val="es-ES"/>
        </w:rPr>
      </w:pPr>
      <w:r w:rsidRPr="002D741C">
        <w:rPr>
          <w:color w:val="000000"/>
          <w:szCs w:val="22"/>
          <w:lang w:val="es-ES"/>
        </w:rPr>
        <w:t>Si olvida tomar una dosis, tómela tan pronto como se acuerde. Sin embargo si ya casi es el momento de la próxima dosis, no tome la que se olvidó.</w:t>
      </w:r>
    </w:p>
    <w:p w14:paraId="27D09EC9" w14:textId="77777777" w:rsidR="0040333F" w:rsidRPr="002D741C" w:rsidRDefault="0040333F" w:rsidP="0040333F">
      <w:pPr>
        <w:pStyle w:val="EndnoteText"/>
        <w:widowControl w:val="0"/>
        <w:numPr>
          <w:ilvl w:val="0"/>
          <w:numId w:val="20"/>
        </w:numPr>
        <w:tabs>
          <w:tab w:val="clear" w:pos="357"/>
          <w:tab w:val="clear" w:pos="567"/>
        </w:tabs>
        <w:ind w:left="567" w:hanging="567"/>
        <w:rPr>
          <w:color w:val="000000"/>
          <w:szCs w:val="22"/>
          <w:lang w:val="es-ES"/>
        </w:rPr>
      </w:pPr>
      <w:r w:rsidRPr="002D741C">
        <w:rPr>
          <w:color w:val="000000"/>
          <w:szCs w:val="22"/>
          <w:lang w:val="es-ES"/>
        </w:rPr>
        <w:t>Entonces continúe con la pauta normal.</w:t>
      </w:r>
    </w:p>
    <w:p w14:paraId="09685486" w14:textId="77777777" w:rsidR="0040333F" w:rsidRPr="002D741C" w:rsidRDefault="0040333F" w:rsidP="0040333F">
      <w:pPr>
        <w:pStyle w:val="EndnoteText"/>
        <w:widowControl w:val="0"/>
        <w:numPr>
          <w:ilvl w:val="0"/>
          <w:numId w:val="20"/>
        </w:numPr>
        <w:tabs>
          <w:tab w:val="clear" w:pos="357"/>
          <w:tab w:val="clear" w:pos="567"/>
        </w:tabs>
        <w:ind w:left="567" w:hanging="567"/>
        <w:rPr>
          <w:color w:val="000000"/>
          <w:szCs w:val="22"/>
          <w:lang w:val="es-ES"/>
        </w:rPr>
      </w:pPr>
      <w:r w:rsidRPr="002D741C">
        <w:rPr>
          <w:color w:val="000000"/>
          <w:szCs w:val="22"/>
          <w:lang w:val="es-ES"/>
        </w:rPr>
        <w:t>No tome una dosis doble para compensar las dosis olvidadas.</w:t>
      </w:r>
    </w:p>
    <w:p w14:paraId="027F4172" w14:textId="77777777" w:rsidR="0040333F" w:rsidRPr="002D741C" w:rsidRDefault="0040333F" w:rsidP="0040333F">
      <w:pPr>
        <w:pStyle w:val="EndnoteText"/>
        <w:widowControl w:val="0"/>
        <w:numPr>
          <w:ilvl w:val="12"/>
          <w:numId w:val="0"/>
        </w:numPr>
        <w:tabs>
          <w:tab w:val="clear" w:pos="567"/>
        </w:tabs>
        <w:rPr>
          <w:color w:val="000000"/>
          <w:szCs w:val="22"/>
          <w:lang w:val="es-ES"/>
        </w:rPr>
      </w:pPr>
    </w:p>
    <w:p w14:paraId="66FE5EB2" w14:textId="77777777" w:rsidR="0040333F" w:rsidRPr="002D741C" w:rsidRDefault="0040333F" w:rsidP="0040333F">
      <w:pPr>
        <w:pStyle w:val="EndnoteText"/>
        <w:widowControl w:val="0"/>
        <w:numPr>
          <w:ilvl w:val="12"/>
          <w:numId w:val="0"/>
        </w:numPr>
        <w:tabs>
          <w:tab w:val="clear" w:pos="567"/>
        </w:tabs>
        <w:rPr>
          <w:color w:val="000000"/>
          <w:szCs w:val="22"/>
          <w:lang w:val="es-ES"/>
        </w:rPr>
      </w:pPr>
      <w:r w:rsidRPr="002D741C">
        <w:rPr>
          <w:color w:val="000000"/>
          <w:szCs w:val="22"/>
          <w:lang w:val="es-ES"/>
        </w:rPr>
        <w:t xml:space="preserve">Si tiene cualquier otra duda sobre el uso de este </w:t>
      </w:r>
      <w:r w:rsidR="00D42445" w:rsidRPr="002D741C">
        <w:rPr>
          <w:color w:val="000000"/>
          <w:szCs w:val="22"/>
          <w:lang w:val="es-ES"/>
        </w:rPr>
        <w:t>medicamento</w:t>
      </w:r>
      <w:r w:rsidRPr="002D741C">
        <w:rPr>
          <w:color w:val="000000"/>
          <w:szCs w:val="22"/>
          <w:lang w:val="es-ES"/>
        </w:rPr>
        <w:t>, pregunte a su médico</w:t>
      </w:r>
      <w:r w:rsidR="00D42445" w:rsidRPr="002D741C">
        <w:rPr>
          <w:color w:val="000000"/>
          <w:szCs w:val="22"/>
          <w:lang w:val="es-ES"/>
        </w:rPr>
        <w:t>,</w:t>
      </w:r>
      <w:r w:rsidRPr="002D741C">
        <w:rPr>
          <w:color w:val="000000"/>
          <w:szCs w:val="22"/>
          <w:lang w:val="es-ES"/>
        </w:rPr>
        <w:t xml:space="preserve"> farmacéutico</w:t>
      </w:r>
      <w:r w:rsidR="00D42445" w:rsidRPr="002D741C">
        <w:rPr>
          <w:color w:val="000000"/>
          <w:szCs w:val="22"/>
          <w:lang w:val="es-ES"/>
        </w:rPr>
        <w:t xml:space="preserve"> o enfermero</w:t>
      </w:r>
      <w:r w:rsidRPr="002D741C">
        <w:rPr>
          <w:color w:val="000000"/>
          <w:szCs w:val="22"/>
          <w:lang w:val="es-ES"/>
        </w:rPr>
        <w:t>.</w:t>
      </w:r>
    </w:p>
    <w:p w14:paraId="4783B9EB" w14:textId="77777777" w:rsidR="0040333F" w:rsidRPr="002D741C" w:rsidRDefault="0040333F" w:rsidP="0040333F">
      <w:pPr>
        <w:pStyle w:val="EndnoteText"/>
        <w:widowControl w:val="0"/>
        <w:numPr>
          <w:ilvl w:val="12"/>
          <w:numId w:val="0"/>
        </w:numPr>
        <w:tabs>
          <w:tab w:val="clear" w:pos="567"/>
        </w:tabs>
        <w:rPr>
          <w:color w:val="000000"/>
          <w:szCs w:val="22"/>
          <w:lang w:val="es-ES"/>
        </w:rPr>
      </w:pPr>
    </w:p>
    <w:p w14:paraId="23804264" w14:textId="77777777" w:rsidR="0040333F" w:rsidRPr="002D741C" w:rsidRDefault="0040333F" w:rsidP="0040333F">
      <w:pPr>
        <w:widowControl w:val="0"/>
        <w:numPr>
          <w:ilvl w:val="12"/>
          <w:numId w:val="0"/>
        </w:numPr>
        <w:ind w:right="-2"/>
        <w:rPr>
          <w:color w:val="000000"/>
          <w:sz w:val="22"/>
          <w:szCs w:val="22"/>
        </w:rPr>
      </w:pPr>
    </w:p>
    <w:p w14:paraId="0A7FBDE3" w14:textId="77777777" w:rsidR="00C45062" w:rsidRPr="002D741C" w:rsidRDefault="00C45062" w:rsidP="006662BC">
      <w:pPr>
        <w:keepNext/>
        <w:widowControl w:val="0"/>
        <w:numPr>
          <w:ilvl w:val="12"/>
          <w:numId w:val="0"/>
        </w:numPr>
        <w:ind w:left="567" w:right="-2" w:hanging="567"/>
        <w:rPr>
          <w:b/>
          <w:color w:val="000000"/>
          <w:sz w:val="22"/>
          <w:szCs w:val="22"/>
        </w:rPr>
      </w:pPr>
      <w:r w:rsidRPr="002D741C">
        <w:rPr>
          <w:b/>
          <w:color w:val="000000"/>
          <w:sz w:val="22"/>
          <w:szCs w:val="22"/>
        </w:rPr>
        <w:t>4.</w:t>
      </w:r>
      <w:r w:rsidRPr="002D741C">
        <w:rPr>
          <w:b/>
          <w:color w:val="000000"/>
          <w:sz w:val="22"/>
          <w:szCs w:val="22"/>
        </w:rPr>
        <w:tab/>
        <w:t>Posibles efectos adversos</w:t>
      </w:r>
    </w:p>
    <w:p w14:paraId="61A472D9" w14:textId="77777777" w:rsidR="00C45062" w:rsidRPr="002D741C" w:rsidRDefault="00C45062" w:rsidP="006662BC">
      <w:pPr>
        <w:keepNext/>
        <w:widowControl w:val="0"/>
        <w:numPr>
          <w:ilvl w:val="12"/>
          <w:numId w:val="0"/>
        </w:numPr>
        <w:ind w:left="567" w:right="-2" w:hanging="567"/>
        <w:rPr>
          <w:color w:val="000000"/>
          <w:sz w:val="22"/>
          <w:szCs w:val="22"/>
        </w:rPr>
      </w:pPr>
    </w:p>
    <w:p w14:paraId="7CD6D04F" w14:textId="77777777" w:rsidR="00C45062" w:rsidRPr="002D741C" w:rsidRDefault="00C45062" w:rsidP="00C45062">
      <w:pPr>
        <w:widowControl w:val="0"/>
        <w:numPr>
          <w:ilvl w:val="12"/>
          <w:numId w:val="0"/>
        </w:numPr>
        <w:ind w:right="-29"/>
        <w:rPr>
          <w:color w:val="000000"/>
          <w:sz w:val="22"/>
          <w:szCs w:val="22"/>
        </w:rPr>
      </w:pPr>
      <w:r w:rsidRPr="002D741C">
        <w:rPr>
          <w:color w:val="000000"/>
          <w:sz w:val="22"/>
          <w:szCs w:val="22"/>
        </w:rPr>
        <w:t xml:space="preserve">Al igual que todos los medicamentos, este medicamento puede producir efectos adversos, aunque no </w:t>
      </w:r>
      <w:r w:rsidRPr="002D741C">
        <w:rPr>
          <w:color w:val="000000"/>
          <w:sz w:val="22"/>
          <w:szCs w:val="22"/>
        </w:rPr>
        <w:lastRenderedPageBreak/>
        <w:t>todas las personas los sufran. Estos son normalmente de leves a moderados.</w:t>
      </w:r>
    </w:p>
    <w:p w14:paraId="580272F7" w14:textId="77777777" w:rsidR="00C45062" w:rsidRPr="002D741C" w:rsidRDefault="00C45062" w:rsidP="00C45062">
      <w:pPr>
        <w:widowControl w:val="0"/>
        <w:numPr>
          <w:ilvl w:val="12"/>
          <w:numId w:val="0"/>
        </w:numPr>
        <w:ind w:right="-29"/>
        <w:rPr>
          <w:color w:val="000000"/>
          <w:sz w:val="22"/>
          <w:szCs w:val="22"/>
        </w:rPr>
      </w:pPr>
    </w:p>
    <w:p w14:paraId="710148C4" w14:textId="77314443" w:rsidR="00C45062" w:rsidRPr="002D741C" w:rsidRDefault="00C45062" w:rsidP="006662BC">
      <w:pPr>
        <w:keepNext/>
        <w:keepLines/>
        <w:widowControl w:val="0"/>
        <w:numPr>
          <w:ilvl w:val="12"/>
          <w:numId w:val="0"/>
        </w:numPr>
        <w:ind w:right="-28"/>
        <w:rPr>
          <w:b/>
          <w:color w:val="000000"/>
          <w:sz w:val="22"/>
          <w:szCs w:val="22"/>
        </w:rPr>
      </w:pPr>
      <w:r w:rsidRPr="002D741C">
        <w:rPr>
          <w:b/>
          <w:color w:val="000000"/>
          <w:sz w:val="22"/>
          <w:szCs w:val="22"/>
        </w:rPr>
        <w:t>Algunos efectos adversos pueden ser graves. Informe a su médico inmediatamente si sufre alguno de los siguientes:</w:t>
      </w:r>
    </w:p>
    <w:p w14:paraId="59517BA4" w14:textId="77777777" w:rsidR="00C45062" w:rsidRPr="002D741C" w:rsidRDefault="00C45062" w:rsidP="006662BC">
      <w:pPr>
        <w:keepNext/>
        <w:keepLines/>
        <w:widowControl w:val="0"/>
        <w:numPr>
          <w:ilvl w:val="12"/>
          <w:numId w:val="0"/>
        </w:numPr>
        <w:ind w:right="-28"/>
        <w:rPr>
          <w:color w:val="000000"/>
          <w:sz w:val="22"/>
          <w:szCs w:val="22"/>
        </w:rPr>
      </w:pPr>
    </w:p>
    <w:p w14:paraId="260126E9" w14:textId="77777777" w:rsidR="00C45062" w:rsidRPr="002D741C" w:rsidRDefault="00C45062" w:rsidP="006662BC">
      <w:pPr>
        <w:keepNext/>
        <w:keepLines/>
        <w:widowControl w:val="0"/>
        <w:numPr>
          <w:ilvl w:val="12"/>
          <w:numId w:val="0"/>
        </w:numPr>
        <w:ind w:right="-28"/>
        <w:rPr>
          <w:color w:val="000000"/>
          <w:sz w:val="22"/>
          <w:szCs w:val="22"/>
        </w:rPr>
      </w:pPr>
      <w:r w:rsidRPr="002D741C">
        <w:rPr>
          <w:b/>
          <w:color w:val="000000"/>
          <w:sz w:val="22"/>
          <w:szCs w:val="22"/>
        </w:rPr>
        <w:t>Muy frecuentes</w:t>
      </w:r>
      <w:r w:rsidRPr="002D741C">
        <w:rPr>
          <w:color w:val="000000"/>
          <w:sz w:val="22"/>
          <w:szCs w:val="22"/>
        </w:rPr>
        <w:t xml:space="preserve"> (pueden afectar más de 1 de cada 10 pacientes)</w:t>
      </w:r>
      <w:r w:rsidRPr="002D741C">
        <w:rPr>
          <w:b/>
          <w:color w:val="000000"/>
          <w:sz w:val="22"/>
          <w:szCs w:val="22"/>
        </w:rPr>
        <w:t xml:space="preserve"> o frecuentes </w:t>
      </w:r>
      <w:r w:rsidRPr="002D741C">
        <w:rPr>
          <w:color w:val="000000"/>
          <w:sz w:val="22"/>
          <w:szCs w:val="22"/>
        </w:rPr>
        <w:t>(puede afectar hasta 1 de cada 10 pacientes):</w:t>
      </w:r>
    </w:p>
    <w:p w14:paraId="153E7471" w14:textId="77777777" w:rsidR="00C45062" w:rsidRPr="002D741C" w:rsidRDefault="00C45062" w:rsidP="00C45062">
      <w:pPr>
        <w:widowControl w:val="0"/>
        <w:numPr>
          <w:ilvl w:val="0"/>
          <w:numId w:val="4"/>
        </w:numPr>
        <w:tabs>
          <w:tab w:val="clear" w:pos="360"/>
        </w:tabs>
        <w:ind w:left="567" w:right="-29" w:hanging="567"/>
        <w:rPr>
          <w:color w:val="000000"/>
          <w:sz w:val="22"/>
          <w:szCs w:val="22"/>
        </w:rPr>
      </w:pPr>
      <w:r w:rsidRPr="002D741C">
        <w:rPr>
          <w:color w:val="000000"/>
          <w:sz w:val="22"/>
          <w:szCs w:val="22"/>
        </w:rPr>
        <w:t>Rápido aumento de peso. Glivec puede provocar que su cuerpo retenga agua (retención grave de líquidos).</w:t>
      </w:r>
    </w:p>
    <w:p w14:paraId="1805C495" w14:textId="77777777" w:rsidR="00C45062" w:rsidRPr="002D741C" w:rsidRDefault="00C45062" w:rsidP="00C45062">
      <w:pPr>
        <w:widowControl w:val="0"/>
        <w:numPr>
          <w:ilvl w:val="0"/>
          <w:numId w:val="5"/>
        </w:numPr>
        <w:tabs>
          <w:tab w:val="clear" w:pos="360"/>
        </w:tabs>
        <w:ind w:left="567" w:right="-29" w:hanging="567"/>
        <w:rPr>
          <w:color w:val="000000"/>
          <w:sz w:val="22"/>
          <w:szCs w:val="22"/>
        </w:rPr>
      </w:pPr>
      <w:r w:rsidRPr="002D741C">
        <w:rPr>
          <w:color w:val="000000"/>
          <w:sz w:val="22"/>
          <w:szCs w:val="22"/>
        </w:rPr>
        <w:t>Signos de infección tales como fiebre, escalofríos severos, dolor de garganta o úlceras en la boca. Glivec puede reducir el número de células blancas de la sangre, por tanto puede sufrir infecciones más fácilmente.</w:t>
      </w:r>
    </w:p>
    <w:p w14:paraId="30533E14" w14:textId="77777777" w:rsidR="00C45062" w:rsidRPr="002D741C" w:rsidRDefault="00C45062" w:rsidP="00C45062">
      <w:pPr>
        <w:widowControl w:val="0"/>
        <w:numPr>
          <w:ilvl w:val="0"/>
          <w:numId w:val="4"/>
        </w:numPr>
        <w:tabs>
          <w:tab w:val="clear" w:pos="360"/>
        </w:tabs>
        <w:ind w:left="567" w:right="-29" w:hanging="567"/>
        <w:rPr>
          <w:color w:val="000000"/>
          <w:sz w:val="22"/>
          <w:szCs w:val="22"/>
        </w:rPr>
      </w:pPr>
      <w:r w:rsidRPr="002D741C">
        <w:rPr>
          <w:color w:val="000000"/>
          <w:sz w:val="22"/>
          <w:szCs w:val="22"/>
        </w:rPr>
        <w:t>Sangrado o aparición de moratones de forma inesperada (cuando no ha sufrido ninguna herida).</w:t>
      </w:r>
    </w:p>
    <w:p w14:paraId="048156B7" w14:textId="77777777" w:rsidR="00C45062" w:rsidRPr="002D741C" w:rsidRDefault="00C45062" w:rsidP="00C45062">
      <w:pPr>
        <w:widowControl w:val="0"/>
        <w:ind w:right="-29"/>
        <w:rPr>
          <w:color w:val="000000"/>
          <w:sz w:val="22"/>
          <w:szCs w:val="22"/>
        </w:rPr>
      </w:pPr>
    </w:p>
    <w:p w14:paraId="70E86EF6" w14:textId="77777777" w:rsidR="00C45062" w:rsidRPr="002D741C" w:rsidRDefault="00C45062" w:rsidP="006662BC">
      <w:pPr>
        <w:keepNext/>
        <w:keepLines/>
        <w:widowControl w:val="0"/>
        <w:ind w:right="-28"/>
        <w:rPr>
          <w:color w:val="000000"/>
          <w:sz w:val="22"/>
          <w:szCs w:val="22"/>
        </w:rPr>
      </w:pPr>
      <w:r w:rsidRPr="002D741C">
        <w:rPr>
          <w:b/>
          <w:color w:val="000000"/>
          <w:sz w:val="22"/>
          <w:szCs w:val="22"/>
        </w:rPr>
        <w:t>Poco frecuentes</w:t>
      </w:r>
      <w:r w:rsidRPr="002D741C">
        <w:rPr>
          <w:color w:val="000000"/>
          <w:sz w:val="22"/>
          <w:szCs w:val="22"/>
        </w:rPr>
        <w:t xml:space="preserve"> (pueden afectar hasta 1 de cada 100 pacientes) </w:t>
      </w:r>
      <w:r w:rsidRPr="002D741C">
        <w:rPr>
          <w:b/>
          <w:color w:val="000000"/>
          <w:sz w:val="22"/>
          <w:szCs w:val="22"/>
        </w:rPr>
        <w:t xml:space="preserve">o raros </w:t>
      </w:r>
      <w:r w:rsidRPr="002D741C">
        <w:rPr>
          <w:color w:val="000000"/>
          <w:sz w:val="22"/>
          <w:szCs w:val="22"/>
        </w:rPr>
        <w:t>(pueden afectar hasta 1 de cada 1.000 pacientes):</w:t>
      </w:r>
    </w:p>
    <w:p w14:paraId="1FF5D452" w14:textId="77777777" w:rsidR="00C45062" w:rsidRPr="002D741C" w:rsidRDefault="00C45062" w:rsidP="00C45062">
      <w:pPr>
        <w:widowControl w:val="0"/>
        <w:numPr>
          <w:ilvl w:val="0"/>
          <w:numId w:val="4"/>
        </w:numPr>
        <w:tabs>
          <w:tab w:val="clear" w:pos="360"/>
        </w:tabs>
        <w:ind w:left="567" w:right="-29" w:hanging="567"/>
        <w:rPr>
          <w:color w:val="000000"/>
          <w:sz w:val="22"/>
          <w:szCs w:val="22"/>
        </w:rPr>
      </w:pPr>
      <w:r w:rsidRPr="002D741C">
        <w:rPr>
          <w:color w:val="000000"/>
          <w:sz w:val="22"/>
          <w:szCs w:val="22"/>
        </w:rPr>
        <w:t>Dolor en el pecho, ritmo cardiaco irregular (signos de problemas en el corazón).</w:t>
      </w:r>
    </w:p>
    <w:p w14:paraId="34DF187E" w14:textId="77777777" w:rsidR="00C45062" w:rsidRPr="002D741C" w:rsidRDefault="00C45062" w:rsidP="00C45062">
      <w:pPr>
        <w:widowControl w:val="0"/>
        <w:numPr>
          <w:ilvl w:val="0"/>
          <w:numId w:val="4"/>
        </w:numPr>
        <w:tabs>
          <w:tab w:val="clear" w:pos="360"/>
        </w:tabs>
        <w:ind w:left="567" w:right="-29" w:hanging="567"/>
        <w:rPr>
          <w:color w:val="000000"/>
          <w:sz w:val="22"/>
          <w:szCs w:val="22"/>
        </w:rPr>
      </w:pPr>
      <w:r w:rsidRPr="002D741C">
        <w:rPr>
          <w:color w:val="000000"/>
          <w:sz w:val="22"/>
          <w:szCs w:val="22"/>
        </w:rPr>
        <w:t>Tos, con dificultad para respirar o respiración dolorosa (signos de problemas en el pulmón).</w:t>
      </w:r>
    </w:p>
    <w:p w14:paraId="6DBB7748" w14:textId="77777777" w:rsidR="00C45062" w:rsidRPr="002D741C" w:rsidRDefault="00C45062" w:rsidP="00C45062">
      <w:pPr>
        <w:widowControl w:val="0"/>
        <w:numPr>
          <w:ilvl w:val="0"/>
          <w:numId w:val="4"/>
        </w:numPr>
        <w:tabs>
          <w:tab w:val="clear" w:pos="360"/>
        </w:tabs>
        <w:ind w:left="567" w:right="-29" w:hanging="567"/>
        <w:rPr>
          <w:color w:val="000000"/>
          <w:sz w:val="22"/>
          <w:szCs w:val="22"/>
        </w:rPr>
      </w:pPr>
      <w:r w:rsidRPr="002D741C">
        <w:rPr>
          <w:color w:val="000000"/>
          <w:sz w:val="22"/>
          <w:szCs w:val="22"/>
        </w:rPr>
        <w:t>Sensación de aturdimiento, mareo o desvanecimiento (signos de tensión arterial baja).</w:t>
      </w:r>
    </w:p>
    <w:p w14:paraId="4BDBF95F" w14:textId="77777777" w:rsidR="00C45062" w:rsidRPr="002D741C" w:rsidRDefault="00C45062" w:rsidP="00C45062">
      <w:pPr>
        <w:widowControl w:val="0"/>
        <w:numPr>
          <w:ilvl w:val="0"/>
          <w:numId w:val="4"/>
        </w:numPr>
        <w:tabs>
          <w:tab w:val="clear" w:pos="360"/>
        </w:tabs>
        <w:ind w:left="567" w:right="-29" w:hanging="567"/>
        <w:rPr>
          <w:color w:val="000000"/>
          <w:sz w:val="22"/>
          <w:szCs w:val="22"/>
        </w:rPr>
      </w:pPr>
      <w:r w:rsidRPr="002D741C">
        <w:rPr>
          <w:color w:val="000000"/>
          <w:sz w:val="22"/>
          <w:szCs w:val="22"/>
        </w:rPr>
        <w:t>Náuseas, con pérdida de apetito, orina de color oscuro, piel u ojos amarillos (signos de problemas en el hígado).</w:t>
      </w:r>
    </w:p>
    <w:p w14:paraId="50FA80DC" w14:textId="77777777" w:rsidR="00C45062" w:rsidRPr="002D741C" w:rsidRDefault="00C45062" w:rsidP="00C45062">
      <w:pPr>
        <w:widowControl w:val="0"/>
        <w:numPr>
          <w:ilvl w:val="0"/>
          <w:numId w:val="6"/>
        </w:numPr>
        <w:tabs>
          <w:tab w:val="clear" w:pos="360"/>
        </w:tabs>
        <w:ind w:left="567" w:right="-29" w:hanging="567"/>
        <w:rPr>
          <w:color w:val="000000"/>
          <w:sz w:val="22"/>
          <w:szCs w:val="22"/>
        </w:rPr>
      </w:pPr>
      <w:r w:rsidRPr="002D741C">
        <w:rPr>
          <w:color w:val="000000"/>
          <w:sz w:val="22"/>
          <w:szCs w:val="22"/>
        </w:rPr>
        <w:t>Erupción, enrojecimiento de la piel, con ampollas en los labios, ojos, piel o boca, descamaciones de la piel, fiebre, manchas de la piel rojas o moradas, picor, sensación de quemazón, erupción con pústulas (signos de problemas en la piel).</w:t>
      </w:r>
    </w:p>
    <w:p w14:paraId="352E5F79" w14:textId="77777777" w:rsidR="00C45062" w:rsidRPr="002D741C" w:rsidRDefault="00C45062" w:rsidP="00C45062">
      <w:pPr>
        <w:widowControl w:val="0"/>
        <w:numPr>
          <w:ilvl w:val="0"/>
          <w:numId w:val="6"/>
        </w:numPr>
        <w:tabs>
          <w:tab w:val="clear" w:pos="360"/>
        </w:tabs>
        <w:ind w:left="567" w:right="-29" w:hanging="567"/>
        <w:rPr>
          <w:color w:val="000000"/>
          <w:sz w:val="22"/>
          <w:szCs w:val="22"/>
        </w:rPr>
      </w:pPr>
      <w:r w:rsidRPr="002D741C">
        <w:rPr>
          <w:color w:val="000000"/>
          <w:sz w:val="22"/>
          <w:szCs w:val="22"/>
        </w:rPr>
        <w:t>Dolor abdominal grave, sangre en su vómito, heces u orina, heces negras (signos de alteraciones gastrointestinales).</w:t>
      </w:r>
    </w:p>
    <w:p w14:paraId="4F117FD8" w14:textId="77777777" w:rsidR="00C45062" w:rsidRPr="002D741C" w:rsidRDefault="00C45062" w:rsidP="00C45062">
      <w:pPr>
        <w:widowControl w:val="0"/>
        <w:numPr>
          <w:ilvl w:val="0"/>
          <w:numId w:val="6"/>
        </w:numPr>
        <w:tabs>
          <w:tab w:val="clear" w:pos="360"/>
        </w:tabs>
        <w:ind w:left="567" w:right="-29" w:hanging="567"/>
        <w:rPr>
          <w:color w:val="000000"/>
          <w:sz w:val="22"/>
          <w:szCs w:val="22"/>
        </w:rPr>
      </w:pPr>
      <w:r w:rsidRPr="002D741C">
        <w:rPr>
          <w:color w:val="000000"/>
          <w:sz w:val="22"/>
          <w:szCs w:val="22"/>
        </w:rPr>
        <w:t>Descenso importante en la eliminación de orina, sensación de sed (signos de problemas en el riñón).</w:t>
      </w:r>
    </w:p>
    <w:p w14:paraId="6D6267F8" w14:textId="77777777" w:rsidR="00C45062" w:rsidRPr="002D741C" w:rsidRDefault="00C45062" w:rsidP="00C45062">
      <w:pPr>
        <w:widowControl w:val="0"/>
        <w:numPr>
          <w:ilvl w:val="0"/>
          <w:numId w:val="6"/>
        </w:numPr>
        <w:tabs>
          <w:tab w:val="clear" w:pos="360"/>
        </w:tabs>
        <w:ind w:left="567" w:right="-29" w:hanging="567"/>
        <w:rPr>
          <w:color w:val="000000"/>
          <w:sz w:val="22"/>
          <w:szCs w:val="22"/>
        </w:rPr>
      </w:pPr>
      <w:r w:rsidRPr="002D741C">
        <w:rPr>
          <w:color w:val="000000"/>
          <w:sz w:val="22"/>
          <w:szCs w:val="22"/>
        </w:rPr>
        <w:t>Náuseas, con diarrea y vómitos, dolor abdominal o fiebre (signos de problemas intestinales).</w:t>
      </w:r>
    </w:p>
    <w:p w14:paraId="733B8183" w14:textId="77777777" w:rsidR="00C45062" w:rsidRPr="002D741C" w:rsidRDefault="00C45062" w:rsidP="00C45062">
      <w:pPr>
        <w:widowControl w:val="0"/>
        <w:numPr>
          <w:ilvl w:val="0"/>
          <w:numId w:val="6"/>
        </w:numPr>
        <w:tabs>
          <w:tab w:val="clear" w:pos="360"/>
        </w:tabs>
        <w:ind w:left="567" w:right="-29" w:hanging="567"/>
        <w:rPr>
          <w:color w:val="000000"/>
          <w:sz w:val="22"/>
          <w:szCs w:val="22"/>
        </w:rPr>
      </w:pPr>
      <w:r w:rsidRPr="002D741C">
        <w:rPr>
          <w:color w:val="000000"/>
          <w:sz w:val="22"/>
          <w:szCs w:val="22"/>
        </w:rPr>
        <w:t>Dolor de cabeza grave, debilidad o parálisis en las extremidades o la cara, dificultad para hablar, pérdida repentina de conciencia (signos de problemas en el sistema nervioso como sangrado o hinchazón en el cráneo/cerebro).</w:t>
      </w:r>
    </w:p>
    <w:p w14:paraId="4CE4787F" w14:textId="77777777" w:rsidR="00C45062" w:rsidRPr="002D741C" w:rsidRDefault="00C45062" w:rsidP="00C45062">
      <w:pPr>
        <w:widowControl w:val="0"/>
        <w:numPr>
          <w:ilvl w:val="0"/>
          <w:numId w:val="6"/>
        </w:numPr>
        <w:tabs>
          <w:tab w:val="clear" w:pos="360"/>
        </w:tabs>
        <w:ind w:left="567" w:right="-29" w:hanging="567"/>
        <w:rPr>
          <w:color w:val="000000"/>
          <w:sz w:val="22"/>
          <w:szCs w:val="22"/>
        </w:rPr>
      </w:pPr>
      <w:r w:rsidRPr="002D741C">
        <w:rPr>
          <w:color w:val="000000"/>
          <w:sz w:val="22"/>
          <w:szCs w:val="22"/>
        </w:rPr>
        <w:t>Palidez de la piel, sensación de cansancio y dificultad para respirar, orina de color oscuro (signos de un nivel bajo de glóbulos rojos en la sangre).</w:t>
      </w:r>
    </w:p>
    <w:p w14:paraId="73EF8E5A" w14:textId="77777777" w:rsidR="00C45062" w:rsidRPr="002D741C" w:rsidRDefault="00C45062" w:rsidP="00C45062">
      <w:pPr>
        <w:widowControl w:val="0"/>
        <w:numPr>
          <w:ilvl w:val="0"/>
          <w:numId w:val="6"/>
        </w:numPr>
        <w:tabs>
          <w:tab w:val="clear" w:pos="360"/>
        </w:tabs>
        <w:ind w:left="567" w:right="-29" w:hanging="567"/>
        <w:rPr>
          <w:color w:val="000000"/>
          <w:sz w:val="22"/>
          <w:szCs w:val="22"/>
        </w:rPr>
      </w:pPr>
      <w:r w:rsidRPr="002D741C">
        <w:rPr>
          <w:color w:val="000000"/>
          <w:sz w:val="22"/>
          <w:szCs w:val="22"/>
        </w:rPr>
        <w:t>Dolor en los ojos o trastornos en la visión, sangrado en los ojos.</w:t>
      </w:r>
    </w:p>
    <w:p w14:paraId="48351A51" w14:textId="77777777" w:rsidR="00C45062" w:rsidRPr="002D741C" w:rsidRDefault="00C45062" w:rsidP="00C45062">
      <w:pPr>
        <w:widowControl w:val="0"/>
        <w:numPr>
          <w:ilvl w:val="0"/>
          <w:numId w:val="6"/>
        </w:numPr>
        <w:tabs>
          <w:tab w:val="clear" w:pos="360"/>
        </w:tabs>
        <w:ind w:left="567" w:right="-29" w:hanging="567"/>
        <w:rPr>
          <w:color w:val="000000"/>
          <w:sz w:val="22"/>
          <w:szCs w:val="22"/>
        </w:rPr>
      </w:pPr>
      <w:r w:rsidRPr="002D741C">
        <w:rPr>
          <w:color w:val="000000"/>
          <w:sz w:val="22"/>
          <w:szCs w:val="22"/>
        </w:rPr>
        <w:t>Dolor en la cadera o dificultad al caminar.</w:t>
      </w:r>
    </w:p>
    <w:p w14:paraId="383F6693" w14:textId="77777777" w:rsidR="00C45062" w:rsidRPr="002D741C" w:rsidRDefault="00C45062" w:rsidP="00C45062">
      <w:pPr>
        <w:widowControl w:val="0"/>
        <w:numPr>
          <w:ilvl w:val="0"/>
          <w:numId w:val="6"/>
        </w:numPr>
        <w:tabs>
          <w:tab w:val="clear" w:pos="360"/>
        </w:tabs>
        <w:ind w:left="567" w:right="-29" w:hanging="567"/>
        <w:rPr>
          <w:color w:val="000000"/>
          <w:sz w:val="22"/>
          <w:szCs w:val="22"/>
        </w:rPr>
      </w:pPr>
      <w:r w:rsidRPr="002D741C">
        <w:rPr>
          <w:color w:val="000000"/>
          <w:sz w:val="22"/>
          <w:szCs w:val="22"/>
        </w:rPr>
        <w:t>Adormecimiento o sensación de frío en los pies y dedos (signos del síndrome de Raynaud).</w:t>
      </w:r>
    </w:p>
    <w:p w14:paraId="734EE460" w14:textId="77777777" w:rsidR="00C45062" w:rsidRPr="002D741C" w:rsidRDefault="00C45062" w:rsidP="00C45062">
      <w:pPr>
        <w:widowControl w:val="0"/>
        <w:numPr>
          <w:ilvl w:val="0"/>
          <w:numId w:val="6"/>
        </w:numPr>
        <w:tabs>
          <w:tab w:val="clear" w:pos="360"/>
        </w:tabs>
        <w:ind w:left="567" w:right="-29" w:hanging="567"/>
        <w:rPr>
          <w:color w:val="000000"/>
          <w:sz w:val="22"/>
          <w:szCs w:val="22"/>
        </w:rPr>
      </w:pPr>
      <w:r w:rsidRPr="002D741C">
        <w:rPr>
          <w:color w:val="000000"/>
          <w:sz w:val="22"/>
          <w:szCs w:val="22"/>
        </w:rPr>
        <w:t>Hinchazón y enrojecimiento de la piel repentinos (signo de una infección de la piel denominada celulitis).</w:t>
      </w:r>
    </w:p>
    <w:p w14:paraId="349C21F3" w14:textId="77777777" w:rsidR="00C45062" w:rsidRPr="002D741C" w:rsidRDefault="00C45062" w:rsidP="00C45062">
      <w:pPr>
        <w:widowControl w:val="0"/>
        <w:numPr>
          <w:ilvl w:val="0"/>
          <w:numId w:val="6"/>
        </w:numPr>
        <w:tabs>
          <w:tab w:val="clear" w:pos="360"/>
        </w:tabs>
        <w:ind w:left="567" w:right="-29" w:hanging="567"/>
        <w:rPr>
          <w:color w:val="000000"/>
          <w:sz w:val="22"/>
          <w:szCs w:val="22"/>
        </w:rPr>
      </w:pPr>
      <w:r w:rsidRPr="002D741C">
        <w:rPr>
          <w:color w:val="000000"/>
          <w:sz w:val="22"/>
          <w:szCs w:val="22"/>
        </w:rPr>
        <w:t>Dificultades de audición.</w:t>
      </w:r>
    </w:p>
    <w:p w14:paraId="64CF307B" w14:textId="77777777" w:rsidR="00C45062" w:rsidRPr="002D741C" w:rsidRDefault="00C45062" w:rsidP="00C45062">
      <w:pPr>
        <w:widowControl w:val="0"/>
        <w:numPr>
          <w:ilvl w:val="0"/>
          <w:numId w:val="6"/>
        </w:numPr>
        <w:tabs>
          <w:tab w:val="clear" w:pos="360"/>
        </w:tabs>
        <w:ind w:left="567" w:right="-29" w:hanging="567"/>
        <w:rPr>
          <w:color w:val="000000"/>
          <w:sz w:val="22"/>
          <w:szCs w:val="22"/>
        </w:rPr>
      </w:pPr>
      <w:r w:rsidRPr="002D741C">
        <w:rPr>
          <w:color w:val="000000"/>
          <w:sz w:val="22"/>
          <w:szCs w:val="22"/>
        </w:rPr>
        <w:t>Debilidad muscular y espasmos musculares, con un ritmo cardiaco anormal (signos de cambios en la cantidad de potasio en la sangre).</w:t>
      </w:r>
    </w:p>
    <w:p w14:paraId="7B83CA47" w14:textId="77777777" w:rsidR="00C45062" w:rsidRPr="002D741C" w:rsidRDefault="00C45062" w:rsidP="00C45062">
      <w:pPr>
        <w:widowControl w:val="0"/>
        <w:numPr>
          <w:ilvl w:val="0"/>
          <w:numId w:val="6"/>
        </w:numPr>
        <w:tabs>
          <w:tab w:val="clear" w:pos="360"/>
        </w:tabs>
        <w:ind w:left="567" w:right="-29" w:hanging="567"/>
        <w:rPr>
          <w:color w:val="000000"/>
          <w:sz w:val="22"/>
          <w:szCs w:val="22"/>
        </w:rPr>
      </w:pPr>
      <w:r w:rsidRPr="002D741C">
        <w:rPr>
          <w:color w:val="000000"/>
          <w:sz w:val="22"/>
          <w:szCs w:val="22"/>
        </w:rPr>
        <w:t>Moratones.</w:t>
      </w:r>
    </w:p>
    <w:p w14:paraId="09F3FFB4" w14:textId="77777777" w:rsidR="00C45062" w:rsidRPr="002D741C" w:rsidRDefault="00C45062" w:rsidP="00C45062">
      <w:pPr>
        <w:widowControl w:val="0"/>
        <w:numPr>
          <w:ilvl w:val="0"/>
          <w:numId w:val="6"/>
        </w:numPr>
        <w:tabs>
          <w:tab w:val="clear" w:pos="360"/>
        </w:tabs>
        <w:ind w:left="567" w:right="-29" w:hanging="567"/>
        <w:rPr>
          <w:color w:val="000000"/>
          <w:sz w:val="22"/>
          <w:szCs w:val="22"/>
        </w:rPr>
      </w:pPr>
      <w:r w:rsidRPr="002D741C">
        <w:rPr>
          <w:color w:val="000000"/>
          <w:sz w:val="22"/>
          <w:szCs w:val="22"/>
        </w:rPr>
        <w:t>Dolor de estómago con náuseas.</w:t>
      </w:r>
    </w:p>
    <w:p w14:paraId="70A5643F" w14:textId="77777777" w:rsidR="00C45062" w:rsidRPr="002D741C" w:rsidRDefault="00C45062" w:rsidP="00C45062">
      <w:pPr>
        <w:widowControl w:val="0"/>
        <w:numPr>
          <w:ilvl w:val="0"/>
          <w:numId w:val="6"/>
        </w:numPr>
        <w:tabs>
          <w:tab w:val="clear" w:pos="360"/>
        </w:tabs>
        <w:ind w:left="567" w:right="-29" w:hanging="567"/>
        <w:rPr>
          <w:color w:val="000000"/>
          <w:sz w:val="22"/>
          <w:szCs w:val="22"/>
        </w:rPr>
      </w:pPr>
      <w:r w:rsidRPr="002D741C">
        <w:rPr>
          <w:color w:val="000000"/>
          <w:sz w:val="22"/>
          <w:szCs w:val="22"/>
        </w:rPr>
        <w:t>Espasmos musculares con fiebre, orina de color rojo-marronoso, dolor o debilidad en los músculos (signos de problemas musculares).</w:t>
      </w:r>
    </w:p>
    <w:p w14:paraId="1403A626" w14:textId="77777777" w:rsidR="00C45062" w:rsidRPr="002D741C" w:rsidRDefault="00C45062" w:rsidP="00C45062">
      <w:pPr>
        <w:widowControl w:val="0"/>
        <w:numPr>
          <w:ilvl w:val="0"/>
          <w:numId w:val="6"/>
        </w:numPr>
        <w:tabs>
          <w:tab w:val="clear" w:pos="360"/>
        </w:tabs>
        <w:ind w:left="567" w:right="-29" w:hanging="567"/>
        <w:rPr>
          <w:color w:val="000000"/>
          <w:sz w:val="22"/>
          <w:szCs w:val="22"/>
        </w:rPr>
      </w:pPr>
      <w:r w:rsidRPr="002D741C">
        <w:rPr>
          <w:color w:val="000000"/>
          <w:sz w:val="22"/>
          <w:szCs w:val="22"/>
        </w:rPr>
        <w:t>Dolor en la pelvis, algunas veces con náuseas y vómitos, con sangrado vaginal inesperado, sensación de mareo o desvanecimiento debido a la presión sanguínea baja (signos de problemas en los ovarios o el útero).</w:t>
      </w:r>
    </w:p>
    <w:p w14:paraId="6B09AA96" w14:textId="77777777" w:rsidR="00C45062" w:rsidRPr="002D741C" w:rsidRDefault="00C45062" w:rsidP="00C45062">
      <w:pPr>
        <w:widowControl w:val="0"/>
        <w:numPr>
          <w:ilvl w:val="0"/>
          <w:numId w:val="6"/>
        </w:numPr>
        <w:tabs>
          <w:tab w:val="clear" w:pos="360"/>
        </w:tabs>
        <w:ind w:left="567" w:right="-29" w:hanging="567"/>
        <w:rPr>
          <w:color w:val="000000"/>
          <w:sz w:val="22"/>
          <w:szCs w:val="22"/>
        </w:rPr>
      </w:pPr>
      <w:r w:rsidRPr="002D741C">
        <w:rPr>
          <w:color w:val="000000"/>
          <w:sz w:val="22"/>
          <w:szCs w:val="22"/>
        </w:rPr>
        <w:t xml:space="preserve">Náuseas, dificultad para respirar, latido cardíaco irregular, orina turbia, cansancio y/o molestias en las articulaciones asociados con resultados anormales en las pruebas de laboratorio (p.ej. niveles elevados de potasio, ácido úrico y </w:t>
      </w:r>
      <w:r w:rsidR="00CF2D15" w:rsidRPr="002D741C">
        <w:rPr>
          <w:color w:val="000000"/>
          <w:sz w:val="22"/>
          <w:szCs w:val="22"/>
        </w:rPr>
        <w:t xml:space="preserve">calcio </w:t>
      </w:r>
      <w:r w:rsidRPr="002D741C">
        <w:rPr>
          <w:color w:val="000000"/>
          <w:sz w:val="22"/>
          <w:szCs w:val="22"/>
        </w:rPr>
        <w:t xml:space="preserve">y bajos niveles de </w:t>
      </w:r>
      <w:r w:rsidR="00CF2D15" w:rsidRPr="002D741C">
        <w:rPr>
          <w:color w:val="000000"/>
          <w:sz w:val="22"/>
          <w:szCs w:val="22"/>
        </w:rPr>
        <w:t xml:space="preserve">fósforo </w:t>
      </w:r>
      <w:r w:rsidRPr="002D741C">
        <w:rPr>
          <w:color w:val="000000"/>
          <w:sz w:val="22"/>
          <w:szCs w:val="22"/>
        </w:rPr>
        <w:t>en la sangre).</w:t>
      </w:r>
    </w:p>
    <w:p w14:paraId="6CE231D4" w14:textId="77777777" w:rsidR="00467CBA" w:rsidRPr="002D741C" w:rsidRDefault="00467CBA" w:rsidP="00467CBA">
      <w:pPr>
        <w:widowControl w:val="0"/>
        <w:numPr>
          <w:ilvl w:val="0"/>
          <w:numId w:val="6"/>
        </w:numPr>
        <w:tabs>
          <w:tab w:val="clear" w:pos="360"/>
        </w:tabs>
        <w:ind w:left="567" w:right="-29" w:hanging="567"/>
        <w:rPr>
          <w:color w:val="000000"/>
          <w:sz w:val="22"/>
          <w:szCs w:val="22"/>
          <w:lang w:val="es-ES"/>
        </w:rPr>
      </w:pPr>
      <w:r w:rsidRPr="002D741C">
        <w:rPr>
          <w:color w:val="000000"/>
          <w:sz w:val="22"/>
          <w:szCs w:val="22"/>
          <w:lang w:val="es-ES"/>
        </w:rPr>
        <w:t>Coágulos de sangre en vasos sanguíneos pequeños (microangiopatía trombótica).</w:t>
      </w:r>
    </w:p>
    <w:p w14:paraId="3C9E7D3D" w14:textId="77777777" w:rsidR="00467CBA" w:rsidRPr="002D741C" w:rsidRDefault="00467CBA" w:rsidP="00467CBA">
      <w:pPr>
        <w:widowControl w:val="0"/>
        <w:ind w:left="567" w:right="-29"/>
        <w:rPr>
          <w:color w:val="000000"/>
          <w:sz w:val="22"/>
          <w:szCs w:val="22"/>
        </w:rPr>
      </w:pPr>
    </w:p>
    <w:p w14:paraId="2737644E" w14:textId="77777777" w:rsidR="004E57AF" w:rsidRPr="002D741C" w:rsidRDefault="004E57AF" w:rsidP="00C45062">
      <w:pPr>
        <w:widowControl w:val="0"/>
        <w:ind w:right="-29"/>
        <w:rPr>
          <w:color w:val="000000"/>
          <w:sz w:val="22"/>
          <w:szCs w:val="22"/>
        </w:rPr>
      </w:pPr>
    </w:p>
    <w:p w14:paraId="130FC155" w14:textId="77777777" w:rsidR="004E57AF" w:rsidRPr="002D741C" w:rsidRDefault="004E57AF" w:rsidP="006662BC">
      <w:pPr>
        <w:keepNext/>
        <w:widowControl w:val="0"/>
        <w:ind w:right="-28"/>
        <w:rPr>
          <w:color w:val="000000"/>
          <w:sz w:val="22"/>
          <w:szCs w:val="22"/>
        </w:rPr>
      </w:pPr>
      <w:r w:rsidRPr="002D741C">
        <w:rPr>
          <w:b/>
          <w:color w:val="000000"/>
          <w:sz w:val="22"/>
          <w:szCs w:val="22"/>
        </w:rPr>
        <w:lastRenderedPageBreak/>
        <w:t>Frecuencia no conocida</w:t>
      </w:r>
      <w:r w:rsidR="00CF2D15" w:rsidRPr="002D741C">
        <w:rPr>
          <w:b/>
          <w:color w:val="000000"/>
          <w:sz w:val="22"/>
          <w:szCs w:val="22"/>
        </w:rPr>
        <w:t xml:space="preserve"> </w:t>
      </w:r>
      <w:r w:rsidR="00CF2D15" w:rsidRPr="002D741C">
        <w:rPr>
          <w:color w:val="000000"/>
          <w:sz w:val="22"/>
          <w:szCs w:val="22"/>
        </w:rPr>
        <w:t>(no se puede estimar la frecuencia a partir de los datos disponibles)</w:t>
      </w:r>
      <w:r w:rsidRPr="002D741C">
        <w:rPr>
          <w:color w:val="000000"/>
          <w:sz w:val="22"/>
          <w:szCs w:val="22"/>
        </w:rPr>
        <w:t>:</w:t>
      </w:r>
    </w:p>
    <w:p w14:paraId="5E7887CF" w14:textId="77777777" w:rsidR="004E57AF" w:rsidRPr="002D741C" w:rsidRDefault="004E57AF" w:rsidP="006662BC">
      <w:pPr>
        <w:keepLines/>
        <w:widowControl w:val="0"/>
        <w:numPr>
          <w:ilvl w:val="0"/>
          <w:numId w:val="28"/>
        </w:numPr>
        <w:ind w:left="567" w:right="-28" w:hanging="567"/>
        <w:rPr>
          <w:color w:val="000000"/>
          <w:sz w:val="22"/>
          <w:szCs w:val="22"/>
        </w:rPr>
      </w:pPr>
      <w:r w:rsidRPr="002D741C">
        <w:rPr>
          <w:color w:val="000000"/>
          <w:sz w:val="22"/>
          <w:szCs w:val="22"/>
        </w:rPr>
        <w:t>Combinación de un</w:t>
      </w:r>
      <w:r w:rsidRPr="002D741C">
        <w:rPr>
          <w:sz w:val="22"/>
          <w:szCs w:val="22"/>
          <w:lang w:val="es-ES"/>
        </w:rPr>
        <w:t xml:space="preserve">a erupción </w:t>
      </w:r>
      <w:r w:rsidR="00254AE9" w:rsidRPr="002D741C">
        <w:rPr>
          <w:sz w:val="22"/>
          <w:szCs w:val="22"/>
          <w:lang w:val="es-ES"/>
        </w:rPr>
        <w:t xml:space="preserve">extensa </w:t>
      </w:r>
      <w:r w:rsidRPr="002D741C">
        <w:rPr>
          <w:sz w:val="22"/>
          <w:szCs w:val="22"/>
          <w:lang w:val="es-ES"/>
        </w:rPr>
        <w:t>generalizada, sensación de malestar, fiebre,</w:t>
      </w:r>
      <w:r w:rsidR="00254AE9" w:rsidRPr="002D741C">
        <w:rPr>
          <w:sz w:val="22"/>
          <w:szCs w:val="22"/>
          <w:lang w:val="es-ES"/>
        </w:rPr>
        <w:t xml:space="preserve"> </w:t>
      </w:r>
      <w:r w:rsidRPr="002D741C">
        <w:rPr>
          <w:sz w:val="22"/>
          <w:szCs w:val="22"/>
          <w:lang w:val="es-ES"/>
        </w:rPr>
        <w:t>nivel</w:t>
      </w:r>
      <w:r w:rsidR="00254AE9" w:rsidRPr="002D741C">
        <w:rPr>
          <w:sz w:val="22"/>
          <w:szCs w:val="22"/>
          <w:lang w:val="es-ES"/>
        </w:rPr>
        <w:t>es</w:t>
      </w:r>
      <w:r w:rsidRPr="002D741C">
        <w:rPr>
          <w:sz w:val="22"/>
          <w:szCs w:val="22"/>
          <w:lang w:val="es-ES"/>
        </w:rPr>
        <w:t xml:space="preserve"> </w:t>
      </w:r>
      <w:r w:rsidR="00254AE9" w:rsidRPr="002D741C">
        <w:rPr>
          <w:sz w:val="22"/>
          <w:szCs w:val="22"/>
          <w:lang w:val="es-ES"/>
        </w:rPr>
        <w:t xml:space="preserve">elevados </w:t>
      </w:r>
      <w:r w:rsidRPr="002D741C">
        <w:rPr>
          <w:sz w:val="22"/>
          <w:szCs w:val="22"/>
          <w:lang w:val="es-ES"/>
        </w:rPr>
        <w:t>de ciertas células sanguíneas o piel u ojos de color amarillo (signos de ictericia) con dificultad para respirar, dolor/molestias de pecho, producción de orina</w:t>
      </w:r>
      <w:r w:rsidR="00B977AB" w:rsidRPr="002D741C">
        <w:rPr>
          <w:sz w:val="22"/>
          <w:szCs w:val="22"/>
          <w:lang w:val="es-ES"/>
        </w:rPr>
        <w:t xml:space="preserve"> </w:t>
      </w:r>
      <w:r w:rsidRPr="002D741C">
        <w:rPr>
          <w:sz w:val="22"/>
          <w:szCs w:val="22"/>
          <w:lang w:val="es-ES"/>
        </w:rPr>
        <w:t>disminuida</w:t>
      </w:r>
      <w:r w:rsidR="00254AE9" w:rsidRPr="002D741C">
        <w:rPr>
          <w:sz w:val="22"/>
          <w:szCs w:val="22"/>
          <w:lang w:val="es-ES"/>
        </w:rPr>
        <w:t xml:space="preserve"> de forma intensa</w:t>
      </w:r>
      <w:r w:rsidRPr="002D741C">
        <w:rPr>
          <w:sz w:val="22"/>
          <w:szCs w:val="22"/>
          <w:lang w:val="es-ES"/>
        </w:rPr>
        <w:t xml:space="preserve"> y sensación de sed, etc. (signos de una reacción alérgica relacionada con el tratamiento).</w:t>
      </w:r>
    </w:p>
    <w:p w14:paraId="50FEF74D" w14:textId="77777777" w:rsidR="009664E2" w:rsidRPr="002D741C" w:rsidRDefault="00822643" w:rsidP="009664E2">
      <w:pPr>
        <w:widowControl w:val="0"/>
        <w:numPr>
          <w:ilvl w:val="0"/>
          <w:numId w:val="28"/>
        </w:numPr>
        <w:ind w:left="567" w:right="-29" w:hanging="567"/>
        <w:rPr>
          <w:color w:val="000000"/>
          <w:sz w:val="22"/>
          <w:szCs w:val="22"/>
        </w:rPr>
      </w:pPr>
      <w:r w:rsidRPr="002D741C">
        <w:rPr>
          <w:sz w:val="22"/>
          <w:szCs w:val="22"/>
          <w:lang w:val="es-ES"/>
        </w:rPr>
        <w:t>Insuficiencia renal crónica</w:t>
      </w:r>
      <w:r w:rsidR="00355304" w:rsidRPr="002D741C">
        <w:rPr>
          <w:sz w:val="22"/>
          <w:szCs w:val="22"/>
          <w:lang w:val="es-ES"/>
        </w:rPr>
        <w:t>.</w:t>
      </w:r>
    </w:p>
    <w:p w14:paraId="60621C6A" w14:textId="77777777" w:rsidR="00EC72B7" w:rsidRPr="002D741C" w:rsidRDefault="009664E2" w:rsidP="009664E2">
      <w:pPr>
        <w:widowControl w:val="0"/>
        <w:numPr>
          <w:ilvl w:val="0"/>
          <w:numId w:val="28"/>
        </w:numPr>
        <w:ind w:left="567" w:right="-29" w:hanging="567"/>
        <w:rPr>
          <w:color w:val="000000"/>
          <w:sz w:val="22"/>
          <w:szCs w:val="22"/>
        </w:rPr>
      </w:pPr>
      <w:r w:rsidRPr="002D741C">
        <w:rPr>
          <w:color w:val="000000"/>
          <w:sz w:val="22"/>
          <w:szCs w:val="22"/>
        </w:rPr>
        <w:t>Recurrencia (reactivación) de la infección por el virus de la hepatitis B si ha tenido hepatitis B en el pasado (una infección del hígado).</w:t>
      </w:r>
    </w:p>
    <w:p w14:paraId="2EE8E760" w14:textId="77777777" w:rsidR="004E57AF" w:rsidRPr="002D741C" w:rsidRDefault="004E57AF" w:rsidP="00C45062">
      <w:pPr>
        <w:widowControl w:val="0"/>
        <w:ind w:right="-29"/>
        <w:rPr>
          <w:color w:val="000000"/>
          <w:sz w:val="22"/>
          <w:szCs w:val="22"/>
        </w:rPr>
      </w:pPr>
    </w:p>
    <w:p w14:paraId="380111B0" w14:textId="77777777" w:rsidR="00C45062" w:rsidRPr="002D741C" w:rsidRDefault="00C45062" w:rsidP="00C45062">
      <w:pPr>
        <w:widowControl w:val="0"/>
        <w:ind w:right="-29"/>
        <w:rPr>
          <w:b/>
          <w:color w:val="000000"/>
          <w:sz w:val="22"/>
          <w:szCs w:val="22"/>
        </w:rPr>
      </w:pPr>
      <w:r w:rsidRPr="002D741C">
        <w:rPr>
          <w:color w:val="000000"/>
          <w:sz w:val="22"/>
          <w:szCs w:val="22"/>
        </w:rPr>
        <w:t xml:space="preserve">Si sufre alguna de las alteraciones anteriores, </w:t>
      </w:r>
      <w:r w:rsidRPr="002D741C">
        <w:rPr>
          <w:b/>
          <w:color w:val="000000"/>
          <w:sz w:val="22"/>
          <w:szCs w:val="22"/>
        </w:rPr>
        <w:t>informe a su médico inmediatamente.</w:t>
      </w:r>
    </w:p>
    <w:p w14:paraId="1C104F2D" w14:textId="77777777" w:rsidR="00C45062" w:rsidRPr="002D741C" w:rsidRDefault="00C45062" w:rsidP="00C45062">
      <w:pPr>
        <w:widowControl w:val="0"/>
        <w:ind w:right="-29"/>
        <w:rPr>
          <w:color w:val="000000"/>
          <w:sz w:val="22"/>
          <w:szCs w:val="22"/>
        </w:rPr>
      </w:pPr>
    </w:p>
    <w:p w14:paraId="38BA3AB4" w14:textId="77777777" w:rsidR="00C45062" w:rsidRPr="002D741C" w:rsidRDefault="00C45062" w:rsidP="006662BC">
      <w:pPr>
        <w:keepNext/>
        <w:widowControl w:val="0"/>
        <w:numPr>
          <w:ilvl w:val="12"/>
          <w:numId w:val="0"/>
        </w:numPr>
        <w:ind w:right="-29"/>
        <w:rPr>
          <w:b/>
          <w:color w:val="000000"/>
          <w:sz w:val="22"/>
          <w:szCs w:val="22"/>
        </w:rPr>
      </w:pPr>
      <w:r w:rsidRPr="002D741C">
        <w:rPr>
          <w:b/>
          <w:color w:val="000000"/>
          <w:sz w:val="22"/>
          <w:szCs w:val="22"/>
        </w:rPr>
        <w:t>Otros efectos adversos pueden incluir:</w:t>
      </w:r>
    </w:p>
    <w:p w14:paraId="5B6ADE8F" w14:textId="77777777" w:rsidR="00C45062" w:rsidRPr="002D741C" w:rsidRDefault="00C45062" w:rsidP="006662BC">
      <w:pPr>
        <w:keepNext/>
        <w:widowControl w:val="0"/>
        <w:numPr>
          <w:ilvl w:val="12"/>
          <w:numId w:val="0"/>
        </w:numPr>
        <w:ind w:right="-29"/>
        <w:rPr>
          <w:color w:val="000000"/>
          <w:sz w:val="22"/>
          <w:szCs w:val="22"/>
        </w:rPr>
      </w:pPr>
    </w:p>
    <w:p w14:paraId="2DE9059E" w14:textId="77777777" w:rsidR="00C45062" w:rsidRPr="002D741C" w:rsidRDefault="00C45062" w:rsidP="006662BC">
      <w:pPr>
        <w:keepNext/>
        <w:widowControl w:val="0"/>
        <w:numPr>
          <w:ilvl w:val="12"/>
          <w:numId w:val="0"/>
        </w:numPr>
        <w:ind w:right="-29"/>
        <w:rPr>
          <w:color w:val="000000"/>
          <w:sz w:val="22"/>
          <w:szCs w:val="22"/>
        </w:rPr>
      </w:pPr>
      <w:r w:rsidRPr="002D741C">
        <w:rPr>
          <w:b/>
          <w:color w:val="000000"/>
          <w:sz w:val="22"/>
          <w:szCs w:val="22"/>
        </w:rPr>
        <w:t>Muy frecuentes</w:t>
      </w:r>
      <w:r w:rsidRPr="002D741C">
        <w:rPr>
          <w:color w:val="000000"/>
          <w:sz w:val="22"/>
          <w:szCs w:val="22"/>
        </w:rPr>
        <w:t xml:space="preserve"> (pueden afectar más de 1 de cada 10 personas):</w:t>
      </w:r>
    </w:p>
    <w:p w14:paraId="5F8946ED" w14:textId="77777777" w:rsidR="00C45062" w:rsidRPr="002D741C" w:rsidRDefault="00C45062" w:rsidP="00C45062">
      <w:pPr>
        <w:widowControl w:val="0"/>
        <w:numPr>
          <w:ilvl w:val="0"/>
          <w:numId w:val="22"/>
        </w:numPr>
        <w:tabs>
          <w:tab w:val="clear" w:pos="360"/>
        </w:tabs>
        <w:ind w:left="567" w:right="-29" w:hanging="567"/>
        <w:rPr>
          <w:color w:val="000000"/>
          <w:sz w:val="22"/>
          <w:szCs w:val="22"/>
        </w:rPr>
      </w:pPr>
      <w:r w:rsidRPr="002D741C">
        <w:rPr>
          <w:color w:val="000000"/>
          <w:sz w:val="22"/>
          <w:szCs w:val="22"/>
        </w:rPr>
        <w:t>Dolor de cabeza o sensación de cansancio</w:t>
      </w:r>
    </w:p>
    <w:p w14:paraId="3072EBB5" w14:textId="77777777" w:rsidR="00C45062" w:rsidRPr="002D741C" w:rsidRDefault="00C45062" w:rsidP="00C45062">
      <w:pPr>
        <w:widowControl w:val="0"/>
        <w:numPr>
          <w:ilvl w:val="0"/>
          <w:numId w:val="22"/>
        </w:numPr>
        <w:tabs>
          <w:tab w:val="clear" w:pos="360"/>
        </w:tabs>
        <w:ind w:left="567" w:right="-29" w:hanging="567"/>
        <w:rPr>
          <w:color w:val="000000"/>
          <w:sz w:val="22"/>
          <w:szCs w:val="22"/>
        </w:rPr>
      </w:pPr>
      <w:r w:rsidRPr="002D741C">
        <w:rPr>
          <w:color w:val="000000"/>
          <w:sz w:val="22"/>
          <w:szCs w:val="22"/>
        </w:rPr>
        <w:t>Náuseas, vómitos, diarrea o indigestión.</w:t>
      </w:r>
    </w:p>
    <w:p w14:paraId="43C95106" w14:textId="77777777" w:rsidR="00C45062" w:rsidRPr="002D741C" w:rsidRDefault="00C45062" w:rsidP="00C45062">
      <w:pPr>
        <w:widowControl w:val="0"/>
        <w:numPr>
          <w:ilvl w:val="0"/>
          <w:numId w:val="22"/>
        </w:numPr>
        <w:tabs>
          <w:tab w:val="clear" w:pos="360"/>
        </w:tabs>
        <w:ind w:left="567" w:right="-29" w:hanging="567"/>
        <w:rPr>
          <w:color w:val="000000"/>
          <w:sz w:val="22"/>
          <w:szCs w:val="22"/>
        </w:rPr>
      </w:pPr>
      <w:r w:rsidRPr="002D741C">
        <w:rPr>
          <w:color w:val="000000"/>
          <w:sz w:val="22"/>
          <w:szCs w:val="22"/>
        </w:rPr>
        <w:t>Erupción.</w:t>
      </w:r>
    </w:p>
    <w:p w14:paraId="1D363DF4" w14:textId="77777777" w:rsidR="00C45062" w:rsidRPr="002D741C" w:rsidRDefault="00C45062" w:rsidP="00A56B0C">
      <w:pPr>
        <w:widowControl w:val="0"/>
        <w:numPr>
          <w:ilvl w:val="0"/>
          <w:numId w:val="22"/>
        </w:numPr>
        <w:tabs>
          <w:tab w:val="clear" w:pos="360"/>
        </w:tabs>
        <w:ind w:left="567" w:right="-29" w:hanging="567"/>
        <w:rPr>
          <w:color w:val="000000"/>
          <w:sz w:val="22"/>
          <w:szCs w:val="22"/>
        </w:rPr>
      </w:pPr>
      <w:r w:rsidRPr="002D741C">
        <w:rPr>
          <w:color w:val="000000"/>
          <w:sz w:val="22"/>
          <w:szCs w:val="22"/>
        </w:rPr>
        <w:t>Calambres musculares o dolor en las articulaciones, músculos o huesos</w:t>
      </w:r>
      <w:r w:rsidR="00542B0E" w:rsidRPr="002D741C">
        <w:rPr>
          <w:color w:val="000000"/>
          <w:sz w:val="22"/>
          <w:szCs w:val="22"/>
        </w:rPr>
        <w:t xml:space="preserve">, </w:t>
      </w:r>
      <w:r w:rsidR="00186C4D" w:rsidRPr="002D741C">
        <w:rPr>
          <w:color w:val="000000"/>
          <w:sz w:val="22"/>
          <w:szCs w:val="22"/>
        </w:rPr>
        <w:t>durante el tratamiento con Glivec o al interrumpir el tratamiento</w:t>
      </w:r>
      <w:r w:rsidRPr="002D741C">
        <w:rPr>
          <w:color w:val="000000"/>
          <w:sz w:val="22"/>
          <w:szCs w:val="22"/>
        </w:rPr>
        <w:t>.</w:t>
      </w:r>
    </w:p>
    <w:p w14:paraId="44F38D43" w14:textId="77777777" w:rsidR="00C45062" w:rsidRPr="002D741C" w:rsidRDefault="00C45062" w:rsidP="00C45062">
      <w:pPr>
        <w:widowControl w:val="0"/>
        <w:numPr>
          <w:ilvl w:val="0"/>
          <w:numId w:val="22"/>
        </w:numPr>
        <w:tabs>
          <w:tab w:val="clear" w:pos="360"/>
        </w:tabs>
        <w:ind w:left="567" w:right="-29" w:hanging="567"/>
        <w:rPr>
          <w:color w:val="000000"/>
          <w:sz w:val="22"/>
          <w:szCs w:val="22"/>
        </w:rPr>
      </w:pPr>
      <w:r w:rsidRPr="002D741C">
        <w:rPr>
          <w:color w:val="000000"/>
          <w:sz w:val="22"/>
          <w:szCs w:val="22"/>
        </w:rPr>
        <w:t>Inflamaciones tales como tobillos u ojos hinchados.</w:t>
      </w:r>
    </w:p>
    <w:p w14:paraId="4E7F1217" w14:textId="77777777" w:rsidR="00C45062" w:rsidRPr="002D741C" w:rsidRDefault="00C45062" w:rsidP="006662BC">
      <w:pPr>
        <w:keepNext/>
        <w:widowControl w:val="0"/>
        <w:numPr>
          <w:ilvl w:val="0"/>
          <w:numId w:val="22"/>
        </w:numPr>
        <w:tabs>
          <w:tab w:val="clear" w:pos="360"/>
        </w:tabs>
        <w:ind w:left="567" w:right="-29" w:hanging="567"/>
        <w:rPr>
          <w:color w:val="000000"/>
          <w:sz w:val="22"/>
          <w:szCs w:val="22"/>
        </w:rPr>
      </w:pPr>
      <w:r w:rsidRPr="002D741C">
        <w:rPr>
          <w:color w:val="000000"/>
          <w:sz w:val="22"/>
          <w:szCs w:val="22"/>
        </w:rPr>
        <w:t>Aumento de peso.</w:t>
      </w:r>
    </w:p>
    <w:p w14:paraId="7BE5D285" w14:textId="77777777" w:rsidR="00C45062" w:rsidRPr="002D741C" w:rsidRDefault="00C45062" w:rsidP="00C45062">
      <w:pPr>
        <w:widowControl w:val="0"/>
        <w:numPr>
          <w:ilvl w:val="12"/>
          <w:numId w:val="0"/>
        </w:numPr>
        <w:ind w:right="-29"/>
        <w:rPr>
          <w:color w:val="000000"/>
          <w:sz w:val="22"/>
          <w:szCs w:val="22"/>
        </w:rPr>
      </w:pPr>
      <w:r w:rsidRPr="002D741C">
        <w:rPr>
          <w:color w:val="000000"/>
          <w:sz w:val="22"/>
          <w:szCs w:val="22"/>
        </w:rPr>
        <w:t xml:space="preserve">Si alguno de estos le afecta de forma importante, </w:t>
      </w:r>
      <w:r w:rsidRPr="002D741C">
        <w:rPr>
          <w:b/>
          <w:color w:val="000000"/>
          <w:sz w:val="22"/>
          <w:szCs w:val="22"/>
        </w:rPr>
        <w:t>informe a su médico</w:t>
      </w:r>
      <w:r w:rsidRPr="002D741C">
        <w:rPr>
          <w:color w:val="000000"/>
          <w:sz w:val="22"/>
          <w:szCs w:val="22"/>
        </w:rPr>
        <w:t>.</w:t>
      </w:r>
    </w:p>
    <w:p w14:paraId="3ACA342C" w14:textId="77777777" w:rsidR="00C45062" w:rsidRPr="002D741C" w:rsidRDefault="00C45062" w:rsidP="00C45062">
      <w:pPr>
        <w:widowControl w:val="0"/>
        <w:numPr>
          <w:ilvl w:val="12"/>
          <w:numId w:val="0"/>
        </w:numPr>
        <w:ind w:right="-29"/>
        <w:rPr>
          <w:color w:val="000000"/>
          <w:sz w:val="22"/>
          <w:szCs w:val="22"/>
        </w:rPr>
      </w:pPr>
    </w:p>
    <w:p w14:paraId="7A405F90" w14:textId="77777777" w:rsidR="00C45062" w:rsidRPr="002D741C" w:rsidRDefault="00C45062" w:rsidP="006662BC">
      <w:pPr>
        <w:keepNext/>
        <w:widowControl w:val="0"/>
        <w:numPr>
          <w:ilvl w:val="12"/>
          <w:numId w:val="0"/>
        </w:numPr>
        <w:ind w:right="-29"/>
        <w:rPr>
          <w:b/>
          <w:color w:val="000000"/>
          <w:sz w:val="22"/>
          <w:szCs w:val="22"/>
        </w:rPr>
      </w:pPr>
      <w:r w:rsidRPr="002D741C">
        <w:rPr>
          <w:b/>
          <w:color w:val="000000"/>
          <w:sz w:val="22"/>
          <w:szCs w:val="22"/>
        </w:rPr>
        <w:t>Frecuentes</w:t>
      </w:r>
      <w:r w:rsidRPr="002D741C">
        <w:rPr>
          <w:color w:val="000000"/>
          <w:sz w:val="22"/>
          <w:szCs w:val="22"/>
        </w:rPr>
        <w:t xml:space="preserve"> (pueden afectar hasta 1 de cada 10 personas)</w:t>
      </w:r>
      <w:r w:rsidRPr="002D741C">
        <w:rPr>
          <w:b/>
          <w:color w:val="000000"/>
          <w:sz w:val="22"/>
          <w:szCs w:val="22"/>
        </w:rPr>
        <w:t>:</w:t>
      </w:r>
    </w:p>
    <w:p w14:paraId="129F0084" w14:textId="77777777" w:rsidR="00C45062" w:rsidRPr="002D741C" w:rsidRDefault="00C45062" w:rsidP="00C45062">
      <w:pPr>
        <w:widowControl w:val="0"/>
        <w:numPr>
          <w:ilvl w:val="0"/>
          <w:numId w:val="23"/>
        </w:numPr>
        <w:tabs>
          <w:tab w:val="clear" w:pos="720"/>
        </w:tabs>
        <w:ind w:left="567" w:right="-29" w:hanging="567"/>
        <w:rPr>
          <w:color w:val="000000"/>
          <w:sz w:val="22"/>
          <w:szCs w:val="22"/>
        </w:rPr>
      </w:pPr>
      <w:r w:rsidRPr="002D741C">
        <w:rPr>
          <w:color w:val="000000"/>
          <w:sz w:val="22"/>
          <w:szCs w:val="22"/>
        </w:rPr>
        <w:t>Anorexia, disminución de peso o alteración del sentido del gusto.</w:t>
      </w:r>
    </w:p>
    <w:p w14:paraId="78E37C53" w14:textId="77777777" w:rsidR="00C45062" w:rsidRPr="002D741C" w:rsidRDefault="00C45062" w:rsidP="00C45062">
      <w:pPr>
        <w:widowControl w:val="0"/>
        <w:numPr>
          <w:ilvl w:val="0"/>
          <w:numId w:val="23"/>
        </w:numPr>
        <w:tabs>
          <w:tab w:val="clear" w:pos="720"/>
        </w:tabs>
        <w:ind w:left="567" w:right="-29" w:hanging="567"/>
        <w:rPr>
          <w:color w:val="000000"/>
          <w:sz w:val="22"/>
          <w:szCs w:val="22"/>
        </w:rPr>
      </w:pPr>
      <w:r w:rsidRPr="002D741C">
        <w:rPr>
          <w:color w:val="000000"/>
          <w:sz w:val="22"/>
          <w:szCs w:val="22"/>
        </w:rPr>
        <w:t>Sensación de cansancio o debilidad.</w:t>
      </w:r>
    </w:p>
    <w:p w14:paraId="4A257B15" w14:textId="77777777" w:rsidR="00C45062" w:rsidRPr="002D741C" w:rsidRDefault="00C45062" w:rsidP="00C45062">
      <w:pPr>
        <w:widowControl w:val="0"/>
        <w:numPr>
          <w:ilvl w:val="0"/>
          <w:numId w:val="23"/>
        </w:numPr>
        <w:tabs>
          <w:tab w:val="clear" w:pos="720"/>
        </w:tabs>
        <w:ind w:left="567" w:right="-29" w:hanging="567"/>
        <w:rPr>
          <w:color w:val="000000"/>
          <w:sz w:val="22"/>
          <w:szCs w:val="22"/>
        </w:rPr>
      </w:pPr>
      <w:r w:rsidRPr="002D741C">
        <w:rPr>
          <w:color w:val="000000"/>
          <w:sz w:val="22"/>
          <w:szCs w:val="22"/>
        </w:rPr>
        <w:t>Dificultad para dormir (insomnio).</w:t>
      </w:r>
    </w:p>
    <w:p w14:paraId="1AEFA315" w14:textId="77777777" w:rsidR="00C45062" w:rsidRPr="002D741C" w:rsidRDefault="00C45062" w:rsidP="00C45062">
      <w:pPr>
        <w:widowControl w:val="0"/>
        <w:numPr>
          <w:ilvl w:val="0"/>
          <w:numId w:val="23"/>
        </w:numPr>
        <w:tabs>
          <w:tab w:val="clear" w:pos="720"/>
        </w:tabs>
        <w:ind w:left="567" w:right="-29" w:hanging="567"/>
        <w:rPr>
          <w:color w:val="000000"/>
          <w:sz w:val="22"/>
          <w:szCs w:val="22"/>
        </w:rPr>
      </w:pPr>
      <w:r w:rsidRPr="002D741C">
        <w:rPr>
          <w:color w:val="000000"/>
          <w:sz w:val="22"/>
          <w:szCs w:val="22"/>
        </w:rPr>
        <w:t>Lagrimeo de los ojos con picor, enrojecimiento e hinchazón (conjuntivitis), ojos llorosos o visión borrosa.</w:t>
      </w:r>
    </w:p>
    <w:p w14:paraId="765016EC" w14:textId="77777777" w:rsidR="00C45062" w:rsidRPr="002D741C" w:rsidRDefault="00C45062" w:rsidP="00C45062">
      <w:pPr>
        <w:widowControl w:val="0"/>
        <w:numPr>
          <w:ilvl w:val="0"/>
          <w:numId w:val="23"/>
        </w:numPr>
        <w:tabs>
          <w:tab w:val="clear" w:pos="720"/>
        </w:tabs>
        <w:ind w:left="567" w:right="-29" w:hanging="567"/>
        <w:rPr>
          <w:color w:val="000000"/>
          <w:sz w:val="22"/>
          <w:szCs w:val="22"/>
        </w:rPr>
      </w:pPr>
      <w:r w:rsidRPr="002D741C">
        <w:rPr>
          <w:color w:val="000000"/>
          <w:sz w:val="22"/>
          <w:szCs w:val="22"/>
        </w:rPr>
        <w:t>Sangrado de la nariz.</w:t>
      </w:r>
    </w:p>
    <w:p w14:paraId="798C41B5" w14:textId="77777777" w:rsidR="00C45062" w:rsidRPr="002D741C" w:rsidRDefault="00C45062" w:rsidP="00C45062">
      <w:pPr>
        <w:widowControl w:val="0"/>
        <w:numPr>
          <w:ilvl w:val="0"/>
          <w:numId w:val="23"/>
        </w:numPr>
        <w:tabs>
          <w:tab w:val="clear" w:pos="720"/>
        </w:tabs>
        <w:ind w:left="567" w:right="-29" w:hanging="567"/>
        <w:rPr>
          <w:color w:val="000000"/>
          <w:sz w:val="22"/>
          <w:szCs w:val="22"/>
        </w:rPr>
      </w:pPr>
      <w:r w:rsidRPr="002D741C">
        <w:rPr>
          <w:color w:val="000000"/>
          <w:sz w:val="22"/>
          <w:szCs w:val="22"/>
        </w:rPr>
        <w:t>Dolor o hinchazón en el abdomen, flatulencia, ardor de estómago o estreñimiento.</w:t>
      </w:r>
    </w:p>
    <w:p w14:paraId="14C1C534" w14:textId="77777777" w:rsidR="00C45062" w:rsidRPr="002D741C" w:rsidRDefault="00C45062" w:rsidP="00C45062">
      <w:pPr>
        <w:widowControl w:val="0"/>
        <w:numPr>
          <w:ilvl w:val="0"/>
          <w:numId w:val="23"/>
        </w:numPr>
        <w:tabs>
          <w:tab w:val="clear" w:pos="720"/>
        </w:tabs>
        <w:ind w:left="567" w:right="-29" w:hanging="567"/>
        <w:rPr>
          <w:color w:val="000000"/>
          <w:sz w:val="22"/>
          <w:szCs w:val="22"/>
        </w:rPr>
      </w:pPr>
      <w:r w:rsidRPr="002D741C">
        <w:rPr>
          <w:color w:val="000000"/>
          <w:sz w:val="22"/>
          <w:szCs w:val="22"/>
        </w:rPr>
        <w:t>Picor.</w:t>
      </w:r>
    </w:p>
    <w:p w14:paraId="68B70686" w14:textId="77777777" w:rsidR="00C45062" w:rsidRPr="002D741C" w:rsidRDefault="00C45062" w:rsidP="00C45062">
      <w:pPr>
        <w:widowControl w:val="0"/>
        <w:numPr>
          <w:ilvl w:val="0"/>
          <w:numId w:val="23"/>
        </w:numPr>
        <w:tabs>
          <w:tab w:val="clear" w:pos="720"/>
        </w:tabs>
        <w:ind w:left="567" w:right="-29" w:hanging="567"/>
        <w:rPr>
          <w:color w:val="000000"/>
          <w:sz w:val="22"/>
          <w:szCs w:val="22"/>
        </w:rPr>
      </w:pPr>
      <w:r w:rsidRPr="002D741C">
        <w:rPr>
          <w:color w:val="000000"/>
          <w:sz w:val="22"/>
          <w:szCs w:val="22"/>
        </w:rPr>
        <w:t>Debilitamiento o pérdida inusual de cabello.</w:t>
      </w:r>
    </w:p>
    <w:p w14:paraId="50822A14" w14:textId="77777777" w:rsidR="00C45062" w:rsidRPr="002D741C" w:rsidRDefault="00C45062" w:rsidP="00C45062">
      <w:pPr>
        <w:widowControl w:val="0"/>
        <w:numPr>
          <w:ilvl w:val="0"/>
          <w:numId w:val="23"/>
        </w:numPr>
        <w:tabs>
          <w:tab w:val="clear" w:pos="720"/>
        </w:tabs>
        <w:ind w:left="567" w:right="-29" w:hanging="567"/>
        <w:rPr>
          <w:color w:val="000000"/>
          <w:sz w:val="22"/>
          <w:szCs w:val="22"/>
        </w:rPr>
      </w:pPr>
      <w:r w:rsidRPr="002D741C">
        <w:rPr>
          <w:color w:val="000000"/>
          <w:sz w:val="22"/>
          <w:szCs w:val="22"/>
        </w:rPr>
        <w:t>Adormecimiento de las manos o los pies.</w:t>
      </w:r>
    </w:p>
    <w:p w14:paraId="2C953495" w14:textId="77777777" w:rsidR="00C45062" w:rsidRPr="002D741C" w:rsidRDefault="00C45062" w:rsidP="00C45062">
      <w:pPr>
        <w:widowControl w:val="0"/>
        <w:numPr>
          <w:ilvl w:val="0"/>
          <w:numId w:val="23"/>
        </w:numPr>
        <w:tabs>
          <w:tab w:val="clear" w:pos="720"/>
        </w:tabs>
        <w:ind w:left="567" w:right="-29" w:hanging="567"/>
        <w:rPr>
          <w:color w:val="000000"/>
          <w:sz w:val="22"/>
          <w:szCs w:val="22"/>
        </w:rPr>
      </w:pPr>
      <w:r w:rsidRPr="002D741C">
        <w:rPr>
          <w:color w:val="000000"/>
          <w:sz w:val="22"/>
          <w:szCs w:val="22"/>
        </w:rPr>
        <w:t>Úlceras en la boca.</w:t>
      </w:r>
    </w:p>
    <w:p w14:paraId="730F0082" w14:textId="77777777" w:rsidR="00C45062" w:rsidRPr="002D741C" w:rsidRDefault="00C45062" w:rsidP="00C45062">
      <w:pPr>
        <w:widowControl w:val="0"/>
        <w:numPr>
          <w:ilvl w:val="0"/>
          <w:numId w:val="23"/>
        </w:numPr>
        <w:tabs>
          <w:tab w:val="clear" w:pos="720"/>
        </w:tabs>
        <w:ind w:left="567" w:right="-29" w:hanging="567"/>
        <w:rPr>
          <w:color w:val="000000"/>
          <w:sz w:val="22"/>
          <w:szCs w:val="22"/>
        </w:rPr>
      </w:pPr>
      <w:r w:rsidRPr="002D741C">
        <w:rPr>
          <w:color w:val="000000"/>
          <w:sz w:val="22"/>
          <w:szCs w:val="22"/>
        </w:rPr>
        <w:t>Dolor en las articulaciones con hinchazón.</w:t>
      </w:r>
    </w:p>
    <w:p w14:paraId="219366E7" w14:textId="77777777" w:rsidR="00C45062" w:rsidRPr="002D741C" w:rsidRDefault="00C45062" w:rsidP="00C45062">
      <w:pPr>
        <w:widowControl w:val="0"/>
        <w:numPr>
          <w:ilvl w:val="0"/>
          <w:numId w:val="23"/>
        </w:numPr>
        <w:tabs>
          <w:tab w:val="clear" w:pos="720"/>
        </w:tabs>
        <w:ind w:left="567" w:right="-29" w:hanging="567"/>
        <w:rPr>
          <w:color w:val="000000"/>
          <w:sz w:val="22"/>
          <w:szCs w:val="22"/>
        </w:rPr>
      </w:pPr>
      <w:r w:rsidRPr="002D741C">
        <w:rPr>
          <w:color w:val="000000"/>
          <w:sz w:val="22"/>
          <w:szCs w:val="22"/>
        </w:rPr>
        <w:t>Boca seca, sequedad de la piel o sequedad de los ojos.</w:t>
      </w:r>
    </w:p>
    <w:p w14:paraId="2EDF6025" w14:textId="77777777" w:rsidR="00C45062" w:rsidRPr="002D741C" w:rsidRDefault="00C45062" w:rsidP="00C45062">
      <w:pPr>
        <w:widowControl w:val="0"/>
        <w:numPr>
          <w:ilvl w:val="0"/>
          <w:numId w:val="23"/>
        </w:numPr>
        <w:tabs>
          <w:tab w:val="clear" w:pos="720"/>
        </w:tabs>
        <w:ind w:left="567" w:right="-29" w:hanging="567"/>
        <w:rPr>
          <w:color w:val="000000"/>
          <w:sz w:val="22"/>
          <w:szCs w:val="22"/>
        </w:rPr>
      </w:pPr>
      <w:r w:rsidRPr="002D741C">
        <w:rPr>
          <w:color w:val="000000"/>
          <w:sz w:val="22"/>
          <w:szCs w:val="22"/>
        </w:rPr>
        <w:t>Disminución o aumento de la sensibilidad de la piel.</w:t>
      </w:r>
    </w:p>
    <w:p w14:paraId="4A783612" w14:textId="77777777" w:rsidR="00C45062" w:rsidRPr="002D741C" w:rsidRDefault="00C45062" w:rsidP="006662BC">
      <w:pPr>
        <w:keepNext/>
        <w:widowControl w:val="0"/>
        <w:numPr>
          <w:ilvl w:val="0"/>
          <w:numId w:val="23"/>
        </w:numPr>
        <w:tabs>
          <w:tab w:val="clear" w:pos="720"/>
        </w:tabs>
        <w:ind w:left="567" w:right="-29" w:hanging="567"/>
        <w:rPr>
          <w:color w:val="000000"/>
          <w:sz w:val="22"/>
          <w:szCs w:val="22"/>
        </w:rPr>
      </w:pPr>
      <w:r w:rsidRPr="002D741C">
        <w:rPr>
          <w:color w:val="000000"/>
          <w:sz w:val="22"/>
          <w:szCs w:val="22"/>
        </w:rPr>
        <w:t>Sofocos, escalofríos o sudores nocturnos.</w:t>
      </w:r>
    </w:p>
    <w:p w14:paraId="00BF2716" w14:textId="77777777" w:rsidR="00C45062" w:rsidRPr="002D741C" w:rsidRDefault="00C45062" w:rsidP="00C45062">
      <w:pPr>
        <w:widowControl w:val="0"/>
        <w:numPr>
          <w:ilvl w:val="12"/>
          <w:numId w:val="0"/>
        </w:numPr>
        <w:ind w:right="-2"/>
        <w:rPr>
          <w:color w:val="000000"/>
          <w:sz w:val="22"/>
          <w:szCs w:val="22"/>
        </w:rPr>
      </w:pPr>
      <w:r w:rsidRPr="002D741C">
        <w:rPr>
          <w:color w:val="000000"/>
          <w:sz w:val="22"/>
          <w:szCs w:val="22"/>
        </w:rPr>
        <w:t xml:space="preserve">Si alguno de estos le afecta de forma importante, </w:t>
      </w:r>
      <w:r w:rsidRPr="002D741C">
        <w:rPr>
          <w:b/>
          <w:color w:val="000000"/>
          <w:sz w:val="22"/>
          <w:szCs w:val="22"/>
        </w:rPr>
        <w:t>consulte a su médico.</w:t>
      </w:r>
    </w:p>
    <w:p w14:paraId="404B229A" w14:textId="77777777" w:rsidR="00C45062" w:rsidRPr="002D741C" w:rsidRDefault="00C45062" w:rsidP="00C45062">
      <w:pPr>
        <w:widowControl w:val="0"/>
        <w:numPr>
          <w:ilvl w:val="12"/>
          <w:numId w:val="0"/>
        </w:numPr>
        <w:ind w:right="-2"/>
        <w:rPr>
          <w:color w:val="000000"/>
          <w:sz w:val="22"/>
          <w:szCs w:val="22"/>
        </w:rPr>
      </w:pPr>
    </w:p>
    <w:p w14:paraId="1D7B3CD9" w14:textId="77777777" w:rsidR="00C45062" w:rsidRPr="002D741C" w:rsidRDefault="00C45062" w:rsidP="006662BC">
      <w:pPr>
        <w:keepNext/>
        <w:widowControl w:val="0"/>
        <w:numPr>
          <w:ilvl w:val="12"/>
          <w:numId w:val="0"/>
        </w:numPr>
        <w:ind w:right="-2"/>
        <w:rPr>
          <w:b/>
          <w:color w:val="000000"/>
          <w:sz w:val="22"/>
          <w:szCs w:val="22"/>
        </w:rPr>
      </w:pPr>
      <w:r w:rsidRPr="002D741C">
        <w:rPr>
          <w:b/>
          <w:color w:val="000000"/>
          <w:sz w:val="22"/>
          <w:szCs w:val="22"/>
        </w:rPr>
        <w:t>Frecuencia no conocida</w:t>
      </w:r>
      <w:r w:rsidRPr="002D741C">
        <w:rPr>
          <w:color w:val="000000"/>
          <w:sz w:val="22"/>
          <w:szCs w:val="22"/>
        </w:rPr>
        <w:t xml:space="preserve"> (no se puede estimar la frecuencia a partir de los datos disponibles):</w:t>
      </w:r>
    </w:p>
    <w:p w14:paraId="1BDA1A0A" w14:textId="77777777" w:rsidR="00C45062" w:rsidRPr="002D741C" w:rsidRDefault="00C45062" w:rsidP="00C45062">
      <w:pPr>
        <w:widowControl w:val="0"/>
        <w:numPr>
          <w:ilvl w:val="0"/>
          <w:numId w:val="24"/>
        </w:numPr>
        <w:tabs>
          <w:tab w:val="clear" w:pos="720"/>
          <w:tab w:val="num" w:pos="-7088"/>
        </w:tabs>
        <w:ind w:left="567" w:right="-2" w:hanging="567"/>
        <w:rPr>
          <w:color w:val="000000"/>
          <w:sz w:val="22"/>
          <w:szCs w:val="22"/>
        </w:rPr>
      </w:pPr>
      <w:r w:rsidRPr="002D741C">
        <w:rPr>
          <w:color w:val="000000"/>
          <w:sz w:val="22"/>
          <w:szCs w:val="22"/>
        </w:rPr>
        <w:t>Enrojecimiento y/o hinchazón de las palmas de las manos y las plantas de los pies que puede ir acompañado por sensación de hormigueo y dolor abrasante.</w:t>
      </w:r>
    </w:p>
    <w:p w14:paraId="1925B6DF" w14:textId="77777777" w:rsidR="00C232A0" w:rsidRPr="002D741C" w:rsidRDefault="00C232A0" w:rsidP="00C232A0">
      <w:pPr>
        <w:widowControl w:val="0"/>
        <w:numPr>
          <w:ilvl w:val="0"/>
          <w:numId w:val="24"/>
        </w:numPr>
        <w:tabs>
          <w:tab w:val="clear" w:pos="720"/>
          <w:tab w:val="num" w:pos="-7088"/>
        </w:tabs>
        <w:ind w:left="567" w:right="-2" w:hanging="567"/>
        <w:rPr>
          <w:color w:val="000000"/>
          <w:sz w:val="22"/>
          <w:szCs w:val="22"/>
        </w:rPr>
      </w:pPr>
      <w:r w:rsidRPr="002D741C">
        <w:rPr>
          <w:color w:val="000000"/>
          <w:sz w:val="22"/>
          <w:szCs w:val="22"/>
        </w:rPr>
        <w:t xml:space="preserve">Lesiones en la piel </w:t>
      </w:r>
      <w:r w:rsidR="00E756A2" w:rsidRPr="002D741C">
        <w:rPr>
          <w:color w:val="000000"/>
          <w:sz w:val="22"/>
          <w:szCs w:val="22"/>
        </w:rPr>
        <w:t xml:space="preserve">dolorosas y/o </w:t>
      </w:r>
      <w:r w:rsidRPr="002D741C">
        <w:rPr>
          <w:color w:val="000000"/>
          <w:sz w:val="22"/>
          <w:szCs w:val="22"/>
        </w:rPr>
        <w:t>con ampollas</w:t>
      </w:r>
    </w:p>
    <w:p w14:paraId="56E53631" w14:textId="77777777" w:rsidR="00C45062" w:rsidRPr="002D741C" w:rsidRDefault="00C45062" w:rsidP="006662BC">
      <w:pPr>
        <w:keepNext/>
        <w:widowControl w:val="0"/>
        <w:numPr>
          <w:ilvl w:val="0"/>
          <w:numId w:val="24"/>
        </w:numPr>
        <w:tabs>
          <w:tab w:val="clear" w:pos="720"/>
          <w:tab w:val="num" w:pos="-7088"/>
        </w:tabs>
        <w:ind w:left="567" w:right="-2" w:hanging="567"/>
        <w:rPr>
          <w:color w:val="000000"/>
          <w:sz w:val="22"/>
          <w:szCs w:val="22"/>
        </w:rPr>
      </w:pPr>
      <w:r w:rsidRPr="002D741C">
        <w:rPr>
          <w:color w:val="000000"/>
          <w:sz w:val="22"/>
          <w:szCs w:val="22"/>
        </w:rPr>
        <w:t>Retraso en el crecimiento de niños y adolescentes.</w:t>
      </w:r>
    </w:p>
    <w:p w14:paraId="325CE3F2" w14:textId="77777777" w:rsidR="00C45062" w:rsidRPr="002D741C" w:rsidRDefault="00C45062" w:rsidP="00C45062">
      <w:pPr>
        <w:widowControl w:val="0"/>
        <w:numPr>
          <w:ilvl w:val="12"/>
          <w:numId w:val="0"/>
        </w:numPr>
        <w:ind w:right="-2"/>
        <w:rPr>
          <w:color w:val="000000"/>
          <w:sz w:val="22"/>
          <w:szCs w:val="22"/>
        </w:rPr>
      </w:pPr>
      <w:r w:rsidRPr="002D741C">
        <w:rPr>
          <w:color w:val="000000"/>
          <w:sz w:val="22"/>
          <w:szCs w:val="22"/>
        </w:rPr>
        <w:t xml:space="preserve">Si alguno de estos le afecta de forma importante, </w:t>
      </w:r>
      <w:r w:rsidRPr="002D741C">
        <w:rPr>
          <w:b/>
          <w:color w:val="000000"/>
          <w:sz w:val="22"/>
          <w:szCs w:val="22"/>
        </w:rPr>
        <w:t>consulte a su médico.</w:t>
      </w:r>
    </w:p>
    <w:p w14:paraId="30A19534" w14:textId="77777777" w:rsidR="00C45062" w:rsidRPr="002D741C" w:rsidRDefault="00C45062" w:rsidP="00C45062">
      <w:pPr>
        <w:widowControl w:val="0"/>
        <w:ind w:right="-2"/>
        <w:rPr>
          <w:color w:val="000000"/>
          <w:sz w:val="22"/>
          <w:szCs w:val="22"/>
        </w:rPr>
      </w:pPr>
    </w:p>
    <w:p w14:paraId="41E5C102" w14:textId="77777777" w:rsidR="00C45062" w:rsidRPr="002D741C" w:rsidRDefault="00C45062" w:rsidP="006662BC">
      <w:pPr>
        <w:keepNext/>
        <w:widowControl w:val="0"/>
        <w:rPr>
          <w:b/>
          <w:color w:val="000000"/>
          <w:sz w:val="22"/>
          <w:szCs w:val="22"/>
        </w:rPr>
      </w:pPr>
      <w:r w:rsidRPr="002D741C">
        <w:rPr>
          <w:b/>
          <w:color w:val="000000"/>
          <w:sz w:val="22"/>
          <w:szCs w:val="22"/>
        </w:rPr>
        <w:t>Comunicación de efectos adversos</w:t>
      </w:r>
    </w:p>
    <w:p w14:paraId="262A50C1" w14:textId="77777777" w:rsidR="00C45062" w:rsidRPr="002D741C" w:rsidRDefault="00C45062" w:rsidP="00C45062">
      <w:pPr>
        <w:widowControl w:val="0"/>
        <w:ind w:right="-2"/>
        <w:rPr>
          <w:color w:val="000000"/>
          <w:sz w:val="22"/>
          <w:szCs w:val="22"/>
        </w:rPr>
      </w:pPr>
      <w:r w:rsidRPr="002D741C">
        <w:rPr>
          <w:color w:val="000000"/>
          <w:sz w:val="22"/>
          <w:szCs w:val="22"/>
        </w:rPr>
        <w:t xml:space="preserve">Si experimenta cualquier tipo de efecto adverso, consulte a su médico, farmacéutico o enfermero, incluso si se trata de posibles efectos adversos que no aparecen en este prospecto. </w:t>
      </w:r>
      <w:r w:rsidR="00A56B0C" w:rsidRPr="002D741C">
        <w:rPr>
          <w:sz w:val="22"/>
        </w:rPr>
        <w:t xml:space="preserve">También puede comunicarlos directamente a través del </w:t>
      </w:r>
      <w:r w:rsidR="00A56B0C" w:rsidRPr="002D741C">
        <w:rPr>
          <w:sz w:val="22"/>
          <w:shd w:val="pct15" w:color="auto" w:fill="auto"/>
        </w:rPr>
        <w:t xml:space="preserve">sistema nacional de notificación incluido en el </w:t>
      </w:r>
      <w:hyperlink r:id="rId16">
        <w:r w:rsidR="00A56B0C" w:rsidRPr="002D741C">
          <w:rPr>
            <w:color w:val="0000FF"/>
            <w:sz w:val="22"/>
            <w:szCs w:val="22"/>
            <w:shd w:val="pct15" w:color="auto" w:fill="auto"/>
          </w:rPr>
          <w:t>Apéndice V</w:t>
        </w:r>
      </w:hyperlink>
      <w:r w:rsidRPr="002D741C">
        <w:rPr>
          <w:color w:val="000000"/>
          <w:sz w:val="22"/>
          <w:szCs w:val="22"/>
        </w:rPr>
        <w:t>. Mediante la comunicación de efectos adversos usted puede contribuir a proporcionar más información sobre la seguridad de este medicamento.</w:t>
      </w:r>
    </w:p>
    <w:p w14:paraId="4068CC96" w14:textId="77777777" w:rsidR="00C45062" w:rsidRPr="002D741C" w:rsidRDefault="00C45062" w:rsidP="00C45062">
      <w:pPr>
        <w:widowControl w:val="0"/>
        <w:numPr>
          <w:ilvl w:val="12"/>
          <w:numId w:val="0"/>
        </w:numPr>
        <w:ind w:right="-2"/>
        <w:rPr>
          <w:color w:val="000000"/>
          <w:sz w:val="22"/>
          <w:szCs w:val="22"/>
        </w:rPr>
      </w:pPr>
    </w:p>
    <w:p w14:paraId="0F7D737B" w14:textId="77777777" w:rsidR="00C45062" w:rsidRPr="002D741C" w:rsidRDefault="00C45062" w:rsidP="00C45062">
      <w:pPr>
        <w:widowControl w:val="0"/>
        <w:numPr>
          <w:ilvl w:val="12"/>
          <w:numId w:val="0"/>
        </w:numPr>
        <w:ind w:right="-2"/>
        <w:rPr>
          <w:color w:val="000000"/>
          <w:sz w:val="22"/>
          <w:szCs w:val="22"/>
        </w:rPr>
      </w:pPr>
    </w:p>
    <w:p w14:paraId="5AC3F91E" w14:textId="77777777" w:rsidR="00D938DC" w:rsidRPr="002D741C" w:rsidRDefault="00D938DC" w:rsidP="006662BC">
      <w:pPr>
        <w:keepNext/>
        <w:widowControl w:val="0"/>
        <w:numPr>
          <w:ilvl w:val="12"/>
          <w:numId w:val="0"/>
        </w:numPr>
        <w:ind w:left="567" w:right="-2" w:hanging="567"/>
        <w:rPr>
          <w:color w:val="000000"/>
          <w:sz w:val="22"/>
          <w:szCs w:val="22"/>
        </w:rPr>
      </w:pPr>
      <w:r w:rsidRPr="002D741C">
        <w:rPr>
          <w:b/>
          <w:color w:val="000000"/>
          <w:sz w:val="22"/>
          <w:szCs w:val="22"/>
        </w:rPr>
        <w:t>5.</w:t>
      </w:r>
      <w:r w:rsidRPr="002D741C">
        <w:rPr>
          <w:b/>
          <w:color w:val="000000"/>
          <w:sz w:val="22"/>
          <w:szCs w:val="22"/>
        </w:rPr>
        <w:tab/>
        <w:t>Conservación de Glivec</w:t>
      </w:r>
    </w:p>
    <w:p w14:paraId="2B38E006" w14:textId="77777777" w:rsidR="00D938DC" w:rsidRPr="002D741C" w:rsidRDefault="00D938DC" w:rsidP="006662BC">
      <w:pPr>
        <w:keepNext/>
        <w:widowControl w:val="0"/>
        <w:numPr>
          <w:ilvl w:val="12"/>
          <w:numId w:val="0"/>
        </w:numPr>
        <w:ind w:right="-2"/>
        <w:rPr>
          <w:color w:val="000000"/>
          <w:sz w:val="22"/>
          <w:szCs w:val="22"/>
        </w:rPr>
      </w:pPr>
    </w:p>
    <w:p w14:paraId="3FF6FDC7" w14:textId="77777777" w:rsidR="00D938DC" w:rsidRPr="002D741C" w:rsidRDefault="00D938DC" w:rsidP="00D938DC">
      <w:pPr>
        <w:widowControl w:val="0"/>
        <w:numPr>
          <w:ilvl w:val="0"/>
          <w:numId w:val="3"/>
        </w:numPr>
        <w:tabs>
          <w:tab w:val="clear" w:pos="360"/>
        </w:tabs>
        <w:ind w:left="567" w:right="-2" w:hanging="567"/>
        <w:rPr>
          <w:color w:val="000000"/>
          <w:sz w:val="22"/>
          <w:szCs w:val="22"/>
        </w:rPr>
      </w:pPr>
      <w:r w:rsidRPr="002D741C">
        <w:rPr>
          <w:color w:val="000000"/>
          <w:sz w:val="22"/>
          <w:szCs w:val="22"/>
        </w:rPr>
        <w:t>Mantener este medicamento fuera de la vista y del alcance de los niños.</w:t>
      </w:r>
    </w:p>
    <w:p w14:paraId="01728C98" w14:textId="77777777" w:rsidR="00D938DC" w:rsidRPr="002D741C" w:rsidRDefault="00D938DC" w:rsidP="00D938DC">
      <w:pPr>
        <w:widowControl w:val="0"/>
        <w:numPr>
          <w:ilvl w:val="0"/>
          <w:numId w:val="3"/>
        </w:numPr>
        <w:tabs>
          <w:tab w:val="clear" w:pos="360"/>
        </w:tabs>
        <w:ind w:left="567" w:right="-2" w:hanging="567"/>
        <w:rPr>
          <w:color w:val="000000"/>
          <w:sz w:val="22"/>
          <w:szCs w:val="22"/>
        </w:rPr>
      </w:pPr>
      <w:r w:rsidRPr="002D741C">
        <w:rPr>
          <w:color w:val="000000"/>
          <w:sz w:val="22"/>
          <w:szCs w:val="22"/>
        </w:rPr>
        <w:t>No utilice este medicamento después de la fecha de caducidad que aparece en la caja</w:t>
      </w:r>
      <w:r w:rsidR="00C232A0" w:rsidRPr="002D741C">
        <w:rPr>
          <w:color w:val="000000"/>
          <w:sz w:val="22"/>
          <w:szCs w:val="22"/>
        </w:rPr>
        <w:t xml:space="preserve"> después de CAD</w:t>
      </w:r>
      <w:r w:rsidRPr="002D741C">
        <w:rPr>
          <w:color w:val="000000"/>
          <w:sz w:val="22"/>
          <w:szCs w:val="22"/>
        </w:rPr>
        <w:t>.</w:t>
      </w:r>
    </w:p>
    <w:p w14:paraId="228859C5" w14:textId="77777777" w:rsidR="00D938DC" w:rsidRPr="002D741C" w:rsidRDefault="00D938DC" w:rsidP="00D938DC">
      <w:pPr>
        <w:widowControl w:val="0"/>
        <w:numPr>
          <w:ilvl w:val="0"/>
          <w:numId w:val="3"/>
        </w:numPr>
        <w:tabs>
          <w:tab w:val="clear" w:pos="360"/>
        </w:tabs>
        <w:ind w:left="567" w:right="-2" w:hanging="567"/>
        <w:rPr>
          <w:color w:val="000000"/>
          <w:sz w:val="22"/>
          <w:szCs w:val="22"/>
        </w:rPr>
      </w:pPr>
      <w:r w:rsidRPr="002D741C">
        <w:rPr>
          <w:color w:val="000000"/>
          <w:sz w:val="22"/>
          <w:szCs w:val="22"/>
        </w:rPr>
        <w:t xml:space="preserve">No conservar a temperatura superior a </w:t>
      </w:r>
      <w:smartTag w:uri="urn:schemas-microsoft-com:office:smarttags" w:element="metricconverter">
        <w:smartTagPr>
          <w:attr w:name="ProductID" w:val="30ﾰC"/>
        </w:smartTagPr>
        <w:r w:rsidRPr="002D741C">
          <w:rPr>
            <w:color w:val="000000"/>
            <w:sz w:val="22"/>
            <w:szCs w:val="22"/>
          </w:rPr>
          <w:t>30°C</w:t>
        </w:r>
      </w:smartTag>
      <w:r w:rsidRPr="002D741C">
        <w:rPr>
          <w:color w:val="000000"/>
          <w:sz w:val="22"/>
          <w:szCs w:val="22"/>
        </w:rPr>
        <w:t>.</w:t>
      </w:r>
    </w:p>
    <w:p w14:paraId="63E89708" w14:textId="77777777" w:rsidR="00D938DC" w:rsidRPr="002D741C" w:rsidRDefault="00D938DC" w:rsidP="00D938DC">
      <w:pPr>
        <w:widowControl w:val="0"/>
        <w:numPr>
          <w:ilvl w:val="0"/>
          <w:numId w:val="3"/>
        </w:numPr>
        <w:tabs>
          <w:tab w:val="clear" w:pos="360"/>
        </w:tabs>
        <w:ind w:left="567" w:right="-2" w:hanging="567"/>
        <w:rPr>
          <w:color w:val="000000"/>
          <w:sz w:val="22"/>
          <w:szCs w:val="22"/>
        </w:rPr>
      </w:pPr>
      <w:r w:rsidRPr="002D741C">
        <w:rPr>
          <w:color w:val="000000"/>
          <w:sz w:val="22"/>
          <w:szCs w:val="22"/>
        </w:rPr>
        <w:t>Conservar en el embalaje original para protegerlo de la humedad.</w:t>
      </w:r>
    </w:p>
    <w:p w14:paraId="6CF709A6" w14:textId="77777777" w:rsidR="00EA78D1" w:rsidRPr="002D741C" w:rsidRDefault="00D938DC" w:rsidP="00D938DC">
      <w:pPr>
        <w:widowControl w:val="0"/>
        <w:numPr>
          <w:ilvl w:val="0"/>
          <w:numId w:val="3"/>
        </w:numPr>
        <w:tabs>
          <w:tab w:val="clear" w:pos="360"/>
        </w:tabs>
        <w:ind w:left="567" w:right="-2" w:hanging="567"/>
        <w:rPr>
          <w:color w:val="000000"/>
          <w:sz w:val="22"/>
          <w:szCs w:val="22"/>
        </w:rPr>
      </w:pPr>
      <w:r w:rsidRPr="002D741C">
        <w:rPr>
          <w:color w:val="000000"/>
          <w:sz w:val="22"/>
          <w:szCs w:val="22"/>
        </w:rPr>
        <w:t>No utilice ningún envase si observa que está estropeado o muestra signos de manipulación.</w:t>
      </w:r>
    </w:p>
    <w:p w14:paraId="5C3A1180" w14:textId="77777777" w:rsidR="006A2DBF" w:rsidRPr="002D741C" w:rsidRDefault="0098245B" w:rsidP="006A2DBF">
      <w:pPr>
        <w:widowControl w:val="0"/>
        <w:numPr>
          <w:ilvl w:val="0"/>
          <w:numId w:val="3"/>
        </w:numPr>
        <w:tabs>
          <w:tab w:val="clear" w:pos="360"/>
        </w:tabs>
        <w:ind w:left="567" w:right="-2" w:hanging="567"/>
        <w:rPr>
          <w:color w:val="000000"/>
          <w:sz w:val="22"/>
          <w:szCs w:val="22"/>
        </w:rPr>
      </w:pPr>
      <w:r w:rsidRPr="002D741C">
        <w:rPr>
          <w:color w:val="000000"/>
          <w:sz w:val="22"/>
          <w:szCs w:val="22"/>
        </w:rPr>
        <w:t>L</w:t>
      </w:r>
      <w:r w:rsidR="006A2DBF" w:rsidRPr="002D741C">
        <w:rPr>
          <w:color w:val="000000"/>
          <w:sz w:val="22"/>
          <w:szCs w:val="22"/>
        </w:rPr>
        <w:t xml:space="preserve">os medicamentos </w:t>
      </w:r>
      <w:r w:rsidRPr="002D741C">
        <w:rPr>
          <w:color w:val="000000"/>
          <w:sz w:val="22"/>
          <w:szCs w:val="22"/>
        </w:rPr>
        <w:t xml:space="preserve">no se deben tirar </w:t>
      </w:r>
      <w:r w:rsidR="006A2DBF" w:rsidRPr="002D741C">
        <w:rPr>
          <w:color w:val="000000"/>
          <w:sz w:val="22"/>
          <w:szCs w:val="22"/>
        </w:rPr>
        <w:t xml:space="preserve">por los desagües ni a la basura. Pregunte a su farmacéutico </w:t>
      </w:r>
      <w:r w:rsidRPr="002D741C">
        <w:rPr>
          <w:color w:val="000000"/>
          <w:sz w:val="22"/>
          <w:szCs w:val="22"/>
        </w:rPr>
        <w:t xml:space="preserve">cómo deshacerse de los envases y de </w:t>
      </w:r>
      <w:r w:rsidR="006A2DBF" w:rsidRPr="002D741C">
        <w:rPr>
          <w:color w:val="000000"/>
          <w:sz w:val="22"/>
          <w:szCs w:val="22"/>
        </w:rPr>
        <w:t xml:space="preserve">los medicamentos que ya no </w:t>
      </w:r>
      <w:r w:rsidRPr="002D741C">
        <w:rPr>
          <w:color w:val="000000"/>
          <w:sz w:val="22"/>
          <w:szCs w:val="22"/>
        </w:rPr>
        <w:t>necesita</w:t>
      </w:r>
      <w:r w:rsidR="006A2DBF" w:rsidRPr="002D741C">
        <w:rPr>
          <w:color w:val="000000"/>
          <w:sz w:val="22"/>
          <w:szCs w:val="22"/>
        </w:rPr>
        <w:t>. De esta forma</w:t>
      </w:r>
      <w:r w:rsidR="008A7ED0" w:rsidRPr="002D741C">
        <w:rPr>
          <w:color w:val="000000"/>
          <w:sz w:val="22"/>
          <w:szCs w:val="22"/>
        </w:rPr>
        <w:t>,</w:t>
      </w:r>
      <w:r w:rsidR="006A2DBF" w:rsidRPr="002D741C">
        <w:rPr>
          <w:color w:val="000000"/>
          <w:sz w:val="22"/>
          <w:szCs w:val="22"/>
        </w:rPr>
        <w:t xml:space="preserve"> ayudará a proteger el medio ambiente.</w:t>
      </w:r>
    </w:p>
    <w:p w14:paraId="3ABE406E" w14:textId="77777777" w:rsidR="0040333F" w:rsidRPr="002D741C" w:rsidRDefault="0040333F" w:rsidP="0040333F">
      <w:pPr>
        <w:widowControl w:val="0"/>
        <w:numPr>
          <w:ilvl w:val="12"/>
          <w:numId w:val="0"/>
        </w:numPr>
        <w:ind w:right="-2"/>
        <w:rPr>
          <w:color w:val="000000"/>
          <w:sz w:val="22"/>
          <w:szCs w:val="22"/>
        </w:rPr>
      </w:pPr>
    </w:p>
    <w:p w14:paraId="2FBA8923" w14:textId="77777777" w:rsidR="0040333F" w:rsidRPr="002D741C" w:rsidRDefault="0040333F" w:rsidP="0040333F">
      <w:pPr>
        <w:widowControl w:val="0"/>
        <w:numPr>
          <w:ilvl w:val="12"/>
          <w:numId w:val="0"/>
        </w:numPr>
        <w:ind w:right="-2"/>
        <w:rPr>
          <w:color w:val="000000"/>
          <w:sz w:val="22"/>
          <w:szCs w:val="22"/>
        </w:rPr>
      </w:pPr>
    </w:p>
    <w:p w14:paraId="222BE101" w14:textId="77777777" w:rsidR="0040333F" w:rsidRPr="002D741C" w:rsidRDefault="0040333F" w:rsidP="006662BC">
      <w:pPr>
        <w:keepNext/>
        <w:widowControl w:val="0"/>
        <w:numPr>
          <w:ilvl w:val="12"/>
          <w:numId w:val="0"/>
        </w:numPr>
        <w:tabs>
          <w:tab w:val="left" w:pos="567"/>
        </w:tabs>
        <w:rPr>
          <w:b/>
          <w:caps/>
          <w:color w:val="000000"/>
          <w:sz w:val="22"/>
          <w:szCs w:val="22"/>
        </w:rPr>
      </w:pPr>
      <w:r w:rsidRPr="002D741C">
        <w:rPr>
          <w:b/>
          <w:caps/>
          <w:color w:val="000000"/>
          <w:sz w:val="22"/>
          <w:szCs w:val="22"/>
        </w:rPr>
        <w:t>6.</w:t>
      </w:r>
      <w:r w:rsidRPr="002D741C">
        <w:rPr>
          <w:b/>
          <w:caps/>
          <w:color w:val="000000"/>
          <w:sz w:val="22"/>
          <w:szCs w:val="22"/>
        </w:rPr>
        <w:tab/>
      </w:r>
      <w:r w:rsidR="00D42445" w:rsidRPr="002D741C">
        <w:rPr>
          <w:b/>
          <w:color w:val="000000"/>
          <w:sz w:val="22"/>
          <w:szCs w:val="22"/>
        </w:rPr>
        <w:t>Contenido del envase e información adicional</w:t>
      </w:r>
    </w:p>
    <w:p w14:paraId="08639C50" w14:textId="77777777" w:rsidR="0040333F" w:rsidRPr="002D741C" w:rsidRDefault="0040333F" w:rsidP="006662BC">
      <w:pPr>
        <w:keepNext/>
        <w:widowControl w:val="0"/>
        <w:numPr>
          <w:ilvl w:val="12"/>
          <w:numId w:val="0"/>
        </w:numPr>
        <w:tabs>
          <w:tab w:val="left" w:pos="567"/>
        </w:tabs>
        <w:ind w:left="567" w:right="-2" w:hanging="567"/>
        <w:rPr>
          <w:caps/>
          <w:color w:val="000000"/>
          <w:sz w:val="22"/>
          <w:szCs w:val="22"/>
        </w:rPr>
      </w:pPr>
    </w:p>
    <w:p w14:paraId="70705E55" w14:textId="77777777" w:rsidR="0040333F" w:rsidRPr="002D741C" w:rsidRDefault="0040333F" w:rsidP="006662BC">
      <w:pPr>
        <w:keepNext/>
        <w:widowControl w:val="0"/>
        <w:numPr>
          <w:ilvl w:val="12"/>
          <w:numId w:val="0"/>
        </w:numPr>
        <w:ind w:right="-2"/>
        <w:rPr>
          <w:b/>
          <w:color w:val="000000"/>
          <w:sz w:val="22"/>
          <w:szCs w:val="22"/>
          <w:lang w:val="es-ES"/>
        </w:rPr>
      </w:pPr>
      <w:r w:rsidRPr="002D741C">
        <w:rPr>
          <w:b/>
          <w:color w:val="000000"/>
          <w:sz w:val="22"/>
          <w:szCs w:val="22"/>
          <w:lang w:val="es-ES"/>
        </w:rPr>
        <w:t>Composición de Glivec</w:t>
      </w:r>
    </w:p>
    <w:p w14:paraId="21DFE8B4" w14:textId="77777777" w:rsidR="0040333F" w:rsidRPr="002D741C" w:rsidRDefault="0040333F" w:rsidP="0040333F">
      <w:pPr>
        <w:widowControl w:val="0"/>
        <w:numPr>
          <w:ilvl w:val="0"/>
          <w:numId w:val="1"/>
        </w:numPr>
        <w:ind w:left="567" w:right="-2" w:hanging="567"/>
        <w:rPr>
          <w:color w:val="000000"/>
          <w:sz w:val="22"/>
          <w:szCs w:val="22"/>
        </w:rPr>
      </w:pPr>
      <w:r w:rsidRPr="002D741C">
        <w:rPr>
          <w:color w:val="000000"/>
          <w:sz w:val="22"/>
          <w:szCs w:val="22"/>
        </w:rPr>
        <w:t>El principio activo es imatinib mesilato. Cada cápsula de Glivec contiene 100 mg de imatinib mesilato.</w:t>
      </w:r>
    </w:p>
    <w:p w14:paraId="25EF04C1" w14:textId="77777777" w:rsidR="0040333F" w:rsidRPr="002D741C" w:rsidRDefault="0040333F" w:rsidP="0040333F">
      <w:pPr>
        <w:widowControl w:val="0"/>
        <w:numPr>
          <w:ilvl w:val="0"/>
          <w:numId w:val="1"/>
        </w:numPr>
        <w:ind w:left="567" w:right="-2" w:hanging="567"/>
        <w:rPr>
          <w:color w:val="000000"/>
          <w:sz w:val="22"/>
          <w:szCs w:val="22"/>
        </w:rPr>
      </w:pPr>
      <w:r w:rsidRPr="002D741C">
        <w:rPr>
          <w:color w:val="000000"/>
          <w:sz w:val="22"/>
          <w:szCs w:val="22"/>
        </w:rPr>
        <w:t xml:space="preserve">Los demás componentes son celulosa microcristalina, crospovidona, estearato de magnesio y sílice coloidal anhidra. La cubierta de la cápsula está compuesta por gelatina, rojo óxido de hierro (E172), amarillo óxido de hierro (E172) y dióxido de titanio (E171). La tinta de </w:t>
      </w:r>
      <w:r w:rsidR="009B363F" w:rsidRPr="002D741C">
        <w:rPr>
          <w:color w:val="000000"/>
          <w:sz w:val="22"/>
          <w:szCs w:val="22"/>
        </w:rPr>
        <w:t>impresión está compuesta por rojo óxido de hierro (E172) y shellac.</w:t>
      </w:r>
    </w:p>
    <w:p w14:paraId="5D961EE7" w14:textId="77777777" w:rsidR="0040333F" w:rsidRPr="002D741C" w:rsidRDefault="0040333F" w:rsidP="0040333F">
      <w:pPr>
        <w:pStyle w:val="EndnoteText"/>
        <w:widowControl w:val="0"/>
        <w:numPr>
          <w:ilvl w:val="12"/>
          <w:numId w:val="0"/>
        </w:numPr>
        <w:tabs>
          <w:tab w:val="clear" w:pos="567"/>
        </w:tabs>
        <w:rPr>
          <w:color w:val="000000"/>
          <w:szCs w:val="22"/>
          <w:lang w:val="es-ES"/>
        </w:rPr>
      </w:pPr>
    </w:p>
    <w:p w14:paraId="632C65FF" w14:textId="77777777" w:rsidR="0040333F" w:rsidRPr="002D741C" w:rsidRDefault="0040333F" w:rsidP="006662BC">
      <w:pPr>
        <w:pStyle w:val="EndnoteText"/>
        <w:keepNext/>
        <w:widowControl w:val="0"/>
        <w:numPr>
          <w:ilvl w:val="12"/>
          <w:numId w:val="0"/>
        </w:numPr>
        <w:rPr>
          <w:b/>
          <w:color w:val="000000"/>
          <w:szCs w:val="22"/>
          <w:lang w:val="es-ES"/>
        </w:rPr>
      </w:pPr>
      <w:r w:rsidRPr="002D741C">
        <w:rPr>
          <w:b/>
          <w:color w:val="000000"/>
          <w:szCs w:val="22"/>
          <w:lang w:val="es-ES"/>
        </w:rPr>
        <w:t>Aspecto del producto y contenido del envase</w:t>
      </w:r>
    </w:p>
    <w:p w14:paraId="3951DEEC" w14:textId="77777777" w:rsidR="0040333F" w:rsidRPr="002D741C" w:rsidRDefault="0040333F" w:rsidP="0040333F">
      <w:pPr>
        <w:widowControl w:val="0"/>
        <w:rPr>
          <w:color w:val="000000"/>
          <w:sz w:val="22"/>
          <w:szCs w:val="22"/>
        </w:rPr>
      </w:pPr>
      <w:r w:rsidRPr="002D741C">
        <w:rPr>
          <w:color w:val="000000"/>
          <w:sz w:val="22"/>
          <w:szCs w:val="22"/>
          <w:lang w:val="es-ES"/>
        </w:rPr>
        <w:t>Glivec 100 mg cápsulas son</w:t>
      </w:r>
      <w:r w:rsidRPr="002D741C">
        <w:rPr>
          <w:color w:val="000000"/>
          <w:sz w:val="22"/>
          <w:szCs w:val="22"/>
        </w:rPr>
        <w:t xml:space="preserve"> de color naranja a naranja-grisáceo y con la marca </w:t>
      </w:r>
      <w:r w:rsidRPr="002D741C">
        <w:rPr>
          <w:color w:val="000000"/>
          <w:sz w:val="22"/>
          <w:szCs w:val="22"/>
          <w:lang w:val="es-ES"/>
        </w:rPr>
        <w:t>«</w:t>
      </w:r>
      <w:smartTag w:uri="urn:schemas-microsoft-com:office:smarttags" w:element="stockticker">
        <w:r w:rsidRPr="002D741C">
          <w:rPr>
            <w:color w:val="000000"/>
            <w:sz w:val="22"/>
            <w:szCs w:val="22"/>
          </w:rPr>
          <w:t>NVR</w:t>
        </w:r>
      </w:smartTag>
      <w:r w:rsidRPr="002D741C">
        <w:rPr>
          <w:color w:val="000000"/>
          <w:sz w:val="22"/>
          <w:szCs w:val="22"/>
        </w:rPr>
        <w:t> </w:t>
      </w:r>
      <w:smartTag w:uri="urn:schemas-microsoft-com:office:smarttags" w:element="PersonName">
        <w:r w:rsidRPr="002D741C">
          <w:rPr>
            <w:color w:val="000000"/>
            <w:sz w:val="22"/>
            <w:szCs w:val="22"/>
          </w:rPr>
          <w:t>SI</w:t>
        </w:r>
      </w:smartTag>
      <w:r w:rsidRPr="002D741C">
        <w:rPr>
          <w:color w:val="000000"/>
          <w:sz w:val="22"/>
          <w:szCs w:val="22"/>
          <w:lang w:val="es-ES"/>
        </w:rPr>
        <w:t>»</w:t>
      </w:r>
      <w:r w:rsidRPr="002D741C">
        <w:rPr>
          <w:color w:val="000000"/>
          <w:sz w:val="22"/>
          <w:szCs w:val="22"/>
        </w:rPr>
        <w:t>. Contienen un polvo de color blanco a amarillo.</w:t>
      </w:r>
    </w:p>
    <w:p w14:paraId="14E1E42C" w14:textId="77777777" w:rsidR="0040333F" w:rsidRPr="002D741C" w:rsidRDefault="0040333F" w:rsidP="0040333F">
      <w:pPr>
        <w:pStyle w:val="EndnoteText"/>
        <w:widowControl w:val="0"/>
        <w:numPr>
          <w:ilvl w:val="12"/>
          <w:numId w:val="0"/>
        </w:numPr>
        <w:tabs>
          <w:tab w:val="clear" w:pos="567"/>
        </w:tabs>
        <w:rPr>
          <w:color w:val="000000"/>
          <w:szCs w:val="22"/>
          <w:lang w:val="es-ES_tradnl"/>
        </w:rPr>
      </w:pPr>
    </w:p>
    <w:p w14:paraId="38FB16B2" w14:textId="77777777" w:rsidR="0040333F" w:rsidRPr="002D741C" w:rsidRDefault="0040333F" w:rsidP="0040333F">
      <w:pPr>
        <w:widowControl w:val="0"/>
        <w:numPr>
          <w:ilvl w:val="12"/>
          <w:numId w:val="0"/>
        </w:numPr>
        <w:ind w:right="-2"/>
        <w:rPr>
          <w:caps/>
          <w:color w:val="000000"/>
          <w:sz w:val="22"/>
          <w:szCs w:val="22"/>
        </w:rPr>
      </w:pPr>
      <w:r w:rsidRPr="002D741C">
        <w:rPr>
          <w:color w:val="000000"/>
          <w:sz w:val="22"/>
          <w:szCs w:val="22"/>
          <w:lang w:val="es-ES"/>
        </w:rPr>
        <w:t xml:space="preserve">Se presenta en envases que contienen 24, 48, 96, 120 </w:t>
      </w:r>
      <w:r w:rsidR="00715D27" w:rsidRPr="002D741C">
        <w:rPr>
          <w:color w:val="000000"/>
          <w:sz w:val="22"/>
          <w:szCs w:val="22"/>
          <w:lang w:val="es-ES"/>
        </w:rPr>
        <w:t>o</w:t>
      </w:r>
      <w:r w:rsidRPr="002D741C">
        <w:rPr>
          <w:color w:val="000000"/>
          <w:sz w:val="22"/>
          <w:szCs w:val="22"/>
          <w:lang w:val="es-ES"/>
        </w:rPr>
        <w:t xml:space="preserve"> 180 cápsulas, pero puede que no todos los envases se encuentren comercializados.</w:t>
      </w:r>
    </w:p>
    <w:p w14:paraId="13A272AC" w14:textId="77777777" w:rsidR="0040333F" w:rsidRPr="002D741C" w:rsidRDefault="0040333F" w:rsidP="0040333F">
      <w:pPr>
        <w:pStyle w:val="EndnoteText"/>
        <w:widowControl w:val="0"/>
        <w:numPr>
          <w:ilvl w:val="12"/>
          <w:numId w:val="0"/>
        </w:numPr>
        <w:tabs>
          <w:tab w:val="clear" w:pos="567"/>
        </w:tabs>
        <w:rPr>
          <w:color w:val="000000"/>
          <w:szCs w:val="22"/>
          <w:lang w:val="es-ES"/>
        </w:rPr>
      </w:pPr>
    </w:p>
    <w:p w14:paraId="5A15F950" w14:textId="77777777" w:rsidR="0040333F" w:rsidRPr="002D741C" w:rsidRDefault="0040333F" w:rsidP="006662BC">
      <w:pPr>
        <w:pStyle w:val="EndnoteText"/>
        <w:keepNext/>
        <w:widowControl w:val="0"/>
        <w:numPr>
          <w:ilvl w:val="12"/>
          <w:numId w:val="0"/>
        </w:numPr>
        <w:tabs>
          <w:tab w:val="clear" w:pos="567"/>
        </w:tabs>
        <w:rPr>
          <w:b/>
          <w:color w:val="000000"/>
          <w:szCs w:val="22"/>
          <w:lang w:val="es-ES"/>
        </w:rPr>
      </w:pPr>
      <w:r w:rsidRPr="002D741C">
        <w:rPr>
          <w:b/>
          <w:color w:val="000000"/>
          <w:szCs w:val="22"/>
          <w:lang w:val="es-ES"/>
        </w:rPr>
        <w:t>Titular de la autorización de comercialización</w:t>
      </w:r>
    </w:p>
    <w:p w14:paraId="180A612F" w14:textId="77777777" w:rsidR="0040333F" w:rsidRPr="002D741C" w:rsidRDefault="0040333F" w:rsidP="006662BC">
      <w:pPr>
        <w:pStyle w:val="EndnoteText"/>
        <w:keepNext/>
        <w:widowControl w:val="0"/>
        <w:tabs>
          <w:tab w:val="clear" w:pos="567"/>
        </w:tabs>
        <w:rPr>
          <w:color w:val="000000"/>
          <w:szCs w:val="22"/>
          <w:lang w:val="en-US"/>
        </w:rPr>
      </w:pPr>
      <w:r w:rsidRPr="002D741C">
        <w:rPr>
          <w:color w:val="000000"/>
          <w:szCs w:val="22"/>
          <w:lang w:val="en-US"/>
        </w:rPr>
        <w:t>Novartis Europharm Limited</w:t>
      </w:r>
    </w:p>
    <w:p w14:paraId="613F09DC" w14:textId="77777777" w:rsidR="005127D7" w:rsidRPr="002D741C" w:rsidRDefault="005127D7" w:rsidP="005127D7">
      <w:pPr>
        <w:keepNext/>
        <w:widowControl w:val="0"/>
        <w:rPr>
          <w:color w:val="000000"/>
          <w:sz w:val="22"/>
          <w:szCs w:val="22"/>
          <w:lang w:val="en-US"/>
        </w:rPr>
      </w:pPr>
      <w:r w:rsidRPr="002D741C">
        <w:rPr>
          <w:color w:val="000000"/>
          <w:sz w:val="22"/>
          <w:szCs w:val="22"/>
          <w:lang w:val="en-US"/>
        </w:rPr>
        <w:t>Vista Building</w:t>
      </w:r>
    </w:p>
    <w:p w14:paraId="4A6A2931" w14:textId="77777777" w:rsidR="005127D7" w:rsidRPr="002D741C" w:rsidRDefault="005127D7" w:rsidP="005127D7">
      <w:pPr>
        <w:keepNext/>
        <w:widowControl w:val="0"/>
        <w:rPr>
          <w:color w:val="000000"/>
          <w:sz w:val="22"/>
          <w:szCs w:val="22"/>
          <w:lang w:val="en-US"/>
        </w:rPr>
      </w:pPr>
      <w:r w:rsidRPr="002D741C">
        <w:rPr>
          <w:color w:val="000000"/>
          <w:sz w:val="22"/>
          <w:szCs w:val="22"/>
          <w:lang w:val="en-US"/>
        </w:rPr>
        <w:t>Elm Park, Merrion Road</w:t>
      </w:r>
    </w:p>
    <w:p w14:paraId="65BB28B2" w14:textId="77777777" w:rsidR="005127D7" w:rsidRPr="002D741C" w:rsidRDefault="005127D7" w:rsidP="005127D7">
      <w:pPr>
        <w:keepNext/>
        <w:widowControl w:val="0"/>
        <w:rPr>
          <w:color w:val="000000"/>
          <w:sz w:val="22"/>
          <w:szCs w:val="22"/>
        </w:rPr>
      </w:pPr>
      <w:r w:rsidRPr="002D741C">
        <w:rPr>
          <w:color w:val="000000"/>
          <w:sz w:val="22"/>
          <w:szCs w:val="22"/>
        </w:rPr>
        <w:t>Dublin 4</w:t>
      </w:r>
    </w:p>
    <w:p w14:paraId="58152415" w14:textId="77777777" w:rsidR="005127D7" w:rsidRPr="002D741C" w:rsidRDefault="005127D7" w:rsidP="005127D7">
      <w:pPr>
        <w:rPr>
          <w:color w:val="000000"/>
          <w:sz w:val="22"/>
          <w:szCs w:val="22"/>
        </w:rPr>
      </w:pPr>
      <w:r w:rsidRPr="002D741C">
        <w:rPr>
          <w:color w:val="000000"/>
          <w:sz w:val="22"/>
          <w:szCs w:val="22"/>
        </w:rPr>
        <w:t>Irlanda</w:t>
      </w:r>
    </w:p>
    <w:p w14:paraId="3E16174A" w14:textId="77777777" w:rsidR="0040333F" w:rsidRPr="002D741C" w:rsidRDefault="0040333F" w:rsidP="0040333F">
      <w:pPr>
        <w:pStyle w:val="EndnoteText"/>
        <w:widowControl w:val="0"/>
        <w:numPr>
          <w:ilvl w:val="12"/>
          <w:numId w:val="0"/>
        </w:numPr>
        <w:tabs>
          <w:tab w:val="clear" w:pos="567"/>
        </w:tabs>
        <w:rPr>
          <w:color w:val="000000"/>
          <w:szCs w:val="22"/>
          <w:lang w:val="es-ES"/>
        </w:rPr>
      </w:pPr>
    </w:p>
    <w:p w14:paraId="70884DAB" w14:textId="77777777" w:rsidR="0040333F" w:rsidRPr="002D741C" w:rsidRDefault="0040333F" w:rsidP="006662BC">
      <w:pPr>
        <w:pStyle w:val="EndnoteText"/>
        <w:keepNext/>
        <w:widowControl w:val="0"/>
        <w:numPr>
          <w:ilvl w:val="12"/>
          <w:numId w:val="0"/>
        </w:numPr>
        <w:tabs>
          <w:tab w:val="clear" w:pos="567"/>
        </w:tabs>
        <w:rPr>
          <w:b/>
          <w:color w:val="000000"/>
          <w:szCs w:val="22"/>
          <w:lang w:val="es-ES_tradnl"/>
        </w:rPr>
      </w:pPr>
      <w:r w:rsidRPr="002D741C">
        <w:rPr>
          <w:b/>
          <w:color w:val="000000"/>
          <w:szCs w:val="22"/>
          <w:lang w:val="es-ES_tradnl"/>
        </w:rPr>
        <w:t>Responsable de la fabricación</w:t>
      </w:r>
    </w:p>
    <w:p w14:paraId="38188684" w14:textId="77777777" w:rsidR="0040333F" w:rsidRPr="002D741C" w:rsidRDefault="0040333F" w:rsidP="006662BC">
      <w:pPr>
        <w:pStyle w:val="EndnoteText"/>
        <w:keepNext/>
        <w:widowControl w:val="0"/>
        <w:numPr>
          <w:ilvl w:val="12"/>
          <w:numId w:val="0"/>
        </w:numPr>
        <w:tabs>
          <w:tab w:val="clear" w:pos="567"/>
        </w:tabs>
        <w:rPr>
          <w:color w:val="000000"/>
          <w:szCs w:val="22"/>
          <w:lang w:val="de-DE"/>
        </w:rPr>
      </w:pPr>
      <w:r w:rsidRPr="002D741C">
        <w:rPr>
          <w:color w:val="000000"/>
          <w:szCs w:val="22"/>
          <w:lang w:val="de-DE"/>
        </w:rPr>
        <w:t>Novartis Pharma GmbH</w:t>
      </w:r>
    </w:p>
    <w:p w14:paraId="1FED574A" w14:textId="77777777" w:rsidR="0040333F" w:rsidRPr="002D741C" w:rsidRDefault="0040333F" w:rsidP="006662BC">
      <w:pPr>
        <w:pStyle w:val="EndnoteText"/>
        <w:keepNext/>
        <w:widowControl w:val="0"/>
        <w:numPr>
          <w:ilvl w:val="12"/>
          <w:numId w:val="0"/>
        </w:numPr>
        <w:tabs>
          <w:tab w:val="clear" w:pos="567"/>
        </w:tabs>
        <w:rPr>
          <w:color w:val="000000"/>
          <w:szCs w:val="22"/>
          <w:lang w:val="de-DE"/>
        </w:rPr>
      </w:pPr>
      <w:r w:rsidRPr="002D741C">
        <w:rPr>
          <w:color w:val="000000"/>
          <w:szCs w:val="22"/>
          <w:lang w:val="de-DE"/>
        </w:rPr>
        <w:t>Roonstrasse 25</w:t>
      </w:r>
    </w:p>
    <w:p w14:paraId="6F3A637C" w14:textId="77777777" w:rsidR="0040333F" w:rsidRPr="002D741C" w:rsidRDefault="0040333F" w:rsidP="006662BC">
      <w:pPr>
        <w:pStyle w:val="EndnoteText"/>
        <w:keepNext/>
        <w:widowControl w:val="0"/>
        <w:numPr>
          <w:ilvl w:val="12"/>
          <w:numId w:val="0"/>
        </w:numPr>
        <w:tabs>
          <w:tab w:val="clear" w:pos="567"/>
        </w:tabs>
        <w:rPr>
          <w:color w:val="000000"/>
          <w:szCs w:val="22"/>
          <w:lang w:val="de-DE"/>
        </w:rPr>
      </w:pPr>
      <w:r w:rsidRPr="002D741C">
        <w:rPr>
          <w:color w:val="000000"/>
          <w:szCs w:val="22"/>
          <w:lang w:val="de-DE"/>
        </w:rPr>
        <w:t>D-90429 Nürnberg</w:t>
      </w:r>
    </w:p>
    <w:p w14:paraId="2E076F54" w14:textId="77777777" w:rsidR="0040333F" w:rsidRPr="002D741C" w:rsidRDefault="0040333F" w:rsidP="0040333F">
      <w:pPr>
        <w:pStyle w:val="EndnoteText"/>
        <w:widowControl w:val="0"/>
        <w:numPr>
          <w:ilvl w:val="12"/>
          <w:numId w:val="0"/>
        </w:numPr>
        <w:tabs>
          <w:tab w:val="clear" w:pos="567"/>
        </w:tabs>
        <w:rPr>
          <w:color w:val="000000"/>
          <w:szCs w:val="22"/>
          <w:lang w:val="es-ES"/>
        </w:rPr>
      </w:pPr>
      <w:r w:rsidRPr="002D741C">
        <w:rPr>
          <w:color w:val="000000"/>
          <w:szCs w:val="22"/>
          <w:lang w:val="es-ES"/>
        </w:rPr>
        <w:t>Alemania</w:t>
      </w:r>
    </w:p>
    <w:p w14:paraId="6E46B6EA" w14:textId="163BF89A" w:rsidR="0040333F" w:rsidRDefault="0040333F" w:rsidP="0040333F">
      <w:pPr>
        <w:widowControl w:val="0"/>
        <w:numPr>
          <w:ilvl w:val="12"/>
          <w:numId w:val="0"/>
        </w:numPr>
        <w:ind w:right="-2"/>
        <w:rPr>
          <w:color w:val="000000"/>
          <w:sz w:val="22"/>
          <w:szCs w:val="22"/>
          <w:lang w:val="es-ES"/>
        </w:rPr>
      </w:pPr>
    </w:p>
    <w:p w14:paraId="78670601" w14:textId="77777777" w:rsidR="002D7552" w:rsidRPr="002D7552" w:rsidRDefault="002D7552" w:rsidP="002D7552">
      <w:pPr>
        <w:keepNext/>
        <w:numPr>
          <w:ilvl w:val="12"/>
          <w:numId w:val="0"/>
        </w:numPr>
        <w:rPr>
          <w:color w:val="000000"/>
          <w:sz w:val="22"/>
          <w:szCs w:val="22"/>
          <w:shd w:val="pct15" w:color="auto" w:fill="auto"/>
          <w:lang w:val="es-ES"/>
        </w:rPr>
      </w:pPr>
      <w:r w:rsidRPr="002D7552">
        <w:rPr>
          <w:color w:val="000000"/>
          <w:sz w:val="22"/>
          <w:szCs w:val="22"/>
          <w:shd w:val="pct15" w:color="auto" w:fill="auto"/>
          <w:lang w:val="es-ES"/>
        </w:rPr>
        <w:t>Sandoz S.R.L.</w:t>
      </w:r>
    </w:p>
    <w:p w14:paraId="235E571D" w14:textId="77777777" w:rsidR="002D7552" w:rsidRPr="002D7552" w:rsidRDefault="002D7552" w:rsidP="002D7552">
      <w:pPr>
        <w:keepNext/>
        <w:numPr>
          <w:ilvl w:val="12"/>
          <w:numId w:val="0"/>
        </w:numPr>
        <w:rPr>
          <w:color w:val="000000"/>
          <w:sz w:val="22"/>
          <w:szCs w:val="22"/>
          <w:shd w:val="pct15" w:color="auto" w:fill="auto"/>
          <w:lang w:val="es-ES"/>
        </w:rPr>
      </w:pPr>
      <w:r w:rsidRPr="002D7552">
        <w:rPr>
          <w:color w:val="000000"/>
          <w:sz w:val="22"/>
          <w:szCs w:val="22"/>
          <w:shd w:val="pct15" w:color="auto" w:fill="auto"/>
          <w:lang w:val="es-ES"/>
        </w:rPr>
        <w:t>Str. Livezeni nr. 7A</w:t>
      </w:r>
    </w:p>
    <w:p w14:paraId="7540CC06" w14:textId="77777777" w:rsidR="002D7552" w:rsidRPr="002D7552" w:rsidRDefault="002D7552" w:rsidP="002D7552">
      <w:pPr>
        <w:keepNext/>
        <w:numPr>
          <w:ilvl w:val="12"/>
          <w:numId w:val="0"/>
        </w:numPr>
        <w:rPr>
          <w:color w:val="000000"/>
          <w:sz w:val="22"/>
          <w:szCs w:val="22"/>
          <w:shd w:val="pct15" w:color="auto" w:fill="auto"/>
          <w:lang w:val="es-ES"/>
        </w:rPr>
      </w:pPr>
      <w:r w:rsidRPr="002D7552">
        <w:rPr>
          <w:color w:val="000000"/>
          <w:sz w:val="22"/>
          <w:szCs w:val="22"/>
          <w:shd w:val="pct15" w:color="auto" w:fill="auto"/>
          <w:lang w:val="es-ES"/>
        </w:rPr>
        <w:t>540472, Targu Mures</w:t>
      </w:r>
    </w:p>
    <w:p w14:paraId="51DFEFE0" w14:textId="77777777" w:rsidR="002D7552" w:rsidRPr="002D7552" w:rsidRDefault="002D7552" w:rsidP="002D7552">
      <w:pPr>
        <w:numPr>
          <w:ilvl w:val="12"/>
          <w:numId w:val="0"/>
        </w:numPr>
        <w:rPr>
          <w:color w:val="000000"/>
          <w:sz w:val="22"/>
          <w:szCs w:val="22"/>
          <w:shd w:val="pct15" w:color="auto" w:fill="auto"/>
          <w:lang w:val="es-ES"/>
        </w:rPr>
      </w:pPr>
      <w:r w:rsidRPr="002D7552">
        <w:rPr>
          <w:color w:val="000000"/>
          <w:sz w:val="22"/>
          <w:szCs w:val="22"/>
          <w:shd w:val="pct15" w:color="auto" w:fill="auto"/>
          <w:lang w:val="es-ES"/>
        </w:rPr>
        <w:t>Rumanía</w:t>
      </w:r>
    </w:p>
    <w:p w14:paraId="15BCF1DB" w14:textId="77777777" w:rsidR="002D7552" w:rsidRPr="002D741C" w:rsidRDefault="002D7552" w:rsidP="0040333F">
      <w:pPr>
        <w:widowControl w:val="0"/>
        <w:numPr>
          <w:ilvl w:val="12"/>
          <w:numId w:val="0"/>
        </w:numPr>
        <w:ind w:right="-2"/>
        <w:rPr>
          <w:color w:val="000000"/>
          <w:sz w:val="22"/>
          <w:szCs w:val="22"/>
          <w:lang w:val="es-ES"/>
        </w:rPr>
      </w:pPr>
    </w:p>
    <w:p w14:paraId="29E42133" w14:textId="77777777" w:rsidR="0040333F" w:rsidRPr="002D741C" w:rsidRDefault="0040333F" w:rsidP="006662BC">
      <w:pPr>
        <w:keepNext/>
        <w:widowControl w:val="0"/>
        <w:numPr>
          <w:ilvl w:val="12"/>
          <w:numId w:val="0"/>
        </w:numPr>
        <w:ind w:right="-2"/>
        <w:rPr>
          <w:color w:val="000000"/>
          <w:sz w:val="22"/>
          <w:szCs w:val="22"/>
        </w:rPr>
      </w:pPr>
      <w:r w:rsidRPr="002D741C">
        <w:rPr>
          <w:color w:val="000000"/>
          <w:sz w:val="22"/>
          <w:szCs w:val="22"/>
        </w:rPr>
        <w:t>Pueden solicitar más información respecto a este medicamento dirigiéndose al representante local del titular de la autorización de comercialización</w:t>
      </w:r>
      <w:r w:rsidR="00D42445" w:rsidRPr="002D741C">
        <w:rPr>
          <w:color w:val="000000"/>
          <w:sz w:val="22"/>
          <w:szCs w:val="22"/>
        </w:rPr>
        <w:t>:</w:t>
      </w:r>
    </w:p>
    <w:p w14:paraId="2FDA7479" w14:textId="77777777" w:rsidR="003F2568" w:rsidRPr="002D741C" w:rsidRDefault="003F2568" w:rsidP="006662BC">
      <w:pPr>
        <w:keepNext/>
        <w:widowControl w:val="0"/>
        <w:ind w:right="-449"/>
        <w:rPr>
          <w:color w:val="000000"/>
          <w:sz w:val="22"/>
          <w:szCs w:val="22"/>
        </w:rPr>
      </w:pPr>
    </w:p>
    <w:tbl>
      <w:tblPr>
        <w:tblW w:w="9300" w:type="dxa"/>
        <w:tblLayout w:type="fixed"/>
        <w:tblLook w:val="0000" w:firstRow="0" w:lastRow="0" w:firstColumn="0" w:lastColumn="0" w:noHBand="0" w:noVBand="0"/>
      </w:tblPr>
      <w:tblGrid>
        <w:gridCol w:w="4650"/>
        <w:gridCol w:w="4650"/>
      </w:tblGrid>
      <w:tr w:rsidR="003F2568" w:rsidRPr="002D741C" w14:paraId="2398E5EA" w14:textId="77777777" w:rsidTr="005127D7">
        <w:trPr>
          <w:cantSplit/>
        </w:trPr>
        <w:tc>
          <w:tcPr>
            <w:tcW w:w="4650" w:type="dxa"/>
          </w:tcPr>
          <w:p w14:paraId="6AB322B7" w14:textId="77777777" w:rsidR="003F2568" w:rsidRPr="002D741C" w:rsidRDefault="003F2568" w:rsidP="001E1329">
            <w:pPr>
              <w:rPr>
                <w:b/>
                <w:color w:val="000000"/>
                <w:sz w:val="22"/>
                <w:szCs w:val="22"/>
                <w:lang w:val="fr-FR"/>
              </w:rPr>
            </w:pPr>
            <w:r w:rsidRPr="002D741C">
              <w:rPr>
                <w:b/>
                <w:color w:val="000000"/>
                <w:sz w:val="22"/>
                <w:szCs w:val="22"/>
                <w:lang w:val="fr-FR"/>
              </w:rPr>
              <w:t>België/Belgique/Belgien</w:t>
            </w:r>
          </w:p>
          <w:p w14:paraId="7547C1BC" w14:textId="77777777" w:rsidR="003F2568" w:rsidRPr="002D741C" w:rsidRDefault="003F2568" w:rsidP="001E1329">
            <w:pPr>
              <w:rPr>
                <w:color w:val="000000"/>
                <w:sz w:val="22"/>
                <w:szCs w:val="22"/>
                <w:lang w:val="fr-FR"/>
              </w:rPr>
            </w:pPr>
            <w:r w:rsidRPr="002D741C">
              <w:rPr>
                <w:color w:val="000000"/>
                <w:sz w:val="22"/>
                <w:szCs w:val="22"/>
                <w:lang w:val="fr-FR"/>
              </w:rPr>
              <w:t>Novartis Pharma N.V.</w:t>
            </w:r>
          </w:p>
          <w:p w14:paraId="5CE041C8" w14:textId="77777777" w:rsidR="003F2568" w:rsidRPr="002D741C" w:rsidRDefault="003F2568" w:rsidP="001E1329">
            <w:pPr>
              <w:rPr>
                <w:color w:val="000000"/>
                <w:sz w:val="22"/>
                <w:szCs w:val="22"/>
              </w:rPr>
            </w:pPr>
            <w:r w:rsidRPr="002D741C">
              <w:rPr>
                <w:color w:val="000000"/>
                <w:sz w:val="22"/>
                <w:szCs w:val="22"/>
              </w:rPr>
              <w:t>Tél/Tel: +32 2 246 16 11</w:t>
            </w:r>
          </w:p>
          <w:p w14:paraId="2248727F" w14:textId="77777777" w:rsidR="003F2568" w:rsidRPr="002D741C" w:rsidRDefault="003F2568" w:rsidP="001E1329">
            <w:pPr>
              <w:rPr>
                <w:b/>
                <w:color w:val="000000"/>
                <w:sz w:val="22"/>
                <w:szCs w:val="22"/>
              </w:rPr>
            </w:pPr>
          </w:p>
        </w:tc>
        <w:tc>
          <w:tcPr>
            <w:tcW w:w="4650" w:type="dxa"/>
          </w:tcPr>
          <w:p w14:paraId="505D27A3" w14:textId="77777777" w:rsidR="003F2568" w:rsidRPr="002D741C" w:rsidRDefault="003F2568" w:rsidP="001E1329">
            <w:pPr>
              <w:rPr>
                <w:b/>
                <w:color w:val="000000"/>
                <w:sz w:val="22"/>
                <w:szCs w:val="22"/>
                <w:lang w:val="es-ES"/>
              </w:rPr>
            </w:pPr>
            <w:r w:rsidRPr="002D741C">
              <w:rPr>
                <w:b/>
                <w:color w:val="000000"/>
                <w:sz w:val="22"/>
                <w:szCs w:val="22"/>
                <w:lang w:val="es-ES"/>
              </w:rPr>
              <w:t>Lietuva</w:t>
            </w:r>
          </w:p>
          <w:p w14:paraId="20C66638" w14:textId="0202AC45" w:rsidR="0063057E" w:rsidRPr="002D741C" w:rsidRDefault="004A36AB" w:rsidP="0063057E">
            <w:pPr>
              <w:rPr>
                <w:sz w:val="22"/>
                <w:szCs w:val="22"/>
                <w:lang w:val="es-ES"/>
              </w:rPr>
            </w:pPr>
            <w:r w:rsidRPr="002D741C">
              <w:rPr>
                <w:sz w:val="22"/>
                <w:szCs w:val="22"/>
                <w:lang w:val="es-ES"/>
              </w:rPr>
              <w:t>SIA Novartis Baltics Lietuvos filialas</w:t>
            </w:r>
          </w:p>
          <w:p w14:paraId="764C2930" w14:textId="77777777" w:rsidR="003F2568" w:rsidRPr="002D741C" w:rsidRDefault="003F2568" w:rsidP="001E1329">
            <w:pPr>
              <w:rPr>
                <w:color w:val="000000"/>
                <w:sz w:val="22"/>
                <w:szCs w:val="22"/>
              </w:rPr>
            </w:pPr>
            <w:r w:rsidRPr="002D741C">
              <w:rPr>
                <w:color w:val="000000"/>
                <w:sz w:val="22"/>
                <w:szCs w:val="22"/>
              </w:rPr>
              <w:t>Tel: +370 5 269 16 50</w:t>
            </w:r>
          </w:p>
          <w:p w14:paraId="62D51524" w14:textId="77777777" w:rsidR="003F2568" w:rsidRPr="002D741C" w:rsidRDefault="003F2568" w:rsidP="001E1329">
            <w:pPr>
              <w:rPr>
                <w:color w:val="000000"/>
                <w:sz w:val="22"/>
                <w:szCs w:val="22"/>
                <w:lang w:val="es-ES"/>
              </w:rPr>
            </w:pPr>
          </w:p>
        </w:tc>
      </w:tr>
      <w:tr w:rsidR="003F2568" w:rsidRPr="002D741C" w14:paraId="6BC01887" w14:textId="77777777" w:rsidTr="005127D7">
        <w:trPr>
          <w:cantSplit/>
        </w:trPr>
        <w:tc>
          <w:tcPr>
            <w:tcW w:w="4650" w:type="dxa"/>
          </w:tcPr>
          <w:p w14:paraId="3BB901B3" w14:textId="77777777" w:rsidR="003F2568" w:rsidRPr="008D0368" w:rsidRDefault="003F2568" w:rsidP="001E1329">
            <w:pPr>
              <w:rPr>
                <w:b/>
                <w:noProof/>
                <w:color w:val="000000"/>
                <w:sz w:val="22"/>
                <w:szCs w:val="22"/>
                <w:lang w:val="es-ES"/>
              </w:rPr>
            </w:pPr>
            <w:r w:rsidRPr="002D741C">
              <w:rPr>
                <w:b/>
                <w:noProof/>
                <w:color w:val="000000"/>
                <w:sz w:val="22"/>
                <w:szCs w:val="22"/>
              </w:rPr>
              <w:lastRenderedPageBreak/>
              <w:t>България</w:t>
            </w:r>
          </w:p>
          <w:p w14:paraId="4382F2A4" w14:textId="77777777" w:rsidR="003F2568" w:rsidRPr="008D0368" w:rsidRDefault="00C232A0" w:rsidP="001E1329">
            <w:pPr>
              <w:rPr>
                <w:noProof/>
                <w:color w:val="000000"/>
                <w:sz w:val="22"/>
                <w:szCs w:val="22"/>
                <w:lang w:val="es-ES"/>
              </w:rPr>
            </w:pPr>
            <w:r w:rsidRPr="008D0368">
              <w:rPr>
                <w:sz w:val="22"/>
                <w:szCs w:val="22"/>
                <w:lang w:val="es-ES"/>
              </w:rPr>
              <w:t>Novartis Bulgaria EOOD</w:t>
            </w:r>
          </w:p>
          <w:p w14:paraId="11A3436A" w14:textId="77777777" w:rsidR="003F2568" w:rsidRPr="002D741C" w:rsidRDefault="003F2568" w:rsidP="001E1329">
            <w:pPr>
              <w:rPr>
                <w:noProof/>
                <w:color w:val="000000"/>
                <w:sz w:val="22"/>
                <w:szCs w:val="22"/>
              </w:rPr>
            </w:pPr>
            <w:r w:rsidRPr="002D741C">
              <w:rPr>
                <w:noProof/>
                <w:color w:val="000000"/>
                <w:sz w:val="22"/>
                <w:szCs w:val="22"/>
              </w:rPr>
              <w:t>Тел.: +359 2 489 98 28</w:t>
            </w:r>
          </w:p>
          <w:p w14:paraId="3F5DF813" w14:textId="77777777" w:rsidR="003F2568" w:rsidRPr="002D741C" w:rsidRDefault="003F2568" w:rsidP="001E1329">
            <w:pPr>
              <w:rPr>
                <w:b/>
                <w:color w:val="000000"/>
                <w:sz w:val="22"/>
                <w:szCs w:val="22"/>
                <w:lang w:val="pt-BR"/>
              </w:rPr>
            </w:pPr>
          </w:p>
        </w:tc>
        <w:tc>
          <w:tcPr>
            <w:tcW w:w="4650" w:type="dxa"/>
          </w:tcPr>
          <w:p w14:paraId="1302BE15" w14:textId="77777777" w:rsidR="003F2568" w:rsidRPr="002D741C" w:rsidRDefault="003F2568" w:rsidP="001E1329">
            <w:pPr>
              <w:rPr>
                <w:b/>
                <w:color w:val="000000"/>
                <w:sz w:val="22"/>
                <w:szCs w:val="22"/>
                <w:lang w:val="de-CH"/>
              </w:rPr>
            </w:pPr>
            <w:r w:rsidRPr="002D741C">
              <w:rPr>
                <w:b/>
                <w:color w:val="000000"/>
                <w:sz w:val="22"/>
                <w:szCs w:val="22"/>
                <w:lang w:val="de-CH"/>
              </w:rPr>
              <w:t>Luxembourg/Luxemburg</w:t>
            </w:r>
          </w:p>
          <w:p w14:paraId="6B42E28D" w14:textId="77777777" w:rsidR="003F2568" w:rsidRPr="002D741C" w:rsidRDefault="003F2568" w:rsidP="001E1329">
            <w:pPr>
              <w:rPr>
                <w:color w:val="000000"/>
                <w:sz w:val="22"/>
                <w:szCs w:val="22"/>
                <w:lang w:val="de-CH"/>
              </w:rPr>
            </w:pPr>
            <w:r w:rsidRPr="002D741C">
              <w:rPr>
                <w:color w:val="000000"/>
                <w:sz w:val="22"/>
                <w:szCs w:val="22"/>
                <w:lang w:val="de-CH"/>
              </w:rPr>
              <w:t>Novartis Pharma N.V.</w:t>
            </w:r>
          </w:p>
          <w:p w14:paraId="7FFA1A87" w14:textId="77777777" w:rsidR="003F2568" w:rsidRPr="002D741C" w:rsidRDefault="003F2568" w:rsidP="001E1329">
            <w:pPr>
              <w:rPr>
                <w:color w:val="000000"/>
                <w:sz w:val="22"/>
                <w:szCs w:val="22"/>
                <w:lang w:val="de-CH"/>
              </w:rPr>
            </w:pPr>
            <w:r w:rsidRPr="002D741C">
              <w:rPr>
                <w:color w:val="000000"/>
                <w:sz w:val="22"/>
                <w:szCs w:val="22"/>
                <w:lang w:val="de-CH"/>
              </w:rPr>
              <w:t>Tél/Tel: +32 2 246 16 11</w:t>
            </w:r>
          </w:p>
          <w:p w14:paraId="38D8AF0B" w14:textId="77777777" w:rsidR="003F2568" w:rsidRPr="002D741C" w:rsidRDefault="003F2568" w:rsidP="001E1329">
            <w:pPr>
              <w:rPr>
                <w:color w:val="000000"/>
                <w:sz w:val="22"/>
                <w:szCs w:val="22"/>
                <w:lang w:val="de-CH"/>
              </w:rPr>
            </w:pPr>
          </w:p>
        </w:tc>
      </w:tr>
      <w:tr w:rsidR="003F2568" w:rsidRPr="001210C1" w14:paraId="69DEE5F4" w14:textId="77777777" w:rsidTr="005127D7">
        <w:trPr>
          <w:cantSplit/>
        </w:trPr>
        <w:tc>
          <w:tcPr>
            <w:tcW w:w="4650" w:type="dxa"/>
          </w:tcPr>
          <w:p w14:paraId="4379E396" w14:textId="77777777" w:rsidR="003F2568" w:rsidRPr="002D741C" w:rsidRDefault="003F2568" w:rsidP="001E1329">
            <w:pPr>
              <w:rPr>
                <w:b/>
                <w:color w:val="000000"/>
                <w:sz w:val="22"/>
                <w:szCs w:val="22"/>
                <w:lang w:val="pt-BR"/>
              </w:rPr>
            </w:pPr>
            <w:r w:rsidRPr="002D741C">
              <w:rPr>
                <w:b/>
                <w:color w:val="000000"/>
                <w:sz w:val="22"/>
                <w:szCs w:val="22"/>
                <w:lang w:val="pt-BR"/>
              </w:rPr>
              <w:t>Česká republika</w:t>
            </w:r>
          </w:p>
          <w:p w14:paraId="361CC4BD" w14:textId="77777777" w:rsidR="003F2568" w:rsidRPr="002D741C" w:rsidRDefault="003F2568" w:rsidP="001E1329">
            <w:pPr>
              <w:rPr>
                <w:color w:val="000000"/>
                <w:sz w:val="22"/>
                <w:szCs w:val="22"/>
                <w:lang w:val="pt-BR"/>
              </w:rPr>
            </w:pPr>
            <w:r w:rsidRPr="002D741C">
              <w:rPr>
                <w:color w:val="000000"/>
                <w:sz w:val="22"/>
                <w:szCs w:val="22"/>
                <w:lang w:val="pt-BR"/>
              </w:rPr>
              <w:t>Novartis s.r.o.</w:t>
            </w:r>
          </w:p>
          <w:p w14:paraId="08B458EF" w14:textId="77777777" w:rsidR="003F2568" w:rsidRPr="002D741C" w:rsidRDefault="003F2568" w:rsidP="001E1329">
            <w:pPr>
              <w:rPr>
                <w:color w:val="000000"/>
                <w:sz w:val="22"/>
                <w:szCs w:val="22"/>
              </w:rPr>
            </w:pPr>
            <w:r w:rsidRPr="002D741C">
              <w:rPr>
                <w:color w:val="000000"/>
                <w:sz w:val="22"/>
                <w:szCs w:val="22"/>
              </w:rPr>
              <w:t>Tel: +420 225 775 111</w:t>
            </w:r>
          </w:p>
          <w:p w14:paraId="09C48D3D" w14:textId="77777777" w:rsidR="003F2568" w:rsidRPr="002D741C" w:rsidRDefault="003F2568" w:rsidP="001E1329">
            <w:pPr>
              <w:rPr>
                <w:b/>
                <w:color w:val="000000"/>
                <w:sz w:val="22"/>
                <w:szCs w:val="22"/>
              </w:rPr>
            </w:pPr>
          </w:p>
        </w:tc>
        <w:tc>
          <w:tcPr>
            <w:tcW w:w="4650" w:type="dxa"/>
          </w:tcPr>
          <w:p w14:paraId="546B0A6A" w14:textId="77777777" w:rsidR="003F2568" w:rsidRPr="00DF6C0D" w:rsidRDefault="003F2568" w:rsidP="001E1329">
            <w:pPr>
              <w:rPr>
                <w:b/>
                <w:color w:val="000000"/>
                <w:sz w:val="22"/>
                <w:szCs w:val="22"/>
                <w:lang w:val="en-US"/>
              </w:rPr>
            </w:pPr>
            <w:r w:rsidRPr="00DF6C0D">
              <w:rPr>
                <w:b/>
                <w:color w:val="000000"/>
                <w:sz w:val="22"/>
                <w:szCs w:val="22"/>
                <w:lang w:val="en-US"/>
              </w:rPr>
              <w:t>Magyarország</w:t>
            </w:r>
          </w:p>
          <w:p w14:paraId="297B799F" w14:textId="77777777" w:rsidR="003F2568" w:rsidRPr="00DF6C0D" w:rsidRDefault="003F2568" w:rsidP="001E1329">
            <w:pPr>
              <w:rPr>
                <w:color w:val="000000"/>
                <w:sz w:val="22"/>
                <w:szCs w:val="22"/>
                <w:lang w:val="en-US"/>
              </w:rPr>
            </w:pPr>
            <w:r w:rsidRPr="00DF6C0D">
              <w:rPr>
                <w:color w:val="000000"/>
                <w:sz w:val="22"/>
                <w:szCs w:val="22"/>
                <w:lang w:val="en-US"/>
              </w:rPr>
              <w:t>Novartis Hungária Kft.</w:t>
            </w:r>
          </w:p>
          <w:p w14:paraId="00F59EEF" w14:textId="77777777" w:rsidR="003F2568" w:rsidRPr="00DF6C0D" w:rsidRDefault="003F2568" w:rsidP="001E1329">
            <w:pPr>
              <w:rPr>
                <w:color w:val="000000"/>
                <w:sz w:val="22"/>
                <w:szCs w:val="22"/>
                <w:lang w:val="en-US"/>
              </w:rPr>
            </w:pPr>
            <w:r w:rsidRPr="00DF6C0D">
              <w:rPr>
                <w:color w:val="000000"/>
                <w:sz w:val="22"/>
                <w:szCs w:val="22"/>
                <w:lang w:val="en-US"/>
              </w:rPr>
              <w:t>Tel.: +36 1 457 65 00</w:t>
            </w:r>
          </w:p>
        </w:tc>
      </w:tr>
      <w:tr w:rsidR="003F2568" w:rsidRPr="002D741C" w14:paraId="6B0CDE35" w14:textId="77777777" w:rsidTr="005127D7">
        <w:trPr>
          <w:cantSplit/>
        </w:trPr>
        <w:tc>
          <w:tcPr>
            <w:tcW w:w="4650" w:type="dxa"/>
          </w:tcPr>
          <w:p w14:paraId="2728A526" w14:textId="77777777" w:rsidR="003F2568" w:rsidRPr="002D741C" w:rsidRDefault="003F2568" w:rsidP="001E1329">
            <w:pPr>
              <w:rPr>
                <w:b/>
                <w:color w:val="000000"/>
                <w:sz w:val="22"/>
                <w:szCs w:val="22"/>
                <w:lang w:val="en-US"/>
              </w:rPr>
            </w:pPr>
            <w:r w:rsidRPr="002D741C">
              <w:rPr>
                <w:b/>
                <w:color w:val="000000"/>
                <w:sz w:val="22"/>
                <w:szCs w:val="22"/>
                <w:lang w:val="en-US"/>
              </w:rPr>
              <w:t>Danmark</w:t>
            </w:r>
          </w:p>
          <w:p w14:paraId="5D546A23" w14:textId="77777777" w:rsidR="003F2568" w:rsidRPr="002D741C" w:rsidRDefault="003F2568" w:rsidP="001E1329">
            <w:pPr>
              <w:rPr>
                <w:color w:val="000000"/>
                <w:sz w:val="22"/>
                <w:szCs w:val="22"/>
                <w:lang w:val="en-US"/>
              </w:rPr>
            </w:pPr>
            <w:r w:rsidRPr="002D741C">
              <w:rPr>
                <w:color w:val="000000"/>
                <w:sz w:val="22"/>
                <w:szCs w:val="22"/>
                <w:lang w:val="en-US"/>
              </w:rPr>
              <w:t>Novartis Healthcare A/S</w:t>
            </w:r>
          </w:p>
          <w:p w14:paraId="0A78978F" w14:textId="77777777" w:rsidR="003F2568" w:rsidRPr="002D741C" w:rsidRDefault="003F2568" w:rsidP="001E1329">
            <w:pPr>
              <w:rPr>
                <w:color w:val="000000"/>
                <w:sz w:val="22"/>
                <w:szCs w:val="22"/>
                <w:lang w:val="en-US"/>
              </w:rPr>
            </w:pPr>
            <w:r w:rsidRPr="002D741C">
              <w:rPr>
                <w:color w:val="000000"/>
                <w:sz w:val="22"/>
                <w:szCs w:val="22"/>
                <w:lang w:val="en-US"/>
              </w:rPr>
              <w:t>Tlf: +45 39 16 84 00</w:t>
            </w:r>
          </w:p>
          <w:p w14:paraId="4F5B106E" w14:textId="77777777" w:rsidR="003F2568" w:rsidRPr="002D741C" w:rsidRDefault="003F2568" w:rsidP="001E1329">
            <w:pPr>
              <w:rPr>
                <w:b/>
                <w:color w:val="000000"/>
                <w:sz w:val="22"/>
                <w:szCs w:val="22"/>
                <w:lang w:val="en-US"/>
              </w:rPr>
            </w:pPr>
          </w:p>
        </w:tc>
        <w:tc>
          <w:tcPr>
            <w:tcW w:w="4650" w:type="dxa"/>
          </w:tcPr>
          <w:p w14:paraId="739230BD" w14:textId="77777777" w:rsidR="003F2568" w:rsidRPr="002D741C" w:rsidRDefault="003F2568" w:rsidP="001E1329">
            <w:pPr>
              <w:rPr>
                <w:b/>
                <w:color w:val="000000"/>
                <w:sz w:val="22"/>
                <w:szCs w:val="22"/>
                <w:lang w:val="pt-BR"/>
              </w:rPr>
            </w:pPr>
            <w:r w:rsidRPr="002D741C">
              <w:rPr>
                <w:b/>
                <w:color w:val="000000"/>
                <w:sz w:val="22"/>
                <w:szCs w:val="22"/>
                <w:lang w:val="pt-BR"/>
              </w:rPr>
              <w:t>Malta</w:t>
            </w:r>
          </w:p>
          <w:p w14:paraId="4A64A843" w14:textId="77777777" w:rsidR="003F2568" w:rsidRPr="002D741C" w:rsidRDefault="003F2568" w:rsidP="001E1329">
            <w:pPr>
              <w:rPr>
                <w:color w:val="000000"/>
                <w:sz w:val="22"/>
                <w:szCs w:val="22"/>
                <w:lang w:val="pt-BR"/>
              </w:rPr>
            </w:pPr>
            <w:r w:rsidRPr="002D741C">
              <w:rPr>
                <w:color w:val="000000"/>
                <w:sz w:val="22"/>
                <w:szCs w:val="22"/>
                <w:lang w:val="pt-BR"/>
              </w:rPr>
              <w:t>Novartis Pharma Services Inc.</w:t>
            </w:r>
          </w:p>
          <w:p w14:paraId="1297F7DF" w14:textId="77777777" w:rsidR="003F2568" w:rsidRPr="002D741C" w:rsidRDefault="003F2568" w:rsidP="001E1329">
            <w:pPr>
              <w:rPr>
                <w:color w:val="000000"/>
                <w:sz w:val="22"/>
                <w:szCs w:val="22"/>
              </w:rPr>
            </w:pPr>
            <w:r w:rsidRPr="002D741C">
              <w:rPr>
                <w:color w:val="000000"/>
                <w:sz w:val="22"/>
                <w:szCs w:val="22"/>
              </w:rPr>
              <w:t>Tel: +356 2122 2872</w:t>
            </w:r>
          </w:p>
        </w:tc>
      </w:tr>
      <w:tr w:rsidR="003F2568" w:rsidRPr="002D741C" w14:paraId="52075174" w14:textId="77777777" w:rsidTr="005127D7">
        <w:trPr>
          <w:cantSplit/>
        </w:trPr>
        <w:tc>
          <w:tcPr>
            <w:tcW w:w="4650" w:type="dxa"/>
          </w:tcPr>
          <w:p w14:paraId="67B579EF" w14:textId="77777777" w:rsidR="003F2568" w:rsidRPr="002D741C" w:rsidRDefault="003F2568" w:rsidP="001E1329">
            <w:pPr>
              <w:rPr>
                <w:b/>
                <w:color w:val="000000"/>
                <w:sz w:val="22"/>
                <w:szCs w:val="22"/>
                <w:lang w:val="de-CH"/>
              </w:rPr>
            </w:pPr>
            <w:r w:rsidRPr="002D741C">
              <w:rPr>
                <w:b/>
                <w:color w:val="000000"/>
                <w:sz w:val="22"/>
                <w:szCs w:val="22"/>
                <w:lang w:val="de-CH"/>
              </w:rPr>
              <w:t>Deutschland</w:t>
            </w:r>
          </w:p>
          <w:p w14:paraId="3813A835" w14:textId="77777777" w:rsidR="003F2568" w:rsidRPr="002D741C" w:rsidRDefault="003F2568" w:rsidP="001E1329">
            <w:pPr>
              <w:rPr>
                <w:color w:val="000000"/>
                <w:sz w:val="22"/>
                <w:szCs w:val="22"/>
                <w:lang w:val="de-CH"/>
              </w:rPr>
            </w:pPr>
            <w:r w:rsidRPr="002D741C">
              <w:rPr>
                <w:color w:val="000000"/>
                <w:sz w:val="22"/>
                <w:szCs w:val="22"/>
                <w:lang w:val="de-CH"/>
              </w:rPr>
              <w:t>Novartis Pharma GmbH</w:t>
            </w:r>
          </w:p>
          <w:p w14:paraId="6528BFAF" w14:textId="77777777" w:rsidR="003F2568" w:rsidRPr="002D741C" w:rsidRDefault="003F2568" w:rsidP="001E1329">
            <w:pPr>
              <w:rPr>
                <w:color w:val="000000"/>
                <w:sz w:val="22"/>
                <w:szCs w:val="22"/>
                <w:lang w:val="de-CH"/>
              </w:rPr>
            </w:pPr>
            <w:r w:rsidRPr="002D741C">
              <w:rPr>
                <w:color w:val="000000"/>
                <w:sz w:val="22"/>
                <w:szCs w:val="22"/>
                <w:lang w:val="de-CH"/>
              </w:rPr>
              <w:t>Tel: +49 911 273 0</w:t>
            </w:r>
          </w:p>
          <w:p w14:paraId="674E92E2" w14:textId="77777777" w:rsidR="003F2568" w:rsidRPr="002D741C" w:rsidRDefault="003F2568" w:rsidP="001E1329">
            <w:pPr>
              <w:rPr>
                <w:b/>
                <w:color w:val="000000"/>
                <w:sz w:val="22"/>
                <w:szCs w:val="22"/>
                <w:lang w:val="de-CH"/>
              </w:rPr>
            </w:pPr>
          </w:p>
        </w:tc>
        <w:tc>
          <w:tcPr>
            <w:tcW w:w="4650" w:type="dxa"/>
          </w:tcPr>
          <w:p w14:paraId="4C65E109" w14:textId="77777777" w:rsidR="003F2568" w:rsidRPr="002D741C" w:rsidRDefault="003F2568" w:rsidP="001E1329">
            <w:pPr>
              <w:rPr>
                <w:b/>
                <w:color w:val="000000"/>
                <w:sz w:val="22"/>
                <w:szCs w:val="22"/>
                <w:lang w:val="de-CH"/>
              </w:rPr>
            </w:pPr>
            <w:r w:rsidRPr="002D741C">
              <w:rPr>
                <w:b/>
                <w:color w:val="000000"/>
                <w:sz w:val="22"/>
                <w:szCs w:val="22"/>
                <w:lang w:val="de-CH"/>
              </w:rPr>
              <w:t>Nederland</w:t>
            </w:r>
          </w:p>
          <w:p w14:paraId="7B76F68D" w14:textId="77777777" w:rsidR="003F2568" w:rsidRPr="002D741C" w:rsidRDefault="003F2568" w:rsidP="001E1329">
            <w:pPr>
              <w:rPr>
                <w:color w:val="000000"/>
                <w:sz w:val="22"/>
                <w:szCs w:val="22"/>
                <w:lang w:val="de-CH"/>
              </w:rPr>
            </w:pPr>
            <w:r w:rsidRPr="002D741C">
              <w:rPr>
                <w:color w:val="000000"/>
                <w:sz w:val="22"/>
                <w:szCs w:val="22"/>
                <w:lang w:val="de-CH"/>
              </w:rPr>
              <w:t>Novartis Pharma B.V.</w:t>
            </w:r>
          </w:p>
          <w:p w14:paraId="1DDD68B9" w14:textId="3B9781D2" w:rsidR="003F2568" w:rsidRPr="002D741C" w:rsidRDefault="003F2568" w:rsidP="0098245B">
            <w:pPr>
              <w:rPr>
                <w:color w:val="000000"/>
                <w:sz w:val="22"/>
                <w:szCs w:val="22"/>
                <w:lang w:val="de-DE"/>
              </w:rPr>
            </w:pPr>
            <w:r w:rsidRPr="002D741C">
              <w:rPr>
                <w:color w:val="000000"/>
                <w:sz w:val="22"/>
                <w:szCs w:val="22"/>
                <w:lang w:val="de-DE"/>
              </w:rPr>
              <w:t xml:space="preserve">Tel: +31 </w:t>
            </w:r>
            <w:r w:rsidR="001210C1" w:rsidRPr="001210C1">
              <w:rPr>
                <w:color w:val="000000"/>
                <w:sz w:val="22"/>
                <w:szCs w:val="22"/>
                <w:lang w:val="de-DE"/>
              </w:rPr>
              <w:t>88 04 52</w:t>
            </w:r>
            <w:r w:rsidRPr="002D741C">
              <w:rPr>
                <w:color w:val="000000"/>
                <w:sz w:val="22"/>
                <w:szCs w:val="22"/>
                <w:lang w:val="de-DE"/>
              </w:rPr>
              <w:t xml:space="preserve"> </w:t>
            </w:r>
            <w:r w:rsidR="0098245B" w:rsidRPr="002D741C">
              <w:rPr>
                <w:color w:val="000000"/>
                <w:sz w:val="22"/>
                <w:szCs w:val="22"/>
                <w:lang w:val="de-DE"/>
              </w:rPr>
              <w:t>555</w:t>
            </w:r>
          </w:p>
        </w:tc>
      </w:tr>
      <w:tr w:rsidR="003F2568" w:rsidRPr="001210C1" w14:paraId="6E9C83D4" w14:textId="77777777" w:rsidTr="005127D7">
        <w:trPr>
          <w:cantSplit/>
        </w:trPr>
        <w:tc>
          <w:tcPr>
            <w:tcW w:w="4650" w:type="dxa"/>
          </w:tcPr>
          <w:p w14:paraId="7DCCBD95" w14:textId="77777777" w:rsidR="003F2568" w:rsidRPr="002D741C" w:rsidRDefault="003F2568" w:rsidP="001E1329">
            <w:pPr>
              <w:rPr>
                <w:b/>
                <w:color w:val="000000"/>
                <w:sz w:val="22"/>
                <w:szCs w:val="22"/>
                <w:lang w:val="it-IT"/>
              </w:rPr>
            </w:pPr>
            <w:r w:rsidRPr="002D741C">
              <w:rPr>
                <w:b/>
                <w:color w:val="000000"/>
                <w:sz w:val="22"/>
                <w:szCs w:val="22"/>
                <w:lang w:val="it-IT"/>
              </w:rPr>
              <w:t>Eesti</w:t>
            </w:r>
          </w:p>
          <w:p w14:paraId="3291F34B" w14:textId="77777777" w:rsidR="0063057E" w:rsidRPr="002D741C" w:rsidRDefault="0063057E" w:rsidP="0063057E">
            <w:pPr>
              <w:rPr>
                <w:sz w:val="22"/>
                <w:szCs w:val="22"/>
                <w:lang w:val="it-IT"/>
              </w:rPr>
            </w:pPr>
            <w:r w:rsidRPr="002D741C">
              <w:rPr>
                <w:sz w:val="22"/>
                <w:szCs w:val="22"/>
                <w:lang w:val="it-IT"/>
              </w:rPr>
              <w:t>SIA Novartis Baltics Eesti filiaal</w:t>
            </w:r>
          </w:p>
          <w:p w14:paraId="242F48F5" w14:textId="77777777" w:rsidR="003F2568" w:rsidRPr="002D741C" w:rsidRDefault="003F2568" w:rsidP="001E1329">
            <w:pPr>
              <w:rPr>
                <w:color w:val="000000"/>
                <w:sz w:val="22"/>
                <w:szCs w:val="22"/>
              </w:rPr>
            </w:pPr>
            <w:r w:rsidRPr="002D741C">
              <w:rPr>
                <w:color w:val="000000"/>
                <w:sz w:val="22"/>
                <w:szCs w:val="22"/>
              </w:rPr>
              <w:t>Tel: +372 66 30 810</w:t>
            </w:r>
          </w:p>
          <w:p w14:paraId="450EA822" w14:textId="77777777" w:rsidR="003F2568" w:rsidRPr="002D741C" w:rsidRDefault="003F2568" w:rsidP="001E1329">
            <w:pPr>
              <w:rPr>
                <w:b/>
                <w:color w:val="000000"/>
                <w:sz w:val="22"/>
                <w:szCs w:val="22"/>
              </w:rPr>
            </w:pPr>
          </w:p>
        </w:tc>
        <w:tc>
          <w:tcPr>
            <w:tcW w:w="4650" w:type="dxa"/>
          </w:tcPr>
          <w:p w14:paraId="5E5504FB" w14:textId="77777777" w:rsidR="003F2568" w:rsidRPr="002D741C" w:rsidRDefault="003F2568" w:rsidP="001E1329">
            <w:pPr>
              <w:rPr>
                <w:b/>
                <w:color w:val="000000"/>
                <w:sz w:val="22"/>
                <w:szCs w:val="22"/>
                <w:lang w:val="pt-BR"/>
              </w:rPr>
            </w:pPr>
            <w:r w:rsidRPr="002D741C">
              <w:rPr>
                <w:b/>
                <w:color w:val="000000"/>
                <w:sz w:val="22"/>
                <w:szCs w:val="22"/>
                <w:lang w:val="pt-BR"/>
              </w:rPr>
              <w:t>Norge</w:t>
            </w:r>
          </w:p>
          <w:p w14:paraId="7EACE8D9" w14:textId="77777777" w:rsidR="003F2568" w:rsidRPr="002D741C" w:rsidRDefault="003F2568" w:rsidP="001E1329">
            <w:pPr>
              <w:rPr>
                <w:color w:val="000000"/>
                <w:sz w:val="22"/>
                <w:szCs w:val="22"/>
                <w:lang w:val="pt-BR"/>
              </w:rPr>
            </w:pPr>
            <w:r w:rsidRPr="002D741C">
              <w:rPr>
                <w:color w:val="000000"/>
                <w:sz w:val="22"/>
                <w:szCs w:val="22"/>
                <w:lang w:val="pt-BR"/>
              </w:rPr>
              <w:t>Novartis Norge AS</w:t>
            </w:r>
          </w:p>
          <w:p w14:paraId="4A6DBA9A" w14:textId="77777777" w:rsidR="003F2568" w:rsidRPr="002D741C" w:rsidRDefault="003F2568" w:rsidP="001E1329">
            <w:pPr>
              <w:rPr>
                <w:color w:val="000000"/>
                <w:sz w:val="22"/>
                <w:szCs w:val="22"/>
                <w:lang w:val="pt-BR"/>
              </w:rPr>
            </w:pPr>
            <w:r w:rsidRPr="002D741C">
              <w:rPr>
                <w:color w:val="000000"/>
                <w:sz w:val="22"/>
                <w:szCs w:val="22"/>
                <w:lang w:val="pt-BR"/>
              </w:rPr>
              <w:t>Tlf: +47 23 05 20 00</w:t>
            </w:r>
          </w:p>
        </w:tc>
      </w:tr>
      <w:tr w:rsidR="003F2568" w:rsidRPr="008D0368" w14:paraId="7379FF21" w14:textId="77777777" w:rsidTr="005127D7">
        <w:trPr>
          <w:cantSplit/>
        </w:trPr>
        <w:tc>
          <w:tcPr>
            <w:tcW w:w="4650" w:type="dxa"/>
          </w:tcPr>
          <w:p w14:paraId="057A4CB6" w14:textId="77777777" w:rsidR="003F2568" w:rsidRPr="002D741C" w:rsidRDefault="003F2568" w:rsidP="001E1329">
            <w:pPr>
              <w:rPr>
                <w:b/>
                <w:color w:val="000000"/>
                <w:sz w:val="22"/>
                <w:szCs w:val="22"/>
                <w:lang w:val="pt-BR"/>
              </w:rPr>
            </w:pPr>
            <w:r w:rsidRPr="002D741C">
              <w:rPr>
                <w:b/>
                <w:color w:val="000000"/>
                <w:sz w:val="22"/>
                <w:szCs w:val="22"/>
              </w:rPr>
              <w:t>Ελλάδα</w:t>
            </w:r>
          </w:p>
          <w:p w14:paraId="3FDD9CC9" w14:textId="77777777" w:rsidR="003F2568" w:rsidRPr="002D741C" w:rsidRDefault="003F2568" w:rsidP="001E1329">
            <w:pPr>
              <w:rPr>
                <w:color w:val="000000"/>
                <w:sz w:val="22"/>
                <w:szCs w:val="22"/>
                <w:lang w:val="pt-BR"/>
              </w:rPr>
            </w:pPr>
            <w:r w:rsidRPr="002D741C">
              <w:rPr>
                <w:color w:val="000000"/>
                <w:sz w:val="22"/>
                <w:szCs w:val="22"/>
                <w:lang w:val="pt-BR"/>
              </w:rPr>
              <w:t>Novartis (Hellas) A.E.B.E.</w:t>
            </w:r>
          </w:p>
          <w:p w14:paraId="33D4AD7A" w14:textId="77777777" w:rsidR="003F2568" w:rsidRPr="002D741C" w:rsidRDefault="003F2568" w:rsidP="001E1329">
            <w:pPr>
              <w:rPr>
                <w:color w:val="000000"/>
                <w:sz w:val="22"/>
                <w:szCs w:val="22"/>
                <w:lang w:val="pt-BR"/>
              </w:rPr>
            </w:pPr>
            <w:r w:rsidRPr="002D741C">
              <w:rPr>
                <w:color w:val="000000"/>
                <w:sz w:val="22"/>
                <w:szCs w:val="22"/>
              </w:rPr>
              <w:t>Τηλ</w:t>
            </w:r>
            <w:r w:rsidRPr="002D741C">
              <w:rPr>
                <w:color w:val="000000"/>
                <w:sz w:val="22"/>
                <w:szCs w:val="22"/>
                <w:lang w:val="pt-BR"/>
              </w:rPr>
              <w:t>: +30 210 281 17 12</w:t>
            </w:r>
          </w:p>
          <w:p w14:paraId="010FEEBA" w14:textId="77777777" w:rsidR="003F2568" w:rsidRPr="002D741C" w:rsidRDefault="003F2568" w:rsidP="001E1329">
            <w:pPr>
              <w:rPr>
                <w:b/>
                <w:color w:val="000000"/>
                <w:sz w:val="22"/>
                <w:szCs w:val="22"/>
                <w:lang w:val="pt-BR"/>
              </w:rPr>
            </w:pPr>
          </w:p>
        </w:tc>
        <w:tc>
          <w:tcPr>
            <w:tcW w:w="4650" w:type="dxa"/>
          </w:tcPr>
          <w:p w14:paraId="5B45FB08" w14:textId="77777777" w:rsidR="003F2568" w:rsidRPr="002D741C" w:rsidRDefault="003F2568" w:rsidP="001E1329">
            <w:pPr>
              <w:rPr>
                <w:b/>
                <w:color w:val="000000"/>
                <w:sz w:val="22"/>
                <w:szCs w:val="22"/>
                <w:lang w:val="de-CH"/>
              </w:rPr>
            </w:pPr>
            <w:r w:rsidRPr="002D741C">
              <w:rPr>
                <w:b/>
                <w:color w:val="000000"/>
                <w:sz w:val="22"/>
                <w:szCs w:val="22"/>
                <w:lang w:val="de-CH"/>
              </w:rPr>
              <w:t>Österreich</w:t>
            </w:r>
          </w:p>
          <w:p w14:paraId="26BC5B38" w14:textId="77777777" w:rsidR="003F2568" w:rsidRPr="002D741C" w:rsidRDefault="003F2568" w:rsidP="001E1329">
            <w:pPr>
              <w:rPr>
                <w:color w:val="000000"/>
                <w:sz w:val="22"/>
                <w:szCs w:val="22"/>
                <w:lang w:val="de-CH"/>
              </w:rPr>
            </w:pPr>
            <w:r w:rsidRPr="002D741C">
              <w:rPr>
                <w:color w:val="000000"/>
                <w:sz w:val="22"/>
                <w:szCs w:val="22"/>
                <w:lang w:val="de-CH"/>
              </w:rPr>
              <w:t>Novartis Pharma GmbH</w:t>
            </w:r>
          </w:p>
          <w:p w14:paraId="23043535" w14:textId="77777777" w:rsidR="003F2568" w:rsidRPr="002D741C" w:rsidRDefault="003F2568" w:rsidP="001E1329">
            <w:pPr>
              <w:rPr>
                <w:color w:val="000000"/>
                <w:sz w:val="22"/>
                <w:szCs w:val="22"/>
                <w:lang w:val="de-CH"/>
              </w:rPr>
            </w:pPr>
            <w:r w:rsidRPr="002D741C">
              <w:rPr>
                <w:color w:val="000000"/>
                <w:sz w:val="22"/>
                <w:szCs w:val="22"/>
                <w:lang w:val="de-CH"/>
              </w:rPr>
              <w:t>Tel: +43 1 86 6570</w:t>
            </w:r>
          </w:p>
        </w:tc>
      </w:tr>
      <w:tr w:rsidR="003F2568" w:rsidRPr="008D0368" w14:paraId="28A614A6" w14:textId="77777777" w:rsidTr="005127D7">
        <w:trPr>
          <w:cantSplit/>
        </w:trPr>
        <w:tc>
          <w:tcPr>
            <w:tcW w:w="4650" w:type="dxa"/>
          </w:tcPr>
          <w:p w14:paraId="2A3D7CC4" w14:textId="77777777" w:rsidR="003F2568" w:rsidRPr="002D741C" w:rsidRDefault="003F2568" w:rsidP="001E1329">
            <w:pPr>
              <w:rPr>
                <w:b/>
                <w:color w:val="000000"/>
                <w:sz w:val="22"/>
                <w:szCs w:val="22"/>
                <w:lang w:val="es-ES"/>
              </w:rPr>
            </w:pPr>
            <w:r w:rsidRPr="002D741C">
              <w:rPr>
                <w:b/>
                <w:color w:val="000000"/>
                <w:sz w:val="22"/>
                <w:szCs w:val="22"/>
                <w:lang w:val="es-ES"/>
              </w:rPr>
              <w:t>España</w:t>
            </w:r>
          </w:p>
          <w:p w14:paraId="13E834B6" w14:textId="77777777" w:rsidR="003F2568" w:rsidRPr="002D741C" w:rsidRDefault="003F2568" w:rsidP="001E1329">
            <w:pPr>
              <w:rPr>
                <w:color w:val="000000"/>
                <w:sz w:val="22"/>
                <w:szCs w:val="22"/>
                <w:lang w:val="es-ES"/>
              </w:rPr>
            </w:pPr>
            <w:r w:rsidRPr="002D741C">
              <w:rPr>
                <w:color w:val="000000"/>
                <w:sz w:val="22"/>
                <w:szCs w:val="22"/>
                <w:lang w:val="es-ES"/>
              </w:rPr>
              <w:t>Novartis Farmacéutica, S.A.</w:t>
            </w:r>
          </w:p>
          <w:p w14:paraId="4E3AE4DC" w14:textId="77777777" w:rsidR="003F2568" w:rsidRPr="002D741C" w:rsidRDefault="003F2568" w:rsidP="001E1329">
            <w:pPr>
              <w:rPr>
                <w:color w:val="000000"/>
                <w:sz w:val="22"/>
                <w:szCs w:val="22"/>
              </w:rPr>
            </w:pPr>
            <w:r w:rsidRPr="002D741C">
              <w:rPr>
                <w:color w:val="000000"/>
                <w:sz w:val="22"/>
                <w:szCs w:val="22"/>
              </w:rPr>
              <w:t>Tel: +34 93 306 42 00</w:t>
            </w:r>
          </w:p>
          <w:p w14:paraId="446AB559" w14:textId="77777777" w:rsidR="003F2568" w:rsidRPr="002D741C" w:rsidRDefault="003F2568" w:rsidP="001E1329">
            <w:pPr>
              <w:rPr>
                <w:b/>
                <w:color w:val="000000"/>
                <w:sz w:val="22"/>
                <w:szCs w:val="22"/>
              </w:rPr>
            </w:pPr>
          </w:p>
        </w:tc>
        <w:tc>
          <w:tcPr>
            <w:tcW w:w="4650" w:type="dxa"/>
          </w:tcPr>
          <w:p w14:paraId="4CBBE09D" w14:textId="77777777" w:rsidR="003F2568" w:rsidRPr="002D741C" w:rsidRDefault="003F2568" w:rsidP="001E1329">
            <w:pPr>
              <w:rPr>
                <w:b/>
                <w:color w:val="000000"/>
                <w:sz w:val="22"/>
                <w:szCs w:val="22"/>
                <w:lang w:val="pt-BR"/>
              </w:rPr>
            </w:pPr>
            <w:r w:rsidRPr="002D741C">
              <w:rPr>
                <w:b/>
                <w:color w:val="000000"/>
                <w:sz w:val="22"/>
                <w:szCs w:val="22"/>
                <w:lang w:val="pt-BR"/>
              </w:rPr>
              <w:t>Polska</w:t>
            </w:r>
          </w:p>
          <w:p w14:paraId="5EA4B33C" w14:textId="77777777" w:rsidR="003F2568" w:rsidRPr="002D741C" w:rsidRDefault="003F2568" w:rsidP="001E1329">
            <w:pPr>
              <w:rPr>
                <w:color w:val="000000"/>
                <w:sz w:val="22"/>
                <w:szCs w:val="22"/>
                <w:lang w:val="pt-BR"/>
              </w:rPr>
            </w:pPr>
            <w:r w:rsidRPr="002D741C">
              <w:rPr>
                <w:color w:val="000000"/>
                <w:sz w:val="22"/>
                <w:szCs w:val="22"/>
                <w:lang w:val="pt-BR"/>
              </w:rPr>
              <w:t>Novartis Poland Sp. z o.o.</w:t>
            </w:r>
          </w:p>
          <w:p w14:paraId="6F7CFA95" w14:textId="77777777" w:rsidR="003F2568" w:rsidRPr="002D741C" w:rsidRDefault="003F2568" w:rsidP="001E1329">
            <w:pPr>
              <w:rPr>
                <w:color w:val="000000"/>
                <w:sz w:val="22"/>
                <w:szCs w:val="22"/>
                <w:lang w:val="pt-BR"/>
              </w:rPr>
            </w:pPr>
            <w:r w:rsidRPr="002D741C">
              <w:rPr>
                <w:color w:val="000000"/>
                <w:sz w:val="22"/>
                <w:szCs w:val="22"/>
                <w:lang w:val="pt-BR"/>
              </w:rPr>
              <w:t xml:space="preserve">Tel.: +48 22 </w:t>
            </w:r>
            <w:r w:rsidRPr="008D0368">
              <w:rPr>
                <w:sz w:val="22"/>
                <w:szCs w:val="22"/>
                <w:lang w:val="fr-CH"/>
              </w:rPr>
              <w:t>375 4888</w:t>
            </w:r>
          </w:p>
        </w:tc>
      </w:tr>
      <w:tr w:rsidR="003F2568" w:rsidRPr="002D741C" w14:paraId="1122B648" w14:textId="77777777" w:rsidTr="005127D7">
        <w:trPr>
          <w:cantSplit/>
        </w:trPr>
        <w:tc>
          <w:tcPr>
            <w:tcW w:w="4650" w:type="dxa"/>
          </w:tcPr>
          <w:p w14:paraId="0672FB27" w14:textId="77777777" w:rsidR="003F2568" w:rsidRPr="002D741C" w:rsidRDefault="003F2568" w:rsidP="001E1329">
            <w:pPr>
              <w:rPr>
                <w:b/>
                <w:color w:val="000000"/>
                <w:sz w:val="22"/>
                <w:szCs w:val="22"/>
                <w:lang w:val="fr-FR"/>
              </w:rPr>
            </w:pPr>
            <w:r w:rsidRPr="002D741C">
              <w:rPr>
                <w:b/>
                <w:color w:val="000000"/>
                <w:sz w:val="22"/>
                <w:szCs w:val="22"/>
                <w:lang w:val="fr-FR"/>
              </w:rPr>
              <w:t>France</w:t>
            </w:r>
          </w:p>
          <w:p w14:paraId="0419A84A" w14:textId="77777777" w:rsidR="003F2568" w:rsidRPr="002D741C" w:rsidRDefault="003F2568" w:rsidP="001E1329">
            <w:pPr>
              <w:rPr>
                <w:color w:val="000000"/>
                <w:sz w:val="22"/>
                <w:szCs w:val="22"/>
                <w:lang w:val="fr-FR"/>
              </w:rPr>
            </w:pPr>
            <w:r w:rsidRPr="002D741C">
              <w:rPr>
                <w:color w:val="000000"/>
                <w:sz w:val="22"/>
                <w:szCs w:val="22"/>
                <w:lang w:val="fr-FR"/>
              </w:rPr>
              <w:t>Novartis Pharma S.A.S.</w:t>
            </w:r>
          </w:p>
          <w:p w14:paraId="6759DD4C" w14:textId="77777777" w:rsidR="003F2568" w:rsidRPr="002D741C" w:rsidRDefault="003F2568" w:rsidP="001E1329">
            <w:pPr>
              <w:rPr>
                <w:color w:val="000000"/>
                <w:sz w:val="22"/>
                <w:szCs w:val="22"/>
                <w:lang w:val="fr-FR"/>
              </w:rPr>
            </w:pPr>
            <w:r w:rsidRPr="002D741C">
              <w:rPr>
                <w:color w:val="000000"/>
                <w:sz w:val="22"/>
                <w:szCs w:val="22"/>
                <w:lang w:val="fr-FR"/>
              </w:rPr>
              <w:t>Tél: +33 1 55 47 66 00</w:t>
            </w:r>
          </w:p>
          <w:p w14:paraId="7D8B9235" w14:textId="77777777" w:rsidR="003F2568" w:rsidRPr="002D741C" w:rsidRDefault="003F2568" w:rsidP="001E1329">
            <w:pPr>
              <w:rPr>
                <w:b/>
                <w:color w:val="000000"/>
                <w:sz w:val="22"/>
                <w:szCs w:val="22"/>
                <w:lang w:val="fr-FR"/>
              </w:rPr>
            </w:pPr>
          </w:p>
        </w:tc>
        <w:tc>
          <w:tcPr>
            <w:tcW w:w="4650" w:type="dxa"/>
          </w:tcPr>
          <w:p w14:paraId="6E750724" w14:textId="77777777" w:rsidR="003F2568" w:rsidRPr="002D741C" w:rsidRDefault="003F2568" w:rsidP="001E1329">
            <w:pPr>
              <w:rPr>
                <w:b/>
                <w:color w:val="000000"/>
                <w:sz w:val="22"/>
                <w:szCs w:val="22"/>
                <w:lang w:val="pt-BR"/>
              </w:rPr>
            </w:pPr>
            <w:r w:rsidRPr="002D741C">
              <w:rPr>
                <w:b/>
                <w:color w:val="000000"/>
                <w:sz w:val="22"/>
                <w:szCs w:val="22"/>
                <w:lang w:val="pt-BR"/>
              </w:rPr>
              <w:t>Portugal</w:t>
            </w:r>
          </w:p>
          <w:p w14:paraId="1A9FF514" w14:textId="77777777" w:rsidR="003F2568" w:rsidRPr="002D741C" w:rsidRDefault="003F2568" w:rsidP="001E1329">
            <w:pPr>
              <w:rPr>
                <w:color w:val="000000"/>
                <w:sz w:val="22"/>
                <w:szCs w:val="22"/>
                <w:lang w:val="pt-BR"/>
              </w:rPr>
            </w:pPr>
            <w:r w:rsidRPr="002D741C">
              <w:rPr>
                <w:color w:val="000000"/>
                <w:sz w:val="22"/>
                <w:szCs w:val="22"/>
                <w:lang w:val="pt-BR"/>
              </w:rPr>
              <w:t>Novartis Farma - Produtos Farmacêuticos, S.A.</w:t>
            </w:r>
          </w:p>
          <w:p w14:paraId="0589C3A1" w14:textId="77777777" w:rsidR="003F2568" w:rsidRPr="002D741C" w:rsidRDefault="003F2568" w:rsidP="001E1329">
            <w:pPr>
              <w:rPr>
                <w:color w:val="000000"/>
                <w:sz w:val="22"/>
                <w:szCs w:val="22"/>
              </w:rPr>
            </w:pPr>
            <w:r w:rsidRPr="002D741C">
              <w:rPr>
                <w:color w:val="000000"/>
                <w:sz w:val="22"/>
                <w:szCs w:val="22"/>
              </w:rPr>
              <w:t>Tel: +351 21 000 8600</w:t>
            </w:r>
          </w:p>
        </w:tc>
      </w:tr>
      <w:tr w:rsidR="003F2568" w:rsidRPr="002D741C" w14:paraId="1B09A721" w14:textId="77777777" w:rsidTr="005127D7">
        <w:trPr>
          <w:cantSplit/>
        </w:trPr>
        <w:tc>
          <w:tcPr>
            <w:tcW w:w="4650" w:type="dxa"/>
          </w:tcPr>
          <w:p w14:paraId="7BB7A3DF" w14:textId="77777777" w:rsidR="003F2568" w:rsidRPr="00C379C5" w:rsidRDefault="003F2568" w:rsidP="001E1329">
            <w:pPr>
              <w:rPr>
                <w:rFonts w:eastAsia="PMingLiU"/>
                <w:b/>
                <w:sz w:val="22"/>
                <w:szCs w:val="22"/>
                <w:lang w:val="en-GB"/>
              </w:rPr>
            </w:pPr>
            <w:r w:rsidRPr="00C379C5">
              <w:rPr>
                <w:rFonts w:eastAsia="PMingLiU"/>
                <w:b/>
                <w:sz w:val="22"/>
                <w:szCs w:val="22"/>
                <w:lang w:val="en-GB"/>
              </w:rPr>
              <w:t>Hrvatska</w:t>
            </w:r>
          </w:p>
          <w:p w14:paraId="4F16994C" w14:textId="77777777" w:rsidR="003F2568" w:rsidRPr="00C379C5" w:rsidRDefault="003F2568" w:rsidP="001E1329">
            <w:pPr>
              <w:rPr>
                <w:sz w:val="22"/>
                <w:szCs w:val="22"/>
                <w:lang w:val="en-GB"/>
              </w:rPr>
            </w:pPr>
            <w:r w:rsidRPr="00C379C5">
              <w:rPr>
                <w:sz w:val="22"/>
                <w:szCs w:val="22"/>
                <w:lang w:val="en-GB"/>
              </w:rPr>
              <w:t>Novartis Hrvatska d.o.o.</w:t>
            </w:r>
          </w:p>
          <w:p w14:paraId="3103D90B" w14:textId="77777777" w:rsidR="003F2568" w:rsidRPr="002D741C" w:rsidRDefault="003F2568" w:rsidP="001E1329">
            <w:pPr>
              <w:rPr>
                <w:sz w:val="22"/>
                <w:szCs w:val="22"/>
              </w:rPr>
            </w:pPr>
            <w:r w:rsidRPr="002D741C">
              <w:rPr>
                <w:sz w:val="22"/>
                <w:szCs w:val="22"/>
              </w:rPr>
              <w:t>Tel. +385 1 6274 220</w:t>
            </w:r>
          </w:p>
          <w:p w14:paraId="7BAA4C11" w14:textId="77777777" w:rsidR="003F2568" w:rsidRPr="002D741C" w:rsidRDefault="003F2568" w:rsidP="001E1329">
            <w:pPr>
              <w:rPr>
                <w:b/>
                <w:color w:val="000000"/>
                <w:sz w:val="22"/>
                <w:szCs w:val="22"/>
                <w:lang w:val="fr-FR"/>
              </w:rPr>
            </w:pPr>
          </w:p>
        </w:tc>
        <w:tc>
          <w:tcPr>
            <w:tcW w:w="4650" w:type="dxa"/>
          </w:tcPr>
          <w:p w14:paraId="4F35168B" w14:textId="77777777" w:rsidR="003F2568" w:rsidRPr="002D741C" w:rsidRDefault="003F2568" w:rsidP="001E1329">
            <w:pPr>
              <w:rPr>
                <w:b/>
                <w:noProof/>
                <w:color w:val="000000"/>
                <w:sz w:val="22"/>
                <w:szCs w:val="22"/>
                <w:lang w:val="it-IT"/>
              </w:rPr>
            </w:pPr>
            <w:r w:rsidRPr="002D741C">
              <w:rPr>
                <w:b/>
                <w:noProof/>
                <w:color w:val="000000"/>
                <w:sz w:val="22"/>
                <w:szCs w:val="22"/>
                <w:lang w:val="it-IT"/>
              </w:rPr>
              <w:t>România</w:t>
            </w:r>
          </w:p>
          <w:p w14:paraId="42AEC1C4" w14:textId="77777777" w:rsidR="003F2568" w:rsidRPr="002D741C" w:rsidRDefault="003F2568" w:rsidP="001E1329">
            <w:pPr>
              <w:rPr>
                <w:noProof/>
                <w:color w:val="000000"/>
                <w:sz w:val="22"/>
                <w:szCs w:val="22"/>
                <w:lang w:val="it-IT"/>
              </w:rPr>
            </w:pPr>
            <w:r w:rsidRPr="002D741C">
              <w:rPr>
                <w:noProof/>
                <w:color w:val="000000"/>
                <w:sz w:val="22"/>
                <w:szCs w:val="22"/>
                <w:lang w:val="it-IT"/>
              </w:rPr>
              <w:t xml:space="preserve">Novartis Pharma Services </w:t>
            </w:r>
            <w:r w:rsidRPr="002D741C">
              <w:rPr>
                <w:color w:val="2F2F2F"/>
                <w:sz w:val="22"/>
                <w:szCs w:val="22"/>
              </w:rPr>
              <w:t>Romania SRL</w:t>
            </w:r>
          </w:p>
          <w:p w14:paraId="454C4BED" w14:textId="77777777" w:rsidR="003F2568" w:rsidRPr="002D741C" w:rsidRDefault="003F2568" w:rsidP="001E1329">
            <w:pPr>
              <w:rPr>
                <w:color w:val="000000"/>
                <w:sz w:val="22"/>
                <w:szCs w:val="22"/>
              </w:rPr>
            </w:pPr>
            <w:r w:rsidRPr="002D741C">
              <w:rPr>
                <w:noProof/>
                <w:color w:val="000000"/>
                <w:sz w:val="22"/>
                <w:szCs w:val="22"/>
                <w:lang w:val="it-IT"/>
              </w:rPr>
              <w:t>Tel: +40 21 31299 01</w:t>
            </w:r>
          </w:p>
        </w:tc>
      </w:tr>
      <w:tr w:rsidR="003F2568" w:rsidRPr="002D741C" w14:paraId="1C4B0BDE" w14:textId="77777777" w:rsidTr="005127D7">
        <w:trPr>
          <w:cantSplit/>
        </w:trPr>
        <w:tc>
          <w:tcPr>
            <w:tcW w:w="4650" w:type="dxa"/>
          </w:tcPr>
          <w:p w14:paraId="5C5D6345" w14:textId="77777777" w:rsidR="003F2568" w:rsidRPr="002D741C" w:rsidRDefault="003F2568" w:rsidP="001E1329">
            <w:pPr>
              <w:rPr>
                <w:b/>
                <w:color w:val="000000"/>
                <w:sz w:val="22"/>
                <w:szCs w:val="22"/>
                <w:lang w:val="en-US"/>
              </w:rPr>
            </w:pPr>
            <w:smartTag w:uri="urn:schemas-microsoft-com:office:smarttags" w:element="place">
              <w:smartTag w:uri="urn:schemas-microsoft-com:office:smarttags" w:element="country-region">
                <w:r w:rsidRPr="002D741C">
                  <w:rPr>
                    <w:b/>
                    <w:color w:val="000000"/>
                    <w:sz w:val="22"/>
                    <w:szCs w:val="22"/>
                    <w:lang w:val="en-US"/>
                  </w:rPr>
                  <w:t>Ireland</w:t>
                </w:r>
              </w:smartTag>
            </w:smartTag>
          </w:p>
          <w:p w14:paraId="05B63672" w14:textId="77777777" w:rsidR="003F2568" w:rsidRPr="002D741C" w:rsidRDefault="003F2568" w:rsidP="001E1329">
            <w:pPr>
              <w:rPr>
                <w:color w:val="000000"/>
                <w:sz w:val="22"/>
                <w:szCs w:val="22"/>
                <w:lang w:val="en-US"/>
              </w:rPr>
            </w:pPr>
            <w:r w:rsidRPr="002D741C">
              <w:rPr>
                <w:color w:val="000000"/>
                <w:sz w:val="22"/>
                <w:szCs w:val="22"/>
                <w:lang w:val="en-US"/>
              </w:rPr>
              <w:t>Novartis Ireland Limited</w:t>
            </w:r>
          </w:p>
          <w:p w14:paraId="3A5367DD" w14:textId="77777777" w:rsidR="003F2568" w:rsidRPr="002D741C" w:rsidRDefault="003F2568" w:rsidP="001E1329">
            <w:pPr>
              <w:rPr>
                <w:color w:val="000000"/>
                <w:sz w:val="22"/>
                <w:szCs w:val="22"/>
                <w:lang w:val="en-US"/>
              </w:rPr>
            </w:pPr>
            <w:r w:rsidRPr="002D741C">
              <w:rPr>
                <w:color w:val="000000"/>
                <w:sz w:val="22"/>
                <w:szCs w:val="22"/>
                <w:lang w:val="en-US"/>
              </w:rPr>
              <w:t>Tel: +353 1 260 12 55</w:t>
            </w:r>
          </w:p>
          <w:p w14:paraId="2CC468D2" w14:textId="77777777" w:rsidR="003F2568" w:rsidRPr="002D741C" w:rsidRDefault="003F2568" w:rsidP="001E1329">
            <w:pPr>
              <w:rPr>
                <w:b/>
                <w:color w:val="000000"/>
                <w:sz w:val="22"/>
                <w:szCs w:val="22"/>
                <w:lang w:val="en-US"/>
              </w:rPr>
            </w:pPr>
          </w:p>
        </w:tc>
        <w:tc>
          <w:tcPr>
            <w:tcW w:w="4650" w:type="dxa"/>
          </w:tcPr>
          <w:p w14:paraId="05F60A79" w14:textId="77777777" w:rsidR="003F2568" w:rsidRPr="002D741C" w:rsidRDefault="003F2568" w:rsidP="001E1329">
            <w:pPr>
              <w:rPr>
                <w:b/>
                <w:color w:val="000000"/>
                <w:sz w:val="22"/>
                <w:szCs w:val="22"/>
                <w:lang w:val="fr-FR"/>
              </w:rPr>
            </w:pPr>
            <w:r w:rsidRPr="002D741C">
              <w:rPr>
                <w:b/>
                <w:color w:val="000000"/>
                <w:sz w:val="22"/>
                <w:szCs w:val="22"/>
                <w:lang w:val="fr-FR"/>
              </w:rPr>
              <w:t>Slovenija</w:t>
            </w:r>
          </w:p>
          <w:p w14:paraId="4AFC70B0" w14:textId="77777777" w:rsidR="003F2568" w:rsidRPr="002D741C" w:rsidRDefault="003F2568" w:rsidP="001E1329">
            <w:pPr>
              <w:rPr>
                <w:color w:val="000000"/>
                <w:sz w:val="22"/>
                <w:szCs w:val="22"/>
                <w:lang w:val="fr-FR"/>
              </w:rPr>
            </w:pPr>
            <w:r w:rsidRPr="002D741C">
              <w:rPr>
                <w:color w:val="000000"/>
                <w:sz w:val="22"/>
                <w:szCs w:val="22"/>
                <w:lang w:val="fr-FR"/>
              </w:rPr>
              <w:t>Novartis Pharma Services Inc.</w:t>
            </w:r>
          </w:p>
          <w:p w14:paraId="517BFAA2" w14:textId="77777777" w:rsidR="003F2568" w:rsidRPr="002D741C" w:rsidRDefault="003F2568" w:rsidP="001E1329">
            <w:pPr>
              <w:rPr>
                <w:color w:val="000000"/>
                <w:sz w:val="22"/>
                <w:szCs w:val="22"/>
                <w:lang w:val="fr-FR"/>
              </w:rPr>
            </w:pPr>
            <w:r w:rsidRPr="002D741C">
              <w:rPr>
                <w:color w:val="000000"/>
                <w:sz w:val="22"/>
                <w:szCs w:val="22"/>
                <w:lang w:val="fr-FR"/>
              </w:rPr>
              <w:t>Tel: +386 1 300 75 50</w:t>
            </w:r>
          </w:p>
        </w:tc>
      </w:tr>
      <w:tr w:rsidR="003F2568" w:rsidRPr="002D741C" w14:paraId="6AA75856" w14:textId="77777777" w:rsidTr="005127D7">
        <w:trPr>
          <w:cantSplit/>
        </w:trPr>
        <w:tc>
          <w:tcPr>
            <w:tcW w:w="4650" w:type="dxa"/>
          </w:tcPr>
          <w:p w14:paraId="06131686" w14:textId="77777777" w:rsidR="003F2568" w:rsidRPr="002D741C" w:rsidRDefault="003F2568" w:rsidP="001E1329">
            <w:pPr>
              <w:rPr>
                <w:b/>
                <w:color w:val="000000"/>
                <w:sz w:val="22"/>
                <w:szCs w:val="22"/>
              </w:rPr>
            </w:pPr>
            <w:r w:rsidRPr="002D741C">
              <w:rPr>
                <w:b/>
                <w:color w:val="000000"/>
                <w:sz w:val="22"/>
                <w:szCs w:val="22"/>
              </w:rPr>
              <w:t>Ísland</w:t>
            </w:r>
          </w:p>
          <w:p w14:paraId="2553C21C" w14:textId="77777777" w:rsidR="003F2568" w:rsidRPr="002D741C" w:rsidRDefault="003F2568" w:rsidP="001E1329">
            <w:pPr>
              <w:rPr>
                <w:color w:val="000000"/>
                <w:sz w:val="22"/>
                <w:szCs w:val="22"/>
              </w:rPr>
            </w:pPr>
            <w:r w:rsidRPr="002D741C">
              <w:rPr>
                <w:color w:val="000000"/>
                <w:sz w:val="22"/>
                <w:szCs w:val="22"/>
              </w:rPr>
              <w:t>Vistor hf.</w:t>
            </w:r>
          </w:p>
          <w:p w14:paraId="194A8530" w14:textId="77777777" w:rsidR="003F2568" w:rsidRPr="002D741C" w:rsidRDefault="003F2568" w:rsidP="001E1329">
            <w:pPr>
              <w:rPr>
                <w:color w:val="000000"/>
                <w:sz w:val="22"/>
                <w:szCs w:val="22"/>
              </w:rPr>
            </w:pPr>
            <w:r w:rsidRPr="002D741C">
              <w:rPr>
                <w:noProof/>
                <w:color w:val="000000"/>
                <w:sz w:val="22"/>
                <w:szCs w:val="22"/>
                <w:lang w:val="it-IT"/>
              </w:rPr>
              <w:t>S</w:t>
            </w:r>
            <w:r w:rsidRPr="002D741C">
              <w:rPr>
                <w:noProof/>
                <w:color w:val="000000"/>
                <w:sz w:val="22"/>
                <w:szCs w:val="22"/>
                <w:lang w:val="cs-CZ"/>
              </w:rPr>
              <w:t>í</w:t>
            </w:r>
            <w:r w:rsidRPr="002D741C">
              <w:rPr>
                <w:noProof/>
                <w:color w:val="000000"/>
                <w:sz w:val="22"/>
                <w:szCs w:val="22"/>
                <w:lang w:val="it-IT"/>
              </w:rPr>
              <w:t>mi</w:t>
            </w:r>
            <w:r w:rsidRPr="002D741C">
              <w:rPr>
                <w:color w:val="000000"/>
                <w:sz w:val="22"/>
                <w:szCs w:val="22"/>
              </w:rPr>
              <w:t>: +354 535 7000</w:t>
            </w:r>
          </w:p>
          <w:p w14:paraId="5AE4542F" w14:textId="77777777" w:rsidR="003F2568" w:rsidRPr="002D741C" w:rsidRDefault="003F2568" w:rsidP="001E1329">
            <w:pPr>
              <w:rPr>
                <w:b/>
                <w:color w:val="000000"/>
                <w:sz w:val="22"/>
                <w:szCs w:val="22"/>
              </w:rPr>
            </w:pPr>
          </w:p>
        </w:tc>
        <w:tc>
          <w:tcPr>
            <w:tcW w:w="4650" w:type="dxa"/>
          </w:tcPr>
          <w:p w14:paraId="047E6F70" w14:textId="77777777" w:rsidR="003F2568" w:rsidRPr="002D741C" w:rsidRDefault="003F2568" w:rsidP="001E1329">
            <w:pPr>
              <w:rPr>
                <w:b/>
                <w:color w:val="000000"/>
                <w:sz w:val="22"/>
                <w:szCs w:val="22"/>
                <w:lang w:val="it-IT"/>
              </w:rPr>
            </w:pPr>
            <w:r w:rsidRPr="002D741C">
              <w:rPr>
                <w:b/>
                <w:color w:val="000000"/>
                <w:sz w:val="22"/>
                <w:szCs w:val="22"/>
                <w:lang w:val="it-IT"/>
              </w:rPr>
              <w:t>Slovenská republika</w:t>
            </w:r>
          </w:p>
          <w:p w14:paraId="0185BF6F" w14:textId="77777777" w:rsidR="003F2568" w:rsidRPr="002D741C" w:rsidRDefault="003F2568" w:rsidP="001E1329">
            <w:pPr>
              <w:rPr>
                <w:color w:val="000000"/>
                <w:sz w:val="22"/>
                <w:szCs w:val="22"/>
                <w:lang w:val="it-IT"/>
              </w:rPr>
            </w:pPr>
            <w:r w:rsidRPr="002D741C">
              <w:rPr>
                <w:color w:val="000000"/>
                <w:sz w:val="22"/>
                <w:szCs w:val="22"/>
                <w:lang w:val="it-IT"/>
              </w:rPr>
              <w:t>Novartis Slovakia s.r.o.</w:t>
            </w:r>
          </w:p>
          <w:p w14:paraId="030DAB18" w14:textId="77777777" w:rsidR="003F2568" w:rsidRPr="002D741C" w:rsidRDefault="003F2568" w:rsidP="001E1329">
            <w:pPr>
              <w:rPr>
                <w:color w:val="000000"/>
                <w:sz w:val="22"/>
                <w:szCs w:val="22"/>
              </w:rPr>
            </w:pPr>
            <w:r w:rsidRPr="002D741C">
              <w:rPr>
                <w:color w:val="000000"/>
                <w:sz w:val="22"/>
                <w:szCs w:val="22"/>
              </w:rPr>
              <w:t>Tel: +421 2 5542 5439</w:t>
            </w:r>
          </w:p>
          <w:p w14:paraId="3E6959D0" w14:textId="77777777" w:rsidR="003F2568" w:rsidRPr="002D741C" w:rsidRDefault="003F2568" w:rsidP="001E1329">
            <w:pPr>
              <w:rPr>
                <w:color w:val="000000"/>
                <w:sz w:val="22"/>
                <w:szCs w:val="22"/>
              </w:rPr>
            </w:pPr>
          </w:p>
        </w:tc>
      </w:tr>
      <w:tr w:rsidR="003F2568" w:rsidRPr="001210C1" w14:paraId="60214ED4" w14:textId="77777777" w:rsidTr="005127D7">
        <w:trPr>
          <w:cantSplit/>
        </w:trPr>
        <w:tc>
          <w:tcPr>
            <w:tcW w:w="4650" w:type="dxa"/>
          </w:tcPr>
          <w:p w14:paraId="30F4CFAF" w14:textId="77777777" w:rsidR="003F2568" w:rsidRPr="002D741C" w:rsidRDefault="003F2568" w:rsidP="001E1329">
            <w:pPr>
              <w:rPr>
                <w:b/>
                <w:color w:val="000000"/>
                <w:sz w:val="22"/>
                <w:szCs w:val="22"/>
                <w:lang w:val="pt-BR"/>
              </w:rPr>
            </w:pPr>
            <w:r w:rsidRPr="002D741C">
              <w:rPr>
                <w:b/>
                <w:color w:val="000000"/>
                <w:sz w:val="22"/>
                <w:szCs w:val="22"/>
                <w:lang w:val="pt-BR"/>
              </w:rPr>
              <w:t>Italia</w:t>
            </w:r>
          </w:p>
          <w:p w14:paraId="3AD02A64" w14:textId="77777777" w:rsidR="003F2568" w:rsidRPr="002D741C" w:rsidRDefault="003F2568" w:rsidP="001E1329">
            <w:pPr>
              <w:rPr>
                <w:color w:val="000000"/>
                <w:sz w:val="22"/>
                <w:szCs w:val="22"/>
                <w:lang w:val="pt-BR"/>
              </w:rPr>
            </w:pPr>
            <w:r w:rsidRPr="002D741C">
              <w:rPr>
                <w:color w:val="000000"/>
                <w:sz w:val="22"/>
                <w:szCs w:val="22"/>
                <w:lang w:val="pt-BR"/>
              </w:rPr>
              <w:t>Novartis Farma S.p.A.</w:t>
            </w:r>
          </w:p>
          <w:p w14:paraId="5EF7128C" w14:textId="77777777" w:rsidR="003F2568" w:rsidRPr="002D741C" w:rsidRDefault="003F2568" w:rsidP="001E1329">
            <w:pPr>
              <w:rPr>
                <w:b/>
                <w:color w:val="000000"/>
                <w:sz w:val="22"/>
                <w:szCs w:val="22"/>
              </w:rPr>
            </w:pPr>
            <w:r w:rsidRPr="002D741C">
              <w:rPr>
                <w:color w:val="000000"/>
                <w:sz w:val="22"/>
                <w:szCs w:val="22"/>
              </w:rPr>
              <w:t>Tel: +39 02 96 54 1</w:t>
            </w:r>
          </w:p>
        </w:tc>
        <w:tc>
          <w:tcPr>
            <w:tcW w:w="4650" w:type="dxa"/>
          </w:tcPr>
          <w:p w14:paraId="478F64FE" w14:textId="77777777" w:rsidR="003F2568" w:rsidRPr="002D741C" w:rsidRDefault="003F2568" w:rsidP="001E1329">
            <w:pPr>
              <w:rPr>
                <w:b/>
                <w:color w:val="000000"/>
                <w:sz w:val="22"/>
                <w:szCs w:val="22"/>
                <w:lang w:val="fr-FR"/>
              </w:rPr>
            </w:pPr>
            <w:r w:rsidRPr="002D741C">
              <w:rPr>
                <w:b/>
                <w:color w:val="000000"/>
                <w:sz w:val="22"/>
                <w:szCs w:val="22"/>
                <w:lang w:val="fr-FR"/>
              </w:rPr>
              <w:t>Suomi/Finland</w:t>
            </w:r>
          </w:p>
          <w:p w14:paraId="63223FD6" w14:textId="77777777" w:rsidR="003F2568" w:rsidRPr="002D741C" w:rsidRDefault="003F2568" w:rsidP="001E1329">
            <w:pPr>
              <w:rPr>
                <w:color w:val="000000"/>
                <w:sz w:val="22"/>
                <w:szCs w:val="22"/>
                <w:lang w:val="fr-FR"/>
              </w:rPr>
            </w:pPr>
            <w:r w:rsidRPr="002D741C">
              <w:rPr>
                <w:color w:val="000000"/>
                <w:sz w:val="22"/>
                <w:szCs w:val="22"/>
                <w:lang w:val="fr-FR"/>
              </w:rPr>
              <w:t>Novartis Finland Oy</w:t>
            </w:r>
          </w:p>
          <w:p w14:paraId="33F7CD3C" w14:textId="77777777" w:rsidR="003F2568" w:rsidRPr="002D741C" w:rsidRDefault="003F2568" w:rsidP="001E1329">
            <w:pPr>
              <w:rPr>
                <w:color w:val="000000"/>
                <w:sz w:val="22"/>
                <w:szCs w:val="22"/>
                <w:lang w:val="fr-FR"/>
              </w:rPr>
            </w:pPr>
            <w:r w:rsidRPr="002D741C">
              <w:rPr>
                <w:color w:val="000000"/>
                <w:sz w:val="22"/>
                <w:szCs w:val="22"/>
                <w:lang w:val="fr-FR"/>
              </w:rPr>
              <w:t xml:space="preserve">Puh/Tel: </w:t>
            </w:r>
            <w:r w:rsidRPr="002D741C">
              <w:rPr>
                <w:color w:val="000000"/>
                <w:sz w:val="22"/>
                <w:szCs w:val="22"/>
                <w:lang w:val="de-CH" w:bidi="he-IL"/>
              </w:rPr>
              <w:t>+358 (0)10 6133 200</w:t>
            </w:r>
          </w:p>
          <w:p w14:paraId="44893E21" w14:textId="77777777" w:rsidR="003F2568" w:rsidRPr="002D741C" w:rsidRDefault="003F2568" w:rsidP="001E1329">
            <w:pPr>
              <w:rPr>
                <w:color w:val="000000"/>
                <w:sz w:val="22"/>
                <w:szCs w:val="22"/>
                <w:lang w:val="fr-FR"/>
              </w:rPr>
            </w:pPr>
          </w:p>
        </w:tc>
      </w:tr>
      <w:tr w:rsidR="003F2568" w:rsidRPr="008D0368" w14:paraId="621E4688" w14:textId="77777777" w:rsidTr="005127D7">
        <w:trPr>
          <w:cantSplit/>
        </w:trPr>
        <w:tc>
          <w:tcPr>
            <w:tcW w:w="4650" w:type="dxa"/>
          </w:tcPr>
          <w:p w14:paraId="78DA08DB" w14:textId="77777777" w:rsidR="003F2568" w:rsidRPr="002D741C" w:rsidRDefault="003F2568" w:rsidP="001E1329">
            <w:pPr>
              <w:rPr>
                <w:b/>
                <w:color w:val="000000"/>
                <w:sz w:val="22"/>
                <w:szCs w:val="22"/>
                <w:lang w:val="fr-FR"/>
              </w:rPr>
            </w:pPr>
            <w:r w:rsidRPr="002D741C">
              <w:rPr>
                <w:b/>
                <w:color w:val="000000"/>
                <w:sz w:val="22"/>
                <w:szCs w:val="22"/>
              </w:rPr>
              <w:t>Κύπρος</w:t>
            </w:r>
          </w:p>
          <w:p w14:paraId="5F92C4B3" w14:textId="77777777" w:rsidR="003F2568" w:rsidRPr="002D741C" w:rsidRDefault="003F2568" w:rsidP="001E1329">
            <w:pPr>
              <w:rPr>
                <w:color w:val="000000"/>
                <w:sz w:val="22"/>
                <w:szCs w:val="22"/>
                <w:lang w:val="fr-FR"/>
              </w:rPr>
            </w:pPr>
            <w:r w:rsidRPr="002D741C">
              <w:rPr>
                <w:color w:val="000000"/>
                <w:sz w:val="22"/>
                <w:szCs w:val="22"/>
                <w:lang w:val="fr-FR" w:bidi="he-IL"/>
              </w:rPr>
              <w:t>Novartis Pharma Services Inc.</w:t>
            </w:r>
          </w:p>
          <w:p w14:paraId="1C90ECB5" w14:textId="77777777" w:rsidR="003F2568" w:rsidRPr="002D741C" w:rsidRDefault="003F2568" w:rsidP="001E1329">
            <w:pPr>
              <w:rPr>
                <w:color w:val="000000"/>
                <w:sz w:val="22"/>
                <w:szCs w:val="22"/>
                <w:lang w:val="fr-FR"/>
              </w:rPr>
            </w:pPr>
            <w:r w:rsidRPr="002D741C">
              <w:rPr>
                <w:color w:val="000000"/>
                <w:sz w:val="22"/>
                <w:szCs w:val="22"/>
              </w:rPr>
              <w:t>Τηλ</w:t>
            </w:r>
            <w:r w:rsidRPr="002D741C">
              <w:rPr>
                <w:color w:val="000000"/>
                <w:sz w:val="22"/>
                <w:szCs w:val="22"/>
                <w:lang w:val="fr-FR"/>
              </w:rPr>
              <w:t>: +357 22 690 690</w:t>
            </w:r>
          </w:p>
          <w:p w14:paraId="7ED5A1E2" w14:textId="77777777" w:rsidR="003F2568" w:rsidRPr="002D741C" w:rsidRDefault="003F2568" w:rsidP="001E1329">
            <w:pPr>
              <w:rPr>
                <w:b/>
                <w:color w:val="000000"/>
                <w:sz w:val="22"/>
                <w:szCs w:val="22"/>
                <w:lang w:val="fr-FR"/>
              </w:rPr>
            </w:pPr>
          </w:p>
        </w:tc>
        <w:tc>
          <w:tcPr>
            <w:tcW w:w="4650" w:type="dxa"/>
          </w:tcPr>
          <w:p w14:paraId="64B05BE7" w14:textId="77777777" w:rsidR="003F2568" w:rsidRPr="002D741C" w:rsidRDefault="003F2568" w:rsidP="001E1329">
            <w:pPr>
              <w:rPr>
                <w:b/>
                <w:color w:val="000000"/>
                <w:sz w:val="22"/>
                <w:szCs w:val="22"/>
                <w:lang w:val="de-CH"/>
              </w:rPr>
            </w:pPr>
            <w:r w:rsidRPr="002D741C">
              <w:rPr>
                <w:b/>
                <w:color w:val="000000"/>
                <w:sz w:val="22"/>
                <w:szCs w:val="22"/>
                <w:lang w:val="de-CH"/>
              </w:rPr>
              <w:t>Sverige</w:t>
            </w:r>
          </w:p>
          <w:p w14:paraId="5CC2900C" w14:textId="77777777" w:rsidR="003F2568" w:rsidRPr="002D741C" w:rsidRDefault="003F2568" w:rsidP="001E1329">
            <w:pPr>
              <w:rPr>
                <w:color w:val="000000"/>
                <w:sz w:val="22"/>
                <w:szCs w:val="22"/>
                <w:lang w:val="de-CH"/>
              </w:rPr>
            </w:pPr>
            <w:r w:rsidRPr="002D741C">
              <w:rPr>
                <w:color w:val="000000"/>
                <w:sz w:val="22"/>
                <w:szCs w:val="22"/>
                <w:lang w:val="de-CH"/>
              </w:rPr>
              <w:t>Novartis Sverige AB</w:t>
            </w:r>
          </w:p>
          <w:p w14:paraId="2F1D021D" w14:textId="77777777" w:rsidR="003F2568" w:rsidRPr="002D741C" w:rsidRDefault="003F2568" w:rsidP="001E1329">
            <w:pPr>
              <w:rPr>
                <w:color w:val="000000"/>
                <w:sz w:val="22"/>
                <w:szCs w:val="22"/>
                <w:lang w:val="de-CH"/>
              </w:rPr>
            </w:pPr>
            <w:r w:rsidRPr="002D741C">
              <w:rPr>
                <w:color w:val="000000"/>
                <w:sz w:val="22"/>
                <w:szCs w:val="22"/>
                <w:lang w:val="de-CH"/>
              </w:rPr>
              <w:t>Tel: +46 8 732 32 00</w:t>
            </w:r>
          </w:p>
          <w:p w14:paraId="06E6DFA4" w14:textId="77777777" w:rsidR="003F2568" w:rsidRPr="002D741C" w:rsidRDefault="003F2568" w:rsidP="001E1329">
            <w:pPr>
              <w:rPr>
                <w:color w:val="000000"/>
                <w:sz w:val="22"/>
                <w:szCs w:val="22"/>
                <w:lang w:val="de-CH"/>
              </w:rPr>
            </w:pPr>
          </w:p>
        </w:tc>
      </w:tr>
      <w:tr w:rsidR="003F2568" w:rsidRPr="002D741C" w14:paraId="4D3C3231" w14:textId="77777777" w:rsidTr="005127D7">
        <w:trPr>
          <w:cantSplit/>
        </w:trPr>
        <w:tc>
          <w:tcPr>
            <w:tcW w:w="4650" w:type="dxa"/>
          </w:tcPr>
          <w:p w14:paraId="3E84B2D6" w14:textId="77777777" w:rsidR="003F2568" w:rsidRPr="002D741C" w:rsidRDefault="003F2568" w:rsidP="001E1329">
            <w:pPr>
              <w:rPr>
                <w:b/>
                <w:color w:val="000000"/>
                <w:sz w:val="22"/>
                <w:szCs w:val="22"/>
                <w:lang w:val="it-IT"/>
              </w:rPr>
            </w:pPr>
            <w:r w:rsidRPr="002D741C">
              <w:rPr>
                <w:b/>
                <w:color w:val="000000"/>
                <w:sz w:val="22"/>
                <w:szCs w:val="22"/>
                <w:lang w:val="it-IT"/>
              </w:rPr>
              <w:t>Latvija</w:t>
            </w:r>
          </w:p>
          <w:p w14:paraId="03CD9702" w14:textId="7382D6E6" w:rsidR="009350AC" w:rsidRPr="002D741C" w:rsidRDefault="00C232A0" w:rsidP="001E1329">
            <w:pPr>
              <w:rPr>
                <w:sz w:val="22"/>
                <w:szCs w:val="22"/>
                <w:lang w:val="it-IT"/>
              </w:rPr>
            </w:pPr>
            <w:r w:rsidRPr="002D741C">
              <w:rPr>
                <w:sz w:val="22"/>
                <w:szCs w:val="22"/>
                <w:lang w:val="it-IT"/>
              </w:rPr>
              <w:t>SIA Novartis Baltics</w:t>
            </w:r>
          </w:p>
          <w:p w14:paraId="0126E459" w14:textId="77777777" w:rsidR="003F2568" w:rsidRPr="002D741C" w:rsidRDefault="003F2568" w:rsidP="001E1329">
            <w:pPr>
              <w:rPr>
                <w:color w:val="000000"/>
                <w:sz w:val="22"/>
                <w:szCs w:val="22"/>
                <w:lang w:val="it-IT"/>
              </w:rPr>
            </w:pPr>
            <w:r w:rsidRPr="002D741C">
              <w:rPr>
                <w:color w:val="000000"/>
                <w:sz w:val="22"/>
                <w:szCs w:val="22"/>
                <w:lang w:val="it-IT"/>
              </w:rPr>
              <w:t>Tel: +371 67 887 070</w:t>
            </w:r>
          </w:p>
          <w:p w14:paraId="4C12DBC9" w14:textId="77777777" w:rsidR="003F2568" w:rsidRPr="002D741C" w:rsidRDefault="003F2568" w:rsidP="001E1329">
            <w:pPr>
              <w:rPr>
                <w:b/>
                <w:color w:val="000000"/>
                <w:sz w:val="22"/>
                <w:szCs w:val="22"/>
                <w:lang w:val="it-IT"/>
              </w:rPr>
            </w:pPr>
          </w:p>
        </w:tc>
        <w:tc>
          <w:tcPr>
            <w:tcW w:w="4650" w:type="dxa"/>
          </w:tcPr>
          <w:p w14:paraId="0A86835E" w14:textId="77777777" w:rsidR="003F2568" w:rsidRPr="002D741C" w:rsidRDefault="003F2568" w:rsidP="001E1329">
            <w:pPr>
              <w:rPr>
                <w:b/>
                <w:color w:val="000000"/>
                <w:sz w:val="22"/>
                <w:szCs w:val="22"/>
                <w:lang w:val="en-US"/>
              </w:rPr>
            </w:pPr>
            <w:smartTag w:uri="urn:schemas-microsoft-com:office:smarttags" w:element="place">
              <w:smartTag w:uri="urn:schemas-microsoft-com:office:smarttags" w:element="country-region">
                <w:r w:rsidRPr="002D741C">
                  <w:rPr>
                    <w:b/>
                    <w:color w:val="000000"/>
                    <w:sz w:val="22"/>
                    <w:szCs w:val="22"/>
                    <w:lang w:val="en-US"/>
                  </w:rPr>
                  <w:t>United Kingdom</w:t>
                </w:r>
              </w:smartTag>
            </w:smartTag>
          </w:p>
          <w:p w14:paraId="656A67D1" w14:textId="77777777" w:rsidR="003F2568" w:rsidRPr="002D741C" w:rsidRDefault="003F2568" w:rsidP="001E1329">
            <w:pPr>
              <w:rPr>
                <w:color w:val="000000"/>
                <w:sz w:val="22"/>
                <w:szCs w:val="22"/>
                <w:lang w:val="en-US"/>
              </w:rPr>
            </w:pPr>
            <w:r w:rsidRPr="002D741C">
              <w:rPr>
                <w:color w:val="000000"/>
                <w:sz w:val="22"/>
                <w:szCs w:val="22"/>
                <w:lang w:val="en-US"/>
              </w:rPr>
              <w:t>Novartis Pharmaceuticals UK Ltd.</w:t>
            </w:r>
          </w:p>
          <w:p w14:paraId="3E1D9F62" w14:textId="77777777" w:rsidR="003F2568" w:rsidRPr="002D741C" w:rsidRDefault="003F2568" w:rsidP="001E1329">
            <w:pPr>
              <w:rPr>
                <w:color w:val="000000"/>
                <w:sz w:val="22"/>
                <w:szCs w:val="22"/>
              </w:rPr>
            </w:pPr>
            <w:r w:rsidRPr="002D741C">
              <w:rPr>
                <w:color w:val="000000"/>
                <w:sz w:val="22"/>
                <w:szCs w:val="22"/>
              </w:rPr>
              <w:t>Tel: +44 1276 698370</w:t>
            </w:r>
          </w:p>
          <w:p w14:paraId="11784001" w14:textId="77777777" w:rsidR="003F2568" w:rsidRPr="002D741C" w:rsidRDefault="003F2568" w:rsidP="001E1329">
            <w:pPr>
              <w:rPr>
                <w:color w:val="000000"/>
                <w:sz w:val="22"/>
                <w:szCs w:val="22"/>
              </w:rPr>
            </w:pPr>
          </w:p>
        </w:tc>
      </w:tr>
    </w:tbl>
    <w:p w14:paraId="195E54C0" w14:textId="77777777" w:rsidR="003F2568" w:rsidRPr="002D741C" w:rsidRDefault="003F2568" w:rsidP="003F2568">
      <w:pPr>
        <w:widowControl w:val="0"/>
        <w:ind w:right="-449"/>
        <w:rPr>
          <w:color w:val="000000"/>
          <w:sz w:val="22"/>
          <w:szCs w:val="22"/>
        </w:rPr>
      </w:pPr>
    </w:p>
    <w:p w14:paraId="52E60026" w14:textId="77777777" w:rsidR="0040333F" w:rsidRPr="002D741C" w:rsidRDefault="0098245B" w:rsidP="0040333F">
      <w:pPr>
        <w:widowControl w:val="0"/>
        <w:numPr>
          <w:ilvl w:val="12"/>
          <w:numId w:val="0"/>
        </w:numPr>
        <w:ind w:right="-2"/>
        <w:rPr>
          <w:b/>
          <w:color w:val="000000"/>
          <w:sz w:val="22"/>
          <w:szCs w:val="22"/>
        </w:rPr>
      </w:pPr>
      <w:r w:rsidRPr="002D741C">
        <w:rPr>
          <w:b/>
          <w:color w:val="000000"/>
          <w:sz w:val="22"/>
          <w:szCs w:val="22"/>
        </w:rPr>
        <w:lastRenderedPageBreak/>
        <w:t xml:space="preserve">Fecha de la </w:t>
      </w:r>
      <w:r w:rsidR="007F5E80" w:rsidRPr="002D741C">
        <w:rPr>
          <w:b/>
          <w:color w:val="000000"/>
          <w:sz w:val="22"/>
          <w:szCs w:val="22"/>
        </w:rPr>
        <w:t>última revisión de e</w:t>
      </w:r>
      <w:r w:rsidR="0040333F" w:rsidRPr="002D741C">
        <w:rPr>
          <w:b/>
          <w:color w:val="000000"/>
          <w:sz w:val="22"/>
          <w:szCs w:val="22"/>
        </w:rPr>
        <w:t>ste prospecto</w:t>
      </w:r>
      <w:r w:rsidRPr="002D741C">
        <w:rPr>
          <w:b/>
          <w:color w:val="000000"/>
          <w:sz w:val="22"/>
          <w:szCs w:val="22"/>
        </w:rPr>
        <w:t>:</w:t>
      </w:r>
    </w:p>
    <w:p w14:paraId="5CA086B2" w14:textId="77777777" w:rsidR="0040333F" w:rsidRPr="002D741C" w:rsidRDefault="0040333F" w:rsidP="0040333F">
      <w:pPr>
        <w:widowControl w:val="0"/>
        <w:numPr>
          <w:ilvl w:val="12"/>
          <w:numId w:val="0"/>
        </w:numPr>
        <w:ind w:right="-2"/>
        <w:rPr>
          <w:color w:val="000000"/>
          <w:sz w:val="22"/>
          <w:szCs w:val="22"/>
        </w:rPr>
      </w:pPr>
    </w:p>
    <w:p w14:paraId="155C5327" w14:textId="77777777" w:rsidR="007F5E80" w:rsidRPr="002D741C" w:rsidRDefault="007F5E80" w:rsidP="006662BC">
      <w:pPr>
        <w:keepNext/>
        <w:widowControl w:val="0"/>
        <w:rPr>
          <w:b/>
          <w:color w:val="000000"/>
          <w:sz w:val="22"/>
          <w:szCs w:val="22"/>
        </w:rPr>
      </w:pPr>
      <w:r w:rsidRPr="002D741C">
        <w:rPr>
          <w:b/>
          <w:color w:val="000000"/>
          <w:sz w:val="22"/>
          <w:szCs w:val="22"/>
        </w:rPr>
        <w:t>Otras fuentes de información</w:t>
      </w:r>
    </w:p>
    <w:p w14:paraId="11EEB5A5" w14:textId="77777777" w:rsidR="0040333F" w:rsidRPr="002D741C" w:rsidRDefault="0040333F" w:rsidP="006662BC">
      <w:pPr>
        <w:keepLines/>
        <w:widowControl w:val="0"/>
        <w:rPr>
          <w:color w:val="000000"/>
          <w:sz w:val="22"/>
          <w:szCs w:val="22"/>
        </w:rPr>
      </w:pPr>
      <w:r w:rsidRPr="002D741C">
        <w:rPr>
          <w:color w:val="000000"/>
          <w:sz w:val="22"/>
          <w:szCs w:val="22"/>
        </w:rPr>
        <w:t xml:space="preserve">La información detallada de este medicamento está disponible en la página web de </w:t>
      </w:r>
      <w:smartTag w:uri="urn:schemas-microsoft-com:office:smarttags" w:element="PersonName">
        <w:smartTagPr>
          <w:attr w:name="ProductID" w:val="la ￼￼￼￼Agencia Europea"/>
        </w:smartTagPr>
        <w:r w:rsidRPr="002D741C">
          <w:rPr>
            <w:color w:val="000000"/>
            <w:sz w:val="22"/>
            <w:szCs w:val="22"/>
          </w:rPr>
          <w:t>la Agencia Europea</w:t>
        </w:r>
      </w:smartTag>
      <w:r w:rsidRPr="002D741C">
        <w:rPr>
          <w:color w:val="000000"/>
          <w:sz w:val="22"/>
          <w:szCs w:val="22"/>
        </w:rPr>
        <w:t xml:space="preserve"> de Medicamento</w:t>
      </w:r>
      <w:r w:rsidR="007F5E80" w:rsidRPr="002D741C">
        <w:rPr>
          <w:color w:val="000000"/>
          <w:sz w:val="22"/>
          <w:szCs w:val="22"/>
        </w:rPr>
        <w:t>s</w:t>
      </w:r>
      <w:r w:rsidRPr="002D741C">
        <w:rPr>
          <w:color w:val="000000"/>
          <w:sz w:val="22"/>
          <w:szCs w:val="22"/>
        </w:rPr>
        <w:t xml:space="preserve">: </w:t>
      </w:r>
      <w:hyperlink r:id="rId17" w:history="1">
        <w:r w:rsidR="00542B0E" w:rsidRPr="002D741C">
          <w:rPr>
            <w:rStyle w:val="Hyperlink"/>
            <w:sz w:val="22"/>
            <w:szCs w:val="22"/>
          </w:rPr>
          <w:t>http://www.ema.</w:t>
        </w:r>
        <w:r w:rsidR="00542B0E" w:rsidRPr="002D741C">
          <w:rPr>
            <w:rStyle w:val="Hyperlink"/>
            <w:sz w:val="22"/>
            <w:szCs w:val="22"/>
            <w:lang w:val="es-ES"/>
          </w:rPr>
          <w:t>europa.</w:t>
        </w:r>
        <w:r w:rsidR="00542B0E" w:rsidRPr="002D741C">
          <w:rPr>
            <w:rStyle w:val="Hyperlink"/>
            <w:sz w:val="22"/>
            <w:szCs w:val="22"/>
          </w:rPr>
          <w:t>eu</w:t>
        </w:r>
      </w:hyperlink>
      <w:r w:rsidR="0098245B" w:rsidRPr="002D741C">
        <w:rPr>
          <w:color w:val="000000"/>
          <w:sz w:val="22"/>
          <w:szCs w:val="22"/>
        </w:rPr>
        <w:t>.</w:t>
      </w:r>
    </w:p>
    <w:p w14:paraId="0DBB3072" w14:textId="77777777" w:rsidR="0040333F" w:rsidRPr="002D741C" w:rsidRDefault="0040333F" w:rsidP="0040333F">
      <w:pPr>
        <w:widowControl w:val="0"/>
        <w:jc w:val="center"/>
        <w:rPr>
          <w:b/>
          <w:color w:val="000000"/>
          <w:sz w:val="22"/>
          <w:szCs w:val="22"/>
        </w:rPr>
      </w:pPr>
      <w:r w:rsidRPr="002D741C">
        <w:rPr>
          <w:color w:val="000000"/>
          <w:sz w:val="22"/>
          <w:szCs w:val="22"/>
        </w:rPr>
        <w:br w:type="page"/>
      </w:r>
      <w:r w:rsidR="007F5E80" w:rsidRPr="002D741C">
        <w:rPr>
          <w:b/>
          <w:color w:val="000000"/>
          <w:sz w:val="22"/>
          <w:szCs w:val="22"/>
        </w:rPr>
        <w:lastRenderedPageBreak/>
        <w:t>Prospecto: información para el usuario</w:t>
      </w:r>
    </w:p>
    <w:p w14:paraId="613E2D0D" w14:textId="77777777" w:rsidR="0040333F" w:rsidRPr="002D741C" w:rsidRDefault="0040333F" w:rsidP="0040333F">
      <w:pPr>
        <w:widowControl w:val="0"/>
        <w:jc w:val="center"/>
        <w:rPr>
          <w:color w:val="000000"/>
          <w:sz w:val="22"/>
          <w:szCs w:val="22"/>
        </w:rPr>
      </w:pPr>
    </w:p>
    <w:p w14:paraId="295328EF" w14:textId="0DAB1E20" w:rsidR="0040333F" w:rsidRDefault="0040333F" w:rsidP="0040333F">
      <w:pPr>
        <w:widowControl w:val="0"/>
        <w:jc w:val="center"/>
        <w:rPr>
          <w:b/>
          <w:color w:val="000000"/>
          <w:sz w:val="22"/>
          <w:szCs w:val="22"/>
        </w:rPr>
      </w:pPr>
      <w:r w:rsidRPr="002D741C">
        <w:rPr>
          <w:b/>
          <w:color w:val="000000"/>
          <w:sz w:val="22"/>
          <w:szCs w:val="22"/>
        </w:rPr>
        <w:t>Glivec 100 mg comprimidos recubiertos con película</w:t>
      </w:r>
    </w:p>
    <w:p w14:paraId="3B34F19F" w14:textId="0D960513" w:rsidR="001210C1" w:rsidRPr="002D741C" w:rsidRDefault="001210C1" w:rsidP="001210C1">
      <w:pPr>
        <w:widowControl w:val="0"/>
        <w:jc w:val="center"/>
        <w:rPr>
          <w:color w:val="000000"/>
          <w:sz w:val="22"/>
          <w:szCs w:val="22"/>
        </w:rPr>
      </w:pPr>
      <w:r>
        <w:rPr>
          <w:b/>
          <w:color w:val="000000"/>
          <w:sz w:val="22"/>
          <w:szCs w:val="22"/>
        </w:rPr>
        <w:t>Glivec 4</w:t>
      </w:r>
      <w:r w:rsidRPr="002D741C">
        <w:rPr>
          <w:b/>
          <w:color w:val="000000"/>
          <w:sz w:val="22"/>
          <w:szCs w:val="22"/>
        </w:rPr>
        <w:t>00 mg comprimidos recubiertos con película</w:t>
      </w:r>
    </w:p>
    <w:p w14:paraId="78AF65C6" w14:textId="77777777" w:rsidR="001210C1" w:rsidRPr="002D741C" w:rsidRDefault="001210C1" w:rsidP="0040333F">
      <w:pPr>
        <w:widowControl w:val="0"/>
        <w:jc w:val="center"/>
        <w:rPr>
          <w:color w:val="000000"/>
          <w:sz w:val="22"/>
          <w:szCs w:val="22"/>
        </w:rPr>
      </w:pPr>
    </w:p>
    <w:p w14:paraId="76563129" w14:textId="77777777" w:rsidR="0040333F" w:rsidRPr="002D741C" w:rsidRDefault="002E55D7" w:rsidP="0040333F">
      <w:pPr>
        <w:widowControl w:val="0"/>
        <w:jc w:val="center"/>
        <w:rPr>
          <w:color w:val="000000"/>
          <w:sz w:val="22"/>
          <w:szCs w:val="22"/>
        </w:rPr>
      </w:pPr>
      <w:r w:rsidRPr="002D741C">
        <w:rPr>
          <w:color w:val="000000"/>
          <w:sz w:val="22"/>
          <w:szCs w:val="22"/>
        </w:rPr>
        <w:t>i</w:t>
      </w:r>
      <w:r w:rsidR="0040333F" w:rsidRPr="002D741C">
        <w:rPr>
          <w:color w:val="000000"/>
          <w:sz w:val="22"/>
          <w:szCs w:val="22"/>
        </w:rPr>
        <w:t>matinib</w:t>
      </w:r>
    </w:p>
    <w:p w14:paraId="63A8F804" w14:textId="77777777" w:rsidR="0040333F" w:rsidRPr="002D741C" w:rsidRDefault="0040333F" w:rsidP="0040333F">
      <w:pPr>
        <w:widowControl w:val="0"/>
        <w:rPr>
          <w:color w:val="000000"/>
          <w:sz w:val="22"/>
          <w:szCs w:val="22"/>
        </w:rPr>
      </w:pPr>
    </w:p>
    <w:p w14:paraId="643F90AF" w14:textId="77777777" w:rsidR="00304F1B" w:rsidRPr="002D741C" w:rsidRDefault="00B34E6C" w:rsidP="00304F1B">
      <w:pPr>
        <w:tabs>
          <w:tab w:val="left" w:pos="567"/>
        </w:tabs>
        <w:rPr>
          <w:sz w:val="22"/>
          <w:szCs w:val="24"/>
          <w:lang w:eastAsia="zh-CN"/>
        </w:rPr>
      </w:pPr>
      <w:r w:rsidRPr="002D741C">
        <w:rPr>
          <w:noProof/>
          <w:sz w:val="22"/>
          <w:lang w:val="en-GB" w:eastAsia="en-GB"/>
        </w:rPr>
        <w:drawing>
          <wp:inline distT="0" distB="0" distL="0" distR="0" wp14:anchorId="5FF0ECA6" wp14:editId="38B38727">
            <wp:extent cx="198755" cy="174625"/>
            <wp:effectExtent l="0" t="0" r="0" b="0"/>
            <wp:docPr id="9" name="Picture 1" descr="C:\Users\horemansk\AppData\Local\Microsoft\Windows\Temporary Internet Files\Content.Word\BT_1000x858p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oremansk\AppData\Local\Microsoft\Windows\Temporary Internet Files\Content.Word\BT_1000x858px.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8755" cy="174625"/>
                    </a:xfrm>
                    <a:prstGeom prst="rect">
                      <a:avLst/>
                    </a:prstGeom>
                    <a:noFill/>
                    <a:ln>
                      <a:noFill/>
                    </a:ln>
                  </pic:spPr>
                </pic:pic>
              </a:graphicData>
            </a:graphic>
          </wp:inline>
        </w:drawing>
      </w:r>
      <w:r w:rsidR="00304F1B" w:rsidRPr="002D741C">
        <w:rPr>
          <w:sz w:val="22"/>
          <w:szCs w:val="24"/>
          <w:lang w:eastAsia="zh-CN"/>
        </w:rPr>
        <w:t>Este medicamento está sujeto a seguimiento adicional, lo que agilizará la detección de nueva información sobre su seguridad. Puede contribuir comunicando los efectos adversos que pudiera usted tener. La parte final de la sección 4 incluye información sobre cómo comunicar estos efectos adversos.</w:t>
      </w:r>
    </w:p>
    <w:p w14:paraId="759E849B" w14:textId="77777777" w:rsidR="0040333F" w:rsidRPr="002D741C" w:rsidRDefault="0040333F" w:rsidP="0040333F">
      <w:pPr>
        <w:widowControl w:val="0"/>
        <w:rPr>
          <w:color w:val="000000"/>
          <w:sz w:val="22"/>
          <w:szCs w:val="22"/>
        </w:rPr>
      </w:pPr>
    </w:p>
    <w:p w14:paraId="5D5211E3" w14:textId="77777777" w:rsidR="00D938DC" w:rsidRPr="002D741C" w:rsidRDefault="00D938DC" w:rsidP="00D938DC">
      <w:pPr>
        <w:widowControl w:val="0"/>
        <w:ind w:right="-2"/>
        <w:rPr>
          <w:color w:val="000000"/>
          <w:sz w:val="22"/>
          <w:szCs w:val="22"/>
        </w:rPr>
      </w:pPr>
      <w:r w:rsidRPr="002D741C">
        <w:rPr>
          <w:b/>
          <w:color w:val="000000"/>
          <w:sz w:val="22"/>
          <w:szCs w:val="22"/>
        </w:rPr>
        <w:t>Lea todo el prospecto detenidamente antes de empezar a tomar este medicamento, porque contiene información importante para usted.</w:t>
      </w:r>
    </w:p>
    <w:p w14:paraId="30851ABE" w14:textId="77777777" w:rsidR="00D938DC" w:rsidRPr="002D741C" w:rsidRDefault="00D938DC" w:rsidP="00D938DC">
      <w:pPr>
        <w:widowControl w:val="0"/>
        <w:numPr>
          <w:ilvl w:val="0"/>
          <w:numId w:val="2"/>
        </w:numPr>
        <w:tabs>
          <w:tab w:val="clear" w:pos="927"/>
        </w:tabs>
        <w:ind w:left="567" w:right="-2" w:hanging="567"/>
        <w:rPr>
          <w:color w:val="000000"/>
          <w:sz w:val="22"/>
          <w:szCs w:val="22"/>
        </w:rPr>
      </w:pPr>
      <w:r w:rsidRPr="002D741C">
        <w:rPr>
          <w:color w:val="000000"/>
          <w:sz w:val="22"/>
          <w:szCs w:val="22"/>
        </w:rPr>
        <w:t>Conserve este prospecto, ya que puede tener que volver a leerlo.</w:t>
      </w:r>
    </w:p>
    <w:p w14:paraId="7D5FA65D" w14:textId="77777777" w:rsidR="00D938DC" w:rsidRPr="002D741C" w:rsidRDefault="00D938DC" w:rsidP="00D938DC">
      <w:pPr>
        <w:widowControl w:val="0"/>
        <w:numPr>
          <w:ilvl w:val="0"/>
          <w:numId w:val="2"/>
        </w:numPr>
        <w:tabs>
          <w:tab w:val="clear" w:pos="927"/>
        </w:tabs>
        <w:ind w:left="567" w:right="-2" w:hanging="567"/>
        <w:rPr>
          <w:color w:val="000000"/>
          <w:sz w:val="22"/>
          <w:szCs w:val="22"/>
        </w:rPr>
      </w:pPr>
      <w:r w:rsidRPr="002D741C">
        <w:rPr>
          <w:color w:val="000000"/>
          <w:sz w:val="22"/>
          <w:szCs w:val="22"/>
        </w:rPr>
        <w:t>Si tiene alguna duda, consulte a su médico, farmacéutico o enfermero.</w:t>
      </w:r>
    </w:p>
    <w:p w14:paraId="597E3897" w14:textId="77777777" w:rsidR="00D938DC" w:rsidRPr="002D741C" w:rsidRDefault="00D938DC" w:rsidP="00D938DC">
      <w:pPr>
        <w:widowControl w:val="0"/>
        <w:numPr>
          <w:ilvl w:val="0"/>
          <w:numId w:val="2"/>
        </w:numPr>
        <w:tabs>
          <w:tab w:val="clear" w:pos="927"/>
        </w:tabs>
        <w:ind w:left="567" w:right="-2" w:hanging="567"/>
        <w:rPr>
          <w:color w:val="000000"/>
          <w:sz w:val="22"/>
          <w:szCs w:val="22"/>
        </w:rPr>
      </w:pPr>
      <w:r w:rsidRPr="002D741C">
        <w:rPr>
          <w:color w:val="000000"/>
          <w:sz w:val="22"/>
          <w:szCs w:val="22"/>
        </w:rPr>
        <w:t xml:space="preserve">Este medicamento se le ha recetado solamente a usted, y no debe dárselo a otras personas aunque </w:t>
      </w:r>
      <w:r w:rsidR="0098245B" w:rsidRPr="002D741C">
        <w:rPr>
          <w:color w:val="000000"/>
          <w:sz w:val="22"/>
          <w:szCs w:val="22"/>
        </w:rPr>
        <w:t xml:space="preserve">tengan </w:t>
      </w:r>
      <w:r w:rsidRPr="002D741C">
        <w:rPr>
          <w:color w:val="000000"/>
          <w:sz w:val="22"/>
          <w:szCs w:val="22"/>
        </w:rPr>
        <w:t>los mismos síntomas que usted, ya que puede perjudicarles.</w:t>
      </w:r>
    </w:p>
    <w:p w14:paraId="5A4DEDF8" w14:textId="77777777" w:rsidR="00D938DC" w:rsidRPr="002D741C" w:rsidRDefault="00D938DC" w:rsidP="00D938DC">
      <w:pPr>
        <w:widowControl w:val="0"/>
        <w:numPr>
          <w:ilvl w:val="12"/>
          <w:numId w:val="0"/>
        </w:numPr>
        <w:tabs>
          <w:tab w:val="left" w:pos="567"/>
        </w:tabs>
        <w:ind w:left="567" w:right="-2" w:hanging="567"/>
        <w:rPr>
          <w:color w:val="000000"/>
          <w:sz w:val="22"/>
          <w:szCs w:val="22"/>
          <w:lang w:val="es-ES"/>
        </w:rPr>
      </w:pPr>
      <w:r w:rsidRPr="002D741C">
        <w:rPr>
          <w:color w:val="000000"/>
          <w:sz w:val="22"/>
          <w:szCs w:val="22"/>
          <w:lang w:val="es-ES"/>
        </w:rPr>
        <w:t>-</w:t>
      </w:r>
      <w:r w:rsidRPr="002D741C">
        <w:rPr>
          <w:color w:val="000000"/>
          <w:sz w:val="22"/>
          <w:szCs w:val="22"/>
          <w:lang w:val="es-ES"/>
        </w:rPr>
        <w:tab/>
        <w:t>Si experimenta efectos adversos, consulte a su médico, farmacéutico o enfermero, incluso si se trata de efectos adversos que no aparecen en este prospecto.</w:t>
      </w:r>
      <w:r w:rsidR="0098245B" w:rsidRPr="002D741C">
        <w:rPr>
          <w:color w:val="000000"/>
          <w:sz w:val="22"/>
          <w:szCs w:val="22"/>
          <w:lang w:val="es-ES"/>
        </w:rPr>
        <w:t xml:space="preserve"> Ver sección 4.</w:t>
      </w:r>
    </w:p>
    <w:p w14:paraId="7AAF1942" w14:textId="77777777" w:rsidR="00D938DC" w:rsidRPr="002D741C" w:rsidRDefault="00D938DC" w:rsidP="00D938DC">
      <w:pPr>
        <w:widowControl w:val="0"/>
        <w:numPr>
          <w:ilvl w:val="12"/>
          <w:numId w:val="0"/>
        </w:numPr>
        <w:tabs>
          <w:tab w:val="left" w:pos="567"/>
        </w:tabs>
        <w:ind w:left="567" w:right="-2" w:hanging="567"/>
        <w:rPr>
          <w:color w:val="000000"/>
          <w:sz w:val="22"/>
          <w:szCs w:val="22"/>
        </w:rPr>
      </w:pPr>
    </w:p>
    <w:p w14:paraId="2A68F4D6" w14:textId="77777777" w:rsidR="00D938DC" w:rsidRPr="002D741C" w:rsidRDefault="00D938DC" w:rsidP="00D938DC">
      <w:pPr>
        <w:widowControl w:val="0"/>
        <w:numPr>
          <w:ilvl w:val="12"/>
          <w:numId w:val="0"/>
        </w:numPr>
        <w:tabs>
          <w:tab w:val="left" w:pos="567"/>
        </w:tabs>
        <w:ind w:left="567" w:right="-2" w:hanging="567"/>
        <w:rPr>
          <w:color w:val="000000"/>
          <w:sz w:val="22"/>
          <w:szCs w:val="22"/>
        </w:rPr>
      </w:pPr>
    </w:p>
    <w:p w14:paraId="178572F6" w14:textId="77777777" w:rsidR="00D938DC" w:rsidRPr="002D741C" w:rsidRDefault="00D938DC" w:rsidP="00D938DC">
      <w:pPr>
        <w:widowControl w:val="0"/>
        <w:numPr>
          <w:ilvl w:val="12"/>
          <w:numId w:val="0"/>
        </w:numPr>
        <w:ind w:right="-2"/>
        <w:rPr>
          <w:color w:val="000000"/>
          <w:sz w:val="22"/>
          <w:szCs w:val="22"/>
        </w:rPr>
      </w:pPr>
      <w:r w:rsidRPr="002D741C">
        <w:rPr>
          <w:b/>
          <w:color w:val="000000"/>
          <w:sz w:val="22"/>
          <w:szCs w:val="22"/>
        </w:rPr>
        <w:t>Contenido del prospecto</w:t>
      </w:r>
    </w:p>
    <w:p w14:paraId="75980A33" w14:textId="77777777" w:rsidR="00D938DC" w:rsidRPr="002D741C" w:rsidRDefault="00D938DC" w:rsidP="00D938DC">
      <w:pPr>
        <w:widowControl w:val="0"/>
        <w:numPr>
          <w:ilvl w:val="12"/>
          <w:numId w:val="0"/>
        </w:numPr>
        <w:ind w:left="567" w:right="-29" w:hanging="567"/>
        <w:rPr>
          <w:color w:val="000000"/>
          <w:sz w:val="22"/>
          <w:szCs w:val="22"/>
        </w:rPr>
      </w:pPr>
      <w:r w:rsidRPr="002D741C">
        <w:rPr>
          <w:color w:val="000000"/>
          <w:sz w:val="22"/>
          <w:szCs w:val="22"/>
        </w:rPr>
        <w:t>1.</w:t>
      </w:r>
      <w:r w:rsidRPr="002D741C">
        <w:rPr>
          <w:color w:val="000000"/>
          <w:sz w:val="22"/>
          <w:szCs w:val="22"/>
        </w:rPr>
        <w:tab/>
        <w:t>Qué es Glivec y para qué se utiliza</w:t>
      </w:r>
    </w:p>
    <w:p w14:paraId="64CC47A0" w14:textId="77777777" w:rsidR="00D938DC" w:rsidRPr="002D741C" w:rsidRDefault="00D938DC" w:rsidP="00D938DC">
      <w:pPr>
        <w:widowControl w:val="0"/>
        <w:numPr>
          <w:ilvl w:val="12"/>
          <w:numId w:val="0"/>
        </w:numPr>
        <w:ind w:left="567" w:right="-29" w:hanging="567"/>
        <w:rPr>
          <w:color w:val="000000"/>
          <w:sz w:val="22"/>
          <w:szCs w:val="22"/>
        </w:rPr>
      </w:pPr>
      <w:r w:rsidRPr="002D741C">
        <w:rPr>
          <w:color w:val="000000"/>
          <w:sz w:val="22"/>
          <w:szCs w:val="22"/>
        </w:rPr>
        <w:t>2.</w:t>
      </w:r>
      <w:r w:rsidRPr="002D741C">
        <w:rPr>
          <w:color w:val="000000"/>
          <w:sz w:val="22"/>
          <w:szCs w:val="22"/>
        </w:rPr>
        <w:tab/>
        <w:t>Qué necesita saber antes de empezar a tomar Glivec</w:t>
      </w:r>
    </w:p>
    <w:p w14:paraId="0BE4C422" w14:textId="77777777" w:rsidR="00D938DC" w:rsidRPr="002D741C" w:rsidRDefault="00D938DC" w:rsidP="00D938DC">
      <w:pPr>
        <w:widowControl w:val="0"/>
        <w:numPr>
          <w:ilvl w:val="12"/>
          <w:numId w:val="0"/>
        </w:numPr>
        <w:ind w:left="567" w:right="-29" w:hanging="567"/>
        <w:rPr>
          <w:color w:val="000000"/>
          <w:sz w:val="22"/>
          <w:szCs w:val="22"/>
        </w:rPr>
      </w:pPr>
      <w:r w:rsidRPr="002D741C">
        <w:rPr>
          <w:color w:val="000000"/>
          <w:sz w:val="22"/>
          <w:szCs w:val="22"/>
        </w:rPr>
        <w:t>3.</w:t>
      </w:r>
      <w:r w:rsidRPr="002D741C">
        <w:rPr>
          <w:color w:val="000000"/>
          <w:sz w:val="22"/>
          <w:szCs w:val="22"/>
        </w:rPr>
        <w:tab/>
        <w:t>Cómo tomar Glivec</w:t>
      </w:r>
    </w:p>
    <w:p w14:paraId="6244FB41" w14:textId="77777777" w:rsidR="00D938DC" w:rsidRPr="002D741C" w:rsidRDefault="00D938DC" w:rsidP="00D938DC">
      <w:pPr>
        <w:widowControl w:val="0"/>
        <w:numPr>
          <w:ilvl w:val="12"/>
          <w:numId w:val="0"/>
        </w:numPr>
        <w:ind w:left="567" w:right="-29" w:hanging="567"/>
        <w:rPr>
          <w:color w:val="000000"/>
          <w:sz w:val="22"/>
          <w:szCs w:val="22"/>
        </w:rPr>
      </w:pPr>
      <w:r w:rsidRPr="002D741C">
        <w:rPr>
          <w:color w:val="000000"/>
          <w:sz w:val="22"/>
          <w:szCs w:val="22"/>
        </w:rPr>
        <w:t>4.</w:t>
      </w:r>
      <w:r w:rsidRPr="002D741C">
        <w:rPr>
          <w:color w:val="000000"/>
          <w:sz w:val="22"/>
          <w:szCs w:val="22"/>
        </w:rPr>
        <w:tab/>
        <w:t>Posibles efectos adversos</w:t>
      </w:r>
    </w:p>
    <w:p w14:paraId="0B67E194" w14:textId="77777777" w:rsidR="00D938DC" w:rsidRPr="002D741C" w:rsidRDefault="00D938DC" w:rsidP="00D938DC">
      <w:pPr>
        <w:widowControl w:val="0"/>
        <w:ind w:left="567" w:right="-29" w:hanging="567"/>
        <w:rPr>
          <w:color w:val="000000"/>
          <w:sz w:val="22"/>
          <w:szCs w:val="22"/>
        </w:rPr>
      </w:pPr>
      <w:r w:rsidRPr="002D741C">
        <w:rPr>
          <w:color w:val="000000"/>
          <w:sz w:val="22"/>
          <w:szCs w:val="22"/>
        </w:rPr>
        <w:t>5.</w:t>
      </w:r>
      <w:r w:rsidRPr="002D741C">
        <w:rPr>
          <w:color w:val="000000"/>
          <w:sz w:val="22"/>
          <w:szCs w:val="22"/>
        </w:rPr>
        <w:tab/>
        <w:t>Conservación de Glivec</w:t>
      </w:r>
    </w:p>
    <w:p w14:paraId="2B45B300" w14:textId="77777777" w:rsidR="00D938DC" w:rsidRPr="002D741C" w:rsidRDefault="00D938DC" w:rsidP="00D938DC">
      <w:pPr>
        <w:widowControl w:val="0"/>
        <w:ind w:left="567" w:right="-29" w:hanging="567"/>
        <w:rPr>
          <w:color w:val="000000"/>
          <w:sz w:val="22"/>
          <w:szCs w:val="22"/>
        </w:rPr>
      </w:pPr>
      <w:r w:rsidRPr="002D741C">
        <w:rPr>
          <w:color w:val="000000"/>
          <w:sz w:val="22"/>
          <w:szCs w:val="22"/>
        </w:rPr>
        <w:t>6.</w:t>
      </w:r>
      <w:r w:rsidRPr="002D741C">
        <w:rPr>
          <w:color w:val="000000"/>
          <w:sz w:val="22"/>
          <w:szCs w:val="22"/>
        </w:rPr>
        <w:tab/>
        <w:t>Contenido del envase e información adicional</w:t>
      </w:r>
    </w:p>
    <w:p w14:paraId="2BF0BE60" w14:textId="77777777" w:rsidR="00D938DC" w:rsidRPr="002D741C" w:rsidRDefault="00D938DC" w:rsidP="00D938DC">
      <w:pPr>
        <w:widowControl w:val="0"/>
        <w:ind w:right="-29"/>
        <w:rPr>
          <w:color w:val="000000"/>
          <w:sz w:val="22"/>
          <w:szCs w:val="22"/>
        </w:rPr>
      </w:pPr>
    </w:p>
    <w:p w14:paraId="4DC42544" w14:textId="77777777" w:rsidR="00D938DC" w:rsidRPr="002D741C" w:rsidRDefault="00D938DC" w:rsidP="00D938DC">
      <w:pPr>
        <w:pStyle w:val="Heading5"/>
        <w:keepNext w:val="0"/>
        <w:widowControl w:val="0"/>
        <w:rPr>
          <w:b w:val="0"/>
          <w:color w:val="000000"/>
          <w:szCs w:val="22"/>
        </w:rPr>
      </w:pPr>
    </w:p>
    <w:p w14:paraId="78D68AF9" w14:textId="77777777" w:rsidR="00D938DC" w:rsidRPr="002D741C" w:rsidRDefault="00D938DC" w:rsidP="006662BC">
      <w:pPr>
        <w:keepNext/>
        <w:widowControl w:val="0"/>
        <w:numPr>
          <w:ilvl w:val="12"/>
          <w:numId w:val="0"/>
        </w:numPr>
        <w:ind w:left="567" w:right="-2" w:hanging="567"/>
        <w:rPr>
          <w:color w:val="000000"/>
          <w:sz w:val="22"/>
          <w:szCs w:val="22"/>
        </w:rPr>
      </w:pPr>
      <w:r w:rsidRPr="002D741C">
        <w:rPr>
          <w:b/>
          <w:color w:val="000000"/>
          <w:sz w:val="22"/>
          <w:szCs w:val="22"/>
        </w:rPr>
        <w:t>1.</w:t>
      </w:r>
      <w:r w:rsidRPr="002D741C">
        <w:rPr>
          <w:b/>
          <w:color w:val="000000"/>
          <w:sz w:val="22"/>
          <w:szCs w:val="22"/>
        </w:rPr>
        <w:tab/>
        <w:t>Qué es Glivec y para qué se utiliza</w:t>
      </w:r>
    </w:p>
    <w:p w14:paraId="599E7A87" w14:textId="77777777" w:rsidR="00D938DC" w:rsidRPr="002D741C" w:rsidRDefault="00D938DC" w:rsidP="006662BC">
      <w:pPr>
        <w:pStyle w:val="EndnoteText"/>
        <w:keepNext/>
        <w:widowControl w:val="0"/>
        <w:numPr>
          <w:ilvl w:val="12"/>
          <w:numId w:val="0"/>
        </w:numPr>
        <w:tabs>
          <w:tab w:val="clear" w:pos="567"/>
        </w:tabs>
        <w:rPr>
          <w:color w:val="000000"/>
          <w:szCs w:val="22"/>
          <w:lang w:val="es-ES"/>
        </w:rPr>
      </w:pPr>
    </w:p>
    <w:p w14:paraId="2FCF617D" w14:textId="77777777" w:rsidR="00D938DC" w:rsidRPr="002D741C" w:rsidRDefault="00D938DC" w:rsidP="00D938DC">
      <w:pPr>
        <w:pStyle w:val="EndnoteText"/>
        <w:widowControl w:val="0"/>
        <w:numPr>
          <w:ilvl w:val="12"/>
          <w:numId w:val="0"/>
        </w:numPr>
        <w:tabs>
          <w:tab w:val="clear" w:pos="567"/>
        </w:tabs>
        <w:rPr>
          <w:color w:val="000000"/>
          <w:szCs w:val="22"/>
          <w:lang w:val="es-ES"/>
        </w:rPr>
      </w:pPr>
      <w:r w:rsidRPr="002D741C">
        <w:rPr>
          <w:color w:val="000000"/>
          <w:szCs w:val="22"/>
          <w:lang w:val="es-ES"/>
        </w:rPr>
        <w:t>Glivec es un medicamento que contiene un principio activo denominado imatinib. Este medicamento actúa inhibiendo el crecimiento de las células anormales en las enfermedades que se describen a continuación. Éstas incluyen algunos tipos de cáncer.</w:t>
      </w:r>
    </w:p>
    <w:p w14:paraId="41DBC716" w14:textId="77777777" w:rsidR="00D938DC" w:rsidRPr="002D741C" w:rsidRDefault="00D938DC" w:rsidP="00D938DC">
      <w:pPr>
        <w:pStyle w:val="EndnoteText"/>
        <w:widowControl w:val="0"/>
        <w:numPr>
          <w:ilvl w:val="12"/>
          <w:numId w:val="0"/>
        </w:numPr>
        <w:tabs>
          <w:tab w:val="clear" w:pos="567"/>
        </w:tabs>
        <w:rPr>
          <w:color w:val="000000"/>
          <w:szCs w:val="22"/>
          <w:lang w:val="es-ES"/>
        </w:rPr>
      </w:pPr>
    </w:p>
    <w:p w14:paraId="27716631" w14:textId="77777777" w:rsidR="00D938DC" w:rsidRPr="002D741C" w:rsidRDefault="00D938DC" w:rsidP="006662BC">
      <w:pPr>
        <w:pStyle w:val="EndnoteText"/>
        <w:keepNext/>
        <w:widowControl w:val="0"/>
        <w:numPr>
          <w:ilvl w:val="12"/>
          <w:numId w:val="0"/>
        </w:numPr>
        <w:tabs>
          <w:tab w:val="clear" w:pos="567"/>
        </w:tabs>
        <w:rPr>
          <w:b/>
          <w:color w:val="000000"/>
          <w:szCs w:val="22"/>
          <w:lang w:val="es-ES"/>
        </w:rPr>
      </w:pPr>
      <w:r w:rsidRPr="002D741C">
        <w:rPr>
          <w:b/>
          <w:color w:val="000000"/>
          <w:szCs w:val="22"/>
          <w:lang w:val="es-ES"/>
        </w:rPr>
        <w:t>Glivec es un tratamiento para adultos y niños para:</w:t>
      </w:r>
    </w:p>
    <w:p w14:paraId="446A3F6A" w14:textId="77777777" w:rsidR="00D938DC" w:rsidRPr="002D741C" w:rsidRDefault="00D938DC" w:rsidP="006662BC">
      <w:pPr>
        <w:pStyle w:val="EndnoteText"/>
        <w:keepNext/>
        <w:widowControl w:val="0"/>
        <w:numPr>
          <w:ilvl w:val="12"/>
          <w:numId w:val="0"/>
        </w:numPr>
        <w:tabs>
          <w:tab w:val="clear" w:pos="567"/>
        </w:tabs>
        <w:rPr>
          <w:color w:val="000000"/>
          <w:szCs w:val="22"/>
          <w:lang w:val="es-ES"/>
        </w:rPr>
      </w:pPr>
    </w:p>
    <w:p w14:paraId="3B0FA8A3" w14:textId="77777777" w:rsidR="006A2DBF" w:rsidRPr="002D741C" w:rsidRDefault="00D938DC" w:rsidP="006A2DBF">
      <w:pPr>
        <w:pStyle w:val="EndnoteText"/>
        <w:widowControl w:val="0"/>
        <w:numPr>
          <w:ilvl w:val="0"/>
          <w:numId w:val="17"/>
        </w:numPr>
        <w:tabs>
          <w:tab w:val="clear" w:pos="567"/>
          <w:tab w:val="clear" w:pos="717"/>
          <w:tab w:val="num" w:pos="-7088"/>
        </w:tabs>
        <w:ind w:left="567" w:hanging="567"/>
        <w:rPr>
          <w:color w:val="000000"/>
          <w:szCs w:val="22"/>
          <w:lang w:val="es-ES"/>
        </w:rPr>
      </w:pPr>
      <w:r w:rsidRPr="002D741C">
        <w:rPr>
          <w:b/>
          <w:color w:val="000000"/>
          <w:szCs w:val="22"/>
          <w:lang w:val="es-ES"/>
        </w:rPr>
        <w:t>Leucemia mieloide crónica (LMC)</w:t>
      </w:r>
      <w:r w:rsidRPr="002D741C">
        <w:rPr>
          <w:color w:val="000000"/>
          <w:szCs w:val="22"/>
          <w:lang w:val="es-ES"/>
        </w:rPr>
        <w:t>. La leucemia es un cáncer de las células blancas de la sangre. Estas células blancas normalmente ayudan al cuerpo a combatir infecciones. La leucemia mieloide crónica es una forma de leucemia en la que unas células blancas anormales (llamadas células mieloides) empiezan a crecer sin control.</w:t>
      </w:r>
    </w:p>
    <w:p w14:paraId="62C55AF7" w14:textId="77777777" w:rsidR="00EA78D1" w:rsidRPr="002D741C" w:rsidRDefault="006A2DBF" w:rsidP="001A4A31">
      <w:pPr>
        <w:pStyle w:val="EndnoteText"/>
        <w:widowControl w:val="0"/>
        <w:numPr>
          <w:ilvl w:val="0"/>
          <w:numId w:val="17"/>
        </w:numPr>
        <w:tabs>
          <w:tab w:val="clear" w:pos="567"/>
          <w:tab w:val="clear" w:pos="717"/>
        </w:tabs>
        <w:ind w:left="567" w:hanging="567"/>
        <w:rPr>
          <w:color w:val="000000"/>
          <w:szCs w:val="22"/>
          <w:lang w:val="es-ES"/>
        </w:rPr>
      </w:pPr>
      <w:r w:rsidRPr="002D741C">
        <w:rPr>
          <w:b/>
          <w:color w:val="000000"/>
          <w:szCs w:val="22"/>
          <w:lang w:val="es-ES"/>
        </w:rPr>
        <w:t>Leucemia linfoblástica aguda cromosoma Filadelfia positivo (LLA Ph-positivo)</w:t>
      </w:r>
      <w:r w:rsidRPr="002D741C">
        <w:rPr>
          <w:color w:val="000000"/>
          <w:szCs w:val="22"/>
          <w:lang w:val="es-ES"/>
        </w:rPr>
        <w:t>. La leucemia es un cáncer de las células blancas de la sangre. Estas células blancas normalmente ayudan al cuerpo a combatir infecciones. La leucemia linfoblástica aguda es una forma de leucemia en que unas células blancas anormales (llamadas linfoblastos) empiezan a crecer sin control. Glivec inhibe el crecimiento de estas células.</w:t>
      </w:r>
    </w:p>
    <w:p w14:paraId="483FA932" w14:textId="77777777" w:rsidR="00D938DC" w:rsidRPr="002D741C" w:rsidRDefault="00D938DC" w:rsidP="00D938DC">
      <w:pPr>
        <w:pStyle w:val="EndnoteText"/>
        <w:widowControl w:val="0"/>
        <w:numPr>
          <w:ilvl w:val="12"/>
          <w:numId w:val="0"/>
        </w:numPr>
        <w:tabs>
          <w:tab w:val="clear" w:pos="567"/>
        </w:tabs>
        <w:rPr>
          <w:color w:val="000000"/>
          <w:szCs w:val="22"/>
          <w:lang w:val="es-ES"/>
        </w:rPr>
      </w:pPr>
    </w:p>
    <w:p w14:paraId="4D4AB97B" w14:textId="77777777" w:rsidR="00D938DC" w:rsidRPr="002D741C" w:rsidRDefault="00D938DC" w:rsidP="006662BC">
      <w:pPr>
        <w:pStyle w:val="EndnoteText"/>
        <w:keepNext/>
        <w:widowControl w:val="0"/>
        <w:numPr>
          <w:ilvl w:val="12"/>
          <w:numId w:val="0"/>
        </w:numPr>
        <w:tabs>
          <w:tab w:val="clear" w:pos="567"/>
        </w:tabs>
        <w:rPr>
          <w:b/>
          <w:color w:val="000000"/>
          <w:szCs w:val="22"/>
          <w:lang w:val="es-ES"/>
        </w:rPr>
      </w:pPr>
      <w:r w:rsidRPr="002D741C">
        <w:rPr>
          <w:b/>
          <w:color w:val="000000"/>
          <w:szCs w:val="22"/>
          <w:lang w:val="es-ES"/>
        </w:rPr>
        <w:t>Glivec también es un tratamiento para adultos para:</w:t>
      </w:r>
    </w:p>
    <w:p w14:paraId="46BA871D" w14:textId="77777777" w:rsidR="00D938DC" w:rsidRPr="002D741C" w:rsidRDefault="00D938DC" w:rsidP="006662BC">
      <w:pPr>
        <w:pStyle w:val="EndnoteText"/>
        <w:keepNext/>
        <w:widowControl w:val="0"/>
        <w:numPr>
          <w:ilvl w:val="12"/>
          <w:numId w:val="0"/>
        </w:numPr>
        <w:tabs>
          <w:tab w:val="clear" w:pos="567"/>
        </w:tabs>
        <w:rPr>
          <w:color w:val="000000"/>
          <w:szCs w:val="22"/>
          <w:lang w:val="es-ES"/>
        </w:rPr>
      </w:pPr>
    </w:p>
    <w:p w14:paraId="7CDE3ECB" w14:textId="77777777" w:rsidR="00D938DC" w:rsidRPr="002D741C" w:rsidRDefault="00D938DC" w:rsidP="00D938DC">
      <w:pPr>
        <w:pStyle w:val="EndnoteText"/>
        <w:numPr>
          <w:ilvl w:val="0"/>
          <w:numId w:val="17"/>
        </w:numPr>
        <w:tabs>
          <w:tab w:val="clear" w:pos="567"/>
          <w:tab w:val="clear" w:pos="717"/>
        </w:tabs>
        <w:ind w:left="567" w:hanging="567"/>
        <w:rPr>
          <w:color w:val="000000"/>
          <w:szCs w:val="22"/>
          <w:lang w:val="es-ES"/>
        </w:rPr>
      </w:pPr>
      <w:r w:rsidRPr="002D741C">
        <w:rPr>
          <w:b/>
          <w:color w:val="000000"/>
          <w:szCs w:val="22"/>
          <w:lang w:val="es-ES"/>
        </w:rPr>
        <w:t>Síndromes mielodisplásicos/mieloproliferativos (</w:t>
      </w:r>
      <w:smartTag w:uri="urn:schemas-microsoft-com:office:smarttags" w:element="stockticker">
        <w:r w:rsidRPr="002D741C">
          <w:rPr>
            <w:b/>
            <w:color w:val="000000"/>
            <w:szCs w:val="22"/>
            <w:lang w:val="es-ES"/>
          </w:rPr>
          <w:t>SMD</w:t>
        </w:r>
      </w:smartTag>
      <w:r w:rsidRPr="002D741C">
        <w:rPr>
          <w:b/>
          <w:color w:val="000000"/>
          <w:szCs w:val="22"/>
          <w:lang w:val="es-ES"/>
        </w:rPr>
        <w:t>/</w:t>
      </w:r>
      <w:smartTag w:uri="urn:schemas-microsoft-com:office:smarttags" w:element="stockticker">
        <w:r w:rsidRPr="002D741C">
          <w:rPr>
            <w:b/>
            <w:color w:val="000000"/>
            <w:szCs w:val="22"/>
            <w:lang w:val="es-ES"/>
          </w:rPr>
          <w:t>SMP</w:t>
        </w:r>
      </w:smartTag>
      <w:r w:rsidRPr="002D741C">
        <w:rPr>
          <w:b/>
          <w:color w:val="000000"/>
          <w:szCs w:val="22"/>
          <w:lang w:val="es-ES"/>
        </w:rPr>
        <w:t>)</w:t>
      </w:r>
      <w:r w:rsidRPr="002D741C">
        <w:rPr>
          <w:color w:val="000000"/>
          <w:szCs w:val="22"/>
          <w:lang w:val="es-ES"/>
        </w:rPr>
        <w:t>. Estos son un grupo de enfermedades de la sangre en que algunas células de la sangre empiezan a crecer sin control. Glivec inhibe el crecimiento de estas células en un cierto subtipo de estas enfermedades.</w:t>
      </w:r>
    </w:p>
    <w:p w14:paraId="751BFB16" w14:textId="77777777" w:rsidR="00D938DC" w:rsidRPr="002D741C" w:rsidRDefault="00D938DC" w:rsidP="00D938DC">
      <w:pPr>
        <w:pStyle w:val="EndnoteText"/>
        <w:widowControl w:val="0"/>
        <w:numPr>
          <w:ilvl w:val="0"/>
          <w:numId w:val="17"/>
        </w:numPr>
        <w:tabs>
          <w:tab w:val="clear" w:pos="567"/>
          <w:tab w:val="clear" w:pos="717"/>
        </w:tabs>
        <w:ind w:left="567" w:hanging="567"/>
        <w:rPr>
          <w:color w:val="000000"/>
          <w:szCs w:val="22"/>
          <w:lang w:val="es-ES"/>
        </w:rPr>
      </w:pPr>
      <w:r w:rsidRPr="002D741C">
        <w:rPr>
          <w:b/>
          <w:color w:val="000000"/>
          <w:szCs w:val="22"/>
          <w:lang w:val="es-ES"/>
        </w:rPr>
        <w:t>Síndrome hipereosinofílico (SHE) y/o leucemia eosinofílica crónica (LEC)</w:t>
      </w:r>
      <w:r w:rsidRPr="002D741C">
        <w:rPr>
          <w:color w:val="000000"/>
          <w:szCs w:val="22"/>
          <w:lang w:val="es-ES"/>
        </w:rPr>
        <w:t>. Estas son enfermedades de la sangre en las que unas células de la sangre (llamadas eosinófilos) empiezan a crecer sin control. Glivec inhibe el crecimiento de estas células en un cierto subtipo de estas enfermedades.</w:t>
      </w:r>
    </w:p>
    <w:p w14:paraId="4D7C793F" w14:textId="77777777" w:rsidR="00D938DC" w:rsidRPr="002D741C" w:rsidRDefault="00D938DC" w:rsidP="00D938DC">
      <w:pPr>
        <w:pStyle w:val="EndnoteText"/>
        <w:widowControl w:val="0"/>
        <w:numPr>
          <w:ilvl w:val="0"/>
          <w:numId w:val="17"/>
        </w:numPr>
        <w:tabs>
          <w:tab w:val="clear" w:pos="567"/>
          <w:tab w:val="clear" w:pos="717"/>
        </w:tabs>
        <w:ind w:left="567" w:hanging="567"/>
        <w:rPr>
          <w:color w:val="000000"/>
          <w:szCs w:val="22"/>
          <w:lang w:val="es-ES"/>
        </w:rPr>
      </w:pPr>
      <w:r w:rsidRPr="002D741C">
        <w:rPr>
          <w:b/>
          <w:color w:val="000000"/>
          <w:szCs w:val="22"/>
          <w:lang w:val="es-ES"/>
        </w:rPr>
        <w:lastRenderedPageBreak/>
        <w:t>Tumores del estroma gastrointestinal (G</w:t>
      </w:r>
      <w:smartTag w:uri="urn:schemas-microsoft-com:office:smarttags" w:element="PersonName">
        <w:r w:rsidRPr="002D741C">
          <w:rPr>
            <w:b/>
            <w:color w:val="000000"/>
            <w:szCs w:val="22"/>
            <w:lang w:val="es-ES"/>
          </w:rPr>
          <w:t>IS</w:t>
        </w:r>
      </w:smartTag>
      <w:r w:rsidRPr="002D741C">
        <w:rPr>
          <w:b/>
          <w:color w:val="000000"/>
          <w:szCs w:val="22"/>
          <w:lang w:val="es-ES"/>
        </w:rPr>
        <w:t>T)</w:t>
      </w:r>
      <w:r w:rsidRPr="002D741C">
        <w:rPr>
          <w:color w:val="000000"/>
          <w:szCs w:val="22"/>
          <w:lang w:val="es-ES"/>
        </w:rPr>
        <w:t>. G</w:t>
      </w:r>
      <w:smartTag w:uri="urn:schemas-microsoft-com:office:smarttags" w:element="PersonName">
        <w:r w:rsidRPr="002D741C">
          <w:rPr>
            <w:color w:val="000000"/>
            <w:szCs w:val="22"/>
            <w:lang w:val="es-ES"/>
          </w:rPr>
          <w:t>IS</w:t>
        </w:r>
      </w:smartTag>
      <w:r w:rsidRPr="002D741C">
        <w:rPr>
          <w:color w:val="000000"/>
          <w:szCs w:val="22"/>
          <w:lang w:val="es-ES"/>
        </w:rPr>
        <w:t>T es un cáncer del estómago e intestino. Se origina por un crecimiento celular incontrolado de los tejidos de soporte de estos órganos.</w:t>
      </w:r>
    </w:p>
    <w:p w14:paraId="3B444246" w14:textId="77777777" w:rsidR="00D938DC" w:rsidRPr="002D741C" w:rsidRDefault="00D938DC" w:rsidP="006662BC">
      <w:pPr>
        <w:keepNext/>
        <w:keepLines/>
        <w:widowControl w:val="0"/>
        <w:numPr>
          <w:ilvl w:val="0"/>
          <w:numId w:val="17"/>
        </w:numPr>
        <w:tabs>
          <w:tab w:val="clear" w:pos="717"/>
        </w:tabs>
        <w:ind w:left="567" w:hanging="567"/>
        <w:rPr>
          <w:color w:val="000000"/>
          <w:sz w:val="22"/>
          <w:szCs w:val="22"/>
        </w:rPr>
      </w:pPr>
      <w:r w:rsidRPr="002D741C">
        <w:rPr>
          <w:b/>
          <w:color w:val="000000"/>
          <w:sz w:val="22"/>
          <w:szCs w:val="22"/>
        </w:rPr>
        <w:t>Dermatofibrosarcoma protuberans (DFSP)</w:t>
      </w:r>
      <w:r w:rsidRPr="002D741C">
        <w:rPr>
          <w:color w:val="000000"/>
          <w:sz w:val="22"/>
          <w:szCs w:val="22"/>
        </w:rPr>
        <w:t>. El DFSP es un cáncer del tejido que está debajo de la piel en que algunas células empiezan a crecer sin control. Glivec inhibe el crecimiento de estas células.</w:t>
      </w:r>
    </w:p>
    <w:p w14:paraId="44AF4FD8" w14:textId="77777777" w:rsidR="00D938DC" w:rsidRPr="002D741C" w:rsidRDefault="00D938DC" w:rsidP="00D938DC">
      <w:pPr>
        <w:pStyle w:val="EndnoteText"/>
        <w:widowControl w:val="0"/>
        <w:numPr>
          <w:ilvl w:val="12"/>
          <w:numId w:val="0"/>
        </w:numPr>
        <w:tabs>
          <w:tab w:val="clear" w:pos="567"/>
        </w:tabs>
        <w:rPr>
          <w:color w:val="000000"/>
          <w:szCs w:val="22"/>
          <w:lang w:val="es-ES"/>
        </w:rPr>
      </w:pPr>
      <w:r w:rsidRPr="002D741C">
        <w:rPr>
          <w:color w:val="000000"/>
          <w:szCs w:val="22"/>
          <w:lang w:val="es-ES"/>
        </w:rPr>
        <w:t>En el resto de este prospecto se utilizan estas abreviaturas al referirse a estas enfermedades.</w:t>
      </w:r>
    </w:p>
    <w:p w14:paraId="1496F833" w14:textId="77777777" w:rsidR="00D938DC" w:rsidRPr="002D741C" w:rsidRDefault="00D938DC" w:rsidP="00D938DC">
      <w:pPr>
        <w:pStyle w:val="EndnoteText"/>
        <w:widowControl w:val="0"/>
        <w:numPr>
          <w:ilvl w:val="12"/>
          <w:numId w:val="0"/>
        </w:numPr>
        <w:tabs>
          <w:tab w:val="clear" w:pos="567"/>
        </w:tabs>
        <w:rPr>
          <w:color w:val="000000"/>
          <w:szCs w:val="22"/>
          <w:lang w:val="es-ES"/>
        </w:rPr>
      </w:pPr>
    </w:p>
    <w:p w14:paraId="7EBC7120" w14:textId="77777777" w:rsidR="00D938DC" w:rsidRPr="002D741C" w:rsidRDefault="00D938DC" w:rsidP="00D938DC">
      <w:pPr>
        <w:pStyle w:val="EndnoteText"/>
        <w:widowControl w:val="0"/>
        <w:numPr>
          <w:ilvl w:val="12"/>
          <w:numId w:val="0"/>
        </w:numPr>
        <w:tabs>
          <w:tab w:val="clear" w:pos="567"/>
        </w:tabs>
        <w:rPr>
          <w:color w:val="000000"/>
          <w:szCs w:val="22"/>
          <w:lang w:val="es-ES"/>
        </w:rPr>
      </w:pPr>
      <w:r w:rsidRPr="002D741C">
        <w:rPr>
          <w:color w:val="000000"/>
          <w:szCs w:val="22"/>
          <w:lang w:val="es-ES"/>
        </w:rPr>
        <w:t>Si tiene alguna pregunta sobre cómo actúa Glivec o porqué este medicamento se le ha recetado a usted, pregunte a su médico.</w:t>
      </w:r>
    </w:p>
    <w:p w14:paraId="1E4CC619" w14:textId="77777777" w:rsidR="00D938DC" w:rsidRPr="002D741C" w:rsidRDefault="00D938DC" w:rsidP="00D938DC">
      <w:pPr>
        <w:pStyle w:val="EndnoteText"/>
        <w:widowControl w:val="0"/>
        <w:numPr>
          <w:ilvl w:val="12"/>
          <w:numId w:val="0"/>
        </w:numPr>
        <w:tabs>
          <w:tab w:val="clear" w:pos="567"/>
        </w:tabs>
        <w:rPr>
          <w:color w:val="000000"/>
          <w:szCs w:val="22"/>
          <w:lang w:val="es-ES"/>
        </w:rPr>
      </w:pPr>
    </w:p>
    <w:p w14:paraId="02586F19" w14:textId="77777777" w:rsidR="00D938DC" w:rsidRPr="002D741C" w:rsidRDefault="00D938DC" w:rsidP="00D938DC">
      <w:pPr>
        <w:widowControl w:val="0"/>
        <w:numPr>
          <w:ilvl w:val="12"/>
          <w:numId w:val="0"/>
        </w:numPr>
        <w:ind w:left="567" w:right="-2" w:hanging="567"/>
        <w:rPr>
          <w:color w:val="000000"/>
          <w:sz w:val="22"/>
          <w:szCs w:val="22"/>
        </w:rPr>
      </w:pPr>
    </w:p>
    <w:p w14:paraId="15AAC689" w14:textId="77777777" w:rsidR="00D938DC" w:rsidRPr="002D741C" w:rsidRDefault="00D938DC" w:rsidP="006662BC">
      <w:pPr>
        <w:keepNext/>
        <w:widowControl w:val="0"/>
        <w:numPr>
          <w:ilvl w:val="12"/>
          <w:numId w:val="0"/>
        </w:numPr>
        <w:ind w:left="567" w:right="-2" w:hanging="567"/>
        <w:rPr>
          <w:color w:val="000000"/>
          <w:sz w:val="22"/>
          <w:szCs w:val="22"/>
        </w:rPr>
      </w:pPr>
      <w:r w:rsidRPr="002D741C">
        <w:rPr>
          <w:b/>
          <w:color w:val="000000"/>
          <w:sz w:val="22"/>
          <w:szCs w:val="22"/>
        </w:rPr>
        <w:t>2.</w:t>
      </w:r>
      <w:r w:rsidRPr="002D741C">
        <w:rPr>
          <w:b/>
          <w:color w:val="000000"/>
          <w:sz w:val="22"/>
          <w:szCs w:val="22"/>
        </w:rPr>
        <w:tab/>
        <w:t>Qué necesita saber antes de empezar a tomar Glivec</w:t>
      </w:r>
    </w:p>
    <w:p w14:paraId="538F2EF1" w14:textId="77777777" w:rsidR="00D938DC" w:rsidRPr="002D741C" w:rsidRDefault="00D938DC" w:rsidP="006662BC">
      <w:pPr>
        <w:keepNext/>
        <w:widowControl w:val="0"/>
        <w:numPr>
          <w:ilvl w:val="12"/>
          <w:numId w:val="0"/>
        </w:numPr>
        <w:ind w:right="-2"/>
        <w:rPr>
          <w:color w:val="000000"/>
          <w:sz w:val="22"/>
          <w:szCs w:val="22"/>
        </w:rPr>
      </w:pPr>
    </w:p>
    <w:p w14:paraId="3708B4BC" w14:textId="77777777" w:rsidR="00D938DC" w:rsidRPr="002D741C" w:rsidRDefault="00D938DC" w:rsidP="00D938DC">
      <w:pPr>
        <w:widowControl w:val="0"/>
        <w:numPr>
          <w:ilvl w:val="12"/>
          <w:numId w:val="0"/>
        </w:numPr>
        <w:ind w:right="-2"/>
        <w:rPr>
          <w:color w:val="000000"/>
          <w:sz w:val="22"/>
          <w:szCs w:val="22"/>
        </w:rPr>
      </w:pPr>
      <w:r w:rsidRPr="002D741C">
        <w:rPr>
          <w:color w:val="000000"/>
          <w:sz w:val="22"/>
          <w:szCs w:val="22"/>
        </w:rPr>
        <w:t>Sólo le recetará Glivec un médico con experiencia en medicamentos para tratar el cáncer de células sanguíneas o los tumores sólidos.</w:t>
      </w:r>
    </w:p>
    <w:p w14:paraId="640A5A53" w14:textId="77777777" w:rsidR="00D938DC" w:rsidRPr="002D741C" w:rsidRDefault="00D938DC" w:rsidP="00D938DC">
      <w:pPr>
        <w:widowControl w:val="0"/>
        <w:numPr>
          <w:ilvl w:val="12"/>
          <w:numId w:val="0"/>
        </w:numPr>
        <w:ind w:right="-2"/>
        <w:rPr>
          <w:color w:val="000000"/>
          <w:sz w:val="22"/>
          <w:szCs w:val="22"/>
        </w:rPr>
      </w:pPr>
    </w:p>
    <w:p w14:paraId="7C380DAC" w14:textId="77777777" w:rsidR="00D938DC" w:rsidRPr="002D741C" w:rsidRDefault="00D938DC" w:rsidP="00D938DC">
      <w:pPr>
        <w:widowControl w:val="0"/>
        <w:numPr>
          <w:ilvl w:val="12"/>
          <w:numId w:val="0"/>
        </w:numPr>
        <w:ind w:right="-2"/>
        <w:rPr>
          <w:color w:val="000000"/>
          <w:sz w:val="22"/>
          <w:szCs w:val="22"/>
        </w:rPr>
      </w:pPr>
      <w:r w:rsidRPr="002D741C">
        <w:rPr>
          <w:color w:val="000000"/>
          <w:sz w:val="22"/>
          <w:szCs w:val="22"/>
        </w:rPr>
        <w:t>Siga cuidadosamente todas las instrucciones de su médico, aunque éstas sean diferentes de la información general contenida en este prospecto.</w:t>
      </w:r>
    </w:p>
    <w:p w14:paraId="0D71726E" w14:textId="77777777" w:rsidR="00D938DC" w:rsidRPr="002D741C" w:rsidRDefault="00D938DC" w:rsidP="00D938DC">
      <w:pPr>
        <w:widowControl w:val="0"/>
        <w:numPr>
          <w:ilvl w:val="12"/>
          <w:numId w:val="0"/>
        </w:numPr>
        <w:ind w:right="-2"/>
        <w:rPr>
          <w:color w:val="000000"/>
          <w:sz w:val="22"/>
          <w:szCs w:val="22"/>
        </w:rPr>
      </w:pPr>
    </w:p>
    <w:p w14:paraId="543F8BA6" w14:textId="77777777" w:rsidR="00D938DC" w:rsidRPr="002D741C" w:rsidRDefault="00D938DC" w:rsidP="006662BC">
      <w:pPr>
        <w:keepNext/>
        <w:widowControl w:val="0"/>
        <w:numPr>
          <w:ilvl w:val="12"/>
          <w:numId w:val="0"/>
        </w:numPr>
        <w:rPr>
          <w:color w:val="000000"/>
          <w:sz w:val="22"/>
          <w:szCs w:val="22"/>
        </w:rPr>
      </w:pPr>
      <w:r w:rsidRPr="002D741C">
        <w:rPr>
          <w:b/>
          <w:color w:val="000000"/>
          <w:sz w:val="22"/>
          <w:szCs w:val="22"/>
        </w:rPr>
        <w:t>No tome Glivec:</w:t>
      </w:r>
    </w:p>
    <w:p w14:paraId="24DD4728" w14:textId="77777777" w:rsidR="00D938DC" w:rsidRPr="002D741C" w:rsidRDefault="00D938DC" w:rsidP="006662BC">
      <w:pPr>
        <w:keepNext/>
        <w:keepLines/>
        <w:widowControl w:val="0"/>
        <w:numPr>
          <w:ilvl w:val="12"/>
          <w:numId w:val="0"/>
        </w:numPr>
        <w:ind w:left="567" w:hanging="567"/>
        <w:rPr>
          <w:color w:val="000000"/>
          <w:sz w:val="22"/>
          <w:szCs w:val="22"/>
        </w:rPr>
      </w:pPr>
      <w:r w:rsidRPr="002D741C">
        <w:rPr>
          <w:color w:val="000000"/>
          <w:sz w:val="22"/>
          <w:szCs w:val="22"/>
        </w:rPr>
        <w:t>-</w:t>
      </w:r>
      <w:r w:rsidRPr="002D741C">
        <w:rPr>
          <w:color w:val="000000"/>
          <w:sz w:val="22"/>
          <w:szCs w:val="22"/>
        </w:rPr>
        <w:tab/>
        <w:t xml:space="preserve">si es alérgico al imatinib o a </w:t>
      </w:r>
      <w:r w:rsidR="00542B0E" w:rsidRPr="002D741C">
        <w:rPr>
          <w:color w:val="000000"/>
          <w:sz w:val="22"/>
          <w:szCs w:val="22"/>
        </w:rPr>
        <w:t>alguno</w:t>
      </w:r>
      <w:r w:rsidRPr="002D741C">
        <w:rPr>
          <w:color w:val="000000"/>
          <w:sz w:val="22"/>
          <w:szCs w:val="22"/>
        </w:rPr>
        <w:t xml:space="preserve"> de los demás componentes de este medicamento (incluidos en la sección 6).</w:t>
      </w:r>
    </w:p>
    <w:p w14:paraId="57FF99EE" w14:textId="77777777" w:rsidR="00D938DC" w:rsidRPr="002D741C" w:rsidRDefault="00D938DC" w:rsidP="00D938DC">
      <w:pPr>
        <w:widowControl w:val="0"/>
        <w:numPr>
          <w:ilvl w:val="12"/>
          <w:numId w:val="0"/>
        </w:numPr>
        <w:ind w:left="567" w:right="-2" w:hanging="567"/>
        <w:rPr>
          <w:b/>
          <w:color w:val="000000"/>
          <w:sz w:val="22"/>
          <w:szCs w:val="22"/>
        </w:rPr>
      </w:pPr>
      <w:r w:rsidRPr="002D741C">
        <w:rPr>
          <w:color w:val="000000"/>
          <w:sz w:val="22"/>
          <w:szCs w:val="22"/>
        </w:rPr>
        <w:t xml:space="preserve">Si este caso le aplica a usted, </w:t>
      </w:r>
      <w:r w:rsidRPr="002D741C">
        <w:rPr>
          <w:b/>
          <w:color w:val="000000"/>
          <w:sz w:val="22"/>
          <w:szCs w:val="22"/>
        </w:rPr>
        <w:t>informe a su médico y no tome Glivec.</w:t>
      </w:r>
    </w:p>
    <w:p w14:paraId="03C1157C" w14:textId="77777777" w:rsidR="00D938DC" w:rsidRPr="002D741C" w:rsidRDefault="00D938DC" w:rsidP="00D938DC">
      <w:pPr>
        <w:widowControl w:val="0"/>
        <w:numPr>
          <w:ilvl w:val="12"/>
          <w:numId w:val="0"/>
        </w:numPr>
        <w:ind w:left="567" w:right="-2" w:hanging="567"/>
        <w:rPr>
          <w:color w:val="000000"/>
          <w:sz w:val="22"/>
          <w:szCs w:val="22"/>
        </w:rPr>
      </w:pPr>
    </w:p>
    <w:p w14:paraId="2161D73E" w14:textId="77777777" w:rsidR="00D938DC" w:rsidRPr="002D741C" w:rsidRDefault="00D938DC" w:rsidP="00D938DC">
      <w:pPr>
        <w:widowControl w:val="0"/>
        <w:numPr>
          <w:ilvl w:val="12"/>
          <w:numId w:val="0"/>
        </w:numPr>
        <w:ind w:left="567" w:right="-2" w:hanging="567"/>
        <w:rPr>
          <w:color w:val="000000"/>
          <w:sz w:val="22"/>
          <w:szCs w:val="22"/>
        </w:rPr>
      </w:pPr>
      <w:r w:rsidRPr="002D741C">
        <w:rPr>
          <w:color w:val="000000"/>
          <w:sz w:val="22"/>
          <w:szCs w:val="22"/>
        </w:rPr>
        <w:t>Si usted cree que puede ser alérgico pero no está seguro, pida consejo a su médico.</w:t>
      </w:r>
    </w:p>
    <w:p w14:paraId="418B2AE8" w14:textId="77777777" w:rsidR="00D938DC" w:rsidRPr="002D741C" w:rsidRDefault="00D938DC" w:rsidP="00D938DC">
      <w:pPr>
        <w:widowControl w:val="0"/>
        <w:numPr>
          <w:ilvl w:val="12"/>
          <w:numId w:val="0"/>
        </w:numPr>
        <w:ind w:right="-2"/>
        <w:rPr>
          <w:color w:val="000000"/>
          <w:sz w:val="22"/>
          <w:szCs w:val="22"/>
        </w:rPr>
      </w:pPr>
    </w:p>
    <w:p w14:paraId="12F9E7C4" w14:textId="77777777" w:rsidR="00D938DC" w:rsidRPr="002D741C" w:rsidRDefault="00D938DC" w:rsidP="006662BC">
      <w:pPr>
        <w:keepNext/>
        <w:widowControl w:val="0"/>
        <w:numPr>
          <w:ilvl w:val="12"/>
          <w:numId w:val="0"/>
        </w:numPr>
        <w:ind w:right="-2"/>
        <w:rPr>
          <w:b/>
          <w:color w:val="000000"/>
          <w:sz w:val="22"/>
          <w:szCs w:val="22"/>
        </w:rPr>
      </w:pPr>
      <w:r w:rsidRPr="002D741C">
        <w:rPr>
          <w:b/>
          <w:color w:val="000000"/>
          <w:sz w:val="22"/>
          <w:szCs w:val="22"/>
        </w:rPr>
        <w:t>Advertencias y precauciones</w:t>
      </w:r>
    </w:p>
    <w:p w14:paraId="183D09BF" w14:textId="77777777" w:rsidR="00D938DC" w:rsidRPr="002D741C" w:rsidRDefault="00D938DC" w:rsidP="006662BC">
      <w:pPr>
        <w:keepNext/>
        <w:widowControl w:val="0"/>
        <w:numPr>
          <w:ilvl w:val="12"/>
          <w:numId w:val="0"/>
        </w:numPr>
        <w:ind w:right="-2"/>
        <w:rPr>
          <w:color w:val="000000"/>
          <w:sz w:val="22"/>
          <w:szCs w:val="22"/>
        </w:rPr>
      </w:pPr>
      <w:r w:rsidRPr="002D741C">
        <w:rPr>
          <w:color w:val="000000"/>
          <w:sz w:val="22"/>
          <w:szCs w:val="22"/>
        </w:rPr>
        <w:t>Consulte a su médico antes de empezar a tomar Glivec:</w:t>
      </w:r>
    </w:p>
    <w:p w14:paraId="78AB990F" w14:textId="77777777" w:rsidR="00D938DC" w:rsidRPr="002D741C" w:rsidRDefault="00D938DC" w:rsidP="00D938DC">
      <w:pPr>
        <w:widowControl w:val="0"/>
        <w:numPr>
          <w:ilvl w:val="12"/>
          <w:numId w:val="0"/>
        </w:numPr>
        <w:ind w:left="567" w:hanging="567"/>
        <w:rPr>
          <w:color w:val="000000"/>
          <w:sz w:val="22"/>
          <w:szCs w:val="22"/>
        </w:rPr>
      </w:pPr>
      <w:r w:rsidRPr="002D741C">
        <w:rPr>
          <w:color w:val="000000"/>
          <w:sz w:val="22"/>
          <w:szCs w:val="22"/>
        </w:rPr>
        <w:t>-</w:t>
      </w:r>
      <w:r w:rsidRPr="002D741C">
        <w:rPr>
          <w:color w:val="000000"/>
          <w:sz w:val="22"/>
          <w:szCs w:val="22"/>
        </w:rPr>
        <w:tab/>
        <w:t>si tiene o ha tenido algún problema de hígado, riñón o corazón.</w:t>
      </w:r>
    </w:p>
    <w:p w14:paraId="6A1BC8E3" w14:textId="77777777" w:rsidR="00D938DC" w:rsidRPr="002D741C" w:rsidRDefault="00D938DC" w:rsidP="00D938DC">
      <w:pPr>
        <w:widowControl w:val="0"/>
        <w:numPr>
          <w:ilvl w:val="12"/>
          <w:numId w:val="0"/>
        </w:numPr>
        <w:ind w:left="567" w:hanging="567"/>
        <w:rPr>
          <w:color w:val="000000"/>
          <w:sz w:val="22"/>
          <w:szCs w:val="22"/>
        </w:rPr>
      </w:pPr>
      <w:r w:rsidRPr="002D741C">
        <w:rPr>
          <w:color w:val="000000"/>
          <w:sz w:val="22"/>
          <w:szCs w:val="22"/>
        </w:rPr>
        <w:t>-</w:t>
      </w:r>
      <w:r w:rsidRPr="002D741C">
        <w:rPr>
          <w:color w:val="000000"/>
          <w:sz w:val="22"/>
          <w:szCs w:val="22"/>
        </w:rPr>
        <w:tab/>
        <w:t>si está tomando un medicamento que contiene levotiroxina porque le han extirpado la glándula tiroides.</w:t>
      </w:r>
    </w:p>
    <w:p w14:paraId="46F690CB" w14:textId="77777777" w:rsidR="009664E2" w:rsidRPr="002D741C" w:rsidRDefault="009664E2" w:rsidP="009664E2">
      <w:pPr>
        <w:widowControl w:val="0"/>
        <w:numPr>
          <w:ilvl w:val="12"/>
          <w:numId w:val="0"/>
        </w:numPr>
        <w:ind w:left="567" w:hanging="567"/>
        <w:rPr>
          <w:color w:val="000000"/>
          <w:sz w:val="22"/>
          <w:szCs w:val="22"/>
        </w:rPr>
      </w:pPr>
      <w:r w:rsidRPr="002D741C">
        <w:rPr>
          <w:color w:val="000000"/>
          <w:sz w:val="22"/>
          <w:szCs w:val="22"/>
        </w:rPr>
        <w:t>-</w:t>
      </w:r>
      <w:r w:rsidRPr="002D741C">
        <w:rPr>
          <w:color w:val="000000"/>
          <w:sz w:val="22"/>
          <w:szCs w:val="22"/>
        </w:rPr>
        <w:tab/>
        <w:t>si alguna vez ha tenido o podría tener en este momento una infección por el virus de la hepatitis B. Esto se debe a que Glivec podría hacer que la hepatitis B se volviese activa de nuevo, lo que puede resultar mortal en algunos casos. El médico deberá comprobar atentamente si hay signos de esta infección antes de comenzar el tratamiento.</w:t>
      </w:r>
    </w:p>
    <w:p w14:paraId="7C1D9DE6" w14:textId="77777777" w:rsidR="007B421A" w:rsidRPr="002D741C" w:rsidRDefault="007B421A" w:rsidP="007B421A">
      <w:pPr>
        <w:widowControl w:val="0"/>
        <w:numPr>
          <w:ilvl w:val="0"/>
          <w:numId w:val="30"/>
        </w:numPr>
        <w:ind w:left="567" w:hanging="567"/>
        <w:rPr>
          <w:color w:val="000000"/>
          <w:sz w:val="22"/>
          <w:szCs w:val="22"/>
          <w:lang w:val="es-ES"/>
        </w:rPr>
      </w:pPr>
      <w:r w:rsidRPr="002D741C">
        <w:rPr>
          <w:color w:val="000000"/>
          <w:sz w:val="22"/>
          <w:szCs w:val="22"/>
          <w:lang w:val="es-ES"/>
        </w:rPr>
        <w:t>si mientras esté tomando Glivec le aparecieran moratones, sangrados, fiebre, fatiga y confusión, por favor contacte con su médico. Esto podría ser una señal de daño de los vasos sanguíneos llamada microangiopatía trombótica (MAT).</w:t>
      </w:r>
    </w:p>
    <w:p w14:paraId="173F7ED0" w14:textId="77777777" w:rsidR="007B421A" w:rsidRPr="002D741C" w:rsidRDefault="007B421A" w:rsidP="009664E2">
      <w:pPr>
        <w:widowControl w:val="0"/>
        <w:numPr>
          <w:ilvl w:val="12"/>
          <w:numId w:val="0"/>
        </w:numPr>
        <w:ind w:left="567" w:hanging="567"/>
        <w:rPr>
          <w:color w:val="000000"/>
          <w:sz w:val="22"/>
          <w:szCs w:val="22"/>
          <w:lang w:val="es-ES"/>
        </w:rPr>
      </w:pPr>
    </w:p>
    <w:p w14:paraId="79F0A795" w14:textId="77777777" w:rsidR="00D938DC" w:rsidRPr="002D741C" w:rsidRDefault="00D938DC" w:rsidP="00D938DC">
      <w:pPr>
        <w:widowControl w:val="0"/>
        <w:rPr>
          <w:color w:val="000000"/>
          <w:sz w:val="22"/>
          <w:szCs w:val="22"/>
        </w:rPr>
      </w:pPr>
      <w:r w:rsidRPr="002D741C">
        <w:rPr>
          <w:color w:val="000000"/>
          <w:sz w:val="22"/>
          <w:szCs w:val="22"/>
        </w:rPr>
        <w:t xml:space="preserve">Si alguno de estos casos es aplicable a usted, </w:t>
      </w:r>
      <w:r w:rsidRPr="002D741C">
        <w:rPr>
          <w:b/>
          <w:color w:val="000000"/>
          <w:sz w:val="22"/>
          <w:szCs w:val="22"/>
        </w:rPr>
        <w:t>informe a su médico antes de tomar Glivec.</w:t>
      </w:r>
    </w:p>
    <w:p w14:paraId="2059FDE9" w14:textId="77777777" w:rsidR="0063057E" w:rsidRPr="002D741C" w:rsidRDefault="0063057E" w:rsidP="0063057E">
      <w:pPr>
        <w:widowControl w:val="0"/>
        <w:rPr>
          <w:color w:val="000000"/>
          <w:sz w:val="22"/>
          <w:szCs w:val="22"/>
        </w:rPr>
      </w:pPr>
    </w:p>
    <w:p w14:paraId="376E9402" w14:textId="77777777" w:rsidR="00A833C7" w:rsidRPr="002D741C" w:rsidRDefault="00A833C7" w:rsidP="00A833C7">
      <w:pPr>
        <w:widowControl w:val="0"/>
        <w:rPr>
          <w:color w:val="000000"/>
          <w:sz w:val="22"/>
          <w:szCs w:val="22"/>
        </w:rPr>
      </w:pPr>
      <w:r w:rsidRPr="002D741C">
        <w:rPr>
          <w:color w:val="000000"/>
          <w:sz w:val="22"/>
          <w:szCs w:val="22"/>
        </w:rPr>
        <w:t xml:space="preserve">Es posible que aumente su sensibilidad al sol mientras esté tomando Glivec. Es importante que cubra las zonas de la piel que estén expuestas al sol y utilice </w:t>
      </w:r>
      <w:r w:rsidR="00A47AF1" w:rsidRPr="002D741C">
        <w:rPr>
          <w:color w:val="000000"/>
          <w:sz w:val="22"/>
          <w:szCs w:val="22"/>
        </w:rPr>
        <w:t>protector</w:t>
      </w:r>
      <w:r w:rsidRPr="002D741C">
        <w:rPr>
          <w:color w:val="000000"/>
          <w:sz w:val="22"/>
          <w:szCs w:val="22"/>
        </w:rPr>
        <w:t xml:space="preserve"> solar de protección alta. Estas precauciones también aplican a los niños.</w:t>
      </w:r>
    </w:p>
    <w:p w14:paraId="2830EBB1" w14:textId="77777777" w:rsidR="00D938DC" w:rsidRPr="002D741C" w:rsidRDefault="00D938DC" w:rsidP="00D938DC">
      <w:pPr>
        <w:widowControl w:val="0"/>
        <w:rPr>
          <w:color w:val="000000"/>
          <w:sz w:val="22"/>
          <w:szCs w:val="22"/>
        </w:rPr>
      </w:pPr>
    </w:p>
    <w:p w14:paraId="77CEAC68" w14:textId="77777777" w:rsidR="00D938DC" w:rsidRPr="002D741C" w:rsidRDefault="00D938DC" w:rsidP="00D938DC">
      <w:pPr>
        <w:widowControl w:val="0"/>
        <w:rPr>
          <w:color w:val="000000"/>
          <w:sz w:val="22"/>
          <w:szCs w:val="22"/>
        </w:rPr>
      </w:pPr>
      <w:r w:rsidRPr="002D741C">
        <w:rPr>
          <w:b/>
          <w:color w:val="000000"/>
          <w:sz w:val="22"/>
          <w:szCs w:val="22"/>
        </w:rPr>
        <w:t xml:space="preserve">Durante el tratamiento con Glivec, informe a su médico inmediatamente </w:t>
      </w:r>
      <w:r w:rsidRPr="002D741C">
        <w:rPr>
          <w:color w:val="000000"/>
          <w:sz w:val="22"/>
          <w:szCs w:val="22"/>
        </w:rPr>
        <w:t>si aumenta de peso muy rápidamente. Glivec puede causar retención de agua en el cuerpo (retención de líquidos grave).</w:t>
      </w:r>
    </w:p>
    <w:p w14:paraId="4EB8FA15" w14:textId="77777777" w:rsidR="00D938DC" w:rsidRPr="002D741C" w:rsidRDefault="00D938DC" w:rsidP="00D938DC">
      <w:pPr>
        <w:widowControl w:val="0"/>
        <w:rPr>
          <w:color w:val="000000"/>
          <w:sz w:val="22"/>
          <w:szCs w:val="22"/>
        </w:rPr>
      </w:pPr>
    </w:p>
    <w:p w14:paraId="295ECB7A" w14:textId="77777777" w:rsidR="00D938DC" w:rsidRPr="002D741C" w:rsidRDefault="00D938DC" w:rsidP="00D938DC">
      <w:pPr>
        <w:widowControl w:val="0"/>
        <w:rPr>
          <w:color w:val="000000"/>
          <w:sz w:val="22"/>
          <w:szCs w:val="22"/>
        </w:rPr>
      </w:pPr>
      <w:r w:rsidRPr="002D741C">
        <w:rPr>
          <w:color w:val="000000"/>
          <w:sz w:val="22"/>
          <w:szCs w:val="22"/>
        </w:rPr>
        <w:t>Mientras esté tomando Glivec, su médico le controlará regularmente si el medicamento está actuando. También se le realizarán análisis de sangre y será pesado regularmente.</w:t>
      </w:r>
    </w:p>
    <w:p w14:paraId="34B0C49D" w14:textId="77777777" w:rsidR="00D938DC" w:rsidRPr="002D741C" w:rsidRDefault="00D938DC" w:rsidP="00D938DC">
      <w:pPr>
        <w:widowControl w:val="0"/>
        <w:rPr>
          <w:color w:val="000000"/>
          <w:sz w:val="22"/>
          <w:szCs w:val="22"/>
        </w:rPr>
      </w:pPr>
    </w:p>
    <w:p w14:paraId="7C7384D6" w14:textId="77777777" w:rsidR="00D938DC" w:rsidRPr="002D741C" w:rsidRDefault="00D938DC" w:rsidP="006662BC">
      <w:pPr>
        <w:keepNext/>
        <w:widowControl w:val="0"/>
        <w:rPr>
          <w:b/>
          <w:color w:val="000000"/>
          <w:sz w:val="22"/>
          <w:szCs w:val="22"/>
        </w:rPr>
      </w:pPr>
      <w:r w:rsidRPr="002D741C">
        <w:rPr>
          <w:b/>
          <w:color w:val="000000"/>
          <w:sz w:val="22"/>
          <w:szCs w:val="22"/>
        </w:rPr>
        <w:t>Niños y adolescentes</w:t>
      </w:r>
    </w:p>
    <w:p w14:paraId="76BC02B8" w14:textId="77777777" w:rsidR="00D938DC" w:rsidRPr="002D741C" w:rsidRDefault="00D938DC" w:rsidP="00D938DC">
      <w:pPr>
        <w:widowControl w:val="0"/>
        <w:rPr>
          <w:color w:val="000000"/>
          <w:sz w:val="22"/>
          <w:szCs w:val="22"/>
        </w:rPr>
      </w:pPr>
      <w:r w:rsidRPr="002D741C">
        <w:rPr>
          <w:color w:val="000000"/>
          <w:sz w:val="22"/>
          <w:szCs w:val="22"/>
        </w:rPr>
        <w:t>Glivec es también un tratamiento para niños con LMC. No hay experiencia en niños con LMC menores de 2 años de edad. La experiencia en niños con LLA Ph-positivo es limitada</w:t>
      </w:r>
      <w:r w:rsidR="006555DE" w:rsidRPr="002D741C">
        <w:rPr>
          <w:color w:val="000000"/>
          <w:sz w:val="22"/>
          <w:szCs w:val="22"/>
        </w:rPr>
        <w:t xml:space="preserve"> y la experiencia en niños con SMD/SMP, DFSP, G</w:t>
      </w:r>
      <w:smartTag w:uri="urn:schemas-microsoft-com:office:smarttags" w:element="PersonName">
        <w:r w:rsidR="006555DE" w:rsidRPr="002D741C">
          <w:rPr>
            <w:color w:val="000000"/>
            <w:sz w:val="22"/>
            <w:szCs w:val="22"/>
          </w:rPr>
          <w:t>IS</w:t>
        </w:r>
      </w:smartTag>
      <w:r w:rsidR="006555DE" w:rsidRPr="002D741C">
        <w:rPr>
          <w:color w:val="000000"/>
          <w:sz w:val="22"/>
          <w:szCs w:val="22"/>
        </w:rPr>
        <w:t>T y SHE/LEC es muy limitada</w:t>
      </w:r>
      <w:r w:rsidRPr="002D741C">
        <w:rPr>
          <w:color w:val="000000"/>
          <w:sz w:val="22"/>
          <w:szCs w:val="22"/>
        </w:rPr>
        <w:t>.</w:t>
      </w:r>
    </w:p>
    <w:p w14:paraId="25C14C26" w14:textId="77777777" w:rsidR="00D938DC" w:rsidRPr="002D741C" w:rsidRDefault="00D938DC" w:rsidP="00D938DC">
      <w:pPr>
        <w:pStyle w:val="EndnoteText"/>
        <w:widowControl w:val="0"/>
        <w:numPr>
          <w:ilvl w:val="12"/>
          <w:numId w:val="0"/>
        </w:numPr>
        <w:tabs>
          <w:tab w:val="clear" w:pos="567"/>
        </w:tabs>
        <w:rPr>
          <w:color w:val="000000"/>
          <w:szCs w:val="22"/>
          <w:lang w:val="es-ES_tradnl"/>
        </w:rPr>
      </w:pPr>
    </w:p>
    <w:p w14:paraId="039318A9" w14:textId="77777777" w:rsidR="00D938DC" w:rsidRPr="002D741C" w:rsidRDefault="00D938DC" w:rsidP="00D938DC">
      <w:pPr>
        <w:pStyle w:val="EndnoteText"/>
        <w:widowControl w:val="0"/>
        <w:numPr>
          <w:ilvl w:val="12"/>
          <w:numId w:val="0"/>
        </w:numPr>
        <w:tabs>
          <w:tab w:val="clear" w:pos="567"/>
        </w:tabs>
        <w:rPr>
          <w:color w:val="000000"/>
          <w:szCs w:val="22"/>
          <w:lang w:val="es-ES_tradnl"/>
        </w:rPr>
      </w:pPr>
      <w:r w:rsidRPr="002D741C">
        <w:rPr>
          <w:color w:val="000000"/>
          <w:szCs w:val="22"/>
          <w:lang w:val="es-ES_tradnl"/>
        </w:rPr>
        <w:t xml:space="preserve">Algunos niños y adolescentes que toman Glivec pueden tener un crecimiento más lento de lo normal. </w:t>
      </w:r>
      <w:r w:rsidRPr="002D741C">
        <w:rPr>
          <w:color w:val="000000"/>
          <w:szCs w:val="22"/>
          <w:lang w:val="es-ES_tradnl"/>
        </w:rPr>
        <w:lastRenderedPageBreak/>
        <w:t>El médico controlará el crecimiento en visitas periódicas.</w:t>
      </w:r>
    </w:p>
    <w:p w14:paraId="3D25D07B" w14:textId="77777777" w:rsidR="00D938DC" w:rsidRPr="002D741C" w:rsidRDefault="00D938DC" w:rsidP="00D938DC">
      <w:pPr>
        <w:pStyle w:val="EndnoteText"/>
        <w:widowControl w:val="0"/>
        <w:numPr>
          <w:ilvl w:val="12"/>
          <w:numId w:val="0"/>
        </w:numPr>
        <w:tabs>
          <w:tab w:val="clear" w:pos="567"/>
        </w:tabs>
        <w:rPr>
          <w:color w:val="000000"/>
          <w:szCs w:val="22"/>
          <w:lang w:val="es-ES_tradnl"/>
        </w:rPr>
      </w:pPr>
    </w:p>
    <w:p w14:paraId="6EBBC44A" w14:textId="77777777" w:rsidR="00D938DC" w:rsidRPr="002D741C" w:rsidRDefault="00F90F14" w:rsidP="006662BC">
      <w:pPr>
        <w:pStyle w:val="EndnoteText"/>
        <w:keepNext/>
        <w:widowControl w:val="0"/>
        <w:numPr>
          <w:ilvl w:val="12"/>
          <w:numId w:val="0"/>
        </w:numPr>
        <w:tabs>
          <w:tab w:val="clear" w:pos="567"/>
        </w:tabs>
        <w:rPr>
          <w:b/>
          <w:bCs/>
          <w:color w:val="000000"/>
          <w:szCs w:val="22"/>
          <w:lang w:val="es-ES"/>
        </w:rPr>
      </w:pPr>
      <w:r w:rsidRPr="002D741C">
        <w:rPr>
          <w:b/>
          <w:bCs/>
          <w:color w:val="000000"/>
          <w:szCs w:val="22"/>
          <w:lang w:val="es-ES"/>
        </w:rPr>
        <w:t>O</w:t>
      </w:r>
      <w:r w:rsidR="00D938DC" w:rsidRPr="002D741C">
        <w:rPr>
          <w:b/>
          <w:bCs/>
          <w:color w:val="000000"/>
          <w:szCs w:val="22"/>
          <w:lang w:val="es-ES"/>
        </w:rPr>
        <w:t>tros medicamentos</w:t>
      </w:r>
      <w:r w:rsidRPr="002D741C">
        <w:rPr>
          <w:b/>
          <w:bCs/>
          <w:color w:val="000000"/>
          <w:szCs w:val="22"/>
          <w:lang w:val="es-ES"/>
        </w:rPr>
        <w:t xml:space="preserve"> y Glivec</w:t>
      </w:r>
    </w:p>
    <w:p w14:paraId="34664145" w14:textId="77777777" w:rsidR="00D938DC" w:rsidRPr="002D741C" w:rsidRDefault="00D938DC" w:rsidP="00D938DC">
      <w:pPr>
        <w:pStyle w:val="EndnoteText"/>
        <w:widowControl w:val="0"/>
        <w:numPr>
          <w:ilvl w:val="12"/>
          <w:numId w:val="0"/>
        </w:numPr>
        <w:tabs>
          <w:tab w:val="clear" w:pos="567"/>
        </w:tabs>
        <w:rPr>
          <w:color w:val="000000"/>
          <w:szCs w:val="22"/>
          <w:lang w:val="es-ES"/>
        </w:rPr>
      </w:pPr>
      <w:r w:rsidRPr="002D741C">
        <w:rPr>
          <w:color w:val="000000"/>
          <w:szCs w:val="22"/>
          <w:lang w:val="es-ES"/>
        </w:rPr>
        <w:t xml:space="preserve">Informe a su médico o farmacéutico si está utilizando, ha </w:t>
      </w:r>
      <w:r w:rsidR="0020674D" w:rsidRPr="002D741C">
        <w:rPr>
          <w:color w:val="000000"/>
          <w:szCs w:val="22"/>
          <w:lang w:val="es-ES"/>
        </w:rPr>
        <w:t xml:space="preserve">tomado </w:t>
      </w:r>
      <w:r w:rsidRPr="002D741C">
        <w:rPr>
          <w:color w:val="000000"/>
          <w:szCs w:val="22"/>
          <w:lang w:val="es-ES"/>
        </w:rPr>
        <w:t>recientemente o p</w:t>
      </w:r>
      <w:r w:rsidR="00CB5282" w:rsidRPr="002D741C">
        <w:rPr>
          <w:color w:val="000000"/>
          <w:szCs w:val="22"/>
          <w:lang w:val="es-ES"/>
        </w:rPr>
        <w:t>udiera</w:t>
      </w:r>
      <w:r w:rsidRPr="002D741C">
        <w:rPr>
          <w:color w:val="000000"/>
          <w:szCs w:val="22"/>
          <w:lang w:val="es-ES"/>
        </w:rPr>
        <w:t xml:space="preserve"> tener que </w:t>
      </w:r>
      <w:r w:rsidR="0020674D" w:rsidRPr="002D741C">
        <w:rPr>
          <w:color w:val="000000"/>
          <w:szCs w:val="22"/>
          <w:lang w:val="es-ES"/>
        </w:rPr>
        <w:t xml:space="preserve">tomar </w:t>
      </w:r>
      <w:r w:rsidRPr="002D741C">
        <w:rPr>
          <w:color w:val="000000"/>
          <w:szCs w:val="22"/>
          <w:lang w:val="es-ES"/>
        </w:rPr>
        <w:t>cualquier otro medicamento, incluso los adquiridos sin receta (como paracetamol) e incluso los medicamentos a base de plantas medicinales (como Hierba de San Juan). Algunos medicamentos pueden interferir con el efecto de Glivec cuando se administran conjuntamente. Éstos pueden aumentar o disminuir el efecto de Glivec, conduciendo a un aumento de los efectos adversos o haciendo que Glivec sea menos efectivo. Glivec puede producir el mismo efecto a otros medicamentos.</w:t>
      </w:r>
    </w:p>
    <w:p w14:paraId="51E2CD9B" w14:textId="77777777" w:rsidR="00106BB5" w:rsidRPr="002D741C" w:rsidRDefault="00106BB5" w:rsidP="00D938DC">
      <w:pPr>
        <w:pStyle w:val="EndnoteText"/>
        <w:widowControl w:val="0"/>
        <w:numPr>
          <w:ilvl w:val="12"/>
          <w:numId w:val="0"/>
        </w:numPr>
        <w:tabs>
          <w:tab w:val="clear" w:pos="567"/>
        </w:tabs>
        <w:rPr>
          <w:color w:val="000000"/>
          <w:szCs w:val="22"/>
          <w:lang w:val="es-ES"/>
        </w:rPr>
      </w:pPr>
    </w:p>
    <w:p w14:paraId="04F68F79" w14:textId="77777777" w:rsidR="00106BB5" w:rsidRPr="002D741C" w:rsidRDefault="00106BB5" w:rsidP="00D938DC">
      <w:pPr>
        <w:pStyle w:val="EndnoteText"/>
        <w:widowControl w:val="0"/>
        <w:numPr>
          <w:ilvl w:val="12"/>
          <w:numId w:val="0"/>
        </w:numPr>
        <w:tabs>
          <w:tab w:val="clear" w:pos="567"/>
        </w:tabs>
        <w:rPr>
          <w:color w:val="000000"/>
          <w:szCs w:val="22"/>
          <w:lang w:val="es-ES"/>
        </w:rPr>
      </w:pPr>
      <w:r w:rsidRPr="002D741C">
        <w:rPr>
          <w:color w:val="000000"/>
          <w:szCs w:val="22"/>
          <w:lang w:val="es-ES"/>
        </w:rPr>
        <w:t>Informe a su médico si está utilizando medicamentos que previenen la formación de coágulos en la sangre.</w:t>
      </w:r>
    </w:p>
    <w:p w14:paraId="01EAD879" w14:textId="77777777" w:rsidR="00D938DC" w:rsidRPr="002D741C" w:rsidRDefault="00D938DC" w:rsidP="00D938DC">
      <w:pPr>
        <w:pStyle w:val="EndnoteText"/>
        <w:widowControl w:val="0"/>
        <w:numPr>
          <w:ilvl w:val="12"/>
          <w:numId w:val="0"/>
        </w:numPr>
        <w:tabs>
          <w:tab w:val="clear" w:pos="567"/>
        </w:tabs>
        <w:rPr>
          <w:color w:val="000000"/>
          <w:szCs w:val="22"/>
          <w:lang w:val="es-ES"/>
        </w:rPr>
      </w:pPr>
    </w:p>
    <w:p w14:paraId="297F4052" w14:textId="77777777" w:rsidR="00D938DC" w:rsidRPr="002D741C" w:rsidRDefault="00D938DC" w:rsidP="006662BC">
      <w:pPr>
        <w:pStyle w:val="EndnoteText"/>
        <w:keepNext/>
        <w:widowControl w:val="0"/>
        <w:numPr>
          <w:ilvl w:val="12"/>
          <w:numId w:val="0"/>
        </w:numPr>
        <w:tabs>
          <w:tab w:val="clear" w:pos="567"/>
        </w:tabs>
        <w:rPr>
          <w:b/>
          <w:color w:val="000000"/>
          <w:szCs w:val="22"/>
          <w:lang w:val="es-ES"/>
        </w:rPr>
      </w:pPr>
      <w:r w:rsidRPr="002D741C">
        <w:rPr>
          <w:b/>
          <w:color w:val="000000"/>
          <w:szCs w:val="22"/>
          <w:lang w:val="es-ES"/>
        </w:rPr>
        <w:t>Embarazo, lactancia y fertilidad</w:t>
      </w:r>
    </w:p>
    <w:p w14:paraId="11D363A2" w14:textId="77777777" w:rsidR="00D938DC" w:rsidRPr="002D741C" w:rsidRDefault="00D938DC" w:rsidP="00D938DC">
      <w:pPr>
        <w:pStyle w:val="EndnoteText"/>
        <w:widowControl w:val="0"/>
        <w:ind w:left="567" w:hanging="567"/>
        <w:rPr>
          <w:color w:val="000000"/>
          <w:szCs w:val="22"/>
          <w:lang w:val="es-ES"/>
        </w:rPr>
      </w:pPr>
      <w:r w:rsidRPr="002D741C">
        <w:rPr>
          <w:b/>
          <w:color w:val="000000"/>
          <w:szCs w:val="22"/>
          <w:lang w:val="es-ES"/>
        </w:rPr>
        <w:t>-</w:t>
      </w:r>
      <w:r w:rsidRPr="002D741C">
        <w:rPr>
          <w:b/>
          <w:color w:val="000000"/>
          <w:szCs w:val="22"/>
          <w:lang w:val="es-ES"/>
        </w:rPr>
        <w:tab/>
      </w:r>
      <w:r w:rsidRPr="002D741C">
        <w:rPr>
          <w:color w:val="000000"/>
          <w:szCs w:val="22"/>
          <w:lang w:val="es-ES"/>
        </w:rPr>
        <w:t>Si está embarazada o en periodo de lactancia, cree que podría estar embarazada o tiene intención de quedarse embarazada, consulte a su médico antes de utilizar este medicamento.</w:t>
      </w:r>
    </w:p>
    <w:p w14:paraId="75A20029" w14:textId="77777777" w:rsidR="00D938DC" w:rsidRPr="002D741C" w:rsidRDefault="00D938DC" w:rsidP="00D938DC">
      <w:pPr>
        <w:pStyle w:val="EndnoteText"/>
        <w:widowControl w:val="0"/>
        <w:numPr>
          <w:ilvl w:val="0"/>
          <w:numId w:val="18"/>
        </w:numPr>
        <w:tabs>
          <w:tab w:val="clear" w:pos="567"/>
          <w:tab w:val="clear" w:pos="717"/>
        </w:tabs>
        <w:ind w:left="567" w:hanging="567"/>
        <w:rPr>
          <w:color w:val="000000"/>
          <w:szCs w:val="22"/>
          <w:lang w:val="es-ES"/>
        </w:rPr>
      </w:pPr>
      <w:r w:rsidRPr="002D741C">
        <w:rPr>
          <w:color w:val="000000"/>
          <w:szCs w:val="22"/>
          <w:lang w:val="es-ES"/>
        </w:rPr>
        <w:t>No está recomendado el uso de Glivec durante el embarazo excepto si fuese claramente necesario, ya que puede causar un daño a su bebé. Su médico comentará con usted los posibles riesgos de tomar Glivec durante el embarazo.</w:t>
      </w:r>
    </w:p>
    <w:p w14:paraId="62ED1B94" w14:textId="77777777" w:rsidR="00D938DC" w:rsidRPr="002D741C" w:rsidRDefault="00D938DC" w:rsidP="00D938DC">
      <w:pPr>
        <w:pStyle w:val="EndnoteText"/>
        <w:widowControl w:val="0"/>
        <w:numPr>
          <w:ilvl w:val="0"/>
          <w:numId w:val="18"/>
        </w:numPr>
        <w:tabs>
          <w:tab w:val="clear" w:pos="567"/>
          <w:tab w:val="clear" w:pos="717"/>
        </w:tabs>
        <w:ind w:left="567" w:hanging="567"/>
        <w:rPr>
          <w:color w:val="000000"/>
          <w:szCs w:val="22"/>
          <w:lang w:val="es-ES"/>
        </w:rPr>
      </w:pPr>
      <w:r w:rsidRPr="002D741C">
        <w:rPr>
          <w:color w:val="000000"/>
          <w:szCs w:val="22"/>
          <w:lang w:val="es-ES"/>
        </w:rPr>
        <w:t>Se recomienda a las mujeres que pudiesen quedarse embarazadas que utilicen un método anticonceptivo efectivo durante el tratamiento</w:t>
      </w:r>
      <w:r w:rsidR="001A723C">
        <w:rPr>
          <w:color w:val="000000"/>
          <w:szCs w:val="22"/>
          <w:lang w:val="es-ES"/>
        </w:rPr>
        <w:t xml:space="preserve"> y hasta 15</w:t>
      </w:r>
      <w:r w:rsidR="001A723C" w:rsidRPr="002D741C">
        <w:rPr>
          <w:lang w:val="es-ES"/>
        </w:rPr>
        <w:t> </w:t>
      </w:r>
      <w:r w:rsidR="001A723C">
        <w:rPr>
          <w:color w:val="000000"/>
          <w:szCs w:val="22"/>
          <w:lang w:val="es-ES"/>
        </w:rPr>
        <w:t>días después de haber finalizado el tratamiento</w:t>
      </w:r>
      <w:r w:rsidRPr="002D741C">
        <w:rPr>
          <w:color w:val="000000"/>
          <w:szCs w:val="22"/>
          <w:lang w:val="es-ES"/>
        </w:rPr>
        <w:t>.</w:t>
      </w:r>
    </w:p>
    <w:p w14:paraId="3D47F22E" w14:textId="77777777" w:rsidR="00D938DC" w:rsidRPr="002D741C" w:rsidRDefault="00D938DC" w:rsidP="00D938DC">
      <w:pPr>
        <w:widowControl w:val="0"/>
        <w:numPr>
          <w:ilvl w:val="12"/>
          <w:numId w:val="0"/>
        </w:numPr>
        <w:ind w:left="567" w:hanging="567"/>
        <w:rPr>
          <w:color w:val="000000"/>
          <w:sz w:val="22"/>
          <w:szCs w:val="22"/>
        </w:rPr>
      </w:pPr>
      <w:r w:rsidRPr="002D741C">
        <w:rPr>
          <w:color w:val="000000"/>
          <w:szCs w:val="22"/>
          <w:lang w:val="es-ES"/>
        </w:rPr>
        <w:t>-</w:t>
      </w:r>
      <w:r w:rsidRPr="002D741C">
        <w:rPr>
          <w:color w:val="000000"/>
          <w:szCs w:val="22"/>
          <w:lang w:val="es-ES"/>
        </w:rPr>
        <w:tab/>
      </w:r>
      <w:r w:rsidRPr="002D741C">
        <w:rPr>
          <w:color w:val="000000"/>
          <w:sz w:val="22"/>
          <w:szCs w:val="22"/>
        </w:rPr>
        <w:t>No dé el pecho a su bebé durante el tratamiento con Glivec</w:t>
      </w:r>
      <w:r w:rsidR="001A723C">
        <w:rPr>
          <w:color w:val="000000"/>
          <w:sz w:val="22"/>
          <w:szCs w:val="22"/>
        </w:rPr>
        <w:t xml:space="preserve"> </w:t>
      </w:r>
      <w:r w:rsidR="001A723C" w:rsidRPr="00B246BB">
        <w:rPr>
          <w:color w:val="000000"/>
          <w:sz w:val="22"/>
          <w:szCs w:val="22"/>
        </w:rPr>
        <w:t>ni los siguiente 15</w:t>
      </w:r>
      <w:r w:rsidR="001A723C" w:rsidRPr="00B246BB">
        <w:rPr>
          <w:sz w:val="22"/>
          <w:szCs w:val="22"/>
          <w:lang w:val="es-ES"/>
        </w:rPr>
        <w:t> días tras la finalización del tratamiento, p</w:t>
      </w:r>
      <w:r w:rsidR="001A723C">
        <w:rPr>
          <w:sz w:val="22"/>
          <w:szCs w:val="22"/>
          <w:lang w:val="es-ES"/>
        </w:rPr>
        <w:t>uede</w:t>
      </w:r>
      <w:r w:rsidR="001A723C" w:rsidRPr="00B246BB">
        <w:rPr>
          <w:sz w:val="22"/>
          <w:szCs w:val="22"/>
          <w:lang w:val="es-ES"/>
        </w:rPr>
        <w:t xml:space="preserve"> hacer daño a su bebé</w:t>
      </w:r>
      <w:r w:rsidRPr="002D741C">
        <w:rPr>
          <w:color w:val="000000"/>
          <w:sz w:val="22"/>
          <w:szCs w:val="22"/>
        </w:rPr>
        <w:t>.</w:t>
      </w:r>
    </w:p>
    <w:p w14:paraId="0C229A64" w14:textId="77777777" w:rsidR="00D938DC" w:rsidRPr="002D741C" w:rsidRDefault="00D938DC" w:rsidP="00D938DC">
      <w:pPr>
        <w:widowControl w:val="0"/>
        <w:numPr>
          <w:ilvl w:val="12"/>
          <w:numId w:val="0"/>
        </w:numPr>
        <w:ind w:left="567" w:hanging="567"/>
        <w:rPr>
          <w:color w:val="000000"/>
          <w:sz w:val="22"/>
          <w:szCs w:val="22"/>
        </w:rPr>
      </w:pPr>
      <w:r w:rsidRPr="002D741C">
        <w:rPr>
          <w:color w:val="000000"/>
          <w:sz w:val="22"/>
          <w:szCs w:val="22"/>
        </w:rPr>
        <w:t>-</w:t>
      </w:r>
      <w:r w:rsidRPr="002D741C">
        <w:rPr>
          <w:color w:val="000000"/>
          <w:sz w:val="22"/>
          <w:szCs w:val="22"/>
        </w:rPr>
        <w:tab/>
        <w:t>Los pacientes que estén preocupados sobre su fertilidad mientras estén tomando Glivec deberán consultarlo con su médico.</w:t>
      </w:r>
    </w:p>
    <w:p w14:paraId="2689B357" w14:textId="77777777" w:rsidR="00D938DC" w:rsidRPr="002D741C" w:rsidRDefault="00D938DC" w:rsidP="00D938DC">
      <w:pPr>
        <w:widowControl w:val="0"/>
        <w:numPr>
          <w:ilvl w:val="12"/>
          <w:numId w:val="0"/>
        </w:numPr>
        <w:rPr>
          <w:color w:val="000000"/>
          <w:sz w:val="22"/>
          <w:szCs w:val="22"/>
        </w:rPr>
      </w:pPr>
    </w:p>
    <w:p w14:paraId="0BB1CF40" w14:textId="77777777" w:rsidR="00D938DC" w:rsidRPr="002D741C" w:rsidRDefault="00D938DC" w:rsidP="006662BC">
      <w:pPr>
        <w:keepNext/>
        <w:widowControl w:val="0"/>
        <w:numPr>
          <w:ilvl w:val="12"/>
          <w:numId w:val="0"/>
        </w:numPr>
        <w:ind w:right="-2"/>
        <w:rPr>
          <w:color w:val="000000"/>
          <w:sz w:val="22"/>
          <w:szCs w:val="22"/>
        </w:rPr>
      </w:pPr>
      <w:r w:rsidRPr="002D741C">
        <w:rPr>
          <w:b/>
          <w:color w:val="000000"/>
          <w:sz w:val="22"/>
          <w:szCs w:val="22"/>
        </w:rPr>
        <w:t>Conducción y uso de máquinas</w:t>
      </w:r>
    </w:p>
    <w:p w14:paraId="3F687808" w14:textId="77777777" w:rsidR="00D938DC" w:rsidRPr="002D741C" w:rsidRDefault="00D938DC" w:rsidP="00D938DC">
      <w:pPr>
        <w:widowControl w:val="0"/>
        <w:numPr>
          <w:ilvl w:val="12"/>
          <w:numId w:val="0"/>
        </w:numPr>
        <w:ind w:right="-29"/>
        <w:rPr>
          <w:color w:val="000000"/>
          <w:sz w:val="22"/>
          <w:szCs w:val="22"/>
        </w:rPr>
      </w:pPr>
      <w:r w:rsidRPr="002D741C">
        <w:rPr>
          <w:color w:val="000000"/>
          <w:sz w:val="22"/>
          <w:szCs w:val="22"/>
        </w:rPr>
        <w:t>Puede sufrir mareos o somnolencia o visión borrosa mientras está tomando este medicamento. Si los sufre, no conduzca ni maneje herramientas o máquinas hasta que se sienta bien de nuevo.</w:t>
      </w:r>
    </w:p>
    <w:p w14:paraId="25D1A413" w14:textId="77777777" w:rsidR="0040333F" w:rsidRPr="002D741C" w:rsidRDefault="0040333F" w:rsidP="0040333F">
      <w:pPr>
        <w:widowControl w:val="0"/>
        <w:numPr>
          <w:ilvl w:val="12"/>
          <w:numId w:val="0"/>
        </w:numPr>
        <w:ind w:right="-29"/>
        <w:rPr>
          <w:color w:val="000000"/>
          <w:sz w:val="22"/>
          <w:szCs w:val="22"/>
        </w:rPr>
      </w:pPr>
    </w:p>
    <w:p w14:paraId="76902638" w14:textId="77777777" w:rsidR="0040333F" w:rsidRPr="002D741C" w:rsidRDefault="0040333F" w:rsidP="0040333F">
      <w:pPr>
        <w:pStyle w:val="EndnoteText"/>
        <w:widowControl w:val="0"/>
        <w:numPr>
          <w:ilvl w:val="12"/>
          <w:numId w:val="0"/>
        </w:numPr>
        <w:tabs>
          <w:tab w:val="clear" w:pos="567"/>
        </w:tabs>
        <w:rPr>
          <w:color w:val="000000"/>
          <w:szCs w:val="22"/>
          <w:lang w:val="es-ES"/>
        </w:rPr>
      </w:pPr>
    </w:p>
    <w:p w14:paraId="131730D3" w14:textId="77777777" w:rsidR="0040333F" w:rsidRPr="002D741C" w:rsidRDefault="0040333F" w:rsidP="006662BC">
      <w:pPr>
        <w:keepNext/>
        <w:widowControl w:val="0"/>
        <w:numPr>
          <w:ilvl w:val="12"/>
          <w:numId w:val="0"/>
        </w:numPr>
        <w:ind w:left="567" w:right="-2" w:hanging="567"/>
        <w:rPr>
          <w:color w:val="000000"/>
          <w:sz w:val="22"/>
          <w:szCs w:val="22"/>
        </w:rPr>
      </w:pPr>
      <w:r w:rsidRPr="002D741C">
        <w:rPr>
          <w:b/>
          <w:color w:val="000000"/>
          <w:sz w:val="22"/>
          <w:szCs w:val="22"/>
        </w:rPr>
        <w:t>3.</w:t>
      </w:r>
      <w:r w:rsidRPr="002D741C">
        <w:rPr>
          <w:b/>
          <w:color w:val="000000"/>
          <w:sz w:val="22"/>
          <w:szCs w:val="22"/>
        </w:rPr>
        <w:tab/>
        <w:t>C</w:t>
      </w:r>
      <w:r w:rsidR="007F5E80" w:rsidRPr="002D741C">
        <w:rPr>
          <w:b/>
          <w:color w:val="000000"/>
          <w:sz w:val="22"/>
          <w:szCs w:val="22"/>
        </w:rPr>
        <w:t>ómo tomar</w:t>
      </w:r>
      <w:r w:rsidRPr="002D741C">
        <w:rPr>
          <w:b/>
          <w:color w:val="000000"/>
          <w:sz w:val="22"/>
          <w:szCs w:val="22"/>
        </w:rPr>
        <w:t xml:space="preserve"> </w:t>
      </w:r>
      <w:r w:rsidR="00C460D6" w:rsidRPr="002D741C">
        <w:rPr>
          <w:b/>
          <w:color w:val="000000"/>
          <w:sz w:val="22"/>
          <w:szCs w:val="22"/>
        </w:rPr>
        <w:t>Glivec</w:t>
      </w:r>
    </w:p>
    <w:p w14:paraId="7BB8D981" w14:textId="77777777" w:rsidR="0040333F" w:rsidRPr="002D741C" w:rsidRDefault="0040333F" w:rsidP="006662BC">
      <w:pPr>
        <w:pStyle w:val="EndnoteText"/>
        <w:keepNext/>
        <w:widowControl w:val="0"/>
        <w:numPr>
          <w:ilvl w:val="12"/>
          <w:numId w:val="0"/>
        </w:numPr>
        <w:tabs>
          <w:tab w:val="clear" w:pos="567"/>
        </w:tabs>
        <w:rPr>
          <w:color w:val="000000"/>
          <w:szCs w:val="22"/>
          <w:lang w:val="es-ES"/>
        </w:rPr>
      </w:pPr>
    </w:p>
    <w:p w14:paraId="7D7D154F" w14:textId="77777777" w:rsidR="0040333F" w:rsidRPr="002D741C" w:rsidRDefault="0040333F" w:rsidP="0040333F">
      <w:pPr>
        <w:pStyle w:val="EndnoteText"/>
        <w:widowControl w:val="0"/>
        <w:numPr>
          <w:ilvl w:val="12"/>
          <w:numId w:val="0"/>
        </w:numPr>
        <w:tabs>
          <w:tab w:val="clear" w:pos="567"/>
        </w:tabs>
        <w:rPr>
          <w:color w:val="000000"/>
          <w:szCs w:val="22"/>
          <w:lang w:val="es-ES"/>
        </w:rPr>
      </w:pPr>
      <w:r w:rsidRPr="002D741C">
        <w:rPr>
          <w:color w:val="000000"/>
          <w:szCs w:val="22"/>
          <w:lang w:val="es-ES"/>
        </w:rPr>
        <w:t>Su médico le ha prescrito Glivec porque sufre una enfermedad grave. Glivec puede ayudarle a combatir esta enfermedad.</w:t>
      </w:r>
    </w:p>
    <w:p w14:paraId="42A763D2" w14:textId="77777777" w:rsidR="0040333F" w:rsidRPr="002D741C" w:rsidRDefault="0040333F" w:rsidP="0040333F">
      <w:pPr>
        <w:pStyle w:val="EndnoteText"/>
        <w:widowControl w:val="0"/>
        <w:numPr>
          <w:ilvl w:val="12"/>
          <w:numId w:val="0"/>
        </w:numPr>
        <w:tabs>
          <w:tab w:val="clear" w:pos="567"/>
        </w:tabs>
        <w:rPr>
          <w:color w:val="000000"/>
          <w:szCs w:val="22"/>
          <w:lang w:val="es-ES"/>
        </w:rPr>
      </w:pPr>
    </w:p>
    <w:p w14:paraId="2AAD4D53" w14:textId="77777777" w:rsidR="0040333F" w:rsidRPr="002D741C" w:rsidRDefault="0040333F" w:rsidP="0040333F">
      <w:pPr>
        <w:pStyle w:val="EndnoteText"/>
        <w:widowControl w:val="0"/>
        <w:numPr>
          <w:ilvl w:val="12"/>
          <w:numId w:val="0"/>
        </w:numPr>
        <w:tabs>
          <w:tab w:val="clear" w:pos="567"/>
        </w:tabs>
        <w:rPr>
          <w:color w:val="000000"/>
          <w:szCs w:val="22"/>
          <w:lang w:val="es-ES"/>
        </w:rPr>
      </w:pPr>
      <w:r w:rsidRPr="002D741C">
        <w:rPr>
          <w:color w:val="000000"/>
          <w:szCs w:val="22"/>
          <w:lang w:val="es-ES"/>
        </w:rPr>
        <w:t xml:space="preserve">Sin embargo, siga exactamente las instrucciones de administración de </w:t>
      </w:r>
      <w:r w:rsidR="007F5E80" w:rsidRPr="002D741C">
        <w:rPr>
          <w:color w:val="000000"/>
          <w:szCs w:val="22"/>
          <w:lang w:val="es-ES"/>
        </w:rPr>
        <w:t xml:space="preserve">este medicamento </w:t>
      </w:r>
      <w:r w:rsidRPr="002D741C">
        <w:rPr>
          <w:color w:val="000000"/>
          <w:szCs w:val="22"/>
          <w:lang w:val="es-ES"/>
        </w:rPr>
        <w:t>indicadas por su médico</w:t>
      </w:r>
      <w:r w:rsidR="007F5E80" w:rsidRPr="002D741C">
        <w:rPr>
          <w:color w:val="000000"/>
          <w:szCs w:val="22"/>
          <w:lang w:val="es-ES"/>
        </w:rPr>
        <w:t xml:space="preserve"> o farmacéutico</w:t>
      </w:r>
      <w:r w:rsidRPr="002D741C">
        <w:rPr>
          <w:color w:val="000000"/>
          <w:szCs w:val="22"/>
          <w:lang w:val="es-ES"/>
        </w:rPr>
        <w:t>. Es importante que lo haga durante el tiempo que se lo indique su médico</w:t>
      </w:r>
      <w:r w:rsidR="007F5E80" w:rsidRPr="002D741C">
        <w:rPr>
          <w:color w:val="000000"/>
          <w:szCs w:val="22"/>
          <w:lang w:val="es-ES"/>
        </w:rPr>
        <w:t xml:space="preserve"> o farmacéutico</w:t>
      </w:r>
      <w:r w:rsidRPr="002D741C">
        <w:rPr>
          <w:color w:val="000000"/>
          <w:szCs w:val="22"/>
          <w:lang w:val="es-ES"/>
        </w:rPr>
        <w:t xml:space="preserve">. </w:t>
      </w:r>
      <w:r w:rsidR="007F5E80" w:rsidRPr="002D741C">
        <w:rPr>
          <w:color w:val="000000"/>
          <w:szCs w:val="22"/>
          <w:lang w:val="es-ES"/>
        </w:rPr>
        <w:t>En caso de duda, c</w:t>
      </w:r>
      <w:r w:rsidRPr="002D741C">
        <w:rPr>
          <w:color w:val="000000"/>
          <w:szCs w:val="22"/>
          <w:lang w:val="es-ES"/>
        </w:rPr>
        <w:t xml:space="preserve">onsulte </w:t>
      </w:r>
      <w:r w:rsidR="00572575" w:rsidRPr="002D741C">
        <w:rPr>
          <w:color w:val="000000"/>
          <w:szCs w:val="22"/>
          <w:lang w:val="es-ES"/>
        </w:rPr>
        <w:t xml:space="preserve">de nuevo </w:t>
      </w:r>
      <w:r w:rsidRPr="002D741C">
        <w:rPr>
          <w:color w:val="000000"/>
          <w:szCs w:val="22"/>
          <w:lang w:val="es-ES"/>
        </w:rPr>
        <w:t>a su médico o farmacéutico.</w:t>
      </w:r>
    </w:p>
    <w:p w14:paraId="557C416B" w14:textId="77777777" w:rsidR="0040333F" w:rsidRPr="002D741C" w:rsidRDefault="0040333F" w:rsidP="0040333F">
      <w:pPr>
        <w:pStyle w:val="EndnoteText"/>
        <w:widowControl w:val="0"/>
        <w:numPr>
          <w:ilvl w:val="12"/>
          <w:numId w:val="0"/>
        </w:numPr>
        <w:tabs>
          <w:tab w:val="clear" w:pos="567"/>
        </w:tabs>
        <w:rPr>
          <w:color w:val="000000"/>
          <w:szCs w:val="22"/>
          <w:lang w:val="es-ES"/>
        </w:rPr>
      </w:pPr>
    </w:p>
    <w:p w14:paraId="1AE67EAA" w14:textId="77777777" w:rsidR="0040333F" w:rsidRPr="002D741C" w:rsidRDefault="0040333F" w:rsidP="0040333F">
      <w:pPr>
        <w:pStyle w:val="EndnoteText"/>
        <w:widowControl w:val="0"/>
        <w:numPr>
          <w:ilvl w:val="12"/>
          <w:numId w:val="0"/>
        </w:numPr>
        <w:tabs>
          <w:tab w:val="clear" w:pos="567"/>
        </w:tabs>
        <w:rPr>
          <w:color w:val="000000"/>
          <w:szCs w:val="22"/>
          <w:lang w:val="es-ES"/>
        </w:rPr>
      </w:pPr>
      <w:r w:rsidRPr="002D741C">
        <w:rPr>
          <w:color w:val="000000"/>
          <w:szCs w:val="22"/>
          <w:lang w:val="es-ES"/>
        </w:rPr>
        <w:t>No deje de tomar Glivec a menos que se lo indique su médico. Si no puede tomar el medicamento como le ha recetado su médico o piensa que no necesita tomarlo durante más tiempo, contacte con su médico inmediatamente.</w:t>
      </w:r>
    </w:p>
    <w:p w14:paraId="1795FC9A" w14:textId="77777777" w:rsidR="0040333F" w:rsidRPr="002D741C" w:rsidRDefault="0040333F" w:rsidP="0040333F">
      <w:pPr>
        <w:pStyle w:val="EndnoteText"/>
        <w:widowControl w:val="0"/>
        <w:numPr>
          <w:ilvl w:val="12"/>
          <w:numId w:val="0"/>
        </w:numPr>
        <w:tabs>
          <w:tab w:val="clear" w:pos="567"/>
        </w:tabs>
        <w:rPr>
          <w:color w:val="000000"/>
          <w:szCs w:val="22"/>
          <w:lang w:val="es-ES"/>
        </w:rPr>
      </w:pPr>
    </w:p>
    <w:p w14:paraId="7008664D" w14:textId="77777777" w:rsidR="0040333F" w:rsidRPr="002D741C" w:rsidRDefault="0040333F" w:rsidP="006662BC">
      <w:pPr>
        <w:pStyle w:val="EndnoteText"/>
        <w:keepNext/>
        <w:widowControl w:val="0"/>
        <w:numPr>
          <w:ilvl w:val="12"/>
          <w:numId w:val="0"/>
        </w:numPr>
        <w:tabs>
          <w:tab w:val="clear" w:pos="567"/>
        </w:tabs>
        <w:rPr>
          <w:color w:val="000000"/>
          <w:szCs w:val="22"/>
          <w:lang w:val="es-ES"/>
        </w:rPr>
      </w:pPr>
      <w:r w:rsidRPr="002D741C">
        <w:rPr>
          <w:b/>
          <w:color w:val="000000"/>
          <w:szCs w:val="22"/>
          <w:lang w:val="es-ES"/>
        </w:rPr>
        <w:t>Qué cantidad tomar</w:t>
      </w:r>
      <w:r w:rsidR="007F5E80" w:rsidRPr="002D741C">
        <w:rPr>
          <w:b/>
          <w:color w:val="000000"/>
          <w:szCs w:val="22"/>
          <w:lang w:val="es-ES"/>
        </w:rPr>
        <w:t xml:space="preserve"> de Glivec</w:t>
      </w:r>
    </w:p>
    <w:p w14:paraId="0D498752" w14:textId="77777777" w:rsidR="0040333F" w:rsidRPr="002D741C" w:rsidRDefault="0040333F" w:rsidP="006662BC">
      <w:pPr>
        <w:pStyle w:val="EndnoteText"/>
        <w:keepNext/>
        <w:widowControl w:val="0"/>
        <w:numPr>
          <w:ilvl w:val="12"/>
          <w:numId w:val="0"/>
        </w:numPr>
        <w:tabs>
          <w:tab w:val="clear" w:pos="567"/>
        </w:tabs>
        <w:rPr>
          <w:color w:val="000000"/>
          <w:szCs w:val="22"/>
          <w:lang w:val="es-ES"/>
        </w:rPr>
      </w:pPr>
    </w:p>
    <w:p w14:paraId="58D90544" w14:textId="77777777" w:rsidR="0040333F" w:rsidRPr="002D741C" w:rsidRDefault="0040333F" w:rsidP="006662BC">
      <w:pPr>
        <w:pStyle w:val="EndnoteText"/>
        <w:keepNext/>
        <w:widowControl w:val="0"/>
        <w:numPr>
          <w:ilvl w:val="12"/>
          <w:numId w:val="0"/>
        </w:numPr>
        <w:tabs>
          <w:tab w:val="clear" w:pos="567"/>
        </w:tabs>
        <w:rPr>
          <w:color w:val="000000"/>
          <w:szCs w:val="22"/>
          <w:lang w:val="es-ES"/>
        </w:rPr>
      </w:pPr>
      <w:r w:rsidRPr="002D741C">
        <w:rPr>
          <w:b/>
          <w:color w:val="000000"/>
          <w:szCs w:val="22"/>
          <w:lang w:val="es-ES"/>
        </w:rPr>
        <w:t>Uso en adultos</w:t>
      </w:r>
    </w:p>
    <w:p w14:paraId="18ABEF8D" w14:textId="77777777" w:rsidR="0040333F" w:rsidRPr="002D741C" w:rsidRDefault="0040333F" w:rsidP="0040333F">
      <w:pPr>
        <w:pStyle w:val="EndnoteText"/>
        <w:widowControl w:val="0"/>
        <w:numPr>
          <w:ilvl w:val="12"/>
          <w:numId w:val="0"/>
        </w:numPr>
        <w:tabs>
          <w:tab w:val="clear" w:pos="567"/>
        </w:tabs>
        <w:rPr>
          <w:color w:val="000000"/>
          <w:szCs w:val="22"/>
          <w:lang w:val="es-ES"/>
        </w:rPr>
      </w:pPr>
      <w:r w:rsidRPr="002D741C">
        <w:rPr>
          <w:color w:val="000000"/>
          <w:szCs w:val="22"/>
          <w:lang w:val="es-ES"/>
        </w:rPr>
        <w:t>Su médico le indicará exactamente cuántos comprimidos de Glivec debe tomar.</w:t>
      </w:r>
    </w:p>
    <w:p w14:paraId="1711B2A4" w14:textId="77777777" w:rsidR="0040333F" w:rsidRPr="002D741C" w:rsidRDefault="0040333F" w:rsidP="0040333F">
      <w:pPr>
        <w:pStyle w:val="EndnoteText"/>
        <w:widowControl w:val="0"/>
        <w:numPr>
          <w:ilvl w:val="12"/>
          <w:numId w:val="0"/>
        </w:numPr>
        <w:tabs>
          <w:tab w:val="clear" w:pos="567"/>
        </w:tabs>
        <w:rPr>
          <w:color w:val="000000"/>
          <w:szCs w:val="22"/>
          <w:lang w:val="es-ES"/>
        </w:rPr>
      </w:pPr>
    </w:p>
    <w:p w14:paraId="1CFEFCD2" w14:textId="77777777" w:rsidR="0040333F" w:rsidRPr="002D741C" w:rsidRDefault="0040333F" w:rsidP="006662BC">
      <w:pPr>
        <w:pStyle w:val="EndnoteText"/>
        <w:keepNext/>
        <w:widowControl w:val="0"/>
        <w:numPr>
          <w:ilvl w:val="12"/>
          <w:numId w:val="0"/>
        </w:numPr>
        <w:tabs>
          <w:tab w:val="clear" w:pos="567"/>
        </w:tabs>
        <w:ind w:left="567" w:hanging="567"/>
        <w:rPr>
          <w:b/>
          <w:color w:val="000000"/>
          <w:szCs w:val="22"/>
          <w:lang w:val="es-ES"/>
        </w:rPr>
      </w:pPr>
      <w:r w:rsidRPr="002D741C">
        <w:rPr>
          <w:b/>
          <w:color w:val="000000"/>
          <w:szCs w:val="22"/>
          <w:lang w:val="es-ES"/>
        </w:rPr>
        <w:t>-</w:t>
      </w:r>
      <w:r w:rsidRPr="002D741C">
        <w:rPr>
          <w:b/>
          <w:color w:val="000000"/>
          <w:szCs w:val="22"/>
          <w:lang w:val="es-ES"/>
        </w:rPr>
        <w:tab/>
        <w:t>Si usted está siendo tratado de LMC:</w:t>
      </w:r>
    </w:p>
    <w:p w14:paraId="7D35C373" w14:textId="5D1A5D85" w:rsidR="0040333F" w:rsidRPr="002D741C" w:rsidRDefault="0040333F" w:rsidP="006662BC">
      <w:pPr>
        <w:pStyle w:val="EndnoteText"/>
        <w:keepNext/>
        <w:widowControl w:val="0"/>
        <w:numPr>
          <w:ilvl w:val="12"/>
          <w:numId w:val="0"/>
        </w:numPr>
        <w:tabs>
          <w:tab w:val="clear" w:pos="567"/>
        </w:tabs>
        <w:ind w:left="1134" w:hanging="567"/>
        <w:rPr>
          <w:color w:val="000000"/>
          <w:szCs w:val="22"/>
          <w:lang w:val="es-ES"/>
        </w:rPr>
      </w:pPr>
      <w:r w:rsidRPr="002D741C">
        <w:rPr>
          <w:color w:val="000000"/>
          <w:szCs w:val="22"/>
          <w:lang w:val="es-ES"/>
        </w:rPr>
        <w:t xml:space="preserve">Dependiendo de su situación, la dosis inicial normal es de </w:t>
      </w:r>
      <w:r w:rsidRPr="00C157C4">
        <w:rPr>
          <w:b/>
          <w:color w:val="000000"/>
          <w:szCs w:val="22"/>
          <w:lang w:val="es-ES"/>
        </w:rPr>
        <w:t>400 mg</w:t>
      </w:r>
      <w:r w:rsidRPr="002D741C">
        <w:rPr>
          <w:color w:val="000000"/>
          <w:szCs w:val="22"/>
          <w:lang w:val="es-ES"/>
        </w:rPr>
        <w:t xml:space="preserve"> o </w:t>
      </w:r>
      <w:r w:rsidRPr="00C157C4">
        <w:rPr>
          <w:b/>
          <w:color w:val="000000"/>
          <w:szCs w:val="22"/>
          <w:lang w:val="es-ES"/>
        </w:rPr>
        <w:t>600 mg</w:t>
      </w:r>
      <w:r w:rsidR="001210C1">
        <w:rPr>
          <w:color w:val="000000"/>
          <w:szCs w:val="22"/>
          <w:lang w:val="es-ES"/>
        </w:rPr>
        <w:t xml:space="preserve"> </w:t>
      </w:r>
      <w:r w:rsidR="001210C1" w:rsidRPr="00C379C5">
        <w:rPr>
          <w:b/>
          <w:color w:val="000000"/>
          <w:szCs w:val="22"/>
          <w:lang w:val="es-ES"/>
        </w:rPr>
        <w:t>una vez</w:t>
      </w:r>
      <w:r w:rsidR="001210C1">
        <w:rPr>
          <w:color w:val="000000"/>
          <w:szCs w:val="22"/>
          <w:lang w:val="es-ES"/>
        </w:rPr>
        <w:t xml:space="preserve"> al día</w:t>
      </w:r>
      <w:r w:rsidRPr="002D741C">
        <w:rPr>
          <w:color w:val="000000"/>
          <w:szCs w:val="22"/>
          <w:lang w:val="es-ES"/>
        </w:rPr>
        <w:t>:</w:t>
      </w:r>
    </w:p>
    <w:p w14:paraId="68DD91CD" w14:textId="77777777" w:rsidR="0040333F" w:rsidRPr="002D741C" w:rsidRDefault="0040333F" w:rsidP="0040333F">
      <w:pPr>
        <w:pStyle w:val="EndnoteText"/>
        <w:widowControl w:val="0"/>
        <w:numPr>
          <w:ilvl w:val="12"/>
          <w:numId w:val="0"/>
        </w:numPr>
        <w:tabs>
          <w:tab w:val="clear" w:pos="567"/>
        </w:tabs>
        <w:rPr>
          <w:color w:val="000000"/>
          <w:szCs w:val="22"/>
          <w:lang w:val="es-ES"/>
        </w:rPr>
      </w:pPr>
    </w:p>
    <w:p w14:paraId="172F4336" w14:textId="77777777" w:rsidR="0040333F" w:rsidRPr="002D741C" w:rsidRDefault="0040333F" w:rsidP="006662BC">
      <w:pPr>
        <w:pStyle w:val="EndnoteText"/>
        <w:keepNext/>
        <w:widowControl w:val="0"/>
        <w:numPr>
          <w:ilvl w:val="0"/>
          <w:numId w:val="25"/>
        </w:numPr>
        <w:tabs>
          <w:tab w:val="clear" w:pos="567"/>
          <w:tab w:val="clear" w:pos="717"/>
        </w:tabs>
        <w:ind w:left="567" w:hanging="567"/>
        <w:rPr>
          <w:b/>
          <w:color w:val="000000"/>
          <w:szCs w:val="22"/>
          <w:lang w:val="es-ES"/>
        </w:rPr>
      </w:pPr>
      <w:r w:rsidRPr="002D741C">
        <w:rPr>
          <w:b/>
          <w:color w:val="000000"/>
          <w:szCs w:val="22"/>
          <w:lang w:val="es-ES"/>
        </w:rPr>
        <w:t>Si usted está siendo tratado de G</w:t>
      </w:r>
      <w:smartTag w:uri="urn:schemas-microsoft-com:office:smarttags" w:element="PersonName">
        <w:r w:rsidRPr="002D741C">
          <w:rPr>
            <w:b/>
            <w:color w:val="000000"/>
            <w:szCs w:val="22"/>
            <w:lang w:val="es-ES"/>
          </w:rPr>
          <w:t>IS</w:t>
        </w:r>
      </w:smartTag>
      <w:r w:rsidRPr="002D741C">
        <w:rPr>
          <w:b/>
          <w:color w:val="000000"/>
          <w:szCs w:val="22"/>
          <w:lang w:val="es-ES"/>
        </w:rPr>
        <w:t>T:</w:t>
      </w:r>
    </w:p>
    <w:p w14:paraId="0B322B03" w14:textId="3CC41E75" w:rsidR="0040333F" w:rsidRPr="002D741C" w:rsidRDefault="0040333F" w:rsidP="0040333F">
      <w:pPr>
        <w:pStyle w:val="EndnoteText"/>
        <w:widowControl w:val="0"/>
        <w:tabs>
          <w:tab w:val="clear" w:pos="567"/>
        </w:tabs>
        <w:ind w:left="567"/>
        <w:rPr>
          <w:color w:val="000000"/>
          <w:szCs w:val="22"/>
          <w:lang w:val="es-ES"/>
        </w:rPr>
      </w:pPr>
      <w:r w:rsidRPr="002D741C">
        <w:rPr>
          <w:color w:val="000000"/>
          <w:szCs w:val="22"/>
          <w:lang w:val="es-ES"/>
        </w:rPr>
        <w:t>La dosis inicial es 400 mg</w:t>
      </w:r>
      <w:r w:rsidR="001210C1">
        <w:rPr>
          <w:color w:val="000000"/>
          <w:szCs w:val="22"/>
          <w:lang w:val="es-ES"/>
        </w:rPr>
        <w:t xml:space="preserve"> </w:t>
      </w:r>
      <w:r w:rsidRPr="002D741C">
        <w:rPr>
          <w:b/>
          <w:color w:val="000000"/>
          <w:szCs w:val="22"/>
          <w:lang w:val="es-ES"/>
        </w:rPr>
        <w:t>una vez</w:t>
      </w:r>
      <w:r w:rsidRPr="002D741C">
        <w:rPr>
          <w:color w:val="000000"/>
          <w:szCs w:val="22"/>
          <w:lang w:val="es-ES"/>
        </w:rPr>
        <w:t xml:space="preserve"> al día.</w:t>
      </w:r>
    </w:p>
    <w:p w14:paraId="1EA8D501" w14:textId="77777777" w:rsidR="0040333F" w:rsidRPr="002D741C" w:rsidRDefault="0040333F" w:rsidP="0040333F">
      <w:pPr>
        <w:pStyle w:val="EndnoteText"/>
        <w:widowControl w:val="0"/>
        <w:numPr>
          <w:ilvl w:val="12"/>
          <w:numId w:val="0"/>
        </w:numPr>
        <w:tabs>
          <w:tab w:val="clear" w:pos="567"/>
        </w:tabs>
        <w:rPr>
          <w:color w:val="000000"/>
          <w:szCs w:val="22"/>
          <w:lang w:val="es-ES"/>
        </w:rPr>
      </w:pPr>
    </w:p>
    <w:p w14:paraId="4E0042B5" w14:textId="0B8E1C7F" w:rsidR="0040333F" w:rsidRPr="002D741C" w:rsidRDefault="0040333F" w:rsidP="0040333F">
      <w:pPr>
        <w:pStyle w:val="EndnoteText"/>
        <w:widowControl w:val="0"/>
        <w:numPr>
          <w:ilvl w:val="12"/>
          <w:numId w:val="0"/>
        </w:numPr>
        <w:tabs>
          <w:tab w:val="clear" w:pos="567"/>
        </w:tabs>
        <w:rPr>
          <w:color w:val="000000"/>
          <w:szCs w:val="22"/>
          <w:lang w:val="es-ES"/>
        </w:rPr>
      </w:pPr>
      <w:r w:rsidRPr="002D741C">
        <w:rPr>
          <w:color w:val="000000"/>
          <w:szCs w:val="22"/>
          <w:lang w:val="es-ES"/>
        </w:rPr>
        <w:lastRenderedPageBreak/>
        <w:t>Para LMC y G</w:t>
      </w:r>
      <w:smartTag w:uri="urn:schemas-microsoft-com:office:smarttags" w:element="PersonName">
        <w:r w:rsidRPr="002D741C">
          <w:rPr>
            <w:color w:val="000000"/>
            <w:szCs w:val="22"/>
            <w:lang w:val="es-ES"/>
          </w:rPr>
          <w:t>IS</w:t>
        </w:r>
      </w:smartTag>
      <w:r w:rsidRPr="002D741C">
        <w:rPr>
          <w:color w:val="000000"/>
          <w:szCs w:val="22"/>
          <w:lang w:val="es-ES"/>
        </w:rPr>
        <w:t>T, su médico puede prescribirle una dosis superior o inferior dependiendo de cómo responda al tratamiento. Si su dosis diaria es de 800 mg, debe tomar 4</w:t>
      </w:r>
      <w:r w:rsidR="001210C1">
        <w:rPr>
          <w:color w:val="000000"/>
          <w:szCs w:val="22"/>
          <w:lang w:val="es-ES"/>
        </w:rPr>
        <w:t>00</w:t>
      </w:r>
      <w:r w:rsidRPr="002D741C">
        <w:rPr>
          <w:color w:val="000000"/>
          <w:szCs w:val="22"/>
          <w:lang w:val="es-ES"/>
        </w:rPr>
        <w:t> </w:t>
      </w:r>
      <w:r w:rsidR="001210C1">
        <w:rPr>
          <w:color w:val="000000"/>
          <w:szCs w:val="22"/>
          <w:lang w:val="es-ES"/>
        </w:rPr>
        <w:t>mg</w:t>
      </w:r>
      <w:r w:rsidRPr="002D741C">
        <w:rPr>
          <w:color w:val="000000"/>
          <w:szCs w:val="22"/>
          <w:lang w:val="es-ES"/>
        </w:rPr>
        <w:t xml:space="preserve"> por la mañana y 4</w:t>
      </w:r>
      <w:r w:rsidR="001210C1">
        <w:rPr>
          <w:color w:val="000000"/>
          <w:szCs w:val="22"/>
          <w:lang w:val="es-ES"/>
        </w:rPr>
        <w:t>00</w:t>
      </w:r>
      <w:r w:rsidRPr="002D741C">
        <w:rPr>
          <w:color w:val="000000"/>
          <w:szCs w:val="22"/>
          <w:lang w:val="es-ES"/>
        </w:rPr>
        <w:t> </w:t>
      </w:r>
      <w:r w:rsidR="001210C1">
        <w:rPr>
          <w:color w:val="000000"/>
          <w:szCs w:val="22"/>
          <w:lang w:val="es-ES"/>
        </w:rPr>
        <w:t>mg</w:t>
      </w:r>
      <w:r w:rsidRPr="002D741C">
        <w:rPr>
          <w:color w:val="000000"/>
          <w:szCs w:val="22"/>
          <w:lang w:val="es-ES"/>
        </w:rPr>
        <w:t xml:space="preserve"> por la noche.</w:t>
      </w:r>
    </w:p>
    <w:p w14:paraId="7B0BEE32" w14:textId="77777777" w:rsidR="0040333F" w:rsidRPr="002D741C" w:rsidRDefault="0040333F" w:rsidP="0040333F">
      <w:pPr>
        <w:pStyle w:val="EndnoteText"/>
        <w:widowControl w:val="0"/>
        <w:numPr>
          <w:ilvl w:val="12"/>
          <w:numId w:val="0"/>
        </w:numPr>
        <w:tabs>
          <w:tab w:val="clear" w:pos="567"/>
        </w:tabs>
        <w:rPr>
          <w:color w:val="000000"/>
          <w:szCs w:val="22"/>
          <w:lang w:val="es-ES"/>
        </w:rPr>
      </w:pPr>
    </w:p>
    <w:p w14:paraId="13BDE935" w14:textId="77777777" w:rsidR="0040333F" w:rsidRPr="002D741C" w:rsidRDefault="0040333F" w:rsidP="006662BC">
      <w:pPr>
        <w:pStyle w:val="EndnoteText"/>
        <w:keepNext/>
        <w:widowControl w:val="0"/>
        <w:numPr>
          <w:ilvl w:val="0"/>
          <w:numId w:val="25"/>
        </w:numPr>
        <w:tabs>
          <w:tab w:val="clear" w:pos="567"/>
          <w:tab w:val="clear" w:pos="717"/>
        </w:tabs>
        <w:ind w:left="567" w:hanging="567"/>
        <w:rPr>
          <w:b/>
          <w:color w:val="000000"/>
          <w:szCs w:val="22"/>
          <w:lang w:val="es-ES"/>
        </w:rPr>
      </w:pPr>
      <w:r w:rsidRPr="002D741C">
        <w:rPr>
          <w:b/>
          <w:color w:val="000000"/>
          <w:szCs w:val="22"/>
          <w:lang w:val="es-ES"/>
        </w:rPr>
        <w:t>Si está siendo tratado de LLA Ph-positivo:</w:t>
      </w:r>
    </w:p>
    <w:p w14:paraId="77A83F3D" w14:textId="65E7DB8C" w:rsidR="0040333F" w:rsidRPr="002D741C" w:rsidRDefault="0040333F" w:rsidP="0040333F">
      <w:pPr>
        <w:pStyle w:val="EndnoteText"/>
        <w:widowControl w:val="0"/>
        <w:tabs>
          <w:tab w:val="clear" w:pos="567"/>
        </w:tabs>
        <w:ind w:left="567"/>
        <w:rPr>
          <w:color w:val="000000"/>
          <w:szCs w:val="22"/>
          <w:lang w:val="es-ES"/>
        </w:rPr>
      </w:pPr>
      <w:r w:rsidRPr="002D741C">
        <w:rPr>
          <w:color w:val="000000"/>
          <w:szCs w:val="22"/>
          <w:lang w:val="es-ES"/>
        </w:rPr>
        <w:t xml:space="preserve">La dosis inicial es de 600 mg </w:t>
      </w:r>
      <w:r w:rsidRPr="002D741C">
        <w:rPr>
          <w:b/>
          <w:color w:val="000000"/>
          <w:szCs w:val="22"/>
          <w:lang w:val="es-ES"/>
        </w:rPr>
        <w:t xml:space="preserve">una vez </w:t>
      </w:r>
      <w:r w:rsidRPr="002D741C">
        <w:rPr>
          <w:color w:val="000000"/>
          <w:szCs w:val="22"/>
          <w:lang w:val="es-ES"/>
        </w:rPr>
        <w:t>al día.</w:t>
      </w:r>
    </w:p>
    <w:p w14:paraId="0C8EEEB7" w14:textId="77777777" w:rsidR="0040333F" w:rsidRPr="002D741C" w:rsidRDefault="0040333F" w:rsidP="0040333F">
      <w:pPr>
        <w:pStyle w:val="EndnoteText"/>
        <w:widowControl w:val="0"/>
        <w:numPr>
          <w:ilvl w:val="12"/>
          <w:numId w:val="0"/>
        </w:numPr>
        <w:tabs>
          <w:tab w:val="clear" w:pos="567"/>
        </w:tabs>
        <w:rPr>
          <w:color w:val="000000"/>
          <w:szCs w:val="22"/>
          <w:lang w:val="es-ES"/>
        </w:rPr>
      </w:pPr>
    </w:p>
    <w:p w14:paraId="62689727" w14:textId="77777777" w:rsidR="0040333F" w:rsidRPr="002D741C" w:rsidRDefault="0040333F" w:rsidP="006662BC">
      <w:pPr>
        <w:pStyle w:val="EndnoteText"/>
        <w:keepNext/>
        <w:numPr>
          <w:ilvl w:val="0"/>
          <w:numId w:val="25"/>
        </w:numPr>
        <w:tabs>
          <w:tab w:val="clear" w:pos="567"/>
          <w:tab w:val="clear" w:pos="717"/>
        </w:tabs>
        <w:ind w:left="567" w:hanging="567"/>
        <w:rPr>
          <w:b/>
          <w:color w:val="000000"/>
          <w:szCs w:val="22"/>
          <w:lang w:val="es-ES"/>
        </w:rPr>
      </w:pPr>
      <w:r w:rsidRPr="002D741C">
        <w:rPr>
          <w:b/>
          <w:color w:val="000000"/>
          <w:szCs w:val="22"/>
          <w:lang w:val="es-ES"/>
        </w:rPr>
        <w:t xml:space="preserve">Si está siendo tratado de </w:t>
      </w:r>
      <w:smartTag w:uri="urn:schemas-microsoft-com:office:smarttags" w:element="stockticker">
        <w:r w:rsidRPr="002D741C">
          <w:rPr>
            <w:b/>
            <w:color w:val="000000"/>
            <w:szCs w:val="22"/>
            <w:lang w:val="es-ES"/>
          </w:rPr>
          <w:t>SMD</w:t>
        </w:r>
      </w:smartTag>
      <w:r w:rsidRPr="002D741C">
        <w:rPr>
          <w:b/>
          <w:color w:val="000000"/>
          <w:szCs w:val="22"/>
          <w:lang w:val="es-ES"/>
        </w:rPr>
        <w:t>/</w:t>
      </w:r>
      <w:smartTag w:uri="urn:schemas-microsoft-com:office:smarttags" w:element="stockticker">
        <w:r w:rsidRPr="002D741C">
          <w:rPr>
            <w:b/>
            <w:color w:val="000000"/>
            <w:szCs w:val="22"/>
            <w:lang w:val="es-ES"/>
          </w:rPr>
          <w:t>SMP</w:t>
        </w:r>
      </w:smartTag>
      <w:r w:rsidRPr="002D741C">
        <w:rPr>
          <w:b/>
          <w:color w:val="000000"/>
          <w:szCs w:val="22"/>
          <w:lang w:val="es-ES"/>
        </w:rPr>
        <w:t>:</w:t>
      </w:r>
    </w:p>
    <w:p w14:paraId="617BA79B" w14:textId="0ADE7888" w:rsidR="0040333F" w:rsidRPr="002D741C" w:rsidRDefault="0040333F" w:rsidP="0040333F">
      <w:pPr>
        <w:pStyle w:val="EndnoteText"/>
        <w:tabs>
          <w:tab w:val="clear" w:pos="567"/>
        </w:tabs>
        <w:ind w:left="567"/>
        <w:rPr>
          <w:color w:val="000000"/>
          <w:szCs w:val="22"/>
          <w:lang w:val="es-ES"/>
        </w:rPr>
      </w:pPr>
      <w:r w:rsidRPr="002D741C">
        <w:rPr>
          <w:color w:val="000000"/>
          <w:szCs w:val="22"/>
          <w:lang w:val="es-ES"/>
        </w:rPr>
        <w:t xml:space="preserve">La dosis inicial es de 400 mg </w:t>
      </w:r>
      <w:r w:rsidRPr="002D741C">
        <w:rPr>
          <w:b/>
          <w:color w:val="000000"/>
          <w:szCs w:val="22"/>
          <w:lang w:val="es-ES"/>
        </w:rPr>
        <w:t>una vez</w:t>
      </w:r>
      <w:r w:rsidRPr="002D741C">
        <w:rPr>
          <w:color w:val="000000"/>
          <w:szCs w:val="22"/>
          <w:lang w:val="es-ES"/>
        </w:rPr>
        <w:t xml:space="preserve"> al día.</w:t>
      </w:r>
    </w:p>
    <w:p w14:paraId="5FD9C97C" w14:textId="77777777" w:rsidR="0040333F" w:rsidRPr="002D741C" w:rsidRDefault="0040333F" w:rsidP="0040333F">
      <w:pPr>
        <w:pStyle w:val="EndnoteText"/>
        <w:rPr>
          <w:color w:val="000000"/>
          <w:szCs w:val="22"/>
          <w:lang w:val="es-ES"/>
        </w:rPr>
      </w:pPr>
    </w:p>
    <w:p w14:paraId="411394A1" w14:textId="77777777" w:rsidR="0040333F" w:rsidRPr="002D741C" w:rsidRDefault="0040333F" w:rsidP="006662BC">
      <w:pPr>
        <w:pStyle w:val="EndnoteText"/>
        <w:keepNext/>
        <w:numPr>
          <w:ilvl w:val="0"/>
          <w:numId w:val="25"/>
        </w:numPr>
        <w:tabs>
          <w:tab w:val="clear" w:pos="567"/>
          <w:tab w:val="clear" w:pos="717"/>
        </w:tabs>
        <w:ind w:left="567" w:hanging="567"/>
        <w:rPr>
          <w:b/>
          <w:color w:val="000000"/>
          <w:szCs w:val="22"/>
          <w:lang w:val="es-ES"/>
        </w:rPr>
      </w:pPr>
      <w:r w:rsidRPr="002D741C">
        <w:rPr>
          <w:b/>
          <w:color w:val="000000"/>
          <w:szCs w:val="22"/>
          <w:lang w:val="es-ES"/>
        </w:rPr>
        <w:t>Si está siendo tratado de SHE/LEC:</w:t>
      </w:r>
    </w:p>
    <w:p w14:paraId="2739C4A0" w14:textId="300FF906" w:rsidR="0040333F" w:rsidRPr="002D741C" w:rsidRDefault="0040333F" w:rsidP="0040333F">
      <w:pPr>
        <w:pStyle w:val="EndnoteText"/>
        <w:tabs>
          <w:tab w:val="clear" w:pos="567"/>
        </w:tabs>
        <w:ind w:left="567"/>
        <w:rPr>
          <w:color w:val="000000"/>
          <w:szCs w:val="22"/>
          <w:lang w:val="es-ES"/>
        </w:rPr>
      </w:pPr>
      <w:r w:rsidRPr="002D741C">
        <w:rPr>
          <w:color w:val="000000"/>
          <w:szCs w:val="22"/>
          <w:lang w:val="es-ES_tradnl"/>
        </w:rPr>
        <w:t xml:space="preserve">La dosis inicial es de 100 mg </w:t>
      </w:r>
      <w:r w:rsidRPr="002D741C">
        <w:rPr>
          <w:b/>
          <w:color w:val="000000"/>
          <w:szCs w:val="22"/>
          <w:lang w:val="es-ES_tradnl"/>
        </w:rPr>
        <w:t>una vez</w:t>
      </w:r>
      <w:r w:rsidRPr="002D741C">
        <w:rPr>
          <w:color w:val="000000"/>
          <w:szCs w:val="22"/>
          <w:lang w:val="es-ES_tradnl"/>
        </w:rPr>
        <w:t xml:space="preserve"> al día. Su médico puede decidir aumentar la dosis a 400 mg </w:t>
      </w:r>
      <w:r w:rsidRPr="002D741C">
        <w:rPr>
          <w:b/>
          <w:color w:val="000000"/>
          <w:szCs w:val="22"/>
          <w:lang w:val="es-ES_tradnl"/>
        </w:rPr>
        <w:t>una vez</w:t>
      </w:r>
      <w:r w:rsidRPr="002D741C">
        <w:rPr>
          <w:color w:val="000000"/>
          <w:szCs w:val="22"/>
          <w:lang w:val="es-ES_tradnl"/>
        </w:rPr>
        <w:t xml:space="preserve"> al día, dependiendo de cómo responda a su tratamiento.</w:t>
      </w:r>
    </w:p>
    <w:p w14:paraId="6E38E352" w14:textId="77777777" w:rsidR="0040333F" w:rsidRPr="002D741C" w:rsidRDefault="0040333F" w:rsidP="0040333F">
      <w:pPr>
        <w:pStyle w:val="EndnoteText"/>
        <w:widowControl w:val="0"/>
        <w:numPr>
          <w:ilvl w:val="12"/>
          <w:numId w:val="0"/>
        </w:numPr>
        <w:tabs>
          <w:tab w:val="clear" w:pos="567"/>
        </w:tabs>
        <w:rPr>
          <w:color w:val="000000"/>
          <w:szCs w:val="22"/>
          <w:lang w:val="es-ES"/>
        </w:rPr>
      </w:pPr>
    </w:p>
    <w:p w14:paraId="1775BFA5" w14:textId="77777777" w:rsidR="0040333F" w:rsidRPr="002D741C" w:rsidRDefault="0040333F" w:rsidP="006662BC">
      <w:pPr>
        <w:pStyle w:val="EndnoteText"/>
        <w:keepNext/>
        <w:widowControl w:val="0"/>
        <w:numPr>
          <w:ilvl w:val="0"/>
          <w:numId w:val="25"/>
        </w:numPr>
        <w:tabs>
          <w:tab w:val="clear" w:pos="567"/>
          <w:tab w:val="clear" w:pos="717"/>
        </w:tabs>
        <w:ind w:left="600" w:hanging="600"/>
        <w:rPr>
          <w:b/>
          <w:color w:val="000000"/>
          <w:szCs w:val="22"/>
          <w:lang w:val="es-ES"/>
        </w:rPr>
      </w:pPr>
      <w:r w:rsidRPr="002D741C">
        <w:rPr>
          <w:b/>
          <w:color w:val="000000"/>
          <w:szCs w:val="22"/>
          <w:lang w:val="es-ES"/>
        </w:rPr>
        <w:t>Si está siendo tratado de DFSP:</w:t>
      </w:r>
    </w:p>
    <w:p w14:paraId="1B45E45A" w14:textId="142C5DCA" w:rsidR="0040333F" w:rsidRPr="002D741C" w:rsidRDefault="0040333F" w:rsidP="0040333F">
      <w:pPr>
        <w:pStyle w:val="EndnoteText"/>
        <w:widowControl w:val="0"/>
        <w:tabs>
          <w:tab w:val="clear" w:pos="567"/>
        </w:tabs>
        <w:ind w:left="600"/>
        <w:rPr>
          <w:color w:val="000000"/>
          <w:szCs w:val="22"/>
          <w:lang w:val="es-ES"/>
        </w:rPr>
      </w:pPr>
      <w:r w:rsidRPr="002D741C">
        <w:rPr>
          <w:color w:val="000000"/>
          <w:szCs w:val="22"/>
          <w:lang w:val="es-ES"/>
        </w:rPr>
        <w:t>La dosis es de 800 mg al día, es decir, 4</w:t>
      </w:r>
      <w:r w:rsidR="001210C1">
        <w:rPr>
          <w:color w:val="000000"/>
          <w:szCs w:val="22"/>
          <w:lang w:val="es-ES"/>
        </w:rPr>
        <w:t>00</w:t>
      </w:r>
      <w:r w:rsidRPr="002D741C">
        <w:rPr>
          <w:color w:val="000000"/>
          <w:szCs w:val="22"/>
          <w:lang w:val="es-ES"/>
        </w:rPr>
        <w:t> </w:t>
      </w:r>
      <w:r w:rsidR="001210C1">
        <w:rPr>
          <w:color w:val="000000"/>
          <w:szCs w:val="22"/>
          <w:lang w:val="es-ES"/>
        </w:rPr>
        <w:t>mg</w:t>
      </w:r>
      <w:r w:rsidRPr="002D741C">
        <w:rPr>
          <w:color w:val="000000"/>
          <w:szCs w:val="22"/>
          <w:lang w:val="es-ES"/>
        </w:rPr>
        <w:t xml:space="preserve"> por la mañana y 4</w:t>
      </w:r>
      <w:r w:rsidR="001210C1">
        <w:rPr>
          <w:color w:val="000000"/>
          <w:szCs w:val="22"/>
          <w:lang w:val="es-ES"/>
        </w:rPr>
        <w:t>00</w:t>
      </w:r>
      <w:r w:rsidRPr="002D741C">
        <w:rPr>
          <w:color w:val="000000"/>
          <w:szCs w:val="22"/>
          <w:lang w:val="es-ES"/>
        </w:rPr>
        <w:t> </w:t>
      </w:r>
      <w:r w:rsidR="001210C1">
        <w:rPr>
          <w:color w:val="000000"/>
          <w:szCs w:val="22"/>
          <w:lang w:val="es-ES"/>
        </w:rPr>
        <w:t>mg</w:t>
      </w:r>
      <w:r w:rsidRPr="002D741C">
        <w:rPr>
          <w:color w:val="000000"/>
          <w:szCs w:val="22"/>
          <w:lang w:val="es-ES"/>
        </w:rPr>
        <w:t xml:space="preserve"> por la noche.</w:t>
      </w:r>
    </w:p>
    <w:p w14:paraId="5709A987" w14:textId="77777777" w:rsidR="001210C1" w:rsidRDefault="001210C1" w:rsidP="0040333F">
      <w:pPr>
        <w:pStyle w:val="EndnoteText"/>
        <w:widowControl w:val="0"/>
        <w:numPr>
          <w:ilvl w:val="12"/>
          <w:numId w:val="0"/>
        </w:numPr>
        <w:tabs>
          <w:tab w:val="clear" w:pos="567"/>
        </w:tabs>
        <w:rPr>
          <w:color w:val="000000"/>
          <w:szCs w:val="22"/>
          <w:lang w:val="es-ES"/>
        </w:rPr>
      </w:pPr>
    </w:p>
    <w:p w14:paraId="63560824" w14:textId="3A750F1B" w:rsidR="0040333F" w:rsidRDefault="001210C1" w:rsidP="0040333F">
      <w:pPr>
        <w:pStyle w:val="EndnoteText"/>
        <w:widowControl w:val="0"/>
        <w:numPr>
          <w:ilvl w:val="12"/>
          <w:numId w:val="0"/>
        </w:numPr>
        <w:tabs>
          <w:tab w:val="clear" w:pos="567"/>
        </w:tabs>
        <w:rPr>
          <w:color w:val="000000"/>
          <w:szCs w:val="22"/>
          <w:lang w:val="es-ES"/>
        </w:rPr>
      </w:pPr>
      <w:r>
        <w:rPr>
          <w:color w:val="000000"/>
          <w:szCs w:val="22"/>
          <w:lang w:val="es-ES"/>
        </w:rPr>
        <w:t>La dosis de 400</w:t>
      </w:r>
      <w:r w:rsidRPr="002D741C">
        <w:rPr>
          <w:color w:val="000000"/>
          <w:szCs w:val="22"/>
          <w:lang w:val="es-ES"/>
        </w:rPr>
        <w:t> </w:t>
      </w:r>
      <w:r>
        <w:rPr>
          <w:color w:val="000000"/>
          <w:szCs w:val="22"/>
          <w:lang w:val="es-ES"/>
        </w:rPr>
        <w:t>mg puede tomarse tanto con 1</w:t>
      </w:r>
      <w:r w:rsidRPr="002D741C">
        <w:rPr>
          <w:color w:val="000000"/>
          <w:szCs w:val="22"/>
          <w:lang w:val="es-ES"/>
        </w:rPr>
        <w:t> </w:t>
      </w:r>
      <w:r>
        <w:rPr>
          <w:color w:val="000000"/>
          <w:szCs w:val="22"/>
          <w:lang w:val="es-ES"/>
        </w:rPr>
        <w:t>comprimido de 400</w:t>
      </w:r>
      <w:r w:rsidRPr="002D741C">
        <w:rPr>
          <w:color w:val="000000"/>
          <w:szCs w:val="22"/>
          <w:lang w:val="es-ES"/>
        </w:rPr>
        <w:t> </w:t>
      </w:r>
      <w:r>
        <w:rPr>
          <w:color w:val="000000"/>
          <w:szCs w:val="22"/>
          <w:lang w:val="es-ES"/>
        </w:rPr>
        <w:t xml:space="preserve">mg o </w:t>
      </w:r>
      <w:r w:rsidR="006B48D0">
        <w:rPr>
          <w:color w:val="000000"/>
          <w:szCs w:val="22"/>
          <w:lang w:val="es-ES"/>
        </w:rPr>
        <w:t xml:space="preserve">con </w:t>
      </w:r>
      <w:r>
        <w:rPr>
          <w:color w:val="000000"/>
          <w:szCs w:val="22"/>
          <w:lang w:val="es-ES"/>
        </w:rPr>
        <w:t>4</w:t>
      </w:r>
      <w:r w:rsidRPr="002D741C">
        <w:rPr>
          <w:color w:val="000000"/>
          <w:szCs w:val="22"/>
          <w:lang w:val="es-ES"/>
        </w:rPr>
        <w:t> </w:t>
      </w:r>
      <w:r>
        <w:rPr>
          <w:color w:val="000000"/>
          <w:szCs w:val="22"/>
          <w:lang w:val="es-ES"/>
        </w:rPr>
        <w:t>comprimidos de 100</w:t>
      </w:r>
      <w:r w:rsidRPr="002D741C">
        <w:rPr>
          <w:color w:val="000000"/>
          <w:szCs w:val="22"/>
          <w:lang w:val="es-ES"/>
        </w:rPr>
        <w:t> </w:t>
      </w:r>
      <w:r>
        <w:rPr>
          <w:color w:val="000000"/>
          <w:szCs w:val="22"/>
          <w:lang w:val="es-ES"/>
        </w:rPr>
        <w:t>mg.</w:t>
      </w:r>
    </w:p>
    <w:p w14:paraId="2100792D" w14:textId="0ED8DCF1" w:rsidR="001210C1" w:rsidRDefault="006B48D0" w:rsidP="0040333F">
      <w:pPr>
        <w:pStyle w:val="EndnoteText"/>
        <w:widowControl w:val="0"/>
        <w:numPr>
          <w:ilvl w:val="12"/>
          <w:numId w:val="0"/>
        </w:numPr>
        <w:tabs>
          <w:tab w:val="clear" w:pos="567"/>
        </w:tabs>
        <w:rPr>
          <w:color w:val="000000"/>
          <w:szCs w:val="22"/>
          <w:lang w:val="es-ES"/>
        </w:rPr>
      </w:pPr>
      <w:r>
        <w:rPr>
          <w:color w:val="000000"/>
          <w:szCs w:val="22"/>
          <w:lang w:val="es-ES"/>
        </w:rPr>
        <w:t>L</w:t>
      </w:r>
      <w:r w:rsidR="001210C1">
        <w:rPr>
          <w:color w:val="000000"/>
          <w:szCs w:val="22"/>
          <w:lang w:val="es-ES"/>
        </w:rPr>
        <w:t>a dosis de 600</w:t>
      </w:r>
      <w:r w:rsidR="001210C1" w:rsidRPr="002D741C">
        <w:rPr>
          <w:color w:val="000000"/>
          <w:szCs w:val="22"/>
          <w:lang w:val="es-ES"/>
        </w:rPr>
        <w:t> </w:t>
      </w:r>
      <w:r w:rsidR="001210C1">
        <w:rPr>
          <w:color w:val="000000"/>
          <w:szCs w:val="22"/>
          <w:lang w:val="es-ES"/>
        </w:rPr>
        <w:t>mg debe tomarse con 1</w:t>
      </w:r>
      <w:r w:rsidRPr="002D741C">
        <w:rPr>
          <w:color w:val="000000"/>
          <w:szCs w:val="22"/>
          <w:lang w:val="es-ES"/>
        </w:rPr>
        <w:t> </w:t>
      </w:r>
      <w:r w:rsidR="001210C1">
        <w:rPr>
          <w:color w:val="000000"/>
          <w:szCs w:val="22"/>
          <w:lang w:val="es-ES"/>
        </w:rPr>
        <w:t>comprimido de 400</w:t>
      </w:r>
      <w:r w:rsidR="001210C1" w:rsidRPr="002D741C">
        <w:rPr>
          <w:color w:val="000000"/>
          <w:szCs w:val="22"/>
          <w:lang w:val="es-ES"/>
        </w:rPr>
        <w:t> </w:t>
      </w:r>
      <w:r w:rsidR="001210C1">
        <w:rPr>
          <w:color w:val="000000"/>
          <w:szCs w:val="22"/>
          <w:lang w:val="es-ES"/>
        </w:rPr>
        <w:t>mg y 2</w:t>
      </w:r>
      <w:r w:rsidR="001210C1" w:rsidRPr="002D741C">
        <w:rPr>
          <w:color w:val="000000"/>
          <w:szCs w:val="22"/>
          <w:lang w:val="es-ES"/>
        </w:rPr>
        <w:t> </w:t>
      </w:r>
      <w:r w:rsidR="001210C1">
        <w:rPr>
          <w:color w:val="000000"/>
          <w:szCs w:val="22"/>
          <w:lang w:val="es-ES"/>
        </w:rPr>
        <w:t>comprimidos de 100</w:t>
      </w:r>
      <w:r w:rsidR="001210C1" w:rsidRPr="002D741C">
        <w:rPr>
          <w:color w:val="000000"/>
          <w:szCs w:val="22"/>
          <w:lang w:val="es-ES"/>
        </w:rPr>
        <w:t> </w:t>
      </w:r>
      <w:r w:rsidR="001210C1">
        <w:rPr>
          <w:color w:val="000000"/>
          <w:szCs w:val="22"/>
          <w:lang w:val="es-ES"/>
        </w:rPr>
        <w:t>mg.</w:t>
      </w:r>
    </w:p>
    <w:p w14:paraId="2A1616E4" w14:textId="77777777" w:rsidR="001210C1" w:rsidRPr="002D741C" w:rsidRDefault="001210C1" w:rsidP="0040333F">
      <w:pPr>
        <w:pStyle w:val="EndnoteText"/>
        <w:widowControl w:val="0"/>
        <w:numPr>
          <w:ilvl w:val="12"/>
          <w:numId w:val="0"/>
        </w:numPr>
        <w:tabs>
          <w:tab w:val="clear" w:pos="567"/>
        </w:tabs>
        <w:rPr>
          <w:color w:val="000000"/>
          <w:szCs w:val="22"/>
          <w:lang w:val="es-ES"/>
        </w:rPr>
      </w:pPr>
    </w:p>
    <w:p w14:paraId="768336CD" w14:textId="77777777" w:rsidR="0040333F" w:rsidRPr="002D741C" w:rsidRDefault="0040333F" w:rsidP="006662BC">
      <w:pPr>
        <w:pStyle w:val="EndnoteText"/>
        <w:keepNext/>
        <w:widowControl w:val="0"/>
        <w:numPr>
          <w:ilvl w:val="12"/>
          <w:numId w:val="0"/>
        </w:numPr>
        <w:tabs>
          <w:tab w:val="clear" w:pos="567"/>
        </w:tabs>
        <w:rPr>
          <w:b/>
          <w:color w:val="000000"/>
          <w:szCs w:val="22"/>
          <w:lang w:val="es-ES"/>
        </w:rPr>
      </w:pPr>
      <w:r w:rsidRPr="002D741C">
        <w:rPr>
          <w:b/>
          <w:color w:val="000000"/>
          <w:szCs w:val="22"/>
          <w:lang w:val="es-ES"/>
        </w:rPr>
        <w:t>Uso en niños</w:t>
      </w:r>
      <w:r w:rsidR="007F5E80" w:rsidRPr="002D741C">
        <w:rPr>
          <w:b/>
          <w:color w:val="000000"/>
          <w:szCs w:val="22"/>
          <w:lang w:val="es-ES"/>
        </w:rPr>
        <w:t xml:space="preserve"> y adolescentes</w:t>
      </w:r>
    </w:p>
    <w:p w14:paraId="22DA3BA1" w14:textId="77777777" w:rsidR="0040333F" w:rsidRPr="002D741C" w:rsidRDefault="0040333F" w:rsidP="0040333F">
      <w:pPr>
        <w:pStyle w:val="EndnoteText"/>
        <w:widowControl w:val="0"/>
        <w:numPr>
          <w:ilvl w:val="12"/>
          <w:numId w:val="0"/>
        </w:numPr>
        <w:tabs>
          <w:tab w:val="clear" w:pos="567"/>
        </w:tabs>
        <w:rPr>
          <w:color w:val="000000"/>
          <w:szCs w:val="22"/>
          <w:lang w:val="es-ES"/>
        </w:rPr>
      </w:pPr>
      <w:r w:rsidRPr="002D741C">
        <w:rPr>
          <w:color w:val="000000"/>
          <w:szCs w:val="22"/>
          <w:lang w:val="es-ES"/>
        </w:rPr>
        <w:t>El médico le indicará cuántos comprimidos de Glivec debe administrar al niño. La cantidad de Glivec administrada dependerá de la situación del niño, peso corporal y altura. La dosis total diaria en niños no debe superar los 800 mg</w:t>
      </w:r>
      <w:r w:rsidR="004E57AF" w:rsidRPr="002D741C">
        <w:rPr>
          <w:color w:val="000000"/>
          <w:szCs w:val="22"/>
          <w:lang w:val="es-ES"/>
        </w:rPr>
        <w:t xml:space="preserve"> en LMC y 600 mg en LLA Ph+</w:t>
      </w:r>
      <w:r w:rsidRPr="002D741C">
        <w:rPr>
          <w:color w:val="000000"/>
          <w:szCs w:val="22"/>
          <w:lang w:val="es-ES"/>
        </w:rPr>
        <w:t>. El tratamiento puede darse al niño una vez al día o, alternativamente, la dosis puede repartirse en dos tomas (la mitad por la mañana y la mitad por la noche).</w:t>
      </w:r>
    </w:p>
    <w:p w14:paraId="292E4B5C" w14:textId="77777777" w:rsidR="0040333F" w:rsidRPr="002D741C" w:rsidRDefault="0040333F" w:rsidP="0040333F">
      <w:pPr>
        <w:pStyle w:val="EndnoteText"/>
        <w:widowControl w:val="0"/>
        <w:numPr>
          <w:ilvl w:val="12"/>
          <w:numId w:val="0"/>
        </w:numPr>
        <w:tabs>
          <w:tab w:val="clear" w:pos="567"/>
        </w:tabs>
        <w:rPr>
          <w:color w:val="000000"/>
          <w:szCs w:val="22"/>
          <w:lang w:val="es-ES"/>
        </w:rPr>
      </w:pPr>
    </w:p>
    <w:p w14:paraId="700DC0EA" w14:textId="77777777" w:rsidR="0040333F" w:rsidRPr="002D741C" w:rsidRDefault="0040333F" w:rsidP="006662BC">
      <w:pPr>
        <w:pStyle w:val="EndnoteText"/>
        <w:keepNext/>
        <w:widowControl w:val="0"/>
        <w:numPr>
          <w:ilvl w:val="12"/>
          <w:numId w:val="0"/>
        </w:numPr>
        <w:tabs>
          <w:tab w:val="clear" w:pos="567"/>
        </w:tabs>
        <w:rPr>
          <w:color w:val="000000"/>
          <w:szCs w:val="22"/>
          <w:lang w:val="es-ES"/>
        </w:rPr>
      </w:pPr>
      <w:r w:rsidRPr="002D741C">
        <w:rPr>
          <w:b/>
          <w:color w:val="000000"/>
          <w:szCs w:val="22"/>
          <w:lang w:val="es-ES"/>
        </w:rPr>
        <w:t>Cuándo y cómo tomar Glivec</w:t>
      </w:r>
    </w:p>
    <w:p w14:paraId="5AAECF8F" w14:textId="77777777" w:rsidR="0040333F" w:rsidRPr="002D741C" w:rsidRDefault="0040333F" w:rsidP="001001B7">
      <w:pPr>
        <w:pStyle w:val="EndnoteText"/>
        <w:keepNext/>
        <w:keepLines/>
        <w:widowControl w:val="0"/>
        <w:numPr>
          <w:ilvl w:val="0"/>
          <w:numId w:val="25"/>
        </w:numPr>
        <w:tabs>
          <w:tab w:val="clear" w:pos="567"/>
          <w:tab w:val="clear" w:pos="717"/>
          <w:tab w:val="num" w:pos="-7088"/>
        </w:tabs>
        <w:ind w:left="567" w:hanging="567"/>
        <w:rPr>
          <w:color w:val="000000"/>
          <w:szCs w:val="22"/>
          <w:lang w:val="es-ES"/>
        </w:rPr>
      </w:pPr>
      <w:r w:rsidRPr="002D741C">
        <w:rPr>
          <w:b/>
          <w:color w:val="000000"/>
          <w:szCs w:val="22"/>
          <w:lang w:val="es-ES"/>
        </w:rPr>
        <w:t xml:space="preserve">Tome Glivec con alimentos. </w:t>
      </w:r>
      <w:r w:rsidRPr="002D741C">
        <w:rPr>
          <w:color w:val="000000"/>
          <w:szCs w:val="22"/>
          <w:lang w:val="es-ES"/>
        </w:rPr>
        <w:t>Esto ayudará a protegerle de problemas en su estómago al tomar Glivec.</w:t>
      </w:r>
    </w:p>
    <w:p w14:paraId="7F5D9935" w14:textId="77777777" w:rsidR="0040333F" w:rsidRPr="002D741C" w:rsidRDefault="0040333F" w:rsidP="0040333F">
      <w:pPr>
        <w:pStyle w:val="EndnoteText"/>
        <w:widowControl w:val="0"/>
        <w:numPr>
          <w:ilvl w:val="0"/>
          <w:numId w:val="25"/>
        </w:numPr>
        <w:tabs>
          <w:tab w:val="clear" w:pos="567"/>
          <w:tab w:val="clear" w:pos="717"/>
          <w:tab w:val="num" w:pos="-7088"/>
        </w:tabs>
        <w:ind w:left="567" w:hanging="567"/>
        <w:rPr>
          <w:color w:val="000000"/>
          <w:szCs w:val="22"/>
          <w:lang w:val="es-ES"/>
        </w:rPr>
      </w:pPr>
      <w:r w:rsidRPr="002D741C">
        <w:rPr>
          <w:b/>
          <w:color w:val="000000"/>
          <w:szCs w:val="22"/>
          <w:lang w:val="es-ES"/>
        </w:rPr>
        <w:t>Tráguese los comprimidos con un gran vaso de agua.</w:t>
      </w:r>
    </w:p>
    <w:p w14:paraId="44CB748C" w14:textId="77777777" w:rsidR="0040333F" w:rsidRPr="002D741C" w:rsidRDefault="0040333F" w:rsidP="0040333F">
      <w:pPr>
        <w:pStyle w:val="EndnoteText"/>
        <w:widowControl w:val="0"/>
        <w:numPr>
          <w:ilvl w:val="12"/>
          <w:numId w:val="0"/>
        </w:numPr>
        <w:tabs>
          <w:tab w:val="clear" w:pos="567"/>
        </w:tabs>
        <w:rPr>
          <w:color w:val="000000"/>
          <w:szCs w:val="22"/>
          <w:lang w:val="es-ES"/>
        </w:rPr>
      </w:pPr>
    </w:p>
    <w:p w14:paraId="4C430716" w14:textId="77777777" w:rsidR="0040333F" w:rsidRPr="002D741C" w:rsidRDefault="0040333F" w:rsidP="006662BC">
      <w:pPr>
        <w:pStyle w:val="EndnoteText"/>
        <w:keepNext/>
        <w:widowControl w:val="0"/>
        <w:numPr>
          <w:ilvl w:val="12"/>
          <w:numId w:val="0"/>
        </w:numPr>
        <w:tabs>
          <w:tab w:val="clear" w:pos="567"/>
        </w:tabs>
        <w:rPr>
          <w:color w:val="000000"/>
          <w:szCs w:val="22"/>
          <w:lang w:val="es-ES"/>
        </w:rPr>
      </w:pPr>
      <w:r w:rsidRPr="002D741C">
        <w:rPr>
          <w:color w:val="000000"/>
          <w:szCs w:val="22"/>
          <w:lang w:val="es-ES"/>
        </w:rPr>
        <w:t>Si no es capaz de tragar los comprimidos, puede disolverlos en un vaso de agua sin gas o zumo de manzana:</w:t>
      </w:r>
    </w:p>
    <w:p w14:paraId="4273A3DE" w14:textId="6A9B5EE9" w:rsidR="0040333F" w:rsidRPr="002D741C" w:rsidRDefault="0040333F" w:rsidP="0040333F">
      <w:pPr>
        <w:pStyle w:val="EndnoteText"/>
        <w:widowControl w:val="0"/>
        <w:numPr>
          <w:ilvl w:val="0"/>
          <w:numId w:val="8"/>
        </w:numPr>
        <w:tabs>
          <w:tab w:val="clear" w:pos="567"/>
          <w:tab w:val="clear" w:pos="720"/>
        </w:tabs>
        <w:ind w:left="567" w:hanging="567"/>
        <w:rPr>
          <w:color w:val="000000"/>
          <w:szCs w:val="22"/>
          <w:lang w:val="es-ES"/>
        </w:rPr>
      </w:pPr>
      <w:r w:rsidRPr="002D741C">
        <w:rPr>
          <w:color w:val="000000"/>
          <w:szCs w:val="22"/>
          <w:lang w:val="es-ES"/>
        </w:rPr>
        <w:t>Utilice aproximadamente 50 ml para cada comprimido de 100 mg</w:t>
      </w:r>
      <w:r w:rsidR="001210C1">
        <w:rPr>
          <w:color w:val="000000"/>
          <w:szCs w:val="22"/>
          <w:lang w:val="es-ES"/>
        </w:rPr>
        <w:t xml:space="preserve"> o 200</w:t>
      </w:r>
      <w:r w:rsidR="001210C1" w:rsidRPr="002D741C">
        <w:rPr>
          <w:color w:val="000000"/>
          <w:szCs w:val="22"/>
          <w:lang w:val="es-ES"/>
        </w:rPr>
        <w:t> </w:t>
      </w:r>
      <w:r w:rsidR="001210C1">
        <w:rPr>
          <w:color w:val="000000"/>
          <w:szCs w:val="22"/>
          <w:lang w:val="es-ES"/>
        </w:rPr>
        <w:t>ml para cada comprimido de 400</w:t>
      </w:r>
      <w:r w:rsidR="001210C1" w:rsidRPr="002D741C">
        <w:rPr>
          <w:color w:val="000000"/>
          <w:szCs w:val="22"/>
          <w:lang w:val="es-ES"/>
        </w:rPr>
        <w:t> </w:t>
      </w:r>
      <w:r w:rsidR="001210C1">
        <w:rPr>
          <w:color w:val="000000"/>
          <w:szCs w:val="22"/>
          <w:lang w:val="es-ES"/>
        </w:rPr>
        <w:t>mg</w:t>
      </w:r>
      <w:r w:rsidR="00C379C5">
        <w:rPr>
          <w:color w:val="000000"/>
          <w:szCs w:val="22"/>
          <w:lang w:val="es-ES"/>
        </w:rPr>
        <w:t>.</w:t>
      </w:r>
    </w:p>
    <w:p w14:paraId="6962636C" w14:textId="7031B187" w:rsidR="0040333F" w:rsidRPr="002D741C" w:rsidRDefault="0040333F" w:rsidP="0040333F">
      <w:pPr>
        <w:pStyle w:val="EndnoteText"/>
        <w:widowControl w:val="0"/>
        <w:numPr>
          <w:ilvl w:val="0"/>
          <w:numId w:val="8"/>
        </w:numPr>
        <w:tabs>
          <w:tab w:val="clear" w:pos="567"/>
          <w:tab w:val="clear" w:pos="720"/>
        </w:tabs>
        <w:ind w:left="567" w:hanging="567"/>
        <w:rPr>
          <w:color w:val="000000"/>
          <w:szCs w:val="22"/>
          <w:lang w:val="es-ES"/>
        </w:rPr>
      </w:pPr>
      <w:r w:rsidRPr="002D741C">
        <w:rPr>
          <w:color w:val="000000"/>
          <w:szCs w:val="22"/>
          <w:lang w:val="es-ES"/>
        </w:rPr>
        <w:t>Remover con una cuchara hasta que los comprimidos se hayan disuelto completamente</w:t>
      </w:r>
      <w:r w:rsidR="00C379C5">
        <w:rPr>
          <w:color w:val="000000"/>
          <w:szCs w:val="22"/>
          <w:lang w:val="es-ES"/>
        </w:rPr>
        <w:t>.</w:t>
      </w:r>
    </w:p>
    <w:p w14:paraId="7E8D1606" w14:textId="77777777" w:rsidR="0040333F" w:rsidRPr="002D741C" w:rsidRDefault="0040333F" w:rsidP="0040333F">
      <w:pPr>
        <w:pStyle w:val="EndnoteText"/>
        <w:widowControl w:val="0"/>
        <w:numPr>
          <w:ilvl w:val="0"/>
          <w:numId w:val="8"/>
        </w:numPr>
        <w:tabs>
          <w:tab w:val="clear" w:pos="567"/>
          <w:tab w:val="clear" w:pos="720"/>
        </w:tabs>
        <w:ind w:left="567" w:hanging="567"/>
        <w:rPr>
          <w:color w:val="000000"/>
          <w:szCs w:val="22"/>
          <w:lang w:val="es-ES"/>
        </w:rPr>
      </w:pPr>
      <w:r w:rsidRPr="002D741C">
        <w:rPr>
          <w:color w:val="000000"/>
          <w:szCs w:val="22"/>
          <w:lang w:val="es-ES"/>
        </w:rPr>
        <w:t>Una vez se haya disuelto el comprimido, beber inmediatamente todo el contenido del vaso. Pueden quedar restos del comprimido disueltos en el fondo del vaso.</w:t>
      </w:r>
    </w:p>
    <w:p w14:paraId="0592E4B0" w14:textId="77777777" w:rsidR="0040333F" w:rsidRPr="002D741C" w:rsidRDefault="0040333F" w:rsidP="0040333F">
      <w:pPr>
        <w:pStyle w:val="EndnoteText"/>
        <w:widowControl w:val="0"/>
        <w:numPr>
          <w:ilvl w:val="12"/>
          <w:numId w:val="0"/>
        </w:numPr>
        <w:tabs>
          <w:tab w:val="clear" w:pos="567"/>
        </w:tabs>
        <w:rPr>
          <w:color w:val="000000"/>
          <w:szCs w:val="22"/>
          <w:lang w:val="es-ES"/>
        </w:rPr>
      </w:pPr>
    </w:p>
    <w:p w14:paraId="6F5BD4D4" w14:textId="77777777" w:rsidR="0040333F" w:rsidRPr="002D741C" w:rsidRDefault="0040333F" w:rsidP="006662BC">
      <w:pPr>
        <w:pStyle w:val="EndnoteText"/>
        <w:keepNext/>
        <w:widowControl w:val="0"/>
        <w:numPr>
          <w:ilvl w:val="12"/>
          <w:numId w:val="0"/>
        </w:numPr>
        <w:tabs>
          <w:tab w:val="clear" w:pos="567"/>
        </w:tabs>
        <w:rPr>
          <w:b/>
          <w:color w:val="000000"/>
          <w:szCs w:val="22"/>
          <w:lang w:val="es-ES"/>
        </w:rPr>
      </w:pPr>
      <w:r w:rsidRPr="002D741C">
        <w:rPr>
          <w:b/>
          <w:color w:val="000000"/>
          <w:szCs w:val="22"/>
          <w:lang w:val="es-ES"/>
        </w:rPr>
        <w:t>Durante cuánto tiempo tomar Glivec</w:t>
      </w:r>
    </w:p>
    <w:p w14:paraId="3100BF41" w14:textId="77777777" w:rsidR="0040333F" w:rsidRPr="002D741C" w:rsidRDefault="0040333F" w:rsidP="0040333F">
      <w:pPr>
        <w:pStyle w:val="EndnoteText"/>
        <w:widowControl w:val="0"/>
        <w:numPr>
          <w:ilvl w:val="12"/>
          <w:numId w:val="0"/>
        </w:numPr>
        <w:tabs>
          <w:tab w:val="clear" w:pos="567"/>
        </w:tabs>
        <w:rPr>
          <w:color w:val="000000"/>
          <w:szCs w:val="22"/>
          <w:lang w:val="es-ES"/>
        </w:rPr>
      </w:pPr>
      <w:r w:rsidRPr="002D741C">
        <w:rPr>
          <w:color w:val="000000"/>
          <w:szCs w:val="22"/>
          <w:lang w:val="es-ES"/>
        </w:rPr>
        <w:t>Continúe tomando Glivec cada día durante el tiempo que su médico le diga.</w:t>
      </w:r>
    </w:p>
    <w:p w14:paraId="04B5EC5F" w14:textId="77777777" w:rsidR="0040333F" w:rsidRPr="002D741C" w:rsidRDefault="0040333F" w:rsidP="0040333F">
      <w:pPr>
        <w:pStyle w:val="EndnoteText"/>
        <w:widowControl w:val="0"/>
        <w:numPr>
          <w:ilvl w:val="12"/>
          <w:numId w:val="0"/>
        </w:numPr>
        <w:tabs>
          <w:tab w:val="clear" w:pos="567"/>
        </w:tabs>
        <w:rPr>
          <w:color w:val="000000"/>
          <w:szCs w:val="22"/>
          <w:lang w:val="es-ES"/>
        </w:rPr>
      </w:pPr>
    </w:p>
    <w:p w14:paraId="52399E20" w14:textId="77777777" w:rsidR="0040333F" w:rsidRPr="002D741C" w:rsidRDefault="0040333F" w:rsidP="006662BC">
      <w:pPr>
        <w:keepNext/>
        <w:widowControl w:val="0"/>
        <w:numPr>
          <w:ilvl w:val="12"/>
          <w:numId w:val="0"/>
        </w:numPr>
        <w:ind w:right="-2"/>
        <w:rPr>
          <w:color w:val="000000"/>
          <w:sz w:val="22"/>
          <w:szCs w:val="22"/>
        </w:rPr>
      </w:pPr>
      <w:r w:rsidRPr="002D741C">
        <w:rPr>
          <w:b/>
          <w:color w:val="000000"/>
          <w:sz w:val="22"/>
          <w:szCs w:val="22"/>
        </w:rPr>
        <w:t xml:space="preserve">Si toma más Glivec del que </w:t>
      </w:r>
      <w:r w:rsidR="007F5E80" w:rsidRPr="002D741C">
        <w:rPr>
          <w:b/>
          <w:color w:val="000000"/>
          <w:sz w:val="22"/>
          <w:szCs w:val="22"/>
        </w:rPr>
        <w:t>debe</w:t>
      </w:r>
    </w:p>
    <w:p w14:paraId="07741283" w14:textId="77777777" w:rsidR="0040333F" w:rsidRPr="002D741C" w:rsidRDefault="0040333F" w:rsidP="0040333F">
      <w:pPr>
        <w:pStyle w:val="EndnoteText"/>
        <w:widowControl w:val="0"/>
        <w:numPr>
          <w:ilvl w:val="12"/>
          <w:numId w:val="0"/>
        </w:numPr>
        <w:tabs>
          <w:tab w:val="clear" w:pos="567"/>
        </w:tabs>
        <w:rPr>
          <w:color w:val="000000"/>
          <w:szCs w:val="22"/>
          <w:lang w:val="es-ES"/>
        </w:rPr>
      </w:pPr>
      <w:r w:rsidRPr="002D741C">
        <w:rPr>
          <w:color w:val="000000"/>
          <w:szCs w:val="22"/>
          <w:lang w:val="es-ES"/>
        </w:rPr>
        <w:t xml:space="preserve">Si accidentalmente ha tomado demasiados comprimidos, hable con su médico </w:t>
      </w:r>
      <w:r w:rsidRPr="002D741C">
        <w:rPr>
          <w:b/>
          <w:color w:val="000000"/>
          <w:szCs w:val="22"/>
          <w:lang w:val="es-ES"/>
        </w:rPr>
        <w:t>inmediatamente</w:t>
      </w:r>
      <w:r w:rsidRPr="002D741C">
        <w:rPr>
          <w:color w:val="000000"/>
          <w:szCs w:val="22"/>
          <w:lang w:val="es-ES"/>
        </w:rPr>
        <w:t>. Puede requerir atención médica. Lleve el envase del medicamento.</w:t>
      </w:r>
    </w:p>
    <w:p w14:paraId="0AF6D9C0" w14:textId="77777777" w:rsidR="0040333F" w:rsidRPr="002D741C" w:rsidRDefault="0040333F" w:rsidP="0040333F">
      <w:pPr>
        <w:pStyle w:val="EndnoteText"/>
        <w:widowControl w:val="0"/>
        <w:numPr>
          <w:ilvl w:val="12"/>
          <w:numId w:val="0"/>
        </w:numPr>
        <w:tabs>
          <w:tab w:val="clear" w:pos="567"/>
        </w:tabs>
        <w:rPr>
          <w:color w:val="000000"/>
          <w:szCs w:val="22"/>
          <w:lang w:val="es-ES"/>
        </w:rPr>
      </w:pPr>
    </w:p>
    <w:p w14:paraId="3B0C4A08" w14:textId="77777777" w:rsidR="0040333F" w:rsidRPr="002D741C" w:rsidRDefault="0040333F" w:rsidP="001001B7">
      <w:pPr>
        <w:pStyle w:val="EndnoteText"/>
        <w:keepNext/>
        <w:widowControl w:val="0"/>
        <w:numPr>
          <w:ilvl w:val="12"/>
          <w:numId w:val="0"/>
        </w:numPr>
        <w:tabs>
          <w:tab w:val="clear" w:pos="567"/>
        </w:tabs>
        <w:rPr>
          <w:b/>
          <w:bCs/>
          <w:color w:val="000000"/>
          <w:szCs w:val="22"/>
          <w:lang w:val="es-ES"/>
        </w:rPr>
      </w:pPr>
      <w:r w:rsidRPr="002D741C">
        <w:rPr>
          <w:b/>
          <w:bCs/>
          <w:color w:val="000000"/>
          <w:szCs w:val="22"/>
          <w:lang w:val="es-ES"/>
        </w:rPr>
        <w:t>Si olvidó tomar Glivec</w:t>
      </w:r>
    </w:p>
    <w:p w14:paraId="6180DFFC" w14:textId="77777777" w:rsidR="0040333F" w:rsidRPr="002D741C" w:rsidRDefault="0040333F" w:rsidP="0040333F">
      <w:pPr>
        <w:pStyle w:val="EndnoteText"/>
        <w:widowControl w:val="0"/>
        <w:numPr>
          <w:ilvl w:val="0"/>
          <w:numId w:val="26"/>
        </w:numPr>
        <w:tabs>
          <w:tab w:val="clear" w:pos="357"/>
          <w:tab w:val="clear" w:pos="567"/>
        </w:tabs>
        <w:ind w:left="567" w:hanging="564"/>
        <w:rPr>
          <w:color w:val="000000"/>
          <w:szCs w:val="22"/>
          <w:lang w:val="es-ES"/>
        </w:rPr>
      </w:pPr>
      <w:r w:rsidRPr="002D741C">
        <w:rPr>
          <w:color w:val="000000"/>
          <w:szCs w:val="22"/>
          <w:lang w:val="es-ES"/>
        </w:rPr>
        <w:t>Si olvida tomar una dosis, tómela tan pronto como se acuerde. Sin embargo, si ya casi es el momento de la próxima dosis, no tome la que se olvidó,</w:t>
      </w:r>
    </w:p>
    <w:p w14:paraId="281DA08A" w14:textId="77777777" w:rsidR="0040333F" w:rsidRPr="002D741C" w:rsidRDefault="0040333F" w:rsidP="0040333F">
      <w:pPr>
        <w:pStyle w:val="EndnoteText"/>
        <w:widowControl w:val="0"/>
        <w:numPr>
          <w:ilvl w:val="0"/>
          <w:numId w:val="26"/>
        </w:numPr>
        <w:tabs>
          <w:tab w:val="clear" w:pos="357"/>
          <w:tab w:val="clear" w:pos="567"/>
        </w:tabs>
        <w:ind w:left="567" w:hanging="564"/>
        <w:rPr>
          <w:color w:val="000000"/>
          <w:szCs w:val="22"/>
          <w:lang w:val="es-ES"/>
        </w:rPr>
      </w:pPr>
      <w:r w:rsidRPr="002D741C">
        <w:rPr>
          <w:color w:val="000000"/>
          <w:szCs w:val="22"/>
          <w:lang w:val="es-ES"/>
        </w:rPr>
        <w:t>Entonces continúe con la pauta normal.</w:t>
      </w:r>
    </w:p>
    <w:p w14:paraId="13A48762" w14:textId="77777777" w:rsidR="0040333F" w:rsidRPr="002D741C" w:rsidRDefault="0040333F" w:rsidP="0040333F">
      <w:pPr>
        <w:pStyle w:val="EndnoteText"/>
        <w:widowControl w:val="0"/>
        <w:numPr>
          <w:ilvl w:val="0"/>
          <w:numId w:val="26"/>
        </w:numPr>
        <w:tabs>
          <w:tab w:val="clear" w:pos="357"/>
          <w:tab w:val="clear" w:pos="567"/>
        </w:tabs>
        <w:ind w:left="567" w:hanging="564"/>
        <w:rPr>
          <w:color w:val="000000"/>
          <w:szCs w:val="22"/>
          <w:lang w:val="es-ES"/>
        </w:rPr>
      </w:pPr>
      <w:r w:rsidRPr="002D741C">
        <w:rPr>
          <w:color w:val="000000"/>
          <w:szCs w:val="22"/>
          <w:lang w:val="es-ES"/>
        </w:rPr>
        <w:t>No tome una dosis doble para compensar las dosis olvidadas.</w:t>
      </w:r>
    </w:p>
    <w:p w14:paraId="29EA6563" w14:textId="77777777" w:rsidR="0040333F" w:rsidRPr="002D741C" w:rsidRDefault="0040333F" w:rsidP="0040333F">
      <w:pPr>
        <w:pStyle w:val="EndnoteText"/>
        <w:widowControl w:val="0"/>
        <w:numPr>
          <w:ilvl w:val="12"/>
          <w:numId w:val="0"/>
        </w:numPr>
        <w:tabs>
          <w:tab w:val="clear" w:pos="567"/>
        </w:tabs>
        <w:rPr>
          <w:color w:val="000000"/>
          <w:szCs w:val="22"/>
          <w:lang w:val="es-ES"/>
        </w:rPr>
      </w:pPr>
    </w:p>
    <w:p w14:paraId="204055F1" w14:textId="77777777" w:rsidR="0040333F" w:rsidRPr="002D741C" w:rsidRDefault="0040333F" w:rsidP="0040333F">
      <w:pPr>
        <w:pStyle w:val="EndnoteText"/>
        <w:widowControl w:val="0"/>
        <w:numPr>
          <w:ilvl w:val="12"/>
          <w:numId w:val="0"/>
        </w:numPr>
        <w:tabs>
          <w:tab w:val="clear" w:pos="567"/>
        </w:tabs>
        <w:rPr>
          <w:color w:val="000000"/>
          <w:szCs w:val="22"/>
          <w:lang w:val="es-ES"/>
        </w:rPr>
      </w:pPr>
      <w:r w:rsidRPr="002D741C">
        <w:rPr>
          <w:color w:val="000000"/>
          <w:szCs w:val="22"/>
          <w:lang w:val="es-ES"/>
        </w:rPr>
        <w:t xml:space="preserve">Si tiene cualquier otra duda sobre el uso de este </w:t>
      </w:r>
      <w:r w:rsidR="007F5E80" w:rsidRPr="002D741C">
        <w:rPr>
          <w:color w:val="000000"/>
          <w:szCs w:val="22"/>
          <w:lang w:val="es-ES"/>
        </w:rPr>
        <w:t>medicamento</w:t>
      </w:r>
      <w:r w:rsidRPr="002D741C">
        <w:rPr>
          <w:color w:val="000000"/>
          <w:szCs w:val="22"/>
          <w:lang w:val="es-ES"/>
        </w:rPr>
        <w:t>, pregunte a su médico</w:t>
      </w:r>
      <w:r w:rsidR="007F5E80" w:rsidRPr="002D741C">
        <w:rPr>
          <w:color w:val="000000"/>
          <w:szCs w:val="22"/>
          <w:lang w:val="es-ES"/>
        </w:rPr>
        <w:t>,</w:t>
      </w:r>
      <w:r w:rsidRPr="002D741C">
        <w:rPr>
          <w:color w:val="000000"/>
          <w:szCs w:val="22"/>
          <w:lang w:val="es-ES"/>
        </w:rPr>
        <w:t xml:space="preserve"> farmacéutico</w:t>
      </w:r>
      <w:r w:rsidR="007F5E80" w:rsidRPr="002D741C">
        <w:rPr>
          <w:color w:val="000000"/>
          <w:szCs w:val="22"/>
          <w:lang w:val="es-ES"/>
        </w:rPr>
        <w:t xml:space="preserve"> o enfermero</w:t>
      </w:r>
      <w:r w:rsidRPr="002D741C">
        <w:rPr>
          <w:color w:val="000000"/>
          <w:szCs w:val="22"/>
          <w:lang w:val="es-ES"/>
        </w:rPr>
        <w:t>.</w:t>
      </w:r>
    </w:p>
    <w:p w14:paraId="5F2DC342" w14:textId="77777777" w:rsidR="0040333F" w:rsidRPr="002D741C" w:rsidRDefault="0040333F" w:rsidP="0040333F">
      <w:pPr>
        <w:widowControl w:val="0"/>
        <w:numPr>
          <w:ilvl w:val="12"/>
          <w:numId w:val="0"/>
        </w:numPr>
        <w:ind w:right="-2"/>
        <w:rPr>
          <w:color w:val="000000"/>
          <w:sz w:val="22"/>
          <w:szCs w:val="22"/>
          <w:lang w:val="es-ES"/>
        </w:rPr>
      </w:pPr>
    </w:p>
    <w:p w14:paraId="79A8AA77" w14:textId="77777777" w:rsidR="0040333F" w:rsidRPr="002D741C" w:rsidRDefault="0040333F" w:rsidP="0040333F">
      <w:pPr>
        <w:widowControl w:val="0"/>
        <w:numPr>
          <w:ilvl w:val="12"/>
          <w:numId w:val="0"/>
        </w:numPr>
        <w:ind w:right="-2"/>
        <w:rPr>
          <w:color w:val="000000"/>
          <w:sz w:val="22"/>
          <w:szCs w:val="22"/>
          <w:lang w:val="es-ES"/>
        </w:rPr>
      </w:pPr>
    </w:p>
    <w:p w14:paraId="56A0A239" w14:textId="77777777" w:rsidR="00C45062" w:rsidRPr="002D741C" w:rsidRDefault="00C45062" w:rsidP="001001B7">
      <w:pPr>
        <w:keepNext/>
        <w:widowControl w:val="0"/>
        <w:numPr>
          <w:ilvl w:val="12"/>
          <w:numId w:val="0"/>
        </w:numPr>
        <w:ind w:left="567" w:right="-2" w:hanging="567"/>
        <w:rPr>
          <w:b/>
          <w:color w:val="000000"/>
          <w:sz w:val="22"/>
          <w:szCs w:val="22"/>
        </w:rPr>
      </w:pPr>
      <w:r w:rsidRPr="002D741C">
        <w:rPr>
          <w:b/>
          <w:color w:val="000000"/>
          <w:sz w:val="22"/>
          <w:szCs w:val="22"/>
        </w:rPr>
        <w:t>4.</w:t>
      </w:r>
      <w:r w:rsidRPr="002D741C">
        <w:rPr>
          <w:b/>
          <w:color w:val="000000"/>
          <w:sz w:val="22"/>
          <w:szCs w:val="22"/>
        </w:rPr>
        <w:tab/>
        <w:t>Posibles efectos adversos</w:t>
      </w:r>
    </w:p>
    <w:p w14:paraId="6B7C3C72" w14:textId="77777777" w:rsidR="00C45062" w:rsidRPr="002D741C" w:rsidRDefault="00C45062" w:rsidP="001001B7">
      <w:pPr>
        <w:keepNext/>
        <w:widowControl w:val="0"/>
        <w:numPr>
          <w:ilvl w:val="12"/>
          <w:numId w:val="0"/>
        </w:numPr>
        <w:ind w:left="567" w:right="-2" w:hanging="567"/>
        <w:rPr>
          <w:color w:val="000000"/>
          <w:sz w:val="22"/>
          <w:szCs w:val="22"/>
        </w:rPr>
      </w:pPr>
    </w:p>
    <w:p w14:paraId="1827D628" w14:textId="77777777" w:rsidR="00C45062" w:rsidRPr="002D741C" w:rsidRDefault="00C45062" w:rsidP="00C45062">
      <w:pPr>
        <w:widowControl w:val="0"/>
        <w:numPr>
          <w:ilvl w:val="12"/>
          <w:numId w:val="0"/>
        </w:numPr>
        <w:ind w:right="-29"/>
        <w:rPr>
          <w:color w:val="000000"/>
          <w:sz w:val="22"/>
          <w:szCs w:val="22"/>
        </w:rPr>
      </w:pPr>
      <w:r w:rsidRPr="002D741C">
        <w:rPr>
          <w:color w:val="000000"/>
          <w:sz w:val="22"/>
          <w:szCs w:val="22"/>
        </w:rPr>
        <w:t>Al igual que todos los medicamentos, este medicamento puede producir efectos adversos, aunque no todas las personas los sufran. Estos son normalmente de leves a moderados.</w:t>
      </w:r>
    </w:p>
    <w:p w14:paraId="4B4F7002" w14:textId="77777777" w:rsidR="00C45062" w:rsidRPr="002D741C" w:rsidRDefault="00C45062" w:rsidP="00C45062">
      <w:pPr>
        <w:widowControl w:val="0"/>
        <w:numPr>
          <w:ilvl w:val="12"/>
          <w:numId w:val="0"/>
        </w:numPr>
        <w:ind w:right="-29"/>
        <w:rPr>
          <w:color w:val="000000"/>
          <w:sz w:val="22"/>
          <w:szCs w:val="22"/>
        </w:rPr>
      </w:pPr>
    </w:p>
    <w:p w14:paraId="4188CE66" w14:textId="3814B57A" w:rsidR="00C45062" w:rsidRPr="002D741C" w:rsidRDefault="00C45062" w:rsidP="001001B7">
      <w:pPr>
        <w:keepNext/>
        <w:keepLines/>
        <w:widowControl w:val="0"/>
        <w:numPr>
          <w:ilvl w:val="12"/>
          <w:numId w:val="0"/>
        </w:numPr>
        <w:ind w:right="-28"/>
        <w:rPr>
          <w:b/>
          <w:color w:val="000000"/>
          <w:sz w:val="22"/>
          <w:szCs w:val="22"/>
        </w:rPr>
      </w:pPr>
      <w:r w:rsidRPr="002D741C">
        <w:rPr>
          <w:b/>
          <w:color w:val="000000"/>
          <w:sz w:val="22"/>
          <w:szCs w:val="22"/>
        </w:rPr>
        <w:t>Algunos efectos adversos pueden ser graves. Informe a su médico inmediatamente si sufre alguno de los siguientes:</w:t>
      </w:r>
    </w:p>
    <w:p w14:paraId="3862F872" w14:textId="77777777" w:rsidR="00C45062" w:rsidRPr="002D741C" w:rsidRDefault="00C45062" w:rsidP="001001B7">
      <w:pPr>
        <w:keepNext/>
        <w:keepLines/>
        <w:widowControl w:val="0"/>
        <w:numPr>
          <w:ilvl w:val="12"/>
          <w:numId w:val="0"/>
        </w:numPr>
        <w:ind w:right="-28"/>
        <w:rPr>
          <w:color w:val="000000"/>
          <w:sz w:val="22"/>
          <w:szCs w:val="22"/>
        </w:rPr>
      </w:pPr>
    </w:p>
    <w:p w14:paraId="47E1FBA4" w14:textId="77777777" w:rsidR="00C45062" w:rsidRPr="002D741C" w:rsidRDefault="00C45062" w:rsidP="001001B7">
      <w:pPr>
        <w:keepNext/>
        <w:keepLines/>
        <w:widowControl w:val="0"/>
        <w:numPr>
          <w:ilvl w:val="12"/>
          <w:numId w:val="0"/>
        </w:numPr>
        <w:ind w:right="-28"/>
        <w:rPr>
          <w:color w:val="000000"/>
          <w:sz w:val="22"/>
          <w:szCs w:val="22"/>
        </w:rPr>
      </w:pPr>
      <w:r w:rsidRPr="002D741C">
        <w:rPr>
          <w:b/>
          <w:color w:val="000000"/>
          <w:sz w:val="22"/>
          <w:szCs w:val="22"/>
        </w:rPr>
        <w:t>Muy frecuentes</w:t>
      </w:r>
      <w:r w:rsidRPr="002D741C">
        <w:rPr>
          <w:color w:val="000000"/>
          <w:sz w:val="22"/>
          <w:szCs w:val="22"/>
        </w:rPr>
        <w:t xml:space="preserve"> (pueden afectar más de 1 de cada 10 pacientes)</w:t>
      </w:r>
      <w:r w:rsidRPr="002D741C">
        <w:rPr>
          <w:b/>
          <w:color w:val="000000"/>
          <w:sz w:val="22"/>
          <w:szCs w:val="22"/>
        </w:rPr>
        <w:t xml:space="preserve"> o frecuentes </w:t>
      </w:r>
      <w:r w:rsidRPr="002D741C">
        <w:rPr>
          <w:color w:val="000000"/>
          <w:sz w:val="22"/>
          <w:szCs w:val="22"/>
        </w:rPr>
        <w:t>(puede afectar hasta 1 de cada 10 pacientes):</w:t>
      </w:r>
    </w:p>
    <w:p w14:paraId="437F8E55" w14:textId="77777777" w:rsidR="00C45062" w:rsidRPr="002D741C" w:rsidRDefault="00C45062" w:rsidP="00C45062">
      <w:pPr>
        <w:widowControl w:val="0"/>
        <w:numPr>
          <w:ilvl w:val="0"/>
          <w:numId w:val="4"/>
        </w:numPr>
        <w:tabs>
          <w:tab w:val="clear" w:pos="360"/>
        </w:tabs>
        <w:ind w:left="567" w:right="-29" w:hanging="567"/>
        <w:rPr>
          <w:color w:val="000000"/>
          <w:sz w:val="22"/>
          <w:szCs w:val="22"/>
        </w:rPr>
      </w:pPr>
      <w:r w:rsidRPr="002D741C">
        <w:rPr>
          <w:color w:val="000000"/>
          <w:sz w:val="22"/>
          <w:szCs w:val="22"/>
        </w:rPr>
        <w:t>Rápido aumento de peso. Glivec puede provocar que su cuerpo retenga agua (retención grave de líquidos).</w:t>
      </w:r>
    </w:p>
    <w:p w14:paraId="0F841EDC" w14:textId="77777777" w:rsidR="00C45062" w:rsidRPr="002D741C" w:rsidRDefault="00C45062" w:rsidP="00C45062">
      <w:pPr>
        <w:widowControl w:val="0"/>
        <w:numPr>
          <w:ilvl w:val="0"/>
          <w:numId w:val="5"/>
        </w:numPr>
        <w:tabs>
          <w:tab w:val="clear" w:pos="360"/>
        </w:tabs>
        <w:ind w:left="567" w:right="-29" w:hanging="567"/>
        <w:rPr>
          <w:color w:val="000000"/>
          <w:sz w:val="22"/>
          <w:szCs w:val="22"/>
        </w:rPr>
      </w:pPr>
      <w:r w:rsidRPr="002D741C">
        <w:rPr>
          <w:color w:val="000000"/>
          <w:sz w:val="22"/>
          <w:szCs w:val="22"/>
        </w:rPr>
        <w:t>Signos de infección tales como fiebre, escalofríos severos, dolor de garganta o úlceras en la boca. Glivec puede reducir el número de células blancas de la sangre, por tanto puede sufrir infecciones más fácilmente.</w:t>
      </w:r>
    </w:p>
    <w:p w14:paraId="5AA09871" w14:textId="77777777" w:rsidR="00C45062" w:rsidRPr="002D741C" w:rsidRDefault="00C45062" w:rsidP="00C45062">
      <w:pPr>
        <w:widowControl w:val="0"/>
        <w:numPr>
          <w:ilvl w:val="0"/>
          <w:numId w:val="4"/>
        </w:numPr>
        <w:tabs>
          <w:tab w:val="clear" w:pos="360"/>
        </w:tabs>
        <w:ind w:left="567" w:right="-29" w:hanging="567"/>
        <w:rPr>
          <w:color w:val="000000"/>
          <w:sz w:val="22"/>
          <w:szCs w:val="22"/>
        </w:rPr>
      </w:pPr>
      <w:r w:rsidRPr="002D741C">
        <w:rPr>
          <w:color w:val="000000"/>
          <w:sz w:val="22"/>
          <w:szCs w:val="22"/>
        </w:rPr>
        <w:t>Sangrado o aparición de moratones de forma inesperada (cuando no ha sufrido ninguna herida).</w:t>
      </w:r>
    </w:p>
    <w:p w14:paraId="5E04FB92" w14:textId="77777777" w:rsidR="00C45062" w:rsidRPr="002D741C" w:rsidRDefault="00C45062" w:rsidP="00C45062">
      <w:pPr>
        <w:widowControl w:val="0"/>
        <w:ind w:right="-29"/>
        <w:rPr>
          <w:color w:val="000000"/>
          <w:sz w:val="22"/>
          <w:szCs w:val="22"/>
        </w:rPr>
      </w:pPr>
    </w:p>
    <w:p w14:paraId="0033E5B0" w14:textId="77777777" w:rsidR="00C45062" w:rsidRPr="002D741C" w:rsidRDefault="00C45062" w:rsidP="001001B7">
      <w:pPr>
        <w:keepNext/>
        <w:keepLines/>
        <w:widowControl w:val="0"/>
        <w:ind w:right="-28"/>
        <w:rPr>
          <w:color w:val="000000"/>
          <w:sz w:val="22"/>
          <w:szCs w:val="22"/>
        </w:rPr>
      </w:pPr>
      <w:r w:rsidRPr="002D741C">
        <w:rPr>
          <w:b/>
          <w:color w:val="000000"/>
          <w:sz w:val="22"/>
          <w:szCs w:val="22"/>
        </w:rPr>
        <w:t>Poco frecuentes</w:t>
      </w:r>
      <w:r w:rsidRPr="002D741C">
        <w:rPr>
          <w:color w:val="000000"/>
          <w:sz w:val="22"/>
          <w:szCs w:val="22"/>
        </w:rPr>
        <w:t xml:space="preserve"> (pueden afectar hasta 1 de cada 100 pacientes) </w:t>
      </w:r>
      <w:r w:rsidRPr="002D741C">
        <w:rPr>
          <w:b/>
          <w:color w:val="000000"/>
          <w:sz w:val="22"/>
          <w:szCs w:val="22"/>
        </w:rPr>
        <w:t xml:space="preserve">o raros </w:t>
      </w:r>
      <w:r w:rsidRPr="002D741C">
        <w:rPr>
          <w:color w:val="000000"/>
          <w:sz w:val="22"/>
          <w:szCs w:val="22"/>
        </w:rPr>
        <w:t>(pueden afectar hasta 1 de cada 1.000 pacientes):</w:t>
      </w:r>
    </w:p>
    <w:p w14:paraId="61FF35A7" w14:textId="77777777" w:rsidR="00C45062" w:rsidRPr="002D741C" w:rsidRDefault="00C45062" w:rsidP="00C45062">
      <w:pPr>
        <w:widowControl w:val="0"/>
        <w:numPr>
          <w:ilvl w:val="0"/>
          <w:numId w:val="4"/>
        </w:numPr>
        <w:tabs>
          <w:tab w:val="clear" w:pos="360"/>
        </w:tabs>
        <w:ind w:left="567" w:right="-29" w:hanging="567"/>
        <w:rPr>
          <w:color w:val="000000"/>
          <w:sz w:val="22"/>
          <w:szCs w:val="22"/>
        </w:rPr>
      </w:pPr>
      <w:r w:rsidRPr="002D741C">
        <w:rPr>
          <w:color w:val="000000"/>
          <w:sz w:val="22"/>
          <w:szCs w:val="22"/>
        </w:rPr>
        <w:t>Dolor en el pecho, ritmo cardiaco irregular (signos de problemas en el corazón).</w:t>
      </w:r>
    </w:p>
    <w:p w14:paraId="16BA21A9" w14:textId="77777777" w:rsidR="00C45062" w:rsidRPr="002D741C" w:rsidRDefault="00C45062" w:rsidP="00C45062">
      <w:pPr>
        <w:widowControl w:val="0"/>
        <w:numPr>
          <w:ilvl w:val="0"/>
          <w:numId w:val="4"/>
        </w:numPr>
        <w:tabs>
          <w:tab w:val="clear" w:pos="360"/>
        </w:tabs>
        <w:ind w:left="567" w:right="-29" w:hanging="567"/>
        <w:rPr>
          <w:color w:val="000000"/>
          <w:sz w:val="22"/>
          <w:szCs w:val="22"/>
        </w:rPr>
      </w:pPr>
      <w:r w:rsidRPr="002D741C">
        <w:rPr>
          <w:color w:val="000000"/>
          <w:sz w:val="22"/>
          <w:szCs w:val="22"/>
        </w:rPr>
        <w:t>Tos, con dificultad para respirar o respiración dolorosa (signos de problemas en el pulmón).</w:t>
      </w:r>
    </w:p>
    <w:p w14:paraId="7DAA1806" w14:textId="77777777" w:rsidR="00C45062" w:rsidRPr="002D741C" w:rsidRDefault="00C45062" w:rsidP="00C45062">
      <w:pPr>
        <w:widowControl w:val="0"/>
        <w:numPr>
          <w:ilvl w:val="0"/>
          <w:numId w:val="4"/>
        </w:numPr>
        <w:tabs>
          <w:tab w:val="clear" w:pos="360"/>
        </w:tabs>
        <w:ind w:left="567" w:right="-29" w:hanging="567"/>
        <w:rPr>
          <w:color w:val="000000"/>
          <w:sz w:val="22"/>
          <w:szCs w:val="22"/>
        </w:rPr>
      </w:pPr>
      <w:r w:rsidRPr="002D741C">
        <w:rPr>
          <w:color w:val="000000"/>
          <w:sz w:val="22"/>
          <w:szCs w:val="22"/>
        </w:rPr>
        <w:t>Sensación de aturdimiento, mareo o desvanecimiento (signos de tensión arterial baja).</w:t>
      </w:r>
    </w:p>
    <w:p w14:paraId="016890E6" w14:textId="77777777" w:rsidR="00C45062" w:rsidRPr="002D741C" w:rsidRDefault="00C45062" w:rsidP="00C45062">
      <w:pPr>
        <w:widowControl w:val="0"/>
        <w:numPr>
          <w:ilvl w:val="0"/>
          <w:numId w:val="4"/>
        </w:numPr>
        <w:tabs>
          <w:tab w:val="clear" w:pos="360"/>
        </w:tabs>
        <w:ind w:left="567" w:right="-29" w:hanging="567"/>
        <w:rPr>
          <w:color w:val="000000"/>
          <w:sz w:val="22"/>
          <w:szCs w:val="22"/>
        </w:rPr>
      </w:pPr>
      <w:r w:rsidRPr="002D741C">
        <w:rPr>
          <w:color w:val="000000"/>
          <w:sz w:val="22"/>
          <w:szCs w:val="22"/>
        </w:rPr>
        <w:t>Náuseas, con pérdida de apetito, orina de color oscuro, piel u ojos amarillos (signos de problemas en el hígado).</w:t>
      </w:r>
    </w:p>
    <w:p w14:paraId="238B7EA1" w14:textId="77777777" w:rsidR="00C45062" w:rsidRPr="002D741C" w:rsidRDefault="00C45062" w:rsidP="00C45062">
      <w:pPr>
        <w:widowControl w:val="0"/>
        <w:numPr>
          <w:ilvl w:val="0"/>
          <w:numId w:val="6"/>
        </w:numPr>
        <w:tabs>
          <w:tab w:val="clear" w:pos="360"/>
        </w:tabs>
        <w:ind w:left="567" w:right="-29" w:hanging="567"/>
        <w:rPr>
          <w:color w:val="000000"/>
          <w:sz w:val="22"/>
          <w:szCs w:val="22"/>
        </w:rPr>
      </w:pPr>
      <w:r w:rsidRPr="002D741C">
        <w:rPr>
          <w:color w:val="000000"/>
          <w:sz w:val="22"/>
          <w:szCs w:val="22"/>
        </w:rPr>
        <w:t>Erupción, enrojecimiento de la piel, con ampollas en los labios, ojos, piel o boca, descamaciones de la piel, fiebre, manchas de la piel rojas o moradas, picor, sensación de quemazón, erupción con pústulas (signos de problemas en la piel).</w:t>
      </w:r>
    </w:p>
    <w:p w14:paraId="3985AD5F" w14:textId="77777777" w:rsidR="00C45062" w:rsidRPr="002D741C" w:rsidRDefault="00C45062" w:rsidP="00C45062">
      <w:pPr>
        <w:widowControl w:val="0"/>
        <w:numPr>
          <w:ilvl w:val="0"/>
          <w:numId w:val="6"/>
        </w:numPr>
        <w:tabs>
          <w:tab w:val="clear" w:pos="360"/>
        </w:tabs>
        <w:ind w:left="567" w:right="-29" w:hanging="567"/>
        <w:rPr>
          <w:color w:val="000000"/>
          <w:sz w:val="22"/>
          <w:szCs w:val="22"/>
        </w:rPr>
      </w:pPr>
      <w:r w:rsidRPr="002D741C">
        <w:rPr>
          <w:color w:val="000000"/>
          <w:sz w:val="22"/>
          <w:szCs w:val="22"/>
        </w:rPr>
        <w:t>Dolor abdominal grave, sangre en su vómito, heces u orina, heces negras (signos de alteraciones gastrointestinales).</w:t>
      </w:r>
    </w:p>
    <w:p w14:paraId="5858F468" w14:textId="77777777" w:rsidR="00C45062" w:rsidRPr="002D741C" w:rsidRDefault="00C45062" w:rsidP="00C45062">
      <w:pPr>
        <w:widowControl w:val="0"/>
        <w:numPr>
          <w:ilvl w:val="0"/>
          <w:numId w:val="6"/>
        </w:numPr>
        <w:tabs>
          <w:tab w:val="clear" w:pos="360"/>
        </w:tabs>
        <w:ind w:left="567" w:right="-29" w:hanging="567"/>
        <w:rPr>
          <w:color w:val="000000"/>
          <w:sz w:val="22"/>
          <w:szCs w:val="22"/>
        </w:rPr>
      </w:pPr>
      <w:r w:rsidRPr="002D741C">
        <w:rPr>
          <w:color w:val="000000"/>
          <w:sz w:val="22"/>
          <w:szCs w:val="22"/>
        </w:rPr>
        <w:t>Descenso importante en la eliminación de orina, sensación de sed (signos de problemas en el riñón).</w:t>
      </w:r>
    </w:p>
    <w:p w14:paraId="67A528AC" w14:textId="77777777" w:rsidR="00C45062" w:rsidRPr="002D741C" w:rsidRDefault="00C45062" w:rsidP="00C45062">
      <w:pPr>
        <w:widowControl w:val="0"/>
        <w:numPr>
          <w:ilvl w:val="0"/>
          <w:numId w:val="6"/>
        </w:numPr>
        <w:tabs>
          <w:tab w:val="clear" w:pos="360"/>
        </w:tabs>
        <w:ind w:left="567" w:right="-29" w:hanging="567"/>
        <w:rPr>
          <w:color w:val="000000"/>
          <w:sz w:val="22"/>
          <w:szCs w:val="22"/>
        </w:rPr>
      </w:pPr>
      <w:r w:rsidRPr="002D741C">
        <w:rPr>
          <w:color w:val="000000"/>
          <w:sz w:val="22"/>
          <w:szCs w:val="22"/>
        </w:rPr>
        <w:t>Náuseas, con diarrea y vómitos, dolor abdominal o fiebre (signos de problemas intestinales).</w:t>
      </w:r>
    </w:p>
    <w:p w14:paraId="46164818" w14:textId="77777777" w:rsidR="00C45062" w:rsidRPr="002D741C" w:rsidRDefault="00C45062" w:rsidP="00C45062">
      <w:pPr>
        <w:widowControl w:val="0"/>
        <w:numPr>
          <w:ilvl w:val="0"/>
          <w:numId w:val="6"/>
        </w:numPr>
        <w:tabs>
          <w:tab w:val="clear" w:pos="360"/>
        </w:tabs>
        <w:ind w:left="567" w:right="-29" w:hanging="567"/>
        <w:rPr>
          <w:color w:val="000000"/>
          <w:sz w:val="22"/>
          <w:szCs w:val="22"/>
        </w:rPr>
      </w:pPr>
      <w:r w:rsidRPr="002D741C">
        <w:rPr>
          <w:color w:val="000000"/>
          <w:sz w:val="22"/>
          <w:szCs w:val="22"/>
        </w:rPr>
        <w:t>Dolor de cabeza grave, debilidad o parálisis en las extremidades o la cara, dificultad para hablar, pérdida repentina de conciencia (signos de problemas en el sistema nervioso como sangrado o hinchazón en el cráneo/cerebro).</w:t>
      </w:r>
    </w:p>
    <w:p w14:paraId="5FD892FD" w14:textId="77777777" w:rsidR="00C45062" w:rsidRPr="002D741C" w:rsidRDefault="00C45062" w:rsidP="00C45062">
      <w:pPr>
        <w:widowControl w:val="0"/>
        <w:numPr>
          <w:ilvl w:val="0"/>
          <w:numId w:val="6"/>
        </w:numPr>
        <w:tabs>
          <w:tab w:val="clear" w:pos="360"/>
        </w:tabs>
        <w:ind w:left="567" w:right="-29" w:hanging="567"/>
        <w:rPr>
          <w:color w:val="000000"/>
          <w:sz w:val="22"/>
          <w:szCs w:val="22"/>
        </w:rPr>
      </w:pPr>
      <w:r w:rsidRPr="002D741C">
        <w:rPr>
          <w:color w:val="000000"/>
          <w:sz w:val="22"/>
          <w:szCs w:val="22"/>
        </w:rPr>
        <w:t>Palidez de la piel, sensación de cansancio y dificultad para respirar, orina de color oscuro (signos de un nivel bajo de glóbulos rojos en la sangre).</w:t>
      </w:r>
    </w:p>
    <w:p w14:paraId="128BDEB0" w14:textId="77777777" w:rsidR="00C45062" w:rsidRPr="002D741C" w:rsidRDefault="00C45062" w:rsidP="00C45062">
      <w:pPr>
        <w:widowControl w:val="0"/>
        <w:numPr>
          <w:ilvl w:val="0"/>
          <w:numId w:val="6"/>
        </w:numPr>
        <w:tabs>
          <w:tab w:val="clear" w:pos="360"/>
        </w:tabs>
        <w:ind w:left="567" w:right="-29" w:hanging="567"/>
        <w:rPr>
          <w:color w:val="000000"/>
          <w:sz w:val="22"/>
          <w:szCs w:val="22"/>
        </w:rPr>
      </w:pPr>
      <w:r w:rsidRPr="002D741C">
        <w:rPr>
          <w:color w:val="000000"/>
          <w:sz w:val="22"/>
          <w:szCs w:val="22"/>
        </w:rPr>
        <w:t>Dolor en los ojos o trastornos en la visión, sangrado en los ojos.</w:t>
      </w:r>
    </w:p>
    <w:p w14:paraId="1AEAB332" w14:textId="77777777" w:rsidR="00C45062" w:rsidRPr="002D741C" w:rsidRDefault="00C45062" w:rsidP="00C45062">
      <w:pPr>
        <w:widowControl w:val="0"/>
        <w:numPr>
          <w:ilvl w:val="0"/>
          <w:numId w:val="6"/>
        </w:numPr>
        <w:tabs>
          <w:tab w:val="clear" w:pos="360"/>
        </w:tabs>
        <w:ind w:left="567" w:right="-29" w:hanging="567"/>
        <w:rPr>
          <w:color w:val="000000"/>
          <w:sz w:val="22"/>
          <w:szCs w:val="22"/>
        </w:rPr>
      </w:pPr>
      <w:r w:rsidRPr="002D741C">
        <w:rPr>
          <w:color w:val="000000"/>
          <w:sz w:val="22"/>
          <w:szCs w:val="22"/>
        </w:rPr>
        <w:t>Dolor en la cadera o dificultad al caminar.</w:t>
      </w:r>
    </w:p>
    <w:p w14:paraId="38E953EA" w14:textId="77777777" w:rsidR="00C45062" w:rsidRPr="002D741C" w:rsidRDefault="00C45062" w:rsidP="00C45062">
      <w:pPr>
        <w:widowControl w:val="0"/>
        <w:numPr>
          <w:ilvl w:val="0"/>
          <w:numId w:val="6"/>
        </w:numPr>
        <w:tabs>
          <w:tab w:val="clear" w:pos="360"/>
        </w:tabs>
        <w:ind w:left="567" w:right="-29" w:hanging="567"/>
        <w:rPr>
          <w:color w:val="000000"/>
          <w:sz w:val="22"/>
          <w:szCs w:val="22"/>
        </w:rPr>
      </w:pPr>
      <w:r w:rsidRPr="002D741C">
        <w:rPr>
          <w:color w:val="000000"/>
          <w:sz w:val="22"/>
          <w:szCs w:val="22"/>
        </w:rPr>
        <w:t>Adormecimiento o sensación de frío en los pies y dedos (signos del síndrome de Raynaud).</w:t>
      </w:r>
    </w:p>
    <w:p w14:paraId="6A450E2C" w14:textId="77777777" w:rsidR="00C45062" w:rsidRPr="002D741C" w:rsidRDefault="00C45062" w:rsidP="00C45062">
      <w:pPr>
        <w:widowControl w:val="0"/>
        <w:numPr>
          <w:ilvl w:val="0"/>
          <w:numId w:val="6"/>
        </w:numPr>
        <w:tabs>
          <w:tab w:val="clear" w:pos="360"/>
        </w:tabs>
        <w:ind w:left="567" w:right="-29" w:hanging="567"/>
        <w:rPr>
          <w:color w:val="000000"/>
          <w:sz w:val="22"/>
          <w:szCs w:val="22"/>
        </w:rPr>
      </w:pPr>
      <w:r w:rsidRPr="002D741C">
        <w:rPr>
          <w:color w:val="000000"/>
          <w:sz w:val="22"/>
          <w:szCs w:val="22"/>
        </w:rPr>
        <w:t>Hinchazón y enrojecimiento de la piel repentinos (signo de una infección de la piel denominada celulitis).</w:t>
      </w:r>
    </w:p>
    <w:p w14:paraId="763DA9D6" w14:textId="77777777" w:rsidR="00C45062" w:rsidRPr="002D741C" w:rsidRDefault="00C45062" w:rsidP="00C45062">
      <w:pPr>
        <w:widowControl w:val="0"/>
        <w:numPr>
          <w:ilvl w:val="0"/>
          <w:numId w:val="6"/>
        </w:numPr>
        <w:tabs>
          <w:tab w:val="clear" w:pos="360"/>
        </w:tabs>
        <w:ind w:left="567" w:right="-29" w:hanging="567"/>
        <w:rPr>
          <w:color w:val="000000"/>
          <w:sz w:val="22"/>
          <w:szCs w:val="22"/>
        </w:rPr>
      </w:pPr>
      <w:r w:rsidRPr="002D741C">
        <w:rPr>
          <w:color w:val="000000"/>
          <w:sz w:val="22"/>
          <w:szCs w:val="22"/>
        </w:rPr>
        <w:t>Dificultades de audición.</w:t>
      </w:r>
    </w:p>
    <w:p w14:paraId="36A9809C" w14:textId="77777777" w:rsidR="00C45062" w:rsidRPr="002D741C" w:rsidRDefault="00C45062" w:rsidP="00C45062">
      <w:pPr>
        <w:widowControl w:val="0"/>
        <w:numPr>
          <w:ilvl w:val="0"/>
          <w:numId w:val="6"/>
        </w:numPr>
        <w:tabs>
          <w:tab w:val="clear" w:pos="360"/>
        </w:tabs>
        <w:ind w:left="567" w:right="-29" w:hanging="567"/>
        <w:rPr>
          <w:color w:val="000000"/>
          <w:sz w:val="22"/>
          <w:szCs w:val="22"/>
        </w:rPr>
      </w:pPr>
      <w:r w:rsidRPr="002D741C">
        <w:rPr>
          <w:color w:val="000000"/>
          <w:sz w:val="22"/>
          <w:szCs w:val="22"/>
        </w:rPr>
        <w:t>Debilidad muscular y espasmos musculares, con un ritmo cardiaco anormal (signos de cambios en la cantidad de potasio en la sangre).</w:t>
      </w:r>
    </w:p>
    <w:p w14:paraId="1FB7C2E8" w14:textId="77777777" w:rsidR="00C45062" w:rsidRPr="002D741C" w:rsidRDefault="00C45062" w:rsidP="00C45062">
      <w:pPr>
        <w:widowControl w:val="0"/>
        <w:numPr>
          <w:ilvl w:val="0"/>
          <w:numId w:val="6"/>
        </w:numPr>
        <w:tabs>
          <w:tab w:val="clear" w:pos="360"/>
        </w:tabs>
        <w:ind w:left="567" w:right="-29" w:hanging="567"/>
        <w:rPr>
          <w:color w:val="000000"/>
          <w:sz w:val="22"/>
          <w:szCs w:val="22"/>
        </w:rPr>
      </w:pPr>
      <w:r w:rsidRPr="002D741C">
        <w:rPr>
          <w:color w:val="000000"/>
          <w:sz w:val="22"/>
          <w:szCs w:val="22"/>
        </w:rPr>
        <w:t>Moratones.</w:t>
      </w:r>
    </w:p>
    <w:p w14:paraId="67BCF6C6" w14:textId="77777777" w:rsidR="00C45062" w:rsidRPr="002D741C" w:rsidRDefault="00C45062" w:rsidP="00C45062">
      <w:pPr>
        <w:widowControl w:val="0"/>
        <w:numPr>
          <w:ilvl w:val="0"/>
          <w:numId w:val="6"/>
        </w:numPr>
        <w:tabs>
          <w:tab w:val="clear" w:pos="360"/>
        </w:tabs>
        <w:ind w:left="567" w:right="-29" w:hanging="567"/>
        <w:rPr>
          <w:color w:val="000000"/>
          <w:sz w:val="22"/>
          <w:szCs w:val="22"/>
        </w:rPr>
      </w:pPr>
      <w:r w:rsidRPr="002D741C">
        <w:rPr>
          <w:color w:val="000000"/>
          <w:sz w:val="22"/>
          <w:szCs w:val="22"/>
        </w:rPr>
        <w:t>Dolor de estómago con náuseas.</w:t>
      </w:r>
    </w:p>
    <w:p w14:paraId="5754087C" w14:textId="77777777" w:rsidR="00C45062" w:rsidRPr="002D741C" w:rsidRDefault="00C45062" w:rsidP="00C45062">
      <w:pPr>
        <w:widowControl w:val="0"/>
        <w:numPr>
          <w:ilvl w:val="0"/>
          <w:numId w:val="6"/>
        </w:numPr>
        <w:tabs>
          <w:tab w:val="clear" w:pos="360"/>
        </w:tabs>
        <w:ind w:left="567" w:right="-29" w:hanging="567"/>
        <w:rPr>
          <w:color w:val="000000"/>
          <w:sz w:val="22"/>
          <w:szCs w:val="22"/>
        </w:rPr>
      </w:pPr>
      <w:r w:rsidRPr="002D741C">
        <w:rPr>
          <w:color w:val="000000"/>
          <w:sz w:val="22"/>
          <w:szCs w:val="22"/>
        </w:rPr>
        <w:t>Espasmos musculares con fiebre, orina de color rojo-marronoso, dolor o debilidad en los músculos (signos de problemas musculares).</w:t>
      </w:r>
    </w:p>
    <w:p w14:paraId="4DD64EDE" w14:textId="77777777" w:rsidR="00C45062" w:rsidRPr="002D741C" w:rsidRDefault="00C45062" w:rsidP="00C45062">
      <w:pPr>
        <w:widowControl w:val="0"/>
        <w:numPr>
          <w:ilvl w:val="0"/>
          <w:numId w:val="6"/>
        </w:numPr>
        <w:tabs>
          <w:tab w:val="clear" w:pos="360"/>
        </w:tabs>
        <w:ind w:left="567" w:right="-29" w:hanging="567"/>
        <w:rPr>
          <w:color w:val="000000"/>
          <w:sz w:val="22"/>
          <w:szCs w:val="22"/>
        </w:rPr>
      </w:pPr>
      <w:r w:rsidRPr="002D741C">
        <w:rPr>
          <w:color w:val="000000"/>
          <w:sz w:val="22"/>
          <w:szCs w:val="22"/>
        </w:rPr>
        <w:t>Dolor en la pelvis, algunas veces con náuseas y vómitos, con sangrado vaginal inesperado, sensación de mareo o desvanecimiento debido a la presión sanguínea baja (signos de problemas en los ovarios o el útero).</w:t>
      </w:r>
    </w:p>
    <w:p w14:paraId="319C81FA" w14:textId="77777777" w:rsidR="00C45062" w:rsidRPr="002D741C" w:rsidRDefault="00C45062" w:rsidP="00C45062">
      <w:pPr>
        <w:widowControl w:val="0"/>
        <w:numPr>
          <w:ilvl w:val="0"/>
          <w:numId w:val="6"/>
        </w:numPr>
        <w:tabs>
          <w:tab w:val="clear" w:pos="360"/>
        </w:tabs>
        <w:ind w:left="567" w:right="-29" w:hanging="567"/>
        <w:rPr>
          <w:color w:val="000000"/>
          <w:sz w:val="22"/>
          <w:szCs w:val="22"/>
        </w:rPr>
      </w:pPr>
      <w:r w:rsidRPr="002D741C">
        <w:rPr>
          <w:color w:val="000000"/>
          <w:sz w:val="22"/>
          <w:szCs w:val="22"/>
        </w:rPr>
        <w:t xml:space="preserve">Náuseas, dificultad para respirar, latido cardíaco irregular, orina turbia, cansancio y/o molestias en las articulaciones asociados con resultados anormales en las pruebas de laboratorio (p.ej. niveles elevados de potasio, ácido úrico y </w:t>
      </w:r>
      <w:r w:rsidR="00CF2D15" w:rsidRPr="002D741C">
        <w:rPr>
          <w:color w:val="000000"/>
          <w:sz w:val="22"/>
          <w:szCs w:val="22"/>
        </w:rPr>
        <w:t xml:space="preserve">calcio </w:t>
      </w:r>
      <w:r w:rsidRPr="002D741C">
        <w:rPr>
          <w:color w:val="000000"/>
          <w:sz w:val="22"/>
          <w:szCs w:val="22"/>
        </w:rPr>
        <w:t xml:space="preserve">y bajos niveles de </w:t>
      </w:r>
      <w:r w:rsidR="00CF2D15" w:rsidRPr="002D741C">
        <w:rPr>
          <w:color w:val="000000"/>
          <w:sz w:val="22"/>
          <w:szCs w:val="22"/>
        </w:rPr>
        <w:t xml:space="preserve">fósforo </w:t>
      </w:r>
      <w:r w:rsidRPr="002D741C">
        <w:rPr>
          <w:color w:val="000000"/>
          <w:sz w:val="22"/>
          <w:szCs w:val="22"/>
        </w:rPr>
        <w:t>en la sangre).</w:t>
      </w:r>
    </w:p>
    <w:p w14:paraId="5C3319CD" w14:textId="77777777" w:rsidR="00467CBA" w:rsidRPr="002D741C" w:rsidRDefault="00467CBA" w:rsidP="00467CBA">
      <w:pPr>
        <w:widowControl w:val="0"/>
        <w:numPr>
          <w:ilvl w:val="0"/>
          <w:numId w:val="6"/>
        </w:numPr>
        <w:tabs>
          <w:tab w:val="clear" w:pos="360"/>
        </w:tabs>
        <w:ind w:left="567" w:right="-29" w:hanging="567"/>
        <w:rPr>
          <w:color w:val="000000"/>
          <w:sz w:val="22"/>
          <w:szCs w:val="22"/>
          <w:lang w:val="es-ES"/>
        </w:rPr>
      </w:pPr>
      <w:r w:rsidRPr="002D741C">
        <w:rPr>
          <w:color w:val="000000"/>
          <w:sz w:val="22"/>
          <w:szCs w:val="22"/>
          <w:lang w:val="es-ES"/>
        </w:rPr>
        <w:lastRenderedPageBreak/>
        <w:t>Coágulos de sangre en vasos sanguíneos pequeños (microangiopatía trombótica).</w:t>
      </w:r>
    </w:p>
    <w:p w14:paraId="2F71C057" w14:textId="77777777" w:rsidR="00467CBA" w:rsidRPr="002D741C" w:rsidRDefault="00467CBA" w:rsidP="00467CBA">
      <w:pPr>
        <w:widowControl w:val="0"/>
        <w:ind w:left="567" w:right="-29"/>
        <w:rPr>
          <w:color w:val="000000"/>
          <w:sz w:val="22"/>
          <w:szCs w:val="22"/>
        </w:rPr>
      </w:pPr>
    </w:p>
    <w:p w14:paraId="39EC8E8A" w14:textId="77777777" w:rsidR="004E57AF" w:rsidRPr="002D741C" w:rsidRDefault="004E57AF" w:rsidP="00C45062">
      <w:pPr>
        <w:widowControl w:val="0"/>
        <w:ind w:right="-29"/>
        <w:rPr>
          <w:color w:val="000000"/>
          <w:sz w:val="22"/>
          <w:szCs w:val="22"/>
        </w:rPr>
      </w:pPr>
    </w:p>
    <w:p w14:paraId="4325222B" w14:textId="77777777" w:rsidR="004E57AF" w:rsidRPr="002D741C" w:rsidRDefault="004E57AF" w:rsidP="001001B7">
      <w:pPr>
        <w:keepNext/>
        <w:widowControl w:val="0"/>
        <w:ind w:right="-28"/>
        <w:rPr>
          <w:color w:val="000000"/>
          <w:sz w:val="22"/>
          <w:szCs w:val="22"/>
        </w:rPr>
      </w:pPr>
      <w:r w:rsidRPr="002D741C">
        <w:rPr>
          <w:b/>
          <w:color w:val="000000"/>
          <w:sz w:val="22"/>
          <w:szCs w:val="22"/>
        </w:rPr>
        <w:t>Frecuencia no conocida</w:t>
      </w:r>
      <w:r w:rsidR="00CF2D15" w:rsidRPr="002D741C">
        <w:rPr>
          <w:b/>
          <w:color w:val="000000"/>
          <w:sz w:val="22"/>
          <w:szCs w:val="22"/>
        </w:rPr>
        <w:t xml:space="preserve"> </w:t>
      </w:r>
      <w:r w:rsidR="00CF2D15" w:rsidRPr="002D741C">
        <w:rPr>
          <w:color w:val="000000"/>
          <w:sz w:val="22"/>
          <w:szCs w:val="22"/>
        </w:rPr>
        <w:t>(no se puede estimar la frecuencia a partir de los datos disponibles)</w:t>
      </w:r>
      <w:r w:rsidRPr="002D741C">
        <w:rPr>
          <w:color w:val="000000"/>
          <w:sz w:val="22"/>
          <w:szCs w:val="22"/>
        </w:rPr>
        <w:t>:</w:t>
      </w:r>
    </w:p>
    <w:p w14:paraId="029CA3E4" w14:textId="77777777" w:rsidR="004E57AF" w:rsidRPr="002D741C" w:rsidRDefault="004E57AF" w:rsidP="004E57AF">
      <w:pPr>
        <w:widowControl w:val="0"/>
        <w:numPr>
          <w:ilvl w:val="0"/>
          <w:numId w:val="28"/>
        </w:numPr>
        <w:ind w:left="567" w:right="-29" w:hanging="567"/>
        <w:rPr>
          <w:color w:val="000000"/>
          <w:sz w:val="22"/>
          <w:szCs w:val="22"/>
        </w:rPr>
      </w:pPr>
      <w:r w:rsidRPr="002D741C">
        <w:rPr>
          <w:color w:val="000000"/>
          <w:sz w:val="22"/>
          <w:szCs w:val="22"/>
        </w:rPr>
        <w:t>Combinación de un</w:t>
      </w:r>
      <w:r w:rsidRPr="002D741C">
        <w:rPr>
          <w:sz w:val="22"/>
          <w:szCs w:val="22"/>
          <w:lang w:val="es-ES"/>
        </w:rPr>
        <w:t xml:space="preserve">a erupción </w:t>
      </w:r>
      <w:r w:rsidR="00254AE9" w:rsidRPr="002D741C">
        <w:rPr>
          <w:sz w:val="22"/>
          <w:szCs w:val="22"/>
          <w:lang w:val="es-ES"/>
        </w:rPr>
        <w:t xml:space="preserve">extensa </w:t>
      </w:r>
      <w:r w:rsidRPr="002D741C">
        <w:rPr>
          <w:sz w:val="22"/>
          <w:szCs w:val="22"/>
          <w:lang w:val="es-ES"/>
        </w:rPr>
        <w:t>generalizada, sensación de malestar, fiebre,</w:t>
      </w:r>
      <w:r w:rsidR="00254AE9" w:rsidRPr="002D741C">
        <w:rPr>
          <w:sz w:val="22"/>
          <w:szCs w:val="22"/>
          <w:lang w:val="es-ES"/>
        </w:rPr>
        <w:t xml:space="preserve"> </w:t>
      </w:r>
      <w:r w:rsidRPr="002D741C">
        <w:rPr>
          <w:sz w:val="22"/>
          <w:szCs w:val="22"/>
          <w:lang w:val="es-ES"/>
        </w:rPr>
        <w:t>nivel</w:t>
      </w:r>
      <w:r w:rsidR="00254AE9" w:rsidRPr="002D741C">
        <w:rPr>
          <w:sz w:val="22"/>
          <w:szCs w:val="22"/>
          <w:lang w:val="es-ES"/>
        </w:rPr>
        <w:t>es elevados</w:t>
      </w:r>
      <w:r w:rsidRPr="002D741C">
        <w:rPr>
          <w:sz w:val="22"/>
          <w:szCs w:val="22"/>
          <w:lang w:val="es-ES"/>
        </w:rPr>
        <w:t xml:space="preserve"> de ciertas células sanguíneas o piel u ojos de color amarillo (signos de ictericia) con dificultad para respirar, dolor/molestias de pecho, producción de orina disminuida </w:t>
      </w:r>
      <w:r w:rsidR="00254AE9" w:rsidRPr="002D741C">
        <w:rPr>
          <w:sz w:val="22"/>
          <w:szCs w:val="22"/>
          <w:lang w:val="es-ES"/>
        </w:rPr>
        <w:t xml:space="preserve">de forma intensa </w:t>
      </w:r>
      <w:r w:rsidRPr="002D741C">
        <w:rPr>
          <w:sz w:val="22"/>
          <w:szCs w:val="22"/>
          <w:lang w:val="es-ES"/>
        </w:rPr>
        <w:t>y sensación de sed, etc. (signos de una reacción alérgica relacionada con el tratamiento).</w:t>
      </w:r>
    </w:p>
    <w:p w14:paraId="4E481441" w14:textId="77777777" w:rsidR="009664E2" w:rsidRPr="002D741C" w:rsidRDefault="00822643" w:rsidP="009664E2">
      <w:pPr>
        <w:widowControl w:val="0"/>
        <w:numPr>
          <w:ilvl w:val="0"/>
          <w:numId w:val="28"/>
        </w:numPr>
        <w:ind w:left="567" w:right="-29" w:hanging="567"/>
        <w:rPr>
          <w:color w:val="000000"/>
          <w:sz w:val="22"/>
          <w:szCs w:val="22"/>
        </w:rPr>
      </w:pPr>
      <w:r w:rsidRPr="002D741C">
        <w:rPr>
          <w:sz w:val="22"/>
          <w:szCs w:val="22"/>
          <w:lang w:val="es-ES"/>
        </w:rPr>
        <w:t>Insuficiencia renal crónica</w:t>
      </w:r>
      <w:r w:rsidR="00355304" w:rsidRPr="002D741C">
        <w:rPr>
          <w:sz w:val="22"/>
          <w:szCs w:val="22"/>
          <w:lang w:val="es-ES"/>
        </w:rPr>
        <w:t>.</w:t>
      </w:r>
    </w:p>
    <w:p w14:paraId="3E3DE4D2" w14:textId="77777777" w:rsidR="00D6736C" w:rsidRPr="002D741C" w:rsidRDefault="009664E2" w:rsidP="009664E2">
      <w:pPr>
        <w:widowControl w:val="0"/>
        <w:numPr>
          <w:ilvl w:val="0"/>
          <w:numId w:val="28"/>
        </w:numPr>
        <w:ind w:left="567" w:right="-29" w:hanging="567"/>
        <w:rPr>
          <w:color w:val="000000"/>
          <w:sz w:val="22"/>
          <w:szCs w:val="22"/>
        </w:rPr>
      </w:pPr>
      <w:r w:rsidRPr="002D741C">
        <w:rPr>
          <w:color w:val="000000"/>
          <w:sz w:val="22"/>
          <w:szCs w:val="22"/>
        </w:rPr>
        <w:t>Recurrencia (reactivación) de la infección por el virus de la hepatitis B si ha tenido hepatitis B en el pasado (una infección del hígado).</w:t>
      </w:r>
    </w:p>
    <w:p w14:paraId="678029A6" w14:textId="77777777" w:rsidR="004E57AF" w:rsidRPr="002D741C" w:rsidRDefault="004E57AF" w:rsidP="00C45062">
      <w:pPr>
        <w:widowControl w:val="0"/>
        <w:ind w:right="-29"/>
        <w:rPr>
          <w:color w:val="000000"/>
          <w:sz w:val="22"/>
          <w:szCs w:val="22"/>
        </w:rPr>
      </w:pPr>
    </w:p>
    <w:p w14:paraId="3ACAAB95" w14:textId="77777777" w:rsidR="00C45062" w:rsidRPr="002D741C" w:rsidRDefault="00C45062" w:rsidP="00C45062">
      <w:pPr>
        <w:widowControl w:val="0"/>
        <w:ind w:right="-29"/>
        <w:rPr>
          <w:b/>
          <w:color w:val="000000"/>
          <w:sz w:val="22"/>
          <w:szCs w:val="22"/>
        </w:rPr>
      </w:pPr>
      <w:r w:rsidRPr="002D741C">
        <w:rPr>
          <w:color w:val="000000"/>
          <w:sz w:val="22"/>
          <w:szCs w:val="22"/>
        </w:rPr>
        <w:t xml:space="preserve">Si sufre alguna de las alteraciones anteriores, </w:t>
      </w:r>
      <w:r w:rsidRPr="002D741C">
        <w:rPr>
          <w:b/>
          <w:color w:val="000000"/>
          <w:sz w:val="22"/>
          <w:szCs w:val="22"/>
        </w:rPr>
        <w:t>informe a su médico inmediatamente.</w:t>
      </w:r>
    </w:p>
    <w:p w14:paraId="0C254AA6" w14:textId="77777777" w:rsidR="00C45062" w:rsidRPr="002D741C" w:rsidRDefault="00C45062" w:rsidP="00C45062">
      <w:pPr>
        <w:widowControl w:val="0"/>
        <w:ind w:right="-29"/>
        <w:rPr>
          <w:color w:val="000000"/>
          <w:sz w:val="22"/>
          <w:szCs w:val="22"/>
        </w:rPr>
      </w:pPr>
    </w:p>
    <w:p w14:paraId="0DAD7BC7" w14:textId="77777777" w:rsidR="00C45062" w:rsidRPr="002D741C" w:rsidRDefault="00C45062" w:rsidP="001001B7">
      <w:pPr>
        <w:keepNext/>
        <w:widowControl w:val="0"/>
        <w:numPr>
          <w:ilvl w:val="12"/>
          <w:numId w:val="0"/>
        </w:numPr>
        <w:ind w:right="-28"/>
        <w:rPr>
          <w:b/>
          <w:color w:val="000000"/>
          <w:sz w:val="22"/>
          <w:szCs w:val="22"/>
        </w:rPr>
      </w:pPr>
      <w:r w:rsidRPr="002D741C">
        <w:rPr>
          <w:b/>
          <w:color w:val="000000"/>
          <w:sz w:val="22"/>
          <w:szCs w:val="22"/>
        </w:rPr>
        <w:t>Otros efectos adversos pueden incluir:</w:t>
      </w:r>
    </w:p>
    <w:p w14:paraId="537240FB" w14:textId="77777777" w:rsidR="00C45062" w:rsidRPr="002D741C" w:rsidRDefault="00C45062" w:rsidP="001001B7">
      <w:pPr>
        <w:keepNext/>
        <w:widowControl w:val="0"/>
        <w:numPr>
          <w:ilvl w:val="12"/>
          <w:numId w:val="0"/>
        </w:numPr>
        <w:ind w:right="-28"/>
        <w:rPr>
          <w:color w:val="000000"/>
          <w:sz w:val="22"/>
          <w:szCs w:val="22"/>
        </w:rPr>
      </w:pPr>
    </w:p>
    <w:p w14:paraId="6133C628" w14:textId="77777777" w:rsidR="00C45062" w:rsidRPr="002D741C" w:rsidRDefault="00C45062" w:rsidP="001001B7">
      <w:pPr>
        <w:keepNext/>
        <w:widowControl w:val="0"/>
        <w:numPr>
          <w:ilvl w:val="12"/>
          <w:numId w:val="0"/>
        </w:numPr>
        <w:ind w:right="-28"/>
        <w:rPr>
          <w:color w:val="000000"/>
          <w:sz w:val="22"/>
          <w:szCs w:val="22"/>
        </w:rPr>
      </w:pPr>
      <w:r w:rsidRPr="002D741C">
        <w:rPr>
          <w:b/>
          <w:color w:val="000000"/>
          <w:sz w:val="22"/>
          <w:szCs w:val="22"/>
        </w:rPr>
        <w:t>Muy frecuentes</w:t>
      </w:r>
      <w:r w:rsidRPr="002D741C">
        <w:rPr>
          <w:color w:val="000000"/>
          <w:sz w:val="22"/>
          <w:szCs w:val="22"/>
        </w:rPr>
        <w:t xml:space="preserve"> (pueden afectar más de 1 de cada 10 personas):</w:t>
      </w:r>
    </w:p>
    <w:p w14:paraId="1A45D8BB" w14:textId="77777777" w:rsidR="00C45062" w:rsidRPr="002D741C" w:rsidRDefault="00C45062" w:rsidP="00C45062">
      <w:pPr>
        <w:widowControl w:val="0"/>
        <w:numPr>
          <w:ilvl w:val="0"/>
          <w:numId w:val="22"/>
        </w:numPr>
        <w:tabs>
          <w:tab w:val="clear" w:pos="360"/>
        </w:tabs>
        <w:ind w:left="567" w:right="-29" w:hanging="567"/>
        <w:rPr>
          <w:color w:val="000000"/>
          <w:sz w:val="22"/>
          <w:szCs w:val="22"/>
        </w:rPr>
      </w:pPr>
      <w:r w:rsidRPr="002D741C">
        <w:rPr>
          <w:color w:val="000000"/>
          <w:sz w:val="22"/>
          <w:szCs w:val="22"/>
        </w:rPr>
        <w:t>Dolor de cabeza o sensación de cansancio</w:t>
      </w:r>
    </w:p>
    <w:p w14:paraId="04983C81" w14:textId="77777777" w:rsidR="00C45062" w:rsidRPr="002D741C" w:rsidRDefault="00C45062" w:rsidP="00C45062">
      <w:pPr>
        <w:widowControl w:val="0"/>
        <w:numPr>
          <w:ilvl w:val="0"/>
          <w:numId w:val="22"/>
        </w:numPr>
        <w:tabs>
          <w:tab w:val="clear" w:pos="360"/>
        </w:tabs>
        <w:ind w:left="567" w:right="-29" w:hanging="567"/>
        <w:rPr>
          <w:color w:val="000000"/>
          <w:sz w:val="22"/>
          <w:szCs w:val="22"/>
        </w:rPr>
      </w:pPr>
      <w:r w:rsidRPr="002D741C">
        <w:rPr>
          <w:color w:val="000000"/>
          <w:sz w:val="22"/>
          <w:szCs w:val="22"/>
        </w:rPr>
        <w:t>Náuseas, vómitos, diarrea o indigestión.</w:t>
      </w:r>
    </w:p>
    <w:p w14:paraId="5F55C7AD" w14:textId="77777777" w:rsidR="00C45062" w:rsidRPr="002D741C" w:rsidRDefault="00C45062" w:rsidP="00C45062">
      <w:pPr>
        <w:widowControl w:val="0"/>
        <w:numPr>
          <w:ilvl w:val="0"/>
          <w:numId w:val="22"/>
        </w:numPr>
        <w:tabs>
          <w:tab w:val="clear" w:pos="360"/>
        </w:tabs>
        <w:ind w:left="567" w:right="-29" w:hanging="567"/>
        <w:rPr>
          <w:color w:val="000000"/>
          <w:sz w:val="22"/>
          <w:szCs w:val="22"/>
        </w:rPr>
      </w:pPr>
      <w:r w:rsidRPr="002D741C">
        <w:rPr>
          <w:color w:val="000000"/>
          <w:sz w:val="22"/>
          <w:szCs w:val="22"/>
        </w:rPr>
        <w:t>Erupción.</w:t>
      </w:r>
    </w:p>
    <w:p w14:paraId="78DA1521" w14:textId="77777777" w:rsidR="00C45062" w:rsidRPr="002D741C" w:rsidRDefault="00C45062" w:rsidP="00A56B0C">
      <w:pPr>
        <w:widowControl w:val="0"/>
        <w:numPr>
          <w:ilvl w:val="0"/>
          <w:numId w:val="22"/>
        </w:numPr>
        <w:tabs>
          <w:tab w:val="clear" w:pos="360"/>
          <w:tab w:val="num" w:pos="-6379"/>
        </w:tabs>
        <w:ind w:left="567" w:right="-29" w:hanging="567"/>
        <w:rPr>
          <w:color w:val="000000"/>
          <w:sz w:val="22"/>
          <w:szCs w:val="22"/>
        </w:rPr>
      </w:pPr>
      <w:r w:rsidRPr="002D741C">
        <w:rPr>
          <w:color w:val="000000"/>
          <w:sz w:val="22"/>
          <w:szCs w:val="22"/>
        </w:rPr>
        <w:t>Calambres musculares o dolor en las articulaciones, músculos o huesos</w:t>
      </w:r>
      <w:r w:rsidR="00542B0E" w:rsidRPr="002D741C">
        <w:rPr>
          <w:color w:val="000000"/>
          <w:sz w:val="22"/>
          <w:szCs w:val="22"/>
        </w:rPr>
        <w:t xml:space="preserve">, </w:t>
      </w:r>
      <w:r w:rsidR="00186C4D" w:rsidRPr="002D741C">
        <w:rPr>
          <w:color w:val="000000"/>
          <w:sz w:val="22"/>
          <w:szCs w:val="22"/>
        </w:rPr>
        <w:t>durante el tratamiento con Glivec o al interrumpir el tratamiento</w:t>
      </w:r>
      <w:r w:rsidRPr="002D741C">
        <w:rPr>
          <w:color w:val="000000"/>
          <w:sz w:val="22"/>
          <w:szCs w:val="22"/>
        </w:rPr>
        <w:t>.</w:t>
      </w:r>
    </w:p>
    <w:p w14:paraId="616998A9" w14:textId="77777777" w:rsidR="00C45062" w:rsidRPr="002D741C" w:rsidRDefault="00C45062" w:rsidP="00C45062">
      <w:pPr>
        <w:widowControl w:val="0"/>
        <w:numPr>
          <w:ilvl w:val="0"/>
          <w:numId w:val="22"/>
        </w:numPr>
        <w:tabs>
          <w:tab w:val="clear" w:pos="360"/>
        </w:tabs>
        <w:ind w:left="567" w:right="-29" w:hanging="567"/>
        <w:rPr>
          <w:color w:val="000000"/>
          <w:sz w:val="22"/>
          <w:szCs w:val="22"/>
        </w:rPr>
      </w:pPr>
      <w:r w:rsidRPr="002D741C">
        <w:rPr>
          <w:color w:val="000000"/>
          <w:sz w:val="22"/>
          <w:szCs w:val="22"/>
        </w:rPr>
        <w:t>Inflamaciones tales como tobillos u ojos hinchados.</w:t>
      </w:r>
    </w:p>
    <w:p w14:paraId="2B126709" w14:textId="77777777" w:rsidR="00C45062" w:rsidRPr="002D741C" w:rsidRDefault="00C45062" w:rsidP="001001B7">
      <w:pPr>
        <w:keepNext/>
        <w:widowControl w:val="0"/>
        <w:numPr>
          <w:ilvl w:val="0"/>
          <w:numId w:val="22"/>
        </w:numPr>
        <w:tabs>
          <w:tab w:val="clear" w:pos="360"/>
        </w:tabs>
        <w:ind w:left="567" w:right="-28" w:hanging="567"/>
        <w:rPr>
          <w:color w:val="000000"/>
          <w:sz w:val="22"/>
          <w:szCs w:val="22"/>
        </w:rPr>
      </w:pPr>
      <w:r w:rsidRPr="002D741C">
        <w:rPr>
          <w:color w:val="000000"/>
          <w:sz w:val="22"/>
          <w:szCs w:val="22"/>
        </w:rPr>
        <w:t>Aumento de peso.</w:t>
      </w:r>
    </w:p>
    <w:p w14:paraId="7C077D5D" w14:textId="77777777" w:rsidR="00C45062" w:rsidRPr="002D741C" w:rsidRDefault="00C45062" w:rsidP="00C45062">
      <w:pPr>
        <w:widowControl w:val="0"/>
        <w:numPr>
          <w:ilvl w:val="12"/>
          <w:numId w:val="0"/>
        </w:numPr>
        <w:ind w:right="-29"/>
        <w:rPr>
          <w:color w:val="000000"/>
          <w:sz w:val="22"/>
          <w:szCs w:val="22"/>
        </w:rPr>
      </w:pPr>
      <w:r w:rsidRPr="002D741C">
        <w:rPr>
          <w:color w:val="000000"/>
          <w:sz w:val="22"/>
          <w:szCs w:val="22"/>
        </w:rPr>
        <w:t xml:space="preserve">Si alguno de estos le afecta de forma importante, </w:t>
      </w:r>
      <w:r w:rsidRPr="002D741C">
        <w:rPr>
          <w:b/>
          <w:color w:val="000000"/>
          <w:sz w:val="22"/>
          <w:szCs w:val="22"/>
        </w:rPr>
        <w:t>informe a su médico</w:t>
      </w:r>
      <w:r w:rsidRPr="002D741C">
        <w:rPr>
          <w:color w:val="000000"/>
          <w:sz w:val="22"/>
          <w:szCs w:val="22"/>
        </w:rPr>
        <w:t>.</w:t>
      </w:r>
    </w:p>
    <w:p w14:paraId="4661425C" w14:textId="77777777" w:rsidR="00C45062" w:rsidRPr="002D741C" w:rsidRDefault="00C45062" w:rsidP="00C45062">
      <w:pPr>
        <w:widowControl w:val="0"/>
        <w:numPr>
          <w:ilvl w:val="12"/>
          <w:numId w:val="0"/>
        </w:numPr>
        <w:ind w:right="-29"/>
        <w:rPr>
          <w:color w:val="000000"/>
          <w:sz w:val="22"/>
          <w:szCs w:val="22"/>
        </w:rPr>
      </w:pPr>
    </w:p>
    <w:p w14:paraId="1C3B9AB7" w14:textId="77777777" w:rsidR="00C45062" w:rsidRPr="002D741C" w:rsidRDefault="00C45062" w:rsidP="001001B7">
      <w:pPr>
        <w:keepNext/>
        <w:widowControl w:val="0"/>
        <w:numPr>
          <w:ilvl w:val="12"/>
          <w:numId w:val="0"/>
        </w:numPr>
        <w:ind w:right="-28"/>
        <w:rPr>
          <w:b/>
          <w:color w:val="000000"/>
          <w:sz w:val="22"/>
          <w:szCs w:val="22"/>
        </w:rPr>
      </w:pPr>
      <w:r w:rsidRPr="002D741C">
        <w:rPr>
          <w:b/>
          <w:color w:val="000000"/>
          <w:sz w:val="22"/>
          <w:szCs w:val="22"/>
        </w:rPr>
        <w:t>Frecuentes</w:t>
      </w:r>
      <w:r w:rsidRPr="002D741C">
        <w:rPr>
          <w:color w:val="000000"/>
          <w:sz w:val="22"/>
          <w:szCs w:val="22"/>
        </w:rPr>
        <w:t xml:space="preserve"> (pueden afectar hasta 1 de cada 10 personas)</w:t>
      </w:r>
      <w:r w:rsidRPr="002D741C">
        <w:rPr>
          <w:b/>
          <w:color w:val="000000"/>
          <w:sz w:val="22"/>
          <w:szCs w:val="22"/>
        </w:rPr>
        <w:t>:</w:t>
      </w:r>
    </w:p>
    <w:p w14:paraId="35AB2969" w14:textId="77777777" w:rsidR="00C45062" w:rsidRPr="002D741C" w:rsidRDefault="00C45062" w:rsidP="00C45062">
      <w:pPr>
        <w:widowControl w:val="0"/>
        <w:numPr>
          <w:ilvl w:val="0"/>
          <w:numId w:val="23"/>
        </w:numPr>
        <w:tabs>
          <w:tab w:val="clear" w:pos="720"/>
        </w:tabs>
        <w:ind w:left="567" w:right="-29" w:hanging="567"/>
        <w:rPr>
          <w:color w:val="000000"/>
          <w:sz w:val="22"/>
          <w:szCs w:val="22"/>
        </w:rPr>
      </w:pPr>
      <w:r w:rsidRPr="002D741C">
        <w:rPr>
          <w:color w:val="000000"/>
          <w:sz w:val="22"/>
          <w:szCs w:val="22"/>
        </w:rPr>
        <w:t>Anorexia, disminución de peso o alteración del sentido del gusto.</w:t>
      </w:r>
    </w:p>
    <w:p w14:paraId="02606D33" w14:textId="77777777" w:rsidR="00C45062" w:rsidRPr="002D741C" w:rsidRDefault="00C45062" w:rsidP="00C45062">
      <w:pPr>
        <w:widowControl w:val="0"/>
        <w:numPr>
          <w:ilvl w:val="0"/>
          <w:numId w:val="23"/>
        </w:numPr>
        <w:tabs>
          <w:tab w:val="clear" w:pos="720"/>
        </w:tabs>
        <w:ind w:left="567" w:right="-29" w:hanging="567"/>
        <w:rPr>
          <w:color w:val="000000"/>
          <w:sz w:val="22"/>
          <w:szCs w:val="22"/>
        </w:rPr>
      </w:pPr>
      <w:r w:rsidRPr="002D741C">
        <w:rPr>
          <w:color w:val="000000"/>
          <w:sz w:val="22"/>
          <w:szCs w:val="22"/>
        </w:rPr>
        <w:t>Sensación de cansancio o debilidad.</w:t>
      </w:r>
    </w:p>
    <w:p w14:paraId="4849FF04" w14:textId="77777777" w:rsidR="00C45062" w:rsidRPr="002D741C" w:rsidRDefault="00C45062" w:rsidP="00C45062">
      <w:pPr>
        <w:widowControl w:val="0"/>
        <w:numPr>
          <w:ilvl w:val="0"/>
          <w:numId w:val="23"/>
        </w:numPr>
        <w:tabs>
          <w:tab w:val="clear" w:pos="720"/>
        </w:tabs>
        <w:ind w:left="567" w:right="-29" w:hanging="567"/>
        <w:rPr>
          <w:color w:val="000000"/>
          <w:sz w:val="22"/>
          <w:szCs w:val="22"/>
        </w:rPr>
      </w:pPr>
      <w:r w:rsidRPr="002D741C">
        <w:rPr>
          <w:color w:val="000000"/>
          <w:sz w:val="22"/>
          <w:szCs w:val="22"/>
        </w:rPr>
        <w:t>Dificultad para dormir (insomnio).</w:t>
      </w:r>
    </w:p>
    <w:p w14:paraId="59C90CDA" w14:textId="77777777" w:rsidR="00C45062" w:rsidRPr="002D741C" w:rsidRDefault="00C45062" w:rsidP="00C45062">
      <w:pPr>
        <w:widowControl w:val="0"/>
        <w:numPr>
          <w:ilvl w:val="0"/>
          <w:numId w:val="23"/>
        </w:numPr>
        <w:tabs>
          <w:tab w:val="clear" w:pos="720"/>
        </w:tabs>
        <w:ind w:left="567" w:right="-29" w:hanging="567"/>
        <w:rPr>
          <w:color w:val="000000"/>
          <w:sz w:val="22"/>
          <w:szCs w:val="22"/>
        </w:rPr>
      </w:pPr>
      <w:r w:rsidRPr="002D741C">
        <w:rPr>
          <w:color w:val="000000"/>
          <w:sz w:val="22"/>
          <w:szCs w:val="22"/>
        </w:rPr>
        <w:t>Lagrimeo de los ojos con picor, enrojecimiento e hinchazón (conjuntivitis), ojos llorosos o visión borrosa.</w:t>
      </w:r>
    </w:p>
    <w:p w14:paraId="10FEF438" w14:textId="77777777" w:rsidR="00C45062" w:rsidRPr="002D741C" w:rsidRDefault="00C45062" w:rsidP="00C45062">
      <w:pPr>
        <w:widowControl w:val="0"/>
        <w:numPr>
          <w:ilvl w:val="0"/>
          <w:numId w:val="23"/>
        </w:numPr>
        <w:tabs>
          <w:tab w:val="clear" w:pos="720"/>
        </w:tabs>
        <w:ind w:left="567" w:right="-29" w:hanging="567"/>
        <w:rPr>
          <w:color w:val="000000"/>
          <w:sz w:val="22"/>
          <w:szCs w:val="22"/>
        </w:rPr>
      </w:pPr>
      <w:r w:rsidRPr="002D741C">
        <w:rPr>
          <w:color w:val="000000"/>
          <w:sz w:val="22"/>
          <w:szCs w:val="22"/>
        </w:rPr>
        <w:t>Sangrado de la nariz.</w:t>
      </w:r>
    </w:p>
    <w:p w14:paraId="1FEBC6D6" w14:textId="77777777" w:rsidR="00C45062" w:rsidRPr="002D741C" w:rsidRDefault="00C45062" w:rsidP="00C45062">
      <w:pPr>
        <w:widowControl w:val="0"/>
        <w:numPr>
          <w:ilvl w:val="0"/>
          <w:numId w:val="23"/>
        </w:numPr>
        <w:tabs>
          <w:tab w:val="clear" w:pos="720"/>
        </w:tabs>
        <w:ind w:left="567" w:right="-29" w:hanging="567"/>
        <w:rPr>
          <w:color w:val="000000"/>
          <w:sz w:val="22"/>
          <w:szCs w:val="22"/>
        </w:rPr>
      </w:pPr>
      <w:r w:rsidRPr="002D741C">
        <w:rPr>
          <w:color w:val="000000"/>
          <w:sz w:val="22"/>
          <w:szCs w:val="22"/>
        </w:rPr>
        <w:t>Dolor o hinchazón en el abdomen, flatulencia, ardor de estómago o estreñimiento.</w:t>
      </w:r>
    </w:p>
    <w:p w14:paraId="3337C5F3" w14:textId="77777777" w:rsidR="00C45062" w:rsidRPr="002D741C" w:rsidRDefault="00C45062" w:rsidP="00C45062">
      <w:pPr>
        <w:widowControl w:val="0"/>
        <w:numPr>
          <w:ilvl w:val="0"/>
          <w:numId w:val="23"/>
        </w:numPr>
        <w:tabs>
          <w:tab w:val="clear" w:pos="720"/>
        </w:tabs>
        <w:ind w:left="567" w:right="-29" w:hanging="567"/>
        <w:rPr>
          <w:color w:val="000000"/>
          <w:sz w:val="22"/>
          <w:szCs w:val="22"/>
        </w:rPr>
      </w:pPr>
      <w:r w:rsidRPr="002D741C">
        <w:rPr>
          <w:color w:val="000000"/>
          <w:sz w:val="22"/>
          <w:szCs w:val="22"/>
        </w:rPr>
        <w:t>Picor.</w:t>
      </w:r>
    </w:p>
    <w:p w14:paraId="7DB1DCAE" w14:textId="77777777" w:rsidR="00C45062" w:rsidRPr="002D741C" w:rsidRDefault="00C45062" w:rsidP="00C45062">
      <w:pPr>
        <w:widowControl w:val="0"/>
        <w:numPr>
          <w:ilvl w:val="0"/>
          <w:numId w:val="23"/>
        </w:numPr>
        <w:tabs>
          <w:tab w:val="clear" w:pos="720"/>
        </w:tabs>
        <w:ind w:left="567" w:right="-29" w:hanging="567"/>
        <w:rPr>
          <w:color w:val="000000"/>
          <w:sz w:val="22"/>
          <w:szCs w:val="22"/>
        </w:rPr>
      </w:pPr>
      <w:r w:rsidRPr="002D741C">
        <w:rPr>
          <w:color w:val="000000"/>
          <w:sz w:val="22"/>
          <w:szCs w:val="22"/>
        </w:rPr>
        <w:t>Debilitamiento o pérdida inusual de cabello.</w:t>
      </w:r>
    </w:p>
    <w:p w14:paraId="2B6C0483" w14:textId="77777777" w:rsidR="00C45062" w:rsidRPr="002D741C" w:rsidRDefault="00C45062" w:rsidP="00C45062">
      <w:pPr>
        <w:widowControl w:val="0"/>
        <w:numPr>
          <w:ilvl w:val="0"/>
          <w:numId w:val="23"/>
        </w:numPr>
        <w:tabs>
          <w:tab w:val="clear" w:pos="720"/>
        </w:tabs>
        <w:ind w:left="567" w:right="-29" w:hanging="567"/>
        <w:rPr>
          <w:color w:val="000000"/>
          <w:sz w:val="22"/>
          <w:szCs w:val="22"/>
        </w:rPr>
      </w:pPr>
      <w:r w:rsidRPr="002D741C">
        <w:rPr>
          <w:color w:val="000000"/>
          <w:sz w:val="22"/>
          <w:szCs w:val="22"/>
        </w:rPr>
        <w:t>Adormecimiento de las manos o los pies.</w:t>
      </w:r>
    </w:p>
    <w:p w14:paraId="69F5CE75" w14:textId="77777777" w:rsidR="00C45062" w:rsidRPr="002D741C" w:rsidRDefault="00C45062" w:rsidP="00C45062">
      <w:pPr>
        <w:widowControl w:val="0"/>
        <w:numPr>
          <w:ilvl w:val="0"/>
          <w:numId w:val="23"/>
        </w:numPr>
        <w:tabs>
          <w:tab w:val="clear" w:pos="720"/>
        </w:tabs>
        <w:ind w:left="567" w:right="-29" w:hanging="567"/>
        <w:rPr>
          <w:color w:val="000000"/>
          <w:sz w:val="22"/>
          <w:szCs w:val="22"/>
        </w:rPr>
      </w:pPr>
      <w:r w:rsidRPr="002D741C">
        <w:rPr>
          <w:color w:val="000000"/>
          <w:sz w:val="22"/>
          <w:szCs w:val="22"/>
        </w:rPr>
        <w:t>Úlceras en la boca.</w:t>
      </w:r>
    </w:p>
    <w:p w14:paraId="15FE598A" w14:textId="77777777" w:rsidR="00C45062" w:rsidRPr="002D741C" w:rsidRDefault="00C45062" w:rsidP="00C45062">
      <w:pPr>
        <w:widowControl w:val="0"/>
        <w:numPr>
          <w:ilvl w:val="0"/>
          <w:numId w:val="23"/>
        </w:numPr>
        <w:tabs>
          <w:tab w:val="clear" w:pos="720"/>
        </w:tabs>
        <w:ind w:left="567" w:right="-29" w:hanging="567"/>
        <w:rPr>
          <w:color w:val="000000"/>
          <w:sz w:val="22"/>
          <w:szCs w:val="22"/>
        </w:rPr>
      </w:pPr>
      <w:r w:rsidRPr="002D741C">
        <w:rPr>
          <w:color w:val="000000"/>
          <w:sz w:val="22"/>
          <w:szCs w:val="22"/>
        </w:rPr>
        <w:t>Dolor en las articulaciones con hinchazón.</w:t>
      </w:r>
    </w:p>
    <w:p w14:paraId="59BDC059" w14:textId="77777777" w:rsidR="00C45062" w:rsidRPr="002D741C" w:rsidRDefault="00C45062" w:rsidP="00C45062">
      <w:pPr>
        <w:widowControl w:val="0"/>
        <w:numPr>
          <w:ilvl w:val="0"/>
          <w:numId w:val="23"/>
        </w:numPr>
        <w:tabs>
          <w:tab w:val="clear" w:pos="720"/>
        </w:tabs>
        <w:ind w:left="567" w:right="-29" w:hanging="567"/>
        <w:rPr>
          <w:color w:val="000000"/>
          <w:sz w:val="22"/>
          <w:szCs w:val="22"/>
        </w:rPr>
      </w:pPr>
      <w:r w:rsidRPr="002D741C">
        <w:rPr>
          <w:color w:val="000000"/>
          <w:sz w:val="22"/>
          <w:szCs w:val="22"/>
        </w:rPr>
        <w:t>Boca seca, sequedad de la piel o sequedad de los ojos.</w:t>
      </w:r>
    </w:p>
    <w:p w14:paraId="5F88FF88" w14:textId="77777777" w:rsidR="00C45062" w:rsidRPr="002D741C" w:rsidRDefault="00C45062" w:rsidP="00C45062">
      <w:pPr>
        <w:widowControl w:val="0"/>
        <w:numPr>
          <w:ilvl w:val="0"/>
          <w:numId w:val="23"/>
        </w:numPr>
        <w:tabs>
          <w:tab w:val="clear" w:pos="720"/>
        </w:tabs>
        <w:ind w:left="567" w:right="-29" w:hanging="567"/>
        <w:rPr>
          <w:color w:val="000000"/>
          <w:sz w:val="22"/>
          <w:szCs w:val="22"/>
        </w:rPr>
      </w:pPr>
      <w:r w:rsidRPr="002D741C">
        <w:rPr>
          <w:color w:val="000000"/>
          <w:sz w:val="22"/>
          <w:szCs w:val="22"/>
        </w:rPr>
        <w:t>Disminución o aumento de la sensibilidad de la piel.</w:t>
      </w:r>
    </w:p>
    <w:p w14:paraId="25BFDF25" w14:textId="77777777" w:rsidR="00C45062" w:rsidRPr="002D741C" w:rsidRDefault="00C45062" w:rsidP="001001B7">
      <w:pPr>
        <w:keepNext/>
        <w:widowControl w:val="0"/>
        <w:numPr>
          <w:ilvl w:val="0"/>
          <w:numId w:val="23"/>
        </w:numPr>
        <w:tabs>
          <w:tab w:val="clear" w:pos="720"/>
        </w:tabs>
        <w:ind w:left="567" w:right="-29" w:hanging="567"/>
        <w:rPr>
          <w:color w:val="000000"/>
          <w:sz w:val="22"/>
          <w:szCs w:val="22"/>
        </w:rPr>
      </w:pPr>
      <w:r w:rsidRPr="002D741C">
        <w:rPr>
          <w:color w:val="000000"/>
          <w:sz w:val="22"/>
          <w:szCs w:val="22"/>
        </w:rPr>
        <w:t>Sofocos, escalofríos o sudores nocturnos.</w:t>
      </w:r>
    </w:p>
    <w:p w14:paraId="4CE06702" w14:textId="77777777" w:rsidR="00C45062" w:rsidRPr="002D741C" w:rsidRDefault="00C45062" w:rsidP="00C45062">
      <w:pPr>
        <w:widowControl w:val="0"/>
        <w:numPr>
          <w:ilvl w:val="12"/>
          <w:numId w:val="0"/>
        </w:numPr>
        <w:ind w:right="-2"/>
        <w:rPr>
          <w:color w:val="000000"/>
          <w:sz w:val="22"/>
          <w:szCs w:val="22"/>
        </w:rPr>
      </w:pPr>
      <w:r w:rsidRPr="002D741C">
        <w:rPr>
          <w:color w:val="000000"/>
          <w:sz w:val="22"/>
          <w:szCs w:val="22"/>
        </w:rPr>
        <w:t xml:space="preserve">Si alguno de estos le afecta de forma importante, </w:t>
      </w:r>
      <w:r w:rsidRPr="002D741C">
        <w:rPr>
          <w:b/>
          <w:color w:val="000000"/>
          <w:sz w:val="22"/>
          <w:szCs w:val="22"/>
        </w:rPr>
        <w:t>consulte a su médico.</w:t>
      </w:r>
    </w:p>
    <w:p w14:paraId="57DC8607" w14:textId="77777777" w:rsidR="00C45062" w:rsidRPr="002D741C" w:rsidRDefault="00C45062" w:rsidP="00C45062">
      <w:pPr>
        <w:widowControl w:val="0"/>
        <w:numPr>
          <w:ilvl w:val="12"/>
          <w:numId w:val="0"/>
        </w:numPr>
        <w:ind w:right="-2"/>
        <w:rPr>
          <w:color w:val="000000"/>
          <w:sz w:val="22"/>
          <w:szCs w:val="22"/>
        </w:rPr>
      </w:pPr>
    </w:p>
    <w:p w14:paraId="420E8D44" w14:textId="77777777" w:rsidR="00C45062" w:rsidRPr="002D741C" w:rsidRDefault="00C45062" w:rsidP="001001B7">
      <w:pPr>
        <w:keepNext/>
        <w:widowControl w:val="0"/>
        <w:numPr>
          <w:ilvl w:val="12"/>
          <w:numId w:val="0"/>
        </w:numPr>
        <w:ind w:right="-2"/>
        <w:rPr>
          <w:b/>
          <w:color w:val="000000"/>
          <w:sz w:val="22"/>
          <w:szCs w:val="22"/>
        </w:rPr>
      </w:pPr>
      <w:r w:rsidRPr="002D741C">
        <w:rPr>
          <w:b/>
          <w:color w:val="000000"/>
          <w:sz w:val="22"/>
          <w:szCs w:val="22"/>
        </w:rPr>
        <w:t>Frecuencia no conocida</w:t>
      </w:r>
      <w:r w:rsidRPr="002D741C">
        <w:rPr>
          <w:color w:val="000000"/>
          <w:sz w:val="22"/>
          <w:szCs w:val="22"/>
        </w:rPr>
        <w:t xml:space="preserve"> (no se puede estimar la frecuencia a partir de los datos disponibles):</w:t>
      </w:r>
    </w:p>
    <w:p w14:paraId="434E318F" w14:textId="77777777" w:rsidR="00C45062" w:rsidRPr="002D741C" w:rsidRDefault="00C45062" w:rsidP="00C45062">
      <w:pPr>
        <w:widowControl w:val="0"/>
        <w:numPr>
          <w:ilvl w:val="0"/>
          <w:numId w:val="24"/>
        </w:numPr>
        <w:tabs>
          <w:tab w:val="clear" w:pos="720"/>
          <w:tab w:val="num" w:pos="-7088"/>
        </w:tabs>
        <w:ind w:left="567" w:right="-2" w:hanging="567"/>
        <w:rPr>
          <w:color w:val="000000"/>
          <w:sz w:val="22"/>
          <w:szCs w:val="22"/>
        </w:rPr>
      </w:pPr>
      <w:r w:rsidRPr="002D741C">
        <w:rPr>
          <w:color w:val="000000"/>
          <w:sz w:val="22"/>
          <w:szCs w:val="22"/>
        </w:rPr>
        <w:t>Enrojecimiento y/o hinchazón de las palmas de las manos y las plantas de los pies que puede ir acompañado por sensación de hormigueo y dolor abrasante.</w:t>
      </w:r>
    </w:p>
    <w:p w14:paraId="29D01C35" w14:textId="77777777" w:rsidR="00E756A2" w:rsidRPr="002D741C" w:rsidRDefault="00E756A2" w:rsidP="00E756A2">
      <w:pPr>
        <w:widowControl w:val="0"/>
        <w:numPr>
          <w:ilvl w:val="0"/>
          <w:numId w:val="24"/>
        </w:numPr>
        <w:tabs>
          <w:tab w:val="clear" w:pos="720"/>
          <w:tab w:val="num" w:pos="-7088"/>
        </w:tabs>
        <w:ind w:left="567" w:right="-2" w:hanging="567"/>
        <w:rPr>
          <w:color w:val="000000"/>
          <w:sz w:val="22"/>
          <w:szCs w:val="22"/>
        </w:rPr>
      </w:pPr>
      <w:r w:rsidRPr="002D741C">
        <w:rPr>
          <w:color w:val="000000"/>
          <w:sz w:val="22"/>
          <w:szCs w:val="22"/>
        </w:rPr>
        <w:t>Lesiones en la piel dolorosas y/o con ampollas</w:t>
      </w:r>
    </w:p>
    <w:p w14:paraId="2FD6EE41" w14:textId="77777777" w:rsidR="00C45062" w:rsidRPr="002D741C" w:rsidRDefault="00C45062" w:rsidP="001001B7">
      <w:pPr>
        <w:keepNext/>
        <w:widowControl w:val="0"/>
        <w:numPr>
          <w:ilvl w:val="0"/>
          <w:numId w:val="24"/>
        </w:numPr>
        <w:tabs>
          <w:tab w:val="clear" w:pos="720"/>
          <w:tab w:val="num" w:pos="-7088"/>
        </w:tabs>
        <w:ind w:left="567" w:right="-2" w:hanging="567"/>
        <w:rPr>
          <w:color w:val="000000"/>
          <w:sz w:val="22"/>
          <w:szCs w:val="22"/>
        </w:rPr>
      </w:pPr>
      <w:r w:rsidRPr="002D741C">
        <w:rPr>
          <w:color w:val="000000"/>
          <w:sz w:val="22"/>
          <w:szCs w:val="22"/>
        </w:rPr>
        <w:t>Retraso en el crecimiento de niños y adolescentes.</w:t>
      </w:r>
    </w:p>
    <w:p w14:paraId="637EF4A6" w14:textId="77777777" w:rsidR="00C45062" w:rsidRPr="002D741C" w:rsidRDefault="00C45062" w:rsidP="00C45062">
      <w:pPr>
        <w:widowControl w:val="0"/>
        <w:numPr>
          <w:ilvl w:val="12"/>
          <w:numId w:val="0"/>
        </w:numPr>
        <w:ind w:right="-2"/>
        <w:rPr>
          <w:color w:val="000000"/>
          <w:sz w:val="22"/>
          <w:szCs w:val="22"/>
        </w:rPr>
      </w:pPr>
      <w:r w:rsidRPr="002D741C">
        <w:rPr>
          <w:color w:val="000000"/>
          <w:sz w:val="22"/>
          <w:szCs w:val="22"/>
        </w:rPr>
        <w:t xml:space="preserve">Si alguno de estos le afecta de forma importante, </w:t>
      </w:r>
      <w:r w:rsidRPr="002D741C">
        <w:rPr>
          <w:b/>
          <w:color w:val="000000"/>
          <w:sz w:val="22"/>
          <w:szCs w:val="22"/>
        </w:rPr>
        <w:t>consulte a su médico.</w:t>
      </w:r>
    </w:p>
    <w:p w14:paraId="187C779F" w14:textId="77777777" w:rsidR="00C45062" w:rsidRPr="002D741C" w:rsidRDefault="00C45062" w:rsidP="00C45062">
      <w:pPr>
        <w:widowControl w:val="0"/>
        <w:ind w:right="-2"/>
        <w:rPr>
          <w:color w:val="000000"/>
          <w:sz w:val="22"/>
          <w:szCs w:val="22"/>
        </w:rPr>
      </w:pPr>
    </w:p>
    <w:p w14:paraId="7A05D724" w14:textId="77777777" w:rsidR="00C45062" w:rsidRPr="002D741C" w:rsidRDefault="00C45062" w:rsidP="001001B7">
      <w:pPr>
        <w:keepNext/>
        <w:widowControl w:val="0"/>
        <w:ind w:right="-2"/>
        <w:rPr>
          <w:b/>
          <w:color w:val="000000"/>
          <w:sz w:val="22"/>
          <w:szCs w:val="22"/>
        </w:rPr>
      </w:pPr>
      <w:r w:rsidRPr="002D741C">
        <w:rPr>
          <w:b/>
          <w:color w:val="000000"/>
          <w:sz w:val="22"/>
          <w:szCs w:val="22"/>
        </w:rPr>
        <w:t>Comunicación de efectos adversos</w:t>
      </w:r>
    </w:p>
    <w:p w14:paraId="4D1B6BC0" w14:textId="77777777" w:rsidR="00C45062" w:rsidRPr="002D741C" w:rsidRDefault="00C45062" w:rsidP="00C45062">
      <w:pPr>
        <w:widowControl w:val="0"/>
        <w:ind w:right="-2"/>
        <w:rPr>
          <w:color w:val="000000"/>
          <w:sz w:val="22"/>
          <w:szCs w:val="22"/>
        </w:rPr>
      </w:pPr>
      <w:r w:rsidRPr="002D741C">
        <w:rPr>
          <w:color w:val="000000"/>
          <w:sz w:val="22"/>
          <w:szCs w:val="22"/>
        </w:rPr>
        <w:t xml:space="preserve">Si experimenta cualquier tipo de efecto adverso, consulte a su médico, farmacéutico o enfermero, incluso si se trata de posibles efectos adversos que no aparecen en este prospecto. </w:t>
      </w:r>
      <w:r w:rsidR="00A56B0C" w:rsidRPr="002D741C">
        <w:rPr>
          <w:sz w:val="22"/>
        </w:rPr>
        <w:t xml:space="preserve">También puede comunicarlos directamente a través del </w:t>
      </w:r>
      <w:r w:rsidR="00A56B0C" w:rsidRPr="002D741C">
        <w:rPr>
          <w:sz w:val="22"/>
          <w:shd w:val="pct15" w:color="auto" w:fill="auto"/>
        </w:rPr>
        <w:t xml:space="preserve">sistema nacional de notificación incluido en el </w:t>
      </w:r>
      <w:hyperlink r:id="rId18">
        <w:r w:rsidR="00A56B0C" w:rsidRPr="002D741C">
          <w:rPr>
            <w:color w:val="0000FF"/>
            <w:sz w:val="22"/>
            <w:szCs w:val="22"/>
            <w:shd w:val="pct15" w:color="auto" w:fill="auto"/>
          </w:rPr>
          <w:t>Apéndice V</w:t>
        </w:r>
      </w:hyperlink>
      <w:r w:rsidRPr="002D741C">
        <w:rPr>
          <w:color w:val="000000"/>
          <w:sz w:val="22"/>
          <w:szCs w:val="22"/>
        </w:rPr>
        <w:t xml:space="preserve">. </w:t>
      </w:r>
      <w:r w:rsidRPr="002D741C">
        <w:rPr>
          <w:color w:val="000000"/>
          <w:sz w:val="22"/>
          <w:szCs w:val="22"/>
        </w:rPr>
        <w:lastRenderedPageBreak/>
        <w:t>Mediante la comunicación de efectos adversos usted puede contribuir a proporcionar más información sobre la seguridad de este medicamento.</w:t>
      </w:r>
    </w:p>
    <w:p w14:paraId="30017F57" w14:textId="77777777" w:rsidR="00C45062" w:rsidRPr="002D741C" w:rsidRDefault="00C45062" w:rsidP="00C45062">
      <w:pPr>
        <w:widowControl w:val="0"/>
        <w:numPr>
          <w:ilvl w:val="12"/>
          <w:numId w:val="0"/>
        </w:numPr>
        <w:ind w:right="-2"/>
        <w:rPr>
          <w:color w:val="000000"/>
          <w:sz w:val="22"/>
          <w:szCs w:val="22"/>
        </w:rPr>
      </w:pPr>
    </w:p>
    <w:p w14:paraId="447EF73C" w14:textId="77777777" w:rsidR="00C45062" w:rsidRPr="002D741C" w:rsidRDefault="00C45062" w:rsidP="00C45062">
      <w:pPr>
        <w:widowControl w:val="0"/>
        <w:numPr>
          <w:ilvl w:val="12"/>
          <w:numId w:val="0"/>
        </w:numPr>
        <w:ind w:right="-2"/>
        <w:rPr>
          <w:color w:val="000000"/>
          <w:sz w:val="22"/>
          <w:szCs w:val="22"/>
        </w:rPr>
      </w:pPr>
    </w:p>
    <w:p w14:paraId="55DF8F57" w14:textId="77777777" w:rsidR="00D938DC" w:rsidRPr="002D741C" w:rsidRDefault="00D938DC" w:rsidP="001001B7">
      <w:pPr>
        <w:keepNext/>
        <w:widowControl w:val="0"/>
        <w:numPr>
          <w:ilvl w:val="12"/>
          <w:numId w:val="0"/>
        </w:numPr>
        <w:ind w:left="567" w:right="-2" w:hanging="567"/>
        <w:rPr>
          <w:color w:val="000000"/>
          <w:sz w:val="22"/>
          <w:szCs w:val="22"/>
        </w:rPr>
      </w:pPr>
      <w:r w:rsidRPr="002D741C">
        <w:rPr>
          <w:b/>
          <w:color w:val="000000"/>
          <w:sz w:val="22"/>
          <w:szCs w:val="22"/>
        </w:rPr>
        <w:t>5.</w:t>
      </w:r>
      <w:r w:rsidRPr="002D741C">
        <w:rPr>
          <w:b/>
          <w:color w:val="000000"/>
          <w:sz w:val="22"/>
          <w:szCs w:val="22"/>
        </w:rPr>
        <w:tab/>
        <w:t>Conservación de Glivec</w:t>
      </w:r>
    </w:p>
    <w:p w14:paraId="7C8ACE93" w14:textId="77777777" w:rsidR="00D938DC" w:rsidRPr="002D741C" w:rsidRDefault="00D938DC" w:rsidP="001001B7">
      <w:pPr>
        <w:keepNext/>
        <w:widowControl w:val="0"/>
        <w:numPr>
          <w:ilvl w:val="12"/>
          <w:numId w:val="0"/>
        </w:numPr>
        <w:ind w:right="-2"/>
        <w:rPr>
          <w:color w:val="000000"/>
          <w:sz w:val="22"/>
          <w:szCs w:val="22"/>
        </w:rPr>
      </w:pPr>
    </w:p>
    <w:p w14:paraId="7423D2AA" w14:textId="77777777" w:rsidR="00D938DC" w:rsidRPr="002D741C" w:rsidRDefault="00D938DC" w:rsidP="00D938DC">
      <w:pPr>
        <w:widowControl w:val="0"/>
        <w:numPr>
          <w:ilvl w:val="0"/>
          <w:numId w:val="3"/>
        </w:numPr>
        <w:tabs>
          <w:tab w:val="clear" w:pos="360"/>
        </w:tabs>
        <w:ind w:left="567" w:right="-2" w:hanging="567"/>
        <w:rPr>
          <w:color w:val="000000"/>
          <w:sz w:val="22"/>
          <w:szCs w:val="22"/>
        </w:rPr>
      </w:pPr>
      <w:r w:rsidRPr="002D741C">
        <w:rPr>
          <w:color w:val="000000"/>
          <w:sz w:val="22"/>
          <w:szCs w:val="22"/>
        </w:rPr>
        <w:t>Mantener este medicamento fuera de la vista y del alcance de los niños.</w:t>
      </w:r>
    </w:p>
    <w:p w14:paraId="1D55A7F0" w14:textId="77777777" w:rsidR="00D938DC" w:rsidRPr="002D741C" w:rsidRDefault="00D938DC" w:rsidP="00D938DC">
      <w:pPr>
        <w:widowControl w:val="0"/>
        <w:numPr>
          <w:ilvl w:val="0"/>
          <w:numId w:val="3"/>
        </w:numPr>
        <w:tabs>
          <w:tab w:val="clear" w:pos="360"/>
        </w:tabs>
        <w:ind w:left="567" w:right="-2" w:hanging="567"/>
        <w:rPr>
          <w:color w:val="000000"/>
          <w:sz w:val="22"/>
          <w:szCs w:val="22"/>
        </w:rPr>
      </w:pPr>
      <w:r w:rsidRPr="002D741C">
        <w:rPr>
          <w:color w:val="000000"/>
          <w:sz w:val="22"/>
          <w:szCs w:val="22"/>
        </w:rPr>
        <w:t>No utilice este medicamento después de la fecha de caducidad que aparece en la caja</w:t>
      </w:r>
      <w:r w:rsidR="00C232A0" w:rsidRPr="002D741C">
        <w:rPr>
          <w:color w:val="000000"/>
          <w:sz w:val="22"/>
          <w:szCs w:val="22"/>
        </w:rPr>
        <w:t xml:space="preserve"> después de CAD</w:t>
      </w:r>
      <w:r w:rsidRPr="002D741C">
        <w:rPr>
          <w:color w:val="000000"/>
          <w:sz w:val="22"/>
          <w:szCs w:val="22"/>
        </w:rPr>
        <w:t>.</w:t>
      </w:r>
    </w:p>
    <w:p w14:paraId="7A18767B" w14:textId="77777777" w:rsidR="00D938DC" w:rsidRPr="002D741C" w:rsidRDefault="00D938DC" w:rsidP="00D938DC">
      <w:pPr>
        <w:widowControl w:val="0"/>
        <w:numPr>
          <w:ilvl w:val="0"/>
          <w:numId w:val="3"/>
        </w:numPr>
        <w:tabs>
          <w:tab w:val="clear" w:pos="360"/>
        </w:tabs>
        <w:ind w:left="567" w:right="-2" w:hanging="567"/>
        <w:rPr>
          <w:color w:val="000000"/>
          <w:sz w:val="22"/>
          <w:szCs w:val="22"/>
        </w:rPr>
      </w:pPr>
      <w:r w:rsidRPr="002D741C">
        <w:rPr>
          <w:color w:val="000000"/>
          <w:sz w:val="22"/>
          <w:szCs w:val="22"/>
        </w:rPr>
        <w:t xml:space="preserve">No conservar a temperatura superior a </w:t>
      </w:r>
      <w:smartTag w:uri="urn:schemas-microsoft-com:office:smarttags" w:element="metricconverter">
        <w:smartTagPr>
          <w:attr w:name="ProductID" w:val="30ﾰC"/>
        </w:smartTagPr>
        <w:r w:rsidRPr="002D741C">
          <w:rPr>
            <w:color w:val="000000"/>
            <w:sz w:val="22"/>
            <w:szCs w:val="22"/>
          </w:rPr>
          <w:t>30°C</w:t>
        </w:r>
      </w:smartTag>
      <w:r w:rsidRPr="002D741C">
        <w:rPr>
          <w:color w:val="000000"/>
          <w:sz w:val="22"/>
          <w:szCs w:val="22"/>
        </w:rPr>
        <w:t>.</w:t>
      </w:r>
    </w:p>
    <w:p w14:paraId="178633CA" w14:textId="77777777" w:rsidR="00D938DC" w:rsidRPr="002D741C" w:rsidRDefault="00D938DC" w:rsidP="00D938DC">
      <w:pPr>
        <w:widowControl w:val="0"/>
        <w:numPr>
          <w:ilvl w:val="0"/>
          <w:numId w:val="3"/>
        </w:numPr>
        <w:tabs>
          <w:tab w:val="clear" w:pos="360"/>
        </w:tabs>
        <w:ind w:left="567" w:right="-2" w:hanging="567"/>
        <w:rPr>
          <w:color w:val="000000"/>
          <w:sz w:val="22"/>
          <w:szCs w:val="22"/>
        </w:rPr>
      </w:pPr>
      <w:r w:rsidRPr="002D741C">
        <w:rPr>
          <w:color w:val="000000"/>
          <w:sz w:val="22"/>
          <w:szCs w:val="22"/>
        </w:rPr>
        <w:t>Conservar en el embalaje original para protegerlo de la humedad.</w:t>
      </w:r>
    </w:p>
    <w:p w14:paraId="127D7D77" w14:textId="77777777" w:rsidR="00620DB9" w:rsidRPr="002D741C" w:rsidRDefault="00D938DC" w:rsidP="00FA2572">
      <w:pPr>
        <w:widowControl w:val="0"/>
        <w:numPr>
          <w:ilvl w:val="0"/>
          <w:numId w:val="3"/>
        </w:numPr>
        <w:tabs>
          <w:tab w:val="clear" w:pos="360"/>
        </w:tabs>
        <w:ind w:left="567" w:right="-2" w:hanging="567"/>
        <w:rPr>
          <w:color w:val="000000"/>
          <w:sz w:val="22"/>
          <w:szCs w:val="22"/>
        </w:rPr>
      </w:pPr>
      <w:r w:rsidRPr="002D741C">
        <w:rPr>
          <w:color w:val="000000"/>
          <w:sz w:val="22"/>
          <w:szCs w:val="22"/>
        </w:rPr>
        <w:t>No utilice ningún envase si observa que está estropeado o muestra signos de manipulación.</w:t>
      </w:r>
    </w:p>
    <w:p w14:paraId="7342F0BB" w14:textId="77777777" w:rsidR="008165D1" w:rsidRPr="002D741C" w:rsidRDefault="00572575" w:rsidP="008165D1">
      <w:pPr>
        <w:widowControl w:val="0"/>
        <w:numPr>
          <w:ilvl w:val="0"/>
          <w:numId w:val="3"/>
        </w:numPr>
        <w:tabs>
          <w:tab w:val="clear" w:pos="360"/>
        </w:tabs>
        <w:ind w:left="567" w:right="-2" w:hanging="567"/>
        <w:rPr>
          <w:color w:val="000000"/>
          <w:sz w:val="22"/>
          <w:szCs w:val="22"/>
        </w:rPr>
      </w:pPr>
      <w:r w:rsidRPr="002D741C">
        <w:rPr>
          <w:color w:val="000000"/>
          <w:sz w:val="22"/>
          <w:szCs w:val="22"/>
        </w:rPr>
        <w:t>L</w:t>
      </w:r>
      <w:r w:rsidR="008165D1" w:rsidRPr="002D741C">
        <w:rPr>
          <w:color w:val="000000"/>
          <w:sz w:val="22"/>
          <w:szCs w:val="22"/>
        </w:rPr>
        <w:t xml:space="preserve">os medicamentos </w:t>
      </w:r>
      <w:r w:rsidRPr="002D741C">
        <w:rPr>
          <w:color w:val="000000"/>
          <w:sz w:val="22"/>
          <w:szCs w:val="22"/>
        </w:rPr>
        <w:t xml:space="preserve">no se deben tirar </w:t>
      </w:r>
      <w:r w:rsidR="008165D1" w:rsidRPr="002D741C">
        <w:rPr>
          <w:color w:val="000000"/>
          <w:sz w:val="22"/>
          <w:szCs w:val="22"/>
        </w:rPr>
        <w:t xml:space="preserve">por los desagües ni a la basura. Pregunte a su farmacéutico </w:t>
      </w:r>
      <w:r w:rsidRPr="002D741C">
        <w:rPr>
          <w:color w:val="000000"/>
          <w:sz w:val="22"/>
          <w:szCs w:val="22"/>
        </w:rPr>
        <w:t xml:space="preserve">cómo deshacerse de los envases y de </w:t>
      </w:r>
      <w:r w:rsidR="008165D1" w:rsidRPr="002D741C">
        <w:rPr>
          <w:color w:val="000000"/>
          <w:sz w:val="22"/>
          <w:szCs w:val="22"/>
        </w:rPr>
        <w:t xml:space="preserve">los medicamentos que ya no </w:t>
      </w:r>
      <w:r w:rsidRPr="002D741C">
        <w:rPr>
          <w:color w:val="000000"/>
          <w:sz w:val="22"/>
          <w:szCs w:val="22"/>
        </w:rPr>
        <w:t>necesita</w:t>
      </w:r>
      <w:r w:rsidR="008165D1" w:rsidRPr="002D741C">
        <w:rPr>
          <w:color w:val="000000"/>
          <w:sz w:val="22"/>
          <w:szCs w:val="22"/>
        </w:rPr>
        <w:t>. De esta forma</w:t>
      </w:r>
      <w:r w:rsidRPr="002D741C">
        <w:rPr>
          <w:color w:val="000000"/>
          <w:sz w:val="22"/>
          <w:szCs w:val="22"/>
        </w:rPr>
        <w:t>,</w:t>
      </w:r>
      <w:r w:rsidR="008165D1" w:rsidRPr="002D741C">
        <w:rPr>
          <w:color w:val="000000"/>
          <w:sz w:val="22"/>
          <w:szCs w:val="22"/>
        </w:rPr>
        <w:t xml:space="preserve"> ayudará a proteger el medio ambiente.</w:t>
      </w:r>
    </w:p>
    <w:p w14:paraId="6A1A201B" w14:textId="77777777" w:rsidR="0040333F" w:rsidRPr="002D741C" w:rsidRDefault="0040333F" w:rsidP="00FA2572">
      <w:pPr>
        <w:widowControl w:val="0"/>
        <w:numPr>
          <w:ilvl w:val="12"/>
          <w:numId w:val="0"/>
        </w:numPr>
        <w:ind w:right="-2"/>
        <w:rPr>
          <w:color w:val="000000"/>
          <w:sz w:val="22"/>
          <w:szCs w:val="22"/>
        </w:rPr>
      </w:pPr>
    </w:p>
    <w:p w14:paraId="074E947D" w14:textId="77777777" w:rsidR="0040333F" w:rsidRPr="002D741C" w:rsidRDefault="0040333F" w:rsidP="0040333F">
      <w:pPr>
        <w:widowControl w:val="0"/>
        <w:numPr>
          <w:ilvl w:val="12"/>
          <w:numId w:val="0"/>
        </w:numPr>
        <w:ind w:right="-2"/>
        <w:rPr>
          <w:color w:val="000000"/>
          <w:sz w:val="22"/>
          <w:szCs w:val="22"/>
        </w:rPr>
      </w:pPr>
    </w:p>
    <w:p w14:paraId="6CA3295E" w14:textId="77777777" w:rsidR="0040333F" w:rsidRPr="002D741C" w:rsidRDefault="0040333F" w:rsidP="001001B7">
      <w:pPr>
        <w:keepNext/>
        <w:widowControl w:val="0"/>
        <w:numPr>
          <w:ilvl w:val="12"/>
          <w:numId w:val="0"/>
        </w:numPr>
        <w:tabs>
          <w:tab w:val="left" w:pos="567"/>
        </w:tabs>
        <w:ind w:left="567" w:right="-2" w:hanging="567"/>
        <w:rPr>
          <w:b/>
          <w:caps/>
          <w:color w:val="000000"/>
          <w:sz w:val="22"/>
          <w:szCs w:val="22"/>
        </w:rPr>
      </w:pPr>
      <w:r w:rsidRPr="002D741C">
        <w:rPr>
          <w:b/>
          <w:caps/>
          <w:color w:val="000000"/>
          <w:sz w:val="22"/>
          <w:szCs w:val="22"/>
        </w:rPr>
        <w:t>6.</w:t>
      </w:r>
      <w:r w:rsidRPr="002D741C">
        <w:rPr>
          <w:b/>
          <w:caps/>
          <w:color w:val="000000"/>
          <w:sz w:val="22"/>
          <w:szCs w:val="22"/>
        </w:rPr>
        <w:tab/>
      </w:r>
      <w:r w:rsidR="007F5E80" w:rsidRPr="002D741C">
        <w:rPr>
          <w:b/>
          <w:color w:val="000000"/>
          <w:sz w:val="22"/>
          <w:szCs w:val="22"/>
        </w:rPr>
        <w:t>Contenido del envase e información adicional</w:t>
      </w:r>
    </w:p>
    <w:p w14:paraId="4A76F090" w14:textId="77777777" w:rsidR="0040333F" w:rsidRPr="002D741C" w:rsidRDefault="0040333F" w:rsidP="001001B7">
      <w:pPr>
        <w:keepNext/>
        <w:widowControl w:val="0"/>
        <w:numPr>
          <w:ilvl w:val="12"/>
          <w:numId w:val="0"/>
        </w:numPr>
        <w:tabs>
          <w:tab w:val="left" w:pos="567"/>
        </w:tabs>
        <w:ind w:left="567" w:right="-2" w:hanging="567"/>
        <w:rPr>
          <w:caps/>
          <w:color w:val="000000"/>
          <w:sz w:val="22"/>
          <w:szCs w:val="22"/>
        </w:rPr>
      </w:pPr>
    </w:p>
    <w:p w14:paraId="4FF79010" w14:textId="77777777" w:rsidR="0040333F" w:rsidRPr="002D741C" w:rsidRDefault="0040333F" w:rsidP="001001B7">
      <w:pPr>
        <w:keepNext/>
        <w:widowControl w:val="0"/>
        <w:numPr>
          <w:ilvl w:val="12"/>
          <w:numId w:val="0"/>
        </w:numPr>
        <w:ind w:right="-2"/>
        <w:rPr>
          <w:b/>
          <w:color w:val="000000"/>
          <w:sz w:val="22"/>
          <w:szCs w:val="22"/>
          <w:lang w:val="es-ES"/>
        </w:rPr>
      </w:pPr>
      <w:r w:rsidRPr="002D741C">
        <w:rPr>
          <w:b/>
          <w:color w:val="000000"/>
          <w:sz w:val="22"/>
          <w:szCs w:val="22"/>
          <w:lang w:val="es-ES"/>
        </w:rPr>
        <w:t>Composición de Glivec</w:t>
      </w:r>
    </w:p>
    <w:p w14:paraId="25FCFFC7" w14:textId="0516BF8A" w:rsidR="001210C1" w:rsidRDefault="0040333F" w:rsidP="0040333F">
      <w:pPr>
        <w:widowControl w:val="0"/>
        <w:numPr>
          <w:ilvl w:val="0"/>
          <w:numId w:val="1"/>
        </w:numPr>
        <w:ind w:left="567" w:right="-2" w:hanging="567"/>
        <w:rPr>
          <w:color w:val="000000"/>
          <w:sz w:val="22"/>
          <w:szCs w:val="22"/>
        </w:rPr>
      </w:pPr>
      <w:r w:rsidRPr="002D741C">
        <w:rPr>
          <w:color w:val="000000"/>
          <w:sz w:val="22"/>
          <w:szCs w:val="22"/>
        </w:rPr>
        <w:t>El principio activo es imatinib mesilato.</w:t>
      </w:r>
    </w:p>
    <w:p w14:paraId="556C7596" w14:textId="58AE5F91" w:rsidR="001210C1" w:rsidRPr="002D741C" w:rsidRDefault="0040333F" w:rsidP="00C379C5">
      <w:pPr>
        <w:widowControl w:val="0"/>
        <w:numPr>
          <w:ilvl w:val="1"/>
          <w:numId w:val="31"/>
        </w:numPr>
        <w:ind w:left="1134" w:right="-2" w:hanging="567"/>
        <w:rPr>
          <w:color w:val="000000"/>
          <w:sz w:val="22"/>
          <w:szCs w:val="22"/>
        </w:rPr>
      </w:pPr>
      <w:r w:rsidRPr="002D741C">
        <w:rPr>
          <w:color w:val="000000"/>
          <w:sz w:val="22"/>
          <w:szCs w:val="22"/>
        </w:rPr>
        <w:t xml:space="preserve">Cada comprimido </w:t>
      </w:r>
      <w:r w:rsidR="001210C1">
        <w:rPr>
          <w:color w:val="000000"/>
          <w:sz w:val="22"/>
          <w:szCs w:val="22"/>
        </w:rPr>
        <w:t>de 100</w:t>
      </w:r>
      <w:r w:rsidR="00C379C5">
        <w:rPr>
          <w:color w:val="000000"/>
          <w:sz w:val="22"/>
          <w:szCs w:val="22"/>
        </w:rPr>
        <w:t> </w:t>
      </w:r>
      <w:r w:rsidR="001210C1">
        <w:rPr>
          <w:color w:val="000000"/>
          <w:sz w:val="22"/>
          <w:szCs w:val="22"/>
        </w:rPr>
        <w:t xml:space="preserve">mg </w:t>
      </w:r>
      <w:r w:rsidRPr="002D741C">
        <w:rPr>
          <w:color w:val="000000"/>
          <w:sz w:val="22"/>
          <w:szCs w:val="22"/>
        </w:rPr>
        <w:t>de Glivec contiene 100 mg de imatinib mesilato.</w:t>
      </w:r>
    </w:p>
    <w:p w14:paraId="43B9936C" w14:textId="14E6BDF7" w:rsidR="001210C1" w:rsidRPr="002D741C" w:rsidRDefault="001210C1" w:rsidP="00C379C5">
      <w:pPr>
        <w:widowControl w:val="0"/>
        <w:numPr>
          <w:ilvl w:val="1"/>
          <w:numId w:val="31"/>
        </w:numPr>
        <w:ind w:left="1134" w:right="-2" w:hanging="567"/>
        <w:rPr>
          <w:color w:val="000000"/>
          <w:sz w:val="22"/>
          <w:szCs w:val="22"/>
        </w:rPr>
      </w:pPr>
      <w:r w:rsidRPr="002D741C">
        <w:rPr>
          <w:color w:val="000000"/>
          <w:sz w:val="22"/>
          <w:szCs w:val="22"/>
        </w:rPr>
        <w:t>Cada</w:t>
      </w:r>
      <w:r>
        <w:rPr>
          <w:color w:val="000000"/>
          <w:sz w:val="22"/>
          <w:szCs w:val="22"/>
        </w:rPr>
        <w:t xml:space="preserve"> comprimido de 400</w:t>
      </w:r>
      <w:r w:rsidRPr="002D741C">
        <w:rPr>
          <w:color w:val="000000"/>
          <w:sz w:val="22"/>
          <w:szCs w:val="22"/>
          <w:lang w:val="es-ES"/>
        </w:rPr>
        <w:t> </w:t>
      </w:r>
      <w:r>
        <w:rPr>
          <w:color w:val="000000"/>
          <w:sz w:val="22"/>
          <w:szCs w:val="22"/>
        </w:rPr>
        <w:t>mg de Glivec contiene 4</w:t>
      </w:r>
      <w:r w:rsidRPr="002D741C">
        <w:rPr>
          <w:color w:val="000000"/>
          <w:sz w:val="22"/>
          <w:szCs w:val="22"/>
        </w:rPr>
        <w:t>00 mg de imatinib mesilato</w:t>
      </w:r>
      <w:r w:rsidR="00C379C5">
        <w:rPr>
          <w:color w:val="000000"/>
          <w:sz w:val="22"/>
          <w:szCs w:val="22"/>
        </w:rPr>
        <w:t>.</w:t>
      </w:r>
    </w:p>
    <w:p w14:paraId="3565C10D" w14:textId="77777777" w:rsidR="0040333F" w:rsidRPr="002D741C" w:rsidRDefault="0040333F" w:rsidP="006B48D0">
      <w:pPr>
        <w:widowControl w:val="0"/>
        <w:numPr>
          <w:ilvl w:val="0"/>
          <w:numId w:val="31"/>
        </w:numPr>
        <w:ind w:left="567" w:right="-2" w:hanging="567"/>
        <w:rPr>
          <w:color w:val="000000"/>
          <w:sz w:val="22"/>
          <w:szCs w:val="22"/>
        </w:rPr>
      </w:pPr>
      <w:r w:rsidRPr="002D741C">
        <w:rPr>
          <w:color w:val="000000"/>
          <w:sz w:val="22"/>
          <w:szCs w:val="22"/>
        </w:rPr>
        <w:t>Los demás componentes son celulosa microcristalina, crospovidona, hipromelosa, estearato de magnesio y sílice coloidal anhidra.</w:t>
      </w:r>
    </w:p>
    <w:p w14:paraId="1BABE43F" w14:textId="77777777" w:rsidR="0040333F" w:rsidRPr="002D741C" w:rsidRDefault="0040333F" w:rsidP="006B48D0">
      <w:pPr>
        <w:widowControl w:val="0"/>
        <w:numPr>
          <w:ilvl w:val="0"/>
          <w:numId w:val="31"/>
        </w:numPr>
        <w:ind w:left="567" w:right="-2" w:hanging="567"/>
        <w:rPr>
          <w:color w:val="000000"/>
          <w:sz w:val="22"/>
          <w:szCs w:val="22"/>
        </w:rPr>
      </w:pPr>
      <w:r w:rsidRPr="002D741C">
        <w:rPr>
          <w:color w:val="000000"/>
          <w:sz w:val="22"/>
          <w:szCs w:val="22"/>
        </w:rPr>
        <w:t>La cubierta del comprimido está formada por rojo óxido de hierro (E172), amarillo óxido de hierro (E172), macrogol, talco e hipromelosa.</w:t>
      </w:r>
    </w:p>
    <w:p w14:paraId="2C5FF42B" w14:textId="77777777" w:rsidR="0040333F" w:rsidRPr="002D741C" w:rsidRDefault="0040333F" w:rsidP="0040333F">
      <w:pPr>
        <w:pStyle w:val="EndnoteText"/>
        <w:widowControl w:val="0"/>
        <w:numPr>
          <w:ilvl w:val="12"/>
          <w:numId w:val="0"/>
        </w:numPr>
        <w:tabs>
          <w:tab w:val="clear" w:pos="567"/>
        </w:tabs>
        <w:rPr>
          <w:color w:val="000000"/>
          <w:szCs w:val="22"/>
          <w:lang w:val="es-ES"/>
        </w:rPr>
      </w:pPr>
    </w:p>
    <w:p w14:paraId="7826E0B2" w14:textId="77777777" w:rsidR="0040333F" w:rsidRPr="002D741C" w:rsidRDefault="0040333F" w:rsidP="001001B7">
      <w:pPr>
        <w:pStyle w:val="EndnoteText"/>
        <w:keepNext/>
        <w:widowControl w:val="0"/>
        <w:numPr>
          <w:ilvl w:val="12"/>
          <w:numId w:val="0"/>
        </w:numPr>
        <w:rPr>
          <w:b/>
          <w:color w:val="000000"/>
          <w:szCs w:val="22"/>
          <w:lang w:val="es-ES"/>
        </w:rPr>
      </w:pPr>
      <w:r w:rsidRPr="002D741C">
        <w:rPr>
          <w:b/>
          <w:color w:val="000000"/>
          <w:szCs w:val="22"/>
          <w:lang w:val="es-ES"/>
        </w:rPr>
        <w:t>Aspecto del producto y contenido del envase</w:t>
      </w:r>
    </w:p>
    <w:p w14:paraId="06870D05" w14:textId="77777777" w:rsidR="0040333F" w:rsidRPr="002D741C" w:rsidRDefault="0040333F" w:rsidP="0040333F">
      <w:pPr>
        <w:widowControl w:val="0"/>
        <w:rPr>
          <w:color w:val="000000"/>
          <w:sz w:val="22"/>
          <w:szCs w:val="22"/>
        </w:rPr>
      </w:pPr>
      <w:r w:rsidRPr="002D741C">
        <w:rPr>
          <w:color w:val="000000"/>
          <w:sz w:val="22"/>
          <w:szCs w:val="22"/>
          <w:lang w:val="es-ES"/>
        </w:rPr>
        <w:t xml:space="preserve">Glivec 100 mg comprimidos recubiertos con película son comprimidos redondos </w:t>
      </w:r>
      <w:r w:rsidRPr="002D741C">
        <w:rPr>
          <w:color w:val="000000"/>
          <w:sz w:val="22"/>
          <w:szCs w:val="22"/>
        </w:rPr>
        <w:t xml:space="preserve">de color amarillo muy oscuro a naranja-pardo. Tienen la marca </w:t>
      </w:r>
      <w:r w:rsidRPr="002D741C">
        <w:rPr>
          <w:color w:val="000000"/>
          <w:sz w:val="22"/>
          <w:szCs w:val="22"/>
          <w:lang w:val="es-ES"/>
        </w:rPr>
        <w:t>«</w:t>
      </w:r>
      <w:smartTag w:uri="urn:schemas-microsoft-com:office:smarttags" w:element="stockticker">
        <w:r w:rsidRPr="002D741C">
          <w:rPr>
            <w:color w:val="000000"/>
            <w:sz w:val="22"/>
            <w:szCs w:val="22"/>
          </w:rPr>
          <w:t>NVR</w:t>
        </w:r>
      </w:smartTag>
      <w:r w:rsidRPr="002D741C">
        <w:rPr>
          <w:color w:val="000000"/>
          <w:sz w:val="22"/>
          <w:szCs w:val="22"/>
          <w:lang w:val="es-ES"/>
        </w:rPr>
        <w:t>»</w:t>
      </w:r>
      <w:r w:rsidRPr="002D741C">
        <w:rPr>
          <w:color w:val="000000"/>
          <w:sz w:val="22"/>
          <w:szCs w:val="22"/>
        </w:rPr>
        <w:t xml:space="preserve"> en una cara y </w:t>
      </w:r>
      <w:r w:rsidRPr="002D741C">
        <w:rPr>
          <w:color w:val="000000"/>
          <w:sz w:val="22"/>
          <w:szCs w:val="22"/>
          <w:lang w:val="es-ES"/>
        </w:rPr>
        <w:t>«</w:t>
      </w:r>
      <w:r w:rsidRPr="002D741C">
        <w:rPr>
          <w:color w:val="000000"/>
          <w:sz w:val="22"/>
          <w:szCs w:val="22"/>
        </w:rPr>
        <w:t>SA</w:t>
      </w:r>
      <w:r w:rsidRPr="002D741C">
        <w:rPr>
          <w:color w:val="000000"/>
          <w:sz w:val="22"/>
          <w:szCs w:val="22"/>
          <w:lang w:val="es-ES"/>
        </w:rPr>
        <w:t>»</w:t>
      </w:r>
      <w:r w:rsidRPr="002D741C">
        <w:rPr>
          <w:color w:val="000000"/>
          <w:sz w:val="22"/>
          <w:szCs w:val="22"/>
        </w:rPr>
        <w:t xml:space="preserve"> y ranura en la otra.</w:t>
      </w:r>
    </w:p>
    <w:p w14:paraId="61314713" w14:textId="77777777" w:rsidR="00777AB3" w:rsidRPr="002D741C" w:rsidRDefault="00777AB3" w:rsidP="00777AB3">
      <w:pPr>
        <w:widowControl w:val="0"/>
        <w:rPr>
          <w:color w:val="000000"/>
          <w:sz w:val="22"/>
          <w:szCs w:val="22"/>
        </w:rPr>
      </w:pPr>
      <w:r w:rsidRPr="002D741C">
        <w:rPr>
          <w:color w:val="000000"/>
          <w:sz w:val="22"/>
          <w:szCs w:val="22"/>
          <w:lang w:val="es-ES"/>
        </w:rPr>
        <w:t xml:space="preserve">Glivec 400 mg comprimidos recubiertos con película son comprimidos ovalados de </w:t>
      </w:r>
      <w:r w:rsidRPr="002D741C">
        <w:rPr>
          <w:color w:val="000000"/>
          <w:sz w:val="22"/>
          <w:szCs w:val="22"/>
        </w:rPr>
        <w:t xml:space="preserve">color amarillo muy oscuro a naranja-pardo. Tienen la marca </w:t>
      </w:r>
      <w:r w:rsidRPr="002D741C">
        <w:rPr>
          <w:color w:val="000000"/>
          <w:sz w:val="22"/>
          <w:szCs w:val="22"/>
          <w:lang w:val="es-ES"/>
        </w:rPr>
        <w:t>«</w:t>
      </w:r>
      <w:r w:rsidRPr="002D741C">
        <w:rPr>
          <w:color w:val="000000"/>
          <w:sz w:val="22"/>
          <w:szCs w:val="22"/>
        </w:rPr>
        <w:t>glivec</w:t>
      </w:r>
      <w:r w:rsidRPr="002D741C">
        <w:rPr>
          <w:color w:val="000000"/>
          <w:sz w:val="22"/>
          <w:szCs w:val="22"/>
          <w:lang w:val="es-ES"/>
        </w:rPr>
        <w:t>»</w:t>
      </w:r>
      <w:r w:rsidRPr="002D741C">
        <w:rPr>
          <w:color w:val="000000"/>
          <w:sz w:val="22"/>
          <w:szCs w:val="22"/>
        </w:rPr>
        <w:t xml:space="preserve"> en una cara.</w:t>
      </w:r>
    </w:p>
    <w:p w14:paraId="060B3224" w14:textId="77777777" w:rsidR="0040333F" w:rsidRPr="002D741C" w:rsidRDefault="0040333F" w:rsidP="0040333F">
      <w:pPr>
        <w:pStyle w:val="EndnoteText"/>
        <w:widowControl w:val="0"/>
        <w:numPr>
          <w:ilvl w:val="12"/>
          <w:numId w:val="0"/>
        </w:numPr>
        <w:tabs>
          <w:tab w:val="clear" w:pos="567"/>
        </w:tabs>
        <w:rPr>
          <w:color w:val="000000"/>
          <w:szCs w:val="22"/>
          <w:lang w:val="es-ES_tradnl"/>
        </w:rPr>
      </w:pPr>
    </w:p>
    <w:p w14:paraId="339D1BDB" w14:textId="54BECA9A" w:rsidR="00C379C5" w:rsidRDefault="00777AB3" w:rsidP="00C379C5">
      <w:pPr>
        <w:widowControl w:val="0"/>
        <w:numPr>
          <w:ilvl w:val="12"/>
          <w:numId w:val="0"/>
        </w:numPr>
        <w:tabs>
          <w:tab w:val="left" w:pos="567"/>
        </w:tabs>
        <w:ind w:right="-2"/>
        <w:rPr>
          <w:color w:val="000000"/>
          <w:sz w:val="22"/>
          <w:szCs w:val="22"/>
          <w:lang w:val="es-ES"/>
        </w:rPr>
      </w:pPr>
      <w:r w:rsidRPr="00C379C5">
        <w:rPr>
          <w:color w:val="000000"/>
          <w:sz w:val="22"/>
          <w:szCs w:val="22"/>
          <w:lang w:val="es-ES"/>
        </w:rPr>
        <w:t>Glivec 100 mg comprimidos recubiertos con película s</w:t>
      </w:r>
      <w:r w:rsidR="0040333F" w:rsidRPr="00C379C5">
        <w:rPr>
          <w:color w:val="000000"/>
          <w:sz w:val="22"/>
          <w:szCs w:val="22"/>
          <w:lang w:val="es-ES"/>
        </w:rPr>
        <w:t xml:space="preserve">e presenta en envases que contienen 20, 60, 120 </w:t>
      </w:r>
      <w:r w:rsidR="00715D27" w:rsidRPr="00C379C5">
        <w:rPr>
          <w:color w:val="000000"/>
          <w:sz w:val="22"/>
          <w:szCs w:val="22"/>
          <w:lang w:val="es-ES"/>
        </w:rPr>
        <w:t>o</w:t>
      </w:r>
      <w:r w:rsidR="0040333F" w:rsidRPr="00C379C5">
        <w:rPr>
          <w:color w:val="000000"/>
          <w:sz w:val="22"/>
          <w:szCs w:val="22"/>
          <w:lang w:val="es-ES"/>
        </w:rPr>
        <w:t xml:space="preserve"> 180 comprimidos</w:t>
      </w:r>
      <w:r w:rsidR="00C379C5">
        <w:rPr>
          <w:color w:val="000000"/>
          <w:sz w:val="22"/>
          <w:szCs w:val="22"/>
          <w:lang w:val="es-ES"/>
        </w:rPr>
        <w:t>.</w:t>
      </w:r>
    </w:p>
    <w:p w14:paraId="581A73E6" w14:textId="366F5C00" w:rsidR="0022738C" w:rsidRPr="00C379C5" w:rsidRDefault="00777AB3" w:rsidP="00C379C5">
      <w:pPr>
        <w:widowControl w:val="0"/>
        <w:numPr>
          <w:ilvl w:val="12"/>
          <w:numId w:val="0"/>
        </w:numPr>
        <w:tabs>
          <w:tab w:val="left" w:pos="567"/>
        </w:tabs>
        <w:ind w:right="-2"/>
        <w:rPr>
          <w:color w:val="000000"/>
          <w:sz w:val="22"/>
          <w:szCs w:val="22"/>
          <w:lang w:val="es-ES"/>
        </w:rPr>
      </w:pPr>
      <w:r w:rsidRPr="00C379C5">
        <w:rPr>
          <w:color w:val="000000"/>
          <w:sz w:val="22"/>
          <w:szCs w:val="22"/>
          <w:lang w:val="es-ES"/>
        </w:rPr>
        <w:t>Glivec 400 mg compri</w:t>
      </w:r>
      <w:r w:rsidR="0022738C" w:rsidRPr="00C379C5">
        <w:rPr>
          <w:color w:val="000000"/>
          <w:sz w:val="22"/>
          <w:szCs w:val="22"/>
          <w:lang w:val="es-ES"/>
        </w:rPr>
        <w:t>midos recubiertos con película s</w:t>
      </w:r>
      <w:r w:rsidRPr="00C379C5">
        <w:rPr>
          <w:color w:val="000000"/>
          <w:sz w:val="22"/>
          <w:szCs w:val="22"/>
          <w:lang w:val="es-ES"/>
        </w:rPr>
        <w:t>e presenta en envases que contienen 10, 30 ó 90 comprimidos</w:t>
      </w:r>
      <w:r w:rsidR="0022738C" w:rsidRPr="00C379C5">
        <w:rPr>
          <w:color w:val="000000"/>
          <w:sz w:val="22"/>
          <w:szCs w:val="22"/>
          <w:lang w:val="es-ES"/>
        </w:rPr>
        <w:t>.</w:t>
      </w:r>
    </w:p>
    <w:p w14:paraId="768F40D4" w14:textId="6E13B203" w:rsidR="0040333F" w:rsidRPr="00C379C5" w:rsidRDefault="0022738C" w:rsidP="0040333F">
      <w:pPr>
        <w:widowControl w:val="0"/>
        <w:numPr>
          <w:ilvl w:val="12"/>
          <w:numId w:val="0"/>
        </w:numPr>
        <w:ind w:right="-2"/>
        <w:rPr>
          <w:caps/>
          <w:color w:val="000000"/>
          <w:sz w:val="22"/>
          <w:szCs w:val="22"/>
        </w:rPr>
      </w:pPr>
      <w:r w:rsidRPr="00C379C5">
        <w:rPr>
          <w:color w:val="000000"/>
          <w:sz w:val="22"/>
          <w:szCs w:val="22"/>
          <w:lang w:val="es-ES"/>
        </w:rPr>
        <w:t>P</w:t>
      </w:r>
      <w:r w:rsidR="00777AB3" w:rsidRPr="00C379C5">
        <w:rPr>
          <w:color w:val="000000"/>
          <w:sz w:val="22"/>
          <w:szCs w:val="22"/>
          <w:lang w:val="es-ES"/>
        </w:rPr>
        <w:t>uede que no todos los envases se encuentren comercializados.</w:t>
      </w:r>
    </w:p>
    <w:p w14:paraId="70B6F63B" w14:textId="77777777" w:rsidR="0040333F" w:rsidRPr="002D741C" w:rsidRDefault="0040333F" w:rsidP="0040333F">
      <w:pPr>
        <w:pStyle w:val="EndnoteText"/>
        <w:widowControl w:val="0"/>
        <w:numPr>
          <w:ilvl w:val="12"/>
          <w:numId w:val="0"/>
        </w:numPr>
        <w:tabs>
          <w:tab w:val="clear" w:pos="567"/>
        </w:tabs>
        <w:rPr>
          <w:color w:val="000000"/>
          <w:szCs w:val="22"/>
          <w:lang w:val="es-ES"/>
        </w:rPr>
      </w:pPr>
    </w:p>
    <w:p w14:paraId="361120F5" w14:textId="77777777" w:rsidR="0040333F" w:rsidRPr="002D741C" w:rsidRDefault="0040333F" w:rsidP="001001B7">
      <w:pPr>
        <w:pStyle w:val="EndnoteText"/>
        <w:keepNext/>
        <w:widowControl w:val="0"/>
        <w:numPr>
          <w:ilvl w:val="12"/>
          <w:numId w:val="0"/>
        </w:numPr>
        <w:tabs>
          <w:tab w:val="clear" w:pos="567"/>
        </w:tabs>
        <w:rPr>
          <w:b/>
          <w:color w:val="000000"/>
          <w:szCs w:val="22"/>
          <w:lang w:val="es-ES"/>
        </w:rPr>
      </w:pPr>
      <w:r w:rsidRPr="002D741C">
        <w:rPr>
          <w:b/>
          <w:color w:val="000000"/>
          <w:szCs w:val="22"/>
          <w:lang w:val="es-ES"/>
        </w:rPr>
        <w:t>Titular de la autorización de comercialización</w:t>
      </w:r>
    </w:p>
    <w:p w14:paraId="4A2A23A8" w14:textId="77777777" w:rsidR="0040333F" w:rsidRPr="002D741C" w:rsidRDefault="0040333F" w:rsidP="001001B7">
      <w:pPr>
        <w:pStyle w:val="EndnoteText"/>
        <w:keepNext/>
        <w:widowControl w:val="0"/>
        <w:tabs>
          <w:tab w:val="clear" w:pos="567"/>
        </w:tabs>
        <w:rPr>
          <w:color w:val="000000"/>
          <w:szCs w:val="22"/>
          <w:lang w:val="en-US"/>
        </w:rPr>
      </w:pPr>
      <w:r w:rsidRPr="002D741C">
        <w:rPr>
          <w:color w:val="000000"/>
          <w:szCs w:val="22"/>
          <w:lang w:val="en-US"/>
        </w:rPr>
        <w:t>Novartis Europharm Limited</w:t>
      </w:r>
    </w:p>
    <w:p w14:paraId="4DA6B6E7" w14:textId="77777777" w:rsidR="005127D7" w:rsidRPr="002D741C" w:rsidRDefault="005127D7" w:rsidP="005127D7">
      <w:pPr>
        <w:keepNext/>
        <w:widowControl w:val="0"/>
        <w:rPr>
          <w:color w:val="000000"/>
          <w:sz w:val="22"/>
          <w:szCs w:val="22"/>
          <w:lang w:val="en-US"/>
        </w:rPr>
      </w:pPr>
      <w:r w:rsidRPr="002D741C">
        <w:rPr>
          <w:color w:val="000000"/>
          <w:sz w:val="22"/>
          <w:szCs w:val="22"/>
          <w:lang w:val="en-US"/>
        </w:rPr>
        <w:t>Vista Building</w:t>
      </w:r>
    </w:p>
    <w:p w14:paraId="0FC391B7" w14:textId="77777777" w:rsidR="005127D7" w:rsidRPr="002D741C" w:rsidRDefault="005127D7" w:rsidP="005127D7">
      <w:pPr>
        <w:keepNext/>
        <w:widowControl w:val="0"/>
        <w:rPr>
          <w:color w:val="000000"/>
          <w:sz w:val="22"/>
          <w:szCs w:val="22"/>
          <w:lang w:val="en-US"/>
        </w:rPr>
      </w:pPr>
      <w:r w:rsidRPr="002D741C">
        <w:rPr>
          <w:color w:val="000000"/>
          <w:sz w:val="22"/>
          <w:szCs w:val="22"/>
          <w:lang w:val="en-US"/>
        </w:rPr>
        <w:t>Elm Park, Merrion Road</w:t>
      </w:r>
    </w:p>
    <w:p w14:paraId="5CB9CC21" w14:textId="77777777" w:rsidR="005127D7" w:rsidRPr="002D741C" w:rsidRDefault="005127D7" w:rsidP="005127D7">
      <w:pPr>
        <w:keepNext/>
        <w:widowControl w:val="0"/>
        <w:rPr>
          <w:color w:val="000000"/>
          <w:sz w:val="22"/>
          <w:szCs w:val="22"/>
        </w:rPr>
      </w:pPr>
      <w:r w:rsidRPr="002D741C">
        <w:rPr>
          <w:color w:val="000000"/>
          <w:sz w:val="22"/>
          <w:szCs w:val="22"/>
        </w:rPr>
        <w:t>Dublin 4</w:t>
      </w:r>
    </w:p>
    <w:p w14:paraId="5ED90619" w14:textId="77777777" w:rsidR="005127D7" w:rsidRPr="002D741C" w:rsidRDefault="005127D7" w:rsidP="005127D7">
      <w:pPr>
        <w:rPr>
          <w:color w:val="000000"/>
          <w:sz w:val="22"/>
          <w:szCs w:val="22"/>
        </w:rPr>
      </w:pPr>
      <w:r w:rsidRPr="002D741C">
        <w:rPr>
          <w:color w:val="000000"/>
          <w:sz w:val="22"/>
          <w:szCs w:val="22"/>
        </w:rPr>
        <w:t>Irlanda</w:t>
      </w:r>
    </w:p>
    <w:p w14:paraId="46CBCD71" w14:textId="77777777" w:rsidR="0040333F" w:rsidRPr="002D741C" w:rsidRDefault="0040333F" w:rsidP="0040333F">
      <w:pPr>
        <w:pStyle w:val="EndnoteText"/>
        <w:widowControl w:val="0"/>
        <w:numPr>
          <w:ilvl w:val="12"/>
          <w:numId w:val="0"/>
        </w:numPr>
        <w:tabs>
          <w:tab w:val="clear" w:pos="567"/>
        </w:tabs>
        <w:rPr>
          <w:color w:val="000000"/>
          <w:szCs w:val="22"/>
          <w:lang w:val="es-ES"/>
        </w:rPr>
      </w:pPr>
    </w:p>
    <w:p w14:paraId="13953228" w14:textId="77777777" w:rsidR="0040333F" w:rsidRPr="002D741C" w:rsidRDefault="0040333F" w:rsidP="001001B7">
      <w:pPr>
        <w:pStyle w:val="EndnoteText"/>
        <w:keepNext/>
        <w:widowControl w:val="0"/>
        <w:numPr>
          <w:ilvl w:val="12"/>
          <w:numId w:val="0"/>
        </w:numPr>
        <w:tabs>
          <w:tab w:val="clear" w:pos="567"/>
        </w:tabs>
        <w:rPr>
          <w:b/>
          <w:color w:val="000000"/>
          <w:szCs w:val="22"/>
          <w:lang w:val="es-ES_tradnl"/>
        </w:rPr>
      </w:pPr>
      <w:r w:rsidRPr="002D741C">
        <w:rPr>
          <w:b/>
          <w:color w:val="000000"/>
          <w:szCs w:val="22"/>
          <w:lang w:val="es-ES_tradnl"/>
        </w:rPr>
        <w:t>Responsable de la fabricación</w:t>
      </w:r>
    </w:p>
    <w:p w14:paraId="5DB1F4A8" w14:textId="77777777" w:rsidR="00340A34" w:rsidRPr="003A7F55" w:rsidRDefault="00340A34" w:rsidP="00340A34">
      <w:pPr>
        <w:keepNext/>
        <w:widowControl w:val="0"/>
        <w:tabs>
          <w:tab w:val="left" w:pos="7513"/>
        </w:tabs>
        <w:rPr>
          <w:color w:val="000000"/>
          <w:sz w:val="22"/>
          <w:szCs w:val="22"/>
          <w:lang w:val="fr-CH"/>
        </w:rPr>
      </w:pPr>
      <w:r w:rsidRPr="003A7F55">
        <w:rPr>
          <w:color w:val="000000"/>
          <w:sz w:val="22"/>
          <w:szCs w:val="22"/>
          <w:lang w:val="fr-CH"/>
        </w:rPr>
        <w:t>Lek d.d, PE PROIZVODNJA LENDAVA</w:t>
      </w:r>
    </w:p>
    <w:p w14:paraId="0F03BFDA" w14:textId="77777777" w:rsidR="00340A34" w:rsidRPr="00340A34" w:rsidRDefault="00340A34" w:rsidP="00340A34">
      <w:pPr>
        <w:keepNext/>
        <w:widowControl w:val="0"/>
        <w:tabs>
          <w:tab w:val="left" w:pos="7513"/>
        </w:tabs>
        <w:rPr>
          <w:color w:val="000000"/>
          <w:sz w:val="22"/>
          <w:szCs w:val="22"/>
          <w:lang w:val="fr-CH"/>
        </w:rPr>
      </w:pPr>
      <w:r w:rsidRPr="00340A34">
        <w:rPr>
          <w:color w:val="000000"/>
          <w:sz w:val="22"/>
          <w:szCs w:val="22"/>
          <w:lang w:val="fr-CH"/>
        </w:rPr>
        <w:t>Trimlini 2D</w:t>
      </w:r>
    </w:p>
    <w:p w14:paraId="1DE3DA7A" w14:textId="77777777" w:rsidR="00340A34" w:rsidRPr="008D0368" w:rsidRDefault="00340A34" w:rsidP="00340A34">
      <w:pPr>
        <w:keepNext/>
        <w:widowControl w:val="0"/>
        <w:tabs>
          <w:tab w:val="left" w:pos="7513"/>
        </w:tabs>
        <w:rPr>
          <w:color w:val="000000"/>
          <w:sz w:val="22"/>
          <w:szCs w:val="22"/>
          <w:lang w:val="es-ES"/>
        </w:rPr>
      </w:pPr>
      <w:r w:rsidRPr="008D0368">
        <w:rPr>
          <w:color w:val="000000"/>
          <w:sz w:val="22"/>
          <w:szCs w:val="22"/>
          <w:lang w:val="es-ES"/>
        </w:rPr>
        <w:t>Lendava, 9220</w:t>
      </w:r>
    </w:p>
    <w:p w14:paraId="49412A59" w14:textId="77777777" w:rsidR="00340A34" w:rsidRPr="008D0368" w:rsidRDefault="00340A34" w:rsidP="00340A34">
      <w:pPr>
        <w:pStyle w:val="Text"/>
        <w:widowControl w:val="0"/>
        <w:spacing w:before="0"/>
        <w:jc w:val="left"/>
        <w:rPr>
          <w:color w:val="000000"/>
          <w:sz w:val="22"/>
          <w:szCs w:val="22"/>
        </w:rPr>
      </w:pPr>
      <w:r w:rsidRPr="008D0368">
        <w:rPr>
          <w:color w:val="000000"/>
          <w:sz w:val="22"/>
          <w:szCs w:val="22"/>
        </w:rPr>
        <w:t>Eslovenia</w:t>
      </w:r>
    </w:p>
    <w:p w14:paraId="640282BA" w14:textId="77777777" w:rsidR="00340A34" w:rsidRPr="008D0368" w:rsidRDefault="00340A34" w:rsidP="00340A34">
      <w:pPr>
        <w:widowControl w:val="0"/>
        <w:ind w:right="-2"/>
        <w:rPr>
          <w:color w:val="000000"/>
          <w:sz w:val="22"/>
          <w:szCs w:val="22"/>
          <w:lang w:val="es-ES"/>
        </w:rPr>
      </w:pPr>
    </w:p>
    <w:p w14:paraId="4F5E1713" w14:textId="77777777" w:rsidR="0040333F" w:rsidRPr="008D0368" w:rsidRDefault="0040333F" w:rsidP="001001B7">
      <w:pPr>
        <w:pStyle w:val="EndnoteText"/>
        <w:keepNext/>
        <w:widowControl w:val="0"/>
        <w:numPr>
          <w:ilvl w:val="12"/>
          <w:numId w:val="0"/>
        </w:numPr>
        <w:tabs>
          <w:tab w:val="clear" w:pos="567"/>
        </w:tabs>
        <w:rPr>
          <w:color w:val="000000"/>
          <w:szCs w:val="22"/>
          <w:shd w:val="pct15" w:color="auto" w:fill="auto"/>
          <w:lang w:val="es-ES"/>
        </w:rPr>
      </w:pPr>
      <w:r w:rsidRPr="008D0368">
        <w:rPr>
          <w:color w:val="000000"/>
          <w:szCs w:val="22"/>
          <w:shd w:val="pct15" w:color="auto" w:fill="auto"/>
          <w:lang w:val="es-ES"/>
        </w:rPr>
        <w:t>Novartis Pharma GmbH</w:t>
      </w:r>
    </w:p>
    <w:p w14:paraId="67A81741" w14:textId="77777777" w:rsidR="0040333F" w:rsidRPr="008D0368" w:rsidRDefault="0040333F" w:rsidP="001001B7">
      <w:pPr>
        <w:pStyle w:val="EndnoteText"/>
        <w:keepNext/>
        <w:widowControl w:val="0"/>
        <w:numPr>
          <w:ilvl w:val="12"/>
          <w:numId w:val="0"/>
        </w:numPr>
        <w:tabs>
          <w:tab w:val="clear" w:pos="567"/>
        </w:tabs>
        <w:rPr>
          <w:color w:val="000000"/>
          <w:szCs w:val="22"/>
          <w:shd w:val="pct15" w:color="auto" w:fill="auto"/>
          <w:lang w:val="es-ES"/>
        </w:rPr>
      </w:pPr>
      <w:r w:rsidRPr="008D0368">
        <w:rPr>
          <w:color w:val="000000"/>
          <w:szCs w:val="22"/>
          <w:shd w:val="pct15" w:color="auto" w:fill="auto"/>
          <w:lang w:val="es-ES"/>
        </w:rPr>
        <w:t>Roonstrasse 25</w:t>
      </w:r>
    </w:p>
    <w:p w14:paraId="36911346" w14:textId="77777777" w:rsidR="0040333F" w:rsidRPr="008D0368" w:rsidRDefault="0040333F" w:rsidP="001001B7">
      <w:pPr>
        <w:pStyle w:val="EndnoteText"/>
        <w:keepNext/>
        <w:widowControl w:val="0"/>
        <w:numPr>
          <w:ilvl w:val="12"/>
          <w:numId w:val="0"/>
        </w:numPr>
        <w:tabs>
          <w:tab w:val="clear" w:pos="567"/>
        </w:tabs>
        <w:rPr>
          <w:color w:val="000000"/>
          <w:szCs w:val="22"/>
          <w:shd w:val="pct15" w:color="auto" w:fill="auto"/>
          <w:lang w:val="es-ES"/>
        </w:rPr>
      </w:pPr>
      <w:r w:rsidRPr="008D0368">
        <w:rPr>
          <w:color w:val="000000"/>
          <w:szCs w:val="22"/>
          <w:shd w:val="pct15" w:color="auto" w:fill="auto"/>
          <w:lang w:val="es-ES"/>
        </w:rPr>
        <w:t>D-90429 Nürnberg</w:t>
      </w:r>
    </w:p>
    <w:p w14:paraId="769D252A" w14:textId="77777777" w:rsidR="0040333F" w:rsidRPr="003A7F55" w:rsidRDefault="0040333F" w:rsidP="0040333F">
      <w:pPr>
        <w:pStyle w:val="EndnoteText"/>
        <w:widowControl w:val="0"/>
        <w:numPr>
          <w:ilvl w:val="12"/>
          <w:numId w:val="0"/>
        </w:numPr>
        <w:tabs>
          <w:tab w:val="clear" w:pos="567"/>
        </w:tabs>
        <w:rPr>
          <w:color w:val="000000"/>
          <w:szCs w:val="22"/>
          <w:shd w:val="pct15" w:color="auto" w:fill="auto"/>
          <w:lang w:val="es-ES"/>
        </w:rPr>
      </w:pPr>
      <w:r w:rsidRPr="003A7F55">
        <w:rPr>
          <w:color w:val="000000"/>
          <w:szCs w:val="22"/>
          <w:shd w:val="pct15" w:color="auto" w:fill="auto"/>
          <w:lang w:val="es-ES"/>
        </w:rPr>
        <w:t>Alemania</w:t>
      </w:r>
    </w:p>
    <w:p w14:paraId="05A7BA11" w14:textId="77777777" w:rsidR="0040333F" w:rsidRPr="002D741C" w:rsidRDefault="0040333F" w:rsidP="0040333F">
      <w:pPr>
        <w:widowControl w:val="0"/>
        <w:numPr>
          <w:ilvl w:val="12"/>
          <w:numId w:val="0"/>
        </w:numPr>
        <w:ind w:right="-2"/>
        <w:rPr>
          <w:color w:val="000000"/>
          <w:sz w:val="22"/>
          <w:szCs w:val="22"/>
          <w:lang w:val="es-ES"/>
        </w:rPr>
      </w:pPr>
    </w:p>
    <w:p w14:paraId="0E99D0C1" w14:textId="77777777" w:rsidR="0040333F" w:rsidRPr="002D741C" w:rsidRDefault="0040333F" w:rsidP="001001B7">
      <w:pPr>
        <w:keepNext/>
        <w:widowControl w:val="0"/>
        <w:numPr>
          <w:ilvl w:val="12"/>
          <w:numId w:val="0"/>
        </w:numPr>
        <w:ind w:right="-2"/>
        <w:rPr>
          <w:color w:val="000000"/>
          <w:sz w:val="22"/>
          <w:szCs w:val="22"/>
        </w:rPr>
      </w:pPr>
      <w:r w:rsidRPr="002D741C">
        <w:rPr>
          <w:color w:val="000000"/>
          <w:sz w:val="22"/>
          <w:szCs w:val="22"/>
        </w:rPr>
        <w:t>Pueden solicitar más información respecto a este medicamento dirigiéndose al representante local del titular de la autorización de comercialización</w:t>
      </w:r>
      <w:r w:rsidR="007F5E80" w:rsidRPr="002D741C">
        <w:rPr>
          <w:color w:val="000000"/>
          <w:sz w:val="22"/>
          <w:szCs w:val="22"/>
        </w:rPr>
        <w:t>:</w:t>
      </w:r>
    </w:p>
    <w:p w14:paraId="3DEA46E4" w14:textId="77777777" w:rsidR="008F5774" w:rsidRPr="002D741C" w:rsidRDefault="008F5774" w:rsidP="001001B7">
      <w:pPr>
        <w:keepNext/>
        <w:widowControl w:val="0"/>
        <w:ind w:right="-449"/>
        <w:rPr>
          <w:color w:val="000000"/>
          <w:sz w:val="22"/>
          <w:szCs w:val="22"/>
        </w:rPr>
      </w:pPr>
    </w:p>
    <w:tbl>
      <w:tblPr>
        <w:tblW w:w="9300" w:type="dxa"/>
        <w:tblLayout w:type="fixed"/>
        <w:tblLook w:val="0000" w:firstRow="0" w:lastRow="0" w:firstColumn="0" w:lastColumn="0" w:noHBand="0" w:noVBand="0"/>
      </w:tblPr>
      <w:tblGrid>
        <w:gridCol w:w="4650"/>
        <w:gridCol w:w="4650"/>
      </w:tblGrid>
      <w:tr w:rsidR="008F5774" w:rsidRPr="002D741C" w14:paraId="617BA142" w14:textId="77777777" w:rsidTr="005127D7">
        <w:trPr>
          <w:cantSplit/>
        </w:trPr>
        <w:tc>
          <w:tcPr>
            <w:tcW w:w="4650" w:type="dxa"/>
          </w:tcPr>
          <w:p w14:paraId="5FAE7D4E" w14:textId="77777777" w:rsidR="008F5774" w:rsidRPr="002D741C" w:rsidRDefault="008F5774" w:rsidP="001E1329">
            <w:pPr>
              <w:rPr>
                <w:b/>
                <w:color w:val="000000"/>
                <w:sz w:val="22"/>
                <w:szCs w:val="22"/>
                <w:lang w:val="fr-FR"/>
              </w:rPr>
            </w:pPr>
            <w:r w:rsidRPr="002D741C">
              <w:rPr>
                <w:b/>
                <w:color w:val="000000"/>
                <w:sz w:val="22"/>
                <w:szCs w:val="22"/>
                <w:lang w:val="fr-FR"/>
              </w:rPr>
              <w:t>België/Belgique/Belgien</w:t>
            </w:r>
          </w:p>
          <w:p w14:paraId="440A096E" w14:textId="77777777" w:rsidR="008F5774" w:rsidRPr="002D741C" w:rsidRDefault="008F5774" w:rsidP="001E1329">
            <w:pPr>
              <w:rPr>
                <w:color w:val="000000"/>
                <w:sz w:val="22"/>
                <w:szCs w:val="22"/>
                <w:lang w:val="fr-FR"/>
              </w:rPr>
            </w:pPr>
            <w:r w:rsidRPr="002D741C">
              <w:rPr>
                <w:color w:val="000000"/>
                <w:sz w:val="22"/>
                <w:szCs w:val="22"/>
                <w:lang w:val="fr-FR"/>
              </w:rPr>
              <w:t>Novartis Pharma N.V.</w:t>
            </w:r>
          </w:p>
          <w:p w14:paraId="5018909C" w14:textId="77777777" w:rsidR="008F5774" w:rsidRPr="002D741C" w:rsidRDefault="008F5774" w:rsidP="001E1329">
            <w:pPr>
              <w:rPr>
                <w:color w:val="000000"/>
                <w:sz w:val="22"/>
                <w:szCs w:val="22"/>
              </w:rPr>
            </w:pPr>
            <w:r w:rsidRPr="002D741C">
              <w:rPr>
                <w:color w:val="000000"/>
                <w:sz w:val="22"/>
                <w:szCs w:val="22"/>
              </w:rPr>
              <w:t>Tél/Tel: +32 2 246 16 11</w:t>
            </w:r>
          </w:p>
          <w:p w14:paraId="59708DBB" w14:textId="77777777" w:rsidR="008F5774" w:rsidRPr="002D741C" w:rsidRDefault="008F5774" w:rsidP="001E1329">
            <w:pPr>
              <w:rPr>
                <w:b/>
                <w:color w:val="000000"/>
                <w:sz w:val="22"/>
                <w:szCs w:val="22"/>
              </w:rPr>
            </w:pPr>
          </w:p>
        </w:tc>
        <w:tc>
          <w:tcPr>
            <w:tcW w:w="4650" w:type="dxa"/>
          </w:tcPr>
          <w:p w14:paraId="4DFA2FB3" w14:textId="77777777" w:rsidR="008F5774" w:rsidRPr="002D741C" w:rsidRDefault="008F5774" w:rsidP="001E1329">
            <w:pPr>
              <w:rPr>
                <w:b/>
                <w:color w:val="000000"/>
                <w:sz w:val="22"/>
                <w:szCs w:val="22"/>
                <w:lang w:val="es-ES"/>
              </w:rPr>
            </w:pPr>
            <w:r w:rsidRPr="002D741C">
              <w:rPr>
                <w:b/>
                <w:color w:val="000000"/>
                <w:sz w:val="22"/>
                <w:szCs w:val="22"/>
                <w:lang w:val="es-ES"/>
              </w:rPr>
              <w:t>Lietuva</w:t>
            </w:r>
          </w:p>
          <w:p w14:paraId="1204CE08" w14:textId="6BEE02DE" w:rsidR="00715D27" w:rsidRPr="002D741C" w:rsidRDefault="004A36AB" w:rsidP="00715D27">
            <w:pPr>
              <w:rPr>
                <w:sz w:val="22"/>
                <w:szCs w:val="22"/>
                <w:lang w:val="es-ES"/>
              </w:rPr>
            </w:pPr>
            <w:r w:rsidRPr="002D741C">
              <w:rPr>
                <w:sz w:val="22"/>
                <w:szCs w:val="22"/>
                <w:lang w:val="es-ES"/>
              </w:rPr>
              <w:t>SIA Novartis Baltics Lietuvos filialas</w:t>
            </w:r>
          </w:p>
          <w:p w14:paraId="5D60C0E0" w14:textId="77777777" w:rsidR="008F5774" w:rsidRPr="002D741C" w:rsidRDefault="008F5774" w:rsidP="001E1329">
            <w:pPr>
              <w:rPr>
                <w:color w:val="000000"/>
                <w:sz w:val="22"/>
                <w:szCs w:val="22"/>
              </w:rPr>
            </w:pPr>
            <w:r w:rsidRPr="002D741C">
              <w:rPr>
                <w:color w:val="000000"/>
                <w:sz w:val="22"/>
                <w:szCs w:val="22"/>
              </w:rPr>
              <w:t>Tel: +370 5 269 16 50</w:t>
            </w:r>
          </w:p>
          <w:p w14:paraId="63D44583" w14:textId="77777777" w:rsidR="008F5774" w:rsidRPr="002D741C" w:rsidRDefault="008F5774" w:rsidP="001E1329">
            <w:pPr>
              <w:rPr>
                <w:color w:val="000000"/>
                <w:sz w:val="22"/>
                <w:szCs w:val="22"/>
                <w:lang w:val="es-ES"/>
              </w:rPr>
            </w:pPr>
          </w:p>
        </w:tc>
      </w:tr>
      <w:tr w:rsidR="008F5774" w:rsidRPr="002D741C" w14:paraId="6CBD428C" w14:textId="77777777" w:rsidTr="005127D7">
        <w:trPr>
          <w:cantSplit/>
        </w:trPr>
        <w:tc>
          <w:tcPr>
            <w:tcW w:w="4650" w:type="dxa"/>
          </w:tcPr>
          <w:p w14:paraId="5EE645AE" w14:textId="77777777" w:rsidR="008F5774" w:rsidRPr="008D0368" w:rsidRDefault="008F5774" w:rsidP="001E1329">
            <w:pPr>
              <w:rPr>
                <w:b/>
                <w:noProof/>
                <w:color w:val="000000"/>
                <w:sz w:val="22"/>
                <w:szCs w:val="22"/>
                <w:lang w:val="es-ES"/>
              </w:rPr>
            </w:pPr>
            <w:r w:rsidRPr="002D741C">
              <w:rPr>
                <w:b/>
                <w:noProof/>
                <w:color w:val="000000"/>
                <w:sz w:val="22"/>
                <w:szCs w:val="22"/>
              </w:rPr>
              <w:t>България</w:t>
            </w:r>
          </w:p>
          <w:p w14:paraId="430C02D8" w14:textId="77777777" w:rsidR="009350AC" w:rsidRPr="008D0368" w:rsidRDefault="00C232A0" w:rsidP="001E1329">
            <w:pPr>
              <w:rPr>
                <w:sz w:val="22"/>
                <w:szCs w:val="22"/>
                <w:lang w:val="es-ES"/>
              </w:rPr>
            </w:pPr>
            <w:r w:rsidRPr="008D0368">
              <w:rPr>
                <w:sz w:val="22"/>
                <w:szCs w:val="22"/>
                <w:lang w:val="es-ES"/>
              </w:rPr>
              <w:t>Novartis Bulgaria EOOD</w:t>
            </w:r>
          </w:p>
          <w:p w14:paraId="3ED6021E" w14:textId="77777777" w:rsidR="008F5774" w:rsidRPr="002D741C" w:rsidRDefault="008F5774" w:rsidP="001E1329">
            <w:pPr>
              <w:rPr>
                <w:noProof/>
                <w:color w:val="000000"/>
                <w:sz w:val="22"/>
                <w:szCs w:val="22"/>
              </w:rPr>
            </w:pPr>
            <w:r w:rsidRPr="002D741C">
              <w:rPr>
                <w:noProof/>
                <w:color w:val="000000"/>
                <w:sz w:val="22"/>
                <w:szCs w:val="22"/>
              </w:rPr>
              <w:t>Тел.: +359 2 489 98 28</w:t>
            </w:r>
          </w:p>
          <w:p w14:paraId="331C1716" w14:textId="77777777" w:rsidR="008F5774" w:rsidRPr="002D741C" w:rsidRDefault="008F5774" w:rsidP="001E1329">
            <w:pPr>
              <w:rPr>
                <w:b/>
                <w:color w:val="000000"/>
                <w:sz w:val="22"/>
                <w:szCs w:val="22"/>
                <w:lang w:val="pt-BR"/>
              </w:rPr>
            </w:pPr>
          </w:p>
        </w:tc>
        <w:tc>
          <w:tcPr>
            <w:tcW w:w="4650" w:type="dxa"/>
          </w:tcPr>
          <w:p w14:paraId="57AE66D4" w14:textId="77777777" w:rsidR="008F5774" w:rsidRPr="002D741C" w:rsidRDefault="008F5774" w:rsidP="001E1329">
            <w:pPr>
              <w:rPr>
                <w:b/>
                <w:color w:val="000000"/>
                <w:sz w:val="22"/>
                <w:szCs w:val="22"/>
                <w:lang w:val="de-CH"/>
              </w:rPr>
            </w:pPr>
            <w:r w:rsidRPr="002D741C">
              <w:rPr>
                <w:b/>
                <w:color w:val="000000"/>
                <w:sz w:val="22"/>
                <w:szCs w:val="22"/>
                <w:lang w:val="de-CH"/>
              </w:rPr>
              <w:t>Luxembourg/Luxemburg</w:t>
            </w:r>
          </w:p>
          <w:p w14:paraId="58ABC9ED" w14:textId="77777777" w:rsidR="008F5774" w:rsidRPr="002D741C" w:rsidRDefault="008F5774" w:rsidP="001E1329">
            <w:pPr>
              <w:rPr>
                <w:color w:val="000000"/>
                <w:sz w:val="22"/>
                <w:szCs w:val="22"/>
                <w:lang w:val="de-CH"/>
              </w:rPr>
            </w:pPr>
            <w:r w:rsidRPr="002D741C">
              <w:rPr>
                <w:color w:val="000000"/>
                <w:sz w:val="22"/>
                <w:szCs w:val="22"/>
                <w:lang w:val="de-CH"/>
              </w:rPr>
              <w:t>Novartis Pharma N.V.</w:t>
            </w:r>
          </w:p>
          <w:p w14:paraId="516E6D0D" w14:textId="77777777" w:rsidR="008F5774" w:rsidRPr="002D741C" w:rsidRDefault="008F5774" w:rsidP="001E1329">
            <w:pPr>
              <w:rPr>
                <w:color w:val="000000"/>
                <w:sz w:val="22"/>
                <w:szCs w:val="22"/>
                <w:lang w:val="de-CH"/>
              </w:rPr>
            </w:pPr>
            <w:r w:rsidRPr="002D741C">
              <w:rPr>
                <w:color w:val="000000"/>
                <w:sz w:val="22"/>
                <w:szCs w:val="22"/>
                <w:lang w:val="de-CH"/>
              </w:rPr>
              <w:t>Tél/Tel: +32 2 246 16 11</w:t>
            </w:r>
          </w:p>
          <w:p w14:paraId="145A7167" w14:textId="77777777" w:rsidR="008F5774" w:rsidRPr="002D741C" w:rsidRDefault="008F5774" w:rsidP="001E1329">
            <w:pPr>
              <w:rPr>
                <w:color w:val="000000"/>
                <w:sz w:val="22"/>
                <w:szCs w:val="22"/>
                <w:lang w:val="de-CH"/>
              </w:rPr>
            </w:pPr>
          </w:p>
        </w:tc>
      </w:tr>
      <w:tr w:rsidR="008F5774" w:rsidRPr="001210C1" w14:paraId="007C5F43" w14:textId="77777777" w:rsidTr="005127D7">
        <w:trPr>
          <w:cantSplit/>
        </w:trPr>
        <w:tc>
          <w:tcPr>
            <w:tcW w:w="4650" w:type="dxa"/>
          </w:tcPr>
          <w:p w14:paraId="33AEF5AA" w14:textId="77777777" w:rsidR="008F5774" w:rsidRPr="002D741C" w:rsidRDefault="008F5774" w:rsidP="001E1329">
            <w:pPr>
              <w:rPr>
                <w:b/>
                <w:color w:val="000000"/>
                <w:sz w:val="22"/>
                <w:szCs w:val="22"/>
                <w:lang w:val="pt-BR"/>
              </w:rPr>
            </w:pPr>
            <w:r w:rsidRPr="002D741C">
              <w:rPr>
                <w:b/>
                <w:color w:val="000000"/>
                <w:sz w:val="22"/>
                <w:szCs w:val="22"/>
                <w:lang w:val="pt-BR"/>
              </w:rPr>
              <w:t>Česká republika</w:t>
            </w:r>
          </w:p>
          <w:p w14:paraId="5A133786" w14:textId="77777777" w:rsidR="008F5774" w:rsidRPr="002D741C" w:rsidRDefault="008F5774" w:rsidP="001E1329">
            <w:pPr>
              <w:rPr>
                <w:color w:val="000000"/>
                <w:sz w:val="22"/>
                <w:szCs w:val="22"/>
                <w:lang w:val="pt-BR"/>
              </w:rPr>
            </w:pPr>
            <w:r w:rsidRPr="002D741C">
              <w:rPr>
                <w:color w:val="000000"/>
                <w:sz w:val="22"/>
                <w:szCs w:val="22"/>
                <w:lang w:val="pt-BR"/>
              </w:rPr>
              <w:t>Novartis s.r.o.</w:t>
            </w:r>
          </w:p>
          <w:p w14:paraId="2E45F56F" w14:textId="77777777" w:rsidR="008F5774" w:rsidRPr="002D741C" w:rsidRDefault="008F5774" w:rsidP="001E1329">
            <w:pPr>
              <w:rPr>
                <w:color w:val="000000"/>
                <w:sz w:val="22"/>
                <w:szCs w:val="22"/>
              </w:rPr>
            </w:pPr>
            <w:r w:rsidRPr="002D741C">
              <w:rPr>
                <w:color w:val="000000"/>
                <w:sz w:val="22"/>
                <w:szCs w:val="22"/>
              </w:rPr>
              <w:t>Tel: +420 225 775 111</w:t>
            </w:r>
          </w:p>
          <w:p w14:paraId="4CE5706D" w14:textId="77777777" w:rsidR="008F5774" w:rsidRPr="002D741C" w:rsidRDefault="008F5774" w:rsidP="001E1329">
            <w:pPr>
              <w:rPr>
                <w:b/>
                <w:color w:val="000000"/>
                <w:sz w:val="22"/>
                <w:szCs w:val="22"/>
              </w:rPr>
            </w:pPr>
          </w:p>
        </w:tc>
        <w:tc>
          <w:tcPr>
            <w:tcW w:w="4650" w:type="dxa"/>
          </w:tcPr>
          <w:p w14:paraId="1916DBEB" w14:textId="77777777" w:rsidR="008F5774" w:rsidRPr="00DF6C0D" w:rsidRDefault="008F5774" w:rsidP="001E1329">
            <w:pPr>
              <w:rPr>
                <w:b/>
                <w:color w:val="000000"/>
                <w:sz w:val="22"/>
                <w:szCs w:val="22"/>
                <w:lang w:val="en-US"/>
              </w:rPr>
            </w:pPr>
            <w:r w:rsidRPr="00DF6C0D">
              <w:rPr>
                <w:b/>
                <w:color w:val="000000"/>
                <w:sz w:val="22"/>
                <w:szCs w:val="22"/>
                <w:lang w:val="en-US"/>
              </w:rPr>
              <w:t>Magyarország</w:t>
            </w:r>
          </w:p>
          <w:p w14:paraId="1CFF8371" w14:textId="77777777" w:rsidR="008F5774" w:rsidRPr="00DF6C0D" w:rsidRDefault="008F5774" w:rsidP="001E1329">
            <w:pPr>
              <w:rPr>
                <w:color w:val="000000"/>
                <w:sz w:val="22"/>
                <w:szCs w:val="22"/>
                <w:lang w:val="en-US"/>
              </w:rPr>
            </w:pPr>
            <w:r w:rsidRPr="00DF6C0D">
              <w:rPr>
                <w:color w:val="000000"/>
                <w:sz w:val="22"/>
                <w:szCs w:val="22"/>
                <w:lang w:val="en-US"/>
              </w:rPr>
              <w:t>Novartis Hungária Kft.</w:t>
            </w:r>
          </w:p>
          <w:p w14:paraId="11623AF4" w14:textId="77777777" w:rsidR="008F5774" w:rsidRPr="00DF6C0D" w:rsidRDefault="008F5774" w:rsidP="001E1329">
            <w:pPr>
              <w:rPr>
                <w:color w:val="000000"/>
                <w:sz w:val="22"/>
                <w:szCs w:val="22"/>
                <w:lang w:val="en-US"/>
              </w:rPr>
            </w:pPr>
            <w:r w:rsidRPr="00DF6C0D">
              <w:rPr>
                <w:color w:val="000000"/>
                <w:sz w:val="22"/>
                <w:szCs w:val="22"/>
                <w:lang w:val="en-US"/>
              </w:rPr>
              <w:t>Tel.: +36 1 457 65 00</w:t>
            </w:r>
          </w:p>
        </w:tc>
      </w:tr>
      <w:tr w:rsidR="008F5774" w:rsidRPr="002D741C" w14:paraId="1F505DB8" w14:textId="77777777" w:rsidTr="005127D7">
        <w:trPr>
          <w:cantSplit/>
        </w:trPr>
        <w:tc>
          <w:tcPr>
            <w:tcW w:w="4650" w:type="dxa"/>
          </w:tcPr>
          <w:p w14:paraId="3E5F3ECB" w14:textId="77777777" w:rsidR="008F5774" w:rsidRPr="002D741C" w:rsidRDefault="008F5774" w:rsidP="001E1329">
            <w:pPr>
              <w:rPr>
                <w:b/>
                <w:color w:val="000000"/>
                <w:sz w:val="22"/>
                <w:szCs w:val="22"/>
                <w:lang w:val="en-US"/>
              </w:rPr>
            </w:pPr>
            <w:r w:rsidRPr="002D741C">
              <w:rPr>
                <w:b/>
                <w:color w:val="000000"/>
                <w:sz w:val="22"/>
                <w:szCs w:val="22"/>
                <w:lang w:val="en-US"/>
              </w:rPr>
              <w:t>Danmark</w:t>
            </w:r>
          </w:p>
          <w:p w14:paraId="66F8C717" w14:textId="77777777" w:rsidR="008F5774" w:rsidRPr="002D741C" w:rsidRDefault="008F5774" w:rsidP="001E1329">
            <w:pPr>
              <w:rPr>
                <w:color w:val="000000"/>
                <w:sz w:val="22"/>
                <w:szCs w:val="22"/>
                <w:lang w:val="en-US"/>
              </w:rPr>
            </w:pPr>
            <w:r w:rsidRPr="002D741C">
              <w:rPr>
                <w:color w:val="000000"/>
                <w:sz w:val="22"/>
                <w:szCs w:val="22"/>
                <w:lang w:val="en-US"/>
              </w:rPr>
              <w:t>Novartis Healthcare A/S</w:t>
            </w:r>
          </w:p>
          <w:p w14:paraId="70FA9E63" w14:textId="77777777" w:rsidR="008F5774" w:rsidRPr="002D741C" w:rsidRDefault="008F5774" w:rsidP="001E1329">
            <w:pPr>
              <w:rPr>
                <w:color w:val="000000"/>
                <w:sz w:val="22"/>
                <w:szCs w:val="22"/>
                <w:lang w:val="en-US"/>
              </w:rPr>
            </w:pPr>
            <w:r w:rsidRPr="002D741C">
              <w:rPr>
                <w:color w:val="000000"/>
                <w:sz w:val="22"/>
                <w:szCs w:val="22"/>
                <w:lang w:val="en-US"/>
              </w:rPr>
              <w:t>Tlf: +45 39 16 84 00</w:t>
            </w:r>
          </w:p>
          <w:p w14:paraId="599B1E6B" w14:textId="77777777" w:rsidR="008F5774" w:rsidRPr="002D741C" w:rsidRDefault="008F5774" w:rsidP="001E1329">
            <w:pPr>
              <w:rPr>
                <w:b/>
                <w:color w:val="000000"/>
                <w:sz w:val="22"/>
                <w:szCs w:val="22"/>
                <w:lang w:val="en-US"/>
              </w:rPr>
            </w:pPr>
          </w:p>
        </w:tc>
        <w:tc>
          <w:tcPr>
            <w:tcW w:w="4650" w:type="dxa"/>
          </w:tcPr>
          <w:p w14:paraId="2EEAE2C9" w14:textId="77777777" w:rsidR="008F5774" w:rsidRPr="002D741C" w:rsidRDefault="008F5774" w:rsidP="001E1329">
            <w:pPr>
              <w:rPr>
                <w:b/>
                <w:color w:val="000000"/>
                <w:sz w:val="22"/>
                <w:szCs w:val="22"/>
                <w:lang w:val="pt-BR"/>
              </w:rPr>
            </w:pPr>
            <w:r w:rsidRPr="002D741C">
              <w:rPr>
                <w:b/>
                <w:color w:val="000000"/>
                <w:sz w:val="22"/>
                <w:szCs w:val="22"/>
                <w:lang w:val="pt-BR"/>
              </w:rPr>
              <w:t>Malta</w:t>
            </w:r>
          </w:p>
          <w:p w14:paraId="040B12CA" w14:textId="77777777" w:rsidR="008F5774" w:rsidRPr="002D741C" w:rsidRDefault="008F5774" w:rsidP="001E1329">
            <w:pPr>
              <w:rPr>
                <w:color w:val="000000"/>
                <w:sz w:val="22"/>
                <w:szCs w:val="22"/>
                <w:lang w:val="pt-BR"/>
              </w:rPr>
            </w:pPr>
            <w:r w:rsidRPr="002D741C">
              <w:rPr>
                <w:color w:val="000000"/>
                <w:sz w:val="22"/>
                <w:szCs w:val="22"/>
                <w:lang w:val="pt-BR"/>
              </w:rPr>
              <w:t>Novartis Pharma Services Inc.</w:t>
            </w:r>
          </w:p>
          <w:p w14:paraId="37DC73B9" w14:textId="77777777" w:rsidR="008F5774" w:rsidRPr="002D741C" w:rsidRDefault="008F5774" w:rsidP="001E1329">
            <w:pPr>
              <w:rPr>
                <w:color w:val="000000"/>
                <w:sz w:val="22"/>
                <w:szCs w:val="22"/>
              </w:rPr>
            </w:pPr>
            <w:r w:rsidRPr="002D741C">
              <w:rPr>
                <w:color w:val="000000"/>
                <w:sz w:val="22"/>
                <w:szCs w:val="22"/>
              </w:rPr>
              <w:t>Tel: +356 2122 2872</w:t>
            </w:r>
          </w:p>
        </w:tc>
      </w:tr>
      <w:tr w:rsidR="008F5774" w:rsidRPr="002D741C" w14:paraId="578741E1" w14:textId="77777777" w:rsidTr="005127D7">
        <w:trPr>
          <w:cantSplit/>
        </w:trPr>
        <w:tc>
          <w:tcPr>
            <w:tcW w:w="4650" w:type="dxa"/>
          </w:tcPr>
          <w:p w14:paraId="692829B1" w14:textId="77777777" w:rsidR="008F5774" w:rsidRPr="002D741C" w:rsidRDefault="008F5774" w:rsidP="001E1329">
            <w:pPr>
              <w:rPr>
                <w:b/>
                <w:color w:val="000000"/>
                <w:sz w:val="22"/>
                <w:szCs w:val="22"/>
                <w:lang w:val="de-CH"/>
              </w:rPr>
            </w:pPr>
            <w:r w:rsidRPr="002D741C">
              <w:rPr>
                <w:b/>
                <w:color w:val="000000"/>
                <w:sz w:val="22"/>
                <w:szCs w:val="22"/>
                <w:lang w:val="de-CH"/>
              </w:rPr>
              <w:t>Deutschland</w:t>
            </w:r>
          </w:p>
          <w:p w14:paraId="44D460F0" w14:textId="77777777" w:rsidR="008F5774" w:rsidRPr="002D741C" w:rsidRDefault="008F5774" w:rsidP="001E1329">
            <w:pPr>
              <w:rPr>
                <w:color w:val="000000"/>
                <w:sz w:val="22"/>
                <w:szCs w:val="22"/>
                <w:lang w:val="de-CH"/>
              </w:rPr>
            </w:pPr>
            <w:r w:rsidRPr="002D741C">
              <w:rPr>
                <w:color w:val="000000"/>
                <w:sz w:val="22"/>
                <w:szCs w:val="22"/>
                <w:lang w:val="de-CH"/>
              </w:rPr>
              <w:t>Novartis Pharma GmbH</w:t>
            </w:r>
          </w:p>
          <w:p w14:paraId="2297B7C6" w14:textId="77777777" w:rsidR="008F5774" w:rsidRPr="002D741C" w:rsidRDefault="008F5774" w:rsidP="001E1329">
            <w:pPr>
              <w:rPr>
                <w:color w:val="000000"/>
                <w:sz w:val="22"/>
                <w:szCs w:val="22"/>
                <w:lang w:val="de-CH"/>
              </w:rPr>
            </w:pPr>
            <w:r w:rsidRPr="002D741C">
              <w:rPr>
                <w:color w:val="000000"/>
                <w:sz w:val="22"/>
                <w:szCs w:val="22"/>
                <w:lang w:val="de-CH"/>
              </w:rPr>
              <w:t>Tel: +49 911 273 0</w:t>
            </w:r>
          </w:p>
          <w:p w14:paraId="3171DF94" w14:textId="77777777" w:rsidR="008F5774" w:rsidRPr="002D741C" w:rsidRDefault="008F5774" w:rsidP="001E1329">
            <w:pPr>
              <w:rPr>
                <w:b/>
                <w:color w:val="000000"/>
                <w:sz w:val="22"/>
                <w:szCs w:val="22"/>
                <w:lang w:val="de-CH"/>
              </w:rPr>
            </w:pPr>
          </w:p>
        </w:tc>
        <w:tc>
          <w:tcPr>
            <w:tcW w:w="4650" w:type="dxa"/>
          </w:tcPr>
          <w:p w14:paraId="789AF087" w14:textId="77777777" w:rsidR="008F5774" w:rsidRPr="002D741C" w:rsidRDefault="008F5774" w:rsidP="001E1329">
            <w:pPr>
              <w:rPr>
                <w:b/>
                <w:color w:val="000000"/>
                <w:sz w:val="22"/>
                <w:szCs w:val="22"/>
                <w:lang w:val="de-CH"/>
              </w:rPr>
            </w:pPr>
            <w:r w:rsidRPr="002D741C">
              <w:rPr>
                <w:b/>
                <w:color w:val="000000"/>
                <w:sz w:val="22"/>
                <w:szCs w:val="22"/>
                <w:lang w:val="de-CH"/>
              </w:rPr>
              <w:t>Nederland</w:t>
            </w:r>
          </w:p>
          <w:p w14:paraId="6B0A5AFC" w14:textId="77777777" w:rsidR="008F5774" w:rsidRPr="002D741C" w:rsidRDefault="008F5774" w:rsidP="001E1329">
            <w:pPr>
              <w:rPr>
                <w:color w:val="000000"/>
                <w:sz w:val="22"/>
                <w:szCs w:val="22"/>
                <w:lang w:val="de-CH"/>
              </w:rPr>
            </w:pPr>
            <w:r w:rsidRPr="002D741C">
              <w:rPr>
                <w:color w:val="000000"/>
                <w:sz w:val="22"/>
                <w:szCs w:val="22"/>
                <w:lang w:val="de-CH"/>
              </w:rPr>
              <w:t>Novartis Pharma B.V.</w:t>
            </w:r>
          </w:p>
          <w:p w14:paraId="07515DC7" w14:textId="24F0E394" w:rsidR="008F5774" w:rsidRPr="002D741C" w:rsidRDefault="008F5774" w:rsidP="00572575">
            <w:pPr>
              <w:rPr>
                <w:color w:val="000000"/>
                <w:sz w:val="22"/>
                <w:szCs w:val="22"/>
                <w:lang w:val="de-DE"/>
              </w:rPr>
            </w:pPr>
            <w:r w:rsidRPr="002D741C">
              <w:rPr>
                <w:color w:val="000000"/>
                <w:sz w:val="22"/>
                <w:szCs w:val="22"/>
                <w:lang w:val="de-DE"/>
              </w:rPr>
              <w:t xml:space="preserve">Tel: +31 </w:t>
            </w:r>
            <w:r w:rsidR="0022738C" w:rsidRPr="00C379C5">
              <w:rPr>
                <w:color w:val="000000"/>
                <w:sz w:val="22"/>
                <w:szCs w:val="22"/>
                <w:lang w:val="de-CH"/>
              </w:rPr>
              <w:t>88 04 52</w:t>
            </w:r>
            <w:r w:rsidR="00C379C5">
              <w:rPr>
                <w:color w:val="000000"/>
                <w:sz w:val="22"/>
                <w:szCs w:val="22"/>
                <w:lang w:val="de-CH"/>
              </w:rPr>
              <w:t xml:space="preserve"> </w:t>
            </w:r>
            <w:r w:rsidR="00572575" w:rsidRPr="002D741C">
              <w:rPr>
                <w:color w:val="000000"/>
                <w:sz w:val="22"/>
                <w:szCs w:val="22"/>
                <w:lang w:val="de-DE"/>
              </w:rPr>
              <w:t>555</w:t>
            </w:r>
          </w:p>
        </w:tc>
      </w:tr>
      <w:tr w:rsidR="008F5774" w:rsidRPr="001210C1" w14:paraId="52B33B5E" w14:textId="77777777" w:rsidTr="005127D7">
        <w:trPr>
          <w:cantSplit/>
        </w:trPr>
        <w:tc>
          <w:tcPr>
            <w:tcW w:w="4650" w:type="dxa"/>
          </w:tcPr>
          <w:p w14:paraId="7AF7437B" w14:textId="77777777" w:rsidR="008F5774" w:rsidRPr="002D741C" w:rsidRDefault="008F5774" w:rsidP="001E1329">
            <w:pPr>
              <w:rPr>
                <w:b/>
                <w:color w:val="000000"/>
                <w:sz w:val="22"/>
                <w:szCs w:val="22"/>
                <w:lang w:val="it-IT"/>
              </w:rPr>
            </w:pPr>
            <w:r w:rsidRPr="002D741C">
              <w:rPr>
                <w:b/>
                <w:color w:val="000000"/>
                <w:sz w:val="22"/>
                <w:szCs w:val="22"/>
                <w:lang w:val="it-IT"/>
              </w:rPr>
              <w:t>Eesti</w:t>
            </w:r>
          </w:p>
          <w:p w14:paraId="7AE4B15A" w14:textId="77777777" w:rsidR="00715D27" w:rsidRPr="002D741C" w:rsidRDefault="00715D27" w:rsidP="00715D27">
            <w:pPr>
              <w:rPr>
                <w:sz w:val="22"/>
                <w:szCs w:val="22"/>
                <w:lang w:val="it-IT"/>
              </w:rPr>
            </w:pPr>
            <w:r w:rsidRPr="002D741C">
              <w:rPr>
                <w:sz w:val="22"/>
                <w:szCs w:val="22"/>
                <w:lang w:val="it-IT"/>
              </w:rPr>
              <w:t>SIA Novartis Baltics Eesti filiaal</w:t>
            </w:r>
          </w:p>
          <w:p w14:paraId="3274CAA6" w14:textId="77777777" w:rsidR="008F5774" w:rsidRPr="002D741C" w:rsidRDefault="008F5774" w:rsidP="001E1329">
            <w:pPr>
              <w:rPr>
                <w:color w:val="000000"/>
                <w:sz w:val="22"/>
                <w:szCs w:val="22"/>
              </w:rPr>
            </w:pPr>
            <w:r w:rsidRPr="002D741C">
              <w:rPr>
                <w:color w:val="000000"/>
                <w:sz w:val="22"/>
                <w:szCs w:val="22"/>
              </w:rPr>
              <w:t>Tel: +372 66 30 810</w:t>
            </w:r>
          </w:p>
          <w:p w14:paraId="458F0D02" w14:textId="77777777" w:rsidR="008F5774" w:rsidRPr="002D741C" w:rsidRDefault="008F5774" w:rsidP="001E1329">
            <w:pPr>
              <w:rPr>
                <w:b/>
                <w:color w:val="000000"/>
                <w:sz w:val="22"/>
                <w:szCs w:val="22"/>
              </w:rPr>
            </w:pPr>
          </w:p>
        </w:tc>
        <w:tc>
          <w:tcPr>
            <w:tcW w:w="4650" w:type="dxa"/>
          </w:tcPr>
          <w:p w14:paraId="1BF2E33D" w14:textId="77777777" w:rsidR="008F5774" w:rsidRPr="002D741C" w:rsidRDefault="008F5774" w:rsidP="001E1329">
            <w:pPr>
              <w:rPr>
                <w:b/>
                <w:color w:val="000000"/>
                <w:sz w:val="22"/>
                <w:szCs w:val="22"/>
                <w:lang w:val="pt-BR"/>
              </w:rPr>
            </w:pPr>
            <w:r w:rsidRPr="002D741C">
              <w:rPr>
                <w:b/>
                <w:color w:val="000000"/>
                <w:sz w:val="22"/>
                <w:szCs w:val="22"/>
                <w:lang w:val="pt-BR"/>
              </w:rPr>
              <w:t>Norge</w:t>
            </w:r>
          </w:p>
          <w:p w14:paraId="50046903" w14:textId="77777777" w:rsidR="008F5774" w:rsidRPr="002D741C" w:rsidRDefault="008F5774" w:rsidP="001E1329">
            <w:pPr>
              <w:rPr>
                <w:color w:val="000000"/>
                <w:sz w:val="22"/>
                <w:szCs w:val="22"/>
                <w:lang w:val="pt-BR"/>
              </w:rPr>
            </w:pPr>
            <w:r w:rsidRPr="002D741C">
              <w:rPr>
                <w:color w:val="000000"/>
                <w:sz w:val="22"/>
                <w:szCs w:val="22"/>
                <w:lang w:val="pt-BR"/>
              </w:rPr>
              <w:t>Novartis Norge AS</w:t>
            </w:r>
          </w:p>
          <w:p w14:paraId="543D675D" w14:textId="77777777" w:rsidR="008F5774" w:rsidRPr="002D741C" w:rsidRDefault="008F5774" w:rsidP="001E1329">
            <w:pPr>
              <w:rPr>
                <w:color w:val="000000"/>
                <w:sz w:val="22"/>
                <w:szCs w:val="22"/>
                <w:lang w:val="pt-BR"/>
              </w:rPr>
            </w:pPr>
            <w:r w:rsidRPr="002D741C">
              <w:rPr>
                <w:color w:val="000000"/>
                <w:sz w:val="22"/>
                <w:szCs w:val="22"/>
                <w:lang w:val="pt-BR"/>
              </w:rPr>
              <w:t>Tlf: +47 23 05 20 00</w:t>
            </w:r>
          </w:p>
        </w:tc>
      </w:tr>
      <w:tr w:rsidR="008F5774" w:rsidRPr="008D0368" w14:paraId="530160F2" w14:textId="77777777" w:rsidTr="005127D7">
        <w:trPr>
          <w:cantSplit/>
        </w:trPr>
        <w:tc>
          <w:tcPr>
            <w:tcW w:w="4650" w:type="dxa"/>
          </w:tcPr>
          <w:p w14:paraId="40F96428" w14:textId="77777777" w:rsidR="008F5774" w:rsidRPr="002D741C" w:rsidRDefault="008F5774" w:rsidP="001E1329">
            <w:pPr>
              <w:rPr>
                <w:b/>
                <w:color w:val="000000"/>
                <w:sz w:val="22"/>
                <w:szCs w:val="22"/>
                <w:lang w:val="pt-BR"/>
              </w:rPr>
            </w:pPr>
            <w:r w:rsidRPr="002D741C">
              <w:rPr>
                <w:b/>
                <w:color w:val="000000"/>
                <w:sz w:val="22"/>
                <w:szCs w:val="22"/>
              </w:rPr>
              <w:t>Ελλάδα</w:t>
            </w:r>
          </w:p>
          <w:p w14:paraId="3A8438A9" w14:textId="77777777" w:rsidR="008F5774" w:rsidRPr="002D741C" w:rsidRDefault="008F5774" w:rsidP="001E1329">
            <w:pPr>
              <w:rPr>
                <w:color w:val="000000"/>
                <w:sz w:val="22"/>
                <w:szCs w:val="22"/>
                <w:lang w:val="pt-BR"/>
              </w:rPr>
            </w:pPr>
            <w:r w:rsidRPr="002D741C">
              <w:rPr>
                <w:color w:val="000000"/>
                <w:sz w:val="22"/>
                <w:szCs w:val="22"/>
                <w:lang w:val="pt-BR"/>
              </w:rPr>
              <w:t>Novartis (Hellas) A.E.B.E.</w:t>
            </w:r>
          </w:p>
          <w:p w14:paraId="7D7E74F8" w14:textId="77777777" w:rsidR="008F5774" w:rsidRPr="002D741C" w:rsidRDefault="008F5774" w:rsidP="001E1329">
            <w:pPr>
              <w:rPr>
                <w:color w:val="000000"/>
                <w:sz w:val="22"/>
                <w:szCs w:val="22"/>
                <w:lang w:val="pt-BR"/>
              </w:rPr>
            </w:pPr>
            <w:r w:rsidRPr="002D741C">
              <w:rPr>
                <w:color w:val="000000"/>
                <w:sz w:val="22"/>
                <w:szCs w:val="22"/>
              </w:rPr>
              <w:t>Τηλ</w:t>
            </w:r>
            <w:r w:rsidRPr="002D741C">
              <w:rPr>
                <w:color w:val="000000"/>
                <w:sz w:val="22"/>
                <w:szCs w:val="22"/>
                <w:lang w:val="pt-BR"/>
              </w:rPr>
              <w:t>: +30 210 281 17 12</w:t>
            </w:r>
          </w:p>
          <w:p w14:paraId="775A5C88" w14:textId="77777777" w:rsidR="008F5774" w:rsidRPr="002D741C" w:rsidRDefault="008F5774" w:rsidP="001E1329">
            <w:pPr>
              <w:rPr>
                <w:b/>
                <w:color w:val="000000"/>
                <w:sz w:val="22"/>
                <w:szCs w:val="22"/>
                <w:lang w:val="pt-BR"/>
              </w:rPr>
            </w:pPr>
          </w:p>
        </w:tc>
        <w:tc>
          <w:tcPr>
            <w:tcW w:w="4650" w:type="dxa"/>
          </w:tcPr>
          <w:p w14:paraId="609CB2C8" w14:textId="77777777" w:rsidR="008F5774" w:rsidRPr="002D741C" w:rsidRDefault="008F5774" w:rsidP="001E1329">
            <w:pPr>
              <w:rPr>
                <w:b/>
                <w:color w:val="000000"/>
                <w:sz w:val="22"/>
                <w:szCs w:val="22"/>
                <w:lang w:val="de-CH"/>
              </w:rPr>
            </w:pPr>
            <w:r w:rsidRPr="002D741C">
              <w:rPr>
                <w:b/>
                <w:color w:val="000000"/>
                <w:sz w:val="22"/>
                <w:szCs w:val="22"/>
                <w:lang w:val="de-CH"/>
              </w:rPr>
              <w:t>Österreich</w:t>
            </w:r>
          </w:p>
          <w:p w14:paraId="768399B7" w14:textId="77777777" w:rsidR="008F5774" w:rsidRPr="002D741C" w:rsidRDefault="008F5774" w:rsidP="001E1329">
            <w:pPr>
              <w:rPr>
                <w:color w:val="000000"/>
                <w:sz w:val="22"/>
                <w:szCs w:val="22"/>
                <w:lang w:val="de-CH"/>
              </w:rPr>
            </w:pPr>
            <w:r w:rsidRPr="002D741C">
              <w:rPr>
                <w:color w:val="000000"/>
                <w:sz w:val="22"/>
                <w:szCs w:val="22"/>
                <w:lang w:val="de-CH"/>
              </w:rPr>
              <w:t>Novartis Pharma GmbH</w:t>
            </w:r>
          </w:p>
          <w:p w14:paraId="31ACF35F" w14:textId="77777777" w:rsidR="008F5774" w:rsidRPr="002D741C" w:rsidRDefault="008F5774" w:rsidP="001E1329">
            <w:pPr>
              <w:rPr>
                <w:color w:val="000000"/>
                <w:sz w:val="22"/>
                <w:szCs w:val="22"/>
                <w:lang w:val="de-CH"/>
              </w:rPr>
            </w:pPr>
            <w:r w:rsidRPr="002D741C">
              <w:rPr>
                <w:color w:val="000000"/>
                <w:sz w:val="22"/>
                <w:szCs w:val="22"/>
                <w:lang w:val="de-CH"/>
              </w:rPr>
              <w:t>Tel: +43 1 86 6570</w:t>
            </w:r>
          </w:p>
        </w:tc>
      </w:tr>
      <w:tr w:rsidR="008F5774" w:rsidRPr="008D0368" w14:paraId="6B0C2D1E" w14:textId="77777777" w:rsidTr="005127D7">
        <w:trPr>
          <w:cantSplit/>
        </w:trPr>
        <w:tc>
          <w:tcPr>
            <w:tcW w:w="4650" w:type="dxa"/>
          </w:tcPr>
          <w:p w14:paraId="76F11128" w14:textId="77777777" w:rsidR="008F5774" w:rsidRPr="002D741C" w:rsidRDefault="008F5774" w:rsidP="001E1329">
            <w:pPr>
              <w:rPr>
                <w:b/>
                <w:color w:val="000000"/>
                <w:sz w:val="22"/>
                <w:szCs w:val="22"/>
                <w:lang w:val="es-ES"/>
              </w:rPr>
            </w:pPr>
            <w:r w:rsidRPr="002D741C">
              <w:rPr>
                <w:b/>
                <w:color w:val="000000"/>
                <w:sz w:val="22"/>
                <w:szCs w:val="22"/>
                <w:lang w:val="es-ES"/>
              </w:rPr>
              <w:t>España</w:t>
            </w:r>
          </w:p>
          <w:p w14:paraId="192C254B" w14:textId="77777777" w:rsidR="008F5774" w:rsidRPr="002D741C" w:rsidRDefault="008F5774" w:rsidP="001E1329">
            <w:pPr>
              <w:rPr>
                <w:color w:val="000000"/>
                <w:sz w:val="22"/>
                <w:szCs w:val="22"/>
                <w:lang w:val="es-ES"/>
              </w:rPr>
            </w:pPr>
            <w:r w:rsidRPr="002D741C">
              <w:rPr>
                <w:color w:val="000000"/>
                <w:sz w:val="22"/>
                <w:szCs w:val="22"/>
                <w:lang w:val="es-ES"/>
              </w:rPr>
              <w:t>Novartis Farmacéutica, S.A.</w:t>
            </w:r>
          </w:p>
          <w:p w14:paraId="4D9F682A" w14:textId="77777777" w:rsidR="008F5774" w:rsidRPr="002D741C" w:rsidRDefault="008F5774" w:rsidP="001E1329">
            <w:pPr>
              <w:rPr>
                <w:color w:val="000000"/>
                <w:sz w:val="22"/>
                <w:szCs w:val="22"/>
              </w:rPr>
            </w:pPr>
            <w:r w:rsidRPr="002D741C">
              <w:rPr>
                <w:color w:val="000000"/>
                <w:sz w:val="22"/>
                <w:szCs w:val="22"/>
              </w:rPr>
              <w:t>Tel: +34 93 306 42 00</w:t>
            </w:r>
          </w:p>
          <w:p w14:paraId="776BFCC1" w14:textId="77777777" w:rsidR="008F5774" w:rsidRPr="002D741C" w:rsidRDefault="008F5774" w:rsidP="001E1329">
            <w:pPr>
              <w:rPr>
                <w:b/>
                <w:color w:val="000000"/>
                <w:sz w:val="22"/>
                <w:szCs w:val="22"/>
              </w:rPr>
            </w:pPr>
          </w:p>
        </w:tc>
        <w:tc>
          <w:tcPr>
            <w:tcW w:w="4650" w:type="dxa"/>
          </w:tcPr>
          <w:p w14:paraId="04CC6EBB" w14:textId="77777777" w:rsidR="008F5774" w:rsidRPr="002D741C" w:rsidRDefault="008F5774" w:rsidP="001E1329">
            <w:pPr>
              <w:rPr>
                <w:b/>
                <w:color w:val="000000"/>
                <w:sz w:val="22"/>
                <w:szCs w:val="22"/>
                <w:lang w:val="pt-BR"/>
              </w:rPr>
            </w:pPr>
            <w:r w:rsidRPr="002D741C">
              <w:rPr>
                <w:b/>
                <w:color w:val="000000"/>
                <w:sz w:val="22"/>
                <w:szCs w:val="22"/>
                <w:lang w:val="pt-BR"/>
              </w:rPr>
              <w:t>Polska</w:t>
            </w:r>
          </w:p>
          <w:p w14:paraId="31C09DBA" w14:textId="77777777" w:rsidR="008F5774" w:rsidRPr="002D741C" w:rsidRDefault="008F5774" w:rsidP="001E1329">
            <w:pPr>
              <w:rPr>
                <w:color w:val="000000"/>
                <w:sz w:val="22"/>
                <w:szCs w:val="22"/>
                <w:lang w:val="pt-BR"/>
              </w:rPr>
            </w:pPr>
            <w:r w:rsidRPr="002D741C">
              <w:rPr>
                <w:color w:val="000000"/>
                <w:sz w:val="22"/>
                <w:szCs w:val="22"/>
                <w:lang w:val="pt-BR"/>
              </w:rPr>
              <w:t>Novartis Poland Sp. z o.o.</w:t>
            </w:r>
          </w:p>
          <w:p w14:paraId="456FBF56" w14:textId="77777777" w:rsidR="008F5774" w:rsidRPr="002D741C" w:rsidRDefault="008F5774" w:rsidP="001E1329">
            <w:pPr>
              <w:rPr>
                <w:color w:val="000000"/>
                <w:sz w:val="22"/>
                <w:szCs w:val="22"/>
                <w:lang w:val="pt-BR"/>
              </w:rPr>
            </w:pPr>
            <w:r w:rsidRPr="002D741C">
              <w:rPr>
                <w:color w:val="000000"/>
                <w:sz w:val="22"/>
                <w:szCs w:val="22"/>
                <w:lang w:val="pt-BR"/>
              </w:rPr>
              <w:t xml:space="preserve">Tel.: +48 22 </w:t>
            </w:r>
            <w:r w:rsidRPr="008D0368">
              <w:rPr>
                <w:sz w:val="22"/>
                <w:szCs w:val="22"/>
                <w:lang w:val="fr-CH"/>
              </w:rPr>
              <w:t>375 4888</w:t>
            </w:r>
          </w:p>
        </w:tc>
      </w:tr>
      <w:tr w:rsidR="008F5774" w:rsidRPr="002D741C" w14:paraId="3D2DDA74" w14:textId="77777777" w:rsidTr="005127D7">
        <w:trPr>
          <w:cantSplit/>
        </w:trPr>
        <w:tc>
          <w:tcPr>
            <w:tcW w:w="4650" w:type="dxa"/>
          </w:tcPr>
          <w:p w14:paraId="4D2BC0CC" w14:textId="77777777" w:rsidR="008F5774" w:rsidRPr="002D741C" w:rsidRDefault="008F5774" w:rsidP="001E1329">
            <w:pPr>
              <w:rPr>
                <w:b/>
                <w:color w:val="000000"/>
                <w:sz w:val="22"/>
                <w:szCs w:val="22"/>
                <w:lang w:val="fr-FR"/>
              </w:rPr>
            </w:pPr>
            <w:r w:rsidRPr="002D741C">
              <w:rPr>
                <w:b/>
                <w:color w:val="000000"/>
                <w:sz w:val="22"/>
                <w:szCs w:val="22"/>
                <w:lang w:val="fr-FR"/>
              </w:rPr>
              <w:t>France</w:t>
            </w:r>
          </w:p>
          <w:p w14:paraId="22903757" w14:textId="77777777" w:rsidR="008F5774" w:rsidRPr="002D741C" w:rsidRDefault="008F5774" w:rsidP="001E1329">
            <w:pPr>
              <w:rPr>
                <w:color w:val="000000"/>
                <w:sz w:val="22"/>
                <w:szCs w:val="22"/>
                <w:lang w:val="fr-FR"/>
              </w:rPr>
            </w:pPr>
            <w:r w:rsidRPr="002D741C">
              <w:rPr>
                <w:color w:val="000000"/>
                <w:sz w:val="22"/>
                <w:szCs w:val="22"/>
                <w:lang w:val="fr-FR"/>
              </w:rPr>
              <w:t>Novartis Pharma S.A.S.</w:t>
            </w:r>
          </w:p>
          <w:p w14:paraId="11A7C74B" w14:textId="77777777" w:rsidR="008F5774" w:rsidRPr="002D741C" w:rsidRDefault="008F5774" w:rsidP="001E1329">
            <w:pPr>
              <w:rPr>
                <w:color w:val="000000"/>
                <w:sz w:val="22"/>
                <w:szCs w:val="22"/>
                <w:lang w:val="fr-FR"/>
              </w:rPr>
            </w:pPr>
            <w:r w:rsidRPr="002D741C">
              <w:rPr>
                <w:color w:val="000000"/>
                <w:sz w:val="22"/>
                <w:szCs w:val="22"/>
                <w:lang w:val="fr-FR"/>
              </w:rPr>
              <w:t>Tél: +33 1 55 47 66 00</w:t>
            </w:r>
          </w:p>
          <w:p w14:paraId="6C95550C" w14:textId="77777777" w:rsidR="008F5774" w:rsidRPr="002D741C" w:rsidRDefault="008F5774" w:rsidP="001E1329">
            <w:pPr>
              <w:rPr>
                <w:b/>
                <w:color w:val="000000"/>
                <w:sz w:val="22"/>
                <w:szCs w:val="22"/>
                <w:lang w:val="fr-FR"/>
              </w:rPr>
            </w:pPr>
          </w:p>
        </w:tc>
        <w:tc>
          <w:tcPr>
            <w:tcW w:w="4650" w:type="dxa"/>
          </w:tcPr>
          <w:p w14:paraId="37EC8E2B" w14:textId="77777777" w:rsidR="008F5774" w:rsidRPr="002D741C" w:rsidRDefault="008F5774" w:rsidP="001E1329">
            <w:pPr>
              <w:rPr>
                <w:b/>
                <w:color w:val="000000"/>
                <w:sz w:val="22"/>
                <w:szCs w:val="22"/>
                <w:lang w:val="pt-BR"/>
              </w:rPr>
            </w:pPr>
            <w:r w:rsidRPr="002D741C">
              <w:rPr>
                <w:b/>
                <w:color w:val="000000"/>
                <w:sz w:val="22"/>
                <w:szCs w:val="22"/>
                <w:lang w:val="pt-BR"/>
              </w:rPr>
              <w:t>Portugal</w:t>
            </w:r>
          </w:p>
          <w:p w14:paraId="0916D52D" w14:textId="77777777" w:rsidR="008F5774" w:rsidRPr="002D741C" w:rsidRDefault="008F5774" w:rsidP="001E1329">
            <w:pPr>
              <w:rPr>
                <w:color w:val="000000"/>
                <w:sz w:val="22"/>
                <w:szCs w:val="22"/>
                <w:lang w:val="pt-BR"/>
              </w:rPr>
            </w:pPr>
            <w:r w:rsidRPr="002D741C">
              <w:rPr>
                <w:color w:val="000000"/>
                <w:sz w:val="22"/>
                <w:szCs w:val="22"/>
                <w:lang w:val="pt-BR"/>
              </w:rPr>
              <w:t>Novartis Farma - Produtos Farmacêuticos, S.A.</w:t>
            </w:r>
          </w:p>
          <w:p w14:paraId="4BFCD2C0" w14:textId="77777777" w:rsidR="008F5774" w:rsidRPr="002D741C" w:rsidRDefault="008F5774" w:rsidP="001E1329">
            <w:pPr>
              <w:rPr>
                <w:color w:val="000000"/>
                <w:sz w:val="22"/>
                <w:szCs w:val="22"/>
              </w:rPr>
            </w:pPr>
            <w:r w:rsidRPr="002D741C">
              <w:rPr>
                <w:color w:val="000000"/>
                <w:sz w:val="22"/>
                <w:szCs w:val="22"/>
              </w:rPr>
              <w:t>Tel: +351 21 000 8600</w:t>
            </w:r>
          </w:p>
        </w:tc>
      </w:tr>
      <w:tr w:rsidR="008F5774" w:rsidRPr="002D741C" w14:paraId="540243BF" w14:textId="77777777" w:rsidTr="005127D7">
        <w:trPr>
          <w:cantSplit/>
        </w:trPr>
        <w:tc>
          <w:tcPr>
            <w:tcW w:w="4650" w:type="dxa"/>
          </w:tcPr>
          <w:p w14:paraId="232271A7" w14:textId="77777777" w:rsidR="008F5774" w:rsidRPr="00C379C5" w:rsidRDefault="008F5774" w:rsidP="001E1329">
            <w:pPr>
              <w:rPr>
                <w:rFonts w:eastAsia="PMingLiU"/>
                <w:b/>
                <w:sz w:val="22"/>
                <w:szCs w:val="22"/>
                <w:lang w:val="en-GB"/>
              </w:rPr>
            </w:pPr>
            <w:r w:rsidRPr="00C379C5">
              <w:rPr>
                <w:rFonts w:eastAsia="PMingLiU"/>
                <w:b/>
                <w:sz w:val="22"/>
                <w:szCs w:val="22"/>
                <w:lang w:val="en-GB"/>
              </w:rPr>
              <w:t>Hrvatska</w:t>
            </w:r>
          </w:p>
          <w:p w14:paraId="7B6EE184" w14:textId="77777777" w:rsidR="008F5774" w:rsidRPr="00C379C5" w:rsidRDefault="008F5774" w:rsidP="001E1329">
            <w:pPr>
              <w:rPr>
                <w:sz w:val="22"/>
                <w:szCs w:val="22"/>
                <w:lang w:val="en-GB"/>
              </w:rPr>
            </w:pPr>
            <w:r w:rsidRPr="00C379C5">
              <w:rPr>
                <w:sz w:val="22"/>
                <w:szCs w:val="22"/>
                <w:lang w:val="en-GB"/>
              </w:rPr>
              <w:t>Novartis Hrvatska d.o.o.</w:t>
            </w:r>
          </w:p>
          <w:p w14:paraId="67CE7A97" w14:textId="77777777" w:rsidR="008F5774" w:rsidRPr="002D741C" w:rsidRDefault="008F5774" w:rsidP="001E1329">
            <w:pPr>
              <w:rPr>
                <w:sz w:val="22"/>
                <w:szCs w:val="22"/>
              </w:rPr>
            </w:pPr>
            <w:r w:rsidRPr="002D741C">
              <w:rPr>
                <w:sz w:val="22"/>
                <w:szCs w:val="22"/>
              </w:rPr>
              <w:t>Tel. +385 1 6274 220</w:t>
            </w:r>
          </w:p>
          <w:p w14:paraId="7741D396" w14:textId="77777777" w:rsidR="008F5774" w:rsidRPr="002D741C" w:rsidRDefault="008F5774" w:rsidP="001E1329">
            <w:pPr>
              <w:rPr>
                <w:b/>
                <w:color w:val="000000"/>
                <w:sz w:val="22"/>
                <w:szCs w:val="22"/>
                <w:lang w:val="fr-FR"/>
              </w:rPr>
            </w:pPr>
          </w:p>
        </w:tc>
        <w:tc>
          <w:tcPr>
            <w:tcW w:w="4650" w:type="dxa"/>
          </w:tcPr>
          <w:p w14:paraId="335F0E70" w14:textId="77777777" w:rsidR="008F5774" w:rsidRPr="002D741C" w:rsidRDefault="008F5774" w:rsidP="001E1329">
            <w:pPr>
              <w:rPr>
                <w:b/>
                <w:noProof/>
                <w:color w:val="000000"/>
                <w:sz w:val="22"/>
                <w:szCs w:val="22"/>
                <w:lang w:val="it-IT"/>
              </w:rPr>
            </w:pPr>
            <w:r w:rsidRPr="002D741C">
              <w:rPr>
                <w:b/>
                <w:noProof/>
                <w:color w:val="000000"/>
                <w:sz w:val="22"/>
                <w:szCs w:val="22"/>
                <w:lang w:val="it-IT"/>
              </w:rPr>
              <w:t>România</w:t>
            </w:r>
          </w:p>
          <w:p w14:paraId="60B9BCB9" w14:textId="77777777" w:rsidR="008F5774" w:rsidRPr="002D741C" w:rsidRDefault="008F5774" w:rsidP="001E1329">
            <w:pPr>
              <w:rPr>
                <w:noProof/>
                <w:color w:val="000000"/>
                <w:sz w:val="22"/>
                <w:szCs w:val="22"/>
                <w:lang w:val="it-IT"/>
              </w:rPr>
            </w:pPr>
            <w:r w:rsidRPr="002D741C">
              <w:rPr>
                <w:noProof/>
                <w:color w:val="000000"/>
                <w:sz w:val="22"/>
                <w:szCs w:val="22"/>
                <w:lang w:val="it-IT"/>
              </w:rPr>
              <w:t xml:space="preserve">Novartis Pharma Services </w:t>
            </w:r>
            <w:r w:rsidRPr="002D741C">
              <w:rPr>
                <w:color w:val="2F2F2F"/>
                <w:sz w:val="22"/>
                <w:szCs w:val="22"/>
              </w:rPr>
              <w:t>Romania SRL</w:t>
            </w:r>
          </w:p>
          <w:p w14:paraId="5089DD79" w14:textId="77777777" w:rsidR="008F5774" w:rsidRPr="002D741C" w:rsidRDefault="008F5774" w:rsidP="001E1329">
            <w:pPr>
              <w:rPr>
                <w:color w:val="000000"/>
                <w:sz w:val="22"/>
                <w:szCs w:val="22"/>
              </w:rPr>
            </w:pPr>
            <w:r w:rsidRPr="002D741C">
              <w:rPr>
                <w:noProof/>
                <w:color w:val="000000"/>
                <w:sz w:val="22"/>
                <w:szCs w:val="22"/>
                <w:lang w:val="it-IT"/>
              </w:rPr>
              <w:t>Tel: +40 21 31299 01</w:t>
            </w:r>
          </w:p>
        </w:tc>
      </w:tr>
      <w:tr w:rsidR="008F5774" w:rsidRPr="002D741C" w14:paraId="3FC1DA75" w14:textId="77777777" w:rsidTr="005127D7">
        <w:trPr>
          <w:cantSplit/>
        </w:trPr>
        <w:tc>
          <w:tcPr>
            <w:tcW w:w="4650" w:type="dxa"/>
          </w:tcPr>
          <w:p w14:paraId="75EDD997" w14:textId="77777777" w:rsidR="008F5774" w:rsidRPr="002D741C" w:rsidRDefault="008F5774" w:rsidP="001E1329">
            <w:pPr>
              <w:rPr>
                <w:b/>
                <w:color w:val="000000"/>
                <w:sz w:val="22"/>
                <w:szCs w:val="22"/>
                <w:lang w:val="en-US"/>
              </w:rPr>
            </w:pPr>
            <w:smartTag w:uri="urn:schemas-microsoft-com:office:smarttags" w:element="place">
              <w:smartTag w:uri="urn:schemas-microsoft-com:office:smarttags" w:element="country-region">
                <w:r w:rsidRPr="002D741C">
                  <w:rPr>
                    <w:b/>
                    <w:color w:val="000000"/>
                    <w:sz w:val="22"/>
                    <w:szCs w:val="22"/>
                    <w:lang w:val="en-US"/>
                  </w:rPr>
                  <w:t>Ireland</w:t>
                </w:r>
              </w:smartTag>
            </w:smartTag>
          </w:p>
          <w:p w14:paraId="40C16294" w14:textId="77777777" w:rsidR="008F5774" w:rsidRPr="002D741C" w:rsidRDefault="008F5774" w:rsidP="001E1329">
            <w:pPr>
              <w:rPr>
                <w:color w:val="000000"/>
                <w:sz w:val="22"/>
                <w:szCs w:val="22"/>
                <w:lang w:val="en-US"/>
              </w:rPr>
            </w:pPr>
            <w:r w:rsidRPr="002D741C">
              <w:rPr>
                <w:color w:val="000000"/>
                <w:sz w:val="22"/>
                <w:szCs w:val="22"/>
                <w:lang w:val="en-US"/>
              </w:rPr>
              <w:t>Novartis Ireland Limited</w:t>
            </w:r>
          </w:p>
          <w:p w14:paraId="55EF90D2" w14:textId="77777777" w:rsidR="008F5774" w:rsidRPr="002D741C" w:rsidRDefault="008F5774" w:rsidP="001E1329">
            <w:pPr>
              <w:rPr>
                <w:color w:val="000000"/>
                <w:sz w:val="22"/>
                <w:szCs w:val="22"/>
                <w:lang w:val="en-US"/>
              </w:rPr>
            </w:pPr>
            <w:r w:rsidRPr="002D741C">
              <w:rPr>
                <w:color w:val="000000"/>
                <w:sz w:val="22"/>
                <w:szCs w:val="22"/>
                <w:lang w:val="en-US"/>
              </w:rPr>
              <w:t>Tel: +353 1 260 12 55</w:t>
            </w:r>
          </w:p>
          <w:p w14:paraId="6293A5F3" w14:textId="77777777" w:rsidR="008F5774" w:rsidRPr="002D741C" w:rsidRDefault="008F5774" w:rsidP="001E1329">
            <w:pPr>
              <w:rPr>
                <w:b/>
                <w:color w:val="000000"/>
                <w:sz w:val="22"/>
                <w:szCs w:val="22"/>
                <w:lang w:val="en-US"/>
              </w:rPr>
            </w:pPr>
          </w:p>
        </w:tc>
        <w:tc>
          <w:tcPr>
            <w:tcW w:w="4650" w:type="dxa"/>
          </w:tcPr>
          <w:p w14:paraId="55523710" w14:textId="77777777" w:rsidR="008F5774" w:rsidRPr="002D741C" w:rsidRDefault="008F5774" w:rsidP="001E1329">
            <w:pPr>
              <w:rPr>
                <w:b/>
                <w:color w:val="000000"/>
                <w:sz w:val="22"/>
                <w:szCs w:val="22"/>
                <w:lang w:val="fr-FR"/>
              </w:rPr>
            </w:pPr>
            <w:r w:rsidRPr="002D741C">
              <w:rPr>
                <w:b/>
                <w:color w:val="000000"/>
                <w:sz w:val="22"/>
                <w:szCs w:val="22"/>
                <w:lang w:val="fr-FR"/>
              </w:rPr>
              <w:t>Slovenija</w:t>
            </w:r>
          </w:p>
          <w:p w14:paraId="4E174E35" w14:textId="77777777" w:rsidR="008F5774" w:rsidRPr="002D741C" w:rsidRDefault="008F5774" w:rsidP="001E1329">
            <w:pPr>
              <w:rPr>
                <w:color w:val="000000"/>
                <w:sz w:val="22"/>
                <w:szCs w:val="22"/>
                <w:lang w:val="fr-FR"/>
              </w:rPr>
            </w:pPr>
            <w:r w:rsidRPr="002D741C">
              <w:rPr>
                <w:color w:val="000000"/>
                <w:sz w:val="22"/>
                <w:szCs w:val="22"/>
                <w:lang w:val="fr-FR"/>
              </w:rPr>
              <w:t>Novartis Pharma Services Inc.</w:t>
            </w:r>
          </w:p>
          <w:p w14:paraId="6F202895" w14:textId="77777777" w:rsidR="008F5774" w:rsidRPr="002D741C" w:rsidRDefault="008F5774" w:rsidP="001E1329">
            <w:pPr>
              <w:rPr>
                <w:color w:val="000000"/>
                <w:sz w:val="22"/>
                <w:szCs w:val="22"/>
                <w:lang w:val="fr-FR"/>
              </w:rPr>
            </w:pPr>
            <w:r w:rsidRPr="002D741C">
              <w:rPr>
                <w:color w:val="000000"/>
                <w:sz w:val="22"/>
                <w:szCs w:val="22"/>
                <w:lang w:val="fr-FR"/>
              </w:rPr>
              <w:t>Tel: +386 1 300 75 50</w:t>
            </w:r>
          </w:p>
        </w:tc>
      </w:tr>
      <w:tr w:rsidR="008F5774" w:rsidRPr="002D741C" w14:paraId="3F4335E4" w14:textId="77777777" w:rsidTr="005127D7">
        <w:trPr>
          <w:cantSplit/>
        </w:trPr>
        <w:tc>
          <w:tcPr>
            <w:tcW w:w="4650" w:type="dxa"/>
          </w:tcPr>
          <w:p w14:paraId="0AE69DF0" w14:textId="77777777" w:rsidR="008F5774" w:rsidRPr="002D741C" w:rsidRDefault="008F5774" w:rsidP="001E1329">
            <w:pPr>
              <w:rPr>
                <w:b/>
                <w:color w:val="000000"/>
                <w:sz w:val="22"/>
                <w:szCs w:val="22"/>
              </w:rPr>
            </w:pPr>
            <w:r w:rsidRPr="002D741C">
              <w:rPr>
                <w:b/>
                <w:color w:val="000000"/>
                <w:sz w:val="22"/>
                <w:szCs w:val="22"/>
              </w:rPr>
              <w:t>Ísland</w:t>
            </w:r>
          </w:p>
          <w:p w14:paraId="4C45B516" w14:textId="77777777" w:rsidR="008F5774" w:rsidRPr="002D741C" w:rsidRDefault="008F5774" w:rsidP="001E1329">
            <w:pPr>
              <w:rPr>
                <w:color w:val="000000"/>
                <w:sz w:val="22"/>
                <w:szCs w:val="22"/>
              </w:rPr>
            </w:pPr>
            <w:r w:rsidRPr="002D741C">
              <w:rPr>
                <w:color w:val="000000"/>
                <w:sz w:val="22"/>
                <w:szCs w:val="22"/>
              </w:rPr>
              <w:t>Vistor hf.</w:t>
            </w:r>
          </w:p>
          <w:p w14:paraId="2940EFF9" w14:textId="77777777" w:rsidR="008F5774" w:rsidRPr="002D741C" w:rsidRDefault="008F5774" w:rsidP="001E1329">
            <w:pPr>
              <w:rPr>
                <w:color w:val="000000"/>
                <w:sz w:val="22"/>
                <w:szCs w:val="22"/>
              </w:rPr>
            </w:pPr>
            <w:r w:rsidRPr="002D741C">
              <w:rPr>
                <w:noProof/>
                <w:color w:val="000000"/>
                <w:sz w:val="22"/>
                <w:szCs w:val="22"/>
                <w:lang w:val="it-IT"/>
              </w:rPr>
              <w:t>S</w:t>
            </w:r>
            <w:r w:rsidRPr="002D741C">
              <w:rPr>
                <w:noProof/>
                <w:color w:val="000000"/>
                <w:sz w:val="22"/>
                <w:szCs w:val="22"/>
                <w:lang w:val="cs-CZ"/>
              </w:rPr>
              <w:t>í</w:t>
            </w:r>
            <w:r w:rsidRPr="002D741C">
              <w:rPr>
                <w:noProof/>
                <w:color w:val="000000"/>
                <w:sz w:val="22"/>
                <w:szCs w:val="22"/>
                <w:lang w:val="it-IT"/>
              </w:rPr>
              <w:t>mi</w:t>
            </w:r>
            <w:r w:rsidRPr="002D741C">
              <w:rPr>
                <w:color w:val="000000"/>
                <w:sz w:val="22"/>
                <w:szCs w:val="22"/>
              </w:rPr>
              <w:t>: +354 535 7000</w:t>
            </w:r>
          </w:p>
          <w:p w14:paraId="3B42FB46" w14:textId="77777777" w:rsidR="008F5774" w:rsidRPr="002D741C" w:rsidRDefault="008F5774" w:rsidP="001E1329">
            <w:pPr>
              <w:rPr>
                <w:b/>
                <w:color w:val="000000"/>
                <w:sz w:val="22"/>
                <w:szCs w:val="22"/>
              </w:rPr>
            </w:pPr>
          </w:p>
        </w:tc>
        <w:tc>
          <w:tcPr>
            <w:tcW w:w="4650" w:type="dxa"/>
          </w:tcPr>
          <w:p w14:paraId="13AE81C7" w14:textId="77777777" w:rsidR="008F5774" w:rsidRPr="002D741C" w:rsidRDefault="008F5774" w:rsidP="001E1329">
            <w:pPr>
              <w:rPr>
                <w:b/>
                <w:color w:val="000000"/>
                <w:sz w:val="22"/>
                <w:szCs w:val="22"/>
                <w:lang w:val="it-IT"/>
              </w:rPr>
            </w:pPr>
            <w:r w:rsidRPr="002D741C">
              <w:rPr>
                <w:b/>
                <w:color w:val="000000"/>
                <w:sz w:val="22"/>
                <w:szCs w:val="22"/>
                <w:lang w:val="it-IT"/>
              </w:rPr>
              <w:t>Slovenská republika</w:t>
            </w:r>
          </w:p>
          <w:p w14:paraId="28B55E80" w14:textId="77777777" w:rsidR="008F5774" w:rsidRPr="002D741C" w:rsidRDefault="008F5774" w:rsidP="001E1329">
            <w:pPr>
              <w:rPr>
                <w:color w:val="000000"/>
                <w:sz w:val="22"/>
                <w:szCs w:val="22"/>
                <w:lang w:val="it-IT"/>
              </w:rPr>
            </w:pPr>
            <w:r w:rsidRPr="002D741C">
              <w:rPr>
                <w:color w:val="000000"/>
                <w:sz w:val="22"/>
                <w:szCs w:val="22"/>
                <w:lang w:val="it-IT"/>
              </w:rPr>
              <w:t>Novartis Slovakia s.r.o.</w:t>
            </w:r>
          </w:p>
          <w:p w14:paraId="50F7189C" w14:textId="77777777" w:rsidR="008F5774" w:rsidRPr="002D741C" w:rsidRDefault="008F5774" w:rsidP="001E1329">
            <w:pPr>
              <w:rPr>
                <w:color w:val="000000"/>
                <w:sz w:val="22"/>
                <w:szCs w:val="22"/>
              </w:rPr>
            </w:pPr>
            <w:r w:rsidRPr="002D741C">
              <w:rPr>
                <w:color w:val="000000"/>
                <w:sz w:val="22"/>
                <w:szCs w:val="22"/>
              </w:rPr>
              <w:t>Tel: +421 2 5542 5439</w:t>
            </w:r>
          </w:p>
          <w:p w14:paraId="3277F6C8" w14:textId="77777777" w:rsidR="008F5774" w:rsidRPr="002D741C" w:rsidRDefault="008F5774" w:rsidP="001E1329">
            <w:pPr>
              <w:rPr>
                <w:color w:val="000000"/>
                <w:sz w:val="22"/>
                <w:szCs w:val="22"/>
              </w:rPr>
            </w:pPr>
          </w:p>
        </w:tc>
      </w:tr>
      <w:tr w:rsidR="008F5774" w:rsidRPr="001210C1" w14:paraId="7F7F0DBC" w14:textId="77777777" w:rsidTr="005127D7">
        <w:trPr>
          <w:cantSplit/>
        </w:trPr>
        <w:tc>
          <w:tcPr>
            <w:tcW w:w="4650" w:type="dxa"/>
          </w:tcPr>
          <w:p w14:paraId="10774080" w14:textId="77777777" w:rsidR="008F5774" w:rsidRPr="002D741C" w:rsidRDefault="008F5774" w:rsidP="001E1329">
            <w:pPr>
              <w:rPr>
                <w:b/>
                <w:color w:val="000000"/>
                <w:sz w:val="22"/>
                <w:szCs w:val="22"/>
                <w:lang w:val="pt-BR"/>
              </w:rPr>
            </w:pPr>
            <w:r w:rsidRPr="002D741C">
              <w:rPr>
                <w:b/>
                <w:color w:val="000000"/>
                <w:sz w:val="22"/>
                <w:szCs w:val="22"/>
                <w:lang w:val="pt-BR"/>
              </w:rPr>
              <w:t>Italia</w:t>
            </w:r>
          </w:p>
          <w:p w14:paraId="49F22BB7" w14:textId="77777777" w:rsidR="008F5774" w:rsidRPr="002D741C" w:rsidRDefault="008F5774" w:rsidP="001E1329">
            <w:pPr>
              <w:rPr>
                <w:color w:val="000000"/>
                <w:sz w:val="22"/>
                <w:szCs w:val="22"/>
                <w:lang w:val="pt-BR"/>
              </w:rPr>
            </w:pPr>
            <w:r w:rsidRPr="002D741C">
              <w:rPr>
                <w:color w:val="000000"/>
                <w:sz w:val="22"/>
                <w:szCs w:val="22"/>
                <w:lang w:val="pt-BR"/>
              </w:rPr>
              <w:t>Novartis Farma S.p.A.</w:t>
            </w:r>
          </w:p>
          <w:p w14:paraId="6A83F4AD" w14:textId="77777777" w:rsidR="008F5774" w:rsidRPr="002D741C" w:rsidRDefault="008F5774" w:rsidP="001E1329">
            <w:pPr>
              <w:rPr>
                <w:b/>
                <w:color w:val="000000"/>
                <w:sz w:val="22"/>
                <w:szCs w:val="22"/>
              </w:rPr>
            </w:pPr>
            <w:r w:rsidRPr="002D741C">
              <w:rPr>
                <w:color w:val="000000"/>
                <w:sz w:val="22"/>
                <w:szCs w:val="22"/>
              </w:rPr>
              <w:t>Tel: +39 02 96 54 1</w:t>
            </w:r>
          </w:p>
        </w:tc>
        <w:tc>
          <w:tcPr>
            <w:tcW w:w="4650" w:type="dxa"/>
          </w:tcPr>
          <w:p w14:paraId="634E91F3" w14:textId="77777777" w:rsidR="008F5774" w:rsidRPr="002D741C" w:rsidRDefault="008F5774" w:rsidP="001E1329">
            <w:pPr>
              <w:rPr>
                <w:b/>
                <w:color w:val="000000"/>
                <w:sz w:val="22"/>
                <w:szCs w:val="22"/>
                <w:lang w:val="fr-FR"/>
              </w:rPr>
            </w:pPr>
            <w:r w:rsidRPr="002D741C">
              <w:rPr>
                <w:b/>
                <w:color w:val="000000"/>
                <w:sz w:val="22"/>
                <w:szCs w:val="22"/>
                <w:lang w:val="fr-FR"/>
              </w:rPr>
              <w:t>Suomi/Finland</w:t>
            </w:r>
          </w:p>
          <w:p w14:paraId="5841EFD7" w14:textId="77777777" w:rsidR="008F5774" w:rsidRPr="002D741C" w:rsidRDefault="008F5774" w:rsidP="001E1329">
            <w:pPr>
              <w:rPr>
                <w:color w:val="000000"/>
                <w:sz w:val="22"/>
                <w:szCs w:val="22"/>
                <w:lang w:val="fr-FR"/>
              </w:rPr>
            </w:pPr>
            <w:r w:rsidRPr="002D741C">
              <w:rPr>
                <w:color w:val="000000"/>
                <w:sz w:val="22"/>
                <w:szCs w:val="22"/>
                <w:lang w:val="fr-FR"/>
              </w:rPr>
              <w:t>Novartis Finland Oy</w:t>
            </w:r>
          </w:p>
          <w:p w14:paraId="749AFFC4" w14:textId="77777777" w:rsidR="008F5774" w:rsidRPr="002D741C" w:rsidRDefault="008F5774" w:rsidP="001E1329">
            <w:pPr>
              <w:rPr>
                <w:color w:val="000000"/>
                <w:sz w:val="22"/>
                <w:szCs w:val="22"/>
                <w:lang w:val="fr-FR"/>
              </w:rPr>
            </w:pPr>
            <w:r w:rsidRPr="002D741C">
              <w:rPr>
                <w:color w:val="000000"/>
                <w:sz w:val="22"/>
                <w:szCs w:val="22"/>
                <w:lang w:val="fr-FR"/>
              </w:rPr>
              <w:t xml:space="preserve">Puh/Tel: </w:t>
            </w:r>
            <w:r w:rsidRPr="002D741C">
              <w:rPr>
                <w:color w:val="000000"/>
                <w:sz w:val="22"/>
                <w:szCs w:val="22"/>
                <w:lang w:val="de-CH" w:bidi="he-IL"/>
              </w:rPr>
              <w:t>+358 (0)10 6133 200</w:t>
            </w:r>
          </w:p>
          <w:p w14:paraId="7952FB49" w14:textId="77777777" w:rsidR="008F5774" w:rsidRPr="002D741C" w:rsidRDefault="008F5774" w:rsidP="001E1329">
            <w:pPr>
              <w:rPr>
                <w:color w:val="000000"/>
                <w:sz w:val="22"/>
                <w:szCs w:val="22"/>
                <w:lang w:val="fr-FR"/>
              </w:rPr>
            </w:pPr>
          </w:p>
        </w:tc>
      </w:tr>
      <w:tr w:rsidR="008F5774" w:rsidRPr="008D0368" w14:paraId="765CF4AB" w14:textId="77777777" w:rsidTr="005127D7">
        <w:trPr>
          <w:cantSplit/>
        </w:trPr>
        <w:tc>
          <w:tcPr>
            <w:tcW w:w="4650" w:type="dxa"/>
          </w:tcPr>
          <w:p w14:paraId="483EECFE" w14:textId="77777777" w:rsidR="008F5774" w:rsidRPr="002D741C" w:rsidRDefault="008F5774" w:rsidP="001E1329">
            <w:pPr>
              <w:rPr>
                <w:b/>
                <w:color w:val="000000"/>
                <w:sz w:val="22"/>
                <w:szCs w:val="22"/>
                <w:lang w:val="fr-FR"/>
              </w:rPr>
            </w:pPr>
            <w:r w:rsidRPr="002D741C">
              <w:rPr>
                <w:b/>
                <w:color w:val="000000"/>
                <w:sz w:val="22"/>
                <w:szCs w:val="22"/>
              </w:rPr>
              <w:lastRenderedPageBreak/>
              <w:t>Κύπρος</w:t>
            </w:r>
          </w:p>
          <w:p w14:paraId="3116A451" w14:textId="77777777" w:rsidR="008F5774" w:rsidRPr="002D741C" w:rsidRDefault="008F5774" w:rsidP="001E1329">
            <w:pPr>
              <w:rPr>
                <w:color w:val="000000"/>
                <w:sz w:val="22"/>
                <w:szCs w:val="22"/>
                <w:lang w:val="fr-FR"/>
              </w:rPr>
            </w:pPr>
            <w:r w:rsidRPr="002D741C">
              <w:rPr>
                <w:color w:val="000000"/>
                <w:sz w:val="22"/>
                <w:szCs w:val="22"/>
                <w:lang w:val="fr-FR" w:bidi="he-IL"/>
              </w:rPr>
              <w:t>Novartis Pharma Services Inc.</w:t>
            </w:r>
          </w:p>
          <w:p w14:paraId="4CAA7B4F" w14:textId="77777777" w:rsidR="008F5774" w:rsidRPr="002D741C" w:rsidRDefault="008F5774" w:rsidP="001E1329">
            <w:pPr>
              <w:rPr>
                <w:color w:val="000000"/>
                <w:sz w:val="22"/>
                <w:szCs w:val="22"/>
                <w:lang w:val="fr-FR"/>
              </w:rPr>
            </w:pPr>
            <w:r w:rsidRPr="002D741C">
              <w:rPr>
                <w:color w:val="000000"/>
                <w:sz w:val="22"/>
                <w:szCs w:val="22"/>
              </w:rPr>
              <w:t>Τηλ</w:t>
            </w:r>
            <w:r w:rsidRPr="002D741C">
              <w:rPr>
                <w:color w:val="000000"/>
                <w:sz w:val="22"/>
                <w:szCs w:val="22"/>
                <w:lang w:val="fr-FR"/>
              </w:rPr>
              <w:t>: +357 22 690 690</w:t>
            </w:r>
          </w:p>
          <w:p w14:paraId="43497544" w14:textId="77777777" w:rsidR="008F5774" w:rsidRPr="002D741C" w:rsidRDefault="008F5774" w:rsidP="001E1329">
            <w:pPr>
              <w:rPr>
                <w:b/>
                <w:color w:val="000000"/>
                <w:sz w:val="22"/>
                <w:szCs w:val="22"/>
                <w:lang w:val="fr-FR"/>
              </w:rPr>
            </w:pPr>
          </w:p>
        </w:tc>
        <w:tc>
          <w:tcPr>
            <w:tcW w:w="4650" w:type="dxa"/>
          </w:tcPr>
          <w:p w14:paraId="74249D4C" w14:textId="77777777" w:rsidR="008F5774" w:rsidRPr="002D741C" w:rsidRDefault="008F5774" w:rsidP="001E1329">
            <w:pPr>
              <w:rPr>
                <w:b/>
                <w:color w:val="000000"/>
                <w:sz w:val="22"/>
                <w:szCs w:val="22"/>
                <w:lang w:val="de-CH"/>
              </w:rPr>
            </w:pPr>
            <w:r w:rsidRPr="002D741C">
              <w:rPr>
                <w:b/>
                <w:color w:val="000000"/>
                <w:sz w:val="22"/>
                <w:szCs w:val="22"/>
                <w:lang w:val="de-CH"/>
              </w:rPr>
              <w:t>Sverige</w:t>
            </w:r>
          </w:p>
          <w:p w14:paraId="3BB36685" w14:textId="77777777" w:rsidR="008F5774" w:rsidRPr="002D741C" w:rsidRDefault="008F5774" w:rsidP="001E1329">
            <w:pPr>
              <w:rPr>
                <w:color w:val="000000"/>
                <w:sz w:val="22"/>
                <w:szCs w:val="22"/>
                <w:lang w:val="de-CH"/>
              </w:rPr>
            </w:pPr>
            <w:r w:rsidRPr="002D741C">
              <w:rPr>
                <w:color w:val="000000"/>
                <w:sz w:val="22"/>
                <w:szCs w:val="22"/>
                <w:lang w:val="de-CH"/>
              </w:rPr>
              <w:t>Novartis Sverige AB</w:t>
            </w:r>
          </w:p>
          <w:p w14:paraId="6C70C42C" w14:textId="77777777" w:rsidR="008F5774" w:rsidRPr="002D741C" w:rsidRDefault="008F5774" w:rsidP="001E1329">
            <w:pPr>
              <w:rPr>
                <w:color w:val="000000"/>
                <w:sz w:val="22"/>
                <w:szCs w:val="22"/>
                <w:lang w:val="de-CH"/>
              </w:rPr>
            </w:pPr>
            <w:r w:rsidRPr="002D741C">
              <w:rPr>
                <w:color w:val="000000"/>
                <w:sz w:val="22"/>
                <w:szCs w:val="22"/>
                <w:lang w:val="de-CH"/>
              </w:rPr>
              <w:t>Tel: +46 8 732 32 00</w:t>
            </w:r>
          </w:p>
          <w:p w14:paraId="3D22AD3E" w14:textId="77777777" w:rsidR="008F5774" w:rsidRPr="002D741C" w:rsidRDefault="008F5774" w:rsidP="001E1329">
            <w:pPr>
              <w:rPr>
                <w:color w:val="000000"/>
                <w:sz w:val="22"/>
                <w:szCs w:val="22"/>
                <w:lang w:val="de-CH"/>
              </w:rPr>
            </w:pPr>
          </w:p>
        </w:tc>
      </w:tr>
      <w:tr w:rsidR="008F5774" w:rsidRPr="002D741C" w14:paraId="2ADBCD28" w14:textId="77777777" w:rsidTr="005127D7">
        <w:trPr>
          <w:cantSplit/>
        </w:trPr>
        <w:tc>
          <w:tcPr>
            <w:tcW w:w="4650" w:type="dxa"/>
          </w:tcPr>
          <w:p w14:paraId="67233975" w14:textId="77777777" w:rsidR="008F5774" w:rsidRPr="002D741C" w:rsidRDefault="008F5774" w:rsidP="001E1329">
            <w:pPr>
              <w:rPr>
                <w:b/>
                <w:color w:val="000000"/>
                <w:sz w:val="22"/>
                <w:szCs w:val="22"/>
                <w:lang w:val="it-IT"/>
              </w:rPr>
            </w:pPr>
            <w:r w:rsidRPr="002D741C">
              <w:rPr>
                <w:b/>
                <w:color w:val="000000"/>
                <w:sz w:val="22"/>
                <w:szCs w:val="22"/>
                <w:lang w:val="it-IT"/>
              </w:rPr>
              <w:t>Latvija</w:t>
            </w:r>
          </w:p>
          <w:p w14:paraId="4D6028BA" w14:textId="5DBDE7B5" w:rsidR="009350AC" w:rsidRPr="002D741C" w:rsidRDefault="00C232A0" w:rsidP="001E1329">
            <w:pPr>
              <w:rPr>
                <w:sz w:val="22"/>
                <w:szCs w:val="22"/>
                <w:lang w:val="it-IT"/>
              </w:rPr>
            </w:pPr>
            <w:r w:rsidRPr="002D741C">
              <w:rPr>
                <w:sz w:val="22"/>
                <w:szCs w:val="22"/>
                <w:lang w:val="it-IT"/>
              </w:rPr>
              <w:t>SIA Novartis Baltics</w:t>
            </w:r>
          </w:p>
          <w:p w14:paraId="7D073EA2" w14:textId="77777777" w:rsidR="008F5774" w:rsidRPr="002D741C" w:rsidRDefault="008F5774" w:rsidP="001E1329">
            <w:pPr>
              <w:rPr>
                <w:color w:val="000000"/>
                <w:sz w:val="22"/>
                <w:szCs w:val="22"/>
                <w:lang w:val="it-IT"/>
              </w:rPr>
            </w:pPr>
            <w:r w:rsidRPr="002D741C">
              <w:rPr>
                <w:color w:val="000000"/>
                <w:sz w:val="22"/>
                <w:szCs w:val="22"/>
                <w:lang w:val="it-IT"/>
              </w:rPr>
              <w:t>Tel: +371 67 887 070</w:t>
            </w:r>
          </w:p>
          <w:p w14:paraId="19FACF9B" w14:textId="77777777" w:rsidR="008F5774" w:rsidRPr="002D741C" w:rsidRDefault="008F5774" w:rsidP="001E1329">
            <w:pPr>
              <w:rPr>
                <w:b/>
                <w:color w:val="000000"/>
                <w:sz w:val="22"/>
                <w:szCs w:val="22"/>
                <w:lang w:val="it-IT"/>
              </w:rPr>
            </w:pPr>
          </w:p>
        </w:tc>
        <w:tc>
          <w:tcPr>
            <w:tcW w:w="4650" w:type="dxa"/>
          </w:tcPr>
          <w:p w14:paraId="45FB1F70" w14:textId="77777777" w:rsidR="008F5774" w:rsidRPr="002D741C" w:rsidRDefault="008F5774" w:rsidP="001E1329">
            <w:pPr>
              <w:rPr>
                <w:b/>
                <w:color w:val="000000"/>
                <w:sz w:val="22"/>
                <w:szCs w:val="22"/>
                <w:lang w:val="en-US"/>
              </w:rPr>
            </w:pPr>
            <w:smartTag w:uri="urn:schemas-microsoft-com:office:smarttags" w:element="place">
              <w:smartTag w:uri="urn:schemas-microsoft-com:office:smarttags" w:element="country-region">
                <w:r w:rsidRPr="002D741C">
                  <w:rPr>
                    <w:b/>
                    <w:color w:val="000000"/>
                    <w:sz w:val="22"/>
                    <w:szCs w:val="22"/>
                    <w:lang w:val="en-US"/>
                  </w:rPr>
                  <w:t>United Kingdom</w:t>
                </w:r>
              </w:smartTag>
            </w:smartTag>
          </w:p>
          <w:p w14:paraId="4DF1D305" w14:textId="77777777" w:rsidR="008F5774" w:rsidRPr="002D741C" w:rsidRDefault="008F5774" w:rsidP="001E1329">
            <w:pPr>
              <w:rPr>
                <w:color w:val="000000"/>
                <w:sz w:val="22"/>
                <w:szCs w:val="22"/>
                <w:lang w:val="en-US"/>
              </w:rPr>
            </w:pPr>
            <w:r w:rsidRPr="002D741C">
              <w:rPr>
                <w:color w:val="000000"/>
                <w:sz w:val="22"/>
                <w:szCs w:val="22"/>
                <w:lang w:val="en-US"/>
              </w:rPr>
              <w:t>Novartis Pharmaceuticals UK Ltd.</w:t>
            </w:r>
          </w:p>
          <w:p w14:paraId="51393DA8" w14:textId="77777777" w:rsidR="008F5774" w:rsidRPr="002D741C" w:rsidRDefault="008F5774" w:rsidP="001E1329">
            <w:pPr>
              <w:rPr>
                <w:color w:val="000000"/>
                <w:sz w:val="22"/>
                <w:szCs w:val="22"/>
              </w:rPr>
            </w:pPr>
            <w:r w:rsidRPr="002D741C">
              <w:rPr>
                <w:color w:val="000000"/>
                <w:sz w:val="22"/>
                <w:szCs w:val="22"/>
              </w:rPr>
              <w:t>Tel: +44 1276 698370</w:t>
            </w:r>
          </w:p>
          <w:p w14:paraId="1BFF43E1" w14:textId="77777777" w:rsidR="008F5774" w:rsidRPr="002D741C" w:rsidRDefault="008F5774" w:rsidP="001E1329">
            <w:pPr>
              <w:rPr>
                <w:color w:val="000000"/>
                <w:sz w:val="22"/>
                <w:szCs w:val="22"/>
              </w:rPr>
            </w:pPr>
          </w:p>
        </w:tc>
      </w:tr>
    </w:tbl>
    <w:p w14:paraId="4D5A36C5" w14:textId="77777777" w:rsidR="008F5774" w:rsidRPr="002D741C" w:rsidRDefault="008F5774" w:rsidP="008F5774">
      <w:pPr>
        <w:widowControl w:val="0"/>
        <w:ind w:right="-449"/>
        <w:rPr>
          <w:color w:val="000000"/>
          <w:sz w:val="22"/>
          <w:szCs w:val="22"/>
        </w:rPr>
      </w:pPr>
    </w:p>
    <w:p w14:paraId="18F40919" w14:textId="77777777" w:rsidR="0040333F" w:rsidRPr="002D741C" w:rsidRDefault="00572575" w:rsidP="0040333F">
      <w:pPr>
        <w:widowControl w:val="0"/>
        <w:numPr>
          <w:ilvl w:val="12"/>
          <w:numId w:val="0"/>
        </w:numPr>
        <w:ind w:right="-2"/>
        <w:rPr>
          <w:b/>
          <w:color w:val="000000"/>
          <w:sz w:val="22"/>
          <w:szCs w:val="22"/>
        </w:rPr>
      </w:pPr>
      <w:r w:rsidRPr="002D741C">
        <w:rPr>
          <w:b/>
          <w:color w:val="000000"/>
          <w:sz w:val="22"/>
          <w:szCs w:val="22"/>
        </w:rPr>
        <w:t>Fecha de la</w:t>
      </w:r>
      <w:r w:rsidR="007F5E80" w:rsidRPr="002D741C">
        <w:rPr>
          <w:b/>
          <w:color w:val="000000"/>
          <w:sz w:val="22"/>
          <w:szCs w:val="22"/>
        </w:rPr>
        <w:t xml:space="preserve"> última revisión de e</w:t>
      </w:r>
      <w:r w:rsidR="0040333F" w:rsidRPr="002D741C">
        <w:rPr>
          <w:b/>
          <w:color w:val="000000"/>
          <w:sz w:val="22"/>
          <w:szCs w:val="22"/>
        </w:rPr>
        <w:t>ste prospecto</w:t>
      </w:r>
      <w:r w:rsidRPr="002D741C">
        <w:rPr>
          <w:b/>
          <w:color w:val="000000"/>
          <w:sz w:val="22"/>
          <w:szCs w:val="22"/>
        </w:rPr>
        <w:t>:</w:t>
      </w:r>
    </w:p>
    <w:p w14:paraId="650DBC47" w14:textId="77777777" w:rsidR="0040333F" w:rsidRPr="002D741C" w:rsidRDefault="0040333F" w:rsidP="0040333F">
      <w:pPr>
        <w:widowControl w:val="0"/>
        <w:numPr>
          <w:ilvl w:val="12"/>
          <w:numId w:val="0"/>
        </w:numPr>
        <w:ind w:right="-2"/>
        <w:rPr>
          <w:color w:val="000000"/>
          <w:sz w:val="22"/>
          <w:szCs w:val="22"/>
        </w:rPr>
      </w:pPr>
    </w:p>
    <w:p w14:paraId="5AFCD279" w14:textId="77777777" w:rsidR="007F5E80" w:rsidRPr="002D741C" w:rsidRDefault="007F5E80" w:rsidP="001001B7">
      <w:pPr>
        <w:keepNext/>
        <w:widowControl w:val="0"/>
        <w:rPr>
          <w:b/>
          <w:color w:val="000000"/>
          <w:sz w:val="22"/>
          <w:szCs w:val="22"/>
        </w:rPr>
      </w:pPr>
      <w:r w:rsidRPr="002D741C">
        <w:rPr>
          <w:b/>
          <w:color w:val="000000"/>
          <w:sz w:val="22"/>
          <w:szCs w:val="22"/>
        </w:rPr>
        <w:t>Otras fuentes de información</w:t>
      </w:r>
    </w:p>
    <w:p w14:paraId="30234E44" w14:textId="77777777" w:rsidR="0040333F" w:rsidRPr="002D741C" w:rsidRDefault="0040333F" w:rsidP="0040333F">
      <w:pPr>
        <w:widowControl w:val="0"/>
        <w:rPr>
          <w:color w:val="000000"/>
          <w:sz w:val="22"/>
          <w:szCs w:val="22"/>
        </w:rPr>
      </w:pPr>
      <w:r w:rsidRPr="002D741C">
        <w:rPr>
          <w:color w:val="000000"/>
          <w:sz w:val="22"/>
          <w:szCs w:val="22"/>
        </w:rPr>
        <w:t xml:space="preserve">La información detallada de este medicamento está disponible en la página web de </w:t>
      </w:r>
      <w:smartTag w:uri="urn:schemas-microsoft-com:office:smarttags" w:element="PersonName">
        <w:smartTagPr>
          <w:attr w:name="ProductID" w:val="la ￼￼￼￼Agencia Europea"/>
        </w:smartTagPr>
        <w:r w:rsidRPr="002D741C">
          <w:rPr>
            <w:color w:val="000000"/>
            <w:sz w:val="22"/>
            <w:szCs w:val="22"/>
          </w:rPr>
          <w:t>la Agencia Europea</w:t>
        </w:r>
      </w:smartTag>
      <w:r w:rsidRPr="002D741C">
        <w:rPr>
          <w:color w:val="000000"/>
          <w:sz w:val="22"/>
          <w:szCs w:val="22"/>
        </w:rPr>
        <w:t xml:space="preserve"> de Medicamento</w:t>
      </w:r>
      <w:r w:rsidR="007F5E80" w:rsidRPr="002D741C">
        <w:rPr>
          <w:color w:val="000000"/>
          <w:sz w:val="22"/>
          <w:szCs w:val="22"/>
        </w:rPr>
        <w:t>s</w:t>
      </w:r>
      <w:r w:rsidRPr="002D741C">
        <w:rPr>
          <w:color w:val="000000"/>
          <w:sz w:val="22"/>
          <w:szCs w:val="22"/>
        </w:rPr>
        <w:t>: http://www.ema.</w:t>
      </w:r>
      <w:r w:rsidRPr="002D741C">
        <w:rPr>
          <w:color w:val="000000"/>
          <w:sz w:val="22"/>
          <w:szCs w:val="22"/>
          <w:lang w:val="es-ES"/>
        </w:rPr>
        <w:t>europa.</w:t>
      </w:r>
      <w:r w:rsidRPr="002D741C">
        <w:rPr>
          <w:color w:val="000000"/>
          <w:sz w:val="22"/>
          <w:szCs w:val="22"/>
        </w:rPr>
        <w:t>eu</w:t>
      </w:r>
      <w:r w:rsidR="00572575" w:rsidRPr="002D741C">
        <w:rPr>
          <w:color w:val="000000"/>
          <w:sz w:val="22"/>
          <w:szCs w:val="22"/>
        </w:rPr>
        <w:t>.</w:t>
      </w:r>
    </w:p>
    <w:p w14:paraId="09C9294F" w14:textId="694288F7" w:rsidR="0040333F" w:rsidRPr="002D741C" w:rsidRDefault="0040333F" w:rsidP="00C157C4">
      <w:pPr>
        <w:widowControl w:val="0"/>
        <w:numPr>
          <w:ilvl w:val="12"/>
          <w:numId w:val="0"/>
        </w:numPr>
        <w:ind w:right="-2"/>
        <w:rPr>
          <w:color w:val="000000"/>
          <w:sz w:val="22"/>
          <w:szCs w:val="22"/>
        </w:rPr>
      </w:pPr>
    </w:p>
    <w:p w14:paraId="05427519" w14:textId="77777777" w:rsidR="00A17CBE" w:rsidRPr="006A1DBE" w:rsidRDefault="00A17CBE" w:rsidP="00771758">
      <w:pPr>
        <w:widowControl w:val="0"/>
        <w:rPr>
          <w:sz w:val="22"/>
          <w:szCs w:val="22"/>
        </w:rPr>
      </w:pPr>
    </w:p>
    <w:sectPr w:rsidR="00A17CBE" w:rsidRPr="006A1DBE" w:rsidSect="00364FD0">
      <w:headerReference w:type="even" r:id="rId19"/>
      <w:headerReference w:type="default" r:id="rId20"/>
      <w:footerReference w:type="even" r:id="rId21"/>
      <w:footerReference w:type="default" r:id="rId22"/>
      <w:headerReference w:type="first" r:id="rId23"/>
      <w:footerReference w:type="first" r:id="rId24"/>
      <w:pgSz w:w="11907" w:h="16840" w:code="9"/>
      <w:pgMar w:top="1134" w:right="1418" w:bottom="1134" w:left="1418" w:header="737" w:footer="73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F90435" w14:textId="77777777" w:rsidR="00777AB3" w:rsidRDefault="00777AB3">
      <w:r>
        <w:separator/>
      </w:r>
    </w:p>
  </w:endnote>
  <w:endnote w:type="continuationSeparator" w:id="0">
    <w:p w14:paraId="5ED12911" w14:textId="77777777" w:rsidR="00777AB3" w:rsidRDefault="00777A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Bold">
    <w:altName w:val="Times New Roman"/>
    <w:panose1 w:val="02020803070505020304"/>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5FBD91" w14:textId="77777777" w:rsidR="00777AB3" w:rsidRDefault="00777AB3" w:rsidP="00A63CA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19F84F80" w14:textId="77777777" w:rsidR="00777AB3" w:rsidRDefault="00777AB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A69346" w14:textId="6A50C088" w:rsidR="00777AB3" w:rsidRPr="00A63CAA" w:rsidRDefault="00777AB3" w:rsidP="008D2B73">
    <w:pPr>
      <w:pStyle w:val="Footer"/>
      <w:framePr w:wrap="around" w:vAnchor="text" w:hAnchor="margin" w:xAlign="center" w:y="1"/>
      <w:rPr>
        <w:rStyle w:val="PageNumber"/>
        <w:rFonts w:ascii="Arial" w:hAnsi="Arial" w:cs="Arial"/>
        <w:sz w:val="16"/>
        <w:szCs w:val="16"/>
      </w:rPr>
    </w:pPr>
    <w:r w:rsidRPr="00A63CAA">
      <w:rPr>
        <w:rStyle w:val="PageNumber"/>
        <w:rFonts w:ascii="Arial" w:hAnsi="Arial" w:cs="Arial"/>
        <w:sz w:val="16"/>
        <w:szCs w:val="16"/>
      </w:rPr>
      <w:fldChar w:fldCharType="begin"/>
    </w:r>
    <w:r w:rsidRPr="00A63CAA">
      <w:rPr>
        <w:rStyle w:val="PageNumber"/>
        <w:rFonts w:ascii="Arial" w:hAnsi="Arial" w:cs="Arial"/>
        <w:sz w:val="16"/>
        <w:szCs w:val="16"/>
      </w:rPr>
      <w:instrText xml:space="preserve">PAGE  </w:instrText>
    </w:r>
    <w:r w:rsidRPr="00A63CAA">
      <w:rPr>
        <w:rStyle w:val="PageNumber"/>
        <w:rFonts w:ascii="Arial" w:hAnsi="Arial" w:cs="Arial"/>
        <w:sz w:val="16"/>
        <w:szCs w:val="16"/>
      </w:rPr>
      <w:fldChar w:fldCharType="separate"/>
    </w:r>
    <w:r w:rsidR="00C379C5">
      <w:rPr>
        <w:rStyle w:val="PageNumber"/>
        <w:rFonts w:ascii="Arial" w:hAnsi="Arial" w:cs="Arial"/>
        <w:sz w:val="16"/>
        <w:szCs w:val="16"/>
      </w:rPr>
      <w:t>107</w:t>
    </w:r>
    <w:r w:rsidRPr="00A63CAA">
      <w:rPr>
        <w:rStyle w:val="PageNumber"/>
        <w:rFonts w:ascii="Arial" w:hAnsi="Arial" w:cs="Arial"/>
        <w:sz w:val="16"/>
        <w:szCs w:val="16"/>
      </w:rPr>
      <w:fldChar w:fldCharType="end"/>
    </w:r>
  </w:p>
  <w:p w14:paraId="436CBFD8" w14:textId="77777777" w:rsidR="00777AB3" w:rsidRPr="00A63CAA" w:rsidRDefault="00777AB3">
    <w:pPr>
      <w:pStyle w:val="Footer"/>
      <w:rPr>
        <w:rFonts w:ascii="Arial" w:hAnsi="Arial" w:cs="Arial"/>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CF7794" w14:textId="77777777" w:rsidR="00777AB3" w:rsidRDefault="00777A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19FFC8" w14:textId="77777777" w:rsidR="00777AB3" w:rsidRDefault="00777AB3">
      <w:r>
        <w:separator/>
      </w:r>
    </w:p>
  </w:footnote>
  <w:footnote w:type="continuationSeparator" w:id="0">
    <w:p w14:paraId="7B61AA87" w14:textId="77777777" w:rsidR="00777AB3" w:rsidRDefault="00777A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A2DC39" w14:textId="77777777" w:rsidR="00777AB3" w:rsidRDefault="00777AB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F66B7A" w14:textId="77777777" w:rsidR="00777AB3" w:rsidRDefault="00777AB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CD74BA" w14:textId="77777777" w:rsidR="00777AB3" w:rsidRDefault="00777A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multilevel"/>
    <w:tmpl w:val="FFFFFFFF"/>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4277AF3"/>
    <w:multiLevelType w:val="multilevel"/>
    <w:tmpl w:val="DA9AF0F2"/>
    <w:lvl w:ilvl="0">
      <w:start w:val="1"/>
      <w:numFmt w:val="upperLetter"/>
      <w:lvlText w:val="%1."/>
      <w:lvlJc w:val="left"/>
      <w:pPr>
        <w:tabs>
          <w:tab w:val="num" w:pos="1494"/>
        </w:tabs>
        <w:ind w:left="1494" w:hanging="360"/>
      </w:pPr>
      <w:rPr>
        <w:rFonts w:hint="default"/>
        <w:b/>
        <w:i w:val="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8B94D91"/>
    <w:multiLevelType w:val="singleLevel"/>
    <w:tmpl w:val="26BC58F2"/>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BFD223E"/>
    <w:multiLevelType w:val="hybridMultilevel"/>
    <w:tmpl w:val="C35C2622"/>
    <w:lvl w:ilvl="0" w:tplc="1816508C">
      <w:start w:val="1"/>
      <w:numFmt w:val="bullet"/>
      <w:lvlText w:val=""/>
      <w:lvlJc w:val="left"/>
      <w:pPr>
        <w:tabs>
          <w:tab w:val="num" w:pos="2160"/>
        </w:tabs>
        <w:ind w:left="2160" w:hanging="360"/>
      </w:pPr>
      <w:rPr>
        <w:rFonts w:ascii="Symbol" w:hAnsi="Symbol" w:hint="default"/>
        <w:b w:val="0"/>
        <w:i w:val="0"/>
        <w:color w:val="000000"/>
        <w:sz w:val="22"/>
        <w:szCs w:val="2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F5C7F91"/>
    <w:multiLevelType w:val="hybridMultilevel"/>
    <w:tmpl w:val="5F8CEF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43E52CD"/>
    <w:multiLevelType w:val="multilevel"/>
    <w:tmpl w:val="AC362C7E"/>
    <w:lvl w:ilvl="0">
      <w:start w:val="1"/>
      <w:numFmt w:val="bullet"/>
      <w:lvlText w:val=""/>
      <w:lvlJc w:val="left"/>
      <w:pPr>
        <w:tabs>
          <w:tab w:val="num" w:pos="927"/>
        </w:tabs>
        <w:ind w:left="927" w:hanging="360"/>
      </w:pPr>
      <w:rPr>
        <w:rFonts w:ascii="Symbol" w:hAnsi="Symbol" w:hint="default"/>
        <w:b w:val="0"/>
        <w:i w:val="0"/>
        <w:color w:val="000000"/>
        <w:sz w:val="22"/>
        <w:szCs w:val="22"/>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179E316C"/>
    <w:multiLevelType w:val="hybridMultilevel"/>
    <w:tmpl w:val="4D6CAEFA"/>
    <w:lvl w:ilvl="0" w:tplc="611CE9A4">
      <w:numFmt w:val="bullet"/>
      <w:lvlText w:val="-"/>
      <w:lvlJc w:val="left"/>
      <w:pPr>
        <w:tabs>
          <w:tab w:val="num" w:pos="717"/>
        </w:tabs>
        <w:ind w:left="717" w:hanging="357"/>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7AD6B30"/>
    <w:multiLevelType w:val="hybridMultilevel"/>
    <w:tmpl w:val="F15A9630"/>
    <w:lvl w:ilvl="0" w:tplc="611CE9A4">
      <w:numFmt w:val="bullet"/>
      <w:lvlText w:val="-"/>
      <w:lvlJc w:val="left"/>
      <w:pPr>
        <w:tabs>
          <w:tab w:val="num" w:pos="357"/>
        </w:tabs>
        <w:ind w:left="357" w:hanging="357"/>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D323042"/>
    <w:multiLevelType w:val="hybridMultilevel"/>
    <w:tmpl w:val="2A36BB8E"/>
    <w:lvl w:ilvl="0" w:tplc="9976CD7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2BA6B31"/>
    <w:multiLevelType w:val="hybridMultilevel"/>
    <w:tmpl w:val="25882544"/>
    <w:lvl w:ilvl="0" w:tplc="9976CD78">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3702C56"/>
    <w:multiLevelType w:val="hybridMultilevel"/>
    <w:tmpl w:val="902AFE84"/>
    <w:lvl w:ilvl="0" w:tplc="611CE9A4">
      <w:numFmt w:val="bullet"/>
      <w:lvlText w:val="-"/>
      <w:lvlJc w:val="left"/>
      <w:pPr>
        <w:ind w:left="360" w:hanging="360"/>
      </w:pPr>
      <w:rPr>
        <w:rFonts w:hint="default"/>
      </w:rPr>
    </w:lvl>
    <w:lvl w:ilvl="1" w:tplc="611CE9A4">
      <w:numFmt w:val="bullet"/>
      <w:lvlText w:val="-"/>
      <w:lvlJc w:val="left"/>
      <w:pPr>
        <w:ind w:left="1080" w:hanging="360"/>
      </w:pPr>
      <w:rPr>
        <w:rFonts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1" w15:restartNumberingAfterBreak="0">
    <w:nsid w:val="24866F07"/>
    <w:multiLevelType w:val="singleLevel"/>
    <w:tmpl w:val="26BC58F2"/>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2A7E528D"/>
    <w:multiLevelType w:val="multilevel"/>
    <w:tmpl w:val="81F282C8"/>
    <w:lvl w:ilvl="0">
      <w:start w:val="1"/>
      <w:numFmt w:val="bullet"/>
      <w:lvlText w:val=""/>
      <w:lvlJc w:val="left"/>
      <w:pPr>
        <w:tabs>
          <w:tab w:val="num" w:pos="927"/>
        </w:tabs>
        <w:ind w:left="927" w:hanging="360"/>
      </w:pPr>
      <w:rPr>
        <w:rFonts w:ascii="Symbol" w:hAnsi="Symbol" w:hint="default"/>
        <w:b w:val="0"/>
        <w:i w:val="0"/>
        <w:color w:val="000000"/>
        <w:sz w:val="22"/>
        <w:szCs w:val="22"/>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2FEB0DA6"/>
    <w:multiLevelType w:val="hybridMultilevel"/>
    <w:tmpl w:val="7A4638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8071E9C"/>
    <w:multiLevelType w:val="multilevel"/>
    <w:tmpl w:val="3BE2C414"/>
    <w:lvl w:ilvl="0">
      <w:start w:val="6"/>
      <w:numFmt w:val="decimal"/>
      <w:lvlText w:val="%1"/>
      <w:lvlJc w:val="left"/>
      <w:pPr>
        <w:tabs>
          <w:tab w:val="num" w:pos="564"/>
        </w:tabs>
        <w:ind w:left="564" w:hanging="564"/>
      </w:pPr>
      <w:rPr>
        <w:rFonts w:hint="default"/>
      </w:rPr>
    </w:lvl>
    <w:lvl w:ilvl="1">
      <w:start w:val="5"/>
      <w:numFmt w:val="decimal"/>
      <w:lvlText w:val="%1.%2"/>
      <w:lvlJc w:val="left"/>
      <w:pPr>
        <w:tabs>
          <w:tab w:val="num" w:pos="564"/>
        </w:tabs>
        <w:ind w:left="564" w:hanging="564"/>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5" w15:restartNumberingAfterBreak="0">
    <w:nsid w:val="3C5A1880"/>
    <w:multiLevelType w:val="hybridMultilevel"/>
    <w:tmpl w:val="37EA7A5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7B64EF6"/>
    <w:multiLevelType w:val="hybridMultilevel"/>
    <w:tmpl w:val="06BCBA7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1DC2117"/>
    <w:multiLevelType w:val="hybridMultilevel"/>
    <w:tmpl w:val="3730B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34D6EA0"/>
    <w:multiLevelType w:val="multilevel"/>
    <w:tmpl w:val="3BE2C414"/>
    <w:lvl w:ilvl="0">
      <w:start w:val="6"/>
      <w:numFmt w:val="decimal"/>
      <w:lvlText w:val="%1"/>
      <w:lvlJc w:val="left"/>
      <w:pPr>
        <w:tabs>
          <w:tab w:val="num" w:pos="564"/>
        </w:tabs>
        <w:ind w:left="564" w:hanging="564"/>
      </w:pPr>
      <w:rPr>
        <w:rFonts w:hint="default"/>
      </w:rPr>
    </w:lvl>
    <w:lvl w:ilvl="1">
      <w:start w:val="5"/>
      <w:numFmt w:val="decimal"/>
      <w:lvlText w:val="%1.%2"/>
      <w:lvlJc w:val="left"/>
      <w:pPr>
        <w:tabs>
          <w:tab w:val="num" w:pos="564"/>
        </w:tabs>
        <w:ind w:left="564" w:hanging="564"/>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9" w15:restartNumberingAfterBreak="0">
    <w:nsid w:val="56FE0A02"/>
    <w:multiLevelType w:val="singleLevel"/>
    <w:tmpl w:val="26BC58F2"/>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57F50B18"/>
    <w:multiLevelType w:val="hybridMultilevel"/>
    <w:tmpl w:val="A74C9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CA5630C"/>
    <w:multiLevelType w:val="hybridMultilevel"/>
    <w:tmpl w:val="2D6E5FA2"/>
    <w:lvl w:ilvl="0" w:tplc="FFFFFFFF">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D0E3484"/>
    <w:multiLevelType w:val="hybridMultilevel"/>
    <w:tmpl w:val="CBE6EBFE"/>
    <w:lvl w:ilvl="0" w:tplc="611CE9A4">
      <w:numFmt w:val="bullet"/>
      <w:lvlText w:val="-"/>
      <w:lvlJc w:val="left"/>
      <w:pPr>
        <w:tabs>
          <w:tab w:val="num" w:pos="357"/>
        </w:tabs>
        <w:ind w:left="357" w:hanging="357"/>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D321CA5"/>
    <w:multiLevelType w:val="hybridMultilevel"/>
    <w:tmpl w:val="192C0206"/>
    <w:lvl w:ilvl="0" w:tplc="FFFFFFFF">
      <w:start w:val="1"/>
      <w:numFmt w:val="bullet"/>
      <w:lvlText w:val="-"/>
      <w:lvlJc w:val="left"/>
      <w:pPr>
        <w:ind w:left="720" w:hanging="360"/>
      </w:p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5D403401"/>
    <w:multiLevelType w:val="hybridMultilevel"/>
    <w:tmpl w:val="1B90E222"/>
    <w:lvl w:ilvl="0" w:tplc="611CE9A4">
      <w:numFmt w:val="bullet"/>
      <w:lvlText w:val="-"/>
      <w:lvlJc w:val="left"/>
      <w:pPr>
        <w:tabs>
          <w:tab w:val="num" w:pos="717"/>
        </w:tabs>
        <w:ind w:left="717" w:hanging="357"/>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B0F6205"/>
    <w:multiLevelType w:val="hybridMultilevel"/>
    <w:tmpl w:val="35263F58"/>
    <w:lvl w:ilvl="0" w:tplc="9976CD78">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0EC4FDA"/>
    <w:multiLevelType w:val="hybridMultilevel"/>
    <w:tmpl w:val="3B045F60"/>
    <w:lvl w:ilvl="0" w:tplc="611CE9A4">
      <w:numFmt w:val="bullet"/>
      <w:lvlText w:val="-"/>
      <w:lvlJc w:val="left"/>
      <w:pPr>
        <w:tabs>
          <w:tab w:val="num" w:pos="357"/>
        </w:tabs>
        <w:ind w:left="357" w:hanging="357"/>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CE077C3"/>
    <w:multiLevelType w:val="singleLevel"/>
    <w:tmpl w:val="26BC58F2"/>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7D2F4A08"/>
    <w:multiLevelType w:val="hybridMultilevel"/>
    <w:tmpl w:val="2A7EB0E2"/>
    <w:lvl w:ilvl="0" w:tplc="611CE9A4">
      <w:numFmt w:val="bullet"/>
      <w:lvlText w:val="-"/>
      <w:lvlJc w:val="left"/>
      <w:pPr>
        <w:tabs>
          <w:tab w:val="num" w:pos="717"/>
        </w:tabs>
        <w:ind w:left="717" w:hanging="357"/>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D6B5307"/>
    <w:multiLevelType w:val="hybridMultilevel"/>
    <w:tmpl w:val="D05C0E0C"/>
    <w:lvl w:ilvl="0" w:tplc="611CE9A4">
      <w:numFmt w:val="bullet"/>
      <w:lvlText w:val="-"/>
      <w:lvlJc w:val="left"/>
      <w:pPr>
        <w:tabs>
          <w:tab w:val="num" w:pos="357"/>
        </w:tabs>
        <w:ind w:left="357" w:hanging="357"/>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lvlOverride w:ilvl="0">
      <w:lvl w:ilvl="0">
        <w:start w:val="1"/>
        <w:numFmt w:val="bullet"/>
        <w:lvlText w:val="-"/>
        <w:lvlJc w:val="left"/>
        <w:pPr>
          <w:ind w:left="360" w:hanging="360"/>
        </w:pPr>
      </w:lvl>
    </w:lvlOverride>
  </w:num>
  <w:num w:numId="2">
    <w:abstractNumId w:val="0"/>
    <w:lvlOverride w:ilvl="0">
      <w:lvl w:ilvl="0">
        <w:start w:val="2"/>
        <w:numFmt w:val="bullet"/>
        <w:lvlText w:val="-"/>
        <w:lvlJc w:val="left"/>
        <w:pPr>
          <w:tabs>
            <w:tab w:val="num" w:pos="927"/>
          </w:tabs>
          <w:ind w:left="927" w:hanging="360"/>
        </w:pPr>
        <w:rPr>
          <w:rFonts w:hint="default"/>
        </w:rPr>
      </w:lvl>
    </w:lvlOverride>
    <w:lvlOverride w:ilvl="1">
      <w:lvl w:ilvl="1" w:tentative="1">
        <w:start w:val="1"/>
        <w:numFmt w:val="bullet"/>
        <w:lvlText w:val="o"/>
        <w:lvlJc w:val="left"/>
        <w:pPr>
          <w:tabs>
            <w:tab w:val="num" w:pos="1440"/>
          </w:tabs>
          <w:ind w:left="1440" w:hanging="360"/>
        </w:pPr>
        <w:rPr>
          <w:rFonts w:ascii="Courier New" w:hAnsi="Courier New" w:cs="Courier New" w:hint="default"/>
        </w:rPr>
      </w:lvl>
    </w:lvlOverride>
    <w:lvlOverride w:ilvl="2">
      <w:lvl w:ilvl="2" w:tentative="1">
        <w:start w:val="1"/>
        <w:numFmt w:val="bullet"/>
        <w:lvlText w:val=""/>
        <w:lvlJc w:val="left"/>
        <w:pPr>
          <w:tabs>
            <w:tab w:val="num" w:pos="2160"/>
          </w:tabs>
          <w:ind w:left="2160" w:hanging="360"/>
        </w:pPr>
        <w:rPr>
          <w:rFonts w:ascii="Wingdings" w:hAnsi="Wingdings" w:hint="default"/>
        </w:rPr>
      </w:lvl>
    </w:lvlOverride>
    <w:lvlOverride w:ilvl="3">
      <w:lvl w:ilvl="3" w:tentative="1">
        <w:start w:val="1"/>
        <w:numFmt w:val="bullet"/>
        <w:lvlText w:val=""/>
        <w:lvlJc w:val="left"/>
        <w:pPr>
          <w:tabs>
            <w:tab w:val="num" w:pos="2880"/>
          </w:tabs>
          <w:ind w:left="2880" w:hanging="360"/>
        </w:pPr>
        <w:rPr>
          <w:rFonts w:ascii="Symbol" w:hAnsi="Symbol" w:hint="default"/>
        </w:rPr>
      </w:lvl>
    </w:lvlOverride>
    <w:lvlOverride w:ilvl="4">
      <w:lvl w:ilvl="4" w:tentative="1">
        <w:start w:val="1"/>
        <w:numFmt w:val="bullet"/>
        <w:lvlText w:val="o"/>
        <w:lvlJc w:val="left"/>
        <w:pPr>
          <w:tabs>
            <w:tab w:val="num" w:pos="3600"/>
          </w:tabs>
          <w:ind w:left="3600" w:hanging="360"/>
        </w:pPr>
        <w:rPr>
          <w:rFonts w:ascii="Courier New" w:hAnsi="Courier New" w:cs="Courier New" w:hint="default"/>
        </w:rPr>
      </w:lvl>
    </w:lvlOverride>
    <w:lvlOverride w:ilvl="5">
      <w:lvl w:ilvl="5" w:tentative="1">
        <w:start w:val="1"/>
        <w:numFmt w:val="bullet"/>
        <w:lvlText w:val=""/>
        <w:lvlJc w:val="left"/>
        <w:pPr>
          <w:tabs>
            <w:tab w:val="num" w:pos="4320"/>
          </w:tabs>
          <w:ind w:left="4320" w:hanging="360"/>
        </w:pPr>
        <w:rPr>
          <w:rFonts w:ascii="Wingdings" w:hAnsi="Wingdings" w:hint="default"/>
        </w:rPr>
      </w:lvl>
    </w:lvlOverride>
    <w:lvlOverride w:ilvl="6">
      <w:lvl w:ilvl="6" w:tentative="1">
        <w:start w:val="1"/>
        <w:numFmt w:val="bullet"/>
        <w:lvlText w:val=""/>
        <w:lvlJc w:val="left"/>
        <w:pPr>
          <w:tabs>
            <w:tab w:val="num" w:pos="5040"/>
          </w:tabs>
          <w:ind w:left="5040" w:hanging="360"/>
        </w:pPr>
        <w:rPr>
          <w:rFonts w:ascii="Symbol" w:hAnsi="Symbol" w:hint="default"/>
        </w:rPr>
      </w:lvl>
    </w:lvlOverride>
    <w:lvlOverride w:ilvl="7">
      <w:lvl w:ilvl="7" w:tentative="1">
        <w:start w:val="1"/>
        <w:numFmt w:val="bullet"/>
        <w:lvlText w:val="o"/>
        <w:lvlJc w:val="left"/>
        <w:pPr>
          <w:tabs>
            <w:tab w:val="num" w:pos="5760"/>
          </w:tabs>
          <w:ind w:left="5760" w:hanging="360"/>
        </w:pPr>
        <w:rPr>
          <w:rFonts w:ascii="Courier New" w:hAnsi="Courier New" w:cs="Courier New" w:hint="default"/>
        </w:rPr>
      </w:lvl>
    </w:lvlOverride>
    <w:lvlOverride w:ilvl="8">
      <w:lvl w:ilvl="8" w:tentative="1">
        <w:start w:val="1"/>
        <w:numFmt w:val="bullet"/>
        <w:lvlText w:val=""/>
        <w:lvlJc w:val="left"/>
        <w:pPr>
          <w:tabs>
            <w:tab w:val="num" w:pos="6480"/>
          </w:tabs>
          <w:ind w:left="6480" w:hanging="360"/>
        </w:pPr>
        <w:rPr>
          <w:rFonts w:ascii="Wingdings" w:hAnsi="Wingdings" w:hint="default"/>
        </w:rPr>
      </w:lvl>
    </w:lvlOverride>
  </w:num>
  <w:num w:numId="3">
    <w:abstractNumId w:val="19"/>
  </w:num>
  <w:num w:numId="4">
    <w:abstractNumId w:val="2"/>
  </w:num>
  <w:num w:numId="5">
    <w:abstractNumId w:val="27"/>
  </w:num>
  <w:num w:numId="6">
    <w:abstractNumId w:val="11"/>
  </w:num>
  <w:num w:numId="7">
    <w:abstractNumId w:val="1"/>
  </w:num>
  <w:num w:numId="8">
    <w:abstractNumId w:val="13"/>
  </w:num>
  <w:num w:numId="9">
    <w:abstractNumId w:val="18"/>
  </w:num>
  <w:num w:numId="10">
    <w:abstractNumId w:val="14"/>
  </w:num>
  <w:num w:numId="11">
    <w:abstractNumId w:val="16"/>
  </w:num>
  <w:num w:numId="12">
    <w:abstractNumId w:val="15"/>
  </w:num>
  <w:num w:numId="13">
    <w:abstractNumId w:val="3"/>
  </w:num>
  <w:num w:numId="14">
    <w:abstractNumId w:val="5"/>
  </w:num>
  <w:num w:numId="15">
    <w:abstractNumId w:val="12"/>
  </w:num>
  <w:num w:numId="16">
    <w:abstractNumId w:val="4"/>
  </w:num>
  <w:num w:numId="17">
    <w:abstractNumId w:val="6"/>
  </w:num>
  <w:num w:numId="18">
    <w:abstractNumId w:val="28"/>
  </w:num>
  <w:num w:numId="19">
    <w:abstractNumId w:val="7"/>
  </w:num>
  <w:num w:numId="20">
    <w:abstractNumId w:val="22"/>
  </w:num>
  <w:num w:numId="21">
    <w:abstractNumId w:val="29"/>
  </w:num>
  <w:num w:numId="22">
    <w:abstractNumId w:val="8"/>
  </w:num>
  <w:num w:numId="23">
    <w:abstractNumId w:val="25"/>
  </w:num>
  <w:num w:numId="24">
    <w:abstractNumId w:val="9"/>
  </w:num>
  <w:num w:numId="25">
    <w:abstractNumId w:val="24"/>
  </w:num>
  <w:num w:numId="26">
    <w:abstractNumId w:val="26"/>
  </w:num>
  <w:num w:numId="27">
    <w:abstractNumId w:val="20"/>
  </w:num>
  <w:num w:numId="28">
    <w:abstractNumId w:val="17"/>
  </w:num>
  <w:num w:numId="29">
    <w:abstractNumId w:val="21"/>
  </w:num>
  <w:num w:numId="30">
    <w:abstractNumId w:val="23"/>
  </w:num>
  <w:num w:numId="31">
    <w:abstractNumId w:val="10"/>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hideSpellingErrors/>
  <w:hideGrammaticalErrors/>
  <w:activeWritingStyle w:appName="MSWord" w:lang="pt-BR" w:vendorID="64" w:dllVersion="6" w:nlCheck="1" w:checkStyle="0"/>
  <w:activeWritingStyle w:appName="MSWord" w:lang="es-ES_tradnl" w:vendorID="64" w:dllVersion="6" w:nlCheck="1" w:checkStyle="0"/>
  <w:activeWritingStyle w:appName="MSWord" w:lang="es-ES" w:vendorID="64" w:dllVersion="6" w:nlCheck="1" w:checkStyle="0"/>
  <w:activeWritingStyle w:appName="MSWord" w:lang="en-GB" w:vendorID="64" w:dllVersion="6" w:nlCheck="1" w:checkStyle="1"/>
  <w:activeWritingStyle w:appName="MSWord" w:lang="fr-FR" w:vendorID="64" w:dllVersion="6" w:nlCheck="1" w:checkStyle="0"/>
  <w:activeWritingStyle w:appName="MSWord" w:lang="en-US" w:vendorID="64" w:dllVersion="6" w:nlCheck="1" w:checkStyle="1"/>
  <w:activeWritingStyle w:appName="MSWord" w:lang="de-DE" w:vendorID="64" w:dllVersion="6" w:nlCheck="1" w:checkStyle="0"/>
  <w:activeWritingStyle w:appName="MSWord" w:lang="de-CH" w:vendorID="64" w:dllVersion="6" w:nlCheck="1" w:checkStyle="0"/>
  <w:activeWritingStyle w:appName="MSWord" w:lang="it-IT" w:vendorID="64" w:dllVersion="6" w:nlCheck="1" w:checkStyle="0"/>
  <w:activeWritingStyle w:appName="MSWord" w:lang="fr-CH" w:vendorID="64" w:dllVersion="6" w:nlCheck="1" w:checkStyle="0"/>
  <w:activeWritingStyle w:appName="MSWord" w:lang="es-ES_tradnl" w:vendorID="64" w:dllVersion="0" w:nlCheck="1" w:checkStyle="0"/>
  <w:activeWritingStyle w:appName="MSWord" w:lang="es-ES"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4577"/>
  </w:hdrShapeDefaults>
  <w:footnotePr>
    <w:footnote w:id="-1"/>
    <w:footnote w:id="0"/>
  </w:footnotePr>
  <w:endnotePr>
    <w:endnote w:id="-1"/>
    <w:endnote w:id="0"/>
  </w:endnotePr>
  <w:compat>
    <w:suppressTopSpacing/>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69D0"/>
    <w:rsid w:val="00000067"/>
    <w:rsid w:val="00000526"/>
    <w:rsid w:val="000009F3"/>
    <w:rsid w:val="00001365"/>
    <w:rsid w:val="0000170D"/>
    <w:rsid w:val="000024D7"/>
    <w:rsid w:val="00006B6E"/>
    <w:rsid w:val="00010361"/>
    <w:rsid w:val="00012972"/>
    <w:rsid w:val="000132B0"/>
    <w:rsid w:val="0001533F"/>
    <w:rsid w:val="00016DD2"/>
    <w:rsid w:val="00017955"/>
    <w:rsid w:val="00020D68"/>
    <w:rsid w:val="0002268E"/>
    <w:rsid w:val="00022A5E"/>
    <w:rsid w:val="00023074"/>
    <w:rsid w:val="000257BF"/>
    <w:rsid w:val="0002668E"/>
    <w:rsid w:val="00026935"/>
    <w:rsid w:val="000277C9"/>
    <w:rsid w:val="0003352F"/>
    <w:rsid w:val="0003378F"/>
    <w:rsid w:val="00036AC7"/>
    <w:rsid w:val="00036AFF"/>
    <w:rsid w:val="00036CF8"/>
    <w:rsid w:val="00037C9F"/>
    <w:rsid w:val="00040280"/>
    <w:rsid w:val="000408FE"/>
    <w:rsid w:val="00040DE7"/>
    <w:rsid w:val="00040DEB"/>
    <w:rsid w:val="00041E30"/>
    <w:rsid w:val="000427DE"/>
    <w:rsid w:val="00044368"/>
    <w:rsid w:val="000542C3"/>
    <w:rsid w:val="00054710"/>
    <w:rsid w:val="00055557"/>
    <w:rsid w:val="0005703D"/>
    <w:rsid w:val="00064105"/>
    <w:rsid w:val="00066150"/>
    <w:rsid w:val="0006738B"/>
    <w:rsid w:val="0006753A"/>
    <w:rsid w:val="00067EED"/>
    <w:rsid w:val="00071821"/>
    <w:rsid w:val="00072129"/>
    <w:rsid w:val="00075008"/>
    <w:rsid w:val="00076BFB"/>
    <w:rsid w:val="00077A18"/>
    <w:rsid w:val="0008043F"/>
    <w:rsid w:val="00081B45"/>
    <w:rsid w:val="00084285"/>
    <w:rsid w:val="00085587"/>
    <w:rsid w:val="0008590A"/>
    <w:rsid w:val="00086A96"/>
    <w:rsid w:val="00086D0F"/>
    <w:rsid w:val="00086D5C"/>
    <w:rsid w:val="00087319"/>
    <w:rsid w:val="000901B2"/>
    <w:rsid w:val="000905CC"/>
    <w:rsid w:val="00092957"/>
    <w:rsid w:val="0009340F"/>
    <w:rsid w:val="00093B95"/>
    <w:rsid w:val="00094537"/>
    <w:rsid w:val="00094988"/>
    <w:rsid w:val="00094AA6"/>
    <w:rsid w:val="000A08DC"/>
    <w:rsid w:val="000A0CB1"/>
    <w:rsid w:val="000A5A2F"/>
    <w:rsid w:val="000A6A02"/>
    <w:rsid w:val="000A7AE0"/>
    <w:rsid w:val="000B1B9F"/>
    <w:rsid w:val="000B3607"/>
    <w:rsid w:val="000B51D1"/>
    <w:rsid w:val="000B7F0C"/>
    <w:rsid w:val="000C3F91"/>
    <w:rsid w:val="000C68BA"/>
    <w:rsid w:val="000C7514"/>
    <w:rsid w:val="000D1841"/>
    <w:rsid w:val="000D1862"/>
    <w:rsid w:val="000D3C11"/>
    <w:rsid w:val="000D3E93"/>
    <w:rsid w:val="000D3FDF"/>
    <w:rsid w:val="000D590D"/>
    <w:rsid w:val="000D5F31"/>
    <w:rsid w:val="000D5FB6"/>
    <w:rsid w:val="000D7365"/>
    <w:rsid w:val="000D7C69"/>
    <w:rsid w:val="000E0FAA"/>
    <w:rsid w:val="000E3E9B"/>
    <w:rsid w:val="000E43A7"/>
    <w:rsid w:val="000E45C4"/>
    <w:rsid w:val="000E5D3A"/>
    <w:rsid w:val="000E6302"/>
    <w:rsid w:val="000F0183"/>
    <w:rsid w:val="000F0637"/>
    <w:rsid w:val="000F200E"/>
    <w:rsid w:val="000F4FA1"/>
    <w:rsid w:val="000F62B4"/>
    <w:rsid w:val="000F6321"/>
    <w:rsid w:val="000F67DB"/>
    <w:rsid w:val="001001B7"/>
    <w:rsid w:val="00102416"/>
    <w:rsid w:val="001029A0"/>
    <w:rsid w:val="00104E27"/>
    <w:rsid w:val="00105D12"/>
    <w:rsid w:val="00106012"/>
    <w:rsid w:val="00106223"/>
    <w:rsid w:val="00106BB5"/>
    <w:rsid w:val="00110FD0"/>
    <w:rsid w:val="001154C0"/>
    <w:rsid w:val="0011553A"/>
    <w:rsid w:val="001210C1"/>
    <w:rsid w:val="001225B1"/>
    <w:rsid w:val="001227FF"/>
    <w:rsid w:val="00124D7D"/>
    <w:rsid w:val="00126F94"/>
    <w:rsid w:val="001327B8"/>
    <w:rsid w:val="00133004"/>
    <w:rsid w:val="00133543"/>
    <w:rsid w:val="0013576C"/>
    <w:rsid w:val="00141128"/>
    <w:rsid w:val="0014152A"/>
    <w:rsid w:val="001448E9"/>
    <w:rsid w:val="00144C36"/>
    <w:rsid w:val="001453F7"/>
    <w:rsid w:val="00146E66"/>
    <w:rsid w:val="0015139E"/>
    <w:rsid w:val="00153009"/>
    <w:rsid w:val="00154C6C"/>
    <w:rsid w:val="0015601A"/>
    <w:rsid w:val="00157085"/>
    <w:rsid w:val="0015777F"/>
    <w:rsid w:val="00157791"/>
    <w:rsid w:val="0016025F"/>
    <w:rsid w:val="001627D0"/>
    <w:rsid w:val="00166E98"/>
    <w:rsid w:val="00175B59"/>
    <w:rsid w:val="0018074B"/>
    <w:rsid w:val="0018288E"/>
    <w:rsid w:val="001830C4"/>
    <w:rsid w:val="00183113"/>
    <w:rsid w:val="001848A2"/>
    <w:rsid w:val="001862A2"/>
    <w:rsid w:val="00186609"/>
    <w:rsid w:val="00186C4D"/>
    <w:rsid w:val="00191729"/>
    <w:rsid w:val="001949B8"/>
    <w:rsid w:val="00196F0D"/>
    <w:rsid w:val="00197C74"/>
    <w:rsid w:val="001A09E8"/>
    <w:rsid w:val="001A1CD3"/>
    <w:rsid w:val="001A2F33"/>
    <w:rsid w:val="001A31B9"/>
    <w:rsid w:val="001A4A31"/>
    <w:rsid w:val="001A4FAE"/>
    <w:rsid w:val="001A5C0E"/>
    <w:rsid w:val="001A6320"/>
    <w:rsid w:val="001A65D8"/>
    <w:rsid w:val="001A723C"/>
    <w:rsid w:val="001A75DF"/>
    <w:rsid w:val="001B001D"/>
    <w:rsid w:val="001B2B90"/>
    <w:rsid w:val="001B335A"/>
    <w:rsid w:val="001B38C1"/>
    <w:rsid w:val="001B5008"/>
    <w:rsid w:val="001B5DF4"/>
    <w:rsid w:val="001B5F87"/>
    <w:rsid w:val="001B70B1"/>
    <w:rsid w:val="001B7D1A"/>
    <w:rsid w:val="001B7F17"/>
    <w:rsid w:val="001C04EC"/>
    <w:rsid w:val="001C3832"/>
    <w:rsid w:val="001C3863"/>
    <w:rsid w:val="001C4661"/>
    <w:rsid w:val="001C67D6"/>
    <w:rsid w:val="001D01B1"/>
    <w:rsid w:val="001D0EEE"/>
    <w:rsid w:val="001D179E"/>
    <w:rsid w:val="001D1E00"/>
    <w:rsid w:val="001D3827"/>
    <w:rsid w:val="001D4F2C"/>
    <w:rsid w:val="001D5D1B"/>
    <w:rsid w:val="001D69E4"/>
    <w:rsid w:val="001D6F36"/>
    <w:rsid w:val="001D7B1B"/>
    <w:rsid w:val="001D7E01"/>
    <w:rsid w:val="001E1329"/>
    <w:rsid w:val="001E480F"/>
    <w:rsid w:val="001E6583"/>
    <w:rsid w:val="001E69D0"/>
    <w:rsid w:val="001F0383"/>
    <w:rsid w:val="001F0DB0"/>
    <w:rsid w:val="001F2807"/>
    <w:rsid w:val="001F2A83"/>
    <w:rsid w:val="001F39EC"/>
    <w:rsid w:val="001F5817"/>
    <w:rsid w:val="001F590D"/>
    <w:rsid w:val="001F621E"/>
    <w:rsid w:val="001F654D"/>
    <w:rsid w:val="002014A5"/>
    <w:rsid w:val="002017F2"/>
    <w:rsid w:val="00202974"/>
    <w:rsid w:val="00203401"/>
    <w:rsid w:val="00205E61"/>
    <w:rsid w:val="0020674D"/>
    <w:rsid w:val="00206893"/>
    <w:rsid w:val="002068A9"/>
    <w:rsid w:val="00207613"/>
    <w:rsid w:val="00207788"/>
    <w:rsid w:val="00210203"/>
    <w:rsid w:val="002106DD"/>
    <w:rsid w:val="00214175"/>
    <w:rsid w:val="002146F0"/>
    <w:rsid w:val="00216132"/>
    <w:rsid w:val="002206CF"/>
    <w:rsid w:val="002214B7"/>
    <w:rsid w:val="00224325"/>
    <w:rsid w:val="0022481C"/>
    <w:rsid w:val="00225BD0"/>
    <w:rsid w:val="00225ED5"/>
    <w:rsid w:val="0022703B"/>
    <w:rsid w:val="002272BF"/>
    <w:rsid w:val="0022738C"/>
    <w:rsid w:val="002278D0"/>
    <w:rsid w:val="00227A0F"/>
    <w:rsid w:val="002304AF"/>
    <w:rsid w:val="0023175B"/>
    <w:rsid w:val="00233887"/>
    <w:rsid w:val="0023457D"/>
    <w:rsid w:val="0023495A"/>
    <w:rsid w:val="00235098"/>
    <w:rsid w:val="00235548"/>
    <w:rsid w:val="00237A2B"/>
    <w:rsid w:val="002405AD"/>
    <w:rsid w:val="00240E02"/>
    <w:rsid w:val="002418A0"/>
    <w:rsid w:val="00241AB3"/>
    <w:rsid w:val="00242FF0"/>
    <w:rsid w:val="00246612"/>
    <w:rsid w:val="00246DFD"/>
    <w:rsid w:val="002471C2"/>
    <w:rsid w:val="00247C11"/>
    <w:rsid w:val="0025089A"/>
    <w:rsid w:val="0025272B"/>
    <w:rsid w:val="00252C81"/>
    <w:rsid w:val="00253DAB"/>
    <w:rsid w:val="00254AE9"/>
    <w:rsid w:val="00254B34"/>
    <w:rsid w:val="00256721"/>
    <w:rsid w:val="00260C33"/>
    <w:rsid w:val="00261D5E"/>
    <w:rsid w:val="002626B2"/>
    <w:rsid w:val="00262A6F"/>
    <w:rsid w:val="0026423B"/>
    <w:rsid w:val="002643B9"/>
    <w:rsid w:val="00265E8F"/>
    <w:rsid w:val="00265F4A"/>
    <w:rsid w:val="00266668"/>
    <w:rsid w:val="002671AD"/>
    <w:rsid w:val="00267764"/>
    <w:rsid w:val="00270EF3"/>
    <w:rsid w:val="0027144C"/>
    <w:rsid w:val="00271888"/>
    <w:rsid w:val="0027420C"/>
    <w:rsid w:val="00274A01"/>
    <w:rsid w:val="00275513"/>
    <w:rsid w:val="00275A2C"/>
    <w:rsid w:val="002800FA"/>
    <w:rsid w:val="00281488"/>
    <w:rsid w:val="0028180E"/>
    <w:rsid w:val="00282127"/>
    <w:rsid w:val="0028748C"/>
    <w:rsid w:val="00287B47"/>
    <w:rsid w:val="00290DAC"/>
    <w:rsid w:val="00291DDC"/>
    <w:rsid w:val="002931D4"/>
    <w:rsid w:val="002933DE"/>
    <w:rsid w:val="00293ED2"/>
    <w:rsid w:val="00295630"/>
    <w:rsid w:val="00296080"/>
    <w:rsid w:val="00297109"/>
    <w:rsid w:val="00297176"/>
    <w:rsid w:val="0029753A"/>
    <w:rsid w:val="00297FED"/>
    <w:rsid w:val="002A1CEA"/>
    <w:rsid w:val="002A3360"/>
    <w:rsid w:val="002A3517"/>
    <w:rsid w:val="002A59E6"/>
    <w:rsid w:val="002A70F7"/>
    <w:rsid w:val="002A77DF"/>
    <w:rsid w:val="002B0701"/>
    <w:rsid w:val="002B2497"/>
    <w:rsid w:val="002B26B4"/>
    <w:rsid w:val="002B743B"/>
    <w:rsid w:val="002C28E2"/>
    <w:rsid w:val="002C3F19"/>
    <w:rsid w:val="002C4575"/>
    <w:rsid w:val="002C45A6"/>
    <w:rsid w:val="002C49FC"/>
    <w:rsid w:val="002C5632"/>
    <w:rsid w:val="002C5664"/>
    <w:rsid w:val="002D0A7E"/>
    <w:rsid w:val="002D1BC4"/>
    <w:rsid w:val="002D5B8A"/>
    <w:rsid w:val="002D7221"/>
    <w:rsid w:val="002D741C"/>
    <w:rsid w:val="002D7552"/>
    <w:rsid w:val="002D78ED"/>
    <w:rsid w:val="002D7C89"/>
    <w:rsid w:val="002E07C7"/>
    <w:rsid w:val="002E1187"/>
    <w:rsid w:val="002E33B5"/>
    <w:rsid w:val="002E366E"/>
    <w:rsid w:val="002E4105"/>
    <w:rsid w:val="002E55D7"/>
    <w:rsid w:val="002E6DC5"/>
    <w:rsid w:val="002F022E"/>
    <w:rsid w:val="002F09B2"/>
    <w:rsid w:val="002F1A97"/>
    <w:rsid w:val="002F1B7A"/>
    <w:rsid w:val="002F2158"/>
    <w:rsid w:val="002F27DB"/>
    <w:rsid w:val="002F6E82"/>
    <w:rsid w:val="00300217"/>
    <w:rsid w:val="003019C7"/>
    <w:rsid w:val="00304F1B"/>
    <w:rsid w:val="003058C2"/>
    <w:rsid w:val="00307520"/>
    <w:rsid w:val="00307805"/>
    <w:rsid w:val="003111C3"/>
    <w:rsid w:val="00312920"/>
    <w:rsid w:val="003138AF"/>
    <w:rsid w:val="0031586D"/>
    <w:rsid w:val="0031624F"/>
    <w:rsid w:val="00322878"/>
    <w:rsid w:val="00323814"/>
    <w:rsid w:val="003249E3"/>
    <w:rsid w:val="0032621C"/>
    <w:rsid w:val="00331276"/>
    <w:rsid w:val="00331505"/>
    <w:rsid w:val="0033500B"/>
    <w:rsid w:val="00335C69"/>
    <w:rsid w:val="00335F56"/>
    <w:rsid w:val="00340A34"/>
    <w:rsid w:val="00341481"/>
    <w:rsid w:val="00341570"/>
    <w:rsid w:val="00341C12"/>
    <w:rsid w:val="00341D7A"/>
    <w:rsid w:val="003447B4"/>
    <w:rsid w:val="00345EEB"/>
    <w:rsid w:val="00350D20"/>
    <w:rsid w:val="00351129"/>
    <w:rsid w:val="00352F96"/>
    <w:rsid w:val="00354BC8"/>
    <w:rsid w:val="00355304"/>
    <w:rsid w:val="00355539"/>
    <w:rsid w:val="00355FA4"/>
    <w:rsid w:val="0035665D"/>
    <w:rsid w:val="00357143"/>
    <w:rsid w:val="00357535"/>
    <w:rsid w:val="00357EA0"/>
    <w:rsid w:val="00360F4D"/>
    <w:rsid w:val="0036158F"/>
    <w:rsid w:val="00362465"/>
    <w:rsid w:val="00363223"/>
    <w:rsid w:val="00363306"/>
    <w:rsid w:val="003638D8"/>
    <w:rsid w:val="00363CB3"/>
    <w:rsid w:val="00364FD0"/>
    <w:rsid w:val="0036517D"/>
    <w:rsid w:val="00365BD7"/>
    <w:rsid w:val="00366BC5"/>
    <w:rsid w:val="0036729F"/>
    <w:rsid w:val="00367823"/>
    <w:rsid w:val="00367B34"/>
    <w:rsid w:val="00367F46"/>
    <w:rsid w:val="003704C8"/>
    <w:rsid w:val="00370667"/>
    <w:rsid w:val="00370991"/>
    <w:rsid w:val="00370996"/>
    <w:rsid w:val="00371573"/>
    <w:rsid w:val="003719D9"/>
    <w:rsid w:val="00373165"/>
    <w:rsid w:val="0037404E"/>
    <w:rsid w:val="00374759"/>
    <w:rsid w:val="00376AB2"/>
    <w:rsid w:val="00376B93"/>
    <w:rsid w:val="0038002B"/>
    <w:rsid w:val="003813D5"/>
    <w:rsid w:val="0038195E"/>
    <w:rsid w:val="003821E8"/>
    <w:rsid w:val="0038226C"/>
    <w:rsid w:val="003823C7"/>
    <w:rsid w:val="003824C4"/>
    <w:rsid w:val="00382DCE"/>
    <w:rsid w:val="003844CB"/>
    <w:rsid w:val="0038676D"/>
    <w:rsid w:val="0038760C"/>
    <w:rsid w:val="0038779E"/>
    <w:rsid w:val="003908A4"/>
    <w:rsid w:val="00390A8C"/>
    <w:rsid w:val="00390BA6"/>
    <w:rsid w:val="00390E05"/>
    <w:rsid w:val="00392D3C"/>
    <w:rsid w:val="003960F6"/>
    <w:rsid w:val="00396F28"/>
    <w:rsid w:val="003A210F"/>
    <w:rsid w:val="003A2810"/>
    <w:rsid w:val="003A6911"/>
    <w:rsid w:val="003A7F55"/>
    <w:rsid w:val="003B087C"/>
    <w:rsid w:val="003B0A17"/>
    <w:rsid w:val="003B0E13"/>
    <w:rsid w:val="003B1481"/>
    <w:rsid w:val="003B5397"/>
    <w:rsid w:val="003C06B7"/>
    <w:rsid w:val="003C0724"/>
    <w:rsid w:val="003C0E90"/>
    <w:rsid w:val="003C116F"/>
    <w:rsid w:val="003C1A31"/>
    <w:rsid w:val="003C1EFA"/>
    <w:rsid w:val="003C276D"/>
    <w:rsid w:val="003C3463"/>
    <w:rsid w:val="003C3958"/>
    <w:rsid w:val="003C3CD4"/>
    <w:rsid w:val="003C4495"/>
    <w:rsid w:val="003C61DA"/>
    <w:rsid w:val="003C6653"/>
    <w:rsid w:val="003D0D5D"/>
    <w:rsid w:val="003D2CB1"/>
    <w:rsid w:val="003D354A"/>
    <w:rsid w:val="003D425D"/>
    <w:rsid w:val="003D6F07"/>
    <w:rsid w:val="003E05C1"/>
    <w:rsid w:val="003E2770"/>
    <w:rsid w:val="003E35C3"/>
    <w:rsid w:val="003E4094"/>
    <w:rsid w:val="003E4BE3"/>
    <w:rsid w:val="003E6773"/>
    <w:rsid w:val="003F2568"/>
    <w:rsid w:val="003F3405"/>
    <w:rsid w:val="003F354A"/>
    <w:rsid w:val="003F613C"/>
    <w:rsid w:val="003F67C4"/>
    <w:rsid w:val="003F7262"/>
    <w:rsid w:val="0040134F"/>
    <w:rsid w:val="004032C2"/>
    <w:rsid w:val="0040333F"/>
    <w:rsid w:val="004039E7"/>
    <w:rsid w:val="004041ED"/>
    <w:rsid w:val="00406303"/>
    <w:rsid w:val="00406E22"/>
    <w:rsid w:val="004104A0"/>
    <w:rsid w:val="004114FA"/>
    <w:rsid w:val="0041224C"/>
    <w:rsid w:val="004169F6"/>
    <w:rsid w:val="00416D3D"/>
    <w:rsid w:val="00417191"/>
    <w:rsid w:val="00417970"/>
    <w:rsid w:val="00422DE7"/>
    <w:rsid w:val="004230ED"/>
    <w:rsid w:val="004237EB"/>
    <w:rsid w:val="00423DC8"/>
    <w:rsid w:val="0042457A"/>
    <w:rsid w:val="00425FA5"/>
    <w:rsid w:val="00426082"/>
    <w:rsid w:val="00426348"/>
    <w:rsid w:val="00427C1F"/>
    <w:rsid w:val="004306EF"/>
    <w:rsid w:val="00431AF9"/>
    <w:rsid w:val="004340FD"/>
    <w:rsid w:val="00434EC6"/>
    <w:rsid w:val="004360E2"/>
    <w:rsid w:val="004374E1"/>
    <w:rsid w:val="004374F7"/>
    <w:rsid w:val="00437ACC"/>
    <w:rsid w:val="004402A4"/>
    <w:rsid w:val="00440E73"/>
    <w:rsid w:val="0044111D"/>
    <w:rsid w:val="004415DC"/>
    <w:rsid w:val="004416C3"/>
    <w:rsid w:val="004434F1"/>
    <w:rsid w:val="004437BD"/>
    <w:rsid w:val="004449F5"/>
    <w:rsid w:val="00446414"/>
    <w:rsid w:val="00450495"/>
    <w:rsid w:val="0045260D"/>
    <w:rsid w:val="00455B16"/>
    <w:rsid w:val="00456C43"/>
    <w:rsid w:val="004572F2"/>
    <w:rsid w:val="00457F39"/>
    <w:rsid w:val="00462359"/>
    <w:rsid w:val="00462A4F"/>
    <w:rsid w:val="00465DE9"/>
    <w:rsid w:val="00467883"/>
    <w:rsid w:val="00467CBA"/>
    <w:rsid w:val="00472240"/>
    <w:rsid w:val="00472B67"/>
    <w:rsid w:val="0047510D"/>
    <w:rsid w:val="00475734"/>
    <w:rsid w:val="00476457"/>
    <w:rsid w:val="0047698B"/>
    <w:rsid w:val="00477148"/>
    <w:rsid w:val="00480725"/>
    <w:rsid w:val="00481129"/>
    <w:rsid w:val="0048141F"/>
    <w:rsid w:val="004822C6"/>
    <w:rsid w:val="004824AA"/>
    <w:rsid w:val="004824AF"/>
    <w:rsid w:val="00483CB7"/>
    <w:rsid w:val="00486D5F"/>
    <w:rsid w:val="004870C2"/>
    <w:rsid w:val="0048717D"/>
    <w:rsid w:val="004879EB"/>
    <w:rsid w:val="00490C5B"/>
    <w:rsid w:val="00490F9B"/>
    <w:rsid w:val="00490FE5"/>
    <w:rsid w:val="00492309"/>
    <w:rsid w:val="004931CA"/>
    <w:rsid w:val="00494667"/>
    <w:rsid w:val="004948BD"/>
    <w:rsid w:val="00497781"/>
    <w:rsid w:val="004A00DB"/>
    <w:rsid w:val="004A12CE"/>
    <w:rsid w:val="004A24A0"/>
    <w:rsid w:val="004A2E0C"/>
    <w:rsid w:val="004A3402"/>
    <w:rsid w:val="004A36AB"/>
    <w:rsid w:val="004A6675"/>
    <w:rsid w:val="004A6E17"/>
    <w:rsid w:val="004B0024"/>
    <w:rsid w:val="004B0442"/>
    <w:rsid w:val="004B1A73"/>
    <w:rsid w:val="004B20E5"/>
    <w:rsid w:val="004B2200"/>
    <w:rsid w:val="004B3759"/>
    <w:rsid w:val="004B3D90"/>
    <w:rsid w:val="004B5059"/>
    <w:rsid w:val="004B54D7"/>
    <w:rsid w:val="004B64AC"/>
    <w:rsid w:val="004C05D4"/>
    <w:rsid w:val="004C1E94"/>
    <w:rsid w:val="004C2728"/>
    <w:rsid w:val="004C40E7"/>
    <w:rsid w:val="004C4763"/>
    <w:rsid w:val="004C78C5"/>
    <w:rsid w:val="004D1872"/>
    <w:rsid w:val="004D1A52"/>
    <w:rsid w:val="004D3E86"/>
    <w:rsid w:val="004D4A7C"/>
    <w:rsid w:val="004D5FAD"/>
    <w:rsid w:val="004E0A82"/>
    <w:rsid w:val="004E0E63"/>
    <w:rsid w:val="004E19DD"/>
    <w:rsid w:val="004E2103"/>
    <w:rsid w:val="004E298A"/>
    <w:rsid w:val="004E3A5A"/>
    <w:rsid w:val="004E57AF"/>
    <w:rsid w:val="004E5DA0"/>
    <w:rsid w:val="004E5EB1"/>
    <w:rsid w:val="004E6A51"/>
    <w:rsid w:val="004E72B4"/>
    <w:rsid w:val="004F166B"/>
    <w:rsid w:val="004F25D4"/>
    <w:rsid w:val="004F7B40"/>
    <w:rsid w:val="004F7EEF"/>
    <w:rsid w:val="00501DCD"/>
    <w:rsid w:val="005036CC"/>
    <w:rsid w:val="00504057"/>
    <w:rsid w:val="00505402"/>
    <w:rsid w:val="00505642"/>
    <w:rsid w:val="0050587D"/>
    <w:rsid w:val="005060C1"/>
    <w:rsid w:val="0050631F"/>
    <w:rsid w:val="005127D7"/>
    <w:rsid w:val="005135FB"/>
    <w:rsid w:val="0051504C"/>
    <w:rsid w:val="005156B6"/>
    <w:rsid w:val="00516D20"/>
    <w:rsid w:val="00516F62"/>
    <w:rsid w:val="005174CA"/>
    <w:rsid w:val="00523210"/>
    <w:rsid w:val="00524DE7"/>
    <w:rsid w:val="005256B3"/>
    <w:rsid w:val="00527664"/>
    <w:rsid w:val="00527E18"/>
    <w:rsid w:val="0053226A"/>
    <w:rsid w:val="00533463"/>
    <w:rsid w:val="00534DB9"/>
    <w:rsid w:val="00536177"/>
    <w:rsid w:val="00536276"/>
    <w:rsid w:val="005364B7"/>
    <w:rsid w:val="00540FA0"/>
    <w:rsid w:val="005410E4"/>
    <w:rsid w:val="00542A00"/>
    <w:rsid w:val="00542A96"/>
    <w:rsid w:val="00542B0E"/>
    <w:rsid w:val="00545B13"/>
    <w:rsid w:val="00546287"/>
    <w:rsid w:val="0054767B"/>
    <w:rsid w:val="00547832"/>
    <w:rsid w:val="00547865"/>
    <w:rsid w:val="00547E87"/>
    <w:rsid w:val="00553479"/>
    <w:rsid w:val="00556FF4"/>
    <w:rsid w:val="00562C1F"/>
    <w:rsid w:val="00563B9C"/>
    <w:rsid w:val="005643E8"/>
    <w:rsid w:val="00565292"/>
    <w:rsid w:val="005666A0"/>
    <w:rsid w:val="005714D3"/>
    <w:rsid w:val="0057153B"/>
    <w:rsid w:val="00572575"/>
    <w:rsid w:val="00572916"/>
    <w:rsid w:val="005729DF"/>
    <w:rsid w:val="00573BA5"/>
    <w:rsid w:val="0057412D"/>
    <w:rsid w:val="00575749"/>
    <w:rsid w:val="00576CE9"/>
    <w:rsid w:val="00577ACF"/>
    <w:rsid w:val="00581E2D"/>
    <w:rsid w:val="00583EC1"/>
    <w:rsid w:val="00584B8C"/>
    <w:rsid w:val="00586289"/>
    <w:rsid w:val="00586291"/>
    <w:rsid w:val="0058711C"/>
    <w:rsid w:val="005871DA"/>
    <w:rsid w:val="005925D4"/>
    <w:rsid w:val="00592B8D"/>
    <w:rsid w:val="0059489B"/>
    <w:rsid w:val="00595625"/>
    <w:rsid w:val="005A06CE"/>
    <w:rsid w:val="005A1A7A"/>
    <w:rsid w:val="005A38D9"/>
    <w:rsid w:val="005A3DF1"/>
    <w:rsid w:val="005A3E72"/>
    <w:rsid w:val="005A40DE"/>
    <w:rsid w:val="005A62E9"/>
    <w:rsid w:val="005A6646"/>
    <w:rsid w:val="005A7D88"/>
    <w:rsid w:val="005B11A7"/>
    <w:rsid w:val="005B169A"/>
    <w:rsid w:val="005B22A8"/>
    <w:rsid w:val="005B3795"/>
    <w:rsid w:val="005B3F4D"/>
    <w:rsid w:val="005B76AA"/>
    <w:rsid w:val="005B7F37"/>
    <w:rsid w:val="005C1FD5"/>
    <w:rsid w:val="005C2C3D"/>
    <w:rsid w:val="005C31E3"/>
    <w:rsid w:val="005C4794"/>
    <w:rsid w:val="005C5509"/>
    <w:rsid w:val="005C5B96"/>
    <w:rsid w:val="005C5D9E"/>
    <w:rsid w:val="005C66F2"/>
    <w:rsid w:val="005C69B3"/>
    <w:rsid w:val="005D073A"/>
    <w:rsid w:val="005D351C"/>
    <w:rsid w:val="005E363D"/>
    <w:rsid w:val="005E5F72"/>
    <w:rsid w:val="005E6BAE"/>
    <w:rsid w:val="005E6BC1"/>
    <w:rsid w:val="005E6D7C"/>
    <w:rsid w:val="005E7721"/>
    <w:rsid w:val="005E78AF"/>
    <w:rsid w:val="005F0FF4"/>
    <w:rsid w:val="005F4ED8"/>
    <w:rsid w:val="005F4ED9"/>
    <w:rsid w:val="005F5C2E"/>
    <w:rsid w:val="005F6BF1"/>
    <w:rsid w:val="005F71E8"/>
    <w:rsid w:val="005F7400"/>
    <w:rsid w:val="006015B4"/>
    <w:rsid w:val="00601C3B"/>
    <w:rsid w:val="00601EC3"/>
    <w:rsid w:val="006048F9"/>
    <w:rsid w:val="00606349"/>
    <w:rsid w:val="00606ADD"/>
    <w:rsid w:val="006075B7"/>
    <w:rsid w:val="006117C7"/>
    <w:rsid w:val="006127C3"/>
    <w:rsid w:val="006133E6"/>
    <w:rsid w:val="00613FA5"/>
    <w:rsid w:val="00614032"/>
    <w:rsid w:val="0061406E"/>
    <w:rsid w:val="006171A6"/>
    <w:rsid w:val="00620346"/>
    <w:rsid w:val="00620DB9"/>
    <w:rsid w:val="00621048"/>
    <w:rsid w:val="00621613"/>
    <w:rsid w:val="00623386"/>
    <w:rsid w:val="00626301"/>
    <w:rsid w:val="00627238"/>
    <w:rsid w:val="0063057E"/>
    <w:rsid w:val="00630743"/>
    <w:rsid w:val="00630B0C"/>
    <w:rsid w:val="00631A16"/>
    <w:rsid w:val="00632303"/>
    <w:rsid w:val="00633DCE"/>
    <w:rsid w:val="00634029"/>
    <w:rsid w:val="006359DB"/>
    <w:rsid w:val="00635E1D"/>
    <w:rsid w:val="00636E0D"/>
    <w:rsid w:val="006420A0"/>
    <w:rsid w:val="00642980"/>
    <w:rsid w:val="006437B7"/>
    <w:rsid w:val="006478B2"/>
    <w:rsid w:val="00647C0B"/>
    <w:rsid w:val="00653ECE"/>
    <w:rsid w:val="0065406C"/>
    <w:rsid w:val="00655585"/>
    <w:rsid w:val="006555DE"/>
    <w:rsid w:val="00655793"/>
    <w:rsid w:val="00655849"/>
    <w:rsid w:val="00660F69"/>
    <w:rsid w:val="00663A3E"/>
    <w:rsid w:val="00664265"/>
    <w:rsid w:val="00664E0A"/>
    <w:rsid w:val="00665FA8"/>
    <w:rsid w:val="0066605B"/>
    <w:rsid w:val="006662BC"/>
    <w:rsid w:val="00667DE7"/>
    <w:rsid w:val="00670CF2"/>
    <w:rsid w:val="00671924"/>
    <w:rsid w:val="00672DC5"/>
    <w:rsid w:val="00672E94"/>
    <w:rsid w:val="00674DE5"/>
    <w:rsid w:val="00675096"/>
    <w:rsid w:val="00676217"/>
    <w:rsid w:val="006801C1"/>
    <w:rsid w:val="006803D2"/>
    <w:rsid w:val="006805C6"/>
    <w:rsid w:val="00683B3D"/>
    <w:rsid w:val="006842BC"/>
    <w:rsid w:val="00685F8F"/>
    <w:rsid w:val="006862C3"/>
    <w:rsid w:val="00686F65"/>
    <w:rsid w:val="00690D34"/>
    <w:rsid w:val="00692589"/>
    <w:rsid w:val="00693A23"/>
    <w:rsid w:val="00697EE6"/>
    <w:rsid w:val="006A1ACF"/>
    <w:rsid w:val="006A1DBE"/>
    <w:rsid w:val="006A2DBF"/>
    <w:rsid w:val="006A30EE"/>
    <w:rsid w:val="006A3457"/>
    <w:rsid w:val="006A3915"/>
    <w:rsid w:val="006A39E8"/>
    <w:rsid w:val="006A490B"/>
    <w:rsid w:val="006A5E7E"/>
    <w:rsid w:val="006A6708"/>
    <w:rsid w:val="006A7AEB"/>
    <w:rsid w:val="006B48D0"/>
    <w:rsid w:val="006B4935"/>
    <w:rsid w:val="006B7D25"/>
    <w:rsid w:val="006B7EFD"/>
    <w:rsid w:val="006C27B8"/>
    <w:rsid w:val="006C2DE0"/>
    <w:rsid w:val="006C3D70"/>
    <w:rsid w:val="006C6496"/>
    <w:rsid w:val="006C6E07"/>
    <w:rsid w:val="006C74F0"/>
    <w:rsid w:val="006D0A0B"/>
    <w:rsid w:val="006D0C59"/>
    <w:rsid w:val="006D10B9"/>
    <w:rsid w:val="006D1CDA"/>
    <w:rsid w:val="006D2015"/>
    <w:rsid w:val="006D2DF9"/>
    <w:rsid w:val="006D304E"/>
    <w:rsid w:val="006D3553"/>
    <w:rsid w:val="006D54C0"/>
    <w:rsid w:val="006D6FA8"/>
    <w:rsid w:val="006E27BC"/>
    <w:rsid w:val="006E5A5D"/>
    <w:rsid w:val="006E6199"/>
    <w:rsid w:val="006F0D5B"/>
    <w:rsid w:val="006F32F7"/>
    <w:rsid w:val="006F3F29"/>
    <w:rsid w:val="006F58B7"/>
    <w:rsid w:val="00700819"/>
    <w:rsid w:val="007036DD"/>
    <w:rsid w:val="0070621A"/>
    <w:rsid w:val="00707C19"/>
    <w:rsid w:val="007101E2"/>
    <w:rsid w:val="00710D19"/>
    <w:rsid w:val="00711620"/>
    <w:rsid w:val="00711AD2"/>
    <w:rsid w:val="0071263F"/>
    <w:rsid w:val="0071478C"/>
    <w:rsid w:val="00714CC9"/>
    <w:rsid w:val="007157BF"/>
    <w:rsid w:val="00715D27"/>
    <w:rsid w:val="007162B7"/>
    <w:rsid w:val="007215F3"/>
    <w:rsid w:val="00721640"/>
    <w:rsid w:val="00721FC8"/>
    <w:rsid w:val="0072267D"/>
    <w:rsid w:val="00724AE4"/>
    <w:rsid w:val="00725098"/>
    <w:rsid w:val="007277BE"/>
    <w:rsid w:val="00731B8F"/>
    <w:rsid w:val="00732C20"/>
    <w:rsid w:val="00733A18"/>
    <w:rsid w:val="0073484F"/>
    <w:rsid w:val="00734A14"/>
    <w:rsid w:val="00734B4B"/>
    <w:rsid w:val="00735534"/>
    <w:rsid w:val="0074050C"/>
    <w:rsid w:val="00740D39"/>
    <w:rsid w:val="00742DB1"/>
    <w:rsid w:val="00742E2C"/>
    <w:rsid w:val="007444D9"/>
    <w:rsid w:val="00745516"/>
    <w:rsid w:val="007461F5"/>
    <w:rsid w:val="00746B09"/>
    <w:rsid w:val="00746E8E"/>
    <w:rsid w:val="0075058A"/>
    <w:rsid w:val="007515F6"/>
    <w:rsid w:val="00752B30"/>
    <w:rsid w:val="00754C61"/>
    <w:rsid w:val="00754D8B"/>
    <w:rsid w:val="007553C5"/>
    <w:rsid w:val="0076033B"/>
    <w:rsid w:val="00761400"/>
    <w:rsid w:val="007622B7"/>
    <w:rsid w:val="00764DCE"/>
    <w:rsid w:val="0077158E"/>
    <w:rsid w:val="00771758"/>
    <w:rsid w:val="007742A6"/>
    <w:rsid w:val="0077484C"/>
    <w:rsid w:val="007762A9"/>
    <w:rsid w:val="007764A4"/>
    <w:rsid w:val="00776514"/>
    <w:rsid w:val="00777617"/>
    <w:rsid w:val="00777AB3"/>
    <w:rsid w:val="00777D3B"/>
    <w:rsid w:val="00781E9F"/>
    <w:rsid w:val="00782174"/>
    <w:rsid w:val="00782453"/>
    <w:rsid w:val="007829F2"/>
    <w:rsid w:val="00783117"/>
    <w:rsid w:val="00783A0E"/>
    <w:rsid w:val="007846D7"/>
    <w:rsid w:val="00785A90"/>
    <w:rsid w:val="00785EAE"/>
    <w:rsid w:val="00786740"/>
    <w:rsid w:val="007902C0"/>
    <w:rsid w:val="00790A3F"/>
    <w:rsid w:val="00790BD2"/>
    <w:rsid w:val="00794011"/>
    <w:rsid w:val="00795B9D"/>
    <w:rsid w:val="00795F5E"/>
    <w:rsid w:val="007A0054"/>
    <w:rsid w:val="007A0373"/>
    <w:rsid w:val="007A1BAD"/>
    <w:rsid w:val="007A1DAC"/>
    <w:rsid w:val="007A27B9"/>
    <w:rsid w:val="007A29DE"/>
    <w:rsid w:val="007A2A14"/>
    <w:rsid w:val="007A2A5C"/>
    <w:rsid w:val="007A4AF9"/>
    <w:rsid w:val="007A4D23"/>
    <w:rsid w:val="007A7A30"/>
    <w:rsid w:val="007B3050"/>
    <w:rsid w:val="007B3F15"/>
    <w:rsid w:val="007B4188"/>
    <w:rsid w:val="007B421A"/>
    <w:rsid w:val="007B6C03"/>
    <w:rsid w:val="007C4411"/>
    <w:rsid w:val="007C52AD"/>
    <w:rsid w:val="007D139F"/>
    <w:rsid w:val="007D281C"/>
    <w:rsid w:val="007D5617"/>
    <w:rsid w:val="007D6100"/>
    <w:rsid w:val="007E068C"/>
    <w:rsid w:val="007E10B8"/>
    <w:rsid w:val="007E2982"/>
    <w:rsid w:val="007E3B40"/>
    <w:rsid w:val="007E3B85"/>
    <w:rsid w:val="007E4D31"/>
    <w:rsid w:val="007E6F5B"/>
    <w:rsid w:val="007E7126"/>
    <w:rsid w:val="007F0168"/>
    <w:rsid w:val="007F2E27"/>
    <w:rsid w:val="007F5E80"/>
    <w:rsid w:val="0080018E"/>
    <w:rsid w:val="008002FE"/>
    <w:rsid w:val="00802256"/>
    <w:rsid w:val="00802EC8"/>
    <w:rsid w:val="00803B2E"/>
    <w:rsid w:val="0080666D"/>
    <w:rsid w:val="00806E40"/>
    <w:rsid w:val="008079AC"/>
    <w:rsid w:val="00810BDC"/>
    <w:rsid w:val="00810CF6"/>
    <w:rsid w:val="00810F72"/>
    <w:rsid w:val="00810F87"/>
    <w:rsid w:val="008126DD"/>
    <w:rsid w:val="0081451D"/>
    <w:rsid w:val="008165D1"/>
    <w:rsid w:val="0082098C"/>
    <w:rsid w:val="008224D0"/>
    <w:rsid w:val="00822643"/>
    <w:rsid w:val="00824381"/>
    <w:rsid w:val="008244A8"/>
    <w:rsid w:val="00824D7A"/>
    <w:rsid w:val="008255DF"/>
    <w:rsid w:val="0082725D"/>
    <w:rsid w:val="00830494"/>
    <w:rsid w:val="00834569"/>
    <w:rsid w:val="00835282"/>
    <w:rsid w:val="008409F1"/>
    <w:rsid w:val="00841170"/>
    <w:rsid w:val="0084371F"/>
    <w:rsid w:val="0084450F"/>
    <w:rsid w:val="00844B65"/>
    <w:rsid w:val="0085287A"/>
    <w:rsid w:val="00855512"/>
    <w:rsid w:val="00855DE0"/>
    <w:rsid w:val="00857745"/>
    <w:rsid w:val="00860D06"/>
    <w:rsid w:val="008610C3"/>
    <w:rsid w:val="008677C0"/>
    <w:rsid w:val="00871A33"/>
    <w:rsid w:val="00872408"/>
    <w:rsid w:val="0087274A"/>
    <w:rsid w:val="00873D24"/>
    <w:rsid w:val="00874719"/>
    <w:rsid w:val="00875926"/>
    <w:rsid w:val="008763CB"/>
    <w:rsid w:val="00877BB7"/>
    <w:rsid w:val="00877CE7"/>
    <w:rsid w:val="0088096A"/>
    <w:rsid w:val="00880F09"/>
    <w:rsid w:val="0088176A"/>
    <w:rsid w:val="0088207C"/>
    <w:rsid w:val="00882122"/>
    <w:rsid w:val="00882C95"/>
    <w:rsid w:val="00883FF7"/>
    <w:rsid w:val="008851BB"/>
    <w:rsid w:val="00885806"/>
    <w:rsid w:val="008861C2"/>
    <w:rsid w:val="00887072"/>
    <w:rsid w:val="00887BA1"/>
    <w:rsid w:val="008907DB"/>
    <w:rsid w:val="008918F6"/>
    <w:rsid w:val="0089721B"/>
    <w:rsid w:val="00897A52"/>
    <w:rsid w:val="008A156D"/>
    <w:rsid w:val="008A1CAB"/>
    <w:rsid w:val="008A58BB"/>
    <w:rsid w:val="008A6B47"/>
    <w:rsid w:val="008A787A"/>
    <w:rsid w:val="008A7ED0"/>
    <w:rsid w:val="008B2681"/>
    <w:rsid w:val="008B551E"/>
    <w:rsid w:val="008B5DCA"/>
    <w:rsid w:val="008B6791"/>
    <w:rsid w:val="008B72B0"/>
    <w:rsid w:val="008C2B7D"/>
    <w:rsid w:val="008C48E3"/>
    <w:rsid w:val="008C4B63"/>
    <w:rsid w:val="008C4CBD"/>
    <w:rsid w:val="008C5B53"/>
    <w:rsid w:val="008C737F"/>
    <w:rsid w:val="008C7D96"/>
    <w:rsid w:val="008D0368"/>
    <w:rsid w:val="008D2B73"/>
    <w:rsid w:val="008D2F4F"/>
    <w:rsid w:val="008D312E"/>
    <w:rsid w:val="008D3699"/>
    <w:rsid w:val="008D36C1"/>
    <w:rsid w:val="008D3C20"/>
    <w:rsid w:val="008D49E4"/>
    <w:rsid w:val="008D72CF"/>
    <w:rsid w:val="008D7834"/>
    <w:rsid w:val="008E0A0A"/>
    <w:rsid w:val="008E330E"/>
    <w:rsid w:val="008E3363"/>
    <w:rsid w:val="008E3FE7"/>
    <w:rsid w:val="008E5FCB"/>
    <w:rsid w:val="008E5FF0"/>
    <w:rsid w:val="008E7F71"/>
    <w:rsid w:val="008F037A"/>
    <w:rsid w:val="008F0562"/>
    <w:rsid w:val="008F0BF6"/>
    <w:rsid w:val="008F1BAD"/>
    <w:rsid w:val="008F30C3"/>
    <w:rsid w:val="008F3A11"/>
    <w:rsid w:val="008F3C2E"/>
    <w:rsid w:val="008F5774"/>
    <w:rsid w:val="008F795E"/>
    <w:rsid w:val="00903553"/>
    <w:rsid w:val="009042F5"/>
    <w:rsid w:val="00904979"/>
    <w:rsid w:val="00906729"/>
    <w:rsid w:val="00907E05"/>
    <w:rsid w:val="009132CE"/>
    <w:rsid w:val="00914904"/>
    <w:rsid w:val="00921CBF"/>
    <w:rsid w:val="00922A1B"/>
    <w:rsid w:val="00922E5A"/>
    <w:rsid w:val="00923049"/>
    <w:rsid w:val="00924CBF"/>
    <w:rsid w:val="009270FA"/>
    <w:rsid w:val="00935039"/>
    <w:rsid w:val="009350AC"/>
    <w:rsid w:val="0093554B"/>
    <w:rsid w:val="009355D2"/>
    <w:rsid w:val="009402E5"/>
    <w:rsid w:val="00946D92"/>
    <w:rsid w:val="00947BDB"/>
    <w:rsid w:val="0095353E"/>
    <w:rsid w:val="00953613"/>
    <w:rsid w:val="009538A6"/>
    <w:rsid w:val="00955DF5"/>
    <w:rsid w:val="00957668"/>
    <w:rsid w:val="0096321F"/>
    <w:rsid w:val="00964126"/>
    <w:rsid w:val="0096481B"/>
    <w:rsid w:val="00966220"/>
    <w:rsid w:val="009664E2"/>
    <w:rsid w:val="00966F36"/>
    <w:rsid w:val="0096738E"/>
    <w:rsid w:val="009676A0"/>
    <w:rsid w:val="00967AD8"/>
    <w:rsid w:val="00967C92"/>
    <w:rsid w:val="00971F1A"/>
    <w:rsid w:val="009761DC"/>
    <w:rsid w:val="0097785C"/>
    <w:rsid w:val="00977D04"/>
    <w:rsid w:val="0098245B"/>
    <w:rsid w:val="00984B1F"/>
    <w:rsid w:val="00986070"/>
    <w:rsid w:val="009870CD"/>
    <w:rsid w:val="009A0178"/>
    <w:rsid w:val="009A0DBB"/>
    <w:rsid w:val="009A10C5"/>
    <w:rsid w:val="009A178F"/>
    <w:rsid w:val="009A1A60"/>
    <w:rsid w:val="009A4610"/>
    <w:rsid w:val="009A6156"/>
    <w:rsid w:val="009B02A1"/>
    <w:rsid w:val="009B0A4D"/>
    <w:rsid w:val="009B147A"/>
    <w:rsid w:val="009B1D96"/>
    <w:rsid w:val="009B363F"/>
    <w:rsid w:val="009B3650"/>
    <w:rsid w:val="009B5CE6"/>
    <w:rsid w:val="009B638D"/>
    <w:rsid w:val="009B6AE5"/>
    <w:rsid w:val="009B74CD"/>
    <w:rsid w:val="009C015B"/>
    <w:rsid w:val="009C0F15"/>
    <w:rsid w:val="009C136D"/>
    <w:rsid w:val="009C4A5F"/>
    <w:rsid w:val="009C505B"/>
    <w:rsid w:val="009C5F53"/>
    <w:rsid w:val="009C70FE"/>
    <w:rsid w:val="009D1C8F"/>
    <w:rsid w:val="009D5783"/>
    <w:rsid w:val="009D67E7"/>
    <w:rsid w:val="009D710E"/>
    <w:rsid w:val="009D73F0"/>
    <w:rsid w:val="009E10DD"/>
    <w:rsid w:val="009E1D29"/>
    <w:rsid w:val="009E33F1"/>
    <w:rsid w:val="009E4A41"/>
    <w:rsid w:val="009E53C1"/>
    <w:rsid w:val="009E5743"/>
    <w:rsid w:val="009E6C60"/>
    <w:rsid w:val="009E6E46"/>
    <w:rsid w:val="009E744D"/>
    <w:rsid w:val="009E7B50"/>
    <w:rsid w:val="009F113A"/>
    <w:rsid w:val="009F20F6"/>
    <w:rsid w:val="009F5DD9"/>
    <w:rsid w:val="009F67CE"/>
    <w:rsid w:val="00A00FA0"/>
    <w:rsid w:val="00A01A99"/>
    <w:rsid w:val="00A0418D"/>
    <w:rsid w:val="00A06D26"/>
    <w:rsid w:val="00A102A4"/>
    <w:rsid w:val="00A10504"/>
    <w:rsid w:val="00A118D0"/>
    <w:rsid w:val="00A11AA5"/>
    <w:rsid w:val="00A123B7"/>
    <w:rsid w:val="00A123C6"/>
    <w:rsid w:val="00A15248"/>
    <w:rsid w:val="00A153E4"/>
    <w:rsid w:val="00A15840"/>
    <w:rsid w:val="00A16F07"/>
    <w:rsid w:val="00A172AC"/>
    <w:rsid w:val="00A17B69"/>
    <w:rsid w:val="00A17CBE"/>
    <w:rsid w:val="00A24E83"/>
    <w:rsid w:val="00A25232"/>
    <w:rsid w:val="00A257AC"/>
    <w:rsid w:val="00A25DEF"/>
    <w:rsid w:val="00A331F9"/>
    <w:rsid w:val="00A35E3A"/>
    <w:rsid w:val="00A362E7"/>
    <w:rsid w:val="00A366F9"/>
    <w:rsid w:val="00A373AD"/>
    <w:rsid w:val="00A3781F"/>
    <w:rsid w:val="00A37A30"/>
    <w:rsid w:val="00A4171E"/>
    <w:rsid w:val="00A449A1"/>
    <w:rsid w:val="00A47AF1"/>
    <w:rsid w:val="00A47C3B"/>
    <w:rsid w:val="00A5074D"/>
    <w:rsid w:val="00A50BB4"/>
    <w:rsid w:val="00A51384"/>
    <w:rsid w:val="00A518A2"/>
    <w:rsid w:val="00A52427"/>
    <w:rsid w:val="00A54B13"/>
    <w:rsid w:val="00A553C4"/>
    <w:rsid w:val="00A55B9E"/>
    <w:rsid w:val="00A56B0C"/>
    <w:rsid w:val="00A56F54"/>
    <w:rsid w:val="00A57A3A"/>
    <w:rsid w:val="00A6186B"/>
    <w:rsid w:val="00A62273"/>
    <w:rsid w:val="00A6343C"/>
    <w:rsid w:val="00A63CAA"/>
    <w:rsid w:val="00A64B6A"/>
    <w:rsid w:val="00A64D43"/>
    <w:rsid w:val="00A65555"/>
    <w:rsid w:val="00A65978"/>
    <w:rsid w:val="00A6642A"/>
    <w:rsid w:val="00A66ECF"/>
    <w:rsid w:val="00A670D5"/>
    <w:rsid w:val="00A746DD"/>
    <w:rsid w:val="00A75C9F"/>
    <w:rsid w:val="00A76E1D"/>
    <w:rsid w:val="00A815B6"/>
    <w:rsid w:val="00A833C7"/>
    <w:rsid w:val="00A83E5B"/>
    <w:rsid w:val="00A83F60"/>
    <w:rsid w:val="00A84CE7"/>
    <w:rsid w:val="00A8564A"/>
    <w:rsid w:val="00A86408"/>
    <w:rsid w:val="00A875C6"/>
    <w:rsid w:val="00A875CE"/>
    <w:rsid w:val="00A877D8"/>
    <w:rsid w:val="00A90BAF"/>
    <w:rsid w:val="00A9300C"/>
    <w:rsid w:val="00A93A7D"/>
    <w:rsid w:val="00A946B0"/>
    <w:rsid w:val="00A95F16"/>
    <w:rsid w:val="00A97646"/>
    <w:rsid w:val="00A97A38"/>
    <w:rsid w:val="00AA1C8B"/>
    <w:rsid w:val="00AA2744"/>
    <w:rsid w:val="00AA49CC"/>
    <w:rsid w:val="00AA5284"/>
    <w:rsid w:val="00AA5DAC"/>
    <w:rsid w:val="00AA63B0"/>
    <w:rsid w:val="00AA663E"/>
    <w:rsid w:val="00AA7AFA"/>
    <w:rsid w:val="00AA7F45"/>
    <w:rsid w:val="00AB01E1"/>
    <w:rsid w:val="00AB1499"/>
    <w:rsid w:val="00AB1535"/>
    <w:rsid w:val="00AB2465"/>
    <w:rsid w:val="00AB2B26"/>
    <w:rsid w:val="00AB6C5D"/>
    <w:rsid w:val="00AC24CF"/>
    <w:rsid w:val="00AC4CAF"/>
    <w:rsid w:val="00AC4F2C"/>
    <w:rsid w:val="00AC5BEE"/>
    <w:rsid w:val="00AC6100"/>
    <w:rsid w:val="00AD0CC2"/>
    <w:rsid w:val="00AD13BE"/>
    <w:rsid w:val="00AD5332"/>
    <w:rsid w:val="00AD5E08"/>
    <w:rsid w:val="00AD7F19"/>
    <w:rsid w:val="00AE461D"/>
    <w:rsid w:val="00AE505B"/>
    <w:rsid w:val="00AE5F0E"/>
    <w:rsid w:val="00AE6775"/>
    <w:rsid w:val="00AE67AF"/>
    <w:rsid w:val="00AF0F40"/>
    <w:rsid w:val="00AF1FC2"/>
    <w:rsid w:val="00AF22BD"/>
    <w:rsid w:val="00AF3579"/>
    <w:rsid w:val="00AF46AB"/>
    <w:rsid w:val="00AF67DC"/>
    <w:rsid w:val="00AF7A23"/>
    <w:rsid w:val="00B00810"/>
    <w:rsid w:val="00B02E97"/>
    <w:rsid w:val="00B0341F"/>
    <w:rsid w:val="00B03D9E"/>
    <w:rsid w:val="00B04530"/>
    <w:rsid w:val="00B05947"/>
    <w:rsid w:val="00B06510"/>
    <w:rsid w:val="00B06749"/>
    <w:rsid w:val="00B0797A"/>
    <w:rsid w:val="00B11299"/>
    <w:rsid w:val="00B114F3"/>
    <w:rsid w:val="00B11C09"/>
    <w:rsid w:val="00B12CE3"/>
    <w:rsid w:val="00B13F5D"/>
    <w:rsid w:val="00B143E3"/>
    <w:rsid w:val="00B14C09"/>
    <w:rsid w:val="00B164DD"/>
    <w:rsid w:val="00B167FE"/>
    <w:rsid w:val="00B208A1"/>
    <w:rsid w:val="00B246BB"/>
    <w:rsid w:val="00B248C8"/>
    <w:rsid w:val="00B24B4A"/>
    <w:rsid w:val="00B24D41"/>
    <w:rsid w:val="00B3153B"/>
    <w:rsid w:val="00B34A32"/>
    <w:rsid w:val="00B34E6C"/>
    <w:rsid w:val="00B3692A"/>
    <w:rsid w:val="00B36D85"/>
    <w:rsid w:val="00B379B7"/>
    <w:rsid w:val="00B37D06"/>
    <w:rsid w:val="00B4059D"/>
    <w:rsid w:val="00B408D0"/>
    <w:rsid w:val="00B41709"/>
    <w:rsid w:val="00B41744"/>
    <w:rsid w:val="00B43CB3"/>
    <w:rsid w:val="00B449A0"/>
    <w:rsid w:val="00B45BBB"/>
    <w:rsid w:val="00B46B57"/>
    <w:rsid w:val="00B477A3"/>
    <w:rsid w:val="00B4780A"/>
    <w:rsid w:val="00B47DDC"/>
    <w:rsid w:val="00B50428"/>
    <w:rsid w:val="00B5512F"/>
    <w:rsid w:val="00B55C03"/>
    <w:rsid w:val="00B605C0"/>
    <w:rsid w:val="00B6264E"/>
    <w:rsid w:val="00B62D0F"/>
    <w:rsid w:val="00B63511"/>
    <w:rsid w:val="00B641A1"/>
    <w:rsid w:val="00B669B4"/>
    <w:rsid w:val="00B70173"/>
    <w:rsid w:val="00B71B74"/>
    <w:rsid w:val="00B72D39"/>
    <w:rsid w:val="00B751A9"/>
    <w:rsid w:val="00B7698B"/>
    <w:rsid w:val="00B775FB"/>
    <w:rsid w:val="00B80030"/>
    <w:rsid w:val="00B84EDA"/>
    <w:rsid w:val="00B855AD"/>
    <w:rsid w:val="00B86500"/>
    <w:rsid w:val="00B868AD"/>
    <w:rsid w:val="00B86E33"/>
    <w:rsid w:val="00B86E5B"/>
    <w:rsid w:val="00B92BBB"/>
    <w:rsid w:val="00B951A9"/>
    <w:rsid w:val="00B96C10"/>
    <w:rsid w:val="00B9777F"/>
    <w:rsid w:val="00B977AB"/>
    <w:rsid w:val="00BA1588"/>
    <w:rsid w:val="00BA1DBD"/>
    <w:rsid w:val="00BA6201"/>
    <w:rsid w:val="00BB26B9"/>
    <w:rsid w:val="00BB5E2B"/>
    <w:rsid w:val="00BB5ED2"/>
    <w:rsid w:val="00BB5EFA"/>
    <w:rsid w:val="00BB67A9"/>
    <w:rsid w:val="00BC0BA1"/>
    <w:rsid w:val="00BC257B"/>
    <w:rsid w:val="00BC3EA4"/>
    <w:rsid w:val="00BC4779"/>
    <w:rsid w:val="00BC4B46"/>
    <w:rsid w:val="00BC6085"/>
    <w:rsid w:val="00BD140D"/>
    <w:rsid w:val="00BD2811"/>
    <w:rsid w:val="00BD3234"/>
    <w:rsid w:val="00BD3A73"/>
    <w:rsid w:val="00BD41F0"/>
    <w:rsid w:val="00BD7039"/>
    <w:rsid w:val="00BE16A6"/>
    <w:rsid w:val="00BE564C"/>
    <w:rsid w:val="00BE581E"/>
    <w:rsid w:val="00BE719F"/>
    <w:rsid w:val="00BE78C1"/>
    <w:rsid w:val="00BF0496"/>
    <w:rsid w:val="00BF154B"/>
    <w:rsid w:val="00BF346E"/>
    <w:rsid w:val="00BF3622"/>
    <w:rsid w:val="00BF3AE5"/>
    <w:rsid w:val="00BF47EB"/>
    <w:rsid w:val="00BF5292"/>
    <w:rsid w:val="00BF6C20"/>
    <w:rsid w:val="00BF797D"/>
    <w:rsid w:val="00BF7B8D"/>
    <w:rsid w:val="00C01A75"/>
    <w:rsid w:val="00C029AC"/>
    <w:rsid w:val="00C02FD7"/>
    <w:rsid w:val="00C03C51"/>
    <w:rsid w:val="00C053AB"/>
    <w:rsid w:val="00C06F5C"/>
    <w:rsid w:val="00C07B40"/>
    <w:rsid w:val="00C10A94"/>
    <w:rsid w:val="00C10D52"/>
    <w:rsid w:val="00C10E9D"/>
    <w:rsid w:val="00C11C49"/>
    <w:rsid w:val="00C14DAA"/>
    <w:rsid w:val="00C14DCD"/>
    <w:rsid w:val="00C157C4"/>
    <w:rsid w:val="00C15D22"/>
    <w:rsid w:val="00C16B02"/>
    <w:rsid w:val="00C16E58"/>
    <w:rsid w:val="00C176CF"/>
    <w:rsid w:val="00C2068D"/>
    <w:rsid w:val="00C21C22"/>
    <w:rsid w:val="00C21DB7"/>
    <w:rsid w:val="00C232A0"/>
    <w:rsid w:val="00C23FBC"/>
    <w:rsid w:val="00C27D41"/>
    <w:rsid w:val="00C31068"/>
    <w:rsid w:val="00C3116B"/>
    <w:rsid w:val="00C317A2"/>
    <w:rsid w:val="00C34177"/>
    <w:rsid w:val="00C34D52"/>
    <w:rsid w:val="00C35256"/>
    <w:rsid w:val="00C357A6"/>
    <w:rsid w:val="00C35A61"/>
    <w:rsid w:val="00C35B63"/>
    <w:rsid w:val="00C368BD"/>
    <w:rsid w:val="00C379C5"/>
    <w:rsid w:val="00C41A9D"/>
    <w:rsid w:val="00C42B16"/>
    <w:rsid w:val="00C42BAC"/>
    <w:rsid w:val="00C439F6"/>
    <w:rsid w:val="00C45062"/>
    <w:rsid w:val="00C455CD"/>
    <w:rsid w:val="00C460D6"/>
    <w:rsid w:val="00C4682B"/>
    <w:rsid w:val="00C51122"/>
    <w:rsid w:val="00C53815"/>
    <w:rsid w:val="00C53FE5"/>
    <w:rsid w:val="00C54A05"/>
    <w:rsid w:val="00C55434"/>
    <w:rsid w:val="00C55DC1"/>
    <w:rsid w:val="00C571FC"/>
    <w:rsid w:val="00C613E7"/>
    <w:rsid w:val="00C62024"/>
    <w:rsid w:val="00C62175"/>
    <w:rsid w:val="00C629CA"/>
    <w:rsid w:val="00C63333"/>
    <w:rsid w:val="00C63672"/>
    <w:rsid w:val="00C6402C"/>
    <w:rsid w:val="00C64F49"/>
    <w:rsid w:val="00C674F7"/>
    <w:rsid w:val="00C701D5"/>
    <w:rsid w:val="00C71570"/>
    <w:rsid w:val="00C72077"/>
    <w:rsid w:val="00C72246"/>
    <w:rsid w:val="00C73BE5"/>
    <w:rsid w:val="00C73FC9"/>
    <w:rsid w:val="00C750D8"/>
    <w:rsid w:val="00C76AAB"/>
    <w:rsid w:val="00C77F32"/>
    <w:rsid w:val="00C82401"/>
    <w:rsid w:val="00C82437"/>
    <w:rsid w:val="00C840D4"/>
    <w:rsid w:val="00C85524"/>
    <w:rsid w:val="00C8633C"/>
    <w:rsid w:val="00C87AB3"/>
    <w:rsid w:val="00C91223"/>
    <w:rsid w:val="00C9215B"/>
    <w:rsid w:val="00C92ECA"/>
    <w:rsid w:val="00C92FD0"/>
    <w:rsid w:val="00C933BD"/>
    <w:rsid w:val="00C93E99"/>
    <w:rsid w:val="00C955FB"/>
    <w:rsid w:val="00C95897"/>
    <w:rsid w:val="00C95A36"/>
    <w:rsid w:val="00C95E11"/>
    <w:rsid w:val="00C9630C"/>
    <w:rsid w:val="00C9769D"/>
    <w:rsid w:val="00C97E51"/>
    <w:rsid w:val="00CA0323"/>
    <w:rsid w:val="00CA0833"/>
    <w:rsid w:val="00CA1343"/>
    <w:rsid w:val="00CA1E14"/>
    <w:rsid w:val="00CA4038"/>
    <w:rsid w:val="00CA4F16"/>
    <w:rsid w:val="00CA60E2"/>
    <w:rsid w:val="00CA77E5"/>
    <w:rsid w:val="00CB12BA"/>
    <w:rsid w:val="00CB1F05"/>
    <w:rsid w:val="00CB22C0"/>
    <w:rsid w:val="00CB5282"/>
    <w:rsid w:val="00CB59BE"/>
    <w:rsid w:val="00CB62A8"/>
    <w:rsid w:val="00CB655A"/>
    <w:rsid w:val="00CB6BDC"/>
    <w:rsid w:val="00CC0DB1"/>
    <w:rsid w:val="00CC1400"/>
    <w:rsid w:val="00CC37CC"/>
    <w:rsid w:val="00CC43EF"/>
    <w:rsid w:val="00CC5441"/>
    <w:rsid w:val="00CC5687"/>
    <w:rsid w:val="00CD2271"/>
    <w:rsid w:val="00CD3110"/>
    <w:rsid w:val="00CD3272"/>
    <w:rsid w:val="00CD4191"/>
    <w:rsid w:val="00CD5C39"/>
    <w:rsid w:val="00CD5CBF"/>
    <w:rsid w:val="00CD71F1"/>
    <w:rsid w:val="00CE0309"/>
    <w:rsid w:val="00CE1A5D"/>
    <w:rsid w:val="00CE1E85"/>
    <w:rsid w:val="00CE268B"/>
    <w:rsid w:val="00CE2C88"/>
    <w:rsid w:val="00CE4F19"/>
    <w:rsid w:val="00CE5A5F"/>
    <w:rsid w:val="00CE6869"/>
    <w:rsid w:val="00CE6CA2"/>
    <w:rsid w:val="00CE6D22"/>
    <w:rsid w:val="00CE796C"/>
    <w:rsid w:val="00CF0FA4"/>
    <w:rsid w:val="00CF2D15"/>
    <w:rsid w:val="00CF336E"/>
    <w:rsid w:val="00CF36EE"/>
    <w:rsid w:val="00CF3D2B"/>
    <w:rsid w:val="00CF4EBE"/>
    <w:rsid w:val="00CF642C"/>
    <w:rsid w:val="00CF6D5F"/>
    <w:rsid w:val="00CF7035"/>
    <w:rsid w:val="00CF725C"/>
    <w:rsid w:val="00CF7B64"/>
    <w:rsid w:val="00D002F5"/>
    <w:rsid w:val="00D02522"/>
    <w:rsid w:val="00D03D8E"/>
    <w:rsid w:val="00D07256"/>
    <w:rsid w:val="00D1088B"/>
    <w:rsid w:val="00D13262"/>
    <w:rsid w:val="00D13C5E"/>
    <w:rsid w:val="00D1551B"/>
    <w:rsid w:val="00D177ED"/>
    <w:rsid w:val="00D17D90"/>
    <w:rsid w:val="00D21443"/>
    <w:rsid w:val="00D21872"/>
    <w:rsid w:val="00D21EBC"/>
    <w:rsid w:val="00D225C9"/>
    <w:rsid w:val="00D230F8"/>
    <w:rsid w:val="00D26C14"/>
    <w:rsid w:val="00D26D81"/>
    <w:rsid w:val="00D27A51"/>
    <w:rsid w:val="00D30738"/>
    <w:rsid w:val="00D31196"/>
    <w:rsid w:val="00D31A6D"/>
    <w:rsid w:val="00D34476"/>
    <w:rsid w:val="00D42445"/>
    <w:rsid w:val="00D43896"/>
    <w:rsid w:val="00D446B6"/>
    <w:rsid w:val="00D44715"/>
    <w:rsid w:val="00D45643"/>
    <w:rsid w:val="00D5001F"/>
    <w:rsid w:val="00D50D05"/>
    <w:rsid w:val="00D51AFF"/>
    <w:rsid w:val="00D51BF1"/>
    <w:rsid w:val="00D52D90"/>
    <w:rsid w:val="00D53E1B"/>
    <w:rsid w:val="00D53F13"/>
    <w:rsid w:val="00D5661A"/>
    <w:rsid w:val="00D57BD8"/>
    <w:rsid w:val="00D57DDB"/>
    <w:rsid w:val="00D611A2"/>
    <w:rsid w:val="00D614C9"/>
    <w:rsid w:val="00D614F6"/>
    <w:rsid w:val="00D65E04"/>
    <w:rsid w:val="00D6736C"/>
    <w:rsid w:val="00D704DD"/>
    <w:rsid w:val="00D70625"/>
    <w:rsid w:val="00D7073D"/>
    <w:rsid w:val="00D7076F"/>
    <w:rsid w:val="00D72A62"/>
    <w:rsid w:val="00D732A7"/>
    <w:rsid w:val="00D74D20"/>
    <w:rsid w:val="00D74DFD"/>
    <w:rsid w:val="00D758A9"/>
    <w:rsid w:val="00D77183"/>
    <w:rsid w:val="00D77E3B"/>
    <w:rsid w:val="00D8079B"/>
    <w:rsid w:val="00D8252A"/>
    <w:rsid w:val="00D83BA8"/>
    <w:rsid w:val="00D83DCB"/>
    <w:rsid w:val="00D84377"/>
    <w:rsid w:val="00D84B84"/>
    <w:rsid w:val="00D84D5B"/>
    <w:rsid w:val="00D85C02"/>
    <w:rsid w:val="00D861CA"/>
    <w:rsid w:val="00D869B3"/>
    <w:rsid w:val="00D86A60"/>
    <w:rsid w:val="00D90D0A"/>
    <w:rsid w:val="00D92F93"/>
    <w:rsid w:val="00D938DC"/>
    <w:rsid w:val="00D96C05"/>
    <w:rsid w:val="00D976D9"/>
    <w:rsid w:val="00DA0115"/>
    <w:rsid w:val="00DA0C6A"/>
    <w:rsid w:val="00DA0EC3"/>
    <w:rsid w:val="00DA14AC"/>
    <w:rsid w:val="00DA3CF7"/>
    <w:rsid w:val="00DA4364"/>
    <w:rsid w:val="00DA43F2"/>
    <w:rsid w:val="00DA52C6"/>
    <w:rsid w:val="00DA7E5A"/>
    <w:rsid w:val="00DB04F7"/>
    <w:rsid w:val="00DB3F90"/>
    <w:rsid w:val="00DB4602"/>
    <w:rsid w:val="00DB744D"/>
    <w:rsid w:val="00DB7B97"/>
    <w:rsid w:val="00DC080F"/>
    <w:rsid w:val="00DC2013"/>
    <w:rsid w:val="00DC4752"/>
    <w:rsid w:val="00DC5E13"/>
    <w:rsid w:val="00DC6F09"/>
    <w:rsid w:val="00DD30D2"/>
    <w:rsid w:val="00DD44CE"/>
    <w:rsid w:val="00DD4842"/>
    <w:rsid w:val="00DD4AA7"/>
    <w:rsid w:val="00DD5A34"/>
    <w:rsid w:val="00DD5FDE"/>
    <w:rsid w:val="00DD6519"/>
    <w:rsid w:val="00DD6F8A"/>
    <w:rsid w:val="00DD704E"/>
    <w:rsid w:val="00DD7929"/>
    <w:rsid w:val="00DE01A5"/>
    <w:rsid w:val="00DE24EB"/>
    <w:rsid w:val="00DE6862"/>
    <w:rsid w:val="00DE7E6A"/>
    <w:rsid w:val="00DF063A"/>
    <w:rsid w:val="00DF06F3"/>
    <w:rsid w:val="00DF1B02"/>
    <w:rsid w:val="00DF49A9"/>
    <w:rsid w:val="00DF6C0D"/>
    <w:rsid w:val="00DF7649"/>
    <w:rsid w:val="00E0096B"/>
    <w:rsid w:val="00E01730"/>
    <w:rsid w:val="00E0277A"/>
    <w:rsid w:val="00E03889"/>
    <w:rsid w:val="00E058EE"/>
    <w:rsid w:val="00E0715F"/>
    <w:rsid w:val="00E10676"/>
    <w:rsid w:val="00E10CA9"/>
    <w:rsid w:val="00E11916"/>
    <w:rsid w:val="00E13DE8"/>
    <w:rsid w:val="00E14D3C"/>
    <w:rsid w:val="00E14E1C"/>
    <w:rsid w:val="00E153FE"/>
    <w:rsid w:val="00E1645C"/>
    <w:rsid w:val="00E2137A"/>
    <w:rsid w:val="00E23180"/>
    <w:rsid w:val="00E26EC3"/>
    <w:rsid w:val="00E27478"/>
    <w:rsid w:val="00E31CEF"/>
    <w:rsid w:val="00E31DAA"/>
    <w:rsid w:val="00E36874"/>
    <w:rsid w:val="00E37048"/>
    <w:rsid w:val="00E404B1"/>
    <w:rsid w:val="00E41106"/>
    <w:rsid w:val="00E4139B"/>
    <w:rsid w:val="00E476AB"/>
    <w:rsid w:val="00E477DE"/>
    <w:rsid w:val="00E50740"/>
    <w:rsid w:val="00E50D5D"/>
    <w:rsid w:val="00E5148A"/>
    <w:rsid w:val="00E516FC"/>
    <w:rsid w:val="00E52091"/>
    <w:rsid w:val="00E52709"/>
    <w:rsid w:val="00E5427E"/>
    <w:rsid w:val="00E5743D"/>
    <w:rsid w:val="00E57769"/>
    <w:rsid w:val="00E57DC6"/>
    <w:rsid w:val="00E60254"/>
    <w:rsid w:val="00E607A6"/>
    <w:rsid w:val="00E610BA"/>
    <w:rsid w:val="00E61562"/>
    <w:rsid w:val="00E62364"/>
    <w:rsid w:val="00E6294E"/>
    <w:rsid w:val="00E67E33"/>
    <w:rsid w:val="00E71392"/>
    <w:rsid w:val="00E72FA3"/>
    <w:rsid w:val="00E73FB1"/>
    <w:rsid w:val="00E74520"/>
    <w:rsid w:val="00E753A9"/>
    <w:rsid w:val="00E756A2"/>
    <w:rsid w:val="00E759D2"/>
    <w:rsid w:val="00E7623E"/>
    <w:rsid w:val="00E76BF0"/>
    <w:rsid w:val="00E776BA"/>
    <w:rsid w:val="00E801E0"/>
    <w:rsid w:val="00E816B5"/>
    <w:rsid w:val="00E81EE5"/>
    <w:rsid w:val="00E82515"/>
    <w:rsid w:val="00E82D57"/>
    <w:rsid w:val="00E83CAB"/>
    <w:rsid w:val="00E84717"/>
    <w:rsid w:val="00E84971"/>
    <w:rsid w:val="00E861CE"/>
    <w:rsid w:val="00E8752F"/>
    <w:rsid w:val="00E87683"/>
    <w:rsid w:val="00E907F0"/>
    <w:rsid w:val="00E92C50"/>
    <w:rsid w:val="00E93116"/>
    <w:rsid w:val="00E94A4F"/>
    <w:rsid w:val="00EA1195"/>
    <w:rsid w:val="00EA3809"/>
    <w:rsid w:val="00EA3D71"/>
    <w:rsid w:val="00EA4C63"/>
    <w:rsid w:val="00EA6877"/>
    <w:rsid w:val="00EA6E30"/>
    <w:rsid w:val="00EA78D1"/>
    <w:rsid w:val="00EA7ED3"/>
    <w:rsid w:val="00EB06CF"/>
    <w:rsid w:val="00EB0A60"/>
    <w:rsid w:val="00EB1277"/>
    <w:rsid w:val="00EB1686"/>
    <w:rsid w:val="00EB183B"/>
    <w:rsid w:val="00EB27AC"/>
    <w:rsid w:val="00EB320F"/>
    <w:rsid w:val="00EB3CB2"/>
    <w:rsid w:val="00EB458A"/>
    <w:rsid w:val="00EB7BEC"/>
    <w:rsid w:val="00EB7D4D"/>
    <w:rsid w:val="00EC0300"/>
    <w:rsid w:val="00EC1117"/>
    <w:rsid w:val="00EC1853"/>
    <w:rsid w:val="00EC5FA9"/>
    <w:rsid w:val="00EC72B7"/>
    <w:rsid w:val="00EC73F1"/>
    <w:rsid w:val="00EC7D62"/>
    <w:rsid w:val="00ED15A8"/>
    <w:rsid w:val="00ED1A84"/>
    <w:rsid w:val="00ED28FD"/>
    <w:rsid w:val="00ED3B6A"/>
    <w:rsid w:val="00ED466B"/>
    <w:rsid w:val="00ED5CDA"/>
    <w:rsid w:val="00ED7F90"/>
    <w:rsid w:val="00EE049A"/>
    <w:rsid w:val="00EE138C"/>
    <w:rsid w:val="00EE270B"/>
    <w:rsid w:val="00EE3445"/>
    <w:rsid w:val="00EE4C52"/>
    <w:rsid w:val="00EE4F51"/>
    <w:rsid w:val="00EE5385"/>
    <w:rsid w:val="00EE77AF"/>
    <w:rsid w:val="00EE799D"/>
    <w:rsid w:val="00EF0A5E"/>
    <w:rsid w:val="00EF3BEB"/>
    <w:rsid w:val="00EF4926"/>
    <w:rsid w:val="00EF6648"/>
    <w:rsid w:val="00EF6CF2"/>
    <w:rsid w:val="00F0020D"/>
    <w:rsid w:val="00F002C8"/>
    <w:rsid w:val="00F00735"/>
    <w:rsid w:val="00F019BD"/>
    <w:rsid w:val="00F02254"/>
    <w:rsid w:val="00F02E5D"/>
    <w:rsid w:val="00F036F2"/>
    <w:rsid w:val="00F0648A"/>
    <w:rsid w:val="00F068A2"/>
    <w:rsid w:val="00F07AA5"/>
    <w:rsid w:val="00F07EBA"/>
    <w:rsid w:val="00F07EC1"/>
    <w:rsid w:val="00F10F82"/>
    <w:rsid w:val="00F11D96"/>
    <w:rsid w:val="00F12394"/>
    <w:rsid w:val="00F13C7E"/>
    <w:rsid w:val="00F157D6"/>
    <w:rsid w:val="00F15BCA"/>
    <w:rsid w:val="00F1610B"/>
    <w:rsid w:val="00F218DE"/>
    <w:rsid w:val="00F21A2D"/>
    <w:rsid w:val="00F21EB0"/>
    <w:rsid w:val="00F21FF2"/>
    <w:rsid w:val="00F22369"/>
    <w:rsid w:val="00F23A77"/>
    <w:rsid w:val="00F24C95"/>
    <w:rsid w:val="00F269DD"/>
    <w:rsid w:val="00F307EF"/>
    <w:rsid w:val="00F31378"/>
    <w:rsid w:val="00F31769"/>
    <w:rsid w:val="00F34C06"/>
    <w:rsid w:val="00F357BE"/>
    <w:rsid w:val="00F35833"/>
    <w:rsid w:val="00F35D65"/>
    <w:rsid w:val="00F36AD9"/>
    <w:rsid w:val="00F375AC"/>
    <w:rsid w:val="00F409C5"/>
    <w:rsid w:val="00F40F01"/>
    <w:rsid w:val="00F4165A"/>
    <w:rsid w:val="00F41761"/>
    <w:rsid w:val="00F427F9"/>
    <w:rsid w:val="00F42C0E"/>
    <w:rsid w:val="00F42DC6"/>
    <w:rsid w:val="00F42F19"/>
    <w:rsid w:val="00F44EB0"/>
    <w:rsid w:val="00F4586D"/>
    <w:rsid w:val="00F47288"/>
    <w:rsid w:val="00F476B4"/>
    <w:rsid w:val="00F47982"/>
    <w:rsid w:val="00F50B57"/>
    <w:rsid w:val="00F517C1"/>
    <w:rsid w:val="00F51F97"/>
    <w:rsid w:val="00F52089"/>
    <w:rsid w:val="00F52C59"/>
    <w:rsid w:val="00F52DB1"/>
    <w:rsid w:val="00F53855"/>
    <w:rsid w:val="00F53D23"/>
    <w:rsid w:val="00F55E9F"/>
    <w:rsid w:val="00F5684B"/>
    <w:rsid w:val="00F56B9D"/>
    <w:rsid w:val="00F632FC"/>
    <w:rsid w:val="00F65A6B"/>
    <w:rsid w:val="00F66EC1"/>
    <w:rsid w:val="00F671CD"/>
    <w:rsid w:val="00F67228"/>
    <w:rsid w:val="00F67EFE"/>
    <w:rsid w:val="00F71026"/>
    <w:rsid w:val="00F732C2"/>
    <w:rsid w:val="00F74104"/>
    <w:rsid w:val="00F74573"/>
    <w:rsid w:val="00F74A52"/>
    <w:rsid w:val="00F75AB8"/>
    <w:rsid w:val="00F75D2A"/>
    <w:rsid w:val="00F75F04"/>
    <w:rsid w:val="00F76B85"/>
    <w:rsid w:val="00F80FEF"/>
    <w:rsid w:val="00F81B0D"/>
    <w:rsid w:val="00F849CE"/>
    <w:rsid w:val="00F8781A"/>
    <w:rsid w:val="00F879EC"/>
    <w:rsid w:val="00F90F14"/>
    <w:rsid w:val="00F91B9C"/>
    <w:rsid w:val="00F9609A"/>
    <w:rsid w:val="00F965AC"/>
    <w:rsid w:val="00F96CF0"/>
    <w:rsid w:val="00FA037F"/>
    <w:rsid w:val="00FA0983"/>
    <w:rsid w:val="00FA1EAE"/>
    <w:rsid w:val="00FA2572"/>
    <w:rsid w:val="00FA35A0"/>
    <w:rsid w:val="00FA4053"/>
    <w:rsid w:val="00FA64EA"/>
    <w:rsid w:val="00FA6B31"/>
    <w:rsid w:val="00FA6DFF"/>
    <w:rsid w:val="00FA6EC1"/>
    <w:rsid w:val="00FA787B"/>
    <w:rsid w:val="00FA7D21"/>
    <w:rsid w:val="00FB057B"/>
    <w:rsid w:val="00FB2663"/>
    <w:rsid w:val="00FB2686"/>
    <w:rsid w:val="00FB6EE0"/>
    <w:rsid w:val="00FC1D31"/>
    <w:rsid w:val="00FC2492"/>
    <w:rsid w:val="00FC3865"/>
    <w:rsid w:val="00FC4DA1"/>
    <w:rsid w:val="00FC6E1D"/>
    <w:rsid w:val="00FD0896"/>
    <w:rsid w:val="00FD0992"/>
    <w:rsid w:val="00FD112C"/>
    <w:rsid w:val="00FD5FDF"/>
    <w:rsid w:val="00FD7A7C"/>
    <w:rsid w:val="00FE1771"/>
    <w:rsid w:val="00FE3E3D"/>
    <w:rsid w:val="00FE4098"/>
    <w:rsid w:val="00FE41A8"/>
    <w:rsid w:val="00FE601B"/>
    <w:rsid w:val="00FE66C5"/>
    <w:rsid w:val="00FE6793"/>
    <w:rsid w:val="00FE6AA8"/>
    <w:rsid w:val="00FE7F5F"/>
    <w:rsid w:val="00FF428F"/>
    <w:rsid w:val="00FF5180"/>
    <w:rsid w:val="00FF58EC"/>
    <w:rsid w:val="00FF5DF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martTagType w:namespaceuri="urn:schemas-microsoft-com:office:smarttags" w:name="metricconverter"/>
  <w:smartTagType w:namespaceuri="urn:schemas-microsoft-com:office:smarttags" w:name="stockticker"/>
  <w:smartTagType w:namespaceuri="urn:schemas-microsoft-com:office:smarttags" w:name="PersonName"/>
  <w:shapeDefaults>
    <o:shapedefaults v:ext="edit" spidmax="24577"/>
    <o:shapelayout v:ext="edit">
      <o:idmap v:ext="edit" data="1"/>
    </o:shapelayout>
  </w:shapeDefaults>
  <w:decimalSymbol w:val="."/>
  <w:listSeparator w:val=","/>
  <w14:docId w14:val="766C1743"/>
  <w15:chartTrackingRefBased/>
  <w15:docId w15:val="{F978B742-9E14-467C-A971-6F51557C5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semiHidden="1" w:uiPriority="9" w:unhideWhenUsed="1"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67DC"/>
    <w:rPr>
      <w:lang w:val="es-ES_tradnl" w:eastAsia="en-US"/>
    </w:rPr>
  </w:style>
  <w:style w:type="paragraph" w:styleId="Heading2">
    <w:name w:val="heading 2"/>
    <w:basedOn w:val="Normal"/>
    <w:next w:val="Normal"/>
    <w:qFormat/>
    <w:pPr>
      <w:keepNext/>
      <w:jc w:val="center"/>
      <w:outlineLvl w:val="1"/>
    </w:pPr>
    <w:rPr>
      <w:b/>
      <w:sz w:val="22"/>
    </w:rPr>
  </w:style>
  <w:style w:type="paragraph" w:styleId="Heading4">
    <w:name w:val="heading 4"/>
    <w:basedOn w:val="Normal"/>
    <w:next w:val="Normal"/>
    <w:qFormat/>
    <w:pPr>
      <w:keepNext/>
      <w:tabs>
        <w:tab w:val="left" w:pos="567"/>
      </w:tabs>
      <w:spacing w:line="260" w:lineRule="exact"/>
      <w:jc w:val="both"/>
      <w:outlineLvl w:val="3"/>
    </w:pPr>
    <w:rPr>
      <w:b/>
      <w:snapToGrid w:val="0"/>
      <w:sz w:val="22"/>
    </w:rPr>
  </w:style>
  <w:style w:type="paragraph" w:styleId="Heading5">
    <w:name w:val="heading 5"/>
    <w:basedOn w:val="Normal"/>
    <w:next w:val="Normal"/>
    <w:qFormat/>
    <w:pPr>
      <w:keepNext/>
      <w:numPr>
        <w:ilvl w:val="12"/>
      </w:numPr>
      <w:outlineLvl w:val="4"/>
    </w:pPr>
    <w:rPr>
      <w:b/>
      <w:sz w:val="22"/>
      <w:lang w:val="es-ES"/>
    </w:rPr>
  </w:style>
  <w:style w:type="paragraph" w:styleId="Heading6">
    <w:name w:val="heading 6"/>
    <w:basedOn w:val="Normal"/>
    <w:next w:val="Normal"/>
    <w:qFormat/>
    <w:rsid w:val="00B0341F"/>
    <w:pPr>
      <w:spacing w:before="240" w:after="60"/>
      <w:outlineLvl w:val="5"/>
    </w:pPr>
    <w:rPr>
      <w:b/>
      <w:bCs/>
      <w:sz w:val="22"/>
      <w:szCs w:val="22"/>
    </w:rPr>
  </w:style>
  <w:style w:type="paragraph" w:styleId="Heading7">
    <w:name w:val="heading 7"/>
    <w:basedOn w:val="Normal"/>
    <w:next w:val="Normal"/>
    <w:qFormat/>
    <w:pPr>
      <w:keepNext/>
      <w:ind w:right="-2"/>
      <w:outlineLvl w:val="6"/>
    </w:pPr>
    <w:rPr>
      <w:b/>
      <w:sz w:val="22"/>
      <w:lang w:val="es-ES"/>
    </w:rPr>
  </w:style>
  <w:style w:type="paragraph" w:styleId="Heading8">
    <w:name w:val="heading 8"/>
    <w:basedOn w:val="Normal"/>
    <w:next w:val="Normal"/>
    <w:qFormat/>
    <w:pPr>
      <w:keepNext/>
      <w:widowControl w:val="0"/>
      <w:outlineLvl w:val="7"/>
    </w:pPr>
    <w:rPr>
      <w:sz w:val="22"/>
      <w:lang w:val="es-ES"/>
    </w:rPr>
  </w:style>
  <w:style w:type="paragraph" w:styleId="Heading9">
    <w:name w:val="heading 9"/>
    <w:basedOn w:val="Normal"/>
    <w:next w:val="Normal"/>
    <w:qFormat/>
    <w:pPr>
      <w:keepNext/>
      <w:widowControl w:val="0"/>
      <w:numPr>
        <w:ilvl w:val="12"/>
      </w:numPr>
      <w:ind w:right="-29"/>
      <w:outlineLvl w:val="8"/>
    </w:pPr>
    <w:rPr>
      <w:sz w:val="22"/>
      <w:lang w:val="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left" w:pos="567"/>
        <w:tab w:val="center" w:pos="4153"/>
        <w:tab w:val="right" w:pos="8306"/>
      </w:tabs>
    </w:pPr>
    <w:rPr>
      <w:rFonts w:ascii="Helvetica" w:hAnsi="Helvetica"/>
      <w:snapToGrid w:val="0"/>
      <w:lang w:val="en-GB"/>
    </w:rPr>
  </w:style>
  <w:style w:type="paragraph" w:styleId="EndnoteText">
    <w:name w:val="endnote text"/>
    <w:basedOn w:val="Normal"/>
    <w:link w:val="EndnoteTextChar"/>
    <w:semiHidden/>
    <w:pPr>
      <w:tabs>
        <w:tab w:val="left" w:pos="567"/>
      </w:tabs>
    </w:pPr>
    <w:rPr>
      <w:snapToGrid w:val="0"/>
      <w:sz w:val="22"/>
      <w:lang w:val="en-GB"/>
    </w:rPr>
  </w:style>
  <w:style w:type="paragraph" w:customStyle="1" w:styleId="Text">
    <w:name w:val="Text"/>
    <w:basedOn w:val="Normal"/>
    <w:link w:val="TextChar"/>
    <w:pPr>
      <w:spacing w:before="120"/>
      <w:jc w:val="both"/>
    </w:pPr>
    <w:rPr>
      <w:sz w:val="24"/>
      <w:lang w:val="es-ES"/>
    </w:rPr>
  </w:style>
  <w:style w:type="paragraph" w:customStyle="1" w:styleId="Table">
    <w:name w:val="Table"/>
    <w:basedOn w:val="Normal"/>
    <w:link w:val="TableChar"/>
    <w:pPr>
      <w:keepNext/>
      <w:keepLines/>
      <w:tabs>
        <w:tab w:val="left" w:pos="284"/>
      </w:tabs>
      <w:spacing w:before="40" w:after="20"/>
    </w:pPr>
    <w:rPr>
      <w:rFonts w:ascii="Arial" w:hAnsi="Arial"/>
      <w:lang w:val="en-US"/>
    </w:rPr>
  </w:style>
  <w:style w:type="paragraph" w:styleId="BodyTextIndent">
    <w:name w:val="Body Text Indent"/>
    <w:basedOn w:val="Normal"/>
    <w:pPr>
      <w:ind w:left="567" w:hanging="567"/>
    </w:pPr>
    <w:rPr>
      <w:b/>
      <w:snapToGrid w:val="0"/>
      <w:color w:val="808080"/>
      <w:sz w:val="22"/>
      <w:lang w:val="en-GB"/>
    </w:rPr>
  </w:style>
  <w:style w:type="character" w:styleId="PageNumber">
    <w:name w:val="page number"/>
    <w:basedOn w:val="DefaultParagraphFont"/>
  </w:style>
  <w:style w:type="paragraph" w:styleId="Footer">
    <w:name w:val="footer"/>
    <w:basedOn w:val="Normal"/>
    <w:pPr>
      <w:tabs>
        <w:tab w:val="center" w:pos="4153"/>
        <w:tab w:val="right" w:pos="8306"/>
      </w:tabs>
    </w:pPr>
    <w:rPr>
      <w:sz w:val="22"/>
      <w:lang w:val="es-ES"/>
    </w:rPr>
  </w:style>
  <w:style w:type="paragraph" w:styleId="BalloonText">
    <w:name w:val="Balloon Text"/>
    <w:basedOn w:val="Normal"/>
    <w:semiHidden/>
    <w:rsid w:val="001E69D0"/>
    <w:rPr>
      <w:rFonts w:ascii="Tahoma" w:hAnsi="Tahoma" w:cs="Tahoma"/>
      <w:sz w:val="16"/>
      <w:szCs w:val="16"/>
    </w:rPr>
  </w:style>
  <w:style w:type="paragraph" w:styleId="BodyText">
    <w:name w:val="Body Text"/>
    <w:basedOn w:val="Normal"/>
    <w:rsid w:val="00B951A9"/>
    <w:pPr>
      <w:spacing w:after="120"/>
    </w:pPr>
  </w:style>
  <w:style w:type="character" w:styleId="CommentReference">
    <w:name w:val="annotation reference"/>
    <w:semiHidden/>
    <w:rsid w:val="00F11D96"/>
    <w:rPr>
      <w:sz w:val="16"/>
      <w:szCs w:val="16"/>
    </w:rPr>
  </w:style>
  <w:style w:type="paragraph" w:styleId="CommentText">
    <w:name w:val="annotation text"/>
    <w:aliases w:val="Comment Text Char1 Char,Comment Text Char Char Char,Comment Text Char1,Annotationtext"/>
    <w:basedOn w:val="Normal"/>
    <w:link w:val="CommentTextChar"/>
    <w:rsid w:val="00F11D96"/>
    <w:rPr>
      <w:lang w:eastAsia="x-none"/>
    </w:rPr>
  </w:style>
  <w:style w:type="paragraph" w:styleId="CommentSubject">
    <w:name w:val="annotation subject"/>
    <w:basedOn w:val="CommentText"/>
    <w:next w:val="CommentText"/>
    <w:semiHidden/>
    <w:rsid w:val="00F11D96"/>
    <w:rPr>
      <w:b/>
      <w:bCs/>
    </w:rPr>
  </w:style>
  <w:style w:type="character" w:customStyle="1" w:styleId="TextChar">
    <w:name w:val="Text Char"/>
    <w:link w:val="Text"/>
    <w:rsid w:val="00365BD7"/>
    <w:rPr>
      <w:sz w:val="24"/>
      <w:lang w:val="es-ES" w:eastAsia="en-US" w:bidi="ar-SA"/>
    </w:rPr>
  </w:style>
  <w:style w:type="table" w:styleId="TableGrid">
    <w:name w:val="Table Grid"/>
    <w:basedOn w:val="TableNormal"/>
    <w:rsid w:val="00365BD7"/>
    <w:pPr>
      <w:tabs>
        <w:tab w:val="left" w:pos="567"/>
      </w:tabs>
      <w:spacing w:line="26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bleChar">
    <w:name w:val="Table Char"/>
    <w:link w:val="Table"/>
    <w:rsid w:val="002C5664"/>
    <w:rPr>
      <w:rFonts w:ascii="Arial" w:hAnsi="Arial"/>
      <w:lang w:val="en-US" w:eastAsia="en-US" w:bidi="ar-SA"/>
    </w:rPr>
  </w:style>
  <w:style w:type="paragraph" w:styleId="BodyTextIndent2">
    <w:name w:val="Body Text Indent 2"/>
    <w:basedOn w:val="Normal"/>
    <w:rsid w:val="00000526"/>
    <w:pPr>
      <w:spacing w:after="120" w:line="480" w:lineRule="auto"/>
      <w:ind w:left="283"/>
    </w:pPr>
  </w:style>
  <w:style w:type="character" w:customStyle="1" w:styleId="EndnoteTextChar">
    <w:name w:val="Endnote Text Char"/>
    <w:link w:val="EndnoteText"/>
    <w:rsid w:val="00504057"/>
    <w:rPr>
      <w:snapToGrid w:val="0"/>
      <w:sz w:val="22"/>
      <w:lang w:val="en-GB" w:eastAsia="en-US" w:bidi="ar-SA"/>
    </w:rPr>
  </w:style>
  <w:style w:type="paragraph" w:customStyle="1" w:styleId="CarCar1">
    <w:name w:val="Car Car1"/>
    <w:basedOn w:val="Normal"/>
    <w:rsid w:val="00DC2013"/>
    <w:pPr>
      <w:spacing w:after="160" w:line="240" w:lineRule="exact"/>
    </w:pPr>
    <w:rPr>
      <w:rFonts w:ascii="Verdana" w:hAnsi="Verdana" w:cs="Verdana"/>
      <w:lang w:val="en-GB"/>
    </w:rPr>
  </w:style>
  <w:style w:type="paragraph" w:customStyle="1" w:styleId="Nottoc-headings">
    <w:name w:val="Not toc-headings"/>
    <w:basedOn w:val="Normal"/>
    <w:next w:val="Text"/>
    <w:link w:val="Nottoc-headingsChar"/>
    <w:rsid w:val="003A2810"/>
    <w:pPr>
      <w:keepNext/>
      <w:keepLines/>
      <w:spacing w:before="240" w:after="60"/>
      <w:ind w:left="1701" w:hanging="1701"/>
    </w:pPr>
    <w:rPr>
      <w:rFonts w:ascii="Arial" w:hAnsi="Arial"/>
      <w:b/>
      <w:sz w:val="24"/>
      <w:lang w:val="en-US"/>
    </w:rPr>
  </w:style>
  <w:style w:type="character" w:customStyle="1" w:styleId="Nottoc-headingsChar">
    <w:name w:val="Not toc-headings Char"/>
    <w:link w:val="Nottoc-headings"/>
    <w:rsid w:val="003A2810"/>
    <w:rPr>
      <w:rFonts w:ascii="Arial" w:hAnsi="Arial"/>
      <w:b/>
      <w:sz w:val="24"/>
      <w:lang w:val="en-US" w:eastAsia="en-US" w:bidi="ar-SA"/>
    </w:rPr>
  </w:style>
  <w:style w:type="paragraph" w:customStyle="1" w:styleId="Style">
    <w:name w:val="Style"/>
    <w:basedOn w:val="Normal"/>
    <w:rsid w:val="00B86500"/>
    <w:pPr>
      <w:spacing w:after="160" w:line="240" w:lineRule="exact"/>
    </w:pPr>
    <w:rPr>
      <w:rFonts w:ascii="Verdana" w:hAnsi="Verdana" w:cs="Verdana"/>
      <w:lang w:val="en-GB"/>
    </w:rPr>
  </w:style>
  <w:style w:type="paragraph" w:styleId="ListParagraph">
    <w:name w:val="List Paragraph"/>
    <w:basedOn w:val="Normal"/>
    <w:uiPriority w:val="34"/>
    <w:qFormat/>
    <w:rsid w:val="0040333F"/>
    <w:pPr>
      <w:ind w:left="708"/>
    </w:pPr>
  </w:style>
  <w:style w:type="character" w:customStyle="1" w:styleId="CommentTextChar">
    <w:name w:val="Comment Text Char"/>
    <w:aliases w:val="Comment Text Char1 Char Char,Comment Text Char Char Char Char,Comment Text Char1 Char1,Annotationtext Char"/>
    <w:link w:val="CommentText"/>
    <w:rsid w:val="00A93A7D"/>
    <w:rPr>
      <w:lang w:val="es-ES_tradnl"/>
    </w:rPr>
  </w:style>
  <w:style w:type="paragraph" w:styleId="Revision">
    <w:name w:val="Revision"/>
    <w:hidden/>
    <w:uiPriority w:val="99"/>
    <w:semiHidden/>
    <w:rsid w:val="00623386"/>
    <w:rPr>
      <w:lang w:val="es-ES_tradnl" w:eastAsia="en-US"/>
    </w:rPr>
  </w:style>
  <w:style w:type="character" w:styleId="Hyperlink">
    <w:name w:val="Hyperlink"/>
    <w:uiPriority w:val="99"/>
    <w:unhideWhenUsed/>
    <w:rsid w:val="006048F9"/>
    <w:rPr>
      <w:color w:val="0000FF"/>
      <w:u w:val="single"/>
    </w:rPr>
  </w:style>
  <w:style w:type="paragraph" w:customStyle="1" w:styleId="BodytextAgency">
    <w:name w:val="Body text (Agency)"/>
    <w:basedOn w:val="Normal"/>
    <w:link w:val="BodytextAgencyChar"/>
    <w:qFormat/>
    <w:rsid w:val="00E6294E"/>
    <w:pPr>
      <w:spacing w:after="140" w:line="280" w:lineRule="atLeast"/>
    </w:pPr>
    <w:rPr>
      <w:rFonts w:ascii="Verdana" w:eastAsia="Verdana" w:hAnsi="Verdana"/>
      <w:sz w:val="18"/>
      <w:szCs w:val="18"/>
      <w:lang w:val="es-ES" w:eastAsia="es-ES" w:bidi="es-ES"/>
    </w:rPr>
  </w:style>
  <w:style w:type="paragraph" w:customStyle="1" w:styleId="DraftingNotesAgency">
    <w:name w:val="Drafting Notes (Agency)"/>
    <w:basedOn w:val="Normal"/>
    <w:next w:val="BodytextAgency"/>
    <w:link w:val="DraftingNotesAgencyChar"/>
    <w:rsid w:val="00E6294E"/>
    <w:pPr>
      <w:spacing w:after="140" w:line="280" w:lineRule="atLeast"/>
    </w:pPr>
    <w:rPr>
      <w:rFonts w:ascii="Courier New" w:eastAsia="Verdana" w:hAnsi="Courier New"/>
      <w:i/>
      <w:color w:val="339966"/>
      <w:sz w:val="22"/>
      <w:szCs w:val="18"/>
      <w:lang w:val="es-ES" w:eastAsia="es-ES" w:bidi="es-ES"/>
    </w:rPr>
  </w:style>
  <w:style w:type="paragraph" w:customStyle="1" w:styleId="No-numheading3Agency">
    <w:name w:val="No-num heading 3 (Agency)"/>
    <w:basedOn w:val="Normal"/>
    <w:next w:val="BodytextAgency"/>
    <w:link w:val="No-numheading3AgencyChar"/>
    <w:rsid w:val="00E6294E"/>
    <w:pPr>
      <w:keepNext/>
      <w:spacing w:before="280" w:after="220"/>
      <w:outlineLvl w:val="2"/>
    </w:pPr>
    <w:rPr>
      <w:rFonts w:ascii="Verdana" w:eastAsia="Verdana" w:hAnsi="Verdana"/>
      <w:b/>
      <w:bCs/>
      <w:kern w:val="32"/>
      <w:sz w:val="22"/>
      <w:szCs w:val="22"/>
      <w:lang w:val="es-ES" w:eastAsia="es-ES" w:bidi="es-ES"/>
    </w:rPr>
  </w:style>
  <w:style w:type="character" w:customStyle="1" w:styleId="DraftingNotesAgencyChar">
    <w:name w:val="Drafting Notes (Agency) Char"/>
    <w:link w:val="DraftingNotesAgency"/>
    <w:rsid w:val="00E6294E"/>
    <w:rPr>
      <w:rFonts w:ascii="Courier New" w:eastAsia="Verdana" w:hAnsi="Courier New"/>
      <w:i/>
      <w:color w:val="339966"/>
      <w:sz w:val="22"/>
      <w:szCs w:val="18"/>
      <w:lang w:bidi="es-ES"/>
    </w:rPr>
  </w:style>
  <w:style w:type="character" w:customStyle="1" w:styleId="BodytextAgencyChar">
    <w:name w:val="Body text (Agency) Char"/>
    <w:link w:val="BodytextAgency"/>
    <w:qFormat/>
    <w:rsid w:val="00E6294E"/>
    <w:rPr>
      <w:rFonts w:ascii="Verdana" w:eastAsia="Verdana" w:hAnsi="Verdana"/>
      <w:sz w:val="18"/>
      <w:szCs w:val="18"/>
      <w:lang w:bidi="es-ES"/>
    </w:rPr>
  </w:style>
  <w:style w:type="character" w:customStyle="1" w:styleId="No-numheading3AgencyChar">
    <w:name w:val="No-num heading 3 (Agency) Char"/>
    <w:link w:val="No-numheading3Agency"/>
    <w:rsid w:val="00E6294E"/>
    <w:rPr>
      <w:rFonts w:ascii="Verdana" w:eastAsia="Verdana" w:hAnsi="Verdana"/>
      <w:b/>
      <w:bCs/>
      <w:kern w:val="32"/>
      <w:sz w:val="22"/>
      <w:szCs w:val="22"/>
      <w:lang w:bidi="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hyperlink" Target="http://www.ema.europa.eu/docs/en_GB/document_library/Template_or_form/2013/03/WC500139752.doc"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hyperlink" Target="http://www.ema.europa.eu/docs/en_GB/document_library/Template_or_form/2013/03/WC500139752.doc" TargetMode="External"/><Relationship Id="rId17" Type="http://schemas.openxmlformats.org/officeDocument/2006/relationships/hyperlink" Target="http://www.ema.europa.eu"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ema.europa.eu/docs/en_GB/document_library/Template_or_form/2013/03/WC500139752.doc"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3.xml"/><Relationship Id="rId5" Type="http://schemas.openxmlformats.org/officeDocument/2006/relationships/numbering" Target="numbering.xml"/><Relationship Id="rId15" Type="http://schemas.openxmlformats.org/officeDocument/2006/relationships/hyperlink" Target="http://www.ema.europa.eu/docs/en_GB/document_library/Template_or_form/2013/03/WC500139752.doc" TargetMode="External"/><Relationship Id="rId23"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3853AF-B628-49F9-AF4C-268BAEC10FEC}">
  <ds:schemaRefs>
    <ds:schemaRef ds:uri="http://purl.org/dc/elements/1.1/"/>
    <ds:schemaRef ds:uri="e84aa060-13d4-4ddd-8d65-c3aafff2663b"/>
    <ds:schemaRef ds:uri="http://purl.org/dc/terms/"/>
    <ds:schemaRef ds:uri="08c21c09-beba-4072-8000-1dca26330969"/>
    <ds:schemaRef ds:uri="http://schemas.microsoft.com/office/2006/documentManagement/types"/>
    <ds:schemaRef ds:uri="http://schemas.microsoft.com/office/infopath/2007/PartnerControls"/>
    <ds:schemaRef ds:uri="http://schemas.openxmlformats.org/package/2006/metadata/core-properties"/>
    <ds:schemaRef ds:uri="http://schemas.microsoft.com/office/2006/metadata/properties"/>
    <ds:schemaRef ds:uri="http://www.w3.org/XML/1998/namespace"/>
    <ds:schemaRef ds:uri="http://purl.org/dc/dcmitype/"/>
  </ds:schemaRefs>
</ds:datastoreItem>
</file>

<file path=customXml/itemProps2.xml><?xml version="1.0" encoding="utf-8"?>
<ds:datastoreItem xmlns:ds="http://schemas.openxmlformats.org/officeDocument/2006/customXml" ds:itemID="{4E236EF8-73D2-4906-B88F-4ED86E9448A2}">
  <ds:schemaRefs>
    <ds:schemaRef ds:uri="http://schemas.microsoft.com/sharepoint/v3/contenttype/forms"/>
  </ds:schemaRefs>
</ds:datastoreItem>
</file>

<file path=customXml/itemProps3.xml><?xml version="1.0" encoding="utf-8"?>
<ds:datastoreItem xmlns:ds="http://schemas.openxmlformats.org/officeDocument/2006/customXml" ds:itemID="{E3CBBA6D-AE80-4D36-AC48-4EE8D27DED17}"/>
</file>

<file path=customXml/itemProps4.xml><?xml version="1.0" encoding="utf-8"?>
<ds:datastoreItem xmlns:ds="http://schemas.openxmlformats.org/officeDocument/2006/customXml" ds:itemID="{7EFA3325-8ACE-4B7A-B815-A94EE98DB0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107</Pages>
  <Words>44981</Words>
  <Characters>242805</Characters>
  <Application>Microsoft Office Word</Application>
  <DocSecurity>0</DocSecurity>
  <Lines>2023</Lines>
  <Paragraphs>574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Glivec, INN-imatinib</vt:lpstr>
      <vt:lpstr>Glivec, INN-imatinib</vt:lpstr>
    </vt:vector>
  </TitlesOfParts>
  <Company>Novartis</Company>
  <LinksUpToDate>false</LinksUpToDate>
  <CharactersWithSpaces>287212</CharactersWithSpaces>
  <SharedDoc>false</SharedDoc>
  <HLinks>
    <vt:vector size="54" baseType="variant">
      <vt:variant>
        <vt:i4>1245197</vt:i4>
      </vt:variant>
      <vt:variant>
        <vt:i4>24</vt:i4>
      </vt:variant>
      <vt:variant>
        <vt:i4>0</vt:i4>
      </vt:variant>
      <vt:variant>
        <vt:i4>5</vt:i4>
      </vt:variant>
      <vt:variant>
        <vt:lpwstr>http://www.ema.europa.eu/</vt:lpwstr>
      </vt:variant>
      <vt:variant>
        <vt:lpwstr/>
      </vt:variant>
      <vt:variant>
        <vt:i4>2359399</vt:i4>
      </vt:variant>
      <vt:variant>
        <vt:i4>21</vt:i4>
      </vt:variant>
      <vt:variant>
        <vt:i4>0</vt:i4>
      </vt:variant>
      <vt:variant>
        <vt:i4>5</vt:i4>
      </vt:variant>
      <vt:variant>
        <vt:lpwstr>http://www.ema.europa.eu/docs/en_GB/document_library/Template_or_form/2013/03/WC500139752.doc</vt:lpwstr>
      </vt:variant>
      <vt:variant>
        <vt:lpwstr/>
      </vt:variant>
      <vt:variant>
        <vt:i4>2359399</vt:i4>
      </vt:variant>
      <vt:variant>
        <vt:i4>18</vt:i4>
      </vt:variant>
      <vt:variant>
        <vt:i4>0</vt:i4>
      </vt:variant>
      <vt:variant>
        <vt:i4>5</vt:i4>
      </vt:variant>
      <vt:variant>
        <vt:lpwstr>http://www.ema.europa.eu/docs/en_GB/document_library/Template_or_form/2013/03/WC500139752.doc</vt:lpwstr>
      </vt:variant>
      <vt:variant>
        <vt:lpwstr/>
      </vt:variant>
      <vt:variant>
        <vt:i4>1245197</vt:i4>
      </vt:variant>
      <vt:variant>
        <vt:i4>15</vt:i4>
      </vt:variant>
      <vt:variant>
        <vt:i4>0</vt:i4>
      </vt:variant>
      <vt:variant>
        <vt:i4>5</vt:i4>
      </vt:variant>
      <vt:variant>
        <vt:lpwstr>http://www.ema.europa.eu/</vt:lpwstr>
      </vt:variant>
      <vt:variant>
        <vt:lpwstr/>
      </vt:variant>
      <vt:variant>
        <vt:i4>2359399</vt:i4>
      </vt:variant>
      <vt:variant>
        <vt:i4>12</vt:i4>
      </vt:variant>
      <vt:variant>
        <vt:i4>0</vt:i4>
      </vt:variant>
      <vt:variant>
        <vt:i4>5</vt:i4>
      </vt:variant>
      <vt:variant>
        <vt:lpwstr>http://www.ema.europa.eu/docs/en_GB/document_library/Template_or_form/2013/03/WC500139752.doc</vt:lpwstr>
      </vt:variant>
      <vt:variant>
        <vt:lpwstr/>
      </vt:variant>
      <vt:variant>
        <vt:i4>1245197</vt:i4>
      </vt:variant>
      <vt:variant>
        <vt:i4>9</vt:i4>
      </vt:variant>
      <vt:variant>
        <vt:i4>0</vt:i4>
      </vt:variant>
      <vt:variant>
        <vt:i4>5</vt:i4>
      </vt:variant>
      <vt:variant>
        <vt:lpwstr>http://www.ema.europa.eu/</vt:lpwstr>
      </vt:variant>
      <vt:variant>
        <vt:lpwstr/>
      </vt:variant>
      <vt:variant>
        <vt:i4>2359399</vt:i4>
      </vt:variant>
      <vt:variant>
        <vt:i4>6</vt:i4>
      </vt:variant>
      <vt:variant>
        <vt:i4>0</vt:i4>
      </vt:variant>
      <vt:variant>
        <vt:i4>5</vt:i4>
      </vt:variant>
      <vt:variant>
        <vt:lpwstr>http://www.ema.europa.eu/docs/en_GB/document_library/Template_or_form/2013/03/WC500139752.doc</vt:lpwstr>
      </vt:variant>
      <vt:variant>
        <vt:lpwstr/>
      </vt:variant>
      <vt:variant>
        <vt:i4>2359399</vt:i4>
      </vt:variant>
      <vt:variant>
        <vt:i4>3</vt:i4>
      </vt:variant>
      <vt:variant>
        <vt:i4>0</vt:i4>
      </vt:variant>
      <vt:variant>
        <vt:i4>5</vt:i4>
      </vt:variant>
      <vt:variant>
        <vt:lpwstr>http://www.ema.europa.eu/docs/en_GB/document_library/Template_or_form/2013/03/WC500139752.doc</vt:lpwstr>
      </vt:variant>
      <vt:variant>
        <vt:lpwstr/>
      </vt:variant>
      <vt:variant>
        <vt:i4>2359399</vt:i4>
      </vt:variant>
      <vt:variant>
        <vt:i4>0</vt:i4>
      </vt:variant>
      <vt:variant>
        <vt:i4>0</vt:i4>
      </vt:variant>
      <vt:variant>
        <vt:i4>5</vt:i4>
      </vt:variant>
      <vt:variant>
        <vt:lpwstr>http://www.ema.europa.eu/docs/en_GB/document_library/Template_or_form/2013/03/WC500139752.doc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Glivec, INN-imatinib</dc:title>
  <dc:subject>EPAR</dc:subject>
  <dc:creator>CHMP</dc:creator>
  <cp:keywords>Glivec, INN-imatinib</cp:keywords>
  <cp:lastModifiedBy>Lupescu Diana</cp:lastModifiedBy>
  <cp:revision>5</cp:revision>
  <cp:lastPrinted>2012-11-16T15:29:00Z</cp:lastPrinted>
  <dcterms:created xsi:type="dcterms:W3CDTF">2021-02-04T14:21:00Z</dcterms:created>
  <dcterms:modified xsi:type="dcterms:W3CDTF">2021-05-21T15:58:00Z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929bff8-5b33-42aa-95d2-28f72e792cb0_Enabled">
    <vt:lpwstr>True</vt:lpwstr>
  </property>
  <property fmtid="{D5CDD505-2E9C-101B-9397-08002B2CF9AE}" pid="3" name="MSIP_Label_4929bff8-5b33-42aa-95d2-28f72e792cb0_SiteId">
    <vt:lpwstr>f35a6974-607f-47d4-82d7-ff31d7dc53a5</vt:lpwstr>
  </property>
  <property fmtid="{D5CDD505-2E9C-101B-9397-08002B2CF9AE}" pid="4" name="MSIP_Label_4929bff8-5b33-42aa-95d2-28f72e792cb0_SetDate">
    <vt:lpwstr>2019-01-24T12:16:18.2623965Z</vt:lpwstr>
  </property>
  <property fmtid="{D5CDD505-2E9C-101B-9397-08002B2CF9AE}" pid="5" name="MSIP_Label_4929bff8-5b33-42aa-95d2-28f72e792cb0_Name">
    <vt:lpwstr>Business Use Only</vt:lpwstr>
  </property>
  <property fmtid="{D5CDD505-2E9C-101B-9397-08002B2CF9AE}" pid="6" name="MSIP_Label_4929bff8-5b33-42aa-95d2-28f72e792cb0_Extended_MSFT_Method">
    <vt:lpwstr>Automatic</vt:lpwstr>
  </property>
  <property fmtid="{D5CDD505-2E9C-101B-9397-08002B2CF9AE}" pid="7" name="Confidentiality">
    <vt:lpwstr>Business Use Only</vt:lpwstr>
  </property>
  <property fmtid="{D5CDD505-2E9C-101B-9397-08002B2CF9AE}" pid="8" name="ContentTypeId">
    <vt:lpwstr>0x010100726F91DD1AE57B44B1BCEB7F1056F5D0</vt:lpwstr>
  </property>
  <property fmtid="{D5CDD505-2E9C-101B-9397-08002B2CF9AE}" pid="9" name="MSIP_Label_0eea11ca-d417-4147-80ed-01a58412c458_Enabled">
    <vt:lpwstr>true</vt:lpwstr>
  </property>
  <property fmtid="{D5CDD505-2E9C-101B-9397-08002B2CF9AE}" pid="10" name="MSIP_Label_0eea11ca-d417-4147-80ed-01a58412c458_SetDate">
    <vt:lpwstr>2021-05-21T15:58:50Z</vt:lpwstr>
  </property>
  <property fmtid="{D5CDD505-2E9C-101B-9397-08002B2CF9AE}" pid="11" name="MSIP_Label_0eea11ca-d417-4147-80ed-01a58412c458_Method">
    <vt:lpwstr>Standard</vt:lpwstr>
  </property>
  <property fmtid="{D5CDD505-2E9C-101B-9397-08002B2CF9AE}" pid="12" name="MSIP_Label_0eea11ca-d417-4147-80ed-01a58412c458_Name">
    <vt:lpwstr>0eea11ca-d417-4147-80ed-01a58412c458</vt:lpwstr>
  </property>
  <property fmtid="{D5CDD505-2E9C-101B-9397-08002B2CF9AE}" pid="13" name="MSIP_Label_0eea11ca-d417-4147-80ed-01a58412c458_SiteId">
    <vt:lpwstr>bc9dc15c-61bc-4f03-b60b-e5b6d8922839</vt:lpwstr>
  </property>
  <property fmtid="{D5CDD505-2E9C-101B-9397-08002B2CF9AE}" pid="14" name="MSIP_Label_0eea11ca-d417-4147-80ed-01a58412c458_ActionId">
    <vt:lpwstr>91fa14e0-bc90-4348-b1ae-889396d11055</vt:lpwstr>
  </property>
  <property fmtid="{D5CDD505-2E9C-101B-9397-08002B2CF9AE}" pid="15" name="MSIP_Label_0eea11ca-d417-4147-80ed-01a58412c458_ContentBits">
    <vt:lpwstr>2</vt:lpwstr>
  </property>
</Properties>
</file>