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0B38C" w14:textId="77777777" w:rsidR="00136210" w:rsidRPr="00003EF4" w:rsidRDefault="00136210">
      <w:pPr>
        <w:pStyle w:val="Header"/>
        <w:widowControl w:val="0"/>
        <w:rPr>
          <w:rFonts w:ascii="Times New Roman" w:hAnsi="Times New Roman"/>
          <w:color w:val="000000"/>
          <w:sz w:val="22"/>
          <w:szCs w:val="22"/>
          <w:lang w:val="et-EE"/>
        </w:rPr>
      </w:pPr>
      <w:bookmarkStart w:id="0" w:name="_GoBack"/>
      <w:bookmarkEnd w:id="0"/>
    </w:p>
    <w:p w14:paraId="1284F793" w14:textId="77777777" w:rsidR="00136210" w:rsidRPr="00003EF4" w:rsidRDefault="00136210">
      <w:pPr>
        <w:widowControl w:val="0"/>
        <w:tabs>
          <w:tab w:val="clear" w:pos="567"/>
        </w:tabs>
        <w:spacing w:line="240" w:lineRule="auto"/>
        <w:rPr>
          <w:color w:val="000000"/>
          <w:szCs w:val="22"/>
          <w:lang w:val="et-EE"/>
        </w:rPr>
      </w:pPr>
    </w:p>
    <w:p w14:paraId="121A8398" w14:textId="77777777" w:rsidR="00136210" w:rsidRPr="00003EF4" w:rsidRDefault="00136210">
      <w:pPr>
        <w:pStyle w:val="EndnoteText"/>
        <w:widowControl w:val="0"/>
        <w:tabs>
          <w:tab w:val="clear" w:pos="567"/>
        </w:tabs>
        <w:rPr>
          <w:color w:val="000000"/>
          <w:szCs w:val="22"/>
          <w:lang w:val="et-EE"/>
        </w:rPr>
      </w:pPr>
    </w:p>
    <w:p w14:paraId="1E3712BF" w14:textId="77777777" w:rsidR="00136210" w:rsidRPr="00003EF4" w:rsidRDefault="00136210">
      <w:pPr>
        <w:widowControl w:val="0"/>
        <w:tabs>
          <w:tab w:val="clear" w:pos="567"/>
        </w:tabs>
        <w:spacing w:line="240" w:lineRule="auto"/>
        <w:rPr>
          <w:color w:val="000000"/>
          <w:szCs w:val="22"/>
          <w:lang w:val="et-EE"/>
        </w:rPr>
      </w:pPr>
    </w:p>
    <w:p w14:paraId="41D6E987" w14:textId="77777777" w:rsidR="00136210" w:rsidRPr="00003EF4" w:rsidRDefault="00136210">
      <w:pPr>
        <w:widowControl w:val="0"/>
        <w:tabs>
          <w:tab w:val="clear" w:pos="567"/>
        </w:tabs>
        <w:spacing w:line="240" w:lineRule="auto"/>
        <w:rPr>
          <w:color w:val="000000"/>
          <w:szCs w:val="22"/>
          <w:lang w:val="et-EE"/>
        </w:rPr>
      </w:pPr>
    </w:p>
    <w:p w14:paraId="6CC9A619" w14:textId="77777777" w:rsidR="00136210" w:rsidRPr="00003EF4" w:rsidRDefault="00136210">
      <w:pPr>
        <w:widowControl w:val="0"/>
        <w:tabs>
          <w:tab w:val="clear" w:pos="567"/>
        </w:tabs>
        <w:spacing w:line="240" w:lineRule="auto"/>
        <w:rPr>
          <w:color w:val="000000"/>
          <w:szCs w:val="22"/>
          <w:lang w:val="et-EE"/>
        </w:rPr>
      </w:pPr>
    </w:p>
    <w:p w14:paraId="0EF606EB" w14:textId="77777777" w:rsidR="00136210" w:rsidRPr="00003EF4" w:rsidRDefault="00136210">
      <w:pPr>
        <w:widowControl w:val="0"/>
        <w:tabs>
          <w:tab w:val="clear" w:pos="567"/>
        </w:tabs>
        <w:spacing w:line="240" w:lineRule="auto"/>
        <w:rPr>
          <w:color w:val="000000"/>
          <w:szCs w:val="22"/>
          <w:lang w:val="et-EE"/>
        </w:rPr>
      </w:pPr>
    </w:p>
    <w:p w14:paraId="0F742656" w14:textId="77777777" w:rsidR="00136210" w:rsidRPr="00003EF4" w:rsidRDefault="00136210">
      <w:pPr>
        <w:widowControl w:val="0"/>
        <w:tabs>
          <w:tab w:val="clear" w:pos="567"/>
        </w:tabs>
        <w:spacing w:line="240" w:lineRule="auto"/>
        <w:rPr>
          <w:color w:val="000000"/>
          <w:szCs w:val="22"/>
          <w:lang w:val="et-EE"/>
        </w:rPr>
      </w:pPr>
    </w:p>
    <w:p w14:paraId="75EF7739" w14:textId="77777777" w:rsidR="00136210" w:rsidRPr="00003EF4" w:rsidRDefault="00136210">
      <w:pPr>
        <w:widowControl w:val="0"/>
        <w:tabs>
          <w:tab w:val="clear" w:pos="567"/>
        </w:tabs>
        <w:spacing w:line="240" w:lineRule="auto"/>
        <w:rPr>
          <w:color w:val="000000"/>
          <w:szCs w:val="22"/>
          <w:lang w:val="et-EE"/>
        </w:rPr>
      </w:pPr>
    </w:p>
    <w:p w14:paraId="7EBDB892" w14:textId="77777777" w:rsidR="00136210" w:rsidRPr="00003EF4" w:rsidRDefault="00136210">
      <w:pPr>
        <w:widowControl w:val="0"/>
        <w:tabs>
          <w:tab w:val="clear" w:pos="567"/>
        </w:tabs>
        <w:spacing w:line="240" w:lineRule="auto"/>
        <w:rPr>
          <w:color w:val="000000"/>
          <w:szCs w:val="22"/>
          <w:lang w:val="et-EE"/>
        </w:rPr>
      </w:pPr>
    </w:p>
    <w:p w14:paraId="4F5EA469" w14:textId="77777777" w:rsidR="00136210" w:rsidRPr="00003EF4" w:rsidRDefault="00136210">
      <w:pPr>
        <w:pStyle w:val="EndnoteText"/>
        <w:widowControl w:val="0"/>
        <w:tabs>
          <w:tab w:val="clear" w:pos="567"/>
        </w:tabs>
        <w:rPr>
          <w:color w:val="000000"/>
          <w:szCs w:val="22"/>
          <w:lang w:val="et-EE"/>
        </w:rPr>
      </w:pPr>
    </w:p>
    <w:p w14:paraId="7CD63538" w14:textId="77777777" w:rsidR="00136210" w:rsidRPr="00003EF4" w:rsidRDefault="00136210">
      <w:pPr>
        <w:widowControl w:val="0"/>
        <w:tabs>
          <w:tab w:val="clear" w:pos="567"/>
        </w:tabs>
        <w:spacing w:line="240" w:lineRule="auto"/>
        <w:rPr>
          <w:color w:val="000000"/>
          <w:szCs w:val="22"/>
          <w:lang w:val="et-EE"/>
        </w:rPr>
      </w:pPr>
    </w:p>
    <w:p w14:paraId="40C4A6D2" w14:textId="77777777" w:rsidR="00136210" w:rsidRPr="00003EF4" w:rsidRDefault="00136210">
      <w:pPr>
        <w:widowControl w:val="0"/>
        <w:tabs>
          <w:tab w:val="clear" w:pos="567"/>
        </w:tabs>
        <w:spacing w:line="240" w:lineRule="auto"/>
        <w:rPr>
          <w:color w:val="000000"/>
          <w:szCs w:val="22"/>
          <w:lang w:val="et-EE"/>
        </w:rPr>
      </w:pPr>
    </w:p>
    <w:p w14:paraId="53409B55" w14:textId="77777777" w:rsidR="00136210" w:rsidRPr="00003EF4" w:rsidRDefault="00136210">
      <w:pPr>
        <w:widowControl w:val="0"/>
        <w:tabs>
          <w:tab w:val="clear" w:pos="567"/>
        </w:tabs>
        <w:spacing w:line="240" w:lineRule="auto"/>
        <w:rPr>
          <w:color w:val="000000"/>
          <w:szCs w:val="22"/>
          <w:lang w:val="et-EE"/>
        </w:rPr>
      </w:pPr>
    </w:p>
    <w:p w14:paraId="7093EBEF" w14:textId="77777777" w:rsidR="00136210" w:rsidRPr="00003EF4" w:rsidRDefault="00136210">
      <w:pPr>
        <w:widowControl w:val="0"/>
        <w:tabs>
          <w:tab w:val="clear" w:pos="567"/>
        </w:tabs>
        <w:spacing w:line="240" w:lineRule="auto"/>
        <w:rPr>
          <w:color w:val="000000"/>
          <w:szCs w:val="22"/>
          <w:lang w:val="et-EE"/>
        </w:rPr>
      </w:pPr>
    </w:p>
    <w:p w14:paraId="75CF2AC7" w14:textId="77777777" w:rsidR="00136210" w:rsidRPr="00003EF4" w:rsidRDefault="00136210">
      <w:pPr>
        <w:widowControl w:val="0"/>
        <w:tabs>
          <w:tab w:val="clear" w:pos="567"/>
        </w:tabs>
        <w:spacing w:line="240" w:lineRule="auto"/>
        <w:rPr>
          <w:color w:val="000000"/>
          <w:szCs w:val="22"/>
          <w:lang w:val="et-EE"/>
        </w:rPr>
      </w:pPr>
    </w:p>
    <w:p w14:paraId="27A91758" w14:textId="77777777" w:rsidR="00136210" w:rsidRPr="00003EF4" w:rsidRDefault="00136210">
      <w:pPr>
        <w:widowControl w:val="0"/>
        <w:tabs>
          <w:tab w:val="clear" w:pos="567"/>
        </w:tabs>
        <w:spacing w:line="240" w:lineRule="auto"/>
        <w:rPr>
          <w:color w:val="000000"/>
          <w:szCs w:val="22"/>
          <w:lang w:val="et-EE"/>
        </w:rPr>
      </w:pPr>
    </w:p>
    <w:p w14:paraId="1CF158F9" w14:textId="77777777" w:rsidR="00136210" w:rsidRPr="00003EF4" w:rsidRDefault="00136210">
      <w:pPr>
        <w:widowControl w:val="0"/>
        <w:tabs>
          <w:tab w:val="clear" w:pos="567"/>
        </w:tabs>
        <w:spacing w:line="240" w:lineRule="auto"/>
        <w:rPr>
          <w:color w:val="000000"/>
          <w:szCs w:val="22"/>
          <w:lang w:val="et-EE"/>
        </w:rPr>
      </w:pPr>
    </w:p>
    <w:p w14:paraId="71EEFF4D" w14:textId="77777777" w:rsidR="00136210" w:rsidRPr="00003EF4" w:rsidRDefault="00136210">
      <w:pPr>
        <w:widowControl w:val="0"/>
        <w:tabs>
          <w:tab w:val="clear" w:pos="567"/>
        </w:tabs>
        <w:spacing w:line="240" w:lineRule="auto"/>
        <w:rPr>
          <w:color w:val="000000"/>
          <w:szCs w:val="22"/>
          <w:lang w:val="et-EE"/>
        </w:rPr>
      </w:pPr>
    </w:p>
    <w:p w14:paraId="78C52BAC" w14:textId="77777777" w:rsidR="00136210" w:rsidRPr="00003EF4" w:rsidRDefault="00136210">
      <w:pPr>
        <w:widowControl w:val="0"/>
        <w:tabs>
          <w:tab w:val="clear" w:pos="567"/>
        </w:tabs>
        <w:spacing w:line="240" w:lineRule="auto"/>
        <w:rPr>
          <w:color w:val="000000"/>
          <w:szCs w:val="22"/>
          <w:lang w:val="et-EE"/>
        </w:rPr>
      </w:pPr>
    </w:p>
    <w:p w14:paraId="3F296BAE" w14:textId="77777777" w:rsidR="00136210" w:rsidRPr="00003EF4" w:rsidRDefault="00136210">
      <w:pPr>
        <w:widowControl w:val="0"/>
        <w:tabs>
          <w:tab w:val="clear" w:pos="567"/>
        </w:tabs>
        <w:spacing w:line="240" w:lineRule="auto"/>
        <w:rPr>
          <w:color w:val="000000"/>
          <w:szCs w:val="22"/>
          <w:lang w:val="et-EE"/>
        </w:rPr>
      </w:pPr>
    </w:p>
    <w:p w14:paraId="3314D857" w14:textId="77777777" w:rsidR="00136210" w:rsidRPr="00003EF4" w:rsidRDefault="00136210">
      <w:pPr>
        <w:pStyle w:val="EndnoteText"/>
        <w:widowControl w:val="0"/>
        <w:tabs>
          <w:tab w:val="clear" w:pos="567"/>
        </w:tabs>
        <w:rPr>
          <w:color w:val="000000"/>
          <w:szCs w:val="22"/>
          <w:lang w:val="et-EE"/>
        </w:rPr>
      </w:pPr>
    </w:p>
    <w:p w14:paraId="41BC4B2F" w14:textId="77777777" w:rsidR="00136210" w:rsidRPr="00003EF4" w:rsidRDefault="00136210">
      <w:pPr>
        <w:widowControl w:val="0"/>
        <w:tabs>
          <w:tab w:val="clear" w:pos="567"/>
        </w:tabs>
        <w:spacing w:line="240" w:lineRule="auto"/>
        <w:rPr>
          <w:color w:val="000000"/>
          <w:szCs w:val="22"/>
          <w:lang w:val="et-EE"/>
        </w:rPr>
      </w:pPr>
    </w:p>
    <w:p w14:paraId="6F9D3226" w14:textId="77777777" w:rsidR="00136210" w:rsidRPr="00EC3BD7" w:rsidRDefault="000F7BFE">
      <w:pPr>
        <w:tabs>
          <w:tab w:val="clear" w:pos="567"/>
        </w:tabs>
        <w:spacing w:line="240" w:lineRule="auto"/>
        <w:jc w:val="center"/>
        <w:rPr>
          <w:b/>
          <w:color w:val="000000"/>
          <w:szCs w:val="22"/>
          <w:lang w:val="et-EE"/>
        </w:rPr>
      </w:pPr>
      <w:r w:rsidRPr="00EC3BD7">
        <w:rPr>
          <w:b/>
          <w:color w:val="000000"/>
          <w:szCs w:val="22"/>
          <w:lang w:val="et-EE"/>
        </w:rPr>
        <w:t>I</w:t>
      </w:r>
      <w:r w:rsidR="00A372F4" w:rsidRPr="00EC3BD7">
        <w:rPr>
          <w:b/>
          <w:color w:val="000000"/>
          <w:szCs w:val="22"/>
          <w:lang w:val="et-EE"/>
        </w:rPr>
        <w:t> </w:t>
      </w:r>
      <w:r w:rsidR="00136210" w:rsidRPr="00EC3BD7">
        <w:rPr>
          <w:b/>
          <w:color w:val="000000"/>
          <w:szCs w:val="22"/>
          <w:lang w:val="et-EE"/>
        </w:rPr>
        <w:t>LISA</w:t>
      </w:r>
    </w:p>
    <w:p w14:paraId="7C99C11B" w14:textId="77777777" w:rsidR="00136210" w:rsidRPr="00EC3BD7" w:rsidRDefault="00136210">
      <w:pPr>
        <w:tabs>
          <w:tab w:val="clear" w:pos="567"/>
        </w:tabs>
        <w:spacing w:line="240" w:lineRule="auto"/>
        <w:jc w:val="center"/>
        <w:rPr>
          <w:color w:val="000000"/>
          <w:szCs w:val="22"/>
          <w:lang w:val="et-EE"/>
        </w:rPr>
      </w:pPr>
    </w:p>
    <w:p w14:paraId="319218D4" w14:textId="77777777" w:rsidR="00136210" w:rsidRPr="00EC3BD7" w:rsidRDefault="00136210">
      <w:pPr>
        <w:tabs>
          <w:tab w:val="clear" w:pos="567"/>
        </w:tabs>
        <w:spacing w:line="240" w:lineRule="auto"/>
        <w:jc w:val="center"/>
        <w:rPr>
          <w:b/>
          <w:color w:val="000000"/>
          <w:szCs w:val="22"/>
          <w:lang w:val="et-EE"/>
        </w:rPr>
      </w:pPr>
      <w:r w:rsidRPr="00EC3BD7">
        <w:rPr>
          <w:b/>
          <w:color w:val="000000"/>
          <w:szCs w:val="22"/>
          <w:lang w:val="et-EE"/>
        </w:rPr>
        <w:t>RAVIMI OMADUSTE KOKKUVÕTE</w:t>
      </w:r>
    </w:p>
    <w:p w14:paraId="4CCF45C5" w14:textId="77777777" w:rsidR="00136210" w:rsidRPr="00EC3BD7" w:rsidRDefault="00136210">
      <w:pPr>
        <w:widowControl w:val="0"/>
        <w:tabs>
          <w:tab w:val="clear" w:pos="567"/>
          <w:tab w:val="left" w:pos="-1440"/>
          <w:tab w:val="left" w:pos="-720"/>
        </w:tabs>
        <w:spacing w:line="240" w:lineRule="auto"/>
        <w:jc w:val="center"/>
        <w:rPr>
          <w:color w:val="000000"/>
          <w:szCs w:val="22"/>
          <w:lang w:val="et-EE"/>
        </w:rPr>
      </w:pPr>
    </w:p>
    <w:p w14:paraId="46B47EB7" w14:textId="77777777" w:rsidR="009874EA" w:rsidRPr="00EC3BD7" w:rsidRDefault="00136210" w:rsidP="009874EA">
      <w:pPr>
        <w:widowControl w:val="0"/>
        <w:spacing w:line="240" w:lineRule="auto"/>
        <w:rPr>
          <w:szCs w:val="24"/>
          <w:lang w:val="et-EE"/>
        </w:rPr>
      </w:pPr>
      <w:r w:rsidRPr="00EC3BD7">
        <w:rPr>
          <w:b/>
          <w:color w:val="000000"/>
          <w:szCs w:val="22"/>
          <w:lang w:val="et-EE"/>
        </w:rPr>
        <w:br w:type="page"/>
      </w:r>
      <w:bookmarkStart w:id="1" w:name="OLE_LINK4"/>
      <w:r w:rsidR="00602C2E" w:rsidRPr="00EC3BD7">
        <w:rPr>
          <w:noProof/>
          <w:lang w:val="en-US"/>
        </w:rPr>
        <w:lastRenderedPageBreak/>
        <w:drawing>
          <wp:inline distT="0" distB="0" distL="0" distR="0" wp14:anchorId="57F3A91F" wp14:editId="39ABFE7A">
            <wp:extent cx="198755" cy="174625"/>
            <wp:effectExtent l="0" t="0" r="0" b="0"/>
            <wp:docPr id="1"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9874EA" w:rsidRPr="00EC3BD7">
        <w:rPr>
          <w:szCs w:val="24"/>
          <w:lang w:val="et-EE"/>
        </w:rPr>
        <w:t>Käesoleva ravimi suhtes kohaldatakse täiendavat järelevalvet, mis võimaldab kiiresti tuvastada uut ohutusteavet. Tervishoiutöötajatel palutakse teavitada kõigist võimalikest kõrvaltoimetest. Kõrvaltoimetest teavitamise kohta vt lõik</w:t>
      </w:r>
      <w:r w:rsidR="00291739" w:rsidRPr="00EC3BD7">
        <w:rPr>
          <w:szCs w:val="24"/>
          <w:lang w:val="et-EE"/>
        </w:rPr>
        <w:t> </w:t>
      </w:r>
      <w:r w:rsidR="009874EA" w:rsidRPr="00EC3BD7">
        <w:rPr>
          <w:szCs w:val="24"/>
          <w:lang w:val="et-EE"/>
        </w:rPr>
        <w:t>4.8.</w:t>
      </w:r>
    </w:p>
    <w:p w14:paraId="156E1EC1" w14:textId="77777777" w:rsidR="009874EA" w:rsidRPr="00EC3BD7" w:rsidRDefault="009874EA" w:rsidP="009874EA">
      <w:pPr>
        <w:widowControl w:val="0"/>
        <w:spacing w:line="240" w:lineRule="auto"/>
        <w:rPr>
          <w:szCs w:val="24"/>
          <w:lang w:val="et-EE"/>
        </w:rPr>
      </w:pPr>
    </w:p>
    <w:bookmarkEnd w:id="1"/>
    <w:p w14:paraId="3C9E97A6" w14:textId="77777777" w:rsidR="009874EA" w:rsidRPr="00EC3BD7" w:rsidRDefault="009874EA" w:rsidP="009874EA">
      <w:pPr>
        <w:widowControl w:val="0"/>
        <w:spacing w:line="240" w:lineRule="auto"/>
        <w:rPr>
          <w:szCs w:val="24"/>
          <w:lang w:val="et-EE"/>
        </w:rPr>
      </w:pPr>
    </w:p>
    <w:p w14:paraId="2B2C845D"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1.</w:t>
      </w:r>
      <w:r w:rsidRPr="00EC3BD7">
        <w:rPr>
          <w:b/>
          <w:color w:val="000000"/>
          <w:szCs w:val="22"/>
          <w:lang w:val="et-EE"/>
        </w:rPr>
        <w:tab/>
        <w:t>RAVIMPREPARAADI NIMETUS</w:t>
      </w:r>
    </w:p>
    <w:p w14:paraId="65DE9B15" w14:textId="77777777" w:rsidR="00136210" w:rsidRPr="00EC3BD7" w:rsidRDefault="00136210" w:rsidP="00B9089D">
      <w:pPr>
        <w:pStyle w:val="EndnoteText"/>
        <w:keepNext/>
        <w:widowControl w:val="0"/>
        <w:tabs>
          <w:tab w:val="clear" w:pos="567"/>
        </w:tabs>
        <w:rPr>
          <w:color w:val="000000"/>
          <w:szCs w:val="22"/>
          <w:lang w:val="et-EE"/>
        </w:rPr>
      </w:pPr>
    </w:p>
    <w:p w14:paraId="4949DFE7" w14:textId="77777777" w:rsidR="00A372F4" w:rsidRPr="00EC3BD7" w:rsidRDefault="00A372F4" w:rsidP="00A372F4">
      <w:pPr>
        <w:pStyle w:val="EndnoteText"/>
        <w:widowControl w:val="0"/>
        <w:tabs>
          <w:tab w:val="clear" w:pos="567"/>
        </w:tabs>
        <w:rPr>
          <w:color w:val="000000"/>
          <w:szCs w:val="22"/>
          <w:lang w:val="et-EE"/>
        </w:rPr>
      </w:pPr>
      <w:r w:rsidRPr="00EC3BD7">
        <w:rPr>
          <w:color w:val="000000"/>
          <w:szCs w:val="22"/>
          <w:lang w:val="et-EE"/>
        </w:rPr>
        <w:t>Glivec 100 mg kõvakapslid</w:t>
      </w:r>
    </w:p>
    <w:p w14:paraId="321F8240" w14:textId="77777777" w:rsidR="00136210" w:rsidRPr="00EC3BD7" w:rsidRDefault="00136210">
      <w:pPr>
        <w:pStyle w:val="EndnoteText"/>
        <w:widowControl w:val="0"/>
        <w:tabs>
          <w:tab w:val="clear" w:pos="567"/>
        </w:tabs>
        <w:rPr>
          <w:color w:val="000000"/>
          <w:szCs w:val="22"/>
          <w:lang w:val="et-EE"/>
        </w:rPr>
      </w:pPr>
    </w:p>
    <w:p w14:paraId="7DD4A936" w14:textId="77777777" w:rsidR="00136210" w:rsidRPr="00EC3BD7" w:rsidRDefault="00136210">
      <w:pPr>
        <w:pStyle w:val="EndnoteText"/>
        <w:widowControl w:val="0"/>
        <w:tabs>
          <w:tab w:val="clear" w:pos="567"/>
        </w:tabs>
        <w:rPr>
          <w:color w:val="000000"/>
          <w:szCs w:val="22"/>
          <w:lang w:val="et-EE"/>
        </w:rPr>
      </w:pPr>
    </w:p>
    <w:p w14:paraId="626C8642"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2.</w:t>
      </w:r>
      <w:r w:rsidRPr="00EC3BD7">
        <w:rPr>
          <w:b/>
          <w:color w:val="000000"/>
          <w:szCs w:val="22"/>
          <w:lang w:val="et-EE"/>
        </w:rPr>
        <w:tab/>
        <w:t>KVALITATIIVNE JA KVANTITATIIVNE KOOSTIS</w:t>
      </w:r>
    </w:p>
    <w:p w14:paraId="786785BD" w14:textId="77777777" w:rsidR="00136210" w:rsidRPr="00EC3BD7" w:rsidRDefault="00136210" w:rsidP="00B9089D">
      <w:pPr>
        <w:keepNext/>
        <w:widowControl w:val="0"/>
        <w:tabs>
          <w:tab w:val="clear" w:pos="567"/>
        </w:tabs>
        <w:spacing w:line="240" w:lineRule="auto"/>
        <w:rPr>
          <w:color w:val="000000"/>
          <w:szCs w:val="22"/>
          <w:lang w:val="et-EE"/>
        </w:rPr>
      </w:pPr>
    </w:p>
    <w:p w14:paraId="7B8CAF1E" w14:textId="77777777" w:rsidR="00A372F4" w:rsidRPr="00EC3BD7" w:rsidRDefault="00003EF4" w:rsidP="00A372F4">
      <w:pPr>
        <w:widowControl w:val="0"/>
        <w:tabs>
          <w:tab w:val="clear" w:pos="567"/>
        </w:tabs>
        <w:spacing w:line="240" w:lineRule="auto"/>
        <w:rPr>
          <w:color w:val="000000"/>
          <w:szCs w:val="22"/>
          <w:lang w:val="et-EE"/>
        </w:rPr>
      </w:pPr>
      <w:r w:rsidRPr="00EC3BD7">
        <w:rPr>
          <w:color w:val="000000"/>
          <w:szCs w:val="22"/>
          <w:lang w:val="et-EE"/>
        </w:rPr>
        <w:t>Üks</w:t>
      </w:r>
      <w:r w:rsidR="00A372F4" w:rsidRPr="00EC3BD7">
        <w:rPr>
          <w:color w:val="000000"/>
          <w:szCs w:val="22"/>
          <w:lang w:val="et-EE"/>
        </w:rPr>
        <w:t xml:space="preserve"> kapsel sisaldab 100 mg imatiniibi (mes</w:t>
      </w:r>
      <w:r w:rsidRPr="00EC3BD7">
        <w:rPr>
          <w:color w:val="000000"/>
          <w:szCs w:val="22"/>
          <w:lang w:val="et-EE"/>
        </w:rPr>
        <w:t>i</w:t>
      </w:r>
      <w:r w:rsidR="00A372F4" w:rsidRPr="00EC3BD7">
        <w:rPr>
          <w:color w:val="000000"/>
          <w:szCs w:val="22"/>
          <w:lang w:val="et-EE"/>
        </w:rPr>
        <w:t>laadina)</w:t>
      </w:r>
      <w:r w:rsidR="00780752" w:rsidRPr="00EC3BD7">
        <w:rPr>
          <w:color w:val="000000"/>
          <w:szCs w:val="22"/>
          <w:lang w:val="et-EE"/>
        </w:rPr>
        <w:t xml:space="preserve"> (</w:t>
      </w:r>
      <w:r w:rsidR="00B2520A" w:rsidRPr="00EC3BD7">
        <w:rPr>
          <w:i/>
          <w:color w:val="000000"/>
          <w:szCs w:val="22"/>
          <w:lang w:val="et-EE"/>
        </w:rPr>
        <w:t>i</w:t>
      </w:r>
      <w:r w:rsidR="00780752" w:rsidRPr="00EC3BD7">
        <w:rPr>
          <w:i/>
          <w:color w:val="000000"/>
          <w:szCs w:val="22"/>
          <w:lang w:val="et-EE"/>
        </w:rPr>
        <w:t>matinibum</w:t>
      </w:r>
      <w:r w:rsidR="00780752" w:rsidRPr="00EC3BD7">
        <w:rPr>
          <w:color w:val="000000"/>
          <w:szCs w:val="22"/>
          <w:lang w:val="et-EE"/>
        </w:rPr>
        <w:t>)</w:t>
      </w:r>
      <w:r w:rsidR="00A372F4" w:rsidRPr="00EC3BD7">
        <w:rPr>
          <w:color w:val="000000"/>
          <w:szCs w:val="22"/>
          <w:lang w:val="et-EE"/>
        </w:rPr>
        <w:t>.</w:t>
      </w:r>
    </w:p>
    <w:p w14:paraId="5F271519" w14:textId="77777777" w:rsidR="00A372F4" w:rsidRPr="00EC3BD7" w:rsidRDefault="00A372F4" w:rsidP="00A372F4">
      <w:pPr>
        <w:widowControl w:val="0"/>
        <w:tabs>
          <w:tab w:val="clear" w:pos="567"/>
        </w:tabs>
        <w:spacing w:line="240" w:lineRule="auto"/>
        <w:rPr>
          <w:color w:val="000000"/>
          <w:szCs w:val="22"/>
          <w:lang w:val="et-EE"/>
        </w:rPr>
      </w:pPr>
    </w:p>
    <w:p w14:paraId="79613C04" w14:textId="77777777" w:rsidR="00136210" w:rsidRPr="00EC3BD7" w:rsidRDefault="00136210">
      <w:pPr>
        <w:tabs>
          <w:tab w:val="clear" w:pos="567"/>
        </w:tabs>
        <w:spacing w:line="240" w:lineRule="auto"/>
        <w:rPr>
          <w:color w:val="000000"/>
          <w:szCs w:val="22"/>
          <w:lang w:val="et-EE"/>
        </w:rPr>
      </w:pPr>
      <w:r w:rsidRPr="00EC3BD7">
        <w:rPr>
          <w:color w:val="000000"/>
          <w:szCs w:val="22"/>
          <w:lang w:val="et-EE"/>
        </w:rPr>
        <w:t>Abiainete täielik loetelu vt lõik</w:t>
      </w:r>
      <w:r w:rsidR="00DB0BC8" w:rsidRPr="00EC3BD7">
        <w:rPr>
          <w:color w:val="000000"/>
          <w:szCs w:val="22"/>
          <w:lang w:val="et-EE"/>
        </w:rPr>
        <w:t> </w:t>
      </w:r>
      <w:r w:rsidRPr="00EC3BD7">
        <w:rPr>
          <w:color w:val="000000"/>
          <w:szCs w:val="22"/>
          <w:lang w:val="et-EE"/>
        </w:rPr>
        <w:t>6.1.</w:t>
      </w:r>
    </w:p>
    <w:p w14:paraId="224860CA" w14:textId="77777777" w:rsidR="00136210" w:rsidRPr="00EC3BD7" w:rsidRDefault="00136210">
      <w:pPr>
        <w:widowControl w:val="0"/>
        <w:tabs>
          <w:tab w:val="clear" w:pos="567"/>
        </w:tabs>
        <w:spacing w:line="240" w:lineRule="auto"/>
        <w:rPr>
          <w:color w:val="000000"/>
          <w:szCs w:val="22"/>
          <w:lang w:val="et-EE"/>
        </w:rPr>
      </w:pPr>
    </w:p>
    <w:p w14:paraId="4DB5D842" w14:textId="77777777" w:rsidR="00136210" w:rsidRPr="00EC3BD7" w:rsidRDefault="00136210">
      <w:pPr>
        <w:widowControl w:val="0"/>
        <w:tabs>
          <w:tab w:val="clear" w:pos="567"/>
        </w:tabs>
        <w:spacing w:line="240" w:lineRule="auto"/>
        <w:rPr>
          <w:color w:val="000000"/>
          <w:szCs w:val="22"/>
          <w:lang w:val="et-EE"/>
        </w:rPr>
      </w:pPr>
    </w:p>
    <w:p w14:paraId="543642A1" w14:textId="77777777" w:rsidR="00136210" w:rsidRPr="00EC3BD7" w:rsidRDefault="00136210" w:rsidP="00B9089D">
      <w:pPr>
        <w:keepNext/>
        <w:widowControl w:val="0"/>
        <w:tabs>
          <w:tab w:val="clear" w:pos="567"/>
        </w:tabs>
        <w:spacing w:line="240" w:lineRule="auto"/>
        <w:ind w:left="567" w:hanging="567"/>
        <w:rPr>
          <w:caps/>
          <w:color w:val="000000"/>
          <w:szCs w:val="22"/>
          <w:lang w:val="et-EE"/>
        </w:rPr>
      </w:pPr>
      <w:r w:rsidRPr="00EC3BD7">
        <w:rPr>
          <w:b/>
          <w:color w:val="000000"/>
          <w:szCs w:val="22"/>
          <w:lang w:val="et-EE"/>
        </w:rPr>
        <w:t>3.</w:t>
      </w:r>
      <w:r w:rsidRPr="00EC3BD7">
        <w:rPr>
          <w:b/>
          <w:color w:val="000000"/>
          <w:szCs w:val="22"/>
          <w:lang w:val="et-EE"/>
        </w:rPr>
        <w:tab/>
        <w:t>RAVIMVORM</w:t>
      </w:r>
    </w:p>
    <w:p w14:paraId="40A6EE7C" w14:textId="77777777" w:rsidR="00136210" w:rsidRPr="00EC3BD7" w:rsidRDefault="00136210" w:rsidP="00B9089D">
      <w:pPr>
        <w:pStyle w:val="EndnoteText"/>
        <w:keepNext/>
        <w:widowControl w:val="0"/>
        <w:tabs>
          <w:tab w:val="clear" w:pos="567"/>
        </w:tabs>
        <w:rPr>
          <w:color w:val="000000"/>
          <w:szCs w:val="22"/>
          <w:lang w:val="et-EE"/>
        </w:rPr>
      </w:pPr>
    </w:p>
    <w:p w14:paraId="5F17D646" w14:textId="77777777" w:rsidR="00136210" w:rsidRPr="00EC3BD7" w:rsidRDefault="00136210">
      <w:pPr>
        <w:widowControl w:val="0"/>
        <w:tabs>
          <w:tab w:val="clear" w:pos="567"/>
        </w:tabs>
        <w:spacing w:line="240" w:lineRule="auto"/>
        <w:rPr>
          <w:color w:val="000000"/>
          <w:szCs w:val="22"/>
          <w:lang w:val="et-EE"/>
        </w:rPr>
      </w:pPr>
      <w:r w:rsidRPr="00EC3BD7">
        <w:rPr>
          <w:color w:val="000000"/>
          <w:szCs w:val="22"/>
          <w:lang w:val="et-EE"/>
        </w:rPr>
        <w:t>Kõvakapsel</w:t>
      </w:r>
    </w:p>
    <w:p w14:paraId="3084235B" w14:textId="77777777" w:rsidR="00136210" w:rsidRPr="00EC3BD7" w:rsidRDefault="00136210">
      <w:pPr>
        <w:widowControl w:val="0"/>
        <w:tabs>
          <w:tab w:val="clear" w:pos="567"/>
        </w:tabs>
        <w:spacing w:line="240" w:lineRule="auto"/>
        <w:rPr>
          <w:color w:val="000000"/>
          <w:szCs w:val="22"/>
          <w:lang w:val="et-EE"/>
        </w:rPr>
      </w:pPr>
    </w:p>
    <w:p w14:paraId="6C41744B" w14:textId="77777777" w:rsidR="007E3C98" w:rsidRPr="00EC3BD7" w:rsidRDefault="007E3C98" w:rsidP="007E3C98">
      <w:pPr>
        <w:widowControl w:val="0"/>
        <w:tabs>
          <w:tab w:val="clear" w:pos="567"/>
        </w:tabs>
        <w:spacing w:line="240" w:lineRule="auto"/>
        <w:rPr>
          <w:color w:val="000000"/>
          <w:szCs w:val="22"/>
          <w:lang w:val="et-EE"/>
        </w:rPr>
      </w:pPr>
      <w:r w:rsidRPr="00EC3BD7">
        <w:rPr>
          <w:color w:val="000000"/>
          <w:szCs w:val="22"/>
          <w:lang w:val="et-EE"/>
        </w:rPr>
        <w:t>Valge kuni kollakas pulber oranžis kuni hallikasoranžis läbipaistmatus kapslis tähisega “</w:t>
      </w:r>
      <w:smartTag w:uri="urn:schemas-microsoft-com:office:smarttags" w:element="stockticker">
        <w:r w:rsidRPr="00EC3BD7">
          <w:rPr>
            <w:color w:val="000000"/>
            <w:szCs w:val="22"/>
            <w:lang w:val="et-EE"/>
          </w:rPr>
          <w:t>NVR</w:t>
        </w:r>
      </w:smartTag>
      <w:r w:rsidRPr="00EC3BD7">
        <w:rPr>
          <w:color w:val="000000"/>
          <w:szCs w:val="22"/>
          <w:lang w:val="et-EE"/>
        </w:rPr>
        <w:t> SI”.</w:t>
      </w:r>
    </w:p>
    <w:p w14:paraId="26174907" w14:textId="77777777" w:rsidR="007E3C98" w:rsidRPr="00EC3BD7" w:rsidRDefault="007E3C98" w:rsidP="007E3C98">
      <w:pPr>
        <w:widowControl w:val="0"/>
        <w:tabs>
          <w:tab w:val="clear" w:pos="567"/>
        </w:tabs>
        <w:spacing w:line="240" w:lineRule="auto"/>
        <w:rPr>
          <w:color w:val="000000"/>
          <w:szCs w:val="22"/>
          <w:lang w:val="et-EE"/>
        </w:rPr>
      </w:pPr>
    </w:p>
    <w:p w14:paraId="66594B9C" w14:textId="77777777" w:rsidR="00136210" w:rsidRPr="00EC3BD7" w:rsidRDefault="00136210">
      <w:pPr>
        <w:widowControl w:val="0"/>
        <w:tabs>
          <w:tab w:val="clear" w:pos="567"/>
        </w:tabs>
        <w:spacing w:line="240" w:lineRule="auto"/>
        <w:rPr>
          <w:color w:val="000000"/>
          <w:szCs w:val="22"/>
          <w:lang w:val="et-EE"/>
        </w:rPr>
      </w:pPr>
    </w:p>
    <w:p w14:paraId="0AB6971C" w14:textId="77777777" w:rsidR="00136210" w:rsidRPr="00EC3BD7" w:rsidRDefault="00136210" w:rsidP="00B9089D">
      <w:pPr>
        <w:keepNext/>
        <w:widowControl w:val="0"/>
        <w:tabs>
          <w:tab w:val="clear" w:pos="567"/>
        </w:tabs>
        <w:spacing w:line="240" w:lineRule="auto"/>
        <w:ind w:left="567" w:hanging="567"/>
        <w:rPr>
          <w:caps/>
          <w:color w:val="000000"/>
          <w:szCs w:val="22"/>
          <w:lang w:val="et-EE"/>
        </w:rPr>
      </w:pPr>
      <w:r w:rsidRPr="00EC3BD7">
        <w:rPr>
          <w:b/>
          <w:caps/>
          <w:color w:val="000000"/>
          <w:szCs w:val="22"/>
          <w:lang w:val="et-EE"/>
        </w:rPr>
        <w:t>4.</w:t>
      </w:r>
      <w:r w:rsidRPr="00EC3BD7">
        <w:rPr>
          <w:b/>
          <w:caps/>
          <w:color w:val="000000"/>
          <w:szCs w:val="22"/>
          <w:lang w:val="et-EE"/>
        </w:rPr>
        <w:tab/>
        <w:t>KLIINILISED ANDMED</w:t>
      </w:r>
    </w:p>
    <w:p w14:paraId="19CFD52E" w14:textId="77777777" w:rsidR="00136210" w:rsidRPr="00EC3BD7" w:rsidRDefault="00136210" w:rsidP="00B9089D">
      <w:pPr>
        <w:pStyle w:val="EndnoteText"/>
        <w:keepNext/>
        <w:widowControl w:val="0"/>
        <w:tabs>
          <w:tab w:val="clear" w:pos="567"/>
        </w:tabs>
        <w:rPr>
          <w:color w:val="000000"/>
          <w:szCs w:val="22"/>
          <w:lang w:val="et-EE"/>
        </w:rPr>
      </w:pPr>
    </w:p>
    <w:p w14:paraId="55320E8A"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4.1</w:t>
      </w:r>
      <w:r w:rsidRPr="00EC3BD7">
        <w:rPr>
          <w:b/>
          <w:color w:val="000000"/>
          <w:szCs w:val="22"/>
          <w:lang w:val="et-EE"/>
        </w:rPr>
        <w:tab/>
        <w:t>Näidustused</w:t>
      </w:r>
    </w:p>
    <w:p w14:paraId="7C64B340" w14:textId="77777777" w:rsidR="00136210" w:rsidRPr="00EC3BD7" w:rsidRDefault="00136210" w:rsidP="00B9089D">
      <w:pPr>
        <w:pStyle w:val="EndnoteText"/>
        <w:keepNext/>
        <w:widowControl w:val="0"/>
        <w:tabs>
          <w:tab w:val="clear" w:pos="567"/>
        </w:tabs>
        <w:rPr>
          <w:color w:val="000000"/>
          <w:szCs w:val="22"/>
          <w:lang w:val="et-EE"/>
        </w:rPr>
      </w:pPr>
    </w:p>
    <w:p w14:paraId="3E3D8667" w14:textId="77777777" w:rsidR="00136210" w:rsidRPr="00EC3BD7" w:rsidRDefault="00136210" w:rsidP="00B9089D">
      <w:pPr>
        <w:pStyle w:val="EndnoteText"/>
        <w:keepNext/>
        <w:widowControl w:val="0"/>
        <w:tabs>
          <w:tab w:val="clear" w:pos="567"/>
        </w:tabs>
        <w:rPr>
          <w:snapToGrid w:val="0"/>
          <w:color w:val="000000"/>
          <w:szCs w:val="22"/>
          <w:lang w:val="et-EE" w:eastAsia="de-DE"/>
        </w:rPr>
      </w:pPr>
      <w:r w:rsidRPr="00EC3BD7">
        <w:rPr>
          <w:snapToGrid w:val="0"/>
          <w:color w:val="000000"/>
          <w:szCs w:val="22"/>
          <w:lang w:val="et-EE" w:eastAsia="de-DE"/>
        </w:rPr>
        <w:t>Glivec on näidustatud</w:t>
      </w:r>
    </w:p>
    <w:p w14:paraId="5959E37A" w14:textId="77777777" w:rsidR="00136210" w:rsidRPr="00EC3BD7" w:rsidRDefault="00136210" w:rsidP="00A85D5C">
      <w:pPr>
        <w:pStyle w:val="EndnoteText"/>
        <w:widowControl w:val="0"/>
        <w:numPr>
          <w:ilvl w:val="0"/>
          <w:numId w:val="10"/>
        </w:numPr>
        <w:tabs>
          <w:tab w:val="clear" w:pos="360"/>
          <w:tab w:val="clear" w:pos="567"/>
        </w:tabs>
        <w:ind w:left="567" w:hanging="567"/>
        <w:rPr>
          <w:snapToGrid w:val="0"/>
          <w:color w:val="000000"/>
          <w:szCs w:val="22"/>
          <w:lang w:val="et-EE" w:eastAsia="de-DE"/>
        </w:rPr>
      </w:pPr>
      <w:r w:rsidRPr="00EC3BD7">
        <w:rPr>
          <w:snapToGrid w:val="0"/>
          <w:color w:val="000000"/>
          <w:szCs w:val="22"/>
          <w:lang w:val="et-EE" w:eastAsia="de-DE"/>
        </w:rPr>
        <w:t>täiskasvanud ja pediaatriliste patsientide raviks, kellel on äsja diagnoositud Philadelphia kromosoomiga (</w:t>
      </w:r>
      <w:smartTag w:uri="urn:schemas-microsoft-com:office:smarttags" w:element="stockticker">
        <w:r w:rsidRPr="00EC3BD7">
          <w:rPr>
            <w:snapToGrid w:val="0"/>
            <w:color w:val="000000"/>
            <w:szCs w:val="22"/>
            <w:lang w:val="et-EE" w:eastAsia="de-DE"/>
          </w:rPr>
          <w:t>BCR</w:t>
        </w:r>
      </w:smartTag>
      <w:r w:rsidRPr="00EC3BD7">
        <w:rPr>
          <w:snapToGrid w:val="0"/>
          <w:color w:val="000000"/>
          <w:szCs w:val="22"/>
          <w:lang w:val="et-EE" w:eastAsia="de-DE"/>
        </w:rPr>
        <w:t>-</w:t>
      </w:r>
      <w:smartTag w:uri="urn:schemas-microsoft-com:office:smarttags" w:element="stockticker">
        <w:r w:rsidRPr="00EC3BD7">
          <w:rPr>
            <w:snapToGrid w:val="0"/>
            <w:color w:val="000000"/>
            <w:szCs w:val="22"/>
            <w:lang w:val="et-EE" w:eastAsia="de-DE"/>
          </w:rPr>
          <w:t>ABL</w:t>
        </w:r>
      </w:smartTag>
      <w:r w:rsidRPr="00EC3BD7">
        <w:rPr>
          <w:snapToGrid w:val="0"/>
          <w:color w:val="000000"/>
          <w:szCs w:val="22"/>
          <w:lang w:val="et-EE" w:eastAsia="de-DE"/>
        </w:rPr>
        <w:t>) (Ph+) krooniline müeloidne leukeemia (</w:t>
      </w:r>
      <w:smartTag w:uri="urn:schemas-microsoft-com:office:smarttags" w:element="stockticker">
        <w:r w:rsidRPr="00EC3BD7">
          <w:rPr>
            <w:snapToGrid w:val="0"/>
            <w:color w:val="000000"/>
            <w:szCs w:val="22"/>
            <w:lang w:val="et-EE" w:eastAsia="de-DE"/>
          </w:rPr>
          <w:t>KML</w:t>
        </w:r>
      </w:smartTag>
      <w:r w:rsidRPr="00EC3BD7">
        <w:rPr>
          <w:snapToGrid w:val="0"/>
          <w:color w:val="000000"/>
          <w:szCs w:val="22"/>
          <w:lang w:val="et-EE" w:eastAsia="de-DE"/>
        </w:rPr>
        <w:t>) ja kelle esmavaliku raviks ei ole luuüdi siirdamine.</w:t>
      </w:r>
    </w:p>
    <w:p w14:paraId="687892CA" w14:textId="77777777" w:rsidR="00136210" w:rsidRPr="00EC3BD7" w:rsidRDefault="00136210" w:rsidP="00A85D5C">
      <w:pPr>
        <w:pStyle w:val="EndnoteText"/>
        <w:widowControl w:val="0"/>
        <w:numPr>
          <w:ilvl w:val="0"/>
          <w:numId w:val="11"/>
        </w:numPr>
        <w:tabs>
          <w:tab w:val="clear" w:pos="360"/>
          <w:tab w:val="clear" w:pos="567"/>
        </w:tabs>
        <w:ind w:left="567" w:hanging="567"/>
        <w:rPr>
          <w:snapToGrid w:val="0"/>
          <w:color w:val="000000"/>
          <w:szCs w:val="22"/>
          <w:lang w:val="et-EE" w:eastAsia="de-DE"/>
        </w:rPr>
      </w:pPr>
      <w:r w:rsidRPr="00EC3BD7">
        <w:rPr>
          <w:snapToGrid w:val="0"/>
          <w:color w:val="000000"/>
          <w:szCs w:val="22"/>
          <w:lang w:val="et-EE" w:eastAsia="de-DE"/>
        </w:rPr>
        <w:t>kroonilises faasis Ph+ kroonilise müeloidse leukeemiaga täiskasvanud ja pediaatriliste patsientide ravis, kui ravi α-interferooniga on ebaõnnestunud või kui haigus on aktseleratsioonifaasis või blastses kriisis.</w:t>
      </w:r>
    </w:p>
    <w:p w14:paraId="74A4368E" w14:textId="77777777" w:rsidR="00136210" w:rsidRPr="00EC3BD7" w:rsidRDefault="00136210" w:rsidP="00A85D5C">
      <w:pPr>
        <w:pStyle w:val="EndnoteText"/>
        <w:widowControl w:val="0"/>
        <w:numPr>
          <w:ilvl w:val="0"/>
          <w:numId w:val="11"/>
        </w:numPr>
        <w:tabs>
          <w:tab w:val="clear" w:pos="360"/>
          <w:tab w:val="clear" w:pos="567"/>
        </w:tabs>
        <w:ind w:left="567" w:hanging="567"/>
        <w:rPr>
          <w:snapToGrid w:val="0"/>
          <w:color w:val="000000"/>
          <w:szCs w:val="22"/>
          <w:lang w:val="et-EE" w:eastAsia="de-DE"/>
        </w:rPr>
      </w:pPr>
      <w:r w:rsidRPr="00EC3BD7">
        <w:rPr>
          <w:snapToGrid w:val="0"/>
          <w:color w:val="000000"/>
          <w:szCs w:val="22"/>
          <w:lang w:val="et-EE" w:eastAsia="de-DE"/>
        </w:rPr>
        <w:t xml:space="preserve">koos kemoteraapiaga täiskasvanud </w:t>
      </w:r>
      <w:r w:rsidR="002504F9" w:rsidRPr="00EC3BD7">
        <w:rPr>
          <w:snapToGrid w:val="0"/>
          <w:color w:val="000000"/>
          <w:szCs w:val="22"/>
          <w:lang w:val="et-EE" w:eastAsia="de-DE"/>
        </w:rPr>
        <w:t xml:space="preserve">ja </w:t>
      </w:r>
      <w:r w:rsidR="008613C4" w:rsidRPr="00EC3BD7">
        <w:rPr>
          <w:snapToGrid w:val="0"/>
          <w:color w:val="000000"/>
          <w:szCs w:val="22"/>
          <w:lang w:val="et-EE" w:eastAsia="de-DE"/>
        </w:rPr>
        <w:t>laps</w:t>
      </w:r>
      <w:r w:rsidRPr="00EC3BD7">
        <w:rPr>
          <w:snapToGrid w:val="0"/>
          <w:color w:val="000000"/>
          <w:szCs w:val="22"/>
          <w:lang w:val="et-EE" w:eastAsia="de-DE"/>
        </w:rPr>
        <w:t>patsientide raviks, kellel on äsja diagnoositud Philadelphia kromosoompositiivne akuutne lümfoblastne leukeemia (Ph+ </w:t>
      </w:r>
      <w:smartTag w:uri="urn:schemas-microsoft-com:office:smarttags" w:element="stockticker">
        <w:r w:rsidRPr="00EC3BD7">
          <w:rPr>
            <w:snapToGrid w:val="0"/>
            <w:color w:val="000000"/>
            <w:szCs w:val="22"/>
            <w:lang w:val="et-EE" w:eastAsia="de-DE"/>
          </w:rPr>
          <w:t>ALL</w:t>
        </w:r>
      </w:smartTag>
      <w:r w:rsidRPr="00EC3BD7">
        <w:rPr>
          <w:snapToGrid w:val="0"/>
          <w:color w:val="000000"/>
          <w:szCs w:val="22"/>
          <w:lang w:val="et-EE" w:eastAsia="de-DE"/>
        </w:rPr>
        <w:t>).</w:t>
      </w:r>
    </w:p>
    <w:p w14:paraId="5ACDEA5C" w14:textId="77777777" w:rsidR="00136210" w:rsidRPr="00EC3BD7" w:rsidRDefault="00136210" w:rsidP="00A85D5C">
      <w:pPr>
        <w:pStyle w:val="EndnoteText"/>
        <w:widowControl w:val="0"/>
        <w:numPr>
          <w:ilvl w:val="0"/>
          <w:numId w:val="11"/>
        </w:numPr>
        <w:tabs>
          <w:tab w:val="clear" w:pos="360"/>
          <w:tab w:val="clear" w:pos="567"/>
        </w:tabs>
        <w:ind w:left="567" w:hanging="567"/>
        <w:rPr>
          <w:snapToGrid w:val="0"/>
          <w:color w:val="000000"/>
          <w:szCs w:val="22"/>
          <w:lang w:val="et-EE" w:eastAsia="de-DE"/>
        </w:rPr>
      </w:pPr>
      <w:r w:rsidRPr="00EC3BD7">
        <w:rPr>
          <w:snapToGrid w:val="0"/>
          <w:color w:val="000000"/>
          <w:szCs w:val="22"/>
          <w:lang w:val="et-EE" w:eastAsia="de-DE"/>
        </w:rPr>
        <w:t>monoteraapiana täiskasvanud patsientidel, kellel on retsidiveerunud või refraktaarne Ph+ </w:t>
      </w:r>
      <w:smartTag w:uri="urn:schemas-microsoft-com:office:smarttags" w:element="stockticker">
        <w:r w:rsidRPr="00EC3BD7">
          <w:rPr>
            <w:snapToGrid w:val="0"/>
            <w:color w:val="000000"/>
            <w:szCs w:val="22"/>
            <w:lang w:val="et-EE" w:eastAsia="de-DE"/>
          </w:rPr>
          <w:t>ALL</w:t>
        </w:r>
      </w:smartTag>
      <w:r w:rsidRPr="00EC3BD7">
        <w:rPr>
          <w:snapToGrid w:val="0"/>
          <w:color w:val="000000"/>
          <w:szCs w:val="22"/>
          <w:lang w:val="et-EE" w:eastAsia="de-DE"/>
        </w:rPr>
        <w:t>.</w:t>
      </w:r>
    </w:p>
    <w:p w14:paraId="28A4A02B" w14:textId="77777777" w:rsidR="00136210" w:rsidRPr="00EC3BD7" w:rsidRDefault="00136210" w:rsidP="00A85D5C">
      <w:pPr>
        <w:pStyle w:val="EndnoteText"/>
        <w:widowControl w:val="0"/>
        <w:numPr>
          <w:ilvl w:val="0"/>
          <w:numId w:val="11"/>
        </w:numPr>
        <w:tabs>
          <w:tab w:val="clear" w:pos="360"/>
          <w:tab w:val="clear" w:pos="567"/>
        </w:tabs>
        <w:ind w:left="567" w:hanging="567"/>
        <w:rPr>
          <w:snapToGrid w:val="0"/>
          <w:color w:val="000000"/>
          <w:szCs w:val="22"/>
          <w:lang w:val="et-EE" w:eastAsia="de-DE"/>
        </w:rPr>
      </w:pPr>
      <w:r w:rsidRPr="00EC3BD7">
        <w:rPr>
          <w:snapToGrid w:val="0"/>
          <w:color w:val="000000"/>
          <w:szCs w:val="22"/>
          <w:lang w:val="et-EE" w:eastAsia="de-DE"/>
        </w:rPr>
        <w:t xml:space="preserve">täiskasvanud patsientide raviks, kellel on </w:t>
      </w:r>
      <w:r w:rsidRPr="00EC3BD7">
        <w:rPr>
          <w:color w:val="000000"/>
          <w:szCs w:val="22"/>
          <w:lang w:val="et-EE"/>
        </w:rPr>
        <w:t>trombotsüütidest pärineva kasvufaktori retseptori (PDGFR) geneetiliste muutustega seotud müelodüsplastilised/müeloproliferatiivsed haigused (</w:t>
      </w:r>
      <w:smartTag w:uri="urn:schemas-microsoft-com:office:smarttags" w:element="stockticker">
        <w:r w:rsidRPr="00EC3BD7">
          <w:rPr>
            <w:color w:val="000000"/>
            <w:szCs w:val="22"/>
            <w:lang w:val="et-EE"/>
          </w:rPr>
          <w:t>MDS</w:t>
        </w:r>
      </w:smartTag>
      <w:r w:rsidRPr="00EC3BD7">
        <w:rPr>
          <w:color w:val="000000"/>
          <w:szCs w:val="22"/>
          <w:lang w:val="et-EE"/>
        </w:rPr>
        <w:t>/MPD).</w:t>
      </w:r>
    </w:p>
    <w:p w14:paraId="4EA155CE" w14:textId="77777777" w:rsidR="00136210" w:rsidRPr="00EC3BD7" w:rsidRDefault="00136210" w:rsidP="00A85D5C">
      <w:pPr>
        <w:pStyle w:val="EndnoteText"/>
        <w:widowControl w:val="0"/>
        <w:numPr>
          <w:ilvl w:val="0"/>
          <w:numId w:val="11"/>
        </w:numPr>
        <w:tabs>
          <w:tab w:val="clear" w:pos="360"/>
          <w:tab w:val="clear" w:pos="567"/>
        </w:tabs>
        <w:ind w:left="567" w:hanging="567"/>
        <w:rPr>
          <w:color w:val="000000"/>
          <w:szCs w:val="22"/>
          <w:lang w:val="et-EE"/>
        </w:rPr>
      </w:pPr>
      <w:r w:rsidRPr="00EC3BD7">
        <w:rPr>
          <w:color w:val="000000"/>
          <w:szCs w:val="22"/>
          <w:lang w:val="et-EE"/>
        </w:rPr>
        <w:t>kaugelearenenud hüpereosinofiilse sündroomiga (HES) ja/või kroonilise eosinofiilse leukeemiaga (KEL), FIP1L1-PDGFR</w:t>
      </w:r>
      <w:r w:rsidRPr="00EC3BD7">
        <w:rPr>
          <w:color w:val="000000"/>
          <w:szCs w:val="22"/>
          <w:lang w:val="et-EE"/>
        </w:rPr>
        <w:sym w:font="Symbol" w:char="F061"/>
      </w:r>
      <w:r w:rsidRPr="00EC3BD7">
        <w:rPr>
          <w:color w:val="000000"/>
          <w:szCs w:val="22"/>
          <w:lang w:val="et-EE"/>
        </w:rPr>
        <w:t xml:space="preserve"> ümberkorraldusega täiskasvanud patsientide raviks.</w:t>
      </w:r>
    </w:p>
    <w:p w14:paraId="1E65A4EB" w14:textId="77777777" w:rsidR="00136210" w:rsidRPr="00EC3BD7" w:rsidRDefault="00136210">
      <w:pPr>
        <w:pStyle w:val="EndnoteText"/>
        <w:widowControl w:val="0"/>
        <w:tabs>
          <w:tab w:val="clear" w:pos="567"/>
        </w:tabs>
        <w:rPr>
          <w:snapToGrid w:val="0"/>
          <w:color w:val="000000"/>
          <w:szCs w:val="22"/>
          <w:lang w:val="et-EE" w:eastAsia="de-DE"/>
        </w:rPr>
      </w:pPr>
    </w:p>
    <w:p w14:paraId="3C74801F" w14:textId="77777777" w:rsidR="00136210" w:rsidRPr="00EC3BD7" w:rsidRDefault="00136210">
      <w:pPr>
        <w:pStyle w:val="EndnoteText"/>
        <w:widowControl w:val="0"/>
        <w:tabs>
          <w:tab w:val="clear" w:pos="567"/>
        </w:tabs>
        <w:rPr>
          <w:color w:val="000000"/>
          <w:szCs w:val="22"/>
          <w:lang w:val="et-EE"/>
        </w:rPr>
      </w:pPr>
      <w:r w:rsidRPr="00EC3BD7">
        <w:rPr>
          <w:snapToGrid w:val="0"/>
          <w:color w:val="000000"/>
          <w:szCs w:val="22"/>
          <w:lang w:val="et-EE" w:eastAsia="de-DE"/>
        </w:rPr>
        <w:t>Gliveci mõju luuüdi siirdamise tulemusele ei ole kindlaks tehtud.</w:t>
      </w:r>
    </w:p>
    <w:p w14:paraId="5C63FA4E" w14:textId="77777777" w:rsidR="00136210" w:rsidRPr="00EC3BD7" w:rsidRDefault="00136210">
      <w:pPr>
        <w:widowControl w:val="0"/>
        <w:tabs>
          <w:tab w:val="clear" w:pos="567"/>
        </w:tabs>
        <w:spacing w:line="240" w:lineRule="auto"/>
        <w:rPr>
          <w:color w:val="000000"/>
          <w:szCs w:val="22"/>
          <w:lang w:val="et-EE"/>
        </w:rPr>
      </w:pPr>
    </w:p>
    <w:p w14:paraId="02866266" w14:textId="77777777" w:rsidR="00556CBF" w:rsidRPr="00EC3BD7" w:rsidRDefault="00556CBF" w:rsidP="00B9089D">
      <w:pPr>
        <w:keepNext/>
        <w:widowControl w:val="0"/>
        <w:tabs>
          <w:tab w:val="clear" w:pos="567"/>
        </w:tabs>
        <w:spacing w:line="240" w:lineRule="auto"/>
        <w:rPr>
          <w:color w:val="000000"/>
          <w:szCs w:val="22"/>
          <w:lang w:val="et-EE"/>
        </w:rPr>
      </w:pPr>
      <w:r w:rsidRPr="00EC3BD7">
        <w:rPr>
          <w:color w:val="000000"/>
          <w:szCs w:val="22"/>
          <w:lang w:val="et-EE"/>
        </w:rPr>
        <w:t>Glivec on näidustatud</w:t>
      </w:r>
    </w:p>
    <w:p w14:paraId="78799148" w14:textId="77777777" w:rsidR="00556CBF" w:rsidRPr="00EC3BD7" w:rsidRDefault="00556CBF" w:rsidP="00A85D5C">
      <w:pPr>
        <w:widowControl w:val="0"/>
        <w:numPr>
          <w:ilvl w:val="0"/>
          <w:numId w:val="12"/>
        </w:numPr>
        <w:tabs>
          <w:tab w:val="clear" w:pos="360"/>
          <w:tab w:val="clear" w:pos="567"/>
        </w:tabs>
        <w:spacing w:line="240" w:lineRule="auto"/>
        <w:ind w:left="567" w:hanging="567"/>
        <w:rPr>
          <w:color w:val="000000"/>
          <w:szCs w:val="22"/>
          <w:lang w:val="et-EE"/>
        </w:rPr>
      </w:pPr>
      <w:r w:rsidRPr="00EC3BD7">
        <w:rPr>
          <w:color w:val="000000"/>
          <w:szCs w:val="22"/>
          <w:lang w:val="et-EE"/>
        </w:rPr>
        <w:t>täiskasvanud patsientidel Kit-positiivse (CD 117) mitteopereeritava ja/või metastaseerunud pahaloomulise gastrointestinaalse stromaaltuumori (GIST) raviks.</w:t>
      </w:r>
    </w:p>
    <w:p w14:paraId="6AC77A22" w14:textId="159F799C" w:rsidR="00556CBF" w:rsidRPr="00EC3BD7" w:rsidRDefault="00556CBF" w:rsidP="00A85D5C">
      <w:pPr>
        <w:numPr>
          <w:ilvl w:val="0"/>
          <w:numId w:val="12"/>
        </w:numPr>
        <w:tabs>
          <w:tab w:val="clear" w:pos="360"/>
          <w:tab w:val="num" w:pos="567"/>
        </w:tabs>
        <w:spacing w:line="240" w:lineRule="auto"/>
        <w:ind w:left="567" w:hanging="567"/>
        <w:rPr>
          <w:color w:val="000000"/>
          <w:szCs w:val="22"/>
          <w:lang w:val="et-EE"/>
        </w:rPr>
      </w:pPr>
      <w:r w:rsidRPr="00EC3BD7">
        <w:rPr>
          <w:color w:val="000000"/>
          <w:szCs w:val="22"/>
          <w:lang w:val="et-EE"/>
        </w:rPr>
        <w:t>adjuvantravi täiskasvanud patsientidel, kellel on märkimisväärne risk retsidiivi tekkeks pärast Kit (CD117)-positiivse GIST</w:t>
      </w:r>
      <w:r w:rsidR="00F22E3B">
        <w:rPr>
          <w:color w:val="000000"/>
          <w:szCs w:val="22"/>
          <w:lang w:val="et-EE"/>
        </w:rPr>
        <w:t>-i</w:t>
      </w:r>
      <w:r w:rsidRPr="00EC3BD7">
        <w:rPr>
          <w:color w:val="000000"/>
          <w:szCs w:val="22"/>
          <w:lang w:val="et-EE"/>
        </w:rPr>
        <w:t xml:space="preserve"> resektsiooni</w:t>
      </w:r>
      <w:r w:rsidR="00590814" w:rsidRPr="00EC3BD7">
        <w:rPr>
          <w:color w:val="000000"/>
          <w:szCs w:val="22"/>
          <w:lang w:val="et-EE"/>
        </w:rPr>
        <w:t xml:space="preserve">. </w:t>
      </w:r>
      <w:r w:rsidR="00347035">
        <w:rPr>
          <w:color w:val="000000"/>
          <w:szCs w:val="22"/>
          <w:lang w:val="et-EE"/>
        </w:rPr>
        <w:t>Väikese</w:t>
      </w:r>
      <w:r w:rsidR="00347035" w:rsidRPr="00EC3BD7">
        <w:rPr>
          <w:color w:val="000000"/>
          <w:szCs w:val="22"/>
          <w:lang w:val="et-EE"/>
        </w:rPr>
        <w:t xml:space="preserve"> </w:t>
      </w:r>
      <w:r w:rsidR="00E40573" w:rsidRPr="00EC3BD7">
        <w:rPr>
          <w:color w:val="000000"/>
          <w:szCs w:val="22"/>
          <w:lang w:val="et-EE"/>
        </w:rPr>
        <w:t xml:space="preserve">või väga </w:t>
      </w:r>
      <w:r w:rsidR="00347035">
        <w:rPr>
          <w:color w:val="000000"/>
          <w:szCs w:val="22"/>
          <w:lang w:val="et-EE"/>
        </w:rPr>
        <w:t>väikese</w:t>
      </w:r>
      <w:r w:rsidR="00347035" w:rsidRPr="00EC3BD7">
        <w:rPr>
          <w:color w:val="000000"/>
          <w:szCs w:val="22"/>
          <w:lang w:val="et-EE"/>
        </w:rPr>
        <w:t xml:space="preserve"> </w:t>
      </w:r>
      <w:r w:rsidR="00F02CC3" w:rsidRPr="00EC3BD7">
        <w:rPr>
          <w:color w:val="000000"/>
          <w:szCs w:val="22"/>
          <w:lang w:val="et-EE"/>
        </w:rPr>
        <w:t>retsidiivi tekke</w:t>
      </w:r>
      <w:r w:rsidR="00E40573" w:rsidRPr="00EC3BD7">
        <w:rPr>
          <w:color w:val="000000"/>
          <w:szCs w:val="22"/>
          <w:lang w:val="et-EE"/>
        </w:rPr>
        <w:t xml:space="preserve"> riskiga </w:t>
      </w:r>
      <w:r w:rsidR="00DF6B0C" w:rsidRPr="00EC3BD7">
        <w:rPr>
          <w:color w:val="000000"/>
          <w:szCs w:val="22"/>
          <w:lang w:val="et-EE"/>
        </w:rPr>
        <w:t>patsiendid ei tohiks adjuvantravi saada.</w:t>
      </w:r>
    </w:p>
    <w:p w14:paraId="01A54864" w14:textId="77777777" w:rsidR="00556CBF" w:rsidRPr="00EC3BD7" w:rsidRDefault="00556CBF" w:rsidP="00A85D5C">
      <w:pPr>
        <w:widowControl w:val="0"/>
        <w:numPr>
          <w:ilvl w:val="0"/>
          <w:numId w:val="12"/>
        </w:numPr>
        <w:tabs>
          <w:tab w:val="clear" w:pos="360"/>
          <w:tab w:val="clear" w:pos="567"/>
        </w:tabs>
        <w:spacing w:line="240" w:lineRule="auto"/>
        <w:ind w:left="567" w:hanging="567"/>
        <w:rPr>
          <w:color w:val="000000"/>
          <w:szCs w:val="22"/>
          <w:lang w:val="et-EE"/>
        </w:rPr>
      </w:pPr>
      <w:r w:rsidRPr="00EC3BD7">
        <w:rPr>
          <w:color w:val="000000"/>
          <w:szCs w:val="22"/>
          <w:lang w:val="et-EE"/>
        </w:rPr>
        <w:t>täiskasvanud patsientidel mitteopereeritava, protuberantse dermatofibrosarkoomi (PDFS) raviks ja täiskasvanud patsientidele retsidiveerunud ja/või metastaseerunud protuberantse dermatofibrosarkoomi (PDFS) raviks, kui operatsioon ei ole soovitatav.</w:t>
      </w:r>
    </w:p>
    <w:p w14:paraId="3CD6D64E" w14:textId="77777777" w:rsidR="00556CBF" w:rsidRPr="00EC3BD7" w:rsidRDefault="00556CBF" w:rsidP="00556CBF">
      <w:pPr>
        <w:widowControl w:val="0"/>
        <w:tabs>
          <w:tab w:val="clear" w:pos="567"/>
        </w:tabs>
        <w:spacing w:line="240" w:lineRule="auto"/>
        <w:rPr>
          <w:color w:val="000000"/>
          <w:szCs w:val="22"/>
          <w:lang w:val="et-EE"/>
        </w:rPr>
      </w:pPr>
    </w:p>
    <w:p w14:paraId="18E84E19" w14:textId="1AC7EC9E" w:rsidR="00556CBF" w:rsidRPr="00EC3BD7" w:rsidRDefault="00556CBF" w:rsidP="00556CBF">
      <w:pPr>
        <w:pStyle w:val="Text"/>
        <w:widowControl w:val="0"/>
        <w:spacing w:before="0"/>
        <w:jc w:val="left"/>
        <w:rPr>
          <w:color w:val="000000"/>
          <w:sz w:val="22"/>
          <w:szCs w:val="22"/>
          <w:lang w:val="et-EE"/>
        </w:rPr>
      </w:pPr>
      <w:r w:rsidRPr="00EC3BD7">
        <w:rPr>
          <w:color w:val="000000"/>
          <w:sz w:val="22"/>
          <w:szCs w:val="22"/>
          <w:lang w:val="et-EE"/>
        </w:rPr>
        <w:lastRenderedPageBreak/>
        <w:t xml:space="preserve">Täiskasvanud ja pediaatrilistel patsientidel põhineb Gliveci efektiivsuse hindamine </w:t>
      </w:r>
      <w:smartTag w:uri="urn:schemas-microsoft-com:office:smarttags" w:element="stockticker">
        <w:r w:rsidRPr="00EC3BD7">
          <w:rPr>
            <w:color w:val="000000"/>
            <w:sz w:val="22"/>
            <w:szCs w:val="22"/>
            <w:lang w:val="et-EE"/>
          </w:rPr>
          <w:t>KML</w:t>
        </w:r>
      </w:smartTag>
      <w:r w:rsidRPr="00EC3BD7">
        <w:rPr>
          <w:color w:val="000000"/>
          <w:sz w:val="22"/>
          <w:szCs w:val="22"/>
          <w:lang w:val="et-EE"/>
        </w:rPr>
        <w:t xml:space="preserve"> puhul üldisel hematoloogilisel ja tsütogeneetilisel ravivastusel ning progressioonivabal elulemusel, Ph+ </w:t>
      </w:r>
      <w:smartTag w:uri="urn:schemas-microsoft-com:office:smarttags" w:element="stockticker">
        <w:r w:rsidRPr="00EC3BD7">
          <w:rPr>
            <w:color w:val="000000"/>
            <w:sz w:val="22"/>
            <w:szCs w:val="22"/>
            <w:lang w:val="et-EE"/>
          </w:rPr>
          <w:t>ALL</w:t>
        </w:r>
      </w:smartTag>
      <w:r w:rsidRPr="00EC3BD7">
        <w:rPr>
          <w:color w:val="000000"/>
          <w:sz w:val="22"/>
          <w:szCs w:val="22"/>
          <w:lang w:val="et-EE"/>
        </w:rPr>
        <w:t xml:space="preserve">, </w:t>
      </w:r>
      <w:smartTag w:uri="urn:schemas-microsoft-com:office:smarttags" w:element="stockticker">
        <w:r w:rsidRPr="00EC3BD7">
          <w:rPr>
            <w:color w:val="000000"/>
            <w:sz w:val="22"/>
            <w:szCs w:val="22"/>
            <w:lang w:val="et-EE"/>
          </w:rPr>
          <w:t>MDS</w:t>
        </w:r>
      </w:smartTag>
      <w:r w:rsidRPr="00EC3BD7">
        <w:rPr>
          <w:color w:val="000000"/>
          <w:sz w:val="22"/>
          <w:szCs w:val="22"/>
          <w:lang w:val="et-EE"/>
        </w:rPr>
        <w:t>/MPD puhul hematoloogilisel ja tsütogeneetilisel ravivastusel, HES/KEL puhul hematoloogilisel ravivastusel ning objektiivse ravivastuse määr mitteopereeritava ja/või metastaseerunud GIST</w:t>
      </w:r>
      <w:r w:rsidR="00F22E3B">
        <w:rPr>
          <w:color w:val="000000"/>
          <w:sz w:val="22"/>
          <w:szCs w:val="22"/>
          <w:lang w:val="et-EE"/>
        </w:rPr>
        <w:t>-i</w:t>
      </w:r>
      <w:r w:rsidRPr="00EC3BD7">
        <w:rPr>
          <w:color w:val="000000"/>
          <w:sz w:val="22"/>
          <w:szCs w:val="22"/>
          <w:lang w:val="et-EE"/>
        </w:rPr>
        <w:t xml:space="preserve"> ja PDFS</w:t>
      </w:r>
      <w:r w:rsidR="00F22E3B">
        <w:rPr>
          <w:color w:val="000000"/>
          <w:sz w:val="22"/>
          <w:szCs w:val="22"/>
          <w:lang w:val="et-EE"/>
        </w:rPr>
        <w:t>-ga</w:t>
      </w:r>
      <w:r w:rsidRPr="00EC3BD7">
        <w:rPr>
          <w:color w:val="000000"/>
          <w:sz w:val="22"/>
          <w:szCs w:val="22"/>
          <w:lang w:val="et-EE"/>
        </w:rPr>
        <w:t xml:space="preserve"> täiskasvanud patsientidel ning retsidiivivaba</w:t>
      </w:r>
      <w:r w:rsidR="00F22E3B">
        <w:rPr>
          <w:color w:val="000000"/>
          <w:sz w:val="22"/>
          <w:szCs w:val="22"/>
          <w:lang w:val="et-EE"/>
        </w:rPr>
        <w:t>l</w:t>
      </w:r>
      <w:r w:rsidRPr="00EC3BD7">
        <w:rPr>
          <w:color w:val="000000"/>
          <w:sz w:val="22"/>
          <w:szCs w:val="22"/>
          <w:lang w:val="et-EE"/>
        </w:rPr>
        <w:t xml:space="preserve"> elulemus</w:t>
      </w:r>
      <w:r w:rsidR="00F22E3B">
        <w:rPr>
          <w:color w:val="000000"/>
          <w:sz w:val="22"/>
          <w:szCs w:val="22"/>
          <w:lang w:val="et-EE"/>
        </w:rPr>
        <w:t>el</w:t>
      </w:r>
      <w:r w:rsidRPr="00EC3BD7">
        <w:rPr>
          <w:color w:val="000000"/>
          <w:sz w:val="22"/>
          <w:szCs w:val="22"/>
          <w:lang w:val="et-EE"/>
        </w:rPr>
        <w:t xml:space="preserve"> GIST</w:t>
      </w:r>
      <w:r w:rsidR="00F22E3B">
        <w:rPr>
          <w:color w:val="000000"/>
          <w:sz w:val="22"/>
          <w:szCs w:val="22"/>
          <w:lang w:val="et-EE"/>
        </w:rPr>
        <w:t>-i</w:t>
      </w:r>
      <w:r w:rsidRPr="00EC3BD7">
        <w:rPr>
          <w:color w:val="000000"/>
          <w:sz w:val="22"/>
          <w:szCs w:val="22"/>
          <w:lang w:val="et-EE"/>
        </w:rPr>
        <w:t xml:space="preserve"> adjuvantravi korral. Gliveci kasutamise kogemused PDGFR</w:t>
      </w:r>
      <w:r w:rsidR="007F5E3F">
        <w:rPr>
          <w:color w:val="000000"/>
          <w:sz w:val="22"/>
          <w:szCs w:val="22"/>
          <w:lang w:val="et-EE"/>
        </w:rPr>
        <w:t>-i</w:t>
      </w:r>
      <w:r w:rsidRPr="00EC3BD7">
        <w:rPr>
          <w:color w:val="000000"/>
          <w:sz w:val="22"/>
          <w:szCs w:val="22"/>
          <w:lang w:val="et-EE"/>
        </w:rPr>
        <w:t xml:space="preserve"> geneetiliste muutustega </w:t>
      </w:r>
      <w:smartTag w:uri="urn:schemas-microsoft-com:office:smarttags" w:element="stockticker">
        <w:r w:rsidRPr="00EC3BD7">
          <w:rPr>
            <w:color w:val="000000"/>
            <w:sz w:val="22"/>
            <w:szCs w:val="22"/>
            <w:lang w:val="et-EE"/>
          </w:rPr>
          <w:t>MDS</w:t>
        </w:r>
      </w:smartTag>
      <w:r w:rsidRPr="00EC3BD7">
        <w:rPr>
          <w:color w:val="000000"/>
          <w:sz w:val="22"/>
          <w:szCs w:val="22"/>
          <w:lang w:val="et-EE"/>
        </w:rPr>
        <w:t>/MPD patsientidel on väga vähesed (vt lõik</w:t>
      </w:r>
      <w:r w:rsidR="00DB0BC8" w:rsidRPr="00EC3BD7">
        <w:rPr>
          <w:color w:val="000000"/>
          <w:sz w:val="22"/>
          <w:szCs w:val="22"/>
          <w:lang w:val="et-EE"/>
        </w:rPr>
        <w:t> </w:t>
      </w:r>
      <w:r w:rsidRPr="00EC3BD7">
        <w:rPr>
          <w:color w:val="000000"/>
          <w:sz w:val="22"/>
          <w:szCs w:val="22"/>
          <w:lang w:val="et-EE"/>
        </w:rPr>
        <w:t xml:space="preserve">5.1). Välja arvatud äsja diagnoositud kroonilises faasis </w:t>
      </w:r>
      <w:smartTag w:uri="urn:schemas-microsoft-com:office:smarttags" w:element="stockticker">
        <w:r w:rsidRPr="00EC3BD7">
          <w:rPr>
            <w:color w:val="000000"/>
            <w:sz w:val="22"/>
            <w:szCs w:val="22"/>
            <w:lang w:val="et-EE"/>
          </w:rPr>
          <w:t>KML</w:t>
        </w:r>
      </w:smartTag>
      <w:r w:rsidRPr="00EC3BD7">
        <w:rPr>
          <w:color w:val="000000"/>
          <w:sz w:val="22"/>
          <w:szCs w:val="22"/>
          <w:lang w:val="et-EE"/>
        </w:rPr>
        <w:t xml:space="preserve"> puhul, puuduvad kontrollrühmaga uuringud, mis näitaksid, et raviga kaasneks kliiniline kasu või elulemuse paranemine nende haiguste korral.</w:t>
      </w:r>
    </w:p>
    <w:p w14:paraId="2308D945" w14:textId="77777777" w:rsidR="00556CBF" w:rsidRPr="00EC3BD7" w:rsidRDefault="00556CBF" w:rsidP="00556CBF">
      <w:pPr>
        <w:pStyle w:val="Text"/>
        <w:widowControl w:val="0"/>
        <w:spacing w:before="0"/>
        <w:jc w:val="left"/>
        <w:rPr>
          <w:color w:val="000000"/>
          <w:sz w:val="22"/>
          <w:szCs w:val="22"/>
          <w:lang w:val="et-EE"/>
        </w:rPr>
      </w:pPr>
    </w:p>
    <w:p w14:paraId="2583EAC9"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4.2</w:t>
      </w:r>
      <w:r w:rsidRPr="00EC3BD7">
        <w:rPr>
          <w:b/>
          <w:color w:val="000000"/>
          <w:szCs w:val="22"/>
          <w:lang w:val="et-EE"/>
        </w:rPr>
        <w:tab/>
        <w:t>Annustamine ja manustamisviis</w:t>
      </w:r>
    </w:p>
    <w:p w14:paraId="50D2D5C5" w14:textId="77777777" w:rsidR="00136210" w:rsidRPr="00EC3BD7" w:rsidRDefault="00136210" w:rsidP="00B9089D">
      <w:pPr>
        <w:pStyle w:val="EndnoteText"/>
        <w:keepNext/>
        <w:widowControl w:val="0"/>
        <w:tabs>
          <w:tab w:val="clear" w:pos="567"/>
        </w:tabs>
        <w:rPr>
          <w:color w:val="000000"/>
          <w:szCs w:val="22"/>
          <w:lang w:val="et-EE"/>
        </w:rPr>
      </w:pPr>
    </w:p>
    <w:p w14:paraId="435FBB9C"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Ravi tohib määrata ainult arst, kellel on kogemused pahaloomuliste hematoloogiliste kasvajate ja maliigsete sarkoomide ravis.</w:t>
      </w:r>
    </w:p>
    <w:p w14:paraId="4AAD2FBB" w14:textId="77777777" w:rsidR="00136210" w:rsidRPr="00EC3BD7" w:rsidRDefault="00136210">
      <w:pPr>
        <w:pStyle w:val="EndnoteText"/>
        <w:widowControl w:val="0"/>
        <w:tabs>
          <w:tab w:val="clear" w:pos="567"/>
        </w:tabs>
        <w:rPr>
          <w:color w:val="000000"/>
          <w:szCs w:val="22"/>
          <w:lang w:val="et-EE"/>
        </w:rPr>
      </w:pPr>
    </w:p>
    <w:p w14:paraId="710CED86"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Määratud annus tuleb manustada suu kaudu koos söögi ja suure klaasitäie veega vähendamaks gastrointestinaalse ärrituse nähte. Annused 400 mg ja 600 mg võib manustada üks kord päevas, annus 800 mg tuleks aga manustada kahe 400 mg annusena ööpäevas, hommikul ja õhtul. Patsientidel, kes ei ole võimelised kapsleid neelama (lastel), võib kapslite sisu lahustada klaasis gaseerimata vees või õunamahlas. Kuna loomkatsed on näidanud reproduktiivtoksilisust ning võimalik risk inimese lootele ei ole teada, peavad fertiilses eas naised olema kapslite avamisel väga ettevaatlikud ning vältima ravimi sattumist nahale ja silma või ravimi sissehingamist (vt lõik</w:t>
      </w:r>
      <w:r w:rsidR="00DB0BC8" w:rsidRPr="00EC3BD7">
        <w:rPr>
          <w:color w:val="000000"/>
          <w:szCs w:val="22"/>
          <w:lang w:val="et-EE"/>
        </w:rPr>
        <w:t> </w:t>
      </w:r>
      <w:r w:rsidRPr="00EC3BD7">
        <w:rPr>
          <w:color w:val="000000"/>
          <w:szCs w:val="22"/>
          <w:lang w:val="et-EE"/>
        </w:rPr>
        <w:t>4.6). Käed tuleb pärast lahtiste kapslite käsitsemist viivitamatult puhtaks pesta.</w:t>
      </w:r>
    </w:p>
    <w:p w14:paraId="180130A8" w14:textId="77777777" w:rsidR="00136210" w:rsidRPr="00EC3BD7" w:rsidRDefault="00136210">
      <w:pPr>
        <w:pStyle w:val="BodyText"/>
        <w:widowControl w:val="0"/>
        <w:spacing w:line="240" w:lineRule="auto"/>
        <w:rPr>
          <w:b w:val="0"/>
          <w:i w:val="0"/>
          <w:color w:val="000000"/>
          <w:szCs w:val="22"/>
          <w:lang w:val="et-EE"/>
        </w:rPr>
      </w:pPr>
    </w:p>
    <w:p w14:paraId="00B463FE" w14:textId="2308681E" w:rsidR="00136210" w:rsidRPr="00EC3BD7" w:rsidRDefault="00136210" w:rsidP="00B9089D">
      <w:pPr>
        <w:pStyle w:val="BodyText"/>
        <w:keepNext/>
        <w:widowControl w:val="0"/>
        <w:spacing w:line="240" w:lineRule="auto"/>
        <w:rPr>
          <w:b w:val="0"/>
          <w:i w:val="0"/>
          <w:color w:val="000000"/>
          <w:szCs w:val="22"/>
          <w:u w:val="single"/>
          <w:lang w:val="et-EE"/>
        </w:rPr>
      </w:pPr>
      <w:r w:rsidRPr="00EC3BD7">
        <w:rPr>
          <w:b w:val="0"/>
          <w:i w:val="0"/>
          <w:color w:val="000000"/>
          <w:szCs w:val="22"/>
          <w:u w:val="single"/>
          <w:lang w:val="et-EE"/>
        </w:rPr>
        <w:t>Annustamine täiskasvanutele KML korral</w:t>
      </w:r>
    </w:p>
    <w:p w14:paraId="236CBB47" w14:textId="3892A8E3" w:rsidR="00136210" w:rsidRPr="00EC3BD7" w:rsidRDefault="00136210">
      <w:pPr>
        <w:pStyle w:val="BodyText"/>
        <w:widowControl w:val="0"/>
        <w:spacing w:line="240" w:lineRule="auto"/>
        <w:rPr>
          <w:b w:val="0"/>
          <w:i w:val="0"/>
          <w:snapToGrid w:val="0"/>
          <w:color w:val="000000"/>
          <w:szCs w:val="22"/>
          <w:lang w:val="et-EE"/>
        </w:rPr>
      </w:pPr>
      <w:r w:rsidRPr="00EC3BD7">
        <w:rPr>
          <w:b w:val="0"/>
          <w:i w:val="0"/>
          <w:color w:val="000000"/>
          <w:szCs w:val="22"/>
          <w:lang w:val="et-EE"/>
        </w:rPr>
        <w:t>Gliveci soovitatav annus kroonilises faasis KML</w:t>
      </w:r>
      <w:r w:rsidR="003C155D">
        <w:rPr>
          <w:b w:val="0"/>
          <w:i w:val="0"/>
          <w:color w:val="000000"/>
          <w:szCs w:val="22"/>
          <w:lang w:val="et-EE"/>
        </w:rPr>
        <w:t>-i</w:t>
      </w:r>
      <w:r w:rsidRPr="00EC3BD7">
        <w:rPr>
          <w:b w:val="0"/>
          <w:i w:val="0"/>
          <w:color w:val="000000"/>
          <w:szCs w:val="22"/>
          <w:lang w:val="et-EE"/>
        </w:rPr>
        <w:t xml:space="preserve"> </w:t>
      </w:r>
      <w:r w:rsidR="004F48B4" w:rsidRPr="00EC3BD7">
        <w:rPr>
          <w:b w:val="0"/>
          <w:i w:val="0"/>
          <w:color w:val="000000"/>
          <w:szCs w:val="22"/>
          <w:lang w:val="et-EE"/>
        </w:rPr>
        <w:t xml:space="preserve">täiskasvanud </w:t>
      </w:r>
      <w:r w:rsidRPr="00EC3BD7">
        <w:rPr>
          <w:b w:val="0"/>
          <w:i w:val="0"/>
          <w:color w:val="000000"/>
          <w:szCs w:val="22"/>
          <w:lang w:val="et-EE"/>
        </w:rPr>
        <w:t xml:space="preserve">patsientidel on 400 mg/ööpäevas. </w:t>
      </w:r>
      <w:smartTag w:uri="urn:schemas-microsoft-com:office:smarttags" w:element="stockticker">
        <w:r w:rsidRPr="00EC3BD7">
          <w:rPr>
            <w:b w:val="0"/>
            <w:i w:val="0"/>
            <w:color w:val="000000"/>
            <w:szCs w:val="22"/>
            <w:lang w:val="et-EE"/>
          </w:rPr>
          <w:t>KML</w:t>
        </w:r>
      </w:smartTag>
      <w:r w:rsidRPr="00EC3BD7">
        <w:rPr>
          <w:b w:val="0"/>
          <w:i w:val="0"/>
          <w:color w:val="000000"/>
          <w:szCs w:val="22"/>
          <w:lang w:val="et-EE"/>
        </w:rPr>
        <w:t xml:space="preserve"> on kroonilises faasis, kui kõik järgmised kriteeriumid on täidetud</w:t>
      </w:r>
      <w:r w:rsidRPr="00EC3BD7">
        <w:rPr>
          <w:b w:val="0"/>
          <w:i w:val="0"/>
          <w:snapToGrid w:val="0"/>
          <w:color w:val="000000"/>
          <w:szCs w:val="22"/>
          <w:lang w:val="et-EE"/>
        </w:rPr>
        <w:t>: blaste on veres või luuüdis &lt;15%, basofiile on perifeerses veres &lt;20%, trombotsüüte &gt;100x10</w:t>
      </w:r>
      <w:r w:rsidRPr="00EC3BD7">
        <w:rPr>
          <w:b w:val="0"/>
          <w:i w:val="0"/>
          <w:snapToGrid w:val="0"/>
          <w:color w:val="000000"/>
          <w:szCs w:val="22"/>
          <w:vertAlign w:val="superscript"/>
          <w:lang w:val="et-EE"/>
        </w:rPr>
        <w:t>9</w:t>
      </w:r>
      <w:r w:rsidRPr="00EC3BD7">
        <w:rPr>
          <w:b w:val="0"/>
          <w:i w:val="0"/>
          <w:snapToGrid w:val="0"/>
          <w:color w:val="000000"/>
          <w:szCs w:val="22"/>
          <w:lang w:val="et-EE"/>
        </w:rPr>
        <w:t>/l.</w:t>
      </w:r>
    </w:p>
    <w:p w14:paraId="1D594885" w14:textId="77777777" w:rsidR="00136210" w:rsidRPr="00EC3BD7" w:rsidRDefault="00136210">
      <w:pPr>
        <w:pStyle w:val="BodyText"/>
        <w:widowControl w:val="0"/>
        <w:spacing w:line="240" w:lineRule="auto"/>
        <w:rPr>
          <w:b w:val="0"/>
          <w:i w:val="0"/>
          <w:color w:val="000000"/>
          <w:szCs w:val="22"/>
          <w:lang w:val="et-EE"/>
        </w:rPr>
      </w:pPr>
    </w:p>
    <w:p w14:paraId="053FDE5D" w14:textId="77777777" w:rsidR="00136210" w:rsidRPr="00EC3BD7" w:rsidRDefault="00136210">
      <w:pPr>
        <w:pStyle w:val="BodyText"/>
        <w:widowControl w:val="0"/>
        <w:spacing w:line="240" w:lineRule="auto"/>
        <w:rPr>
          <w:b w:val="0"/>
          <w:i w:val="0"/>
          <w:snapToGrid w:val="0"/>
          <w:color w:val="000000"/>
          <w:szCs w:val="22"/>
          <w:lang w:val="et-EE"/>
        </w:rPr>
      </w:pPr>
      <w:r w:rsidRPr="00EC3BD7">
        <w:rPr>
          <w:b w:val="0"/>
          <w:i w:val="0"/>
          <w:color w:val="000000"/>
          <w:szCs w:val="22"/>
          <w:lang w:val="et-EE"/>
        </w:rPr>
        <w:t>Gliveci soovitatav annus aktseleratsioonifaasis</w:t>
      </w:r>
      <w:r w:rsidR="004F48B4" w:rsidRPr="00EC3BD7">
        <w:rPr>
          <w:b w:val="0"/>
          <w:i w:val="0"/>
          <w:color w:val="000000"/>
          <w:szCs w:val="22"/>
          <w:lang w:val="et-EE"/>
        </w:rPr>
        <w:t xml:space="preserve"> täiskasvanud patsientidel</w:t>
      </w:r>
      <w:r w:rsidRPr="00EC3BD7">
        <w:rPr>
          <w:b w:val="0"/>
          <w:i w:val="0"/>
          <w:color w:val="000000"/>
          <w:szCs w:val="22"/>
          <w:lang w:val="et-EE"/>
        </w:rPr>
        <w:t xml:space="preserve"> on 600 mg/ööpäevas. Aktseleratsioonifaasi korral peab olema täidetud vähemalt üks järgmistest kriteeriumitest</w:t>
      </w:r>
      <w:r w:rsidRPr="00EC3BD7">
        <w:rPr>
          <w:b w:val="0"/>
          <w:i w:val="0"/>
          <w:snapToGrid w:val="0"/>
          <w:color w:val="000000"/>
          <w:szCs w:val="22"/>
          <w:lang w:val="et-EE"/>
        </w:rPr>
        <w:t xml:space="preserve">: blaste </w:t>
      </w:r>
      <w:r w:rsidRPr="00EC3BD7">
        <w:rPr>
          <w:b w:val="0"/>
          <w:i w:val="0"/>
          <w:snapToGrid w:val="0"/>
          <w:color w:val="000000"/>
          <w:szCs w:val="22"/>
          <w:lang w:val="et-EE"/>
        </w:rPr>
        <w:sym w:font="Symbol" w:char="F0B3"/>
      </w:r>
      <w:r w:rsidRPr="00EC3BD7">
        <w:rPr>
          <w:b w:val="0"/>
          <w:i w:val="0"/>
          <w:snapToGrid w:val="0"/>
          <w:color w:val="000000"/>
          <w:szCs w:val="22"/>
          <w:lang w:val="et-EE"/>
        </w:rPr>
        <w:t xml:space="preserve">15%, kuid veres või luuüdis &lt;30%, blaste koos promüelotsüütidega veres või luuüdis </w:t>
      </w:r>
      <w:r w:rsidRPr="00EC3BD7">
        <w:rPr>
          <w:b w:val="0"/>
          <w:i w:val="0"/>
          <w:snapToGrid w:val="0"/>
          <w:color w:val="000000"/>
          <w:szCs w:val="22"/>
          <w:lang w:val="et-EE"/>
        </w:rPr>
        <w:sym w:font="Symbol" w:char="F0B3"/>
      </w:r>
      <w:r w:rsidRPr="00EC3BD7">
        <w:rPr>
          <w:b w:val="0"/>
          <w:i w:val="0"/>
          <w:snapToGrid w:val="0"/>
          <w:color w:val="000000"/>
          <w:szCs w:val="22"/>
          <w:lang w:val="et-EE"/>
        </w:rPr>
        <w:t xml:space="preserve">30% (juhul, kui blaste on &lt;30%), basofiile perifeerses veres </w:t>
      </w:r>
      <w:r w:rsidRPr="00EC3BD7">
        <w:rPr>
          <w:b w:val="0"/>
          <w:i w:val="0"/>
          <w:snapToGrid w:val="0"/>
          <w:color w:val="000000"/>
          <w:szCs w:val="22"/>
          <w:lang w:val="et-EE"/>
        </w:rPr>
        <w:sym w:font="Symbol" w:char="F0B3"/>
      </w:r>
      <w:r w:rsidRPr="00EC3BD7">
        <w:rPr>
          <w:b w:val="0"/>
          <w:i w:val="0"/>
          <w:snapToGrid w:val="0"/>
          <w:color w:val="000000"/>
          <w:szCs w:val="22"/>
          <w:lang w:val="et-EE"/>
        </w:rPr>
        <w:t>20%, trombotsüüte &lt;100x10</w:t>
      </w:r>
      <w:r w:rsidRPr="00EC3BD7">
        <w:rPr>
          <w:b w:val="0"/>
          <w:i w:val="0"/>
          <w:snapToGrid w:val="0"/>
          <w:color w:val="000000"/>
          <w:szCs w:val="22"/>
          <w:vertAlign w:val="superscript"/>
          <w:lang w:val="et-EE"/>
        </w:rPr>
        <w:t>9</w:t>
      </w:r>
      <w:r w:rsidRPr="00EC3BD7">
        <w:rPr>
          <w:b w:val="0"/>
          <w:i w:val="0"/>
          <w:snapToGrid w:val="0"/>
          <w:color w:val="000000"/>
          <w:szCs w:val="22"/>
          <w:lang w:val="et-EE"/>
        </w:rPr>
        <w:t>/l hoolimata ravist.</w:t>
      </w:r>
    </w:p>
    <w:p w14:paraId="7E424EEA" w14:textId="77777777" w:rsidR="00136210" w:rsidRPr="00EC3BD7" w:rsidRDefault="00136210">
      <w:pPr>
        <w:pStyle w:val="BodyText"/>
        <w:widowControl w:val="0"/>
        <w:spacing w:line="240" w:lineRule="auto"/>
        <w:rPr>
          <w:b w:val="0"/>
          <w:i w:val="0"/>
          <w:color w:val="000000"/>
          <w:szCs w:val="22"/>
          <w:lang w:val="et-EE"/>
        </w:rPr>
      </w:pPr>
    </w:p>
    <w:p w14:paraId="50DA673F" w14:textId="77777777" w:rsidR="00136210" w:rsidRPr="00EC3BD7" w:rsidRDefault="00136210">
      <w:pPr>
        <w:pStyle w:val="BodyText"/>
        <w:widowControl w:val="0"/>
        <w:spacing w:line="240" w:lineRule="auto"/>
        <w:rPr>
          <w:b w:val="0"/>
          <w:i w:val="0"/>
          <w:color w:val="000000"/>
          <w:szCs w:val="22"/>
          <w:lang w:val="et-EE"/>
        </w:rPr>
      </w:pPr>
      <w:r w:rsidRPr="00EC3BD7">
        <w:rPr>
          <w:b w:val="0"/>
          <w:i w:val="0"/>
          <w:color w:val="000000"/>
          <w:szCs w:val="22"/>
          <w:lang w:val="et-EE"/>
        </w:rPr>
        <w:t xml:space="preserve">Gliveci soovitatav annus blastses kriisis </w:t>
      </w:r>
      <w:r w:rsidR="00A84D61" w:rsidRPr="00EC3BD7">
        <w:rPr>
          <w:b w:val="0"/>
          <w:i w:val="0"/>
          <w:color w:val="000000"/>
          <w:szCs w:val="22"/>
          <w:lang w:val="et-EE"/>
        </w:rPr>
        <w:t xml:space="preserve">täiskasvanud </w:t>
      </w:r>
      <w:r w:rsidRPr="00EC3BD7">
        <w:rPr>
          <w:b w:val="0"/>
          <w:i w:val="0"/>
          <w:color w:val="000000"/>
          <w:szCs w:val="22"/>
          <w:lang w:val="et-EE"/>
        </w:rPr>
        <w:t xml:space="preserve">patsientidel on 600 mg/ööpäevas. Blastne kriis diagnoositakse juhul, kui blaste on veres või luuüdis </w:t>
      </w:r>
      <w:r w:rsidRPr="00EC3BD7">
        <w:rPr>
          <w:b w:val="0"/>
          <w:i w:val="0"/>
          <w:snapToGrid w:val="0"/>
          <w:color w:val="000000"/>
          <w:szCs w:val="22"/>
          <w:lang w:val="et-EE"/>
        </w:rPr>
        <w:sym w:font="Symbol" w:char="F0B3"/>
      </w:r>
      <w:r w:rsidRPr="00EC3BD7">
        <w:rPr>
          <w:b w:val="0"/>
          <w:i w:val="0"/>
          <w:snapToGrid w:val="0"/>
          <w:color w:val="000000"/>
          <w:szCs w:val="22"/>
          <w:lang w:val="et-EE"/>
        </w:rPr>
        <w:t>30% või esineb ekstramedullaarne haiguskolle välja arvatud hepatosplenomegaalia.</w:t>
      </w:r>
    </w:p>
    <w:p w14:paraId="65B7C443" w14:textId="77777777" w:rsidR="00136210" w:rsidRPr="00EC3BD7" w:rsidRDefault="00136210">
      <w:pPr>
        <w:pStyle w:val="EndnoteText"/>
        <w:widowControl w:val="0"/>
        <w:tabs>
          <w:tab w:val="clear" w:pos="567"/>
        </w:tabs>
        <w:rPr>
          <w:color w:val="000000"/>
          <w:szCs w:val="22"/>
          <w:lang w:val="et-EE"/>
        </w:rPr>
      </w:pPr>
    </w:p>
    <w:p w14:paraId="55F11927"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Ravi kestus. Kliinilistes uuringutes jätkati ravi Gliveciga kuni haiguse progresseerumiseni. Ei ole uuritud toimet, mis tekib ravi katkestamisel pärast täieliku tsütogeneetilise ravivastuse saavutamist.</w:t>
      </w:r>
    </w:p>
    <w:p w14:paraId="1D5ECCB4" w14:textId="77777777" w:rsidR="00136210" w:rsidRPr="00EC3BD7" w:rsidRDefault="00136210">
      <w:pPr>
        <w:pStyle w:val="EndnoteText"/>
        <w:widowControl w:val="0"/>
        <w:tabs>
          <w:tab w:val="clear" w:pos="567"/>
        </w:tabs>
        <w:rPr>
          <w:color w:val="000000"/>
          <w:szCs w:val="22"/>
          <w:lang w:val="et-EE"/>
        </w:rPr>
      </w:pPr>
    </w:p>
    <w:p w14:paraId="58DFDF92"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Annuse suurendamist 400 mg-lt 600 mg-le või 800 mg-le kroonilises faasis patsientidel või 600 mg-lt maksimaalselt 800 mg-le (manustatuna 400 mg kaks korda ööpäevas) aktseleratsioonifaasis või blastses kriisis patsientidel, kui puuduvad rasked kõrvaltoimed ja raske leukeemiaga mitteseotud neutropeenia või trombotsütopeenia, võib kaaluda järgmistel juhtudel: haiguse progresseerumine (igal ajal); rahuldava hematoloogilise vastuse puudumine pärast vähemalt kolm kuud kestnud ravi; tsütogeneetilise vastuse puudumine pärast 12</w:t>
      </w:r>
      <w:r w:rsidR="00DB0BC8" w:rsidRPr="00EC3BD7">
        <w:rPr>
          <w:color w:val="000000"/>
          <w:szCs w:val="22"/>
          <w:lang w:val="et-EE"/>
        </w:rPr>
        <w:noBreakHyphen/>
      </w:r>
      <w:r w:rsidRPr="00EC3BD7">
        <w:rPr>
          <w:color w:val="000000"/>
          <w:szCs w:val="22"/>
          <w:lang w:val="et-EE"/>
        </w:rPr>
        <w:t>kuulist ravi; varema saavutatud hematoloogilise ja/või tsütogeneetilise vastuse kadumine. Patsiente tuleb pärast annuse suurendamist hoolikalt jälgida, sest suuremate annustega võib suureneda kõrvaltoimete esinemissagedus.</w:t>
      </w:r>
    </w:p>
    <w:p w14:paraId="1F90B723" w14:textId="77777777" w:rsidR="00136210" w:rsidRPr="00EC3BD7" w:rsidRDefault="00136210">
      <w:pPr>
        <w:pStyle w:val="EndnoteText"/>
        <w:widowControl w:val="0"/>
        <w:tabs>
          <w:tab w:val="clear" w:pos="567"/>
        </w:tabs>
        <w:rPr>
          <w:color w:val="000000"/>
          <w:szCs w:val="22"/>
          <w:lang w:val="et-EE"/>
        </w:rPr>
      </w:pPr>
    </w:p>
    <w:p w14:paraId="0DCE7E0E" w14:textId="77777777" w:rsidR="00136210" w:rsidRPr="00EC3BD7" w:rsidRDefault="00136210" w:rsidP="00B9089D">
      <w:pPr>
        <w:pStyle w:val="EndnoteText"/>
        <w:keepNext/>
        <w:widowControl w:val="0"/>
        <w:tabs>
          <w:tab w:val="clear" w:pos="567"/>
        </w:tabs>
        <w:rPr>
          <w:color w:val="000000"/>
          <w:szCs w:val="22"/>
          <w:u w:val="single"/>
          <w:lang w:val="et-EE"/>
        </w:rPr>
      </w:pPr>
      <w:r w:rsidRPr="00EC3BD7">
        <w:rPr>
          <w:color w:val="000000"/>
          <w:szCs w:val="22"/>
          <w:u w:val="single"/>
          <w:lang w:val="et-EE"/>
        </w:rPr>
        <w:t xml:space="preserve">Annustamine lastele </w:t>
      </w:r>
      <w:smartTag w:uri="urn:schemas-microsoft-com:office:smarttags" w:element="stockticker">
        <w:r w:rsidRPr="00EC3BD7">
          <w:rPr>
            <w:color w:val="000000"/>
            <w:szCs w:val="22"/>
            <w:u w:val="single"/>
            <w:lang w:val="et-EE"/>
          </w:rPr>
          <w:t>KML</w:t>
        </w:r>
      </w:smartTag>
      <w:r w:rsidRPr="00EC3BD7">
        <w:rPr>
          <w:color w:val="000000"/>
          <w:szCs w:val="22"/>
          <w:u w:val="single"/>
          <w:lang w:val="et-EE"/>
        </w:rPr>
        <w:t xml:space="preserve"> korral</w:t>
      </w:r>
    </w:p>
    <w:p w14:paraId="45C68560"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Lastel tuleb annustamise aluseks võtta keha pindala (mg/m</w:t>
      </w:r>
      <w:r w:rsidRPr="00EC3BD7">
        <w:rPr>
          <w:color w:val="000000"/>
          <w:szCs w:val="22"/>
          <w:vertAlign w:val="superscript"/>
          <w:lang w:val="et-EE"/>
        </w:rPr>
        <w:t>2</w:t>
      </w:r>
      <w:r w:rsidRPr="00EC3BD7">
        <w:rPr>
          <w:color w:val="000000"/>
          <w:szCs w:val="22"/>
          <w:lang w:val="et-EE"/>
        </w:rPr>
        <w:t xml:space="preserve">). Kroonilises faasis ja kaugelearenenud </w:t>
      </w:r>
      <w:smartTag w:uri="urn:schemas-microsoft-com:office:smarttags" w:element="stockticker">
        <w:r w:rsidRPr="00EC3BD7">
          <w:rPr>
            <w:color w:val="000000"/>
            <w:szCs w:val="22"/>
            <w:lang w:val="et-EE"/>
          </w:rPr>
          <w:t>KML</w:t>
        </w:r>
      </w:smartTag>
      <w:r w:rsidRPr="00EC3BD7">
        <w:rPr>
          <w:color w:val="000000"/>
          <w:szCs w:val="22"/>
          <w:lang w:val="et-EE"/>
        </w:rPr>
        <w:t xml:space="preserve"> korral soovitatakse lastele annust 340 mg/m</w:t>
      </w:r>
      <w:r w:rsidRPr="00EC3BD7">
        <w:rPr>
          <w:color w:val="000000"/>
          <w:szCs w:val="22"/>
          <w:vertAlign w:val="superscript"/>
          <w:lang w:val="et-EE"/>
        </w:rPr>
        <w:t>2</w:t>
      </w:r>
      <w:r w:rsidRPr="00EC3BD7">
        <w:rPr>
          <w:color w:val="000000"/>
          <w:szCs w:val="22"/>
          <w:lang w:val="et-EE"/>
        </w:rPr>
        <w:t xml:space="preserve"> ööpäevas (koguannus ei tohi ületada 800 mg). Ravimit antakse kas ühekordse ööpäevase annusena või jagatakse ööpäevane annus kahele manustamiskorrale –hommikul ja õhtul. Soovitatavad annused põhinevad praegusel ajal väikesel arvul pediaatrilistel patsientidel (vt lõigud</w:t>
      </w:r>
      <w:r w:rsidR="00DB0BC8" w:rsidRPr="00EC3BD7">
        <w:rPr>
          <w:color w:val="000000"/>
          <w:szCs w:val="22"/>
          <w:lang w:val="et-EE"/>
        </w:rPr>
        <w:t> </w:t>
      </w:r>
      <w:r w:rsidRPr="00EC3BD7">
        <w:rPr>
          <w:color w:val="000000"/>
          <w:szCs w:val="22"/>
          <w:lang w:val="et-EE"/>
        </w:rPr>
        <w:t>5.1 ja 5.2). Puuduvad kogemused alla 2-aastaste laste raviks.</w:t>
      </w:r>
    </w:p>
    <w:p w14:paraId="6BF786BE" w14:textId="77777777" w:rsidR="00136210" w:rsidRPr="00EC3BD7" w:rsidRDefault="00136210">
      <w:pPr>
        <w:pStyle w:val="EndnoteText"/>
        <w:widowControl w:val="0"/>
        <w:tabs>
          <w:tab w:val="clear" w:pos="567"/>
        </w:tabs>
        <w:rPr>
          <w:color w:val="000000"/>
          <w:szCs w:val="22"/>
          <w:lang w:val="et-EE"/>
        </w:rPr>
      </w:pPr>
    </w:p>
    <w:p w14:paraId="11F9232F"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lastRenderedPageBreak/>
        <w:t>Ööpäevase annuse 340 mg/m</w:t>
      </w:r>
      <w:r w:rsidRPr="00EC3BD7">
        <w:rPr>
          <w:color w:val="000000"/>
          <w:szCs w:val="22"/>
          <w:vertAlign w:val="superscript"/>
          <w:lang w:val="et-EE"/>
        </w:rPr>
        <w:t>2</w:t>
      </w:r>
      <w:r w:rsidRPr="00EC3BD7">
        <w:rPr>
          <w:color w:val="000000"/>
          <w:szCs w:val="22"/>
          <w:lang w:val="et-EE"/>
        </w:rPr>
        <w:t xml:space="preserve"> suurendamine kuni annuseni 570 mg/m</w:t>
      </w:r>
      <w:r w:rsidRPr="00EC3BD7">
        <w:rPr>
          <w:color w:val="000000"/>
          <w:szCs w:val="22"/>
          <w:vertAlign w:val="superscript"/>
          <w:lang w:val="et-EE"/>
        </w:rPr>
        <w:t>2</w:t>
      </w:r>
      <w:r w:rsidRPr="00EC3BD7">
        <w:rPr>
          <w:color w:val="000000"/>
          <w:szCs w:val="22"/>
          <w:lang w:val="et-EE"/>
        </w:rPr>
        <w:t xml:space="preserve"> (mitte ületada annust 800 mg) võib kaaluda lastel, kui puuduvad rasked kõrvaltoimed ja raske leukeemiaga mitteseotud neutropeenia või trombotsütopeenia, järgmistel juhtudel: haiguse progresseerumine (igal ajal); rahuldava hematoloogilise vastuse puudumine pärast vähemalt kolm kuud kestnud ravi; tsütogeneetilise vastuse puudumine pärast 12</w:t>
      </w:r>
      <w:r w:rsidR="00DB0BC8" w:rsidRPr="00EC3BD7">
        <w:rPr>
          <w:color w:val="000000"/>
          <w:szCs w:val="22"/>
          <w:lang w:val="et-EE"/>
        </w:rPr>
        <w:noBreakHyphen/>
      </w:r>
      <w:r w:rsidRPr="00EC3BD7">
        <w:rPr>
          <w:color w:val="000000"/>
          <w:szCs w:val="22"/>
          <w:lang w:val="et-EE"/>
        </w:rPr>
        <w:t>kuulist ravi või eelneva raviga saavutatud hematoloogilise ja/või tsütogeneetilise vastuse kadumine. Patsiente tuleb pärast annuse suurendamist hoolikalt jälgida, sest suuremate annustega võib suureneda kõrvaltoimete esinemissagedus.</w:t>
      </w:r>
    </w:p>
    <w:p w14:paraId="1DC774CE" w14:textId="77777777" w:rsidR="00136210" w:rsidRPr="00EC3BD7" w:rsidRDefault="00136210">
      <w:pPr>
        <w:pStyle w:val="EndnoteText"/>
        <w:widowControl w:val="0"/>
        <w:tabs>
          <w:tab w:val="clear" w:pos="567"/>
        </w:tabs>
        <w:rPr>
          <w:color w:val="000000"/>
          <w:szCs w:val="22"/>
          <w:lang w:val="et-EE"/>
        </w:rPr>
      </w:pPr>
    </w:p>
    <w:p w14:paraId="07D8B531"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u w:val="single"/>
          <w:lang w:val="et-EE"/>
        </w:rPr>
        <w:t xml:space="preserve">Annustamine </w:t>
      </w:r>
      <w:r w:rsidR="002504F9" w:rsidRPr="00EC3BD7">
        <w:rPr>
          <w:color w:val="000000"/>
          <w:szCs w:val="22"/>
          <w:u w:val="single"/>
          <w:lang w:val="et-EE"/>
        </w:rPr>
        <w:t xml:space="preserve">täiskasvanutele </w:t>
      </w:r>
      <w:r w:rsidRPr="00EC3BD7">
        <w:rPr>
          <w:color w:val="000000"/>
          <w:szCs w:val="22"/>
          <w:u w:val="single"/>
          <w:lang w:val="et-EE"/>
        </w:rPr>
        <w:t>Ph+ </w:t>
      </w:r>
      <w:smartTag w:uri="urn:schemas-microsoft-com:office:smarttags" w:element="stockticker">
        <w:r w:rsidRPr="00EC3BD7">
          <w:rPr>
            <w:color w:val="000000"/>
            <w:szCs w:val="22"/>
            <w:u w:val="single"/>
            <w:lang w:val="et-EE"/>
          </w:rPr>
          <w:t>ALL</w:t>
        </w:r>
      </w:smartTag>
      <w:r w:rsidRPr="00EC3BD7">
        <w:rPr>
          <w:color w:val="000000"/>
          <w:szCs w:val="22"/>
          <w:u w:val="single"/>
          <w:lang w:val="et-EE"/>
        </w:rPr>
        <w:t xml:space="preserve"> korral</w:t>
      </w:r>
    </w:p>
    <w:p w14:paraId="1FABCEAD" w14:textId="45536DB8" w:rsidR="00136210" w:rsidRPr="00EC3BD7" w:rsidRDefault="00136210">
      <w:pPr>
        <w:pStyle w:val="EndnoteText"/>
        <w:widowControl w:val="0"/>
        <w:tabs>
          <w:tab w:val="clear" w:pos="567"/>
        </w:tabs>
        <w:rPr>
          <w:color w:val="000000"/>
          <w:szCs w:val="22"/>
          <w:lang w:val="et-EE"/>
        </w:rPr>
      </w:pPr>
      <w:r w:rsidRPr="00EC3BD7">
        <w:rPr>
          <w:color w:val="000000"/>
          <w:szCs w:val="22"/>
          <w:lang w:val="et-EE"/>
        </w:rPr>
        <w:t>Gliveci soovitatav annus Ph+ </w:t>
      </w:r>
      <w:smartTag w:uri="urn:schemas-microsoft-com:office:smarttags" w:element="stockticker">
        <w:r w:rsidRPr="00EC3BD7">
          <w:rPr>
            <w:color w:val="000000"/>
            <w:szCs w:val="22"/>
            <w:lang w:val="et-EE"/>
          </w:rPr>
          <w:t>ALL</w:t>
        </w:r>
        <w:r w:rsidR="003C155D">
          <w:rPr>
            <w:color w:val="000000"/>
            <w:szCs w:val="22"/>
            <w:lang w:val="et-EE"/>
          </w:rPr>
          <w:t>-i</w:t>
        </w:r>
      </w:smartTag>
      <w:r w:rsidRPr="00EC3BD7">
        <w:rPr>
          <w:color w:val="000000"/>
          <w:szCs w:val="22"/>
          <w:lang w:val="et-EE"/>
        </w:rPr>
        <w:t xml:space="preserve"> </w:t>
      </w:r>
      <w:r w:rsidR="004F48B4" w:rsidRPr="00EC3BD7">
        <w:rPr>
          <w:color w:val="000000"/>
          <w:szCs w:val="22"/>
          <w:lang w:val="et-EE"/>
        </w:rPr>
        <w:t xml:space="preserve">täiskasvanud </w:t>
      </w:r>
      <w:r w:rsidRPr="00EC3BD7">
        <w:rPr>
          <w:color w:val="000000"/>
          <w:szCs w:val="22"/>
          <w:lang w:val="et-EE"/>
        </w:rPr>
        <w:t>patsientidel on 600 mg/ööpäevas. Ravi peab selle kõigis etappides juhtima hematoloog, kellel on kogemused nimetatud haiguse käsitluse alal.</w:t>
      </w:r>
    </w:p>
    <w:p w14:paraId="1D248D54" w14:textId="77777777" w:rsidR="00136210" w:rsidRPr="00EC3BD7" w:rsidRDefault="00136210">
      <w:pPr>
        <w:pStyle w:val="EndnoteText"/>
        <w:widowControl w:val="0"/>
        <w:tabs>
          <w:tab w:val="clear" w:pos="567"/>
        </w:tabs>
        <w:rPr>
          <w:color w:val="000000"/>
          <w:szCs w:val="22"/>
          <w:lang w:val="et-EE"/>
        </w:rPr>
      </w:pPr>
    </w:p>
    <w:p w14:paraId="1E4E9820"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Raviskeem: praeguste andmete kohaselt on Glivec annuses 600 mg/ööpäevas osutunud efektiivseks ja ohutuks värskelt diagnoositud Ph+ ägeda lümfoidse leukeemiaga (Ph+ </w:t>
      </w:r>
      <w:smartTag w:uri="urn:schemas-microsoft-com:office:smarttags" w:element="stockticker">
        <w:r w:rsidRPr="00EC3BD7">
          <w:rPr>
            <w:color w:val="000000"/>
            <w:szCs w:val="22"/>
            <w:lang w:val="et-EE"/>
          </w:rPr>
          <w:t>ALL</w:t>
        </w:r>
      </w:smartTag>
      <w:r w:rsidRPr="00EC3BD7">
        <w:rPr>
          <w:color w:val="000000"/>
          <w:szCs w:val="22"/>
          <w:lang w:val="et-EE"/>
        </w:rPr>
        <w:t>) täiskasvanud patsientide ravis kombinatsioonis kemoteraapiaga ravi induktsiooni-, konsolidatsiooni- ja säilitusfaasis (vt lõik</w:t>
      </w:r>
      <w:r w:rsidR="00DB0BC8" w:rsidRPr="00EC3BD7">
        <w:rPr>
          <w:color w:val="000000"/>
          <w:szCs w:val="22"/>
          <w:lang w:val="et-EE"/>
        </w:rPr>
        <w:t> </w:t>
      </w:r>
      <w:r w:rsidRPr="00EC3BD7">
        <w:rPr>
          <w:color w:val="000000"/>
          <w:szCs w:val="22"/>
          <w:lang w:val="et-EE"/>
        </w:rPr>
        <w:t>5.1). Glivec-ravi kestus võib varieeruda sõltuvalt valitud skeemist, kuid üldjuhul on pikemaajalisem Gliveci manustamine andnud paremaid tulemusi.</w:t>
      </w:r>
    </w:p>
    <w:p w14:paraId="482EB77A" w14:textId="77777777" w:rsidR="00136210" w:rsidRPr="00EC3BD7" w:rsidRDefault="00136210">
      <w:pPr>
        <w:pStyle w:val="EndnoteText"/>
        <w:widowControl w:val="0"/>
        <w:tabs>
          <w:tab w:val="clear" w:pos="567"/>
        </w:tabs>
        <w:rPr>
          <w:color w:val="000000"/>
          <w:szCs w:val="22"/>
          <w:lang w:val="et-EE"/>
        </w:rPr>
      </w:pPr>
    </w:p>
    <w:p w14:paraId="43419178" w14:textId="14800B2C" w:rsidR="00136210" w:rsidRPr="00EC3BD7" w:rsidRDefault="00136210">
      <w:pPr>
        <w:pStyle w:val="EndnoteText"/>
        <w:widowControl w:val="0"/>
        <w:tabs>
          <w:tab w:val="clear" w:pos="567"/>
        </w:tabs>
        <w:rPr>
          <w:color w:val="000000"/>
          <w:szCs w:val="22"/>
          <w:lang w:val="et-EE"/>
        </w:rPr>
      </w:pPr>
      <w:r w:rsidRPr="00EC3BD7">
        <w:rPr>
          <w:color w:val="000000"/>
          <w:szCs w:val="22"/>
          <w:lang w:val="et-EE"/>
        </w:rPr>
        <w:t>Retsidiveeruva või raviresistentse Ph+ ALL puhul täiskasvanud patsientidel on monoteraapia Gliveciga annuses 600 mg/ööpäevas ohutu ja efektiivne ning kasutatav kuni haiguse progresseerumiseni.</w:t>
      </w:r>
    </w:p>
    <w:p w14:paraId="457693BE" w14:textId="77777777" w:rsidR="002504F9" w:rsidRPr="00EC3BD7" w:rsidRDefault="002504F9" w:rsidP="002504F9">
      <w:pPr>
        <w:pStyle w:val="EndnoteText"/>
        <w:widowControl w:val="0"/>
        <w:tabs>
          <w:tab w:val="clear" w:pos="567"/>
        </w:tabs>
        <w:rPr>
          <w:color w:val="000000"/>
          <w:szCs w:val="22"/>
          <w:u w:val="single"/>
          <w:lang w:val="et-EE"/>
        </w:rPr>
      </w:pPr>
    </w:p>
    <w:p w14:paraId="710EB01E" w14:textId="6BA96740" w:rsidR="002504F9" w:rsidRPr="00EC3BD7" w:rsidRDefault="002504F9" w:rsidP="00B9089D">
      <w:pPr>
        <w:pStyle w:val="EndnoteText"/>
        <w:keepNext/>
        <w:widowControl w:val="0"/>
        <w:tabs>
          <w:tab w:val="clear" w:pos="567"/>
        </w:tabs>
        <w:rPr>
          <w:color w:val="000000"/>
          <w:szCs w:val="22"/>
          <w:u w:val="single"/>
          <w:lang w:val="et-EE"/>
        </w:rPr>
      </w:pPr>
      <w:r w:rsidRPr="00EC3BD7">
        <w:rPr>
          <w:color w:val="000000"/>
          <w:szCs w:val="22"/>
          <w:u w:val="single"/>
          <w:lang w:val="et-EE"/>
        </w:rPr>
        <w:t>Annustamine lastele Ph+ ALL korral</w:t>
      </w:r>
    </w:p>
    <w:p w14:paraId="5B8775C5" w14:textId="77777777" w:rsidR="00461773" w:rsidRPr="00EC3BD7" w:rsidRDefault="00461773" w:rsidP="00461773">
      <w:pPr>
        <w:pStyle w:val="EndnoteText"/>
        <w:widowControl w:val="0"/>
        <w:tabs>
          <w:tab w:val="clear" w:pos="567"/>
        </w:tabs>
        <w:rPr>
          <w:color w:val="000000"/>
          <w:szCs w:val="22"/>
          <w:lang w:val="et-EE"/>
        </w:rPr>
      </w:pPr>
      <w:r w:rsidRPr="00EC3BD7">
        <w:rPr>
          <w:color w:val="000000"/>
          <w:szCs w:val="22"/>
          <w:lang w:val="et-EE"/>
        </w:rPr>
        <w:t>Lastel tuleb annustamise aluseks võtta kehapindala (mg/m</w:t>
      </w:r>
      <w:r w:rsidRPr="00EC3BD7">
        <w:rPr>
          <w:color w:val="000000"/>
          <w:szCs w:val="22"/>
          <w:vertAlign w:val="superscript"/>
          <w:lang w:val="et-EE"/>
        </w:rPr>
        <w:t>2</w:t>
      </w:r>
      <w:r w:rsidRPr="00EC3BD7">
        <w:rPr>
          <w:color w:val="000000"/>
          <w:szCs w:val="22"/>
          <w:lang w:val="et-EE"/>
        </w:rPr>
        <w:t>). Ph+ ALL korral soovitatakse lastele annust 340 mg/m</w:t>
      </w:r>
      <w:r w:rsidRPr="00EC3BD7">
        <w:rPr>
          <w:color w:val="000000"/>
          <w:szCs w:val="22"/>
          <w:vertAlign w:val="superscript"/>
          <w:lang w:val="et-EE"/>
        </w:rPr>
        <w:t>2</w:t>
      </w:r>
      <w:r w:rsidRPr="00EC3BD7">
        <w:rPr>
          <w:color w:val="000000"/>
          <w:szCs w:val="22"/>
          <w:lang w:val="et-EE"/>
        </w:rPr>
        <w:t xml:space="preserve"> ööpäevas (koguannus ei tohi ületada 600 mg).</w:t>
      </w:r>
    </w:p>
    <w:p w14:paraId="76BDDE9B" w14:textId="77777777" w:rsidR="00136210" w:rsidRPr="00EC3BD7" w:rsidRDefault="00136210">
      <w:pPr>
        <w:pStyle w:val="EndnoteText"/>
        <w:widowControl w:val="0"/>
        <w:tabs>
          <w:tab w:val="clear" w:pos="567"/>
        </w:tabs>
        <w:rPr>
          <w:color w:val="000000"/>
          <w:szCs w:val="22"/>
          <w:lang w:val="et-EE"/>
        </w:rPr>
      </w:pPr>
    </w:p>
    <w:p w14:paraId="6D11CA8E" w14:textId="3B9BC3E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u w:val="single"/>
          <w:lang w:val="et-EE"/>
        </w:rPr>
        <w:t xml:space="preserve">Annustamine </w:t>
      </w:r>
      <w:smartTag w:uri="urn:schemas-microsoft-com:office:smarttags" w:element="stockticker">
        <w:r w:rsidRPr="00EC3BD7">
          <w:rPr>
            <w:color w:val="000000"/>
            <w:szCs w:val="22"/>
            <w:u w:val="single"/>
            <w:lang w:val="et-EE"/>
          </w:rPr>
          <w:t>MDS</w:t>
        </w:r>
      </w:smartTag>
      <w:r w:rsidRPr="00EC3BD7">
        <w:rPr>
          <w:color w:val="000000"/>
          <w:szCs w:val="22"/>
          <w:u w:val="single"/>
          <w:lang w:val="et-EE"/>
        </w:rPr>
        <w:t>/MPD korral</w:t>
      </w:r>
    </w:p>
    <w:p w14:paraId="5E94994D" w14:textId="0421A1F7" w:rsidR="00136210" w:rsidRPr="00EC3BD7" w:rsidRDefault="00136210">
      <w:pPr>
        <w:pStyle w:val="EndnoteText"/>
        <w:widowControl w:val="0"/>
        <w:tabs>
          <w:tab w:val="clear" w:pos="567"/>
        </w:tabs>
        <w:rPr>
          <w:color w:val="000000"/>
          <w:szCs w:val="22"/>
          <w:lang w:val="et-EE"/>
        </w:rPr>
      </w:pPr>
      <w:r w:rsidRPr="00EC3BD7">
        <w:rPr>
          <w:color w:val="000000"/>
          <w:szCs w:val="22"/>
          <w:lang w:val="et-EE"/>
        </w:rPr>
        <w:t xml:space="preserve">Gliveci soovitatav annus </w:t>
      </w:r>
      <w:smartTag w:uri="urn:schemas-microsoft-com:office:smarttags" w:element="stockticker">
        <w:r w:rsidRPr="00EC3BD7">
          <w:rPr>
            <w:color w:val="000000"/>
            <w:szCs w:val="22"/>
            <w:lang w:val="et-EE"/>
          </w:rPr>
          <w:t>MDS</w:t>
        </w:r>
      </w:smartTag>
      <w:r w:rsidRPr="00EC3BD7">
        <w:rPr>
          <w:color w:val="000000"/>
          <w:szCs w:val="22"/>
          <w:lang w:val="et-EE"/>
        </w:rPr>
        <w:t xml:space="preserve">/MPD </w:t>
      </w:r>
      <w:r w:rsidR="005B6337" w:rsidRPr="00EC3BD7">
        <w:rPr>
          <w:color w:val="000000"/>
          <w:szCs w:val="22"/>
          <w:lang w:val="et-EE"/>
        </w:rPr>
        <w:t xml:space="preserve">täiskasvanud </w:t>
      </w:r>
      <w:r w:rsidRPr="00EC3BD7">
        <w:rPr>
          <w:color w:val="000000"/>
          <w:szCs w:val="22"/>
          <w:lang w:val="et-EE"/>
        </w:rPr>
        <w:t>patsientidel on 400 mg/ööpäevas.</w:t>
      </w:r>
    </w:p>
    <w:p w14:paraId="05CA1896" w14:textId="77777777" w:rsidR="00136210" w:rsidRPr="00EC3BD7" w:rsidRDefault="00136210">
      <w:pPr>
        <w:pStyle w:val="EndnoteText"/>
        <w:widowControl w:val="0"/>
        <w:tabs>
          <w:tab w:val="clear" w:pos="567"/>
        </w:tabs>
        <w:rPr>
          <w:color w:val="000000"/>
          <w:szCs w:val="22"/>
          <w:lang w:val="et-EE"/>
        </w:rPr>
      </w:pPr>
    </w:p>
    <w:p w14:paraId="351DDE67" w14:textId="098FE10E" w:rsidR="00136210" w:rsidRPr="00EC3BD7" w:rsidRDefault="00136210">
      <w:pPr>
        <w:pStyle w:val="EndnoteText"/>
        <w:widowControl w:val="0"/>
        <w:tabs>
          <w:tab w:val="clear" w:pos="567"/>
        </w:tabs>
        <w:rPr>
          <w:color w:val="000000"/>
          <w:szCs w:val="22"/>
          <w:lang w:val="et-EE"/>
        </w:rPr>
      </w:pPr>
      <w:r w:rsidRPr="00EC3BD7">
        <w:rPr>
          <w:color w:val="000000"/>
          <w:szCs w:val="22"/>
          <w:lang w:val="et-EE"/>
        </w:rPr>
        <w:t>Ravi kestus: praeguseks ainukeses kliinilises uuringus jätkati ravi Gliveciga kuni haiguse progresseerumiseni (vt lõik</w:t>
      </w:r>
      <w:r w:rsidR="00DB0BC8" w:rsidRPr="00EC3BD7">
        <w:rPr>
          <w:color w:val="000000"/>
          <w:szCs w:val="22"/>
          <w:lang w:val="et-EE"/>
        </w:rPr>
        <w:t> </w:t>
      </w:r>
      <w:r w:rsidRPr="00EC3BD7">
        <w:rPr>
          <w:color w:val="000000"/>
          <w:szCs w:val="22"/>
          <w:lang w:val="et-EE"/>
        </w:rPr>
        <w:t>5.1). Andmete analüüsi ajaks oli ravi kestnud keskmiselt 47 kuud (24 päeva kuni 60 kuud).</w:t>
      </w:r>
    </w:p>
    <w:p w14:paraId="55E9D9D4" w14:textId="77777777" w:rsidR="00136210" w:rsidRPr="00EC3BD7" w:rsidRDefault="00136210">
      <w:pPr>
        <w:pStyle w:val="EndnoteText"/>
        <w:widowControl w:val="0"/>
        <w:tabs>
          <w:tab w:val="clear" w:pos="567"/>
        </w:tabs>
        <w:rPr>
          <w:color w:val="000000"/>
          <w:szCs w:val="22"/>
          <w:lang w:val="et-EE"/>
        </w:rPr>
      </w:pPr>
    </w:p>
    <w:p w14:paraId="07566DA4" w14:textId="77777777" w:rsidR="00136210" w:rsidRPr="00EC3BD7" w:rsidRDefault="00136210" w:rsidP="00B9089D">
      <w:pPr>
        <w:pStyle w:val="EndnoteText"/>
        <w:keepNext/>
        <w:widowControl w:val="0"/>
        <w:tabs>
          <w:tab w:val="clear" w:pos="567"/>
        </w:tabs>
        <w:rPr>
          <w:color w:val="000000"/>
          <w:szCs w:val="22"/>
          <w:u w:val="single"/>
          <w:lang w:val="et-EE"/>
        </w:rPr>
      </w:pPr>
      <w:r w:rsidRPr="00EC3BD7">
        <w:rPr>
          <w:color w:val="000000"/>
          <w:szCs w:val="22"/>
          <w:u w:val="single"/>
          <w:lang w:val="et-EE"/>
        </w:rPr>
        <w:t>Annustamine HES/KEL korral</w:t>
      </w:r>
    </w:p>
    <w:p w14:paraId="19B8D4F8" w14:textId="77777777" w:rsidR="00136210" w:rsidRPr="00EC3BD7" w:rsidRDefault="00136210">
      <w:pPr>
        <w:pStyle w:val="Text"/>
        <w:spacing w:before="0"/>
        <w:jc w:val="left"/>
        <w:rPr>
          <w:color w:val="000000"/>
          <w:sz w:val="22"/>
          <w:szCs w:val="22"/>
          <w:lang w:val="et-EE"/>
        </w:rPr>
      </w:pPr>
      <w:r w:rsidRPr="00EC3BD7">
        <w:rPr>
          <w:color w:val="000000"/>
          <w:sz w:val="22"/>
          <w:szCs w:val="22"/>
          <w:lang w:val="et-EE"/>
        </w:rPr>
        <w:t xml:space="preserve">HES/KEL puhul on Gliveci soovitatav ööpäevane annus </w:t>
      </w:r>
      <w:r w:rsidR="004F34FF" w:rsidRPr="00EC3BD7">
        <w:rPr>
          <w:color w:val="000000"/>
          <w:sz w:val="22"/>
          <w:szCs w:val="22"/>
          <w:lang w:val="et-EE"/>
        </w:rPr>
        <w:t xml:space="preserve">täiskasvanud patsientidel </w:t>
      </w:r>
      <w:r w:rsidRPr="00EC3BD7">
        <w:rPr>
          <w:color w:val="000000"/>
          <w:sz w:val="22"/>
          <w:szCs w:val="22"/>
          <w:lang w:val="et-EE"/>
        </w:rPr>
        <w:t>100 mg.</w:t>
      </w:r>
    </w:p>
    <w:p w14:paraId="62CEDDE5" w14:textId="77777777" w:rsidR="00136210" w:rsidRPr="00EC3BD7" w:rsidRDefault="00136210">
      <w:pPr>
        <w:pStyle w:val="Text"/>
        <w:spacing w:before="0"/>
        <w:jc w:val="left"/>
        <w:rPr>
          <w:color w:val="000000"/>
          <w:sz w:val="22"/>
          <w:szCs w:val="22"/>
          <w:lang w:val="et-EE"/>
        </w:rPr>
      </w:pPr>
    </w:p>
    <w:p w14:paraId="3523960D" w14:textId="77777777" w:rsidR="00136210" w:rsidRPr="00EC3BD7" w:rsidRDefault="00136210">
      <w:pPr>
        <w:pStyle w:val="Text"/>
        <w:spacing w:before="0"/>
        <w:jc w:val="left"/>
        <w:rPr>
          <w:color w:val="000000"/>
          <w:sz w:val="22"/>
          <w:szCs w:val="22"/>
          <w:lang w:val="et-EE"/>
        </w:rPr>
      </w:pPr>
      <w:r w:rsidRPr="00EC3BD7">
        <w:rPr>
          <w:color w:val="000000"/>
          <w:sz w:val="22"/>
          <w:szCs w:val="22"/>
          <w:lang w:val="et-EE"/>
        </w:rPr>
        <w:t>Annuse suurendamist 100 mg-st kuni 400 mg-ni võib kaaluda, kui ilmneb ebapiisav ravivastus ja puuduvad ravimi kõrvaltoimed.</w:t>
      </w:r>
    </w:p>
    <w:p w14:paraId="31402DDE" w14:textId="77777777" w:rsidR="002E6425" w:rsidRPr="00EC3BD7" w:rsidRDefault="002E6425">
      <w:pPr>
        <w:pStyle w:val="Text"/>
        <w:spacing w:before="0"/>
        <w:jc w:val="left"/>
        <w:rPr>
          <w:color w:val="000000"/>
          <w:sz w:val="22"/>
          <w:szCs w:val="22"/>
          <w:lang w:val="et-EE"/>
        </w:rPr>
      </w:pPr>
    </w:p>
    <w:p w14:paraId="062C5985" w14:textId="77777777" w:rsidR="002E6425" w:rsidRPr="00EC3BD7" w:rsidRDefault="002E6425" w:rsidP="002E6425">
      <w:pPr>
        <w:pStyle w:val="Text"/>
        <w:spacing w:before="0"/>
        <w:jc w:val="left"/>
        <w:rPr>
          <w:color w:val="000000"/>
          <w:sz w:val="22"/>
          <w:szCs w:val="22"/>
          <w:lang w:val="et-EE"/>
        </w:rPr>
      </w:pPr>
      <w:r w:rsidRPr="00EC3BD7">
        <w:rPr>
          <w:color w:val="000000"/>
          <w:sz w:val="22"/>
          <w:szCs w:val="22"/>
          <w:lang w:val="et-EE"/>
        </w:rPr>
        <w:t>Ravi tuleb jätkata senikaua, kuni patsient saab ravist kasu.</w:t>
      </w:r>
    </w:p>
    <w:p w14:paraId="6E72FBCF" w14:textId="77777777" w:rsidR="00136210" w:rsidRPr="00EC3BD7" w:rsidRDefault="00136210">
      <w:pPr>
        <w:pStyle w:val="EndnoteText"/>
        <w:widowControl w:val="0"/>
        <w:tabs>
          <w:tab w:val="clear" w:pos="567"/>
        </w:tabs>
        <w:rPr>
          <w:color w:val="000000"/>
          <w:szCs w:val="22"/>
          <w:lang w:val="et-EE"/>
        </w:rPr>
      </w:pPr>
    </w:p>
    <w:p w14:paraId="4C3332C1" w14:textId="326178B9" w:rsidR="00556CBF" w:rsidRPr="00EC3BD7" w:rsidRDefault="00556CBF" w:rsidP="00B9089D">
      <w:pPr>
        <w:pStyle w:val="EndnoteText"/>
        <w:keepNext/>
        <w:widowControl w:val="0"/>
        <w:tabs>
          <w:tab w:val="clear" w:pos="567"/>
        </w:tabs>
        <w:rPr>
          <w:color w:val="000000"/>
          <w:szCs w:val="22"/>
          <w:u w:val="single"/>
          <w:lang w:val="et-EE"/>
        </w:rPr>
      </w:pPr>
      <w:r w:rsidRPr="00EC3BD7">
        <w:rPr>
          <w:color w:val="000000"/>
          <w:szCs w:val="22"/>
          <w:u w:val="single"/>
          <w:lang w:val="et-EE"/>
        </w:rPr>
        <w:t>Annustamine GIST</w:t>
      </w:r>
      <w:r w:rsidR="00DD0F07">
        <w:rPr>
          <w:color w:val="000000"/>
          <w:szCs w:val="22"/>
          <w:u w:val="single"/>
          <w:lang w:val="et-EE"/>
        </w:rPr>
        <w:t>-i</w:t>
      </w:r>
      <w:r w:rsidRPr="00EC3BD7">
        <w:rPr>
          <w:color w:val="000000"/>
          <w:szCs w:val="22"/>
          <w:u w:val="single"/>
          <w:lang w:val="et-EE"/>
        </w:rPr>
        <w:t xml:space="preserve"> korral</w:t>
      </w:r>
    </w:p>
    <w:p w14:paraId="632EE802" w14:textId="296F33D7" w:rsidR="00556CBF" w:rsidRPr="00EC3BD7" w:rsidRDefault="00556CBF" w:rsidP="00556CBF">
      <w:pPr>
        <w:pStyle w:val="EndnoteText"/>
        <w:widowControl w:val="0"/>
        <w:tabs>
          <w:tab w:val="clear" w:pos="567"/>
        </w:tabs>
        <w:rPr>
          <w:color w:val="000000"/>
          <w:szCs w:val="22"/>
          <w:lang w:val="et-EE"/>
        </w:rPr>
      </w:pPr>
      <w:r w:rsidRPr="00EC3BD7">
        <w:rPr>
          <w:color w:val="000000"/>
          <w:szCs w:val="22"/>
          <w:lang w:val="et-EE"/>
        </w:rPr>
        <w:t>Mitteopereeritava ja/või metastaseerunud pahaloomulise GIST</w:t>
      </w:r>
      <w:r w:rsidR="003C155D">
        <w:rPr>
          <w:color w:val="000000"/>
          <w:szCs w:val="22"/>
          <w:lang w:val="et-EE"/>
        </w:rPr>
        <w:t>-i</w:t>
      </w:r>
      <w:r w:rsidRPr="00EC3BD7">
        <w:rPr>
          <w:color w:val="000000"/>
          <w:szCs w:val="22"/>
          <w:lang w:val="et-EE"/>
        </w:rPr>
        <w:t xml:space="preserve"> </w:t>
      </w:r>
      <w:r w:rsidR="0025023C" w:rsidRPr="00EC3BD7">
        <w:rPr>
          <w:color w:val="000000"/>
          <w:szCs w:val="22"/>
          <w:lang w:val="et-EE"/>
        </w:rPr>
        <w:t xml:space="preserve">täiskasvanud </w:t>
      </w:r>
      <w:r w:rsidRPr="00EC3BD7">
        <w:rPr>
          <w:color w:val="000000"/>
          <w:szCs w:val="22"/>
          <w:lang w:val="et-EE"/>
        </w:rPr>
        <w:t>patsientidel on Gliveci soovitatav annus 400 mg/ööpäevas.</w:t>
      </w:r>
    </w:p>
    <w:p w14:paraId="19878306" w14:textId="77777777" w:rsidR="00556CBF" w:rsidRPr="00EC3BD7" w:rsidRDefault="00556CBF" w:rsidP="00556CBF">
      <w:pPr>
        <w:pStyle w:val="EndnoteText"/>
        <w:widowControl w:val="0"/>
        <w:tabs>
          <w:tab w:val="clear" w:pos="567"/>
        </w:tabs>
        <w:rPr>
          <w:color w:val="000000"/>
          <w:szCs w:val="22"/>
          <w:lang w:val="et-EE"/>
        </w:rPr>
      </w:pPr>
    </w:p>
    <w:p w14:paraId="7EBA3F0A" w14:textId="77777777" w:rsidR="00556CBF" w:rsidRPr="00EC3BD7" w:rsidRDefault="00556CBF" w:rsidP="00556CBF">
      <w:pPr>
        <w:pStyle w:val="EndnoteText"/>
        <w:widowControl w:val="0"/>
        <w:tabs>
          <w:tab w:val="clear" w:pos="567"/>
        </w:tabs>
        <w:rPr>
          <w:color w:val="000000"/>
          <w:szCs w:val="22"/>
          <w:lang w:val="et-EE"/>
        </w:rPr>
      </w:pPr>
      <w:r w:rsidRPr="00EC3BD7">
        <w:rPr>
          <w:color w:val="000000"/>
          <w:szCs w:val="22"/>
          <w:lang w:val="et-EE"/>
        </w:rPr>
        <w:t>On olemas piiratud andmed tulemustest, mis saadi annuse suurendamisel 400 mg-lt 600 mg-le või 800 mg-le patsientidel, kellel haigus progresseerus madalama annuse kasutamisel (vt lõik</w:t>
      </w:r>
      <w:r w:rsidR="00DB0BC8" w:rsidRPr="00EC3BD7">
        <w:rPr>
          <w:color w:val="000000"/>
          <w:szCs w:val="22"/>
          <w:lang w:val="et-EE"/>
        </w:rPr>
        <w:t> </w:t>
      </w:r>
      <w:r w:rsidRPr="00EC3BD7">
        <w:rPr>
          <w:color w:val="000000"/>
          <w:szCs w:val="22"/>
          <w:lang w:val="et-EE"/>
        </w:rPr>
        <w:t>5.1).</w:t>
      </w:r>
    </w:p>
    <w:p w14:paraId="4A1155DF" w14:textId="77777777" w:rsidR="00556CBF" w:rsidRPr="00EC3BD7" w:rsidRDefault="00556CBF" w:rsidP="00556CBF">
      <w:pPr>
        <w:pStyle w:val="EndnoteText"/>
        <w:widowControl w:val="0"/>
        <w:tabs>
          <w:tab w:val="clear" w:pos="567"/>
        </w:tabs>
        <w:rPr>
          <w:strike/>
          <w:color w:val="000000"/>
          <w:szCs w:val="22"/>
          <w:lang w:val="et-EE"/>
        </w:rPr>
      </w:pPr>
    </w:p>
    <w:p w14:paraId="161833F1" w14:textId="5FE87DBD" w:rsidR="00556CBF" w:rsidRPr="00EC3BD7" w:rsidRDefault="00556CBF" w:rsidP="00556CBF">
      <w:pPr>
        <w:pStyle w:val="EndnoteText"/>
        <w:widowControl w:val="0"/>
        <w:tabs>
          <w:tab w:val="clear" w:pos="567"/>
        </w:tabs>
        <w:rPr>
          <w:color w:val="000000"/>
          <w:szCs w:val="22"/>
          <w:lang w:val="et-EE"/>
        </w:rPr>
      </w:pPr>
      <w:r w:rsidRPr="00EC3BD7">
        <w:rPr>
          <w:color w:val="000000"/>
          <w:szCs w:val="22"/>
          <w:lang w:val="et-EE"/>
        </w:rPr>
        <w:t>Ravi kestus. GIST</w:t>
      </w:r>
      <w:r w:rsidR="003C155D">
        <w:rPr>
          <w:color w:val="000000"/>
          <w:szCs w:val="22"/>
          <w:lang w:val="et-EE"/>
        </w:rPr>
        <w:t>-i</w:t>
      </w:r>
      <w:r w:rsidRPr="00EC3BD7">
        <w:rPr>
          <w:color w:val="000000"/>
          <w:szCs w:val="22"/>
          <w:lang w:val="et-EE"/>
        </w:rPr>
        <w:t xml:space="preserve"> patsientide kliinilistes uuringutes jätkati Gliveci ravi kuni haiguse progresseerumiseni. Andmete analüüsi ajaks oli ravi kestnud keskmiselt 7 kuud (7 päeva kuni 13 kuud). Ei ole uuritud kuidas mõjub ravi katkestamine pärast positiivse ravitulemuse saavutamist.</w:t>
      </w:r>
    </w:p>
    <w:p w14:paraId="398D558E" w14:textId="77777777" w:rsidR="00556CBF" w:rsidRPr="00EC3BD7" w:rsidRDefault="00556CBF" w:rsidP="00556CBF">
      <w:pPr>
        <w:pStyle w:val="EndnoteText"/>
        <w:widowControl w:val="0"/>
        <w:tabs>
          <w:tab w:val="clear" w:pos="567"/>
        </w:tabs>
        <w:rPr>
          <w:color w:val="000000"/>
          <w:szCs w:val="22"/>
          <w:u w:val="single"/>
          <w:lang w:val="et-EE"/>
        </w:rPr>
      </w:pPr>
    </w:p>
    <w:p w14:paraId="7E17FA7B" w14:textId="3C32873C" w:rsidR="00556CBF" w:rsidRPr="00EC3BD7" w:rsidRDefault="00556CBF" w:rsidP="0058669C">
      <w:pPr>
        <w:pStyle w:val="Text"/>
        <w:spacing w:before="0"/>
        <w:jc w:val="left"/>
        <w:rPr>
          <w:color w:val="000000"/>
          <w:sz w:val="22"/>
          <w:szCs w:val="22"/>
          <w:lang w:val="et-EE"/>
        </w:rPr>
      </w:pPr>
      <w:r w:rsidRPr="00EC3BD7">
        <w:rPr>
          <w:color w:val="000000"/>
          <w:sz w:val="22"/>
          <w:szCs w:val="22"/>
          <w:lang w:val="et-EE"/>
        </w:rPr>
        <w:t>GIST</w:t>
      </w:r>
      <w:r w:rsidR="003C155D">
        <w:rPr>
          <w:color w:val="000000"/>
          <w:sz w:val="22"/>
          <w:szCs w:val="22"/>
          <w:lang w:val="et-EE"/>
        </w:rPr>
        <w:t>-i</w:t>
      </w:r>
      <w:r w:rsidRPr="00EC3BD7">
        <w:rPr>
          <w:color w:val="000000"/>
          <w:sz w:val="22"/>
          <w:szCs w:val="22"/>
          <w:lang w:val="et-EE"/>
        </w:rPr>
        <w:t xml:space="preserve"> resektsiooni järgseks adjuvantraviks täiskasvanud patsientidel on Gliveci soovitatav annus 400 mg/ööpäevas.</w:t>
      </w:r>
      <w:r w:rsidR="00417195" w:rsidRPr="00EC3BD7">
        <w:rPr>
          <w:color w:val="000000"/>
          <w:sz w:val="22"/>
          <w:szCs w:val="22"/>
          <w:lang w:val="et-EE"/>
        </w:rPr>
        <w:t xml:space="preserve"> </w:t>
      </w:r>
      <w:r w:rsidR="00F306D1" w:rsidRPr="00EC3BD7">
        <w:rPr>
          <w:color w:val="000000"/>
          <w:sz w:val="22"/>
          <w:szCs w:val="22"/>
          <w:lang w:val="et-EE"/>
        </w:rPr>
        <w:t xml:space="preserve">Optimaalne ravi kestus ei ole teada. </w:t>
      </w:r>
      <w:r w:rsidR="0018278E" w:rsidRPr="00EC3BD7">
        <w:rPr>
          <w:color w:val="000000"/>
          <w:sz w:val="22"/>
          <w:szCs w:val="22"/>
          <w:lang w:val="et-EE"/>
        </w:rPr>
        <w:t>Sellel näidustusel läbi</w:t>
      </w:r>
      <w:r w:rsidR="00F91ABD" w:rsidRPr="00EC3BD7">
        <w:rPr>
          <w:color w:val="000000"/>
          <w:sz w:val="22"/>
          <w:szCs w:val="22"/>
          <w:lang w:val="et-EE"/>
        </w:rPr>
        <w:t xml:space="preserve"> </w:t>
      </w:r>
      <w:r w:rsidR="0018278E" w:rsidRPr="00EC3BD7">
        <w:rPr>
          <w:color w:val="000000"/>
          <w:sz w:val="22"/>
          <w:szCs w:val="22"/>
          <w:lang w:val="et-EE"/>
        </w:rPr>
        <w:t>viidud k</w:t>
      </w:r>
      <w:r w:rsidR="0058669C" w:rsidRPr="00EC3BD7">
        <w:rPr>
          <w:color w:val="000000"/>
          <w:sz w:val="22"/>
          <w:szCs w:val="22"/>
          <w:lang w:val="et-EE"/>
        </w:rPr>
        <w:t>liinilises uuring</w:t>
      </w:r>
      <w:r w:rsidR="0018278E" w:rsidRPr="00EC3BD7">
        <w:rPr>
          <w:color w:val="000000"/>
          <w:sz w:val="22"/>
          <w:szCs w:val="22"/>
          <w:lang w:val="et-EE"/>
        </w:rPr>
        <w:t>u</w:t>
      </w:r>
      <w:r w:rsidR="0058669C" w:rsidRPr="00EC3BD7">
        <w:rPr>
          <w:color w:val="000000"/>
          <w:sz w:val="22"/>
          <w:szCs w:val="22"/>
          <w:lang w:val="et-EE"/>
        </w:rPr>
        <w:t xml:space="preserve">s oli ravi kestus </w:t>
      </w:r>
      <w:r w:rsidR="002E459C" w:rsidRPr="00EC3BD7">
        <w:rPr>
          <w:color w:val="000000"/>
          <w:sz w:val="22"/>
          <w:szCs w:val="22"/>
          <w:lang w:val="et-EE"/>
        </w:rPr>
        <w:t>36</w:t>
      </w:r>
      <w:r w:rsidR="0058669C" w:rsidRPr="00EC3BD7">
        <w:rPr>
          <w:color w:val="000000"/>
          <w:sz w:val="22"/>
          <w:szCs w:val="22"/>
          <w:lang w:val="et-EE"/>
        </w:rPr>
        <w:t> kuud</w:t>
      </w:r>
      <w:r w:rsidR="002E459C" w:rsidRPr="00EC3BD7">
        <w:rPr>
          <w:color w:val="000000"/>
          <w:sz w:val="22"/>
          <w:szCs w:val="22"/>
          <w:lang w:val="et-EE"/>
        </w:rPr>
        <w:t xml:space="preserve"> (vt lõik</w:t>
      </w:r>
      <w:r w:rsidR="00DB0BC8" w:rsidRPr="00EC3BD7">
        <w:rPr>
          <w:color w:val="000000"/>
          <w:sz w:val="22"/>
          <w:szCs w:val="22"/>
          <w:lang w:val="et-EE"/>
        </w:rPr>
        <w:t> </w:t>
      </w:r>
      <w:r w:rsidR="002E459C" w:rsidRPr="00EC3BD7">
        <w:rPr>
          <w:color w:val="000000"/>
          <w:sz w:val="22"/>
          <w:szCs w:val="22"/>
          <w:lang w:val="et-EE"/>
        </w:rPr>
        <w:t>5.1)</w:t>
      </w:r>
      <w:r w:rsidR="0058669C" w:rsidRPr="00EC3BD7">
        <w:rPr>
          <w:color w:val="000000"/>
          <w:sz w:val="22"/>
          <w:szCs w:val="22"/>
          <w:lang w:val="et-EE"/>
        </w:rPr>
        <w:t>.</w:t>
      </w:r>
    </w:p>
    <w:p w14:paraId="78F12EFA" w14:textId="77777777" w:rsidR="00D76BF9" w:rsidRPr="00EC3BD7" w:rsidRDefault="00D76BF9" w:rsidP="00556CBF">
      <w:pPr>
        <w:pStyle w:val="EndnoteText"/>
        <w:widowControl w:val="0"/>
        <w:tabs>
          <w:tab w:val="clear" w:pos="567"/>
        </w:tabs>
        <w:rPr>
          <w:color w:val="000000"/>
          <w:szCs w:val="22"/>
          <w:u w:val="single"/>
          <w:lang w:val="et-EE"/>
        </w:rPr>
      </w:pPr>
    </w:p>
    <w:p w14:paraId="57A4150B" w14:textId="38E2926D"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u w:val="single"/>
          <w:lang w:val="et-EE"/>
        </w:rPr>
        <w:lastRenderedPageBreak/>
        <w:t>Annustamine PDFS</w:t>
      </w:r>
      <w:r w:rsidR="006F73CE" w:rsidRPr="00593631">
        <w:rPr>
          <w:color w:val="000000"/>
          <w:szCs w:val="22"/>
          <w:lang w:val="et-EE"/>
        </w:rPr>
        <w:t>-i</w:t>
      </w:r>
      <w:r w:rsidRPr="00EC3BD7">
        <w:rPr>
          <w:color w:val="000000"/>
          <w:szCs w:val="22"/>
          <w:u w:val="single"/>
          <w:lang w:val="et-EE"/>
        </w:rPr>
        <w:t xml:space="preserve"> korral</w:t>
      </w:r>
    </w:p>
    <w:p w14:paraId="4CC83A4F" w14:textId="7A0423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Gliveci soovitatav annus PDFS</w:t>
      </w:r>
      <w:r w:rsidR="003C155D">
        <w:rPr>
          <w:color w:val="000000"/>
          <w:szCs w:val="22"/>
          <w:lang w:val="et-EE"/>
        </w:rPr>
        <w:t>-i</w:t>
      </w:r>
      <w:r w:rsidRPr="00EC3BD7">
        <w:rPr>
          <w:color w:val="000000"/>
          <w:szCs w:val="22"/>
          <w:lang w:val="et-EE"/>
        </w:rPr>
        <w:t xml:space="preserve"> </w:t>
      </w:r>
      <w:r w:rsidR="00F43835" w:rsidRPr="00EC3BD7">
        <w:rPr>
          <w:color w:val="000000"/>
          <w:szCs w:val="22"/>
          <w:lang w:val="et-EE"/>
        </w:rPr>
        <w:t xml:space="preserve">täiskasvanud </w:t>
      </w:r>
      <w:r w:rsidRPr="00EC3BD7">
        <w:rPr>
          <w:color w:val="000000"/>
          <w:szCs w:val="22"/>
          <w:lang w:val="et-EE"/>
        </w:rPr>
        <w:t>patsientidel on 800 mg/ööpäevas.</w:t>
      </w:r>
    </w:p>
    <w:p w14:paraId="3871D772" w14:textId="77777777" w:rsidR="00136210" w:rsidRPr="00EC3BD7" w:rsidRDefault="00136210">
      <w:pPr>
        <w:pStyle w:val="EndnoteText"/>
        <w:widowControl w:val="0"/>
        <w:tabs>
          <w:tab w:val="clear" w:pos="567"/>
        </w:tabs>
        <w:rPr>
          <w:color w:val="000000"/>
          <w:szCs w:val="22"/>
          <w:u w:val="single"/>
          <w:lang w:val="et-EE"/>
        </w:rPr>
      </w:pPr>
    </w:p>
    <w:p w14:paraId="0262F5BA" w14:textId="77777777" w:rsidR="00136210" w:rsidRPr="00EC3BD7" w:rsidRDefault="00136210" w:rsidP="00B9089D">
      <w:pPr>
        <w:pStyle w:val="EndnoteText"/>
        <w:keepNext/>
        <w:widowControl w:val="0"/>
        <w:tabs>
          <w:tab w:val="clear" w:pos="567"/>
        </w:tabs>
        <w:rPr>
          <w:color w:val="000000"/>
          <w:szCs w:val="22"/>
          <w:u w:val="single"/>
          <w:lang w:val="et-EE"/>
        </w:rPr>
      </w:pPr>
      <w:r w:rsidRPr="00EC3BD7">
        <w:rPr>
          <w:color w:val="000000"/>
          <w:szCs w:val="22"/>
          <w:u w:val="single"/>
          <w:lang w:val="et-EE"/>
        </w:rPr>
        <w:t>Annuse korrigeerimine kõrvaltoimete esinemisel</w:t>
      </w:r>
    </w:p>
    <w:p w14:paraId="297994B9" w14:textId="77777777" w:rsidR="00136210" w:rsidRPr="00EC3BD7" w:rsidRDefault="00136210" w:rsidP="00B9089D">
      <w:pPr>
        <w:pStyle w:val="EndnoteText"/>
        <w:keepNext/>
        <w:widowControl w:val="0"/>
        <w:tabs>
          <w:tab w:val="clear" w:pos="567"/>
        </w:tabs>
        <w:rPr>
          <w:i/>
          <w:color w:val="000000"/>
          <w:szCs w:val="22"/>
          <w:lang w:val="et-EE"/>
        </w:rPr>
      </w:pPr>
      <w:r w:rsidRPr="00EC3BD7">
        <w:rPr>
          <w:i/>
          <w:color w:val="000000"/>
          <w:szCs w:val="22"/>
          <w:lang w:val="et-EE"/>
        </w:rPr>
        <w:t>Mittehematoloogilised kõrvaltoimed</w:t>
      </w:r>
    </w:p>
    <w:p w14:paraId="384B40DF"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Kui Gliveci kasutamisel tekib raske mittehematoloogiline kõrvaltoime, tuleb nähu kadumiseni ravi peatada. Seejärel võib ravi jätkata, võttes arvesse tekkinud kõrvaltoime esialgset raskusastet.</w:t>
      </w:r>
    </w:p>
    <w:p w14:paraId="3A047651" w14:textId="77777777" w:rsidR="00136210" w:rsidRPr="00EC3BD7" w:rsidRDefault="00136210">
      <w:pPr>
        <w:pStyle w:val="EndnoteText"/>
        <w:widowControl w:val="0"/>
        <w:tabs>
          <w:tab w:val="clear" w:pos="567"/>
        </w:tabs>
        <w:rPr>
          <w:color w:val="000000"/>
          <w:szCs w:val="22"/>
          <w:lang w:val="et-EE"/>
        </w:rPr>
      </w:pPr>
    </w:p>
    <w:p w14:paraId="583BC9F5"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 xml:space="preserve">Bilirubiini taseme tõusul </w:t>
      </w:r>
      <w:r w:rsidRPr="00EC3BD7">
        <w:rPr>
          <w:b/>
          <w:i/>
          <w:snapToGrid w:val="0"/>
          <w:color w:val="000000"/>
          <w:szCs w:val="22"/>
          <w:lang w:val="et-EE"/>
        </w:rPr>
        <w:t>&gt;</w:t>
      </w:r>
      <w:r w:rsidRPr="00EC3BD7">
        <w:rPr>
          <w:color w:val="000000"/>
          <w:szCs w:val="22"/>
          <w:lang w:val="et-EE"/>
        </w:rPr>
        <w:t>3 korda üle normi ülemise piiri (</w:t>
      </w:r>
      <w:r w:rsidRPr="00EC3BD7">
        <w:rPr>
          <w:i/>
          <w:iCs/>
          <w:color w:val="000000"/>
          <w:szCs w:val="22"/>
          <w:lang w:val="et-EE"/>
        </w:rPr>
        <w:t xml:space="preserve">institutional upper limit of normal, </w:t>
      </w:r>
      <w:r w:rsidRPr="00EC3BD7">
        <w:rPr>
          <w:color w:val="000000"/>
          <w:szCs w:val="22"/>
          <w:lang w:val="et-EE"/>
        </w:rPr>
        <w:t xml:space="preserve">IULN) või maksa transaminaaside aktiivsuse tõusul </w:t>
      </w:r>
      <w:r w:rsidRPr="00EC3BD7">
        <w:rPr>
          <w:b/>
          <w:i/>
          <w:snapToGrid w:val="0"/>
          <w:color w:val="000000"/>
          <w:szCs w:val="22"/>
          <w:lang w:val="et-EE"/>
        </w:rPr>
        <w:t>&gt;</w:t>
      </w:r>
      <w:r w:rsidRPr="00EC3BD7">
        <w:rPr>
          <w:color w:val="000000"/>
          <w:szCs w:val="22"/>
          <w:lang w:val="et-EE"/>
        </w:rPr>
        <w:t xml:space="preserve">5 korda üle IULNi, tuleb Gliveci ravi peatada niikauaks, kuni bilirubiini tase on langenud tasemele </w:t>
      </w:r>
      <w:r w:rsidRPr="00EC3BD7">
        <w:rPr>
          <w:b/>
          <w:i/>
          <w:snapToGrid w:val="0"/>
          <w:color w:val="000000"/>
          <w:szCs w:val="22"/>
          <w:lang w:val="et-EE"/>
        </w:rPr>
        <w:t>&lt;</w:t>
      </w:r>
      <w:r w:rsidRPr="00EC3BD7">
        <w:rPr>
          <w:color w:val="000000"/>
          <w:szCs w:val="22"/>
          <w:lang w:val="et-EE"/>
        </w:rPr>
        <w:t xml:space="preserve">1,5 korda üle IULNi ja transaminaaside aktiivsus tasemele </w:t>
      </w:r>
      <w:r w:rsidRPr="00EC3BD7">
        <w:rPr>
          <w:b/>
          <w:i/>
          <w:snapToGrid w:val="0"/>
          <w:color w:val="000000"/>
          <w:szCs w:val="22"/>
          <w:lang w:val="et-EE"/>
        </w:rPr>
        <w:t>&lt;</w:t>
      </w:r>
      <w:r w:rsidRPr="00EC3BD7">
        <w:rPr>
          <w:color w:val="000000"/>
          <w:szCs w:val="22"/>
          <w:lang w:val="et-EE"/>
        </w:rPr>
        <w:t>2,5 korda üle IULNi. Ravi Gliveciga võib seejärel jätkata madalama ööpäevase annusega. Täiskasvanutel tuleb annust vähendada 400 mg-lt 300 mg-le või 600-lt 400 mg-le või 800 mg-lt 600 mg-le ja lastel 340 mg-lt annusele 260 mg/m</w:t>
      </w:r>
      <w:r w:rsidRPr="00EC3BD7">
        <w:rPr>
          <w:color w:val="000000"/>
          <w:szCs w:val="22"/>
          <w:vertAlign w:val="superscript"/>
          <w:lang w:val="et-EE"/>
        </w:rPr>
        <w:t>2</w:t>
      </w:r>
      <w:r w:rsidRPr="00EC3BD7">
        <w:rPr>
          <w:color w:val="000000"/>
          <w:szCs w:val="22"/>
          <w:lang w:val="et-EE"/>
        </w:rPr>
        <w:t>/ööpäevas.</w:t>
      </w:r>
    </w:p>
    <w:p w14:paraId="08BF8F41" w14:textId="77777777" w:rsidR="00136210" w:rsidRPr="00EC3BD7" w:rsidRDefault="00136210">
      <w:pPr>
        <w:pStyle w:val="EndnoteText"/>
        <w:widowControl w:val="0"/>
        <w:tabs>
          <w:tab w:val="clear" w:pos="567"/>
        </w:tabs>
        <w:rPr>
          <w:color w:val="000000"/>
          <w:szCs w:val="22"/>
          <w:lang w:val="et-EE"/>
        </w:rPr>
      </w:pPr>
    </w:p>
    <w:p w14:paraId="37E75C86" w14:textId="77777777" w:rsidR="00136210" w:rsidRPr="00EC3BD7" w:rsidRDefault="00136210" w:rsidP="00B9089D">
      <w:pPr>
        <w:pStyle w:val="EndnoteText"/>
        <w:keepNext/>
        <w:widowControl w:val="0"/>
        <w:tabs>
          <w:tab w:val="clear" w:pos="567"/>
        </w:tabs>
        <w:rPr>
          <w:i/>
          <w:color w:val="000000"/>
          <w:szCs w:val="22"/>
          <w:lang w:val="et-EE"/>
        </w:rPr>
      </w:pPr>
      <w:r w:rsidRPr="00EC3BD7">
        <w:rPr>
          <w:i/>
          <w:color w:val="000000"/>
          <w:szCs w:val="22"/>
          <w:lang w:val="et-EE"/>
        </w:rPr>
        <w:t>Hematoloogilised kõrvaltoimed</w:t>
      </w:r>
    </w:p>
    <w:p w14:paraId="41D54517"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Raske neutropeenia ja trombotsütopeenia korral soovitatakse annuseid vähendada vastavalt alltoodud tabelile.</w:t>
      </w:r>
    </w:p>
    <w:p w14:paraId="2DC856FA" w14:textId="77777777" w:rsidR="00136210" w:rsidRPr="00EC3BD7" w:rsidRDefault="00136210">
      <w:pPr>
        <w:pStyle w:val="EndnoteText"/>
        <w:widowControl w:val="0"/>
        <w:tabs>
          <w:tab w:val="clear" w:pos="567"/>
        </w:tabs>
        <w:rPr>
          <w:color w:val="000000"/>
          <w:szCs w:val="22"/>
          <w:lang w:val="et-EE"/>
        </w:rPr>
      </w:pPr>
    </w:p>
    <w:p w14:paraId="79BD8391"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Annuse korrigeerimine neutropeenia ja trombotsütopeenia korral:</w:t>
      </w:r>
    </w:p>
    <w:p w14:paraId="766D4E34" w14:textId="77777777" w:rsidR="00136210" w:rsidRPr="00EC3BD7" w:rsidRDefault="00136210" w:rsidP="00B9089D">
      <w:pPr>
        <w:pStyle w:val="EndnoteText"/>
        <w:keepNext/>
        <w:widowControl w:val="0"/>
        <w:tabs>
          <w:tab w:val="clear" w:pos="567"/>
        </w:tabs>
        <w:rPr>
          <w:color w:val="000000"/>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136210" w:rsidRPr="00EC3BD7" w14:paraId="273BFDD9" w14:textId="77777777" w:rsidTr="00F53D51">
        <w:trPr>
          <w:cantSplit/>
        </w:trPr>
        <w:tc>
          <w:tcPr>
            <w:tcW w:w="2376" w:type="dxa"/>
          </w:tcPr>
          <w:p w14:paraId="5A5E1CE5"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HES/KEL (algannus 100 mg)</w:t>
            </w:r>
          </w:p>
        </w:tc>
        <w:tc>
          <w:tcPr>
            <w:tcW w:w="2400" w:type="dxa"/>
          </w:tcPr>
          <w:p w14:paraId="67876EB5" w14:textId="77777777" w:rsidR="00136210" w:rsidRPr="00EC3BD7" w:rsidRDefault="00136210">
            <w:pPr>
              <w:pStyle w:val="Table"/>
              <w:keepNext w:val="0"/>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Neutrofiilide absoluutarv on &lt;1,0x10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p w14:paraId="51AEF6B6" w14:textId="77777777" w:rsidR="00136210" w:rsidRPr="00EC3BD7" w:rsidRDefault="00136210">
            <w:pPr>
              <w:pStyle w:val="Table"/>
              <w:keepNext w:val="0"/>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ja/või</w:t>
            </w:r>
          </w:p>
          <w:p w14:paraId="403B7F9B" w14:textId="77777777" w:rsidR="00136210" w:rsidRPr="00EC3BD7" w:rsidRDefault="00136210">
            <w:pPr>
              <w:pStyle w:val="Table"/>
              <w:keepNext w:val="0"/>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trombotsüüte &lt;50x10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tc>
        <w:tc>
          <w:tcPr>
            <w:tcW w:w="4404" w:type="dxa"/>
          </w:tcPr>
          <w:p w14:paraId="459B2ED5" w14:textId="77777777" w:rsidR="00136210" w:rsidRPr="00EC3BD7" w:rsidRDefault="00B8576E" w:rsidP="00B8576E">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1.</w:t>
            </w:r>
            <w:r w:rsidRPr="00EC3BD7">
              <w:rPr>
                <w:rFonts w:ascii="Times New Roman" w:hAnsi="Times New Roman"/>
                <w:color w:val="000000"/>
                <w:sz w:val="22"/>
                <w:szCs w:val="22"/>
                <w:lang w:val="et-EE"/>
              </w:rPr>
              <w:tab/>
            </w:r>
            <w:r w:rsidR="00136210" w:rsidRPr="00EC3BD7">
              <w:rPr>
                <w:rFonts w:ascii="Times New Roman" w:hAnsi="Times New Roman"/>
                <w:color w:val="000000"/>
                <w:sz w:val="22"/>
                <w:szCs w:val="22"/>
                <w:lang w:val="et-EE"/>
              </w:rPr>
              <w:t xml:space="preserve">Katkestada Gliveci ravi kuni neutrofiilide absoluutarv on </w:t>
            </w:r>
            <w:r w:rsidR="00136210" w:rsidRPr="00EC3BD7">
              <w:rPr>
                <w:rFonts w:ascii="Times New Roman" w:hAnsi="Times New Roman"/>
                <w:color w:val="000000"/>
                <w:sz w:val="22"/>
                <w:szCs w:val="22"/>
                <w:lang w:val="et-EE"/>
              </w:rPr>
              <w:sym w:font="Symbol" w:char="F0B3"/>
            </w:r>
            <w:r w:rsidR="00136210" w:rsidRPr="00EC3BD7">
              <w:rPr>
                <w:rFonts w:ascii="Times New Roman" w:hAnsi="Times New Roman"/>
                <w:color w:val="000000"/>
                <w:sz w:val="22"/>
                <w:szCs w:val="22"/>
                <w:lang w:val="et-EE"/>
              </w:rPr>
              <w:t>1,5x10</w:t>
            </w:r>
            <w:r w:rsidR="00136210" w:rsidRPr="00EC3BD7">
              <w:rPr>
                <w:rFonts w:ascii="Times New Roman" w:hAnsi="Times New Roman"/>
                <w:color w:val="000000"/>
                <w:sz w:val="22"/>
                <w:szCs w:val="22"/>
                <w:vertAlign w:val="superscript"/>
                <w:lang w:val="et-EE"/>
              </w:rPr>
              <w:t>9</w:t>
            </w:r>
            <w:r w:rsidR="00136210" w:rsidRPr="00EC3BD7">
              <w:rPr>
                <w:rFonts w:ascii="Times New Roman" w:hAnsi="Times New Roman"/>
                <w:color w:val="000000"/>
                <w:sz w:val="22"/>
                <w:szCs w:val="22"/>
                <w:lang w:val="et-EE"/>
              </w:rPr>
              <w:t xml:space="preserve">/l ja trombotsüüte </w:t>
            </w:r>
            <w:r w:rsidR="00136210" w:rsidRPr="00EC3BD7">
              <w:rPr>
                <w:rFonts w:ascii="Times New Roman" w:hAnsi="Times New Roman"/>
                <w:color w:val="000000"/>
                <w:sz w:val="22"/>
                <w:szCs w:val="22"/>
                <w:lang w:val="et-EE"/>
              </w:rPr>
              <w:sym w:font="Symbol" w:char="F0B3"/>
            </w:r>
            <w:r w:rsidR="00136210" w:rsidRPr="00EC3BD7">
              <w:rPr>
                <w:rFonts w:ascii="Times New Roman" w:hAnsi="Times New Roman"/>
                <w:color w:val="000000"/>
                <w:sz w:val="22"/>
                <w:szCs w:val="22"/>
                <w:lang w:val="et-EE"/>
              </w:rPr>
              <w:t>75x10</w:t>
            </w:r>
            <w:r w:rsidR="00136210" w:rsidRPr="00EC3BD7">
              <w:rPr>
                <w:rFonts w:ascii="Times New Roman" w:hAnsi="Times New Roman"/>
                <w:color w:val="000000"/>
                <w:sz w:val="22"/>
                <w:szCs w:val="22"/>
                <w:vertAlign w:val="superscript"/>
                <w:lang w:val="et-EE"/>
              </w:rPr>
              <w:t>9</w:t>
            </w:r>
            <w:r w:rsidR="00136210" w:rsidRPr="00EC3BD7">
              <w:rPr>
                <w:rFonts w:ascii="Times New Roman" w:hAnsi="Times New Roman"/>
                <w:color w:val="000000"/>
                <w:sz w:val="22"/>
                <w:szCs w:val="22"/>
                <w:lang w:val="et-EE"/>
              </w:rPr>
              <w:t>/l.</w:t>
            </w:r>
          </w:p>
          <w:p w14:paraId="6D606CD4" w14:textId="77777777" w:rsidR="00136210" w:rsidRPr="00EC3BD7" w:rsidRDefault="00B8576E" w:rsidP="006B6C08">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2.</w:t>
            </w:r>
            <w:r w:rsidRPr="00EC3BD7">
              <w:rPr>
                <w:rFonts w:ascii="Times New Roman" w:hAnsi="Times New Roman"/>
                <w:color w:val="000000"/>
                <w:sz w:val="22"/>
                <w:szCs w:val="22"/>
                <w:lang w:val="et-EE"/>
              </w:rPr>
              <w:tab/>
            </w:r>
            <w:r w:rsidR="00136210" w:rsidRPr="00EC3BD7">
              <w:rPr>
                <w:rFonts w:ascii="Times New Roman" w:hAnsi="Times New Roman"/>
                <w:color w:val="000000"/>
                <w:sz w:val="22"/>
                <w:szCs w:val="22"/>
                <w:lang w:val="et-EE"/>
              </w:rPr>
              <w:t>Jätkata ravi Gliveci varasema annusega (st annusega enne kõrvaltoimet).</w:t>
            </w:r>
          </w:p>
        </w:tc>
      </w:tr>
      <w:tr w:rsidR="00136210" w:rsidRPr="005D29F8" w14:paraId="49A5E72B" w14:textId="77777777" w:rsidTr="00F53D51">
        <w:trPr>
          <w:cantSplit/>
        </w:trPr>
        <w:tc>
          <w:tcPr>
            <w:tcW w:w="2376" w:type="dxa"/>
          </w:tcPr>
          <w:p w14:paraId="438638FC" w14:textId="77777777" w:rsidR="00136210" w:rsidRPr="00EC3BD7" w:rsidRDefault="00136210">
            <w:pPr>
              <w:pStyle w:val="EndnoteText"/>
              <w:widowControl w:val="0"/>
              <w:tabs>
                <w:tab w:val="clear" w:pos="567"/>
              </w:tabs>
              <w:rPr>
                <w:color w:val="000000"/>
                <w:szCs w:val="22"/>
                <w:lang w:val="et-EE"/>
              </w:rPr>
            </w:pPr>
            <w:smartTag w:uri="urn:schemas-microsoft-com:office:smarttags" w:element="stockticker">
              <w:r w:rsidRPr="00EC3BD7">
                <w:rPr>
                  <w:color w:val="000000"/>
                  <w:szCs w:val="22"/>
                  <w:lang w:val="et-EE"/>
                </w:rPr>
                <w:t>KML</w:t>
              </w:r>
            </w:smartTag>
            <w:r w:rsidRPr="00EC3BD7">
              <w:rPr>
                <w:color w:val="000000"/>
                <w:szCs w:val="22"/>
                <w:lang w:val="et-EE"/>
              </w:rPr>
              <w:t xml:space="preserve"> krooniline faas, </w:t>
            </w:r>
            <w:smartTag w:uri="urn:schemas-microsoft-com:office:smarttags" w:element="stockticker">
              <w:r w:rsidRPr="00EC3BD7">
                <w:rPr>
                  <w:color w:val="000000"/>
                  <w:szCs w:val="22"/>
                  <w:lang w:val="et-EE"/>
                </w:rPr>
                <w:t>MDS</w:t>
              </w:r>
            </w:smartTag>
            <w:r w:rsidRPr="00EC3BD7">
              <w:rPr>
                <w:color w:val="000000"/>
                <w:szCs w:val="22"/>
                <w:lang w:val="et-EE"/>
              </w:rPr>
              <w:t>/MPD ja GIST (algannus 400 mg)</w:t>
            </w:r>
          </w:p>
          <w:p w14:paraId="0F44FC82"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HES/KEL (annus 400 mg)</w:t>
            </w:r>
          </w:p>
        </w:tc>
        <w:tc>
          <w:tcPr>
            <w:tcW w:w="2400" w:type="dxa"/>
          </w:tcPr>
          <w:p w14:paraId="6497BC59" w14:textId="77777777" w:rsidR="00136210" w:rsidRPr="00EC3BD7" w:rsidRDefault="00136210">
            <w:pPr>
              <w:pStyle w:val="Table"/>
              <w:keepNext w:val="0"/>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Neutrofiilide absoluutarv on &lt;1,0x10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p w14:paraId="2C219A38" w14:textId="77777777" w:rsidR="00136210" w:rsidRPr="00EC3BD7" w:rsidRDefault="00136210">
            <w:pPr>
              <w:pStyle w:val="Table"/>
              <w:keepNext w:val="0"/>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ja/või</w:t>
            </w:r>
          </w:p>
          <w:p w14:paraId="202621CC"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trombotsüüte &lt;50x10</w:t>
            </w:r>
            <w:r w:rsidRPr="00EC3BD7">
              <w:rPr>
                <w:color w:val="000000"/>
                <w:szCs w:val="22"/>
                <w:vertAlign w:val="superscript"/>
                <w:lang w:val="et-EE"/>
              </w:rPr>
              <w:t>9</w:t>
            </w:r>
            <w:r w:rsidRPr="00EC3BD7">
              <w:rPr>
                <w:color w:val="000000"/>
                <w:szCs w:val="22"/>
                <w:lang w:val="et-EE"/>
              </w:rPr>
              <w:t>/l</w:t>
            </w:r>
          </w:p>
        </w:tc>
        <w:tc>
          <w:tcPr>
            <w:tcW w:w="4404" w:type="dxa"/>
          </w:tcPr>
          <w:p w14:paraId="71EB6593" w14:textId="77777777" w:rsidR="00136210" w:rsidRPr="00EC3BD7" w:rsidRDefault="00B8576E" w:rsidP="00B8576E">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1.</w:t>
            </w:r>
            <w:r w:rsidRPr="00EC3BD7">
              <w:rPr>
                <w:rFonts w:ascii="Times New Roman" w:hAnsi="Times New Roman"/>
                <w:color w:val="000000"/>
                <w:sz w:val="22"/>
                <w:szCs w:val="22"/>
                <w:lang w:val="et-EE"/>
              </w:rPr>
              <w:tab/>
            </w:r>
            <w:r w:rsidR="00136210" w:rsidRPr="00EC3BD7">
              <w:rPr>
                <w:rFonts w:ascii="Times New Roman" w:hAnsi="Times New Roman"/>
                <w:color w:val="000000"/>
                <w:sz w:val="22"/>
                <w:szCs w:val="22"/>
                <w:lang w:val="et-EE"/>
              </w:rPr>
              <w:t xml:space="preserve">Katkestada Gliveci ravi kuni neutrofiilide absoluutarv on </w:t>
            </w:r>
            <w:r w:rsidR="00136210" w:rsidRPr="00EC3BD7">
              <w:rPr>
                <w:rFonts w:ascii="Times New Roman" w:hAnsi="Times New Roman"/>
                <w:color w:val="000000"/>
                <w:sz w:val="22"/>
                <w:szCs w:val="22"/>
                <w:lang w:val="et-EE"/>
              </w:rPr>
              <w:sym w:font="Symbol" w:char="F0B3"/>
            </w:r>
            <w:r w:rsidR="00136210" w:rsidRPr="00EC3BD7">
              <w:rPr>
                <w:rFonts w:ascii="Times New Roman" w:hAnsi="Times New Roman"/>
                <w:color w:val="000000"/>
                <w:sz w:val="22"/>
                <w:szCs w:val="22"/>
                <w:lang w:val="et-EE"/>
              </w:rPr>
              <w:t>1,5x10</w:t>
            </w:r>
            <w:r w:rsidR="00136210" w:rsidRPr="00EC3BD7">
              <w:rPr>
                <w:rFonts w:ascii="Times New Roman" w:hAnsi="Times New Roman"/>
                <w:color w:val="000000"/>
                <w:sz w:val="22"/>
                <w:szCs w:val="22"/>
                <w:vertAlign w:val="superscript"/>
                <w:lang w:val="et-EE"/>
              </w:rPr>
              <w:t>9</w:t>
            </w:r>
            <w:r w:rsidR="00136210" w:rsidRPr="00EC3BD7">
              <w:rPr>
                <w:rFonts w:ascii="Times New Roman" w:hAnsi="Times New Roman"/>
                <w:color w:val="000000"/>
                <w:sz w:val="22"/>
                <w:szCs w:val="22"/>
                <w:lang w:val="et-EE"/>
              </w:rPr>
              <w:t xml:space="preserve">/l ja trombotsüüte </w:t>
            </w:r>
            <w:r w:rsidR="00136210" w:rsidRPr="00EC3BD7">
              <w:rPr>
                <w:rFonts w:ascii="Times New Roman" w:hAnsi="Times New Roman"/>
                <w:color w:val="000000"/>
                <w:sz w:val="22"/>
                <w:szCs w:val="22"/>
                <w:lang w:val="et-EE"/>
              </w:rPr>
              <w:sym w:font="Symbol" w:char="F0B3"/>
            </w:r>
            <w:r w:rsidR="00136210" w:rsidRPr="00EC3BD7">
              <w:rPr>
                <w:rFonts w:ascii="Times New Roman" w:hAnsi="Times New Roman"/>
                <w:color w:val="000000"/>
                <w:sz w:val="22"/>
                <w:szCs w:val="22"/>
                <w:lang w:val="et-EE"/>
              </w:rPr>
              <w:t>75x10</w:t>
            </w:r>
            <w:r w:rsidR="00136210" w:rsidRPr="00EC3BD7">
              <w:rPr>
                <w:rFonts w:ascii="Times New Roman" w:hAnsi="Times New Roman"/>
                <w:color w:val="000000"/>
                <w:sz w:val="22"/>
                <w:szCs w:val="22"/>
                <w:vertAlign w:val="superscript"/>
                <w:lang w:val="et-EE"/>
              </w:rPr>
              <w:t>9</w:t>
            </w:r>
            <w:r w:rsidR="00136210" w:rsidRPr="00EC3BD7">
              <w:rPr>
                <w:rFonts w:ascii="Times New Roman" w:hAnsi="Times New Roman"/>
                <w:color w:val="000000"/>
                <w:sz w:val="22"/>
                <w:szCs w:val="22"/>
                <w:lang w:val="et-EE"/>
              </w:rPr>
              <w:t>/l.</w:t>
            </w:r>
          </w:p>
          <w:p w14:paraId="6EA4A9C4" w14:textId="77777777" w:rsidR="00136210" w:rsidRPr="00EC3BD7" w:rsidRDefault="00B8576E" w:rsidP="00B8576E">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2.</w:t>
            </w:r>
            <w:r w:rsidRPr="00EC3BD7">
              <w:rPr>
                <w:rFonts w:ascii="Times New Roman" w:hAnsi="Times New Roman"/>
                <w:color w:val="000000"/>
                <w:sz w:val="22"/>
                <w:szCs w:val="22"/>
                <w:lang w:val="et-EE"/>
              </w:rPr>
              <w:tab/>
            </w:r>
            <w:r w:rsidR="00136210" w:rsidRPr="00EC3BD7">
              <w:rPr>
                <w:rFonts w:ascii="Times New Roman" w:hAnsi="Times New Roman"/>
                <w:color w:val="000000"/>
                <w:sz w:val="22"/>
                <w:szCs w:val="22"/>
                <w:lang w:val="et-EE"/>
              </w:rPr>
              <w:t>Jätkata ravi Gliveci varasema annusega (st annusega enne kõrvaltoimet).</w:t>
            </w:r>
          </w:p>
          <w:p w14:paraId="3E11BDAA" w14:textId="77777777" w:rsidR="00136210" w:rsidRPr="00EC3BD7" w:rsidRDefault="00B8576E" w:rsidP="006B6C08">
            <w:pPr>
              <w:pStyle w:val="EndnoteText"/>
              <w:widowControl w:val="0"/>
              <w:tabs>
                <w:tab w:val="clear" w:pos="567"/>
              </w:tabs>
              <w:ind w:left="558" w:hanging="558"/>
              <w:rPr>
                <w:color w:val="000000"/>
                <w:szCs w:val="22"/>
                <w:lang w:val="et-EE"/>
              </w:rPr>
            </w:pPr>
            <w:r w:rsidRPr="00EC3BD7">
              <w:rPr>
                <w:color w:val="000000"/>
                <w:szCs w:val="22"/>
                <w:lang w:val="et-EE"/>
              </w:rPr>
              <w:t>3.</w:t>
            </w:r>
            <w:r w:rsidRPr="00EC3BD7">
              <w:rPr>
                <w:color w:val="000000"/>
                <w:szCs w:val="22"/>
                <w:lang w:val="et-EE"/>
              </w:rPr>
              <w:tab/>
            </w:r>
            <w:r w:rsidR="00136210" w:rsidRPr="00EC3BD7">
              <w:rPr>
                <w:color w:val="000000"/>
                <w:szCs w:val="22"/>
                <w:lang w:val="et-EE"/>
              </w:rPr>
              <w:t>Kui neutrofiilide absoluutarv langeb &lt;1,0x10</w:t>
            </w:r>
            <w:r w:rsidR="00136210" w:rsidRPr="00EC3BD7">
              <w:rPr>
                <w:color w:val="000000"/>
                <w:szCs w:val="22"/>
                <w:vertAlign w:val="superscript"/>
                <w:lang w:val="et-EE"/>
              </w:rPr>
              <w:t>9</w:t>
            </w:r>
            <w:r w:rsidR="00136210" w:rsidRPr="00EC3BD7">
              <w:rPr>
                <w:color w:val="000000"/>
                <w:szCs w:val="22"/>
                <w:lang w:val="et-EE"/>
              </w:rPr>
              <w:t>/l ja/või trombotsüüte &lt;50x10</w:t>
            </w:r>
            <w:r w:rsidR="00136210" w:rsidRPr="00EC3BD7">
              <w:rPr>
                <w:color w:val="000000"/>
                <w:szCs w:val="22"/>
                <w:vertAlign w:val="superscript"/>
                <w:lang w:val="et-EE"/>
              </w:rPr>
              <w:t>9</w:t>
            </w:r>
            <w:r w:rsidR="00136210" w:rsidRPr="00EC3BD7">
              <w:rPr>
                <w:color w:val="000000"/>
                <w:szCs w:val="22"/>
                <w:lang w:val="et-EE"/>
              </w:rPr>
              <w:t>/l, korrata punkti 1 soovitust ja jätkata Gliveci ravi vähendatud annusega 300 mg.</w:t>
            </w:r>
          </w:p>
        </w:tc>
      </w:tr>
      <w:tr w:rsidR="00136210" w:rsidRPr="005D29F8" w14:paraId="3BFF18BE" w14:textId="77777777" w:rsidTr="00F53D51">
        <w:trPr>
          <w:cantSplit/>
        </w:trPr>
        <w:tc>
          <w:tcPr>
            <w:tcW w:w="2376" w:type="dxa"/>
            <w:tcBorders>
              <w:bottom w:val="single" w:sz="4" w:space="0" w:color="auto"/>
            </w:tcBorders>
          </w:tcPr>
          <w:p w14:paraId="7CA2303D" w14:textId="77777777" w:rsidR="00136210" w:rsidRPr="00EC3BD7" w:rsidRDefault="00136210">
            <w:pPr>
              <w:pStyle w:val="EndnoteText"/>
              <w:widowControl w:val="0"/>
              <w:tabs>
                <w:tab w:val="clear" w:pos="567"/>
              </w:tabs>
              <w:rPr>
                <w:color w:val="000000"/>
                <w:szCs w:val="22"/>
                <w:lang w:val="et-EE"/>
              </w:rPr>
            </w:pPr>
            <w:smartTag w:uri="urn:schemas-microsoft-com:office:smarttags" w:element="stockticker">
              <w:r w:rsidRPr="00EC3BD7">
                <w:rPr>
                  <w:color w:val="000000"/>
                  <w:szCs w:val="22"/>
                  <w:lang w:val="et-EE"/>
                </w:rPr>
                <w:t>KML</w:t>
              </w:r>
            </w:smartTag>
            <w:r w:rsidRPr="00EC3BD7">
              <w:rPr>
                <w:color w:val="000000"/>
                <w:szCs w:val="22"/>
                <w:lang w:val="et-EE"/>
              </w:rPr>
              <w:t xml:space="preserve"> krooniline faas lastel (annus 340 mg/m</w:t>
            </w:r>
            <w:r w:rsidRPr="00EC3BD7">
              <w:rPr>
                <w:color w:val="000000"/>
                <w:szCs w:val="22"/>
                <w:vertAlign w:val="superscript"/>
                <w:lang w:val="et-EE"/>
              </w:rPr>
              <w:t>2</w:t>
            </w:r>
            <w:r w:rsidRPr="00EC3BD7">
              <w:rPr>
                <w:color w:val="000000"/>
                <w:szCs w:val="22"/>
                <w:lang w:val="et-EE"/>
              </w:rPr>
              <w:t>)</w:t>
            </w:r>
          </w:p>
        </w:tc>
        <w:tc>
          <w:tcPr>
            <w:tcW w:w="2400" w:type="dxa"/>
            <w:tcBorders>
              <w:bottom w:val="single" w:sz="4" w:space="0" w:color="auto"/>
            </w:tcBorders>
          </w:tcPr>
          <w:p w14:paraId="75218945" w14:textId="77777777" w:rsidR="00136210" w:rsidRPr="00EC3BD7" w:rsidRDefault="00136210">
            <w:pPr>
              <w:pStyle w:val="Table"/>
              <w:keepNext w:val="0"/>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Neutrofiilide absoluutarv on &lt;1,0x10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p w14:paraId="229C18AD" w14:textId="77777777" w:rsidR="00136210" w:rsidRPr="00EC3BD7" w:rsidRDefault="00136210">
            <w:pPr>
              <w:pStyle w:val="Table"/>
              <w:keepNext w:val="0"/>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ja/või</w:t>
            </w:r>
          </w:p>
          <w:p w14:paraId="596B5B05" w14:textId="77777777" w:rsidR="00136210" w:rsidRPr="00EC3BD7" w:rsidRDefault="00136210">
            <w:pPr>
              <w:pStyle w:val="Table"/>
              <w:keepNext w:val="0"/>
              <w:keepLines w:val="0"/>
              <w:widowControl w:val="0"/>
              <w:suppressLineNumbers/>
              <w:spacing w:before="0" w:after="0"/>
              <w:rPr>
                <w:rFonts w:ascii="Times New Roman" w:hAnsi="Times New Roman"/>
                <w:color w:val="000000"/>
                <w:sz w:val="22"/>
                <w:szCs w:val="22"/>
                <w:vertAlign w:val="superscript"/>
                <w:lang w:val="et-EE"/>
              </w:rPr>
            </w:pPr>
            <w:r w:rsidRPr="00EC3BD7">
              <w:rPr>
                <w:rFonts w:ascii="Times New Roman" w:hAnsi="Times New Roman"/>
                <w:color w:val="000000"/>
                <w:sz w:val="22"/>
                <w:szCs w:val="22"/>
                <w:lang w:val="et-EE"/>
              </w:rPr>
              <w:t>trombotsüüte &lt;50x10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tc>
        <w:tc>
          <w:tcPr>
            <w:tcW w:w="4404" w:type="dxa"/>
            <w:tcBorders>
              <w:bottom w:val="single" w:sz="4" w:space="0" w:color="auto"/>
            </w:tcBorders>
          </w:tcPr>
          <w:p w14:paraId="068FB52C" w14:textId="77777777" w:rsidR="00136210" w:rsidRPr="00EC3BD7" w:rsidRDefault="00B8576E" w:rsidP="00B8576E">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1.</w:t>
            </w:r>
            <w:r w:rsidRPr="00EC3BD7">
              <w:rPr>
                <w:rFonts w:ascii="Times New Roman" w:hAnsi="Times New Roman"/>
                <w:color w:val="000000"/>
                <w:sz w:val="22"/>
                <w:szCs w:val="22"/>
                <w:lang w:val="et-EE"/>
              </w:rPr>
              <w:tab/>
            </w:r>
            <w:r w:rsidR="00136210" w:rsidRPr="00EC3BD7">
              <w:rPr>
                <w:rFonts w:ascii="Times New Roman" w:hAnsi="Times New Roman"/>
                <w:color w:val="000000"/>
                <w:sz w:val="22"/>
                <w:szCs w:val="22"/>
                <w:lang w:val="et-EE"/>
              </w:rPr>
              <w:t xml:space="preserve">Katkestada Gliveci ravi kuni neutrofiilide absoluutarv on </w:t>
            </w:r>
            <w:r w:rsidR="00136210" w:rsidRPr="00EC3BD7">
              <w:rPr>
                <w:rFonts w:ascii="Times New Roman" w:hAnsi="Times New Roman"/>
                <w:color w:val="000000"/>
                <w:sz w:val="22"/>
                <w:szCs w:val="22"/>
                <w:lang w:val="et-EE"/>
              </w:rPr>
              <w:sym w:font="Symbol" w:char="F0B3"/>
            </w:r>
            <w:r w:rsidR="00136210" w:rsidRPr="00EC3BD7">
              <w:rPr>
                <w:rFonts w:ascii="Times New Roman" w:hAnsi="Times New Roman"/>
                <w:color w:val="000000"/>
                <w:sz w:val="22"/>
                <w:szCs w:val="22"/>
                <w:lang w:val="et-EE"/>
              </w:rPr>
              <w:t>1,5x10</w:t>
            </w:r>
            <w:r w:rsidR="00136210" w:rsidRPr="00EC3BD7">
              <w:rPr>
                <w:rFonts w:ascii="Times New Roman" w:hAnsi="Times New Roman"/>
                <w:color w:val="000000"/>
                <w:sz w:val="22"/>
                <w:szCs w:val="22"/>
                <w:vertAlign w:val="superscript"/>
                <w:lang w:val="et-EE"/>
              </w:rPr>
              <w:t>9</w:t>
            </w:r>
            <w:r w:rsidR="00136210" w:rsidRPr="00EC3BD7">
              <w:rPr>
                <w:rFonts w:ascii="Times New Roman" w:hAnsi="Times New Roman"/>
                <w:color w:val="000000"/>
                <w:sz w:val="22"/>
                <w:szCs w:val="22"/>
                <w:lang w:val="et-EE"/>
              </w:rPr>
              <w:t xml:space="preserve">/l ja trombotsüüte </w:t>
            </w:r>
            <w:r w:rsidR="00136210" w:rsidRPr="00EC3BD7">
              <w:rPr>
                <w:rFonts w:ascii="Times New Roman" w:hAnsi="Times New Roman"/>
                <w:color w:val="000000"/>
                <w:sz w:val="22"/>
                <w:szCs w:val="22"/>
                <w:lang w:val="et-EE"/>
              </w:rPr>
              <w:sym w:font="Symbol" w:char="F0B3"/>
            </w:r>
            <w:r w:rsidR="00136210" w:rsidRPr="00EC3BD7">
              <w:rPr>
                <w:rFonts w:ascii="Times New Roman" w:hAnsi="Times New Roman"/>
                <w:color w:val="000000"/>
                <w:sz w:val="22"/>
                <w:szCs w:val="22"/>
                <w:lang w:val="et-EE"/>
              </w:rPr>
              <w:t>75x10</w:t>
            </w:r>
            <w:r w:rsidR="00136210" w:rsidRPr="00EC3BD7">
              <w:rPr>
                <w:rFonts w:ascii="Times New Roman" w:hAnsi="Times New Roman"/>
                <w:color w:val="000000"/>
                <w:sz w:val="22"/>
                <w:szCs w:val="22"/>
                <w:vertAlign w:val="superscript"/>
                <w:lang w:val="et-EE"/>
              </w:rPr>
              <w:t>9</w:t>
            </w:r>
            <w:r w:rsidR="00136210" w:rsidRPr="00EC3BD7">
              <w:rPr>
                <w:rFonts w:ascii="Times New Roman" w:hAnsi="Times New Roman"/>
                <w:color w:val="000000"/>
                <w:sz w:val="22"/>
                <w:szCs w:val="22"/>
                <w:lang w:val="et-EE"/>
              </w:rPr>
              <w:t>/l.</w:t>
            </w:r>
          </w:p>
          <w:p w14:paraId="5226111B" w14:textId="77777777" w:rsidR="00136210" w:rsidRPr="00EC3BD7" w:rsidRDefault="00B8576E" w:rsidP="00B8576E">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2.</w:t>
            </w:r>
            <w:r w:rsidRPr="00EC3BD7">
              <w:rPr>
                <w:rFonts w:ascii="Times New Roman" w:hAnsi="Times New Roman"/>
                <w:color w:val="000000"/>
                <w:sz w:val="22"/>
                <w:szCs w:val="22"/>
                <w:lang w:val="et-EE"/>
              </w:rPr>
              <w:tab/>
            </w:r>
            <w:r w:rsidR="00136210" w:rsidRPr="00EC3BD7">
              <w:rPr>
                <w:rFonts w:ascii="Times New Roman" w:hAnsi="Times New Roman"/>
                <w:color w:val="000000"/>
                <w:sz w:val="22"/>
                <w:szCs w:val="22"/>
                <w:lang w:val="et-EE"/>
              </w:rPr>
              <w:t>Jätkata ravi Gliveci varasema annusega (st annusega enne kõrvaltoimet).</w:t>
            </w:r>
          </w:p>
          <w:p w14:paraId="196B1486" w14:textId="77777777" w:rsidR="00136210" w:rsidRPr="00EC3BD7" w:rsidRDefault="00B8576E" w:rsidP="00C268CA">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3.</w:t>
            </w:r>
            <w:r w:rsidRPr="00EC3BD7">
              <w:rPr>
                <w:rFonts w:ascii="Times New Roman" w:hAnsi="Times New Roman"/>
                <w:color w:val="000000"/>
                <w:sz w:val="22"/>
                <w:szCs w:val="22"/>
                <w:lang w:val="et-EE"/>
              </w:rPr>
              <w:tab/>
            </w:r>
            <w:r w:rsidR="00136210" w:rsidRPr="00EC3BD7">
              <w:rPr>
                <w:rFonts w:ascii="Times New Roman" w:hAnsi="Times New Roman"/>
                <w:color w:val="000000"/>
                <w:sz w:val="22"/>
                <w:szCs w:val="22"/>
                <w:lang w:val="et-EE"/>
              </w:rPr>
              <w:t>Kui neutrofiilide absoluutarv langeb &lt;1,0x10</w:t>
            </w:r>
            <w:r w:rsidR="00136210" w:rsidRPr="00EC3BD7">
              <w:rPr>
                <w:rFonts w:ascii="Times New Roman" w:hAnsi="Times New Roman"/>
                <w:color w:val="000000"/>
                <w:sz w:val="22"/>
                <w:szCs w:val="22"/>
                <w:vertAlign w:val="superscript"/>
                <w:lang w:val="et-EE"/>
              </w:rPr>
              <w:t>9</w:t>
            </w:r>
            <w:r w:rsidR="00136210" w:rsidRPr="00EC3BD7">
              <w:rPr>
                <w:rFonts w:ascii="Times New Roman" w:hAnsi="Times New Roman"/>
                <w:color w:val="000000"/>
                <w:sz w:val="22"/>
                <w:szCs w:val="22"/>
                <w:lang w:val="et-EE"/>
              </w:rPr>
              <w:t>/l ja/või trombotsüüte &lt;50x10</w:t>
            </w:r>
            <w:r w:rsidR="00136210" w:rsidRPr="00EC3BD7">
              <w:rPr>
                <w:rFonts w:ascii="Times New Roman" w:hAnsi="Times New Roman"/>
                <w:color w:val="000000"/>
                <w:sz w:val="22"/>
                <w:szCs w:val="22"/>
                <w:vertAlign w:val="superscript"/>
                <w:lang w:val="et-EE"/>
              </w:rPr>
              <w:t>9</w:t>
            </w:r>
            <w:r w:rsidR="00136210" w:rsidRPr="00EC3BD7">
              <w:rPr>
                <w:rFonts w:ascii="Times New Roman" w:hAnsi="Times New Roman"/>
                <w:color w:val="000000"/>
                <w:sz w:val="22"/>
                <w:szCs w:val="22"/>
                <w:lang w:val="et-EE"/>
              </w:rPr>
              <w:t>/l, korrata punkti 1 soovitust ja jätkata Gliveci ravi vähendatud annusega 260 mg</w:t>
            </w:r>
            <w:r w:rsidR="00136210" w:rsidRPr="00EC3BD7">
              <w:rPr>
                <w:rFonts w:ascii="Times New Roman" w:hAnsi="Times New Roman"/>
                <w:color w:val="000000"/>
                <w:sz w:val="22"/>
                <w:szCs w:val="22"/>
                <w:vertAlign w:val="superscript"/>
                <w:lang w:val="et-EE"/>
              </w:rPr>
              <w:t>2</w:t>
            </w:r>
            <w:r w:rsidR="00136210" w:rsidRPr="00EC3BD7">
              <w:rPr>
                <w:rFonts w:ascii="Times New Roman" w:hAnsi="Times New Roman"/>
                <w:color w:val="000000"/>
                <w:sz w:val="22"/>
                <w:szCs w:val="22"/>
                <w:lang w:val="et-EE"/>
              </w:rPr>
              <w:t>.</w:t>
            </w:r>
          </w:p>
        </w:tc>
      </w:tr>
      <w:tr w:rsidR="00136210" w:rsidRPr="005D29F8" w14:paraId="036DD47C" w14:textId="77777777" w:rsidTr="00F53D51">
        <w:trPr>
          <w:cantSplit/>
        </w:trPr>
        <w:tc>
          <w:tcPr>
            <w:tcW w:w="2376" w:type="dxa"/>
            <w:tcBorders>
              <w:bottom w:val="single" w:sz="4" w:space="0" w:color="auto"/>
            </w:tcBorders>
          </w:tcPr>
          <w:p w14:paraId="4465167A" w14:textId="77777777" w:rsidR="00136210" w:rsidRPr="00EC3BD7" w:rsidRDefault="00136210">
            <w:pPr>
              <w:pStyle w:val="EndnoteText"/>
              <w:widowControl w:val="0"/>
              <w:tabs>
                <w:tab w:val="clear" w:pos="567"/>
              </w:tabs>
              <w:rPr>
                <w:color w:val="000000"/>
                <w:szCs w:val="22"/>
                <w:lang w:val="et-EE"/>
              </w:rPr>
            </w:pPr>
            <w:smartTag w:uri="urn:schemas-microsoft-com:office:smarttags" w:element="stockticker">
              <w:r w:rsidRPr="00EC3BD7">
                <w:rPr>
                  <w:color w:val="000000"/>
                  <w:szCs w:val="22"/>
                  <w:lang w:val="et-EE"/>
                </w:rPr>
                <w:lastRenderedPageBreak/>
                <w:t>KML</w:t>
              </w:r>
            </w:smartTag>
            <w:r w:rsidRPr="00EC3BD7">
              <w:rPr>
                <w:color w:val="000000"/>
                <w:szCs w:val="22"/>
                <w:lang w:val="et-EE"/>
              </w:rPr>
              <w:t xml:space="preserve"> aktseleratsioonifaas ja blastne kriis ning Ph+ </w:t>
            </w:r>
            <w:smartTag w:uri="urn:schemas-microsoft-com:office:smarttags" w:element="stockticker">
              <w:r w:rsidRPr="00EC3BD7">
                <w:rPr>
                  <w:color w:val="000000"/>
                  <w:szCs w:val="22"/>
                  <w:lang w:val="et-EE"/>
                </w:rPr>
                <w:t>ALL</w:t>
              </w:r>
            </w:smartTag>
            <w:r w:rsidRPr="00EC3BD7">
              <w:rPr>
                <w:color w:val="000000"/>
                <w:szCs w:val="22"/>
                <w:lang w:val="et-EE"/>
              </w:rPr>
              <w:t xml:space="preserve"> (algannus 600 mg)</w:t>
            </w:r>
          </w:p>
        </w:tc>
        <w:tc>
          <w:tcPr>
            <w:tcW w:w="2400" w:type="dxa"/>
            <w:tcBorders>
              <w:bottom w:val="single" w:sz="4" w:space="0" w:color="auto"/>
            </w:tcBorders>
          </w:tcPr>
          <w:p w14:paraId="751C1DE9" w14:textId="77777777" w:rsidR="00136210" w:rsidRPr="00EC3BD7" w:rsidRDefault="00136210">
            <w:pPr>
              <w:pStyle w:val="Table"/>
              <w:keepNext w:val="0"/>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vertAlign w:val="superscript"/>
                <w:lang w:val="et-EE"/>
              </w:rPr>
              <w:t>a</w:t>
            </w:r>
            <w:r w:rsidRPr="00EC3BD7">
              <w:rPr>
                <w:rFonts w:ascii="Times New Roman" w:hAnsi="Times New Roman"/>
                <w:color w:val="000000"/>
                <w:sz w:val="22"/>
                <w:szCs w:val="22"/>
                <w:lang w:val="et-EE"/>
              </w:rPr>
              <w:t>Neutrofiilide absoluutarv on &lt;0,5x10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p w14:paraId="52B45A72" w14:textId="77777777" w:rsidR="00136210" w:rsidRPr="00EC3BD7" w:rsidRDefault="00136210">
            <w:pPr>
              <w:pStyle w:val="Table"/>
              <w:keepNext w:val="0"/>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ja/või</w:t>
            </w:r>
          </w:p>
          <w:p w14:paraId="6BFEA958"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trombotsüüte &lt;10x10</w:t>
            </w:r>
            <w:r w:rsidRPr="00EC3BD7">
              <w:rPr>
                <w:color w:val="000000"/>
                <w:szCs w:val="22"/>
                <w:vertAlign w:val="superscript"/>
                <w:lang w:val="et-EE"/>
              </w:rPr>
              <w:t>9</w:t>
            </w:r>
            <w:r w:rsidRPr="00EC3BD7">
              <w:rPr>
                <w:color w:val="000000"/>
                <w:szCs w:val="22"/>
                <w:lang w:val="et-EE"/>
              </w:rPr>
              <w:t>/l</w:t>
            </w:r>
          </w:p>
        </w:tc>
        <w:tc>
          <w:tcPr>
            <w:tcW w:w="4404" w:type="dxa"/>
            <w:tcBorders>
              <w:bottom w:val="single" w:sz="4" w:space="0" w:color="auto"/>
            </w:tcBorders>
          </w:tcPr>
          <w:p w14:paraId="23B37E52" w14:textId="77777777" w:rsidR="00136210" w:rsidRPr="00EC3BD7" w:rsidRDefault="00B8576E" w:rsidP="00B8576E">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1.</w:t>
            </w:r>
            <w:r w:rsidRPr="00EC3BD7">
              <w:rPr>
                <w:rFonts w:ascii="Times New Roman" w:hAnsi="Times New Roman"/>
                <w:color w:val="000000"/>
                <w:sz w:val="22"/>
                <w:szCs w:val="22"/>
                <w:lang w:val="et-EE"/>
              </w:rPr>
              <w:tab/>
            </w:r>
            <w:r w:rsidR="00136210" w:rsidRPr="00EC3BD7">
              <w:rPr>
                <w:rFonts w:ascii="Times New Roman" w:hAnsi="Times New Roman"/>
                <w:color w:val="000000"/>
                <w:sz w:val="22"/>
                <w:szCs w:val="22"/>
                <w:lang w:val="et-EE"/>
              </w:rPr>
              <w:t>Kontrollida, kas tsütopeenia on seotud leukeemiaga (luuüdi aspiraat või biopsia).</w:t>
            </w:r>
          </w:p>
          <w:p w14:paraId="3801D240" w14:textId="77777777" w:rsidR="00136210" w:rsidRPr="00EC3BD7" w:rsidRDefault="00B8576E" w:rsidP="00B8576E">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2.</w:t>
            </w:r>
            <w:r w:rsidRPr="00EC3BD7">
              <w:rPr>
                <w:rFonts w:ascii="Times New Roman" w:hAnsi="Times New Roman"/>
                <w:color w:val="000000"/>
                <w:sz w:val="22"/>
                <w:szCs w:val="22"/>
                <w:lang w:val="et-EE"/>
              </w:rPr>
              <w:tab/>
            </w:r>
            <w:r w:rsidR="00136210" w:rsidRPr="00EC3BD7">
              <w:rPr>
                <w:rFonts w:ascii="Times New Roman" w:hAnsi="Times New Roman"/>
                <w:color w:val="000000"/>
                <w:sz w:val="22"/>
                <w:szCs w:val="22"/>
                <w:lang w:val="et-EE"/>
              </w:rPr>
              <w:t>Kui tsütopeenia ei ole seotud leukeemiaga, vähendada Gliveci annust kuni annuseni 400 mg</w:t>
            </w:r>
          </w:p>
          <w:p w14:paraId="38EBBF83" w14:textId="77777777" w:rsidR="00136210" w:rsidRPr="00EC3BD7" w:rsidRDefault="00B8576E" w:rsidP="00B8576E">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3.</w:t>
            </w:r>
            <w:r w:rsidRPr="00EC3BD7">
              <w:rPr>
                <w:rFonts w:ascii="Times New Roman" w:hAnsi="Times New Roman"/>
                <w:color w:val="000000"/>
                <w:sz w:val="22"/>
                <w:szCs w:val="22"/>
                <w:lang w:val="et-EE"/>
              </w:rPr>
              <w:tab/>
            </w:r>
            <w:r w:rsidR="00136210" w:rsidRPr="00EC3BD7">
              <w:rPr>
                <w:rFonts w:ascii="Times New Roman" w:hAnsi="Times New Roman"/>
                <w:color w:val="000000"/>
                <w:sz w:val="22"/>
                <w:szCs w:val="22"/>
                <w:lang w:val="et-EE"/>
              </w:rPr>
              <w:t>Kui tsütopeenia kestab 2 nädalat, vähendada annust veel kuni annuseni 300 mg.</w:t>
            </w:r>
          </w:p>
          <w:p w14:paraId="471ECB66" w14:textId="77777777" w:rsidR="00136210" w:rsidRPr="00EC3BD7" w:rsidRDefault="00B8576E" w:rsidP="006B6C08">
            <w:pPr>
              <w:pStyle w:val="EndnoteText"/>
              <w:widowControl w:val="0"/>
              <w:tabs>
                <w:tab w:val="clear" w:pos="567"/>
              </w:tabs>
              <w:ind w:left="558" w:hanging="558"/>
              <w:rPr>
                <w:color w:val="000000"/>
                <w:szCs w:val="22"/>
                <w:lang w:val="et-EE"/>
              </w:rPr>
            </w:pPr>
            <w:r w:rsidRPr="00EC3BD7">
              <w:rPr>
                <w:color w:val="000000"/>
                <w:szCs w:val="22"/>
                <w:lang w:val="et-EE"/>
              </w:rPr>
              <w:t>4.</w:t>
            </w:r>
            <w:r w:rsidRPr="00EC3BD7">
              <w:rPr>
                <w:color w:val="000000"/>
                <w:szCs w:val="22"/>
                <w:lang w:val="et-EE"/>
              </w:rPr>
              <w:tab/>
            </w:r>
            <w:r w:rsidR="00136210" w:rsidRPr="00EC3BD7">
              <w:rPr>
                <w:color w:val="000000"/>
                <w:szCs w:val="22"/>
                <w:lang w:val="et-EE"/>
              </w:rPr>
              <w:t xml:space="preserve">Kui tsütopeenia kestab 4 nädalat ja ei ole endiselt seotud leukeemiaga, katkestada Gliveci ravi, kuni neutrofiilide absoluutarv on </w:t>
            </w:r>
            <w:r w:rsidR="00136210" w:rsidRPr="00EC3BD7">
              <w:rPr>
                <w:color w:val="000000"/>
                <w:szCs w:val="22"/>
                <w:lang w:val="et-EE"/>
              </w:rPr>
              <w:sym w:font="Symbol" w:char="F0B3"/>
            </w:r>
            <w:r w:rsidR="00136210" w:rsidRPr="00EC3BD7">
              <w:rPr>
                <w:color w:val="000000"/>
                <w:szCs w:val="22"/>
                <w:lang w:val="et-EE"/>
              </w:rPr>
              <w:t>1x10</w:t>
            </w:r>
            <w:r w:rsidR="00136210" w:rsidRPr="00EC3BD7">
              <w:rPr>
                <w:color w:val="000000"/>
                <w:szCs w:val="22"/>
                <w:vertAlign w:val="superscript"/>
                <w:lang w:val="et-EE"/>
              </w:rPr>
              <w:t>9</w:t>
            </w:r>
            <w:r w:rsidR="00136210" w:rsidRPr="00EC3BD7">
              <w:rPr>
                <w:color w:val="000000"/>
                <w:szCs w:val="22"/>
                <w:lang w:val="et-EE"/>
              </w:rPr>
              <w:t xml:space="preserve">/l ja trombotsüüte </w:t>
            </w:r>
            <w:r w:rsidR="00136210" w:rsidRPr="00EC3BD7">
              <w:rPr>
                <w:color w:val="000000"/>
                <w:szCs w:val="22"/>
                <w:lang w:val="et-EE"/>
              </w:rPr>
              <w:sym w:font="Symbol" w:char="F0B3"/>
            </w:r>
            <w:r w:rsidR="00136210" w:rsidRPr="00EC3BD7">
              <w:rPr>
                <w:color w:val="000000"/>
                <w:szCs w:val="22"/>
                <w:lang w:val="et-EE"/>
              </w:rPr>
              <w:t>20x10</w:t>
            </w:r>
            <w:r w:rsidR="00136210" w:rsidRPr="00EC3BD7">
              <w:rPr>
                <w:color w:val="000000"/>
                <w:szCs w:val="22"/>
                <w:vertAlign w:val="superscript"/>
                <w:lang w:val="et-EE"/>
              </w:rPr>
              <w:t>9</w:t>
            </w:r>
            <w:r w:rsidR="00136210" w:rsidRPr="00EC3BD7">
              <w:rPr>
                <w:color w:val="000000"/>
                <w:szCs w:val="22"/>
                <w:lang w:val="et-EE"/>
              </w:rPr>
              <w:t>/l, seejärel taasalustada ravi annusega 300 mg.</w:t>
            </w:r>
          </w:p>
        </w:tc>
      </w:tr>
      <w:tr w:rsidR="00136210" w:rsidRPr="005D29F8" w14:paraId="23CCA065" w14:textId="77777777" w:rsidTr="00F53D51">
        <w:trPr>
          <w:cantSplit/>
        </w:trPr>
        <w:tc>
          <w:tcPr>
            <w:tcW w:w="2376" w:type="dxa"/>
            <w:tcBorders>
              <w:bottom w:val="single" w:sz="4" w:space="0" w:color="auto"/>
            </w:tcBorders>
          </w:tcPr>
          <w:p w14:paraId="277D5704"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 xml:space="preserve">Lastel </w:t>
            </w:r>
            <w:smartTag w:uri="urn:schemas-microsoft-com:office:smarttags" w:element="stockticker">
              <w:r w:rsidRPr="00EC3BD7">
                <w:rPr>
                  <w:color w:val="000000"/>
                  <w:szCs w:val="22"/>
                  <w:lang w:val="et-EE"/>
                </w:rPr>
                <w:t>KML</w:t>
              </w:r>
            </w:smartTag>
            <w:r w:rsidRPr="00EC3BD7">
              <w:rPr>
                <w:color w:val="000000"/>
                <w:szCs w:val="22"/>
                <w:lang w:val="et-EE"/>
              </w:rPr>
              <w:t xml:space="preserve"> aktseleratsioonifaas ja blastne kriis (algannus 340 mg/m</w:t>
            </w:r>
            <w:r w:rsidRPr="00EC3BD7">
              <w:rPr>
                <w:color w:val="000000"/>
                <w:szCs w:val="22"/>
                <w:vertAlign w:val="superscript"/>
                <w:lang w:val="et-EE"/>
              </w:rPr>
              <w:t>2</w:t>
            </w:r>
            <w:r w:rsidRPr="00EC3BD7">
              <w:rPr>
                <w:color w:val="000000"/>
                <w:szCs w:val="22"/>
                <w:lang w:val="et-EE"/>
              </w:rPr>
              <w:t>)</w:t>
            </w:r>
          </w:p>
        </w:tc>
        <w:tc>
          <w:tcPr>
            <w:tcW w:w="2400" w:type="dxa"/>
            <w:tcBorders>
              <w:bottom w:val="single" w:sz="4" w:space="0" w:color="auto"/>
            </w:tcBorders>
          </w:tcPr>
          <w:p w14:paraId="0E7FF040" w14:textId="77777777" w:rsidR="00136210" w:rsidRPr="00EC3BD7" w:rsidRDefault="00136210">
            <w:pPr>
              <w:pStyle w:val="Table"/>
              <w:keepNext w:val="0"/>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vertAlign w:val="superscript"/>
                <w:lang w:val="et-EE"/>
              </w:rPr>
              <w:t>a</w:t>
            </w:r>
            <w:r w:rsidRPr="00EC3BD7">
              <w:rPr>
                <w:rFonts w:ascii="Times New Roman" w:hAnsi="Times New Roman"/>
                <w:color w:val="000000"/>
                <w:sz w:val="22"/>
                <w:szCs w:val="22"/>
                <w:lang w:val="et-EE"/>
              </w:rPr>
              <w:t>Neutrofiilide absoluutarv on &lt;0,5x10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p w14:paraId="5D3078C7" w14:textId="77777777" w:rsidR="00136210" w:rsidRPr="00EC3BD7" w:rsidRDefault="00136210">
            <w:pPr>
              <w:pStyle w:val="Table"/>
              <w:keepNext w:val="0"/>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ja/või</w:t>
            </w:r>
          </w:p>
          <w:p w14:paraId="2796469B" w14:textId="77777777" w:rsidR="00136210" w:rsidRPr="00EC3BD7" w:rsidRDefault="00136210">
            <w:pPr>
              <w:pStyle w:val="Table"/>
              <w:keepNext w:val="0"/>
              <w:keepLines w:val="0"/>
              <w:widowControl w:val="0"/>
              <w:suppressLineNumbers/>
              <w:spacing w:before="0" w:after="0"/>
              <w:rPr>
                <w:rFonts w:ascii="Times New Roman" w:hAnsi="Times New Roman"/>
                <w:color w:val="000000"/>
                <w:sz w:val="22"/>
                <w:szCs w:val="22"/>
                <w:vertAlign w:val="superscript"/>
                <w:lang w:val="et-EE"/>
              </w:rPr>
            </w:pPr>
            <w:r w:rsidRPr="00EC3BD7">
              <w:rPr>
                <w:rFonts w:ascii="Times New Roman" w:hAnsi="Times New Roman"/>
                <w:color w:val="000000"/>
                <w:sz w:val="22"/>
                <w:szCs w:val="22"/>
                <w:lang w:val="et-EE"/>
              </w:rPr>
              <w:t>trombotsüüte &lt;10x10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tc>
        <w:tc>
          <w:tcPr>
            <w:tcW w:w="4404" w:type="dxa"/>
            <w:tcBorders>
              <w:bottom w:val="single" w:sz="4" w:space="0" w:color="auto"/>
            </w:tcBorders>
          </w:tcPr>
          <w:p w14:paraId="4B1F79C1" w14:textId="77777777" w:rsidR="00136210" w:rsidRPr="00EC3BD7" w:rsidRDefault="00B8576E" w:rsidP="00B8576E">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1.</w:t>
            </w:r>
            <w:r w:rsidRPr="00EC3BD7">
              <w:rPr>
                <w:rFonts w:ascii="Times New Roman" w:hAnsi="Times New Roman"/>
                <w:color w:val="000000"/>
                <w:sz w:val="22"/>
                <w:szCs w:val="22"/>
                <w:lang w:val="et-EE"/>
              </w:rPr>
              <w:tab/>
            </w:r>
            <w:r w:rsidR="00136210" w:rsidRPr="00EC3BD7">
              <w:rPr>
                <w:rFonts w:ascii="Times New Roman" w:hAnsi="Times New Roman"/>
                <w:color w:val="000000"/>
                <w:sz w:val="22"/>
                <w:szCs w:val="22"/>
                <w:lang w:val="et-EE"/>
              </w:rPr>
              <w:t>Kontrollida, kas tsütopeenia on seotud leukeemiaga (luuüdi aspiraat või biopsia).</w:t>
            </w:r>
          </w:p>
          <w:p w14:paraId="118ECBF7" w14:textId="77777777" w:rsidR="00136210" w:rsidRPr="00EC3BD7" w:rsidRDefault="00B8576E" w:rsidP="00B8576E">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2.</w:t>
            </w:r>
            <w:r w:rsidRPr="00EC3BD7">
              <w:rPr>
                <w:rFonts w:ascii="Times New Roman" w:hAnsi="Times New Roman"/>
                <w:color w:val="000000"/>
                <w:sz w:val="22"/>
                <w:szCs w:val="22"/>
                <w:lang w:val="et-EE"/>
              </w:rPr>
              <w:tab/>
            </w:r>
            <w:r w:rsidR="00136210" w:rsidRPr="00EC3BD7">
              <w:rPr>
                <w:rFonts w:ascii="Times New Roman" w:hAnsi="Times New Roman"/>
                <w:color w:val="000000"/>
                <w:sz w:val="22"/>
                <w:szCs w:val="22"/>
                <w:lang w:val="et-EE"/>
              </w:rPr>
              <w:t>Kui tsütopeenia ei ole seotud leukeemiaga, vähendada Gliveci annust kuni annuseni 260 mg/m</w:t>
            </w:r>
            <w:r w:rsidR="00136210" w:rsidRPr="00EC3BD7">
              <w:rPr>
                <w:rFonts w:ascii="Times New Roman" w:hAnsi="Times New Roman"/>
                <w:color w:val="000000"/>
                <w:sz w:val="22"/>
                <w:szCs w:val="22"/>
                <w:vertAlign w:val="superscript"/>
                <w:lang w:val="et-EE"/>
              </w:rPr>
              <w:t>2</w:t>
            </w:r>
            <w:r w:rsidR="00136210" w:rsidRPr="00EC3BD7">
              <w:rPr>
                <w:rFonts w:ascii="Times New Roman" w:hAnsi="Times New Roman"/>
                <w:color w:val="000000"/>
                <w:sz w:val="22"/>
                <w:szCs w:val="22"/>
                <w:lang w:val="et-EE"/>
              </w:rPr>
              <w:t>.</w:t>
            </w:r>
          </w:p>
          <w:p w14:paraId="2E3376F5" w14:textId="77777777" w:rsidR="00136210" w:rsidRPr="00EC3BD7" w:rsidRDefault="00B8576E" w:rsidP="00B8576E">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3.</w:t>
            </w:r>
            <w:r w:rsidRPr="00EC3BD7">
              <w:rPr>
                <w:rFonts w:ascii="Times New Roman" w:hAnsi="Times New Roman"/>
                <w:color w:val="000000"/>
                <w:sz w:val="22"/>
                <w:szCs w:val="22"/>
                <w:lang w:val="et-EE"/>
              </w:rPr>
              <w:tab/>
            </w:r>
            <w:r w:rsidR="00136210" w:rsidRPr="00EC3BD7">
              <w:rPr>
                <w:rFonts w:ascii="Times New Roman" w:hAnsi="Times New Roman"/>
                <w:color w:val="000000"/>
                <w:sz w:val="22"/>
                <w:szCs w:val="22"/>
                <w:lang w:val="et-EE"/>
              </w:rPr>
              <w:t>Kui tsütopeenia kestab 2 nädalat, vähendada annust veel kuni annuseni 200 mg/m</w:t>
            </w:r>
            <w:r w:rsidR="00136210" w:rsidRPr="00EC3BD7">
              <w:rPr>
                <w:rFonts w:ascii="Times New Roman" w:hAnsi="Times New Roman"/>
                <w:color w:val="000000"/>
                <w:sz w:val="22"/>
                <w:szCs w:val="22"/>
                <w:vertAlign w:val="superscript"/>
                <w:lang w:val="et-EE"/>
              </w:rPr>
              <w:t>2</w:t>
            </w:r>
            <w:r w:rsidR="00136210" w:rsidRPr="00EC3BD7">
              <w:rPr>
                <w:rFonts w:ascii="Times New Roman" w:hAnsi="Times New Roman"/>
                <w:color w:val="000000"/>
                <w:sz w:val="22"/>
                <w:szCs w:val="22"/>
                <w:lang w:val="et-EE"/>
              </w:rPr>
              <w:t>.</w:t>
            </w:r>
          </w:p>
          <w:p w14:paraId="07675FA3" w14:textId="77777777" w:rsidR="00136210" w:rsidRPr="00EC3BD7" w:rsidRDefault="00B8576E" w:rsidP="006B6C08">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4.</w:t>
            </w:r>
            <w:r w:rsidRPr="00EC3BD7">
              <w:rPr>
                <w:rFonts w:ascii="Times New Roman" w:hAnsi="Times New Roman"/>
                <w:color w:val="000000"/>
                <w:sz w:val="22"/>
                <w:szCs w:val="22"/>
                <w:lang w:val="et-EE"/>
              </w:rPr>
              <w:tab/>
            </w:r>
            <w:r w:rsidR="00136210" w:rsidRPr="00EC3BD7">
              <w:rPr>
                <w:rFonts w:ascii="Times New Roman" w:hAnsi="Times New Roman"/>
                <w:color w:val="000000"/>
                <w:sz w:val="22"/>
                <w:szCs w:val="22"/>
                <w:lang w:val="et-EE"/>
              </w:rPr>
              <w:t xml:space="preserve">Kui tsütopeenia kestab 4 nädalat ja ei ole endiselt seotud leukeemiaga, katkestada Gliveci ravi, kuni neutrofiilide absoluutarv on </w:t>
            </w:r>
            <w:r w:rsidR="00136210" w:rsidRPr="00EC3BD7">
              <w:rPr>
                <w:rFonts w:ascii="Times New Roman" w:hAnsi="Times New Roman"/>
                <w:color w:val="000000"/>
                <w:sz w:val="22"/>
                <w:szCs w:val="22"/>
                <w:lang w:val="et-EE"/>
              </w:rPr>
              <w:sym w:font="Symbol" w:char="F0B3"/>
            </w:r>
            <w:r w:rsidR="00136210" w:rsidRPr="00EC3BD7">
              <w:rPr>
                <w:rFonts w:ascii="Times New Roman" w:hAnsi="Times New Roman"/>
                <w:color w:val="000000"/>
                <w:sz w:val="22"/>
                <w:szCs w:val="22"/>
                <w:lang w:val="et-EE"/>
              </w:rPr>
              <w:t>1x10</w:t>
            </w:r>
            <w:r w:rsidR="00136210" w:rsidRPr="00EC3BD7">
              <w:rPr>
                <w:rFonts w:ascii="Times New Roman" w:hAnsi="Times New Roman"/>
                <w:color w:val="000000"/>
                <w:sz w:val="22"/>
                <w:szCs w:val="22"/>
                <w:vertAlign w:val="superscript"/>
                <w:lang w:val="et-EE"/>
              </w:rPr>
              <w:t>9</w:t>
            </w:r>
            <w:r w:rsidR="00136210" w:rsidRPr="00EC3BD7">
              <w:rPr>
                <w:rFonts w:ascii="Times New Roman" w:hAnsi="Times New Roman"/>
                <w:color w:val="000000"/>
                <w:sz w:val="22"/>
                <w:szCs w:val="22"/>
                <w:lang w:val="et-EE"/>
              </w:rPr>
              <w:t xml:space="preserve">/l ja trombotsüüte </w:t>
            </w:r>
            <w:r w:rsidR="00136210" w:rsidRPr="00EC3BD7">
              <w:rPr>
                <w:rFonts w:ascii="Times New Roman" w:hAnsi="Times New Roman"/>
                <w:color w:val="000000"/>
                <w:sz w:val="22"/>
                <w:szCs w:val="22"/>
                <w:lang w:val="et-EE"/>
              </w:rPr>
              <w:sym w:font="Symbol" w:char="F0B3"/>
            </w:r>
            <w:r w:rsidR="00136210" w:rsidRPr="00EC3BD7">
              <w:rPr>
                <w:rFonts w:ascii="Times New Roman" w:hAnsi="Times New Roman"/>
                <w:color w:val="000000"/>
                <w:sz w:val="22"/>
                <w:szCs w:val="22"/>
                <w:lang w:val="et-EE"/>
              </w:rPr>
              <w:t>20x10</w:t>
            </w:r>
            <w:r w:rsidR="00136210" w:rsidRPr="00EC3BD7">
              <w:rPr>
                <w:rFonts w:ascii="Times New Roman" w:hAnsi="Times New Roman"/>
                <w:color w:val="000000"/>
                <w:sz w:val="22"/>
                <w:szCs w:val="22"/>
                <w:vertAlign w:val="superscript"/>
                <w:lang w:val="et-EE"/>
              </w:rPr>
              <w:t>9</w:t>
            </w:r>
            <w:r w:rsidR="00136210" w:rsidRPr="00EC3BD7">
              <w:rPr>
                <w:rFonts w:ascii="Times New Roman" w:hAnsi="Times New Roman"/>
                <w:color w:val="000000"/>
                <w:sz w:val="22"/>
                <w:szCs w:val="22"/>
                <w:lang w:val="et-EE"/>
              </w:rPr>
              <w:t>/l, seejärel taasalustada ravi annusega 200 mg/m</w:t>
            </w:r>
            <w:r w:rsidR="00136210" w:rsidRPr="00EC3BD7">
              <w:rPr>
                <w:rFonts w:ascii="Times New Roman" w:hAnsi="Times New Roman"/>
                <w:color w:val="000000"/>
                <w:sz w:val="22"/>
                <w:szCs w:val="22"/>
                <w:vertAlign w:val="superscript"/>
                <w:lang w:val="et-EE"/>
              </w:rPr>
              <w:t>2</w:t>
            </w:r>
            <w:r w:rsidR="00136210" w:rsidRPr="00EC3BD7">
              <w:rPr>
                <w:rFonts w:ascii="Times New Roman" w:hAnsi="Times New Roman"/>
                <w:color w:val="000000"/>
                <w:sz w:val="22"/>
                <w:szCs w:val="22"/>
                <w:lang w:val="et-EE"/>
              </w:rPr>
              <w:t>.</w:t>
            </w:r>
          </w:p>
        </w:tc>
      </w:tr>
      <w:tr w:rsidR="00136210" w:rsidRPr="005D29F8" w14:paraId="2376AF6F" w14:textId="77777777" w:rsidTr="00F53D51">
        <w:trPr>
          <w:cantSplit/>
        </w:trPr>
        <w:tc>
          <w:tcPr>
            <w:tcW w:w="2376" w:type="dxa"/>
            <w:tcBorders>
              <w:bottom w:val="single" w:sz="4" w:space="0" w:color="auto"/>
            </w:tcBorders>
          </w:tcPr>
          <w:p w14:paraId="7C3214A9"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PDFS</w:t>
            </w:r>
          </w:p>
          <w:p w14:paraId="284F8CA9"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(annuses 800 mg)</w:t>
            </w:r>
          </w:p>
        </w:tc>
        <w:tc>
          <w:tcPr>
            <w:tcW w:w="2400" w:type="dxa"/>
            <w:tcBorders>
              <w:bottom w:val="single" w:sz="4" w:space="0" w:color="auto"/>
            </w:tcBorders>
          </w:tcPr>
          <w:p w14:paraId="0ED3ED37" w14:textId="77777777" w:rsidR="00136210" w:rsidRPr="00EC3BD7" w:rsidRDefault="00136210" w:rsidP="00B9089D">
            <w:pPr>
              <w:pStyle w:val="Table"/>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Neutrofiilide absoluutarv on &lt;1,0x10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p w14:paraId="734004D5" w14:textId="77777777" w:rsidR="00136210" w:rsidRPr="00EC3BD7" w:rsidRDefault="00136210" w:rsidP="00B9089D">
            <w:pPr>
              <w:pStyle w:val="Table"/>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ja/või</w:t>
            </w:r>
          </w:p>
          <w:p w14:paraId="7A0665DF" w14:textId="77777777" w:rsidR="00136210" w:rsidRPr="00EC3BD7" w:rsidRDefault="00136210" w:rsidP="00B9089D">
            <w:pPr>
              <w:pStyle w:val="Table"/>
              <w:keepLines w:val="0"/>
              <w:widowControl w:val="0"/>
              <w:suppressLineNumbers/>
              <w:spacing w:before="0" w:after="0"/>
              <w:rPr>
                <w:rFonts w:ascii="Times New Roman" w:hAnsi="Times New Roman"/>
                <w:color w:val="000000"/>
                <w:sz w:val="22"/>
                <w:szCs w:val="22"/>
                <w:vertAlign w:val="superscript"/>
                <w:lang w:val="et-EE"/>
              </w:rPr>
            </w:pPr>
            <w:r w:rsidRPr="00EC3BD7">
              <w:rPr>
                <w:rFonts w:ascii="Times New Roman" w:hAnsi="Times New Roman"/>
                <w:color w:val="000000"/>
                <w:sz w:val="22"/>
                <w:szCs w:val="22"/>
                <w:lang w:val="et-EE"/>
              </w:rPr>
              <w:t>trombotsüüte &lt;50x10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tc>
        <w:tc>
          <w:tcPr>
            <w:tcW w:w="4404" w:type="dxa"/>
            <w:tcBorders>
              <w:bottom w:val="single" w:sz="4" w:space="0" w:color="auto"/>
            </w:tcBorders>
          </w:tcPr>
          <w:p w14:paraId="627F1E03" w14:textId="77777777" w:rsidR="00136210" w:rsidRPr="00EC3BD7" w:rsidRDefault="00B8576E" w:rsidP="00B9089D">
            <w:pPr>
              <w:pStyle w:val="Table"/>
              <w:keepLines w:val="0"/>
              <w:widowControl w:val="0"/>
              <w:suppressLineNumbers/>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1.</w:t>
            </w:r>
            <w:r w:rsidRPr="00EC3BD7">
              <w:rPr>
                <w:rFonts w:ascii="Times New Roman" w:hAnsi="Times New Roman"/>
                <w:color w:val="000000"/>
                <w:sz w:val="22"/>
                <w:szCs w:val="22"/>
                <w:lang w:val="et-EE"/>
              </w:rPr>
              <w:tab/>
            </w:r>
            <w:r w:rsidR="00136210" w:rsidRPr="00EC3BD7">
              <w:rPr>
                <w:rFonts w:ascii="Times New Roman" w:hAnsi="Times New Roman"/>
                <w:color w:val="000000"/>
                <w:sz w:val="22"/>
                <w:szCs w:val="22"/>
                <w:lang w:val="et-EE"/>
              </w:rPr>
              <w:t xml:space="preserve">Katkestada Gliveci ravi kuni neutrofiilide absoluutarv on </w:t>
            </w:r>
            <w:r w:rsidR="00136210" w:rsidRPr="00EC3BD7">
              <w:rPr>
                <w:rFonts w:ascii="Times New Roman" w:hAnsi="Times New Roman"/>
                <w:color w:val="000000"/>
                <w:sz w:val="22"/>
                <w:szCs w:val="22"/>
                <w:lang w:val="et-EE"/>
              </w:rPr>
              <w:sym w:font="Symbol" w:char="F0B3"/>
            </w:r>
            <w:r w:rsidR="00136210" w:rsidRPr="00EC3BD7">
              <w:rPr>
                <w:rFonts w:ascii="Times New Roman" w:hAnsi="Times New Roman"/>
                <w:color w:val="000000"/>
                <w:sz w:val="22"/>
                <w:szCs w:val="22"/>
                <w:lang w:val="et-EE"/>
              </w:rPr>
              <w:t>1,5x10</w:t>
            </w:r>
            <w:r w:rsidR="00136210" w:rsidRPr="00EC3BD7">
              <w:rPr>
                <w:rFonts w:ascii="Times New Roman" w:hAnsi="Times New Roman"/>
                <w:color w:val="000000"/>
                <w:sz w:val="22"/>
                <w:szCs w:val="22"/>
                <w:vertAlign w:val="superscript"/>
                <w:lang w:val="et-EE"/>
              </w:rPr>
              <w:t>9</w:t>
            </w:r>
            <w:r w:rsidR="00136210" w:rsidRPr="00EC3BD7">
              <w:rPr>
                <w:rFonts w:ascii="Times New Roman" w:hAnsi="Times New Roman"/>
                <w:color w:val="000000"/>
                <w:sz w:val="22"/>
                <w:szCs w:val="22"/>
                <w:lang w:val="et-EE"/>
              </w:rPr>
              <w:t xml:space="preserve">/l ja trombotsüüte </w:t>
            </w:r>
            <w:r w:rsidR="00136210" w:rsidRPr="00EC3BD7">
              <w:rPr>
                <w:rFonts w:ascii="Times New Roman" w:hAnsi="Times New Roman"/>
                <w:color w:val="000000"/>
                <w:sz w:val="22"/>
                <w:szCs w:val="22"/>
                <w:lang w:val="et-EE"/>
              </w:rPr>
              <w:sym w:font="Symbol" w:char="F0B3"/>
            </w:r>
            <w:r w:rsidR="00136210" w:rsidRPr="00EC3BD7">
              <w:rPr>
                <w:rFonts w:ascii="Times New Roman" w:hAnsi="Times New Roman"/>
                <w:color w:val="000000"/>
                <w:sz w:val="22"/>
                <w:szCs w:val="22"/>
                <w:lang w:val="et-EE"/>
              </w:rPr>
              <w:t>75x10</w:t>
            </w:r>
            <w:r w:rsidR="00136210" w:rsidRPr="00EC3BD7">
              <w:rPr>
                <w:rFonts w:ascii="Times New Roman" w:hAnsi="Times New Roman"/>
                <w:color w:val="000000"/>
                <w:sz w:val="22"/>
                <w:szCs w:val="22"/>
                <w:vertAlign w:val="superscript"/>
                <w:lang w:val="et-EE"/>
              </w:rPr>
              <w:t>9</w:t>
            </w:r>
            <w:r w:rsidR="00136210" w:rsidRPr="00EC3BD7">
              <w:rPr>
                <w:rFonts w:ascii="Times New Roman" w:hAnsi="Times New Roman"/>
                <w:color w:val="000000"/>
                <w:sz w:val="22"/>
                <w:szCs w:val="22"/>
                <w:lang w:val="et-EE"/>
              </w:rPr>
              <w:t>/l.</w:t>
            </w:r>
          </w:p>
          <w:p w14:paraId="41AF38A0" w14:textId="77777777" w:rsidR="00136210" w:rsidRPr="00EC3BD7" w:rsidRDefault="00B8576E" w:rsidP="00B9089D">
            <w:pPr>
              <w:pStyle w:val="Table"/>
              <w:keepLines w:val="0"/>
              <w:widowControl w:val="0"/>
              <w:suppressLineNumbers/>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2.</w:t>
            </w:r>
            <w:r w:rsidRPr="00EC3BD7">
              <w:rPr>
                <w:rFonts w:ascii="Times New Roman" w:hAnsi="Times New Roman"/>
                <w:color w:val="000000"/>
                <w:sz w:val="22"/>
                <w:szCs w:val="22"/>
                <w:lang w:val="et-EE"/>
              </w:rPr>
              <w:tab/>
            </w:r>
            <w:r w:rsidR="00136210" w:rsidRPr="00EC3BD7">
              <w:rPr>
                <w:rFonts w:ascii="Times New Roman" w:hAnsi="Times New Roman"/>
                <w:color w:val="000000"/>
                <w:sz w:val="22"/>
                <w:szCs w:val="22"/>
                <w:lang w:val="et-EE"/>
              </w:rPr>
              <w:t>Jätkata ravi Gliveci annusega 600 mg.</w:t>
            </w:r>
          </w:p>
          <w:p w14:paraId="7A1C1C4D" w14:textId="77777777" w:rsidR="00136210" w:rsidRPr="00EC3BD7" w:rsidRDefault="00B8576E" w:rsidP="00B9089D">
            <w:pPr>
              <w:pStyle w:val="Table"/>
              <w:keepLines w:val="0"/>
              <w:widowControl w:val="0"/>
              <w:suppressLineNumbers/>
              <w:tabs>
                <w:tab w:val="clear" w:pos="284"/>
                <w:tab w:val="left" w:pos="611"/>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3.</w:t>
            </w:r>
            <w:r w:rsidRPr="00EC3BD7">
              <w:rPr>
                <w:rFonts w:ascii="Times New Roman" w:hAnsi="Times New Roman"/>
                <w:color w:val="000000"/>
                <w:sz w:val="22"/>
                <w:szCs w:val="22"/>
                <w:lang w:val="et-EE"/>
              </w:rPr>
              <w:tab/>
            </w:r>
            <w:r w:rsidR="00136210" w:rsidRPr="00EC3BD7">
              <w:rPr>
                <w:rFonts w:ascii="Times New Roman" w:hAnsi="Times New Roman"/>
                <w:color w:val="000000"/>
                <w:sz w:val="22"/>
                <w:szCs w:val="22"/>
                <w:lang w:val="et-EE"/>
              </w:rPr>
              <w:t>Kui neutrofiilide absoluutarv langeb &lt;1,0x10</w:t>
            </w:r>
            <w:r w:rsidR="00136210" w:rsidRPr="00EC3BD7">
              <w:rPr>
                <w:rFonts w:ascii="Times New Roman" w:hAnsi="Times New Roman"/>
                <w:color w:val="000000"/>
                <w:sz w:val="22"/>
                <w:szCs w:val="22"/>
                <w:vertAlign w:val="superscript"/>
                <w:lang w:val="et-EE"/>
              </w:rPr>
              <w:t>9</w:t>
            </w:r>
            <w:r w:rsidR="00136210" w:rsidRPr="00EC3BD7">
              <w:rPr>
                <w:rFonts w:ascii="Times New Roman" w:hAnsi="Times New Roman"/>
                <w:color w:val="000000"/>
                <w:sz w:val="22"/>
                <w:szCs w:val="22"/>
                <w:lang w:val="et-EE"/>
              </w:rPr>
              <w:t>/l ja/või trombotsüüte on &lt;50x10</w:t>
            </w:r>
            <w:r w:rsidR="00136210" w:rsidRPr="00EC3BD7">
              <w:rPr>
                <w:rFonts w:ascii="Times New Roman" w:hAnsi="Times New Roman"/>
                <w:color w:val="000000"/>
                <w:sz w:val="22"/>
                <w:szCs w:val="22"/>
                <w:vertAlign w:val="superscript"/>
                <w:lang w:val="et-EE"/>
              </w:rPr>
              <w:t>9</w:t>
            </w:r>
            <w:r w:rsidR="00136210" w:rsidRPr="00EC3BD7">
              <w:rPr>
                <w:rFonts w:ascii="Times New Roman" w:hAnsi="Times New Roman"/>
                <w:color w:val="000000"/>
                <w:sz w:val="22"/>
                <w:szCs w:val="22"/>
                <w:lang w:val="et-EE"/>
              </w:rPr>
              <w:t>/l, korrata punkti 1 soovitust ja jätkata Gliveci ravi vähendatud annusega 400 mg.</w:t>
            </w:r>
          </w:p>
        </w:tc>
      </w:tr>
      <w:tr w:rsidR="00136210" w:rsidRPr="005D29F8" w14:paraId="5A5D74EA" w14:textId="77777777" w:rsidTr="00F53D51">
        <w:trPr>
          <w:cantSplit/>
        </w:trPr>
        <w:tc>
          <w:tcPr>
            <w:tcW w:w="9180" w:type="dxa"/>
            <w:gridSpan w:val="3"/>
            <w:tcBorders>
              <w:top w:val="single" w:sz="4" w:space="0" w:color="auto"/>
            </w:tcBorders>
          </w:tcPr>
          <w:p w14:paraId="1B34F9BC" w14:textId="77777777" w:rsidR="00136210" w:rsidRPr="00EC3BD7" w:rsidRDefault="00136210" w:rsidP="008B1609">
            <w:pPr>
              <w:pStyle w:val="EndnoteText"/>
              <w:widowControl w:val="0"/>
              <w:tabs>
                <w:tab w:val="clear" w:pos="567"/>
              </w:tabs>
              <w:rPr>
                <w:color w:val="000000"/>
                <w:szCs w:val="22"/>
                <w:lang w:val="et-EE"/>
              </w:rPr>
            </w:pPr>
            <w:r w:rsidRPr="00EC3BD7">
              <w:rPr>
                <w:color w:val="000000"/>
                <w:szCs w:val="22"/>
                <w:vertAlign w:val="superscript"/>
                <w:lang w:val="et-EE"/>
              </w:rPr>
              <w:t>a</w:t>
            </w:r>
            <w:r w:rsidRPr="00EC3BD7">
              <w:rPr>
                <w:color w:val="000000"/>
                <w:szCs w:val="22"/>
                <w:lang w:val="et-EE"/>
              </w:rPr>
              <w:t xml:space="preserve"> pärast vähemalt ühekuulist ravi</w:t>
            </w:r>
          </w:p>
        </w:tc>
      </w:tr>
    </w:tbl>
    <w:p w14:paraId="4E5B2A1F" w14:textId="77777777" w:rsidR="00136210" w:rsidRPr="00EC3BD7" w:rsidRDefault="00136210">
      <w:pPr>
        <w:pStyle w:val="EndnoteText"/>
        <w:widowControl w:val="0"/>
        <w:tabs>
          <w:tab w:val="clear" w:pos="567"/>
        </w:tabs>
        <w:rPr>
          <w:color w:val="000000"/>
          <w:szCs w:val="22"/>
          <w:lang w:val="et-EE"/>
        </w:rPr>
      </w:pPr>
    </w:p>
    <w:p w14:paraId="1A6BBD6F" w14:textId="77777777" w:rsidR="005C4707" w:rsidRPr="00EC3BD7" w:rsidRDefault="005C4707" w:rsidP="00B9089D">
      <w:pPr>
        <w:pStyle w:val="EndnoteText"/>
        <w:keepNext/>
        <w:widowControl w:val="0"/>
        <w:tabs>
          <w:tab w:val="clear" w:pos="567"/>
        </w:tabs>
        <w:rPr>
          <w:color w:val="000000"/>
          <w:szCs w:val="22"/>
          <w:lang w:val="et-EE"/>
        </w:rPr>
      </w:pPr>
      <w:r w:rsidRPr="00EC3BD7">
        <w:rPr>
          <w:color w:val="000000"/>
          <w:szCs w:val="22"/>
          <w:u w:val="single"/>
          <w:lang w:val="et-EE"/>
        </w:rPr>
        <w:t>Patsientide erirühmad</w:t>
      </w:r>
    </w:p>
    <w:p w14:paraId="324EFA75" w14:textId="40CA0E60" w:rsidR="00136210" w:rsidRPr="00EC3BD7" w:rsidRDefault="00136210">
      <w:pPr>
        <w:pStyle w:val="EndnoteText"/>
        <w:widowControl w:val="0"/>
        <w:tabs>
          <w:tab w:val="clear" w:pos="567"/>
        </w:tabs>
        <w:rPr>
          <w:color w:val="000000"/>
          <w:szCs w:val="22"/>
          <w:lang w:val="et-EE"/>
        </w:rPr>
      </w:pPr>
      <w:r w:rsidRPr="00EC3BD7">
        <w:rPr>
          <w:i/>
          <w:color w:val="000000"/>
          <w:szCs w:val="22"/>
          <w:lang w:val="et-EE"/>
        </w:rPr>
        <w:t>Kasutamine lastel</w:t>
      </w:r>
      <w:r w:rsidR="007A6672" w:rsidRPr="00EC3BD7">
        <w:rPr>
          <w:i/>
          <w:color w:val="000000"/>
          <w:szCs w:val="22"/>
          <w:lang w:val="et-EE"/>
        </w:rPr>
        <w:t>:</w:t>
      </w:r>
      <w:r w:rsidRPr="00EC3BD7">
        <w:rPr>
          <w:color w:val="000000"/>
          <w:szCs w:val="22"/>
          <w:lang w:val="et-EE"/>
        </w:rPr>
        <w:t xml:space="preserve"> Kasutamise kogemus alla 2-aastastel lastel </w:t>
      </w:r>
      <w:r w:rsidR="00E9553A" w:rsidRPr="00EC3BD7">
        <w:rPr>
          <w:color w:val="000000"/>
          <w:szCs w:val="22"/>
          <w:lang w:val="et-EE"/>
        </w:rPr>
        <w:t xml:space="preserve">ja alla 1 aasta vanustel lastel Ph+ ALL korral </w:t>
      </w:r>
      <w:r w:rsidRPr="00EC3BD7">
        <w:rPr>
          <w:color w:val="000000"/>
          <w:szCs w:val="22"/>
          <w:lang w:val="et-EE"/>
        </w:rPr>
        <w:t>puudub (vt lõik</w:t>
      </w:r>
      <w:r w:rsidR="00F570D9" w:rsidRPr="00EC3BD7">
        <w:rPr>
          <w:color w:val="000000"/>
          <w:szCs w:val="22"/>
          <w:lang w:val="et-EE"/>
        </w:rPr>
        <w:t> </w:t>
      </w:r>
      <w:r w:rsidRPr="00EC3BD7">
        <w:rPr>
          <w:color w:val="000000"/>
          <w:szCs w:val="22"/>
          <w:lang w:val="et-EE"/>
        </w:rPr>
        <w:t xml:space="preserve">5.1). </w:t>
      </w:r>
      <w:r w:rsidR="00E9553A" w:rsidRPr="00EC3BD7">
        <w:rPr>
          <w:color w:val="000000"/>
          <w:szCs w:val="22"/>
          <w:lang w:val="et-EE"/>
        </w:rPr>
        <w:t>V</w:t>
      </w:r>
      <w:r w:rsidRPr="00EC3BD7">
        <w:rPr>
          <w:color w:val="000000"/>
          <w:szCs w:val="22"/>
          <w:lang w:val="et-EE"/>
        </w:rPr>
        <w:t xml:space="preserve">äga vähene </w:t>
      </w:r>
      <w:r w:rsidR="00E9553A" w:rsidRPr="00EC3BD7">
        <w:rPr>
          <w:color w:val="000000"/>
          <w:szCs w:val="22"/>
          <w:lang w:val="et-EE"/>
        </w:rPr>
        <w:t xml:space="preserve">on Gliveci kasutamise kogemus </w:t>
      </w:r>
      <w:r w:rsidRPr="00EC3BD7">
        <w:rPr>
          <w:color w:val="000000"/>
          <w:szCs w:val="22"/>
          <w:lang w:val="et-EE"/>
        </w:rPr>
        <w:t xml:space="preserve">lastel </w:t>
      </w:r>
      <w:smartTag w:uri="urn:schemas-microsoft-com:office:smarttags" w:element="stockticker">
        <w:r w:rsidRPr="00EC3BD7">
          <w:rPr>
            <w:color w:val="000000"/>
            <w:szCs w:val="22"/>
            <w:lang w:val="et-EE"/>
          </w:rPr>
          <w:t>MDS</w:t>
        </w:r>
      </w:smartTag>
      <w:r w:rsidRPr="00EC3BD7">
        <w:rPr>
          <w:color w:val="000000"/>
          <w:szCs w:val="22"/>
          <w:lang w:val="et-EE"/>
        </w:rPr>
        <w:t>/MPD</w:t>
      </w:r>
      <w:r w:rsidR="00C94E85" w:rsidRPr="00EC3BD7">
        <w:rPr>
          <w:color w:val="000000"/>
          <w:szCs w:val="22"/>
          <w:lang w:val="et-EE"/>
        </w:rPr>
        <w:t>,</w:t>
      </w:r>
      <w:r w:rsidRPr="00EC3BD7">
        <w:rPr>
          <w:color w:val="000000"/>
          <w:szCs w:val="22"/>
          <w:lang w:val="et-EE"/>
        </w:rPr>
        <w:t xml:space="preserve"> PDFS</w:t>
      </w:r>
      <w:r w:rsidR="00DD0F07">
        <w:rPr>
          <w:color w:val="000000"/>
          <w:szCs w:val="22"/>
          <w:lang w:val="et-EE"/>
        </w:rPr>
        <w:t>-i</w:t>
      </w:r>
      <w:r w:rsidR="00C94E85" w:rsidRPr="00EC3BD7">
        <w:rPr>
          <w:color w:val="000000"/>
          <w:szCs w:val="22"/>
          <w:lang w:val="et-EE"/>
        </w:rPr>
        <w:t>,</w:t>
      </w:r>
      <w:r w:rsidRPr="00EC3BD7">
        <w:rPr>
          <w:color w:val="000000"/>
          <w:szCs w:val="22"/>
          <w:lang w:val="et-EE"/>
        </w:rPr>
        <w:t xml:space="preserve"> GIST</w:t>
      </w:r>
      <w:r w:rsidR="00DD0F07">
        <w:rPr>
          <w:color w:val="000000"/>
          <w:szCs w:val="22"/>
          <w:lang w:val="et-EE"/>
        </w:rPr>
        <w:t>-i</w:t>
      </w:r>
      <w:r w:rsidRPr="00EC3BD7">
        <w:rPr>
          <w:color w:val="000000"/>
          <w:szCs w:val="22"/>
          <w:lang w:val="et-EE"/>
        </w:rPr>
        <w:t xml:space="preserve"> ja HES/KEL</w:t>
      </w:r>
      <w:r w:rsidR="00DD0F07">
        <w:rPr>
          <w:color w:val="000000"/>
          <w:szCs w:val="22"/>
          <w:lang w:val="et-EE"/>
        </w:rPr>
        <w:t>-i</w:t>
      </w:r>
      <w:r w:rsidRPr="00EC3BD7">
        <w:rPr>
          <w:color w:val="000000"/>
          <w:szCs w:val="22"/>
          <w:lang w:val="et-EE"/>
        </w:rPr>
        <w:t xml:space="preserve"> korral.</w:t>
      </w:r>
    </w:p>
    <w:p w14:paraId="1AEB17A6" w14:textId="77777777" w:rsidR="00136210" w:rsidRPr="00EC3BD7" w:rsidRDefault="00136210">
      <w:pPr>
        <w:pStyle w:val="EndnoteText"/>
        <w:widowControl w:val="0"/>
        <w:tabs>
          <w:tab w:val="clear" w:pos="567"/>
        </w:tabs>
        <w:rPr>
          <w:color w:val="000000"/>
          <w:szCs w:val="22"/>
          <w:lang w:val="et-EE"/>
        </w:rPr>
      </w:pPr>
    </w:p>
    <w:p w14:paraId="47F6F72C" w14:textId="3A8A787B" w:rsidR="006B749C" w:rsidRPr="00EC3BD7" w:rsidRDefault="006B749C">
      <w:pPr>
        <w:pStyle w:val="EndnoteText"/>
        <w:widowControl w:val="0"/>
        <w:tabs>
          <w:tab w:val="clear" w:pos="567"/>
        </w:tabs>
        <w:rPr>
          <w:color w:val="000000"/>
          <w:szCs w:val="22"/>
          <w:lang w:val="et-EE"/>
        </w:rPr>
      </w:pPr>
      <w:r w:rsidRPr="00EC3BD7">
        <w:rPr>
          <w:color w:val="000000"/>
          <w:szCs w:val="22"/>
          <w:lang w:val="et-EE"/>
        </w:rPr>
        <w:t>Imatiniibi ohutus ja efektiivsus</w:t>
      </w:r>
      <w:r w:rsidR="00F74611" w:rsidRPr="00EC3BD7">
        <w:rPr>
          <w:color w:val="000000"/>
          <w:szCs w:val="22"/>
          <w:lang w:val="et-EE"/>
        </w:rPr>
        <w:t xml:space="preserve"> </w:t>
      </w:r>
      <w:r w:rsidR="00164291" w:rsidRPr="00EC3BD7">
        <w:rPr>
          <w:color w:val="000000"/>
          <w:szCs w:val="22"/>
          <w:lang w:val="et-EE"/>
        </w:rPr>
        <w:t xml:space="preserve">lastel vanuses kuni </w:t>
      </w:r>
      <w:r w:rsidR="00F74611" w:rsidRPr="00EC3BD7">
        <w:rPr>
          <w:color w:val="000000"/>
          <w:szCs w:val="22"/>
          <w:lang w:val="et-EE"/>
        </w:rPr>
        <w:t>18 aasta</w:t>
      </w:r>
      <w:r w:rsidR="00164291" w:rsidRPr="00EC3BD7">
        <w:rPr>
          <w:color w:val="000000"/>
          <w:szCs w:val="22"/>
          <w:lang w:val="et-EE"/>
        </w:rPr>
        <w:t>t</w:t>
      </w:r>
      <w:r w:rsidR="00F74611" w:rsidRPr="00EC3BD7">
        <w:rPr>
          <w:color w:val="000000"/>
          <w:szCs w:val="22"/>
          <w:lang w:val="et-EE"/>
        </w:rPr>
        <w:t xml:space="preserve"> </w:t>
      </w:r>
      <w:r w:rsidRPr="00EC3BD7">
        <w:rPr>
          <w:color w:val="000000"/>
          <w:szCs w:val="22"/>
          <w:lang w:val="et-EE"/>
        </w:rPr>
        <w:t>MDS/MPD, PDFS</w:t>
      </w:r>
      <w:r w:rsidR="00DD0F07">
        <w:rPr>
          <w:color w:val="000000"/>
          <w:szCs w:val="22"/>
          <w:lang w:val="et-EE"/>
        </w:rPr>
        <w:t>-i</w:t>
      </w:r>
      <w:r w:rsidRPr="00EC3BD7">
        <w:rPr>
          <w:color w:val="000000"/>
          <w:szCs w:val="22"/>
          <w:lang w:val="et-EE"/>
        </w:rPr>
        <w:t>, GIST</w:t>
      </w:r>
      <w:r w:rsidR="00DD0F07">
        <w:rPr>
          <w:color w:val="000000"/>
          <w:szCs w:val="22"/>
          <w:lang w:val="et-EE"/>
        </w:rPr>
        <w:t>-i</w:t>
      </w:r>
      <w:r w:rsidRPr="00EC3BD7">
        <w:rPr>
          <w:color w:val="000000"/>
          <w:szCs w:val="22"/>
          <w:lang w:val="et-EE"/>
        </w:rPr>
        <w:t xml:space="preserve"> ja HES/KEL</w:t>
      </w:r>
      <w:r w:rsidR="00DD0F07">
        <w:rPr>
          <w:color w:val="000000"/>
          <w:szCs w:val="22"/>
          <w:lang w:val="et-EE"/>
        </w:rPr>
        <w:t>-i</w:t>
      </w:r>
      <w:r w:rsidRPr="00EC3BD7">
        <w:rPr>
          <w:color w:val="000000"/>
          <w:szCs w:val="22"/>
          <w:lang w:val="et-EE"/>
        </w:rPr>
        <w:t xml:space="preserve"> korral</w:t>
      </w:r>
      <w:r w:rsidR="001442FF" w:rsidRPr="00EC3BD7">
        <w:rPr>
          <w:color w:val="000000"/>
          <w:szCs w:val="22"/>
          <w:lang w:val="et-EE"/>
        </w:rPr>
        <w:t xml:space="preserve"> </w:t>
      </w:r>
      <w:r w:rsidR="002D3E6C" w:rsidRPr="00EC3BD7">
        <w:rPr>
          <w:color w:val="000000"/>
          <w:szCs w:val="22"/>
          <w:lang w:val="et-EE"/>
        </w:rPr>
        <w:t xml:space="preserve">kliinilistes uuringutes </w:t>
      </w:r>
      <w:r w:rsidR="00AB0954" w:rsidRPr="00EC3BD7">
        <w:rPr>
          <w:color w:val="000000"/>
          <w:szCs w:val="22"/>
          <w:lang w:val="et-EE"/>
        </w:rPr>
        <w:t xml:space="preserve">ei ole </w:t>
      </w:r>
      <w:r w:rsidR="00C917BC" w:rsidRPr="00EC3BD7">
        <w:rPr>
          <w:color w:val="000000"/>
          <w:szCs w:val="22"/>
          <w:lang w:val="et-EE"/>
        </w:rPr>
        <w:t>tõestatud</w:t>
      </w:r>
      <w:r w:rsidR="002D3E6C" w:rsidRPr="00EC3BD7">
        <w:rPr>
          <w:color w:val="000000"/>
          <w:szCs w:val="22"/>
          <w:lang w:val="et-EE"/>
        </w:rPr>
        <w:t xml:space="preserve">. </w:t>
      </w:r>
      <w:r w:rsidR="00AB0954" w:rsidRPr="00EC3BD7">
        <w:rPr>
          <w:color w:val="000000"/>
          <w:szCs w:val="22"/>
          <w:lang w:val="et-EE"/>
        </w:rPr>
        <w:t>Antud h</w:t>
      </w:r>
      <w:r w:rsidR="002D3E6C" w:rsidRPr="00EC3BD7">
        <w:rPr>
          <w:color w:val="000000"/>
          <w:szCs w:val="22"/>
          <w:lang w:val="et-EE"/>
        </w:rPr>
        <w:t xml:space="preserve">etkel </w:t>
      </w:r>
      <w:r w:rsidR="00AB0954" w:rsidRPr="00EC3BD7">
        <w:rPr>
          <w:color w:val="000000"/>
          <w:szCs w:val="22"/>
          <w:lang w:val="et-EE"/>
        </w:rPr>
        <w:t>teada</w:t>
      </w:r>
      <w:r w:rsidR="002D3E6C" w:rsidRPr="00EC3BD7">
        <w:rPr>
          <w:color w:val="000000"/>
          <w:szCs w:val="22"/>
          <w:lang w:val="et-EE"/>
        </w:rPr>
        <w:t xml:space="preserve">olevad avaldatud andmed on kokku võetud </w:t>
      </w:r>
      <w:r w:rsidR="00AB0954" w:rsidRPr="00EC3BD7">
        <w:rPr>
          <w:color w:val="000000"/>
          <w:szCs w:val="22"/>
          <w:lang w:val="et-EE"/>
        </w:rPr>
        <w:t>lõigus</w:t>
      </w:r>
      <w:r w:rsidR="00DB0BC8" w:rsidRPr="00EC3BD7">
        <w:rPr>
          <w:color w:val="000000"/>
          <w:szCs w:val="22"/>
          <w:lang w:val="et-EE"/>
        </w:rPr>
        <w:t> </w:t>
      </w:r>
      <w:r w:rsidR="00AB0954" w:rsidRPr="00EC3BD7">
        <w:rPr>
          <w:color w:val="000000"/>
          <w:szCs w:val="22"/>
          <w:lang w:val="et-EE"/>
        </w:rPr>
        <w:t>5.1</w:t>
      </w:r>
      <w:r w:rsidR="00106044" w:rsidRPr="00EC3BD7">
        <w:rPr>
          <w:color w:val="000000"/>
          <w:szCs w:val="22"/>
          <w:lang w:val="et-EE"/>
        </w:rPr>
        <w:t>,</w:t>
      </w:r>
      <w:r w:rsidR="002D3E6C" w:rsidRPr="00EC3BD7">
        <w:rPr>
          <w:color w:val="000000"/>
          <w:szCs w:val="22"/>
          <w:lang w:val="et-EE"/>
        </w:rPr>
        <w:t xml:space="preserve"> </w:t>
      </w:r>
      <w:r w:rsidR="00AB0954" w:rsidRPr="00EC3BD7">
        <w:rPr>
          <w:color w:val="000000"/>
          <w:szCs w:val="22"/>
          <w:lang w:val="et-EE"/>
        </w:rPr>
        <w:t xml:space="preserve">aga </w:t>
      </w:r>
      <w:r w:rsidR="002D3E6C" w:rsidRPr="00EC3BD7">
        <w:rPr>
          <w:color w:val="000000"/>
          <w:szCs w:val="22"/>
          <w:lang w:val="et-EE"/>
        </w:rPr>
        <w:t xml:space="preserve">soovitusi </w:t>
      </w:r>
      <w:r w:rsidR="00AB0954" w:rsidRPr="00EC3BD7">
        <w:rPr>
          <w:color w:val="000000"/>
          <w:szCs w:val="22"/>
          <w:lang w:val="et-EE"/>
        </w:rPr>
        <w:t xml:space="preserve">annustamise kohta </w:t>
      </w:r>
      <w:r w:rsidR="002D3E6C" w:rsidRPr="00EC3BD7">
        <w:rPr>
          <w:color w:val="000000"/>
          <w:szCs w:val="22"/>
          <w:lang w:val="et-EE"/>
        </w:rPr>
        <w:t xml:space="preserve">ei </w:t>
      </w:r>
      <w:r w:rsidR="00AB0954" w:rsidRPr="00EC3BD7">
        <w:rPr>
          <w:color w:val="000000"/>
          <w:szCs w:val="22"/>
          <w:lang w:val="et-EE"/>
        </w:rPr>
        <w:t>ole võimalik</w:t>
      </w:r>
      <w:r w:rsidR="002D3E6C" w:rsidRPr="00EC3BD7">
        <w:rPr>
          <w:color w:val="000000"/>
          <w:szCs w:val="22"/>
          <w:lang w:val="et-EE"/>
        </w:rPr>
        <w:t xml:space="preserve"> anda.</w:t>
      </w:r>
    </w:p>
    <w:p w14:paraId="687531D7" w14:textId="77777777" w:rsidR="006B749C" w:rsidRPr="00EC3BD7" w:rsidRDefault="006B749C">
      <w:pPr>
        <w:pStyle w:val="EndnoteText"/>
        <w:widowControl w:val="0"/>
        <w:tabs>
          <w:tab w:val="clear" w:pos="567"/>
        </w:tabs>
        <w:rPr>
          <w:color w:val="000000"/>
          <w:szCs w:val="22"/>
          <w:lang w:val="et-EE"/>
        </w:rPr>
      </w:pPr>
    </w:p>
    <w:p w14:paraId="730603A8" w14:textId="77777777" w:rsidR="00136210" w:rsidRPr="00EC3BD7" w:rsidRDefault="00136210">
      <w:pPr>
        <w:pStyle w:val="EndnoteText"/>
        <w:widowControl w:val="0"/>
        <w:tabs>
          <w:tab w:val="clear" w:pos="567"/>
        </w:tabs>
        <w:rPr>
          <w:color w:val="000000"/>
          <w:szCs w:val="22"/>
          <w:lang w:val="et-EE"/>
        </w:rPr>
      </w:pPr>
      <w:r w:rsidRPr="00EC3BD7">
        <w:rPr>
          <w:i/>
          <w:color w:val="000000"/>
          <w:szCs w:val="22"/>
          <w:lang w:val="et-EE"/>
        </w:rPr>
        <w:t>Maksapuudulikkus</w:t>
      </w:r>
      <w:r w:rsidR="007479B8" w:rsidRPr="00EC3BD7">
        <w:rPr>
          <w:i/>
          <w:color w:val="000000"/>
          <w:szCs w:val="22"/>
          <w:lang w:val="et-EE"/>
        </w:rPr>
        <w:t>:</w:t>
      </w:r>
      <w:r w:rsidRPr="00EC3BD7">
        <w:rPr>
          <w:color w:val="000000"/>
          <w:szCs w:val="22"/>
          <w:lang w:val="et-EE"/>
        </w:rPr>
        <w:t xml:space="preserve"> Imatiniib metaboliseerub peamiselt maksas. Maksafunktsiooni kerge, keskmise ja raske häirega patsientidele tuleb anda väiksem soovitatav annus 400 mg ööpäevas. Talumatuse korral tuleks annust vähendada (vt lõik</w:t>
      </w:r>
      <w:r w:rsidR="00DB0BC8" w:rsidRPr="00EC3BD7">
        <w:rPr>
          <w:color w:val="000000"/>
          <w:szCs w:val="22"/>
          <w:lang w:val="et-EE"/>
        </w:rPr>
        <w:t> </w:t>
      </w:r>
      <w:r w:rsidRPr="00EC3BD7">
        <w:rPr>
          <w:color w:val="000000"/>
          <w:szCs w:val="22"/>
          <w:lang w:val="et-EE"/>
        </w:rPr>
        <w:t>4.4, 4.8 ja 5.2).</w:t>
      </w:r>
    </w:p>
    <w:p w14:paraId="48C73C37" w14:textId="77777777" w:rsidR="00136210" w:rsidRPr="00EC3BD7" w:rsidRDefault="00136210">
      <w:pPr>
        <w:pStyle w:val="EndnoteText"/>
        <w:widowControl w:val="0"/>
        <w:tabs>
          <w:tab w:val="clear" w:pos="567"/>
        </w:tabs>
        <w:rPr>
          <w:color w:val="000000"/>
          <w:szCs w:val="22"/>
          <w:lang w:val="et-EE"/>
        </w:rPr>
      </w:pPr>
    </w:p>
    <w:p w14:paraId="1E5DF14F"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lastRenderedPageBreak/>
        <w:t>Maksapuudulikkuse klassifikatsioon:</w:t>
      </w:r>
    </w:p>
    <w:p w14:paraId="14FF29AF" w14:textId="77777777" w:rsidR="00136210" w:rsidRPr="00EC3BD7" w:rsidRDefault="00136210" w:rsidP="00B9089D">
      <w:pPr>
        <w:pStyle w:val="EndnoteText"/>
        <w:keepNext/>
        <w:widowControl w:val="0"/>
        <w:tabs>
          <w:tab w:val="clear" w:pos="567"/>
        </w:tabs>
        <w:rPr>
          <w:color w:val="000000"/>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1"/>
        <w:gridCol w:w="5480"/>
      </w:tblGrid>
      <w:tr w:rsidR="00136210" w:rsidRPr="00EC3BD7" w14:paraId="6DFC398F" w14:textId="77777777" w:rsidTr="008B1609">
        <w:trPr>
          <w:cantSplit/>
        </w:trPr>
        <w:tc>
          <w:tcPr>
            <w:tcW w:w="3652" w:type="dxa"/>
          </w:tcPr>
          <w:p w14:paraId="1BEEEB14"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Maksapuudulikkus</w:t>
            </w:r>
          </w:p>
        </w:tc>
        <w:tc>
          <w:tcPr>
            <w:tcW w:w="5635" w:type="dxa"/>
          </w:tcPr>
          <w:p w14:paraId="37BD2333"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Maksafunktsiooni laboratoorsed näitajad</w:t>
            </w:r>
          </w:p>
        </w:tc>
      </w:tr>
      <w:tr w:rsidR="00136210" w:rsidRPr="005D29F8" w14:paraId="5F30B145" w14:textId="77777777" w:rsidTr="008B1609">
        <w:trPr>
          <w:cantSplit/>
        </w:trPr>
        <w:tc>
          <w:tcPr>
            <w:tcW w:w="3652" w:type="dxa"/>
          </w:tcPr>
          <w:p w14:paraId="00392195"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Kerge</w:t>
            </w:r>
          </w:p>
        </w:tc>
        <w:tc>
          <w:tcPr>
            <w:tcW w:w="5635" w:type="dxa"/>
          </w:tcPr>
          <w:p w14:paraId="2ACA03B5"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Üldbilirubiin: = 1,5 ULN</w:t>
            </w:r>
          </w:p>
          <w:p w14:paraId="22FD0189"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AS</w:t>
            </w:r>
            <w:r w:rsidR="009D6702" w:rsidRPr="00EC3BD7">
              <w:rPr>
                <w:color w:val="000000"/>
                <w:szCs w:val="22"/>
                <w:lang w:val="et-EE"/>
              </w:rPr>
              <w:t>A</w:t>
            </w:r>
            <w:r w:rsidRPr="00EC3BD7">
              <w:rPr>
                <w:color w:val="000000"/>
                <w:szCs w:val="22"/>
                <w:lang w:val="et-EE"/>
              </w:rPr>
              <w:t>T: &gt;ULN (võib olla normaalne või &lt;ULN kui üldbilirubiin on &gt;ULN)</w:t>
            </w:r>
          </w:p>
        </w:tc>
      </w:tr>
      <w:tr w:rsidR="00136210" w:rsidRPr="005D29F8" w14:paraId="197AF061" w14:textId="77777777" w:rsidTr="008B1609">
        <w:trPr>
          <w:cantSplit/>
        </w:trPr>
        <w:tc>
          <w:tcPr>
            <w:tcW w:w="3652" w:type="dxa"/>
          </w:tcPr>
          <w:p w14:paraId="6A0D8F5D"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Keskmine</w:t>
            </w:r>
          </w:p>
        </w:tc>
        <w:tc>
          <w:tcPr>
            <w:tcW w:w="5635" w:type="dxa"/>
          </w:tcPr>
          <w:p w14:paraId="2541C0D2"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Üldbilirubiin: &gt;1,5</w:t>
            </w:r>
            <w:r w:rsidR="00D60262" w:rsidRPr="00EC3BD7">
              <w:rPr>
                <w:color w:val="000000"/>
                <w:szCs w:val="22"/>
                <w:lang w:val="et-EE"/>
              </w:rPr>
              <w:t>...</w:t>
            </w:r>
            <w:r w:rsidRPr="00EC3BD7">
              <w:rPr>
                <w:color w:val="000000"/>
                <w:szCs w:val="22"/>
                <w:lang w:val="et-EE"/>
              </w:rPr>
              <w:t>3,0 ULN</w:t>
            </w:r>
          </w:p>
          <w:p w14:paraId="668F108D"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AS</w:t>
            </w:r>
            <w:r w:rsidR="009D6702" w:rsidRPr="00EC3BD7">
              <w:rPr>
                <w:color w:val="000000"/>
                <w:szCs w:val="22"/>
                <w:lang w:val="et-EE"/>
              </w:rPr>
              <w:t>A</w:t>
            </w:r>
            <w:r w:rsidRPr="00EC3BD7">
              <w:rPr>
                <w:color w:val="000000"/>
                <w:szCs w:val="22"/>
                <w:lang w:val="et-EE"/>
              </w:rPr>
              <w:t>T: kõik väärtused</w:t>
            </w:r>
          </w:p>
        </w:tc>
      </w:tr>
      <w:tr w:rsidR="00136210" w:rsidRPr="005D29F8" w14:paraId="242A7C86" w14:textId="77777777" w:rsidTr="008B1609">
        <w:trPr>
          <w:cantSplit/>
        </w:trPr>
        <w:tc>
          <w:tcPr>
            <w:tcW w:w="3652" w:type="dxa"/>
          </w:tcPr>
          <w:p w14:paraId="1C647615"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Raske</w:t>
            </w:r>
          </w:p>
        </w:tc>
        <w:tc>
          <w:tcPr>
            <w:tcW w:w="5635" w:type="dxa"/>
          </w:tcPr>
          <w:p w14:paraId="5512C9FC"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Üldbilirubiin: &gt;3</w:t>
            </w:r>
            <w:r w:rsidR="00D60262" w:rsidRPr="00EC3BD7">
              <w:rPr>
                <w:color w:val="000000"/>
                <w:szCs w:val="22"/>
                <w:lang w:val="et-EE"/>
              </w:rPr>
              <w:t>...</w:t>
            </w:r>
            <w:r w:rsidRPr="00EC3BD7">
              <w:rPr>
                <w:color w:val="000000"/>
                <w:szCs w:val="22"/>
                <w:lang w:val="et-EE"/>
              </w:rPr>
              <w:t>10 ULN</w:t>
            </w:r>
          </w:p>
          <w:p w14:paraId="4CDBB7E4"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AS</w:t>
            </w:r>
            <w:r w:rsidR="009D6702" w:rsidRPr="00EC3BD7">
              <w:rPr>
                <w:color w:val="000000"/>
                <w:szCs w:val="22"/>
                <w:lang w:val="et-EE"/>
              </w:rPr>
              <w:t>A</w:t>
            </w:r>
            <w:r w:rsidRPr="00EC3BD7">
              <w:rPr>
                <w:color w:val="000000"/>
                <w:szCs w:val="22"/>
                <w:lang w:val="et-EE"/>
              </w:rPr>
              <w:t>T: kõik väärtused</w:t>
            </w:r>
          </w:p>
        </w:tc>
      </w:tr>
    </w:tbl>
    <w:p w14:paraId="0CF7DA3A"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ULN = normi ülemine piir</w:t>
      </w:r>
    </w:p>
    <w:p w14:paraId="1B7BA9BB" w14:textId="77777777" w:rsidR="00136210" w:rsidRPr="00EC3BD7" w:rsidRDefault="00136210" w:rsidP="008B1609">
      <w:pPr>
        <w:pStyle w:val="EndnoteText"/>
        <w:widowControl w:val="0"/>
        <w:tabs>
          <w:tab w:val="clear" w:pos="567"/>
        </w:tabs>
        <w:rPr>
          <w:color w:val="000000"/>
          <w:szCs w:val="22"/>
          <w:lang w:val="et-EE"/>
        </w:rPr>
      </w:pPr>
      <w:r w:rsidRPr="00EC3BD7">
        <w:rPr>
          <w:color w:val="000000"/>
          <w:szCs w:val="22"/>
          <w:lang w:val="et-EE"/>
        </w:rPr>
        <w:t>AS</w:t>
      </w:r>
      <w:r w:rsidR="00AD37CE" w:rsidRPr="00EC3BD7">
        <w:rPr>
          <w:color w:val="000000"/>
          <w:szCs w:val="22"/>
          <w:lang w:val="et-EE"/>
        </w:rPr>
        <w:t>A</w:t>
      </w:r>
      <w:r w:rsidRPr="00EC3BD7">
        <w:rPr>
          <w:color w:val="000000"/>
          <w:szCs w:val="22"/>
          <w:lang w:val="et-EE"/>
        </w:rPr>
        <w:t>T = aspartaadi aminotransferaas</w:t>
      </w:r>
    </w:p>
    <w:p w14:paraId="722B296C" w14:textId="77777777" w:rsidR="00136210" w:rsidRPr="00EC3BD7" w:rsidRDefault="00136210">
      <w:pPr>
        <w:pStyle w:val="EndnoteText"/>
        <w:widowControl w:val="0"/>
        <w:tabs>
          <w:tab w:val="clear" w:pos="567"/>
        </w:tabs>
        <w:rPr>
          <w:color w:val="000000"/>
          <w:szCs w:val="22"/>
          <w:lang w:val="et-EE"/>
        </w:rPr>
      </w:pPr>
    </w:p>
    <w:p w14:paraId="7CE100CD" w14:textId="77777777" w:rsidR="00136210" w:rsidRPr="00EC3BD7" w:rsidRDefault="00136210">
      <w:pPr>
        <w:pStyle w:val="EndnoteText"/>
        <w:widowControl w:val="0"/>
        <w:tabs>
          <w:tab w:val="clear" w:pos="567"/>
        </w:tabs>
        <w:rPr>
          <w:color w:val="000000"/>
          <w:szCs w:val="22"/>
          <w:lang w:val="et-EE"/>
        </w:rPr>
      </w:pPr>
      <w:r w:rsidRPr="00EC3BD7">
        <w:rPr>
          <w:i/>
          <w:color w:val="000000"/>
          <w:szCs w:val="22"/>
          <w:lang w:val="et-EE"/>
        </w:rPr>
        <w:t>Neerupuudulikkus</w:t>
      </w:r>
      <w:r w:rsidR="004F3467" w:rsidRPr="00EC3BD7">
        <w:rPr>
          <w:i/>
          <w:color w:val="000000"/>
          <w:szCs w:val="22"/>
          <w:lang w:val="et-EE"/>
        </w:rPr>
        <w:t>:</w:t>
      </w:r>
      <w:r w:rsidR="004F3467" w:rsidRPr="00EC3BD7">
        <w:rPr>
          <w:color w:val="000000"/>
          <w:szCs w:val="22"/>
          <w:lang w:val="et-EE"/>
        </w:rPr>
        <w:t xml:space="preserve"> N</w:t>
      </w:r>
      <w:r w:rsidRPr="00EC3BD7">
        <w:rPr>
          <w:color w:val="000000"/>
          <w:szCs w:val="22"/>
          <w:lang w:val="et-EE"/>
        </w:rPr>
        <w:t>eerufunktsiooni häirega</w:t>
      </w:r>
      <w:r w:rsidR="004F3467" w:rsidRPr="00EC3BD7">
        <w:rPr>
          <w:color w:val="000000"/>
          <w:szCs w:val="22"/>
          <w:lang w:val="et-EE"/>
        </w:rPr>
        <w:t xml:space="preserve"> või dialüüsi saavatele</w:t>
      </w:r>
      <w:r w:rsidRPr="00EC3BD7">
        <w:rPr>
          <w:color w:val="000000"/>
          <w:szCs w:val="22"/>
          <w:lang w:val="et-EE"/>
        </w:rPr>
        <w:t xml:space="preserve"> patsientidele tuleb algannusena manustada minimaalne soovitatav annus 400 mg ööpäevas. Siiski soovitatakse nende patsientide korral olla ettevaatlik. Talumatuse korral võib annust vähendada</w:t>
      </w:r>
      <w:r w:rsidR="009A75C8" w:rsidRPr="00EC3BD7">
        <w:rPr>
          <w:color w:val="000000"/>
          <w:szCs w:val="22"/>
          <w:lang w:val="et-EE"/>
        </w:rPr>
        <w:t>. Kui patsient</w:t>
      </w:r>
      <w:r w:rsidR="004F3467" w:rsidRPr="00EC3BD7">
        <w:rPr>
          <w:color w:val="000000"/>
          <w:szCs w:val="22"/>
          <w:lang w:val="et-EE"/>
        </w:rPr>
        <w:t xml:space="preserve"> talub ravi,</w:t>
      </w:r>
      <w:r w:rsidRPr="00EC3BD7">
        <w:rPr>
          <w:color w:val="000000"/>
          <w:szCs w:val="22"/>
          <w:lang w:val="et-EE"/>
        </w:rPr>
        <w:t xml:space="preserve"> või</w:t>
      </w:r>
      <w:r w:rsidR="004F3467" w:rsidRPr="00EC3BD7">
        <w:rPr>
          <w:color w:val="000000"/>
          <w:szCs w:val="22"/>
          <w:lang w:val="et-EE"/>
        </w:rPr>
        <w:t>b</w:t>
      </w:r>
      <w:r w:rsidRPr="00EC3BD7">
        <w:rPr>
          <w:color w:val="000000"/>
          <w:szCs w:val="22"/>
          <w:lang w:val="et-EE"/>
        </w:rPr>
        <w:t xml:space="preserve"> toime puudumisel</w:t>
      </w:r>
      <w:r w:rsidR="004F3467" w:rsidRPr="00EC3BD7">
        <w:rPr>
          <w:color w:val="000000"/>
          <w:szCs w:val="22"/>
          <w:lang w:val="et-EE"/>
        </w:rPr>
        <w:t xml:space="preserve"> annust</w:t>
      </w:r>
      <w:r w:rsidRPr="00EC3BD7">
        <w:rPr>
          <w:color w:val="000000"/>
          <w:szCs w:val="22"/>
          <w:lang w:val="et-EE"/>
        </w:rPr>
        <w:t xml:space="preserve"> suurendada (vt lõigud</w:t>
      </w:r>
      <w:r w:rsidR="00DB0BC8" w:rsidRPr="00EC3BD7">
        <w:rPr>
          <w:color w:val="000000"/>
          <w:szCs w:val="22"/>
          <w:lang w:val="et-EE"/>
        </w:rPr>
        <w:t> </w:t>
      </w:r>
      <w:r w:rsidRPr="00EC3BD7">
        <w:rPr>
          <w:color w:val="000000"/>
          <w:szCs w:val="22"/>
          <w:lang w:val="et-EE"/>
        </w:rPr>
        <w:t>4.4 ja 5.2).</w:t>
      </w:r>
    </w:p>
    <w:p w14:paraId="5EE8C051" w14:textId="77777777" w:rsidR="00136210" w:rsidRPr="00EC3BD7" w:rsidRDefault="00136210">
      <w:pPr>
        <w:pStyle w:val="EndnoteText"/>
        <w:widowControl w:val="0"/>
        <w:tabs>
          <w:tab w:val="clear" w:pos="567"/>
        </w:tabs>
        <w:rPr>
          <w:color w:val="000000"/>
          <w:szCs w:val="22"/>
          <w:lang w:val="et-EE"/>
        </w:rPr>
      </w:pPr>
    </w:p>
    <w:p w14:paraId="2226C968" w14:textId="77777777" w:rsidR="00136210" w:rsidRPr="00EC3BD7" w:rsidRDefault="0007109E">
      <w:pPr>
        <w:pStyle w:val="EndnoteText"/>
        <w:widowControl w:val="0"/>
        <w:tabs>
          <w:tab w:val="clear" w:pos="567"/>
        </w:tabs>
        <w:rPr>
          <w:color w:val="000000"/>
          <w:szCs w:val="22"/>
          <w:lang w:val="et-EE"/>
        </w:rPr>
      </w:pPr>
      <w:r w:rsidRPr="00EC3BD7">
        <w:rPr>
          <w:i/>
          <w:color w:val="000000"/>
          <w:szCs w:val="22"/>
          <w:lang w:val="et-EE"/>
        </w:rPr>
        <w:t>Eakad</w:t>
      </w:r>
      <w:r w:rsidR="007B3EDB" w:rsidRPr="00EC3BD7">
        <w:rPr>
          <w:i/>
          <w:color w:val="000000"/>
          <w:szCs w:val="22"/>
          <w:lang w:val="et-EE"/>
        </w:rPr>
        <w:t>:</w:t>
      </w:r>
      <w:r w:rsidR="00136210" w:rsidRPr="00EC3BD7">
        <w:rPr>
          <w:color w:val="000000"/>
          <w:szCs w:val="22"/>
          <w:lang w:val="et-EE"/>
        </w:rPr>
        <w:t xml:space="preserve"> </w:t>
      </w:r>
      <w:r w:rsidRPr="00EC3BD7">
        <w:rPr>
          <w:color w:val="000000"/>
          <w:szCs w:val="22"/>
          <w:lang w:val="et-EE"/>
        </w:rPr>
        <w:t>Eakatel</w:t>
      </w:r>
      <w:r w:rsidR="00136210" w:rsidRPr="00EC3BD7">
        <w:rPr>
          <w:color w:val="000000"/>
          <w:szCs w:val="22"/>
          <w:lang w:val="et-EE"/>
        </w:rPr>
        <w:t xml:space="preserve"> ei ole uuringuid imatiniibi farmakokineetika kohta läbi viidud. Täiskasvanud patsientidel ei ole täheldatud farmakokineetikas east sõltuvaid erinevusi kliinilistes uuringutes, milles rohkem kui 20% patsientidest olid 65</w:t>
      </w:r>
      <w:r w:rsidR="00DB0BC8" w:rsidRPr="00EC3BD7">
        <w:rPr>
          <w:color w:val="000000"/>
          <w:szCs w:val="22"/>
          <w:lang w:val="et-EE"/>
        </w:rPr>
        <w:noBreakHyphen/>
      </w:r>
      <w:r w:rsidR="00136210" w:rsidRPr="00EC3BD7">
        <w:rPr>
          <w:color w:val="000000"/>
          <w:szCs w:val="22"/>
          <w:lang w:val="et-EE"/>
        </w:rPr>
        <w:t xml:space="preserve">aastased ja vanemad. </w:t>
      </w:r>
      <w:r w:rsidRPr="00EC3BD7">
        <w:rPr>
          <w:color w:val="000000"/>
          <w:szCs w:val="22"/>
          <w:lang w:val="et-EE"/>
        </w:rPr>
        <w:t>Eakatel</w:t>
      </w:r>
      <w:r w:rsidR="00136210" w:rsidRPr="00EC3BD7">
        <w:rPr>
          <w:color w:val="000000"/>
          <w:szCs w:val="22"/>
          <w:lang w:val="et-EE"/>
        </w:rPr>
        <w:t xml:space="preserve"> ei ole vaja annuseid korrigeerida.</w:t>
      </w:r>
    </w:p>
    <w:p w14:paraId="4509566D" w14:textId="77777777" w:rsidR="00136210" w:rsidRPr="00EC3BD7" w:rsidRDefault="00136210">
      <w:pPr>
        <w:pStyle w:val="EndnoteText"/>
        <w:widowControl w:val="0"/>
        <w:tabs>
          <w:tab w:val="clear" w:pos="567"/>
        </w:tabs>
        <w:rPr>
          <w:color w:val="000000"/>
          <w:szCs w:val="22"/>
          <w:lang w:val="et-EE"/>
        </w:rPr>
      </w:pPr>
    </w:p>
    <w:p w14:paraId="12455D8E"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4.3</w:t>
      </w:r>
      <w:r w:rsidRPr="00EC3BD7">
        <w:rPr>
          <w:b/>
          <w:color w:val="000000"/>
          <w:szCs w:val="22"/>
          <w:lang w:val="et-EE"/>
        </w:rPr>
        <w:tab/>
        <w:t>Vastunäidustused</w:t>
      </w:r>
    </w:p>
    <w:p w14:paraId="0A22CEC8" w14:textId="77777777" w:rsidR="00136210" w:rsidRPr="00EC3BD7" w:rsidRDefault="00136210" w:rsidP="00B9089D">
      <w:pPr>
        <w:pStyle w:val="EndnoteText"/>
        <w:keepNext/>
        <w:widowControl w:val="0"/>
        <w:tabs>
          <w:tab w:val="clear" w:pos="567"/>
        </w:tabs>
        <w:rPr>
          <w:color w:val="000000"/>
          <w:szCs w:val="22"/>
          <w:lang w:val="et-EE"/>
        </w:rPr>
      </w:pPr>
    </w:p>
    <w:p w14:paraId="746378FD"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Ülitundlikkus toimeaine või</w:t>
      </w:r>
      <w:r w:rsidR="00CD16F9" w:rsidRPr="00EC3BD7">
        <w:rPr>
          <w:color w:val="000000"/>
          <w:szCs w:val="22"/>
          <w:lang w:val="et-EE"/>
        </w:rPr>
        <w:t xml:space="preserve"> lõigus</w:t>
      </w:r>
      <w:r w:rsidR="00DB0BC8" w:rsidRPr="00EC3BD7">
        <w:rPr>
          <w:color w:val="000000"/>
          <w:szCs w:val="22"/>
          <w:lang w:val="et-EE"/>
        </w:rPr>
        <w:t> </w:t>
      </w:r>
      <w:r w:rsidR="00CD16F9" w:rsidRPr="00EC3BD7">
        <w:rPr>
          <w:color w:val="000000"/>
          <w:szCs w:val="22"/>
          <w:lang w:val="et-EE"/>
        </w:rPr>
        <w:t>6.1 loetletud mis tahes</w:t>
      </w:r>
      <w:r w:rsidRPr="00EC3BD7">
        <w:rPr>
          <w:color w:val="000000"/>
          <w:szCs w:val="22"/>
          <w:lang w:val="et-EE"/>
        </w:rPr>
        <w:t xml:space="preserve"> abiaine</w:t>
      </w:r>
      <w:r w:rsidR="00A10001" w:rsidRPr="00EC3BD7">
        <w:rPr>
          <w:color w:val="000000"/>
          <w:szCs w:val="22"/>
          <w:lang w:val="et-EE"/>
        </w:rPr>
        <w:t>te</w:t>
      </w:r>
      <w:r w:rsidRPr="00EC3BD7">
        <w:rPr>
          <w:color w:val="000000"/>
          <w:szCs w:val="22"/>
          <w:lang w:val="et-EE"/>
        </w:rPr>
        <w:t xml:space="preserve"> suhtes.</w:t>
      </w:r>
    </w:p>
    <w:p w14:paraId="272573CE" w14:textId="77777777" w:rsidR="00136210" w:rsidRPr="00EC3BD7" w:rsidRDefault="00136210">
      <w:pPr>
        <w:pStyle w:val="EndnoteText"/>
        <w:widowControl w:val="0"/>
        <w:tabs>
          <w:tab w:val="clear" w:pos="567"/>
        </w:tabs>
        <w:rPr>
          <w:color w:val="000000"/>
          <w:szCs w:val="22"/>
          <w:lang w:val="et-EE"/>
        </w:rPr>
      </w:pPr>
    </w:p>
    <w:p w14:paraId="62D85CE8"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4.4</w:t>
      </w:r>
      <w:r w:rsidRPr="00EC3BD7">
        <w:rPr>
          <w:b/>
          <w:color w:val="000000"/>
          <w:szCs w:val="22"/>
          <w:lang w:val="et-EE"/>
        </w:rPr>
        <w:tab/>
      </w:r>
      <w:r w:rsidR="00714149" w:rsidRPr="00EC3BD7">
        <w:rPr>
          <w:b/>
          <w:color w:val="000000"/>
          <w:szCs w:val="22"/>
          <w:lang w:val="et-EE"/>
        </w:rPr>
        <w:t>Erih</w:t>
      </w:r>
      <w:r w:rsidRPr="00EC3BD7">
        <w:rPr>
          <w:b/>
          <w:color w:val="000000"/>
          <w:szCs w:val="22"/>
          <w:lang w:val="et-EE"/>
        </w:rPr>
        <w:t>oiatused ja ettevaatusabinõud kasutamisel</w:t>
      </w:r>
    </w:p>
    <w:p w14:paraId="21711D87" w14:textId="77777777" w:rsidR="00136210" w:rsidRPr="00EC3BD7" w:rsidRDefault="00136210" w:rsidP="00B9089D">
      <w:pPr>
        <w:pStyle w:val="EndnoteText"/>
        <w:keepNext/>
        <w:widowControl w:val="0"/>
        <w:tabs>
          <w:tab w:val="clear" w:pos="567"/>
        </w:tabs>
        <w:rPr>
          <w:color w:val="000000"/>
          <w:szCs w:val="22"/>
          <w:lang w:val="et-EE"/>
        </w:rPr>
      </w:pPr>
    </w:p>
    <w:p w14:paraId="0B869771" w14:textId="77777777" w:rsidR="00136210" w:rsidRPr="00EC3BD7" w:rsidRDefault="00136210">
      <w:pPr>
        <w:pStyle w:val="EndnoteText"/>
        <w:widowControl w:val="0"/>
        <w:tabs>
          <w:tab w:val="clear" w:pos="567"/>
          <w:tab w:val="left" w:pos="7655"/>
        </w:tabs>
        <w:rPr>
          <w:color w:val="000000"/>
          <w:szCs w:val="22"/>
          <w:lang w:val="et-EE"/>
        </w:rPr>
      </w:pPr>
      <w:r w:rsidRPr="00EC3BD7">
        <w:rPr>
          <w:color w:val="000000"/>
          <w:szCs w:val="22"/>
          <w:lang w:val="et-EE"/>
        </w:rPr>
        <w:t>Gliveci manustamisel koos teiste ravimitega võib esineda koostoimeid.</w:t>
      </w:r>
      <w:r w:rsidR="007863D9" w:rsidRPr="00EC3BD7">
        <w:rPr>
          <w:color w:val="000000"/>
          <w:szCs w:val="22"/>
          <w:lang w:val="et-EE"/>
        </w:rPr>
        <w:t xml:space="preserve"> Ettevaatus on vajalik Gliveci võtmisel koos </w:t>
      </w:r>
      <w:r w:rsidR="00843B21" w:rsidRPr="00EC3BD7">
        <w:rPr>
          <w:color w:val="000000"/>
          <w:szCs w:val="22"/>
          <w:lang w:val="et-EE"/>
        </w:rPr>
        <w:t>proteaasi inhibiitorite, seenevastaste asoolide, teatud makroliidide (vt lõik</w:t>
      </w:r>
      <w:r w:rsidR="00DB0BC8" w:rsidRPr="00EC3BD7">
        <w:rPr>
          <w:color w:val="000000"/>
          <w:szCs w:val="22"/>
          <w:lang w:val="et-EE"/>
        </w:rPr>
        <w:t> </w:t>
      </w:r>
      <w:r w:rsidR="00843B21" w:rsidRPr="00EC3BD7">
        <w:rPr>
          <w:color w:val="000000"/>
          <w:szCs w:val="22"/>
          <w:lang w:val="et-EE"/>
        </w:rPr>
        <w:t xml:space="preserve">4.5), </w:t>
      </w:r>
      <w:r w:rsidR="007863D9" w:rsidRPr="00EC3BD7">
        <w:rPr>
          <w:color w:val="000000"/>
          <w:szCs w:val="22"/>
          <w:lang w:val="et-EE"/>
        </w:rPr>
        <w:t>kitsa terapeutilise aknaga CYP3A4 substraadiga (näiteks tsüklosporiin</w:t>
      </w:r>
      <w:r w:rsidR="00843B21" w:rsidRPr="00EC3BD7">
        <w:rPr>
          <w:color w:val="000000"/>
          <w:szCs w:val="22"/>
          <w:lang w:val="et-EE"/>
        </w:rPr>
        <w:t>,</w:t>
      </w:r>
      <w:r w:rsidR="007863D9" w:rsidRPr="00EC3BD7">
        <w:rPr>
          <w:color w:val="000000"/>
          <w:szCs w:val="22"/>
          <w:lang w:val="et-EE"/>
        </w:rPr>
        <w:t xml:space="preserve"> pimosiid</w:t>
      </w:r>
      <w:r w:rsidR="00843B21" w:rsidRPr="00EC3BD7">
        <w:rPr>
          <w:color w:val="000000"/>
          <w:szCs w:val="22"/>
          <w:lang w:val="et-EE"/>
        </w:rPr>
        <w:t>, takroliimus, siroliimus, ergotamiin, diergotamiin, fentanüül, alfentaniil, terfenadiin, bortesomiib, dotsetakseel, kinidiin</w:t>
      </w:r>
      <w:r w:rsidR="007863D9" w:rsidRPr="00EC3BD7">
        <w:rPr>
          <w:color w:val="000000"/>
          <w:szCs w:val="22"/>
          <w:lang w:val="et-EE"/>
        </w:rPr>
        <w:t>) või varfariin ja teised kumariiniderivaadid (vt lõik</w:t>
      </w:r>
      <w:r w:rsidR="00DB0BC8" w:rsidRPr="00EC3BD7">
        <w:rPr>
          <w:color w:val="000000"/>
          <w:szCs w:val="22"/>
          <w:lang w:val="et-EE"/>
        </w:rPr>
        <w:t> </w:t>
      </w:r>
      <w:r w:rsidR="007863D9" w:rsidRPr="00EC3BD7">
        <w:rPr>
          <w:color w:val="000000"/>
          <w:szCs w:val="22"/>
          <w:lang w:val="et-EE"/>
        </w:rPr>
        <w:t>4.5).</w:t>
      </w:r>
    </w:p>
    <w:p w14:paraId="456C83E5" w14:textId="77777777" w:rsidR="00136210" w:rsidRPr="00EC3BD7" w:rsidRDefault="00136210">
      <w:pPr>
        <w:pStyle w:val="EndnoteText"/>
        <w:widowControl w:val="0"/>
        <w:tabs>
          <w:tab w:val="clear" w:pos="567"/>
          <w:tab w:val="left" w:pos="7655"/>
        </w:tabs>
        <w:rPr>
          <w:color w:val="000000"/>
          <w:szCs w:val="22"/>
          <w:lang w:val="et-EE"/>
        </w:rPr>
      </w:pPr>
    </w:p>
    <w:p w14:paraId="6F0CCAB8" w14:textId="77777777" w:rsidR="00136210" w:rsidRPr="00EC3BD7" w:rsidRDefault="00136210">
      <w:pPr>
        <w:pStyle w:val="EndnoteText"/>
        <w:widowControl w:val="0"/>
        <w:tabs>
          <w:tab w:val="clear" w:pos="567"/>
          <w:tab w:val="left" w:pos="7655"/>
        </w:tabs>
        <w:rPr>
          <w:color w:val="000000"/>
          <w:szCs w:val="22"/>
          <w:lang w:val="et-EE"/>
        </w:rPr>
      </w:pPr>
      <w:r w:rsidRPr="00EC3BD7">
        <w:rPr>
          <w:color w:val="000000"/>
          <w:szCs w:val="22"/>
          <w:lang w:val="et-EE"/>
        </w:rPr>
        <w:t xml:space="preserve">Imatiniibi samaaegne kasutamine koos ravimitega, mis indutseerivad CYP3A4 (näiteks deksametasoon, fenütoiin, karbamasepiin, rifampitsiin, fenobarbitaal või </w:t>
      </w:r>
      <w:r w:rsidRPr="00EC3BD7">
        <w:rPr>
          <w:i/>
          <w:color w:val="000000"/>
          <w:szCs w:val="22"/>
          <w:lang w:val="et-EE"/>
        </w:rPr>
        <w:t>Hypericum perforatum</w:t>
      </w:r>
      <w:r w:rsidRPr="00EC3BD7">
        <w:rPr>
          <w:color w:val="000000"/>
          <w:szCs w:val="22"/>
          <w:lang w:val="et-EE"/>
        </w:rPr>
        <w:t>, tuntud ka kui naistepuna), võib oluliselt vähendada Gliveci</w:t>
      </w:r>
      <w:r w:rsidR="000D66A3" w:rsidRPr="00EC3BD7">
        <w:rPr>
          <w:color w:val="000000"/>
          <w:szCs w:val="22"/>
          <w:lang w:val="et-EE"/>
        </w:rPr>
        <w:t xml:space="preserve"> plasmakontsentratsiooni</w:t>
      </w:r>
      <w:r w:rsidRPr="00EC3BD7">
        <w:rPr>
          <w:color w:val="000000"/>
          <w:szCs w:val="22"/>
          <w:lang w:val="et-EE"/>
        </w:rPr>
        <w:t>, mistõttu on oht ravi ebaõnnestumiseks. Seetõttu tuleb vältida tugevate CYP3A4 indutseerijate ja imatiniibi samaaegset kasutamist (vt lõik</w:t>
      </w:r>
      <w:r w:rsidR="00DB0BC8" w:rsidRPr="00EC3BD7">
        <w:rPr>
          <w:color w:val="000000"/>
          <w:szCs w:val="22"/>
          <w:lang w:val="et-EE"/>
        </w:rPr>
        <w:t> </w:t>
      </w:r>
      <w:r w:rsidRPr="00EC3BD7">
        <w:rPr>
          <w:color w:val="000000"/>
          <w:szCs w:val="22"/>
          <w:lang w:val="et-EE"/>
        </w:rPr>
        <w:t>4.5).</w:t>
      </w:r>
    </w:p>
    <w:p w14:paraId="58C9EF93" w14:textId="77777777" w:rsidR="00136210" w:rsidRPr="00EC3BD7" w:rsidRDefault="00136210">
      <w:pPr>
        <w:pStyle w:val="EndnoteText"/>
        <w:widowControl w:val="0"/>
        <w:tabs>
          <w:tab w:val="clear" w:pos="567"/>
          <w:tab w:val="left" w:pos="7655"/>
        </w:tabs>
        <w:rPr>
          <w:color w:val="000000"/>
          <w:szCs w:val="22"/>
          <w:lang w:val="et-EE"/>
        </w:rPr>
      </w:pPr>
    </w:p>
    <w:p w14:paraId="55F8C89F" w14:textId="77777777" w:rsidR="009D2ABF" w:rsidRPr="00EC3BD7" w:rsidRDefault="009D2ABF" w:rsidP="00B9089D">
      <w:pPr>
        <w:pStyle w:val="EndnoteText"/>
        <w:keepNext/>
        <w:widowControl w:val="0"/>
        <w:tabs>
          <w:tab w:val="clear" w:pos="567"/>
          <w:tab w:val="left" w:pos="7655"/>
        </w:tabs>
        <w:rPr>
          <w:color w:val="000000"/>
          <w:szCs w:val="22"/>
          <w:lang w:val="et-EE"/>
        </w:rPr>
      </w:pPr>
      <w:r w:rsidRPr="00EC3BD7">
        <w:rPr>
          <w:color w:val="000000"/>
          <w:szCs w:val="22"/>
          <w:u w:val="single"/>
          <w:lang w:val="et-EE"/>
        </w:rPr>
        <w:t>Hüpotüreoidism</w:t>
      </w:r>
    </w:p>
    <w:p w14:paraId="44355D05" w14:textId="77777777" w:rsidR="00136210" w:rsidRPr="00EC3BD7" w:rsidRDefault="00136210">
      <w:pPr>
        <w:pStyle w:val="EndnoteText"/>
        <w:widowControl w:val="0"/>
        <w:tabs>
          <w:tab w:val="clear" w:pos="567"/>
          <w:tab w:val="left" w:pos="7655"/>
        </w:tabs>
        <w:rPr>
          <w:color w:val="000000"/>
          <w:szCs w:val="22"/>
          <w:lang w:val="et-EE"/>
        </w:rPr>
      </w:pPr>
      <w:r w:rsidRPr="00EC3BD7">
        <w:rPr>
          <w:color w:val="000000"/>
          <w:szCs w:val="22"/>
          <w:lang w:val="et-EE"/>
        </w:rPr>
        <w:t>Kliinilisi hüpotüreoidismi juhtusid on kirjeldatud türeoidektoomia läbinud patsientidel, kes saavad Glivec-ravi ajal asendusravi levotüroksiiniga (vt lõik</w:t>
      </w:r>
      <w:r w:rsidR="00DB0BC8" w:rsidRPr="00EC3BD7">
        <w:rPr>
          <w:color w:val="000000"/>
          <w:szCs w:val="22"/>
          <w:lang w:val="et-EE"/>
        </w:rPr>
        <w:t> </w:t>
      </w:r>
      <w:r w:rsidRPr="00EC3BD7">
        <w:rPr>
          <w:color w:val="000000"/>
          <w:szCs w:val="22"/>
          <w:lang w:val="et-EE"/>
        </w:rPr>
        <w:t>4.5). Nendel patsientidel tuleb hoolega jälgida</w:t>
      </w:r>
      <w:r w:rsidR="00D157A0" w:rsidRPr="00EC3BD7">
        <w:rPr>
          <w:color w:val="000000"/>
          <w:szCs w:val="22"/>
          <w:lang w:val="et-EE"/>
        </w:rPr>
        <w:t xml:space="preserve"> kilpnääret stimuleeriva hormooni</w:t>
      </w:r>
      <w:r w:rsidRPr="00EC3BD7">
        <w:rPr>
          <w:color w:val="000000"/>
          <w:szCs w:val="22"/>
          <w:lang w:val="et-EE"/>
        </w:rPr>
        <w:t xml:space="preserve"> </w:t>
      </w:r>
      <w:r w:rsidR="00D157A0" w:rsidRPr="00EC3BD7">
        <w:rPr>
          <w:color w:val="000000"/>
          <w:szCs w:val="22"/>
          <w:lang w:val="et-EE"/>
        </w:rPr>
        <w:t>(</w:t>
      </w:r>
      <w:r w:rsidRPr="00EC3BD7">
        <w:rPr>
          <w:color w:val="000000"/>
          <w:szCs w:val="22"/>
          <w:lang w:val="et-EE"/>
        </w:rPr>
        <w:t>türeotropiini</w:t>
      </w:r>
      <w:r w:rsidR="00D157A0" w:rsidRPr="00EC3BD7">
        <w:rPr>
          <w:color w:val="000000"/>
          <w:szCs w:val="22"/>
          <w:lang w:val="et-EE"/>
        </w:rPr>
        <w:t>)</w:t>
      </w:r>
      <w:r w:rsidRPr="00EC3BD7">
        <w:rPr>
          <w:color w:val="000000"/>
          <w:szCs w:val="22"/>
          <w:lang w:val="et-EE"/>
        </w:rPr>
        <w:t xml:space="preserve"> sisaldust.</w:t>
      </w:r>
    </w:p>
    <w:p w14:paraId="4E3E59D0" w14:textId="77777777" w:rsidR="00136210" w:rsidRPr="00EC3BD7" w:rsidRDefault="00136210">
      <w:pPr>
        <w:pStyle w:val="EndnoteText"/>
        <w:widowControl w:val="0"/>
        <w:tabs>
          <w:tab w:val="clear" w:pos="567"/>
          <w:tab w:val="left" w:pos="7655"/>
        </w:tabs>
        <w:rPr>
          <w:color w:val="000000"/>
          <w:szCs w:val="22"/>
          <w:lang w:val="et-EE"/>
        </w:rPr>
      </w:pPr>
    </w:p>
    <w:p w14:paraId="490867F7" w14:textId="77777777" w:rsidR="00CD7A7C" w:rsidRPr="00EC3BD7" w:rsidRDefault="00CD7A7C" w:rsidP="00B9089D">
      <w:pPr>
        <w:pStyle w:val="EndnoteText"/>
        <w:keepNext/>
        <w:widowControl w:val="0"/>
        <w:tabs>
          <w:tab w:val="clear" w:pos="567"/>
          <w:tab w:val="left" w:pos="7655"/>
        </w:tabs>
        <w:rPr>
          <w:color w:val="000000"/>
          <w:szCs w:val="22"/>
          <w:lang w:val="et-EE"/>
        </w:rPr>
      </w:pPr>
      <w:r w:rsidRPr="00EC3BD7">
        <w:rPr>
          <w:color w:val="000000"/>
          <w:szCs w:val="22"/>
          <w:u w:val="single"/>
          <w:lang w:val="et-EE"/>
        </w:rPr>
        <w:t>Hepatotoksilisus</w:t>
      </w:r>
    </w:p>
    <w:p w14:paraId="62893BAE" w14:textId="2E2B35FA" w:rsidR="00136210" w:rsidRPr="00EC3BD7" w:rsidRDefault="00136210">
      <w:pPr>
        <w:pStyle w:val="EndnoteText"/>
        <w:widowControl w:val="0"/>
        <w:tabs>
          <w:tab w:val="clear" w:pos="567"/>
        </w:tabs>
        <w:rPr>
          <w:color w:val="000000"/>
          <w:szCs w:val="22"/>
          <w:lang w:val="et-EE"/>
        </w:rPr>
      </w:pPr>
      <w:r w:rsidRPr="00EC3BD7">
        <w:rPr>
          <w:color w:val="000000"/>
          <w:szCs w:val="22"/>
          <w:lang w:val="et-EE"/>
        </w:rPr>
        <w:t>Gliveci metabolism toimub peamiselt maksas ja ainult 13% ravimist eritub neerude kaudu. Maksapuudulikkusega (kerge, keskmise või raske) patsientidel tuleb hoolikalt jälgida perifeerse verepildi näitajaid ja maksaensüüme (vt lõik</w:t>
      </w:r>
      <w:r w:rsidR="00DB0BC8" w:rsidRPr="00EC3BD7">
        <w:rPr>
          <w:color w:val="000000"/>
          <w:szCs w:val="22"/>
          <w:lang w:val="et-EE"/>
        </w:rPr>
        <w:t> </w:t>
      </w:r>
      <w:r w:rsidRPr="00EC3BD7">
        <w:rPr>
          <w:color w:val="000000"/>
          <w:szCs w:val="22"/>
          <w:lang w:val="et-EE"/>
        </w:rPr>
        <w:t>4.2, 4.8 ja 5.2). Tuleb märkida, et GIST</w:t>
      </w:r>
      <w:r w:rsidR="00D21C49">
        <w:rPr>
          <w:color w:val="000000"/>
          <w:szCs w:val="22"/>
          <w:lang w:val="et-EE"/>
        </w:rPr>
        <w:t>-i</w:t>
      </w:r>
      <w:r w:rsidRPr="00EC3BD7">
        <w:rPr>
          <w:color w:val="000000"/>
          <w:szCs w:val="22"/>
          <w:lang w:val="et-EE"/>
        </w:rPr>
        <w:t xml:space="preserve"> patsientidel võivad esineda maksametastaasid, mis võivad põhjustada maksafunktsiooni halvenemist.</w:t>
      </w:r>
    </w:p>
    <w:p w14:paraId="45C370F4" w14:textId="77777777" w:rsidR="00136210" w:rsidRPr="00EC3BD7" w:rsidRDefault="00136210">
      <w:pPr>
        <w:pStyle w:val="EndnoteText"/>
        <w:widowControl w:val="0"/>
        <w:tabs>
          <w:tab w:val="clear" w:pos="567"/>
        </w:tabs>
        <w:rPr>
          <w:color w:val="000000"/>
          <w:szCs w:val="22"/>
          <w:lang w:val="et-EE"/>
        </w:rPr>
      </w:pPr>
    </w:p>
    <w:p w14:paraId="75D12C4F" w14:textId="77777777" w:rsidR="00136210" w:rsidRPr="00EC3BD7" w:rsidRDefault="00A420BA">
      <w:pPr>
        <w:pStyle w:val="EndnoteText"/>
        <w:widowControl w:val="0"/>
        <w:tabs>
          <w:tab w:val="clear" w:pos="567"/>
        </w:tabs>
        <w:rPr>
          <w:color w:val="000000"/>
          <w:szCs w:val="22"/>
          <w:lang w:val="et-EE"/>
        </w:rPr>
      </w:pPr>
      <w:r w:rsidRPr="00EC3BD7">
        <w:rPr>
          <w:color w:val="000000"/>
          <w:szCs w:val="22"/>
          <w:lang w:val="et-EE"/>
        </w:rPr>
        <w:t xml:space="preserve">Imatiniibi kasutamisel on täheldatud maksakahjustuse, kaasarvatud maksapuudulikkuse ja maksanekroosi, juhte. </w:t>
      </w:r>
      <w:r w:rsidR="00136210" w:rsidRPr="00EC3BD7">
        <w:rPr>
          <w:color w:val="000000"/>
          <w:szCs w:val="22"/>
          <w:lang w:val="et-EE"/>
        </w:rPr>
        <w:t xml:space="preserve">Kui imatiniibi kombineeritakse suurte kemoteraapia annustega, </w:t>
      </w:r>
      <w:r w:rsidRPr="00EC3BD7">
        <w:rPr>
          <w:color w:val="000000"/>
          <w:szCs w:val="22"/>
          <w:lang w:val="et-EE"/>
        </w:rPr>
        <w:t>on täheldatud tõsiste maksareaktsioonide sageduse tõusu</w:t>
      </w:r>
      <w:r w:rsidR="00136210" w:rsidRPr="00EC3BD7">
        <w:rPr>
          <w:color w:val="000000"/>
          <w:szCs w:val="22"/>
          <w:lang w:val="et-EE"/>
        </w:rPr>
        <w:t xml:space="preserve">. Maksafunktsiooni </w:t>
      </w:r>
      <w:r w:rsidRPr="00EC3BD7">
        <w:rPr>
          <w:color w:val="000000"/>
          <w:szCs w:val="22"/>
          <w:lang w:val="et-EE"/>
        </w:rPr>
        <w:t xml:space="preserve">tuleb tähelepanelikult jälgida </w:t>
      </w:r>
      <w:r w:rsidR="00136210" w:rsidRPr="00EC3BD7">
        <w:rPr>
          <w:color w:val="000000"/>
          <w:szCs w:val="22"/>
          <w:lang w:val="et-EE"/>
        </w:rPr>
        <w:t>tingimustes, kus imatiniibi kombineeritakse kemoteraapia skeemidega, mis on teadaolevalt samuti seotud maksafunktsiooni häiretega (vt lõigud</w:t>
      </w:r>
      <w:r w:rsidR="00DB0BC8" w:rsidRPr="00EC3BD7">
        <w:rPr>
          <w:color w:val="000000"/>
          <w:szCs w:val="22"/>
          <w:lang w:val="et-EE"/>
        </w:rPr>
        <w:t> </w:t>
      </w:r>
      <w:r w:rsidR="00136210" w:rsidRPr="00EC3BD7">
        <w:rPr>
          <w:color w:val="000000"/>
          <w:szCs w:val="22"/>
          <w:lang w:val="et-EE"/>
        </w:rPr>
        <w:t>4.5 ja 4.8).</w:t>
      </w:r>
    </w:p>
    <w:p w14:paraId="749DD393" w14:textId="77777777" w:rsidR="00136210" w:rsidRPr="00EC3BD7" w:rsidRDefault="00136210">
      <w:pPr>
        <w:pStyle w:val="EndnoteText"/>
        <w:widowControl w:val="0"/>
        <w:tabs>
          <w:tab w:val="clear" w:pos="567"/>
        </w:tabs>
        <w:rPr>
          <w:color w:val="000000"/>
          <w:szCs w:val="22"/>
          <w:lang w:val="et-EE"/>
        </w:rPr>
      </w:pPr>
    </w:p>
    <w:p w14:paraId="65CA986D" w14:textId="77777777" w:rsidR="00A13EC4" w:rsidRPr="00EC3BD7" w:rsidRDefault="00A13EC4" w:rsidP="00B9089D">
      <w:pPr>
        <w:pStyle w:val="EndnoteText"/>
        <w:keepNext/>
        <w:widowControl w:val="0"/>
        <w:tabs>
          <w:tab w:val="clear" w:pos="567"/>
        </w:tabs>
        <w:rPr>
          <w:color w:val="000000"/>
          <w:szCs w:val="22"/>
          <w:lang w:val="et-EE"/>
        </w:rPr>
      </w:pPr>
      <w:r w:rsidRPr="00EC3BD7">
        <w:rPr>
          <w:color w:val="000000"/>
          <w:szCs w:val="22"/>
          <w:u w:val="single"/>
          <w:lang w:val="et-EE"/>
        </w:rPr>
        <w:lastRenderedPageBreak/>
        <w:t>Vedelikupeetus</w:t>
      </w:r>
    </w:p>
    <w:p w14:paraId="28466856" w14:textId="462B526E" w:rsidR="00136210" w:rsidRPr="00EC3BD7" w:rsidRDefault="00136210">
      <w:pPr>
        <w:pStyle w:val="EndnoteText"/>
        <w:widowControl w:val="0"/>
        <w:tabs>
          <w:tab w:val="clear" w:pos="567"/>
        </w:tabs>
        <w:rPr>
          <w:color w:val="000000"/>
          <w:szCs w:val="22"/>
          <w:lang w:val="et-EE"/>
        </w:rPr>
      </w:pPr>
      <w:r w:rsidRPr="00EC3BD7">
        <w:rPr>
          <w:color w:val="000000"/>
          <w:szCs w:val="22"/>
          <w:lang w:val="et-EE"/>
        </w:rPr>
        <w:t xml:space="preserve">Umbes 2,5% Glivecit kasutavast äsja diagnoositud </w:t>
      </w:r>
      <w:smartTag w:uri="urn:schemas-microsoft-com:office:smarttags" w:element="stockticker">
        <w:r w:rsidRPr="00EC3BD7">
          <w:rPr>
            <w:color w:val="000000"/>
            <w:szCs w:val="22"/>
            <w:lang w:val="et-EE"/>
          </w:rPr>
          <w:t>KML</w:t>
        </w:r>
        <w:r w:rsidR="00D21C49">
          <w:rPr>
            <w:color w:val="000000"/>
            <w:szCs w:val="22"/>
            <w:lang w:val="et-EE"/>
          </w:rPr>
          <w:t>-i</w:t>
        </w:r>
      </w:smartTag>
      <w:r w:rsidRPr="00EC3BD7">
        <w:rPr>
          <w:color w:val="000000"/>
          <w:szCs w:val="22"/>
          <w:lang w:val="et-EE"/>
        </w:rPr>
        <w:t xml:space="preserve"> patsiendist on täheldatud rasket vedelikupeetust (pleura efusioon, tursed, kopsuturse, astsiit, pindmine turse). Seetõttu soovitatakse tungivalt patsiente korrapäraselt kaaluda. Ootamatut kiiret kaalutõusu tuleb hoolikalt uurida ja vajadusel määrata toetav ravi. Kliinilistes uuringutes täheldati taoliste juhtude suuremat esinemissagedust </w:t>
      </w:r>
      <w:r w:rsidR="0007109E" w:rsidRPr="00EC3BD7">
        <w:rPr>
          <w:color w:val="000000"/>
          <w:szCs w:val="22"/>
          <w:lang w:val="et-EE"/>
        </w:rPr>
        <w:t>eakatel</w:t>
      </w:r>
      <w:r w:rsidRPr="00EC3BD7">
        <w:rPr>
          <w:color w:val="000000"/>
          <w:szCs w:val="22"/>
          <w:lang w:val="et-EE"/>
        </w:rPr>
        <w:t xml:space="preserve"> ja neil, kellel oli anamneesis varasem südamehaigus. Seetõttu tuleb südamehaigusega patsientidega olla ettevaatlik.</w:t>
      </w:r>
    </w:p>
    <w:p w14:paraId="301D83CF" w14:textId="77777777" w:rsidR="00136210" w:rsidRPr="00EC3BD7" w:rsidRDefault="00136210">
      <w:pPr>
        <w:pStyle w:val="EndnoteText"/>
        <w:widowControl w:val="0"/>
        <w:tabs>
          <w:tab w:val="clear" w:pos="567"/>
        </w:tabs>
        <w:rPr>
          <w:color w:val="000000"/>
          <w:szCs w:val="22"/>
          <w:lang w:val="et-EE"/>
        </w:rPr>
      </w:pPr>
    </w:p>
    <w:p w14:paraId="77566A7F" w14:textId="77777777" w:rsidR="00E34F3F" w:rsidRPr="00EC3BD7" w:rsidRDefault="00E34F3F" w:rsidP="00B9089D">
      <w:pPr>
        <w:pStyle w:val="EndnoteText"/>
        <w:keepNext/>
        <w:widowControl w:val="0"/>
        <w:tabs>
          <w:tab w:val="clear" w:pos="567"/>
        </w:tabs>
        <w:rPr>
          <w:color w:val="000000"/>
          <w:szCs w:val="22"/>
          <w:lang w:val="et-EE"/>
        </w:rPr>
      </w:pPr>
      <w:r w:rsidRPr="00EC3BD7">
        <w:rPr>
          <w:color w:val="000000"/>
          <w:szCs w:val="22"/>
          <w:u w:val="single"/>
          <w:lang w:val="et-EE"/>
        </w:rPr>
        <w:t>Südamehaigusega patsiendid</w:t>
      </w:r>
    </w:p>
    <w:p w14:paraId="49408338"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Südamehaiguse</w:t>
      </w:r>
      <w:r w:rsidR="00A042B1" w:rsidRPr="00EC3BD7">
        <w:rPr>
          <w:color w:val="000000"/>
          <w:szCs w:val="22"/>
          <w:lang w:val="et-EE"/>
        </w:rPr>
        <w:t>,</w:t>
      </w:r>
      <w:r w:rsidRPr="00EC3BD7">
        <w:rPr>
          <w:color w:val="000000"/>
          <w:szCs w:val="22"/>
          <w:lang w:val="et-EE"/>
        </w:rPr>
        <w:t xml:space="preserve"> südamepuudulikkuse riskifaktorite</w:t>
      </w:r>
      <w:r w:rsidR="00A042B1" w:rsidRPr="00EC3BD7">
        <w:rPr>
          <w:color w:val="000000"/>
          <w:szCs w:val="22"/>
          <w:lang w:val="et-EE"/>
        </w:rPr>
        <w:t xml:space="preserve"> või varasema neerupuudulikkusega</w:t>
      </w:r>
      <w:r w:rsidRPr="00EC3BD7">
        <w:rPr>
          <w:color w:val="000000"/>
          <w:szCs w:val="22"/>
          <w:lang w:val="et-EE"/>
        </w:rPr>
        <w:t xml:space="preserve"> patsiente tuleb hoolikalt jälgida ning igat patsienti, kellel esinevad südame</w:t>
      </w:r>
      <w:r w:rsidR="006142B7" w:rsidRPr="00EC3BD7">
        <w:rPr>
          <w:color w:val="000000"/>
          <w:szCs w:val="22"/>
          <w:lang w:val="et-EE"/>
        </w:rPr>
        <w:t>- või neeru</w:t>
      </w:r>
      <w:r w:rsidRPr="00EC3BD7">
        <w:rPr>
          <w:color w:val="000000"/>
          <w:szCs w:val="22"/>
          <w:lang w:val="et-EE"/>
        </w:rPr>
        <w:t>puudulikkuse sümptomid või nähud, tuleb täiendavalt uurida ning ravida.</w:t>
      </w:r>
    </w:p>
    <w:p w14:paraId="4AF6E990" w14:textId="77777777" w:rsidR="00136210" w:rsidRPr="00EC3BD7" w:rsidRDefault="00136210">
      <w:pPr>
        <w:pStyle w:val="EndnoteText"/>
        <w:widowControl w:val="0"/>
        <w:tabs>
          <w:tab w:val="clear" w:pos="567"/>
        </w:tabs>
        <w:rPr>
          <w:color w:val="000000"/>
          <w:szCs w:val="22"/>
          <w:lang w:val="et-EE"/>
        </w:rPr>
      </w:pPr>
    </w:p>
    <w:p w14:paraId="7D6B1A91" w14:textId="69E33C62" w:rsidR="00981B02" w:rsidRPr="00EC3BD7" w:rsidRDefault="001A358F">
      <w:pPr>
        <w:pStyle w:val="EndnoteText"/>
        <w:widowControl w:val="0"/>
        <w:tabs>
          <w:tab w:val="clear" w:pos="567"/>
        </w:tabs>
        <w:rPr>
          <w:color w:val="000000"/>
          <w:szCs w:val="22"/>
          <w:lang w:val="et-EE"/>
        </w:rPr>
      </w:pPr>
      <w:r w:rsidRPr="00EC3BD7">
        <w:rPr>
          <w:color w:val="000000"/>
          <w:szCs w:val="22"/>
          <w:lang w:val="et-EE"/>
        </w:rPr>
        <w:t>H</w:t>
      </w:r>
      <w:r w:rsidR="00136210" w:rsidRPr="00EC3BD7">
        <w:rPr>
          <w:color w:val="000000"/>
          <w:szCs w:val="22"/>
          <w:lang w:val="et-EE"/>
        </w:rPr>
        <w:t>üpereosinofiilse sündroomiga (HES) patsientidel</w:t>
      </w:r>
      <w:r w:rsidR="000E5CC8" w:rsidRPr="00EC3BD7">
        <w:rPr>
          <w:color w:val="000000"/>
          <w:szCs w:val="22"/>
          <w:lang w:val="et-EE"/>
        </w:rPr>
        <w:t>, kellel on HES rakkude varjatud infiltratsioon müokardis,</w:t>
      </w:r>
      <w:r w:rsidR="00136210" w:rsidRPr="00EC3BD7">
        <w:rPr>
          <w:color w:val="000000"/>
          <w:szCs w:val="22"/>
          <w:lang w:val="et-EE"/>
        </w:rPr>
        <w:t xml:space="preserve"> on imatiniibravi alustamise</w:t>
      </w:r>
      <w:r w:rsidR="000E5CC8" w:rsidRPr="00EC3BD7">
        <w:rPr>
          <w:color w:val="000000"/>
          <w:szCs w:val="22"/>
          <w:lang w:val="et-EE"/>
        </w:rPr>
        <w:t xml:space="preserve"> järe</w:t>
      </w:r>
      <w:r w:rsidR="00136210" w:rsidRPr="00EC3BD7">
        <w:rPr>
          <w:color w:val="000000"/>
          <w:szCs w:val="22"/>
          <w:lang w:val="et-EE"/>
        </w:rPr>
        <w:t>l üksikjuhtudel tekkinud kardiogeenne šokk/vasaku vatsakese düsfunktsioon</w:t>
      </w:r>
      <w:r w:rsidR="000E5CC8" w:rsidRPr="00EC3BD7">
        <w:rPr>
          <w:color w:val="000000"/>
          <w:szCs w:val="22"/>
          <w:lang w:val="et-EE"/>
        </w:rPr>
        <w:t xml:space="preserve"> koos HES rakkude degranulatsiooniga</w:t>
      </w:r>
      <w:r w:rsidR="00136210" w:rsidRPr="00EC3BD7">
        <w:rPr>
          <w:color w:val="000000"/>
          <w:szCs w:val="22"/>
          <w:lang w:val="et-EE"/>
        </w:rPr>
        <w:t>. See seisund oli pöörduv pärast süsteemsete steroidide manustamist, vereringet toetavaid meetmeid ja imatiniibi ajutist ärajätmist. Kuna südamehäireid on imatiniibi kasutamisel esinenud aeg-ajalt, tuleb HES/KEL</w:t>
      </w:r>
      <w:r w:rsidR="00D21C49">
        <w:rPr>
          <w:color w:val="000000"/>
          <w:szCs w:val="22"/>
          <w:lang w:val="et-EE"/>
        </w:rPr>
        <w:t>-i</w:t>
      </w:r>
      <w:r w:rsidR="00136210" w:rsidRPr="00EC3BD7">
        <w:rPr>
          <w:color w:val="000000"/>
          <w:szCs w:val="22"/>
          <w:lang w:val="et-EE"/>
        </w:rPr>
        <w:t xml:space="preserve"> populatsioonil enne ravi alustamist hoolikalt kaaluda imatiniib-ravi riski/kasu suhet.</w:t>
      </w:r>
    </w:p>
    <w:p w14:paraId="10E7240A" w14:textId="77777777" w:rsidR="00981B02" w:rsidRPr="00EC3BD7" w:rsidRDefault="00981B02">
      <w:pPr>
        <w:pStyle w:val="EndnoteText"/>
        <w:widowControl w:val="0"/>
        <w:tabs>
          <w:tab w:val="clear" w:pos="567"/>
        </w:tabs>
        <w:rPr>
          <w:color w:val="000000"/>
          <w:szCs w:val="22"/>
          <w:lang w:val="et-EE"/>
        </w:rPr>
      </w:pPr>
    </w:p>
    <w:p w14:paraId="0E5E54C0" w14:textId="5DA6DC8C" w:rsidR="00136210" w:rsidRPr="00EC3BD7" w:rsidRDefault="00136210">
      <w:pPr>
        <w:pStyle w:val="EndnoteText"/>
        <w:widowControl w:val="0"/>
        <w:tabs>
          <w:tab w:val="clear" w:pos="567"/>
        </w:tabs>
        <w:rPr>
          <w:color w:val="000000"/>
          <w:szCs w:val="22"/>
          <w:lang w:val="et-EE"/>
        </w:rPr>
      </w:pPr>
      <w:r w:rsidRPr="00EC3BD7">
        <w:rPr>
          <w:color w:val="000000"/>
          <w:szCs w:val="22"/>
          <w:lang w:val="et-EE"/>
        </w:rPr>
        <w:t>PDGFR</w:t>
      </w:r>
      <w:r w:rsidR="00D21C49">
        <w:rPr>
          <w:color w:val="000000"/>
          <w:szCs w:val="22"/>
          <w:lang w:val="et-EE"/>
        </w:rPr>
        <w:t>-i</w:t>
      </w:r>
      <w:r w:rsidRPr="00EC3BD7">
        <w:rPr>
          <w:color w:val="000000"/>
          <w:szCs w:val="22"/>
          <w:lang w:val="et-EE"/>
        </w:rPr>
        <w:t xml:space="preserve"> geneetiliste muutustega seotud müelodüsplastilised/müeloproliferatiivsed haigused võivad olla seotud kõrge eosinofiilide tasemega. Seetõttu tuleb enne imatiniibi määramist HES/KEL</w:t>
      </w:r>
      <w:r w:rsidR="00D21C49">
        <w:rPr>
          <w:color w:val="000000"/>
          <w:szCs w:val="22"/>
          <w:lang w:val="et-EE"/>
        </w:rPr>
        <w:t>-i</w:t>
      </w:r>
      <w:r w:rsidRPr="00EC3BD7">
        <w:rPr>
          <w:color w:val="000000"/>
          <w:szCs w:val="22"/>
          <w:lang w:val="et-EE"/>
        </w:rPr>
        <w:t xml:space="preserve"> patsientidel ning neil, kellel </w:t>
      </w:r>
      <w:smartTag w:uri="urn:schemas-microsoft-com:office:smarttags" w:element="stockticker">
        <w:r w:rsidRPr="00EC3BD7">
          <w:rPr>
            <w:color w:val="000000"/>
            <w:szCs w:val="22"/>
            <w:lang w:val="et-EE"/>
          </w:rPr>
          <w:t>MDS</w:t>
        </w:r>
      </w:smartTag>
      <w:r w:rsidRPr="00EC3BD7">
        <w:rPr>
          <w:color w:val="000000"/>
          <w:szCs w:val="22"/>
          <w:lang w:val="et-EE"/>
        </w:rPr>
        <w:t>/MPD kaasneb kõrge eosinofiilide tase, kaaluda elektrokardiogrammi registreerimist ja seerumi troponiini taseme määramist ning kardioloogi konsultatsiooni. Kui esineb kõrvalekaldeid, tuleb kaaluda täiendavat kardioloogi konsultatsiooni ning süsteemsete steroidide (1...2 mg/kg) profülaktilist kasutamist ravi alguses ühe kuni kahe nädala jooksul koos imatiniibiga.</w:t>
      </w:r>
    </w:p>
    <w:p w14:paraId="53E5F74E" w14:textId="77777777" w:rsidR="00556CBF" w:rsidRPr="00EC3BD7" w:rsidRDefault="00556CBF" w:rsidP="00556CBF">
      <w:pPr>
        <w:pStyle w:val="EndnoteText"/>
        <w:widowControl w:val="0"/>
        <w:tabs>
          <w:tab w:val="clear" w:pos="567"/>
        </w:tabs>
        <w:rPr>
          <w:color w:val="000000"/>
          <w:szCs w:val="22"/>
          <w:lang w:val="et-EE"/>
        </w:rPr>
      </w:pPr>
    </w:p>
    <w:p w14:paraId="384D55F6" w14:textId="77777777" w:rsidR="00323A5D" w:rsidRPr="00EC3BD7" w:rsidRDefault="00323A5D" w:rsidP="00B9089D">
      <w:pPr>
        <w:pStyle w:val="EndnoteText"/>
        <w:keepNext/>
        <w:widowControl w:val="0"/>
        <w:tabs>
          <w:tab w:val="clear" w:pos="567"/>
        </w:tabs>
        <w:rPr>
          <w:color w:val="000000"/>
          <w:szCs w:val="22"/>
          <w:lang w:val="et-EE"/>
        </w:rPr>
      </w:pPr>
      <w:r w:rsidRPr="00EC3BD7">
        <w:rPr>
          <w:color w:val="000000"/>
          <w:szCs w:val="22"/>
          <w:u w:val="single"/>
          <w:lang w:val="et-EE"/>
        </w:rPr>
        <w:t>Seedetrakti verejooks</w:t>
      </w:r>
    </w:p>
    <w:p w14:paraId="09E7840E" w14:textId="239B8EA2" w:rsidR="00136210" w:rsidRPr="00EC3BD7" w:rsidRDefault="00556CBF" w:rsidP="00556CBF">
      <w:pPr>
        <w:pStyle w:val="EndnoteText"/>
        <w:widowControl w:val="0"/>
        <w:tabs>
          <w:tab w:val="clear" w:pos="567"/>
        </w:tabs>
        <w:rPr>
          <w:strike/>
          <w:color w:val="000000"/>
          <w:szCs w:val="22"/>
          <w:lang w:val="et-EE"/>
        </w:rPr>
      </w:pPr>
      <w:r w:rsidRPr="00EC3BD7">
        <w:rPr>
          <w:snapToGrid w:val="0"/>
          <w:color w:val="000000"/>
          <w:szCs w:val="22"/>
          <w:lang w:val="et-EE"/>
        </w:rPr>
        <w:t>Mitteopereeritava ja/või m</w:t>
      </w:r>
      <w:r w:rsidR="00F91ABD" w:rsidRPr="00EC3BD7">
        <w:rPr>
          <w:snapToGrid w:val="0"/>
          <w:color w:val="000000"/>
          <w:szCs w:val="22"/>
          <w:lang w:val="et-EE"/>
        </w:rPr>
        <w:t>e</w:t>
      </w:r>
      <w:r w:rsidRPr="00EC3BD7">
        <w:rPr>
          <w:snapToGrid w:val="0"/>
          <w:color w:val="000000"/>
          <w:szCs w:val="22"/>
          <w:lang w:val="et-EE"/>
        </w:rPr>
        <w:t>tastaseerunud GIST</w:t>
      </w:r>
      <w:r w:rsidR="00D21C49">
        <w:rPr>
          <w:snapToGrid w:val="0"/>
          <w:color w:val="000000"/>
          <w:szCs w:val="22"/>
          <w:lang w:val="et-EE"/>
        </w:rPr>
        <w:t>-i</w:t>
      </w:r>
      <w:r w:rsidRPr="00EC3BD7">
        <w:rPr>
          <w:snapToGrid w:val="0"/>
          <w:color w:val="000000"/>
          <w:szCs w:val="22"/>
          <w:lang w:val="et-EE"/>
        </w:rPr>
        <w:t xml:space="preserve"> uuringus täheldati nii seedetrakti verejookse kui kasvajasiseseid verejookse (vt lõik</w:t>
      </w:r>
      <w:r w:rsidR="00DB0BC8" w:rsidRPr="00EC3BD7">
        <w:rPr>
          <w:snapToGrid w:val="0"/>
          <w:color w:val="000000"/>
          <w:szCs w:val="22"/>
          <w:lang w:val="et-EE"/>
        </w:rPr>
        <w:t> </w:t>
      </w:r>
      <w:r w:rsidRPr="00EC3BD7">
        <w:rPr>
          <w:snapToGrid w:val="0"/>
          <w:color w:val="000000"/>
          <w:szCs w:val="22"/>
          <w:lang w:val="et-EE"/>
        </w:rPr>
        <w:t>4.8).</w:t>
      </w:r>
      <w:r w:rsidR="00136210" w:rsidRPr="00EC3BD7">
        <w:rPr>
          <w:snapToGrid w:val="0"/>
          <w:color w:val="000000"/>
          <w:szCs w:val="22"/>
          <w:lang w:val="et-EE"/>
        </w:rPr>
        <w:t xml:space="preserve"> Olemasolevate andmete põhjal ei ole kindlaks tehtud soodustavaid tegureid (näiteks kasvaja suurus, kasvaja paiknemine, koagulatsioonihäired), mille järgi saaks eristada GIST</w:t>
      </w:r>
      <w:r w:rsidR="00D21C49">
        <w:rPr>
          <w:snapToGrid w:val="0"/>
          <w:color w:val="000000"/>
          <w:szCs w:val="22"/>
          <w:lang w:val="et-EE"/>
        </w:rPr>
        <w:t>-i</w:t>
      </w:r>
      <w:r w:rsidR="00136210" w:rsidRPr="00EC3BD7">
        <w:rPr>
          <w:snapToGrid w:val="0"/>
          <w:color w:val="000000"/>
          <w:szCs w:val="22"/>
          <w:lang w:val="et-EE"/>
        </w:rPr>
        <w:t xml:space="preserve"> patsiente, kellel on suurem risk ükskõik kumba tüüpi verejooksu tekkeks. Et suurenenud vaskulariseerumine ja kalduvus veritsusele on osa GIST</w:t>
      </w:r>
      <w:r w:rsidR="00D21C49">
        <w:rPr>
          <w:snapToGrid w:val="0"/>
          <w:color w:val="000000"/>
          <w:szCs w:val="22"/>
          <w:lang w:val="et-EE"/>
        </w:rPr>
        <w:t>-i</w:t>
      </w:r>
      <w:r w:rsidR="00136210" w:rsidRPr="00EC3BD7">
        <w:rPr>
          <w:snapToGrid w:val="0"/>
          <w:color w:val="000000"/>
          <w:szCs w:val="22"/>
          <w:lang w:val="et-EE"/>
        </w:rPr>
        <w:t xml:space="preserve"> olemusest ja kliinilisest kulust, tuleb kõigil patsientidel verejooksude jälgimises ja ravis rakendada standardseid meetmeid ja protseduure.</w:t>
      </w:r>
    </w:p>
    <w:p w14:paraId="11C1BDB8" w14:textId="77777777" w:rsidR="00136210" w:rsidRPr="00EC3BD7" w:rsidRDefault="00136210">
      <w:pPr>
        <w:pStyle w:val="EndnoteText"/>
        <w:widowControl w:val="0"/>
        <w:tabs>
          <w:tab w:val="clear" w:pos="567"/>
        </w:tabs>
        <w:rPr>
          <w:color w:val="000000"/>
          <w:szCs w:val="22"/>
          <w:lang w:val="et-EE"/>
        </w:rPr>
      </w:pPr>
    </w:p>
    <w:p w14:paraId="5097EAE6" w14:textId="4CD54D5B" w:rsidR="000B384B" w:rsidRPr="00EC3BD7" w:rsidRDefault="000B384B">
      <w:pPr>
        <w:pStyle w:val="EndnoteText"/>
        <w:widowControl w:val="0"/>
        <w:tabs>
          <w:tab w:val="clear" w:pos="567"/>
        </w:tabs>
        <w:rPr>
          <w:color w:val="000000"/>
          <w:szCs w:val="22"/>
          <w:lang w:val="et-EE"/>
        </w:rPr>
      </w:pPr>
      <w:r w:rsidRPr="00EC3BD7">
        <w:rPr>
          <w:color w:val="000000"/>
          <w:szCs w:val="22"/>
          <w:lang w:val="et-EE"/>
        </w:rPr>
        <w:t xml:space="preserve">Lisaks on </w:t>
      </w:r>
      <w:r w:rsidR="006E708A" w:rsidRPr="00EC3BD7">
        <w:rPr>
          <w:color w:val="000000"/>
          <w:szCs w:val="22"/>
          <w:lang w:val="et-EE"/>
        </w:rPr>
        <w:t>K</w:t>
      </w:r>
      <w:r w:rsidRPr="00EC3BD7">
        <w:rPr>
          <w:color w:val="000000"/>
          <w:szCs w:val="22"/>
          <w:lang w:val="et-EE"/>
        </w:rPr>
        <w:t>ML</w:t>
      </w:r>
      <w:r w:rsidR="00D21C49">
        <w:rPr>
          <w:color w:val="000000"/>
          <w:szCs w:val="22"/>
          <w:lang w:val="et-EE"/>
        </w:rPr>
        <w:t>-i</w:t>
      </w:r>
      <w:r w:rsidRPr="00EC3BD7">
        <w:rPr>
          <w:color w:val="000000"/>
          <w:szCs w:val="22"/>
          <w:lang w:val="et-EE"/>
        </w:rPr>
        <w:t>, ALL</w:t>
      </w:r>
      <w:r w:rsidR="00D21C49">
        <w:rPr>
          <w:color w:val="000000"/>
          <w:szCs w:val="22"/>
          <w:lang w:val="et-EE"/>
        </w:rPr>
        <w:t>-i</w:t>
      </w:r>
      <w:r w:rsidRPr="00EC3BD7">
        <w:rPr>
          <w:color w:val="000000"/>
          <w:szCs w:val="22"/>
          <w:lang w:val="et-EE"/>
        </w:rPr>
        <w:t xml:space="preserve"> ja teiste haigustega patsientidel turuletulekujärgselt teatatud </w:t>
      </w:r>
      <w:r w:rsidR="00F1277A" w:rsidRPr="00EC3BD7">
        <w:rPr>
          <w:color w:val="000000"/>
          <w:szCs w:val="22"/>
          <w:lang w:val="et-EE"/>
        </w:rPr>
        <w:t xml:space="preserve">mao </w:t>
      </w:r>
      <w:r w:rsidR="00F1277A" w:rsidRPr="00EC3BD7">
        <w:rPr>
          <w:i/>
          <w:color w:val="000000"/>
          <w:szCs w:val="22"/>
          <w:lang w:val="et-EE"/>
        </w:rPr>
        <w:t>antrumi</w:t>
      </w:r>
      <w:r w:rsidR="00F1277A" w:rsidRPr="00EC3BD7">
        <w:rPr>
          <w:color w:val="000000"/>
          <w:szCs w:val="22"/>
          <w:lang w:val="et-EE"/>
        </w:rPr>
        <w:t xml:space="preserve"> piirkonna vaskulaarsest ektaasiast (</w:t>
      </w:r>
      <w:r w:rsidR="00F1277A" w:rsidRPr="00EC3BD7">
        <w:rPr>
          <w:i/>
          <w:lang w:val="et-EE"/>
        </w:rPr>
        <w:t xml:space="preserve">gastric antral vascular ectasia, </w:t>
      </w:r>
      <w:r w:rsidR="00F1277A" w:rsidRPr="00EC3BD7">
        <w:rPr>
          <w:lang w:val="et-EE"/>
        </w:rPr>
        <w:t>GAVE)</w:t>
      </w:r>
      <w:r w:rsidR="00E315E8" w:rsidRPr="00EC3BD7">
        <w:rPr>
          <w:lang w:val="et-EE"/>
        </w:rPr>
        <w:t xml:space="preserve"> (vt lõik 4.8)</w:t>
      </w:r>
      <w:r w:rsidR="00F1277A" w:rsidRPr="00EC3BD7">
        <w:rPr>
          <w:lang w:val="et-EE"/>
        </w:rPr>
        <w:t>. Vajadusel tuleb kaaluda Glivec</w:t>
      </w:r>
      <w:r w:rsidR="00F1277A" w:rsidRPr="00EC3BD7">
        <w:rPr>
          <w:lang w:val="et-EE"/>
        </w:rPr>
        <w:noBreakHyphen/>
        <w:t>ravi katkestamist.</w:t>
      </w:r>
    </w:p>
    <w:p w14:paraId="6F1B5617" w14:textId="77777777" w:rsidR="000B384B" w:rsidRPr="00EC3BD7" w:rsidRDefault="000B384B">
      <w:pPr>
        <w:pStyle w:val="EndnoteText"/>
        <w:widowControl w:val="0"/>
        <w:tabs>
          <w:tab w:val="clear" w:pos="567"/>
        </w:tabs>
        <w:rPr>
          <w:color w:val="000000"/>
          <w:szCs w:val="22"/>
          <w:lang w:val="et-EE"/>
        </w:rPr>
      </w:pPr>
    </w:p>
    <w:p w14:paraId="06C296B6" w14:textId="77777777" w:rsidR="00393A9B" w:rsidRPr="00EC3BD7" w:rsidRDefault="00393A9B" w:rsidP="00B9089D">
      <w:pPr>
        <w:pStyle w:val="EndnoteText"/>
        <w:keepNext/>
        <w:widowControl w:val="0"/>
        <w:tabs>
          <w:tab w:val="clear" w:pos="567"/>
        </w:tabs>
        <w:rPr>
          <w:color w:val="000000"/>
          <w:szCs w:val="22"/>
          <w:lang w:val="et-EE"/>
        </w:rPr>
      </w:pPr>
      <w:r w:rsidRPr="00EC3BD7">
        <w:rPr>
          <w:color w:val="000000"/>
          <w:szCs w:val="22"/>
          <w:u w:val="single"/>
          <w:lang w:val="et-EE"/>
        </w:rPr>
        <w:t>Tuumorilahustussündroom</w:t>
      </w:r>
    </w:p>
    <w:p w14:paraId="721C7C63" w14:textId="77777777" w:rsidR="00F61EC7" w:rsidRPr="00EC3BD7" w:rsidRDefault="00F61EC7">
      <w:pPr>
        <w:pStyle w:val="EndnoteText"/>
        <w:widowControl w:val="0"/>
        <w:tabs>
          <w:tab w:val="clear" w:pos="567"/>
        </w:tabs>
        <w:rPr>
          <w:color w:val="000000"/>
          <w:szCs w:val="22"/>
          <w:lang w:val="et-EE"/>
        </w:rPr>
      </w:pPr>
      <w:r w:rsidRPr="00EC3BD7">
        <w:rPr>
          <w:color w:val="000000"/>
          <w:szCs w:val="22"/>
          <w:lang w:val="et-EE"/>
        </w:rPr>
        <w:t>Võimaliku tuumorilahustussündroomi tõttu on enne Glivec-ravi soovitatav kliiniliselt olulise dehüdratsiooni korrigeerimine ja kõrge kusihappesisalduse ravi (vt lõik</w:t>
      </w:r>
      <w:r w:rsidR="00DB0BC8" w:rsidRPr="00EC3BD7">
        <w:rPr>
          <w:color w:val="000000"/>
          <w:szCs w:val="22"/>
          <w:lang w:val="et-EE"/>
        </w:rPr>
        <w:t> </w:t>
      </w:r>
      <w:r w:rsidRPr="00EC3BD7">
        <w:rPr>
          <w:color w:val="000000"/>
          <w:szCs w:val="22"/>
          <w:lang w:val="et-EE"/>
        </w:rPr>
        <w:t>4.8).</w:t>
      </w:r>
    </w:p>
    <w:p w14:paraId="49DCCB9D" w14:textId="77777777" w:rsidR="00FE4734" w:rsidRPr="00EC3BD7" w:rsidRDefault="00FE4734" w:rsidP="00FE4734">
      <w:pPr>
        <w:widowControl w:val="0"/>
        <w:spacing w:line="240" w:lineRule="auto"/>
        <w:rPr>
          <w:szCs w:val="24"/>
          <w:lang w:val="et-EE"/>
        </w:rPr>
      </w:pPr>
    </w:p>
    <w:p w14:paraId="367C245F" w14:textId="77777777" w:rsidR="00FE4734" w:rsidRPr="00EC3BD7" w:rsidRDefault="00FE4734" w:rsidP="00FE4734">
      <w:pPr>
        <w:keepNext/>
        <w:widowControl w:val="0"/>
        <w:tabs>
          <w:tab w:val="clear" w:pos="567"/>
        </w:tabs>
        <w:spacing w:line="240" w:lineRule="auto"/>
        <w:rPr>
          <w:rFonts w:eastAsia="MS Mincho"/>
          <w:szCs w:val="22"/>
          <w:u w:val="single"/>
          <w:lang w:val="et-EE"/>
        </w:rPr>
      </w:pPr>
      <w:r w:rsidRPr="00EC3BD7">
        <w:rPr>
          <w:rFonts w:eastAsia="MS Mincho"/>
          <w:szCs w:val="22"/>
          <w:u w:val="single"/>
          <w:lang w:val="et-EE"/>
        </w:rPr>
        <w:t>B</w:t>
      </w:r>
      <w:r w:rsidRPr="00EC3BD7">
        <w:rPr>
          <w:rFonts w:eastAsia="MS Mincho"/>
          <w:szCs w:val="22"/>
          <w:u w:val="single"/>
          <w:lang w:val="et-EE"/>
        </w:rPr>
        <w:noBreakHyphen/>
        <w:t>hepatiidi reaktivatsioon</w:t>
      </w:r>
    </w:p>
    <w:p w14:paraId="538C1E49" w14:textId="77777777" w:rsidR="00FE4734" w:rsidRPr="00EC3BD7" w:rsidRDefault="00FE4734" w:rsidP="00FE4734">
      <w:pPr>
        <w:tabs>
          <w:tab w:val="clear" w:pos="567"/>
        </w:tabs>
        <w:spacing w:line="240" w:lineRule="auto"/>
        <w:rPr>
          <w:rFonts w:eastAsia="MS Mincho"/>
          <w:szCs w:val="22"/>
          <w:lang w:val="et-EE"/>
        </w:rPr>
      </w:pPr>
      <w:r w:rsidRPr="00EC3BD7">
        <w:rPr>
          <w:rFonts w:eastAsia="MS Mincho"/>
          <w:szCs w:val="22"/>
          <w:lang w:val="et-EE"/>
        </w:rPr>
        <w:t>Esinenud on B</w:t>
      </w:r>
      <w:r w:rsidRPr="00EC3BD7">
        <w:rPr>
          <w:rFonts w:eastAsia="MS Mincho"/>
          <w:szCs w:val="22"/>
          <w:lang w:val="et-EE"/>
        </w:rPr>
        <w:noBreakHyphen/>
        <w:t>hepatiidi reaktiveerumist viirust krooniliselt kandvatel patsientidel pärast BCR-ABL-türosiinkinaasiinhibiitorite kasutamist. Mõnel juhul tekkis äge maksapuudulikkus või fulminantne hepatiit, mille tõttu tekkis maksasiirdamise vajadus või patsient suri.</w:t>
      </w:r>
    </w:p>
    <w:p w14:paraId="4172C530" w14:textId="77777777" w:rsidR="00FE4734" w:rsidRPr="00EC3BD7" w:rsidRDefault="00FE4734" w:rsidP="00FE4734">
      <w:pPr>
        <w:tabs>
          <w:tab w:val="clear" w:pos="567"/>
        </w:tabs>
        <w:spacing w:line="240" w:lineRule="auto"/>
        <w:rPr>
          <w:rFonts w:eastAsia="MS Mincho"/>
          <w:szCs w:val="22"/>
          <w:lang w:val="et-EE"/>
        </w:rPr>
      </w:pPr>
    </w:p>
    <w:p w14:paraId="6B03A724" w14:textId="4C8AE385" w:rsidR="00FE4734" w:rsidRPr="00EC3BD7" w:rsidRDefault="00FE4734" w:rsidP="00FE4734">
      <w:pPr>
        <w:tabs>
          <w:tab w:val="clear" w:pos="567"/>
        </w:tabs>
        <w:spacing w:line="240" w:lineRule="auto"/>
        <w:rPr>
          <w:rFonts w:eastAsia="MS Mincho"/>
          <w:szCs w:val="22"/>
          <w:lang w:val="et-EE"/>
        </w:rPr>
      </w:pPr>
      <w:r w:rsidRPr="00EC3BD7">
        <w:rPr>
          <w:rFonts w:eastAsia="MS Mincho"/>
          <w:szCs w:val="22"/>
          <w:lang w:val="et-EE"/>
        </w:rPr>
        <w:t>Enne Glivec</w:t>
      </w:r>
      <w:r w:rsidRPr="00EC3BD7">
        <w:rPr>
          <w:rFonts w:eastAsia="MS Mincho"/>
          <w:szCs w:val="22"/>
          <w:lang w:val="et-EE"/>
        </w:rPr>
        <w:noBreakHyphen/>
        <w:t>ravi alustamist tuleb patsienti uurida HBV-infektsiooni suhtes. Patsientidel, kellel leitakse positiivsed B-hepatiidi seroloogilised markerid (sh aktiivse haigusega patsiendid), tuleb enne ravi alustamist konsulteerida maksahaiguste ning B-hepatiidi ravi spetsialistidega. Patsientidel, kellel HBV-infektsiooni uuring on ravi ajal positiivne, tuleb samuti</w:t>
      </w:r>
      <w:r w:rsidRPr="00EC3BD7">
        <w:rPr>
          <w:rFonts w:ascii="Verdana" w:hAnsi="Verdana" w:cs="Verdana"/>
          <w:color w:val="000000"/>
          <w:sz w:val="18"/>
          <w:szCs w:val="18"/>
          <w:lang w:val="et-EE" w:eastAsia="en-GB"/>
        </w:rPr>
        <w:t xml:space="preserve"> </w:t>
      </w:r>
      <w:r w:rsidRPr="00EC3BD7">
        <w:rPr>
          <w:rFonts w:eastAsia="MS Mincho"/>
          <w:szCs w:val="22"/>
          <w:lang w:val="et-EE"/>
        </w:rPr>
        <w:t>konsulteerida maksahaiguste ning B</w:t>
      </w:r>
      <w:r w:rsidRPr="00EC3BD7">
        <w:rPr>
          <w:rFonts w:eastAsia="MS Mincho"/>
          <w:szCs w:val="22"/>
          <w:lang w:val="et-EE"/>
        </w:rPr>
        <w:noBreakHyphen/>
        <w:t>hepatiidi ravi spetsialistidega. Glivec</w:t>
      </w:r>
      <w:r w:rsidRPr="00EC3BD7">
        <w:rPr>
          <w:rFonts w:eastAsia="MS Mincho"/>
          <w:szCs w:val="22"/>
          <w:lang w:val="et-EE"/>
        </w:rPr>
        <w:noBreakHyphen/>
        <w:t>ravi vajavaid HBV</w:t>
      </w:r>
      <w:r w:rsidR="00D21C49">
        <w:rPr>
          <w:rFonts w:eastAsia="MS Mincho"/>
          <w:szCs w:val="22"/>
          <w:lang w:val="et-EE"/>
        </w:rPr>
        <w:t>-i</w:t>
      </w:r>
      <w:r w:rsidRPr="00EC3BD7">
        <w:rPr>
          <w:rFonts w:eastAsia="MS Mincho"/>
          <w:szCs w:val="22"/>
          <w:lang w:val="et-EE"/>
        </w:rPr>
        <w:t xml:space="preserve"> kandjaid tuleb hoolikalt jälgida aktiivse HBV-infektsiooni nähtude ja sümptomite suhtes ravi ajal ning mitme kuu jooksul pärast ravi lõppu (vt lõik 4.8).</w:t>
      </w:r>
    </w:p>
    <w:p w14:paraId="062FEEB7" w14:textId="77777777" w:rsidR="004E0748" w:rsidRPr="00EC3BD7" w:rsidRDefault="004E0748" w:rsidP="00FE4734">
      <w:pPr>
        <w:tabs>
          <w:tab w:val="clear" w:pos="567"/>
        </w:tabs>
        <w:spacing w:line="240" w:lineRule="auto"/>
        <w:rPr>
          <w:rFonts w:eastAsia="MS Mincho"/>
          <w:szCs w:val="22"/>
          <w:lang w:val="et-EE"/>
        </w:rPr>
      </w:pPr>
    </w:p>
    <w:p w14:paraId="77E5A5D7" w14:textId="77777777" w:rsidR="004E0748" w:rsidRPr="00EC3BD7" w:rsidRDefault="004E0748" w:rsidP="000A2EA6">
      <w:pPr>
        <w:keepNext/>
        <w:tabs>
          <w:tab w:val="clear" w:pos="567"/>
        </w:tabs>
        <w:spacing w:line="240" w:lineRule="auto"/>
        <w:rPr>
          <w:rFonts w:eastAsia="MS Mincho"/>
          <w:szCs w:val="22"/>
          <w:u w:val="single"/>
          <w:lang w:val="et-EE"/>
        </w:rPr>
      </w:pPr>
      <w:r w:rsidRPr="00EC3BD7">
        <w:rPr>
          <w:rFonts w:eastAsia="MS Mincho"/>
          <w:szCs w:val="22"/>
          <w:u w:val="single"/>
          <w:lang w:val="et-EE"/>
        </w:rPr>
        <w:t>Fototoksilisus</w:t>
      </w:r>
    </w:p>
    <w:p w14:paraId="40180E42" w14:textId="77777777" w:rsidR="004E0748" w:rsidRPr="00EC3BD7" w:rsidRDefault="004E0748" w:rsidP="00FE4734">
      <w:pPr>
        <w:tabs>
          <w:tab w:val="clear" w:pos="567"/>
        </w:tabs>
        <w:spacing w:line="240" w:lineRule="auto"/>
        <w:rPr>
          <w:rFonts w:eastAsia="MS Mincho"/>
          <w:szCs w:val="22"/>
          <w:lang w:val="et-EE"/>
        </w:rPr>
      </w:pPr>
      <w:r w:rsidRPr="00EC3BD7">
        <w:rPr>
          <w:rFonts w:eastAsia="MS Mincho"/>
          <w:szCs w:val="22"/>
          <w:lang w:val="et-EE"/>
        </w:rPr>
        <w:t>Imatin</w:t>
      </w:r>
      <w:r w:rsidR="00290456" w:rsidRPr="00EC3BD7">
        <w:rPr>
          <w:rFonts w:eastAsia="MS Mincho"/>
          <w:szCs w:val="22"/>
          <w:lang w:val="et-EE"/>
        </w:rPr>
        <w:t>i</w:t>
      </w:r>
      <w:r w:rsidRPr="00EC3BD7">
        <w:rPr>
          <w:rFonts w:eastAsia="MS Mincho"/>
          <w:szCs w:val="22"/>
          <w:lang w:val="et-EE"/>
        </w:rPr>
        <w:t xml:space="preserve">ibi raviga seotud fototoksilisuse riski </w:t>
      </w:r>
      <w:r w:rsidR="00290456" w:rsidRPr="00EC3BD7">
        <w:rPr>
          <w:rFonts w:eastAsia="MS Mincho"/>
          <w:szCs w:val="22"/>
          <w:lang w:val="et-EE"/>
        </w:rPr>
        <w:t>tõttu tuleb otseses päikesekiirguses viibimist vältida või minimeerida. Patsiente tuleb juhendada, et nad kasutaksid keha katvat riietust ja nahakaitsekreeme, millel on kõrge päikesekaitsefaktori sisaldus (SPF).</w:t>
      </w:r>
    </w:p>
    <w:p w14:paraId="75E7DC34" w14:textId="77777777" w:rsidR="0036440C" w:rsidRPr="00EC3BD7" w:rsidRDefault="0036440C" w:rsidP="00FE4734">
      <w:pPr>
        <w:tabs>
          <w:tab w:val="clear" w:pos="567"/>
        </w:tabs>
        <w:spacing w:line="240" w:lineRule="auto"/>
        <w:rPr>
          <w:rFonts w:eastAsia="MS Mincho"/>
          <w:szCs w:val="22"/>
          <w:lang w:val="et-EE"/>
        </w:rPr>
      </w:pPr>
    </w:p>
    <w:p w14:paraId="5AF7BC1D" w14:textId="77777777" w:rsidR="0036440C" w:rsidRPr="00EC3BD7" w:rsidRDefault="0036440C" w:rsidP="00BC6B4D">
      <w:pPr>
        <w:keepNext/>
        <w:tabs>
          <w:tab w:val="clear" w:pos="567"/>
        </w:tabs>
        <w:spacing w:line="240" w:lineRule="auto"/>
        <w:rPr>
          <w:rFonts w:eastAsia="MS Mincho"/>
          <w:szCs w:val="22"/>
          <w:u w:val="single"/>
          <w:lang w:val="et-EE"/>
        </w:rPr>
      </w:pPr>
      <w:r w:rsidRPr="00EC3BD7">
        <w:rPr>
          <w:rFonts w:eastAsia="MS Mincho"/>
          <w:szCs w:val="22"/>
          <w:u w:val="single"/>
          <w:lang w:val="et-EE"/>
        </w:rPr>
        <w:t>Trombootiline mikroangiopaatia</w:t>
      </w:r>
    </w:p>
    <w:p w14:paraId="6CF87CE0" w14:textId="5BA7CA31" w:rsidR="0036440C" w:rsidRPr="00EC3BD7" w:rsidRDefault="0036440C" w:rsidP="00FE4734">
      <w:pPr>
        <w:tabs>
          <w:tab w:val="clear" w:pos="567"/>
        </w:tabs>
        <w:spacing w:line="240" w:lineRule="auto"/>
        <w:rPr>
          <w:rFonts w:eastAsia="MS Mincho"/>
          <w:sz w:val="24"/>
          <w:szCs w:val="24"/>
          <w:lang w:val="et-EE"/>
        </w:rPr>
      </w:pPr>
      <w:r w:rsidRPr="00EC3BD7">
        <w:rPr>
          <w:rFonts w:eastAsia="MS Mincho"/>
          <w:szCs w:val="22"/>
          <w:lang w:val="et-EE"/>
        </w:rPr>
        <w:t>BCR</w:t>
      </w:r>
      <w:r w:rsidRPr="00EC3BD7">
        <w:rPr>
          <w:rFonts w:eastAsia="MS Mincho"/>
          <w:szCs w:val="22"/>
          <w:lang w:val="et-EE"/>
        </w:rPr>
        <w:noBreakHyphen/>
        <w:t>ABL</w:t>
      </w:r>
      <w:r w:rsidRPr="00EC3BD7">
        <w:rPr>
          <w:rFonts w:eastAsia="MS Mincho"/>
          <w:szCs w:val="22"/>
          <w:lang w:val="et-EE"/>
        </w:rPr>
        <w:noBreakHyphen/>
        <w:t>türosiinkinaasiinhibiitoreid (TKId) on seostatud trombootilise mikroangiopaatiaga (TMA), sealhulgas</w:t>
      </w:r>
      <w:r w:rsidR="00486D60" w:rsidRPr="00EC3BD7">
        <w:rPr>
          <w:rFonts w:eastAsia="MS Mincho"/>
          <w:szCs w:val="22"/>
          <w:lang w:val="et-EE"/>
        </w:rPr>
        <w:t xml:space="preserve"> on </w:t>
      </w:r>
      <w:r w:rsidR="00344C80" w:rsidRPr="00EC3BD7">
        <w:rPr>
          <w:rFonts w:eastAsia="MS Mincho"/>
          <w:szCs w:val="22"/>
          <w:lang w:val="et-EE"/>
        </w:rPr>
        <w:t>esinenud kõrvaltoime</w:t>
      </w:r>
      <w:r w:rsidRPr="00EC3BD7">
        <w:rPr>
          <w:rFonts w:eastAsia="MS Mincho"/>
          <w:szCs w:val="22"/>
          <w:lang w:val="et-EE"/>
        </w:rPr>
        <w:t xml:space="preserve"> teatis</w:t>
      </w:r>
      <w:r w:rsidR="00486D60" w:rsidRPr="00EC3BD7">
        <w:rPr>
          <w:rFonts w:eastAsia="MS Mincho"/>
          <w:szCs w:val="22"/>
          <w:lang w:val="et-EE"/>
        </w:rPr>
        <w:t>i</w:t>
      </w:r>
      <w:r w:rsidRPr="00EC3BD7">
        <w:rPr>
          <w:rFonts w:eastAsia="MS Mincho"/>
          <w:szCs w:val="22"/>
          <w:lang w:val="et-EE"/>
        </w:rPr>
        <w:t xml:space="preserve"> Gliveci</w:t>
      </w:r>
      <w:r w:rsidR="00344C80" w:rsidRPr="00EC3BD7">
        <w:rPr>
          <w:rFonts w:eastAsia="MS Mincho"/>
          <w:szCs w:val="22"/>
          <w:lang w:val="et-EE"/>
        </w:rPr>
        <w:t xml:space="preserve"> kasut</w:t>
      </w:r>
      <w:r w:rsidR="00C17167" w:rsidRPr="00EC3BD7">
        <w:rPr>
          <w:rFonts w:eastAsia="MS Mincho"/>
          <w:szCs w:val="22"/>
          <w:lang w:val="et-EE"/>
        </w:rPr>
        <w:t>ajatelt</w:t>
      </w:r>
      <w:r w:rsidRPr="00EC3BD7">
        <w:rPr>
          <w:rFonts w:eastAsia="MS Mincho"/>
          <w:szCs w:val="22"/>
          <w:lang w:val="et-EE"/>
        </w:rPr>
        <w:t xml:space="preserve"> (vt lõik 4.8).</w:t>
      </w:r>
      <w:r w:rsidR="00486D60" w:rsidRPr="00EC3BD7">
        <w:rPr>
          <w:rFonts w:eastAsia="MS Mincho"/>
          <w:szCs w:val="22"/>
          <w:lang w:val="et-EE"/>
        </w:rPr>
        <w:t xml:space="preserve"> </w:t>
      </w:r>
      <w:r w:rsidR="004915AE" w:rsidRPr="00EC3BD7">
        <w:rPr>
          <w:rFonts w:eastAsia="MS Mincho"/>
          <w:szCs w:val="22"/>
          <w:lang w:val="et-EE"/>
        </w:rPr>
        <w:t>Kui Glivecit võtval patsiendil ilmnevad TMA</w:t>
      </w:r>
      <w:r w:rsidR="00D21C49">
        <w:rPr>
          <w:rFonts w:eastAsia="MS Mincho"/>
          <w:szCs w:val="22"/>
          <w:lang w:val="et-EE"/>
        </w:rPr>
        <w:t>-</w:t>
      </w:r>
      <w:r w:rsidR="004915AE" w:rsidRPr="00EC3BD7">
        <w:rPr>
          <w:rFonts w:eastAsia="MS Mincho"/>
          <w:szCs w:val="22"/>
          <w:lang w:val="et-EE"/>
        </w:rPr>
        <w:t xml:space="preserve">ga seostatud laboratoorsed või kliinilised leiud, peab ravi </w:t>
      </w:r>
      <w:r w:rsidR="00B264B6" w:rsidRPr="00EC3BD7">
        <w:rPr>
          <w:rFonts w:eastAsia="MS Mincho"/>
          <w:szCs w:val="22"/>
          <w:lang w:val="et-EE"/>
        </w:rPr>
        <w:t>katkestama ja teostama täieliku TMA hindamise, sealhulgas määrama ADAMTS13 aktiivsuse ja anti</w:t>
      </w:r>
      <w:r w:rsidR="00B264B6" w:rsidRPr="00EC3BD7">
        <w:rPr>
          <w:rFonts w:eastAsia="MS Mincho"/>
          <w:szCs w:val="22"/>
          <w:lang w:val="et-EE"/>
        </w:rPr>
        <w:noBreakHyphen/>
        <w:t>ADAMTS13</w:t>
      </w:r>
      <w:r w:rsidR="00B264B6" w:rsidRPr="00EC3BD7">
        <w:rPr>
          <w:rFonts w:eastAsia="MS Mincho"/>
          <w:szCs w:val="22"/>
          <w:lang w:val="et-EE"/>
        </w:rPr>
        <w:noBreakHyphen/>
        <w:t>antikehad. Kui</w:t>
      </w:r>
      <w:r w:rsidR="00C17167" w:rsidRPr="00EC3BD7">
        <w:rPr>
          <w:rFonts w:eastAsia="MS Mincho"/>
          <w:szCs w:val="22"/>
          <w:lang w:val="et-EE"/>
        </w:rPr>
        <w:t xml:space="preserve"> analüüsidel tuvastatakse kõrgenenud</w:t>
      </w:r>
      <w:r w:rsidR="00B264B6" w:rsidRPr="00EC3BD7">
        <w:rPr>
          <w:rFonts w:eastAsia="MS Mincho"/>
          <w:szCs w:val="22"/>
          <w:lang w:val="et-EE"/>
        </w:rPr>
        <w:t xml:space="preserve"> anti</w:t>
      </w:r>
      <w:r w:rsidR="00B264B6" w:rsidRPr="00EC3BD7">
        <w:rPr>
          <w:rFonts w:eastAsia="MS Mincho"/>
          <w:szCs w:val="22"/>
          <w:lang w:val="et-EE"/>
        </w:rPr>
        <w:noBreakHyphen/>
        <w:t>ADAMTS13</w:t>
      </w:r>
      <w:r w:rsidR="00B264B6" w:rsidRPr="00EC3BD7">
        <w:rPr>
          <w:rFonts w:eastAsia="MS Mincho"/>
          <w:szCs w:val="22"/>
          <w:lang w:val="et-EE"/>
        </w:rPr>
        <w:noBreakHyphen/>
        <w:t>antikehade sisaldus</w:t>
      </w:r>
      <w:r w:rsidR="00C17167" w:rsidRPr="00EC3BD7">
        <w:rPr>
          <w:rFonts w:eastAsia="MS Mincho"/>
          <w:szCs w:val="22"/>
          <w:lang w:val="et-EE"/>
        </w:rPr>
        <w:t xml:space="preserve"> koos</w:t>
      </w:r>
      <w:r w:rsidR="00B264B6" w:rsidRPr="00EC3BD7">
        <w:rPr>
          <w:rFonts w:eastAsia="MS Mincho"/>
          <w:szCs w:val="22"/>
          <w:lang w:val="et-EE"/>
        </w:rPr>
        <w:t xml:space="preserve"> </w:t>
      </w:r>
      <w:r w:rsidR="00347035">
        <w:rPr>
          <w:rFonts w:eastAsia="MS Mincho"/>
          <w:szCs w:val="22"/>
          <w:lang w:val="et-EE"/>
        </w:rPr>
        <w:t>väikese</w:t>
      </w:r>
      <w:r w:rsidR="00347035" w:rsidRPr="00EC3BD7">
        <w:rPr>
          <w:rFonts w:eastAsia="MS Mincho"/>
          <w:szCs w:val="22"/>
          <w:lang w:val="et-EE"/>
        </w:rPr>
        <w:t xml:space="preserve"> </w:t>
      </w:r>
      <w:r w:rsidR="00B264B6" w:rsidRPr="00EC3BD7">
        <w:rPr>
          <w:rFonts w:eastAsia="MS Mincho"/>
          <w:szCs w:val="22"/>
          <w:lang w:val="et-EE"/>
        </w:rPr>
        <w:t xml:space="preserve">ADAMTS13 aktiivsusega, </w:t>
      </w:r>
      <w:r w:rsidR="00C17167" w:rsidRPr="00EC3BD7">
        <w:rPr>
          <w:rFonts w:eastAsia="MS Mincho"/>
          <w:szCs w:val="22"/>
          <w:lang w:val="et-EE"/>
        </w:rPr>
        <w:t xml:space="preserve">siis </w:t>
      </w:r>
      <w:r w:rsidR="00B264B6" w:rsidRPr="00EC3BD7">
        <w:rPr>
          <w:rFonts w:eastAsia="MS Mincho"/>
          <w:szCs w:val="22"/>
          <w:lang w:val="et-EE"/>
        </w:rPr>
        <w:t>ei tohi ravi Gliveciga jätkata.</w:t>
      </w:r>
    </w:p>
    <w:p w14:paraId="13DB7D23" w14:textId="77777777" w:rsidR="00F61EC7" w:rsidRPr="00EC3BD7" w:rsidRDefault="00F61EC7">
      <w:pPr>
        <w:pStyle w:val="EndnoteText"/>
        <w:widowControl w:val="0"/>
        <w:tabs>
          <w:tab w:val="clear" w:pos="567"/>
        </w:tabs>
        <w:rPr>
          <w:color w:val="000000"/>
          <w:szCs w:val="22"/>
          <w:lang w:val="et-EE"/>
        </w:rPr>
      </w:pPr>
    </w:p>
    <w:p w14:paraId="665C6095"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u w:val="single"/>
          <w:lang w:val="et-EE"/>
        </w:rPr>
        <w:t>Laboratoorsed analüüsid</w:t>
      </w:r>
    </w:p>
    <w:p w14:paraId="00F22F2A" w14:textId="53261366" w:rsidR="00136210" w:rsidRPr="00EC3BD7" w:rsidRDefault="00136210">
      <w:pPr>
        <w:pStyle w:val="EndnoteText"/>
        <w:widowControl w:val="0"/>
        <w:tabs>
          <w:tab w:val="clear" w:pos="567"/>
        </w:tabs>
        <w:rPr>
          <w:color w:val="000000"/>
          <w:szCs w:val="22"/>
          <w:lang w:val="et-EE"/>
        </w:rPr>
      </w:pPr>
      <w:r w:rsidRPr="00EC3BD7">
        <w:rPr>
          <w:color w:val="000000"/>
          <w:szCs w:val="22"/>
          <w:lang w:val="et-EE"/>
        </w:rPr>
        <w:t xml:space="preserve">Gliveci ravi ajal tuleb korrapäraselt teha täielik vereanalüüs. Ravi Gliveciga </w:t>
      </w:r>
      <w:smartTag w:uri="urn:schemas-microsoft-com:office:smarttags" w:element="stockticker">
        <w:r w:rsidRPr="00EC3BD7">
          <w:rPr>
            <w:color w:val="000000"/>
            <w:szCs w:val="22"/>
            <w:lang w:val="et-EE"/>
          </w:rPr>
          <w:t>KML</w:t>
        </w:r>
        <w:r w:rsidR="00D21C49">
          <w:rPr>
            <w:color w:val="000000"/>
            <w:szCs w:val="22"/>
            <w:lang w:val="et-EE"/>
          </w:rPr>
          <w:t>-i</w:t>
        </w:r>
      </w:smartTag>
      <w:r w:rsidRPr="00EC3BD7">
        <w:rPr>
          <w:color w:val="000000"/>
          <w:szCs w:val="22"/>
          <w:lang w:val="et-EE"/>
        </w:rPr>
        <w:t xml:space="preserve"> patsientidel on seostatud neutropeenia ja trombotsütopeeniaga. Siiski on taoliste tsütopeeniate esinemine tõenäoliselt seotud ravitava haigusega ja nad esinesid sagedamini aktseleratsioonifaasis või blastses kriisis </w:t>
      </w:r>
      <w:smartTag w:uri="urn:schemas-microsoft-com:office:smarttags" w:element="stockticker">
        <w:r w:rsidRPr="00EC3BD7">
          <w:rPr>
            <w:color w:val="000000"/>
            <w:szCs w:val="22"/>
            <w:lang w:val="et-EE"/>
          </w:rPr>
          <w:t>KML</w:t>
        </w:r>
        <w:r w:rsidR="00D21C49">
          <w:rPr>
            <w:color w:val="000000"/>
            <w:szCs w:val="22"/>
            <w:lang w:val="et-EE"/>
          </w:rPr>
          <w:t>-i</w:t>
        </w:r>
      </w:smartTag>
      <w:r w:rsidRPr="00EC3BD7">
        <w:rPr>
          <w:color w:val="000000"/>
          <w:szCs w:val="22"/>
          <w:lang w:val="et-EE"/>
        </w:rPr>
        <w:t xml:space="preserve"> patsientidel võrreldes kroonilises faasis </w:t>
      </w:r>
      <w:smartTag w:uri="urn:schemas-microsoft-com:office:smarttags" w:element="stockticker">
        <w:r w:rsidRPr="00EC3BD7">
          <w:rPr>
            <w:color w:val="000000"/>
            <w:szCs w:val="22"/>
            <w:lang w:val="et-EE"/>
          </w:rPr>
          <w:t>KML</w:t>
        </w:r>
      </w:smartTag>
      <w:r w:rsidRPr="00EC3BD7">
        <w:rPr>
          <w:color w:val="000000"/>
          <w:szCs w:val="22"/>
          <w:lang w:val="et-EE"/>
        </w:rPr>
        <w:t xml:space="preserve"> patsientidega. Ravi Gliveciga võib katkestada või annust vähendada, nagu soovitatud lõigus</w:t>
      </w:r>
      <w:r w:rsidR="00DB0BC8" w:rsidRPr="00EC3BD7">
        <w:rPr>
          <w:color w:val="000000"/>
          <w:szCs w:val="22"/>
          <w:lang w:val="et-EE"/>
        </w:rPr>
        <w:t> </w:t>
      </w:r>
      <w:r w:rsidRPr="00EC3BD7">
        <w:rPr>
          <w:color w:val="000000"/>
          <w:szCs w:val="22"/>
          <w:lang w:val="et-EE"/>
        </w:rPr>
        <w:t>4.2.</w:t>
      </w:r>
    </w:p>
    <w:p w14:paraId="66081B79" w14:textId="77777777" w:rsidR="00136210" w:rsidRPr="00EC3BD7" w:rsidRDefault="00136210">
      <w:pPr>
        <w:pStyle w:val="EndnoteText"/>
        <w:widowControl w:val="0"/>
        <w:tabs>
          <w:tab w:val="clear" w:pos="567"/>
        </w:tabs>
        <w:rPr>
          <w:color w:val="000000"/>
          <w:szCs w:val="22"/>
          <w:lang w:val="et-EE"/>
        </w:rPr>
      </w:pPr>
    </w:p>
    <w:p w14:paraId="6012DA28"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Gliveciga ravitavatel patsientidel tuleb korrapäraselt jälgida maksafunktsiooni (transaminaasid, bilirubiin, alkaalne fosfataas).</w:t>
      </w:r>
    </w:p>
    <w:p w14:paraId="4E4816BC" w14:textId="77777777" w:rsidR="00136210" w:rsidRPr="00EC3BD7" w:rsidRDefault="00136210">
      <w:pPr>
        <w:pStyle w:val="EndnoteText"/>
        <w:widowControl w:val="0"/>
        <w:tabs>
          <w:tab w:val="clear" w:pos="567"/>
        </w:tabs>
        <w:rPr>
          <w:color w:val="000000"/>
          <w:szCs w:val="22"/>
          <w:lang w:val="et-EE"/>
        </w:rPr>
      </w:pPr>
    </w:p>
    <w:p w14:paraId="3E9CFAD8"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 xml:space="preserve">Neerufunktsiooni häirega patsientidel on täheldatud imatiniibi kõrgemat </w:t>
      </w:r>
      <w:r w:rsidR="000D66A3" w:rsidRPr="00EC3BD7">
        <w:rPr>
          <w:color w:val="000000"/>
          <w:szCs w:val="22"/>
          <w:lang w:val="et-EE"/>
        </w:rPr>
        <w:t>plasmakontsentratsiooni</w:t>
      </w:r>
      <w:r w:rsidR="000D66A3" w:rsidRPr="00EC3BD7" w:rsidDel="000D66A3">
        <w:rPr>
          <w:color w:val="000000"/>
          <w:szCs w:val="22"/>
          <w:lang w:val="et-EE"/>
        </w:rPr>
        <w:t xml:space="preserve"> </w:t>
      </w:r>
      <w:r w:rsidRPr="00EC3BD7">
        <w:rPr>
          <w:color w:val="000000"/>
          <w:szCs w:val="22"/>
          <w:lang w:val="et-EE"/>
        </w:rPr>
        <w:t>kui normaalse neerufunktsiooniga patsientidel, mis on arvatavasti tingitud alfa-happelise glükoproteiini, imatiniibi siduva valgu, plasmakontsentratsiooni suurenemisest neil patsientidel. Neerufunktsiooni häirega patsientidel tuleb kasutada minimaalset algannust. Ettevaatus on vajalik neerufunktsiooni raske häirega patsientide ravis. Talumatuse korral võib annust vähendada (vt lõigud</w:t>
      </w:r>
      <w:r w:rsidR="00DB0BC8" w:rsidRPr="00EC3BD7">
        <w:rPr>
          <w:color w:val="000000"/>
          <w:szCs w:val="22"/>
          <w:lang w:val="et-EE"/>
        </w:rPr>
        <w:t> </w:t>
      </w:r>
      <w:r w:rsidRPr="00EC3BD7">
        <w:rPr>
          <w:color w:val="000000"/>
          <w:szCs w:val="22"/>
          <w:lang w:val="et-EE"/>
        </w:rPr>
        <w:t>4.2 ja 5.2).</w:t>
      </w:r>
    </w:p>
    <w:p w14:paraId="2750146D" w14:textId="77777777" w:rsidR="00337CE0" w:rsidRPr="00EC3BD7" w:rsidRDefault="00337CE0" w:rsidP="005F4AEF">
      <w:pPr>
        <w:pStyle w:val="TOC6"/>
        <w:rPr>
          <w:noProof w:val="0"/>
          <w:u w:val="none"/>
        </w:rPr>
      </w:pPr>
    </w:p>
    <w:p w14:paraId="462C58E9" w14:textId="77777777" w:rsidR="005F4AEF" w:rsidRPr="00EC3BD7" w:rsidRDefault="005F4AEF" w:rsidP="005F4AEF">
      <w:pPr>
        <w:pStyle w:val="TOC6"/>
        <w:rPr>
          <w:noProof w:val="0"/>
          <w:u w:val="none"/>
        </w:rPr>
      </w:pPr>
      <w:r w:rsidRPr="00EC3BD7">
        <w:rPr>
          <w:noProof w:val="0"/>
          <w:u w:val="none"/>
        </w:rPr>
        <w:t>Pikaajalisel imatiniibravil võib olla seos neerufunktsiooni kliinliselt olulise langusega. Seetõttu tuleb enne imatiniibravi alustamist hinnata neerufunktsiooni ning seejärel ravi ajal hoolikalt jälgida, pöörates erilist tähelepanu patsientidele, kellel esinevad neerufunktsiooni häire riskifaktorid. Kui täheldatakse neerufunktsiooni häiret, tuleb seisundit käsitleda ja ravi määrata vastavalt standardsetele ravijuhistele.</w:t>
      </w:r>
    </w:p>
    <w:p w14:paraId="2E5BCF24" w14:textId="77777777" w:rsidR="005F4AEF" w:rsidRPr="00EC3BD7" w:rsidRDefault="005F4AEF" w:rsidP="00DB7CA6">
      <w:pPr>
        <w:pStyle w:val="TOC6"/>
        <w:rPr>
          <w:noProof w:val="0"/>
          <w:u w:val="none"/>
        </w:rPr>
      </w:pPr>
    </w:p>
    <w:p w14:paraId="13267285" w14:textId="77777777" w:rsidR="00337CE0" w:rsidRPr="00EC3BD7" w:rsidRDefault="00337CE0" w:rsidP="00B9089D">
      <w:pPr>
        <w:pStyle w:val="TOC6"/>
        <w:keepNext/>
        <w:rPr>
          <w:noProof w:val="0"/>
        </w:rPr>
      </w:pPr>
      <w:r w:rsidRPr="00EC3BD7">
        <w:rPr>
          <w:noProof w:val="0"/>
        </w:rPr>
        <w:t>Lapsed</w:t>
      </w:r>
    </w:p>
    <w:p w14:paraId="45041502" w14:textId="77777777" w:rsidR="00337CE0" w:rsidRPr="00EC3BD7" w:rsidRDefault="00337CE0" w:rsidP="00337CE0">
      <w:pPr>
        <w:pStyle w:val="EndnoteText"/>
        <w:widowControl w:val="0"/>
        <w:tabs>
          <w:tab w:val="clear" w:pos="567"/>
        </w:tabs>
        <w:rPr>
          <w:szCs w:val="22"/>
          <w:lang w:val="et-EE" w:bidi="kn-IN"/>
        </w:rPr>
      </w:pPr>
      <w:r w:rsidRPr="00EC3BD7">
        <w:rPr>
          <w:szCs w:val="22"/>
          <w:lang w:val="et-EE" w:bidi="kn-IN"/>
        </w:rPr>
        <w:t>Lastel ja puberteedieelsetel noorukitel, kes on saanud ravi imatiniibiga, on kirjeldatud kasvupeetuse esinemist.</w:t>
      </w:r>
      <w:r w:rsidR="00956269" w:rsidRPr="00EC3BD7">
        <w:rPr>
          <w:szCs w:val="22"/>
          <w:lang w:val="et-EE" w:bidi="kn-IN"/>
        </w:rPr>
        <w:t xml:space="preserve"> Kroonilise müeloidse leukeemiaga laste vaatlusuuringu käigus teatati pärast 12 ja 24 ravikuud kasvu mediaani standardhälbe </w:t>
      </w:r>
      <w:r w:rsidR="00C507C6" w:rsidRPr="00EC3BD7">
        <w:rPr>
          <w:szCs w:val="22"/>
          <w:lang w:val="et-EE" w:bidi="kn-IN"/>
        </w:rPr>
        <w:t>statistiliselt olulisest</w:t>
      </w:r>
      <w:r w:rsidR="00956269" w:rsidRPr="00EC3BD7">
        <w:rPr>
          <w:szCs w:val="22"/>
          <w:lang w:val="et-EE" w:bidi="kn-IN"/>
        </w:rPr>
        <w:t xml:space="preserve"> vähenemisest (</w:t>
      </w:r>
      <w:r w:rsidR="00C507C6" w:rsidRPr="00EC3BD7">
        <w:rPr>
          <w:szCs w:val="22"/>
          <w:lang w:val="et-EE" w:bidi="kn-IN"/>
        </w:rPr>
        <w:t xml:space="preserve">selle </w:t>
      </w:r>
      <w:r w:rsidR="00956269" w:rsidRPr="00EC3BD7">
        <w:rPr>
          <w:szCs w:val="22"/>
          <w:lang w:val="et-EE" w:bidi="kn-IN"/>
        </w:rPr>
        <w:t>kliinili</w:t>
      </w:r>
      <w:r w:rsidR="00C507C6" w:rsidRPr="00EC3BD7">
        <w:rPr>
          <w:szCs w:val="22"/>
          <w:lang w:val="et-EE" w:bidi="kn-IN"/>
        </w:rPr>
        <w:t>n</w:t>
      </w:r>
      <w:r w:rsidR="00956269" w:rsidRPr="00EC3BD7">
        <w:rPr>
          <w:szCs w:val="22"/>
          <w:lang w:val="et-EE" w:bidi="kn-IN"/>
        </w:rPr>
        <w:t xml:space="preserve">e </w:t>
      </w:r>
      <w:r w:rsidR="00C507C6" w:rsidRPr="00EC3BD7">
        <w:rPr>
          <w:szCs w:val="22"/>
          <w:lang w:val="et-EE" w:bidi="kn-IN"/>
        </w:rPr>
        <w:t>tähtsus on teadmata</w:t>
      </w:r>
      <w:r w:rsidR="00956269" w:rsidRPr="00EC3BD7">
        <w:rPr>
          <w:szCs w:val="22"/>
          <w:lang w:val="et-EE" w:bidi="kn-IN"/>
        </w:rPr>
        <w:t>)</w:t>
      </w:r>
      <w:r w:rsidRPr="00EC3BD7">
        <w:rPr>
          <w:szCs w:val="22"/>
          <w:lang w:val="et-EE" w:bidi="kn-IN"/>
        </w:rPr>
        <w:t xml:space="preserve"> </w:t>
      </w:r>
      <w:r w:rsidR="00956269" w:rsidRPr="00EC3BD7">
        <w:rPr>
          <w:szCs w:val="22"/>
          <w:lang w:val="et-EE" w:bidi="kn-IN"/>
        </w:rPr>
        <w:t>kahes väiksemas alarühmas sõltumata puberteedist või soost. I</w:t>
      </w:r>
      <w:r w:rsidRPr="00EC3BD7">
        <w:rPr>
          <w:szCs w:val="22"/>
          <w:lang w:val="et-EE" w:bidi="kn-IN"/>
        </w:rPr>
        <w:t xml:space="preserve">matiniibravi </w:t>
      </w:r>
      <w:r w:rsidR="0037161C" w:rsidRPr="00EC3BD7">
        <w:rPr>
          <w:szCs w:val="22"/>
          <w:lang w:val="et-EE" w:bidi="kn-IN"/>
        </w:rPr>
        <w:t>saavate laste</w:t>
      </w:r>
      <w:r w:rsidRPr="00EC3BD7">
        <w:rPr>
          <w:szCs w:val="22"/>
          <w:lang w:val="et-EE" w:bidi="kn-IN"/>
        </w:rPr>
        <w:t xml:space="preserve"> kasvu </w:t>
      </w:r>
      <w:r w:rsidR="00956269" w:rsidRPr="00EC3BD7">
        <w:rPr>
          <w:szCs w:val="22"/>
          <w:lang w:val="et-EE" w:bidi="kn-IN"/>
        </w:rPr>
        <w:t xml:space="preserve">soovitatakse </w:t>
      </w:r>
      <w:r w:rsidRPr="00EC3BD7">
        <w:rPr>
          <w:szCs w:val="22"/>
          <w:lang w:val="et-EE" w:bidi="kn-IN"/>
        </w:rPr>
        <w:t>tähelepane</w:t>
      </w:r>
      <w:r w:rsidR="0037161C" w:rsidRPr="00EC3BD7">
        <w:rPr>
          <w:szCs w:val="22"/>
          <w:lang w:val="et-EE" w:bidi="kn-IN"/>
        </w:rPr>
        <w:t>lik</w:t>
      </w:r>
      <w:r w:rsidRPr="00EC3BD7">
        <w:rPr>
          <w:szCs w:val="22"/>
          <w:lang w:val="et-EE" w:bidi="kn-IN"/>
        </w:rPr>
        <w:t>u</w:t>
      </w:r>
      <w:r w:rsidR="0037161C" w:rsidRPr="00EC3BD7">
        <w:rPr>
          <w:szCs w:val="22"/>
          <w:lang w:val="et-EE" w:bidi="kn-IN"/>
        </w:rPr>
        <w:t>lt jälgida</w:t>
      </w:r>
      <w:r w:rsidRPr="00EC3BD7">
        <w:rPr>
          <w:szCs w:val="22"/>
          <w:lang w:val="et-EE" w:bidi="kn-IN"/>
        </w:rPr>
        <w:t xml:space="preserve"> (vt lõik</w:t>
      </w:r>
      <w:r w:rsidR="00DB0BC8" w:rsidRPr="00EC3BD7">
        <w:rPr>
          <w:szCs w:val="22"/>
          <w:lang w:val="et-EE" w:bidi="kn-IN"/>
        </w:rPr>
        <w:t> </w:t>
      </w:r>
      <w:r w:rsidRPr="00EC3BD7">
        <w:rPr>
          <w:szCs w:val="22"/>
          <w:lang w:val="et-EE" w:bidi="kn-IN"/>
        </w:rPr>
        <w:t>4.8).</w:t>
      </w:r>
    </w:p>
    <w:p w14:paraId="48A6CC83" w14:textId="77777777" w:rsidR="00136210" w:rsidRPr="00EC3BD7" w:rsidRDefault="00136210">
      <w:pPr>
        <w:pStyle w:val="EndnoteText"/>
        <w:widowControl w:val="0"/>
        <w:tabs>
          <w:tab w:val="clear" w:pos="567"/>
        </w:tabs>
        <w:rPr>
          <w:color w:val="000000"/>
          <w:szCs w:val="22"/>
          <w:lang w:val="et-EE"/>
        </w:rPr>
      </w:pPr>
    </w:p>
    <w:p w14:paraId="42008ED0"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4.5</w:t>
      </w:r>
      <w:r w:rsidRPr="00EC3BD7">
        <w:rPr>
          <w:b/>
          <w:color w:val="000000"/>
          <w:szCs w:val="22"/>
          <w:lang w:val="et-EE"/>
        </w:rPr>
        <w:tab/>
        <w:t>Koostoimed teiste ravimitega ja muud koostoimed</w:t>
      </w:r>
    </w:p>
    <w:p w14:paraId="2A739782" w14:textId="77777777" w:rsidR="00136210" w:rsidRPr="00EC3BD7" w:rsidRDefault="00136210" w:rsidP="00B9089D">
      <w:pPr>
        <w:pStyle w:val="EndnoteText"/>
        <w:keepNext/>
        <w:widowControl w:val="0"/>
        <w:tabs>
          <w:tab w:val="clear" w:pos="567"/>
        </w:tabs>
        <w:rPr>
          <w:color w:val="000000"/>
          <w:szCs w:val="22"/>
          <w:lang w:val="et-EE"/>
        </w:rPr>
      </w:pPr>
    </w:p>
    <w:p w14:paraId="2F8816D1" w14:textId="77777777" w:rsidR="00136210" w:rsidRPr="00EC3BD7" w:rsidRDefault="00136210" w:rsidP="00B9089D">
      <w:pPr>
        <w:pStyle w:val="Text"/>
        <w:keepNext/>
        <w:widowControl w:val="0"/>
        <w:spacing w:before="0"/>
        <w:jc w:val="left"/>
        <w:rPr>
          <w:color w:val="000000"/>
          <w:sz w:val="22"/>
          <w:szCs w:val="22"/>
          <w:u w:val="single"/>
          <w:lang w:val="et-EE"/>
        </w:rPr>
      </w:pPr>
      <w:r w:rsidRPr="00EC3BD7">
        <w:rPr>
          <w:color w:val="000000"/>
          <w:sz w:val="22"/>
          <w:szCs w:val="22"/>
          <w:u w:val="single"/>
          <w:lang w:val="et-EE"/>
        </w:rPr>
        <w:t xml:space="preserve">Toimeained, mis võivad </w:t>
      </w:r>
      <w:r w:rsidRPr="00EC3BD7">
        <w:rPr>
          <w:b/>
          <w:color w:val="000000"/>
          <w:sz w:val="22"/>
          <w:szCs w:val="22"/>
          <w:u w:val="single"/>
          <w:lang w:val="et-EE"/>
        </w:rPr>
        <w:t>suurendada</w:t>
      </w:r>
      <w:r w:rsidRPr="00EC3BD7">
        <w:rPr>
          <w:color w:val="000000"/>
          <w:sz w:val="22"/>
          <w:szCs w:val="22"/>
          <w:u w:val="single"/>
          <w:lang w:val="et-EE"/>
        </w:rPr>
        <w:t xml:space="preserve"> imatiniibi plasmakontsentratsiooni:</w:t>
      </w:r>
    </w:p>
    <w:p w14:paraId="12E0196F" w14:textId="77777777" w:rsidR="00136210" w:rsidRPr="00EC3BD7" w:rsidRDefault="00136210">
      <w:pPr>
        <w:pStyle w:val="Text"/>
        <w:widowControl w:val="0"/>
        <w:spacing w:before="0"/>
        <w:jc w:val="left"/>
        <w:rPr>
          <w:color w:val="000000"/>
          <w:sz w:val="22"/>
          <w:szCs w:val="22"/>
          <w:lang w:val="et-EE"/>
        </w:rPr>
      </w:pPr>
      <w:r w:rsidRPr="00EC3BD7">
        <w:rPr>
          <w:color w:val="000000"/>
          <w:sz w:val="22"/>
          <w:szCs w:val="22"/>
          <w:lang w:val="et-EE"/>
        </w:rPr>
        <w:t xml:space="preserve">Ained, mis pärsivad tsütokroom P450 isoensüüm CYP3A4 aktiivsust (näiteks </w:t>
      </w:r>
      <w:r w:rsidR="00A94C7E" w:rsidRPr="00EC3BD7">
        <w:rPr>
          <w:color w:val="000000"/>
          <w:sz w:val="22"/>
          <w:szCs w:val="22"/>
          <w:lang w:val="et-EE"/>
        </w:rPr>
        <w:t xml:space="preserve">proteaasi inhibiitorid nagu indinaviir, lopinaviir/ritonaviir, ritonaviir, sakvinaviir, telapreviir, nelfinaviir, botsepreviir; seenevastased asoolid, sealhulgas </w:t>
      </w:r>
      <w:r w:rsidRPr="00EC3BD7">
        <w:rPr>
          <w:color w:val="000000"/>
          <w:sz w:val="22"/>
          <w:szCs w:val="22"/>
          <w:lang w:val="et-EE"/>
        </w:rPr>
        <w:t>ketokonasool, itrakonasool,</w:t>
      </w:r>
      <w:r w:rsidR="00A94C7E" w:rsidRPr="00EC3BD7">
        <w:rPr>
          <w:color w:val="000000"/>
          <w:sz w:val="22"/>
          <w:szCs w:val="22"/>
          <w:lang w:val="et-EE"/>
        </w:rPr>
        <w:t xml:space="preserve"> posakonasool, vorikonasool; teatud makroliidid, näiteks</w:t>
      </w:r>
      <w:r w:rsidRPr="00EC3BD7">
        <w:rPr>
          <w:color w:val="000000"/>
          <w:sz w:val="22"/>
          <w:szCs w:val="22"/>
          <w:lang w:val="et-EE"/>
        </w:rPr>
        <w:t xml:space="preserve"> erütromütsiin, klaritromütsiin</w:t>
      </w:r>
      <w:r w:rsidR="00A94C7E" w:rsidRPr="00EC3BD7">
        <w:rPr>
          <w:color w:val="000000"/>
          <w:sz w:val="22"/>
          <w:szCs w:val="22"/>
          <w:lang w:val="et-EE"/>
        </w:rPr>
        <w:t xml:space="preserve"> ja telitromütsiin</w:t>
      </w:r>
      <w:r w:rsidRPr="00EC3BD7">
        <w:rPr>
          <w:color w:val="000000"/>
          <w:sz w:val="22"/>
          <w:szCs w:val="22"/>
          <w:lang w:val="et-EE"/>
        </w:rPr>
        <w:t>) võivad vähendada metabolismi ja suurendada imatiniibi kontsentratsiooni. Tervetel uuritavatel suurenes imatiniibi</w:t>
      </w:r>
      <w:r w:rsidR="000D66A3" w:rsidRPr="00EC3BD7">
        <w:rPr>
          <w:color w:val="000000"/>
          <w:sz w:val="22"/>
          <w:szCs w:val="22"/>
          <w:lang w:val="et-EE"/>
        </w:rPr>
        <w:t xml:space="preserve"> plasmakontsentratsioon</w:t>
      </w:r>
      <w:r w:rsidRPr="00EC3BD7">
        <w:rPr>
          <w:color w:val="000000"/>
          <w:sz w:val="22"/>
          <w:szCs w:val="22"/>
          <w:lang w:val="et-EE"/>
        </w:rPr>
        <w:t xml:space="preserve"> oluliselt (imatiniibi keskmine C</w:t>
      </w:r>
      <w:r w:rsidRPr="00EC3BD7">
        <w:rPr>
          <w:color w:val="000000"/>
          <w:sz w:val="22"/>
          <w:szCs w:val="22"/>
          <w:vertAlign w:val="subscript"/>
          <w:lang w:val="et-EE"/>
        </w:rPr>
        <w:t>max</w:t>
      </w:r>
      <w:r w:rsidRPr="00EC3BD7">
        <w:rPr>
          <w:color w:val="000000"/>
          <w:sz w:val="22"/>
          <w:szCs w:val="22"/>
          <w:lang w:val="et-EE"/>
        </w:rPr>
        <w:t xml:space="preserve"> ja AUC suurenesid vastavalt 26% ja 40%), kui seda manustati samaaegselt ketokonasooli (CYP3A4 inhibiitor) ühekordse annusega. Gliveci manustamisel koos CYP3A4 inhibiitoritega tuleb olla ettevaatlik.</w:t>
      </w:r>
    </w:p>
    <w:p w14:paraId="3A3C7212" w14:textId="77777777" w:rsidR="00136210" w:rsidRPr="00EC3BD7" w:rsidRDefault="00136210">
      <w:pPr>
        <w:pStyle w:val="Text"/>
        <w:widowControl w:val="0"/>
        <w:spacing w:before="0"/>
        <w:jc w:val="left"/>
        <w:rPr>
          <w:color w:val="000000"/>
          <w:sz w:val="22"/>
          <w:szCs w:val="22"/>
          <w:lang w:val="et-EE"/>
        </w:rPr>
      </w:pPr>
    </w:p>
    <w:p w14:paraId="3BF0DF9A" w14:textId="77777777" w:rsidR="00136210" w:rsidRPr="00EC3BD7" w:rsidRDefault="00136210" w:rsidP="00B9089D">
      <w:pPr>
        <w:pStyle w:val="Text"/>
        <w:keepNext/>
        <w:widowControl w:val="0"/>
        <w:spacing w:before="0"/>
        <w:jc w:val="left"/>
        <w:rPr>
          <w:color w:val="000000"/>
          <w:sz w:val="22"/>
          <w:szCs w:val="22"/>
          <w:u w:val="single"/>
          <w:lang w:val="et-EE"/>
        </w:rPr>
      </w:pPr>
      <w:r w:rsidRPr="00EC3BD7">
        <w:rPr>
          <w:color w:val="000000"/>
          <w:sz w:val="22"/>
          <w:szCs w:val="22"/>
          <w:u w:val="single"/>
          <w:lang w:val="et-EE"/>
        </w:rPr>
        <w:lastRenderedPageBreak/>
        <w:t xml:space="preserve">Toimeained, mis võivad </w:t>
      </w:r>
      <w:r w:rsidRPr="00EC3BD7">
        <w:rPr>
          <w:b/>
          <w:color w:val="000000"/>
          <w:sz w:val="22"/>
          <w:szCs w:val="22"/>
          <w:u w:val="single"/>
          <w:lang w:val="et-EE"/>
        </w:rPr>
        <w:t>vähendada</w:t>
      </w:r>
      <w:r w:rsidRPr="00EC3BD7">
        <w:rPr>
          <w:color w:val="000000"/>
          <w:sz w:val="22"/>
          <w:szCs w:val="22"/>
          <w:u w:val="single"/>
          <w:lang w:val="et-EE"/>
        </w:rPr>
        <w:t xml:space="preserve"> imatiniibi plasmakontsentratsiooni:</w:t>
      </w:r>
    </w:p>
    <w:p w14:paraId="22BEE03A" w14:textId="1FE58E4F" w:rsidR="00136210" w:rsidRPr="00EC3BD7" w:rsidRDefault="00136210" w:rsidP="0087074D">
      <w:pPr>
        <w:rPr>
          <w:color w:val="000000"/>
          <w:szCs w:val="22"/>
          <w:lang w:val="et-EE"/>
        </w:rPr>
      </w:pPr>
      <w:r w:rsidRPr="00EC3BD7">
        <w:rPr>
          <w:color w:val="000000"/>
          <w:szCs w:val="22"/>
          <w:lang w:val="et-EE"/>
        </w:rPr>
        <w:t>Ained, mis indutseerivad CYP3A4 aktiivsust (näiteks deksametasoon, fenütoiin, karbamasepiin, rifampitsiin, fenobarbitaal või</w:t>
      </w:r>
      <w:r w:rsidR="00C209D6" w:rsidRPr="00EC3BD7">
        <w:rPr>
          <w:color w:val="000000"/>
          <w:szCs w:val="22"/>
          <w:lang w:val="et-EE"/>
        </w:rPr>
        <w:t xml:space="preserve"> fosfenütoiin, primidoon</w:t>
      </w:r>
      <w:r w:rsidR="00B3299B" w:rsidRPr="00EC3BD7">
        <w:rPr>
          <w:color w:val="000000"/>
          <w:szCs w:val="22"/>
          <w:lang w:val="et-EE"/>
        </w:rPr>
        <w:t>,</w:t>
      </w:r>
      <w:r w:rsidRPr="00EC3BD7">
        <w:rPr>
          <w:color w:val="000000"/>
          <w:szCs w:val="22"/>
          <w:lang w:val="et-EE"/>
        </w:rPr>
        <w:t xml:space="preserve"> </w:t>
      </w:r>
      <w:r w:rsidRPr="00EC3BD7">
        <w:rPr>
          <w:i/>
          <w:color w:val="000000"/>
          <w:szCs w:val="22"/>
          <w:lang w:val="et-EE"/>
        </w:rPr>
        <w:t>Hypericum perforatum</w:t>
      </w:r>
      <w:r w:rsidRPr="00EC3BD7">
        <w:rPr>
          <w:color w:val="000000"/>
          <w:szCs w:val="22"/>
          <w:lang w:val="et-EE"/>
        </w:rPr>
        <w:t>, tuntud ka kui naistepuna), võivad oluliselt vähendada Gliveci</w:t>
      </w:r>
      <w:r w:rsidR="000D66A3" w:rsidRPr="00EC3BD7">
        <w:rPr>
          <w:color w:val="000000"/>
          <w:szCs w:val="22"/>
          <w:lang w:val="et-EE"/>
        </w:rPr>
        <w:t xml:space="preserve"> plasmakontsentratsiooni</w:t>
      </w:r>
      <w:r w:rsidRPr="00EC3BD7">
        <w:rPr>
          <w:color w:val="000000"/>
          <w:szCs w:val="22"/>
          <w:lang w:val="et-EE"/>
        </w:rPr>
        <w:t>, millega kaasneb ravi ebaõnnestumise oht. Eelnev ravi rifampitsiini korduvate annustega 600 mg, millele järgnes ühekordne Gliveci annus 400 mg, andis tulemuseks C</w:t>
      </w:r>
      <w:r w:rsidRPr="00EC3BD7">
        <w:rPr>
          <w:color w:val="000000"/>
          <w:szCs w:val="22"/>
          <w:vertAlign w:val="subscript"/>
          <w:lang w:val="et-EE"/>
        </w:rPr>
        <w:t>max</w:t>
      </w:r>
      <w:r w:rsidRPr="00EC3BD7">
        <w:rPr>
          <w:color w:val="000000"/>
          <w:szCs w:val="22"/>
          <w:lang w:val="et-EE"/>
        </w:rPr>
        <w:t xml:space="preserve"> ja AUC</w:t>
      </w:r>
      <w:r w:rsidRPr="00EC3BD7">
        <w:rPr>
          <w:color w:val="000000"/>
          <w:szCs w:val="22"/>
          <w:vertAlign w:val="subscript"/>
          <w:lang w:val="et-EE"/>
        </w:rPr>
        <w:t>(0-∞)</w:t>
      </w:r>
      <w:r w:rsidRPr="00EC3BD7">
        <w:rPr>
          <w:color w:val="000000"/>
          <w:szCs w:val="22"/>
          <w:lang w:val="et-EE"/>
        </w:rPr>
        <w:t xml:space="preserve"> vähenemise vähemalt 54% ja 74% võrreldes vastavate väärtustega, kui rifampitsiini ei kasutatud</w:t>
      </w:r>
      <w:r w:rsidRPr="00EC3BD7">
        <w:rPr>
          <w:snapToGrid w:val="0"/>
          <w:color w:val="000000"/>
          <w:szCs w:val="22"/>
          <w:lang w:val="et-EE"/>
        </w:rPr>
        <w:t>.</w:t>
      </w:r>
      <w:r w:rsidR="0087074D" w:rsidRPr="00EC3BD7">
        <w:rPr>
          <w:snapToGrid w:val="0"/>
          <w:color w:val="000000"/>
          <w:szCs w:val="22"/>
          <w:lang w:val="et-EE"/>
        </w:rPr>
        <w:t xml:space="preserve"> </w:t>
      </w:r>
      <w:r w:rsidR="0087074D" w:rsidRPr="00EC3BD7">
        <w:rPr>
          <w:color w:val="000000"/>
          <w:szCs w:val="22"/>
          <w:lang w:val="et-EE"/>
        </w:rPr>
        <w:t>Sarnaseid tulemusi täheldati ka maliigse glioomiga</w:t>
      </w:r>
      <w:r w:rsidR="00F74161" w:rsidRPr="00EC3BD7">
        <w:rPr>
          <w:color w:val="000000"/>
          <w:szCs w:val="22"/>
          <w:lang w:val="et-EE"/>
        </w:rPr>
        <w:t xml:space="preserve"> patsientidel, keda raviti Glive</w:t>
      </w:r>
      <w:r w:rsidR="0087074D" w:rsidRPr="00EC3BD7">
        <w:rPr>
          <w:color w:val="000000"/>
          <w:szCs w:val="22"/>
          <w:lang w:val="et-EE"/>
        </w:rPr>
        <w:t xml:space="preserve">ciga ning kes samaaegselt kasutasid ensüüme indutseerivaid antiepileptilisi ravimeid (EIAER), nagu näiteks karbamasepiin, </w:t>
      </w:r>
      <w:r w:rsidR="00556CBF" w:rsidRPr="00EC3BD7">
        <w:rPr>
          <w:color w:val="000000"/>
          <w:szCs w:val="22"/>
          <w:lang w:val="et-EE"/>
        </w:rPr>
        <w:t>okskarbasepiin</w:t>
      </w:r>
      <w:r w:rsidR="0087074D" w:rsidRPr="00EC3BD7">
        <w:rPr>
          <w:color w:val="000000"/>
          <w:szCs w:val="22"/>
          <w:lang w:val="et-EE"/>
        </w:rPr>
        <w:t xml:space="preserve"> ja fenütoiin. Imatiniibi plasma AUC vähenes 73% võrreldes patsientidega, kes ei saanud EIAER</w:t>
      </w:r>
      <w:r w:rsidR="00D21C49">
        <w:rPr>
          <w:color w:val="000000"/>
          <w:szCs w:val="22"/>
          <w:lang w:val="et-EE"/>
        </w:rPr>
        <w:t>-e</w:t>
      </w:r>
      <w:r w:rsidR="00C209D6" w:rsidRPr="00EC3BD7">
        <w:rPr>
          <w:color w:val="000000"/>
          <w:szCs w:val="22"/>
          <w:lang w:val="et-EE"/>
        </w:rPr>
        <w:t>.</w:t>
      </w:r>
      <w:r w:rsidR="0087074D" w:rsidRPr="00EC3BD7">
        <w:rPr>
          <w:color w:val="000000"/>
          <w:szCs w:val="22"/>
          <w:lang w:val="et-EE"/>
        </w:rPr>
        <w:t xml:space="preserve"> </w:t>
      </w:r>
      <w:r w:rsidRPr="00EC3BD7">
        <w:rPr>
          <w:color w:val="000000"/>
          <w:szCs w:val="22"/>
          <w:lang w:val="et-EE"/>
        </w:rPr>
        <w:t>Rifampitsiini või teiste tugevate CYP3A4 indutseerijate ja imatiniibi samaaegset kasutamist tuleb vältida.</w:t>
      </w:r>
    </w:p>
    <w:p w14:paraId="0FACDD47" w14:textId="77777777" w:rsidR="00136210" w:rsidRPr="00EC3BD7" w:rsidRDefault="00136210">
      <w:pPr>
        <w:pStyle w:val="Text"/>
        <w:widowControl w:val="0"/>
        <w:spacing w:before="0"/>
        <w:jc w:val="left"/>
        <w:rPr>
          <w:color w:val="000000"/>
          <w:sz w:val="22"/>
          <w:szCs w:val="22"/>
          <w:lang w:val="et-EE"/>
        </w:rPr>
      </w:pPr>
    </w:p>
    <w:p w14:paraId="75B195DA" w14:textId="77777777" w:rsidR="00136210" w:rsidRPr="00EC3BD7" w:rsidRDefault="00136210" w:rsidP="00B9089D">
      <w:pPr>
        <w:pStyle w:val="Text"/>
        <w:keepNext/>
        <w:widowControl w:val="0"/>
        <w:spacing w:before="0"/>
        <w:jc w:val="left"/>
        <w:rPr>
          <w:b/>
          <w:color w:val="000000"/>
          <w:sz w:val="22"/>
          <w:szCs w:val="22"/>
          <w:lang w:val="et-EE"/>
        </w:rPr>
      </w:pPr>
      <w:r w:rsidRPr="00EC3BD7">
        <w:rPr>
          <w:b/>
          <w:color w:val="000000"/>
          <w:sz w:val="22"/>
          <w:szCs w:val="22"/>
          <w:lang w:val="et-EE"/>
        </w:rPr>
        <w:t>Toimeained, mille plasmakontsentratsiooni võib mõjutada Glivec</w:t>
      </w:r>
    </w:p>
    <w:p w14:paraId="38CEBAB7" w14:textId="77777777" w:rsidR="00136210" w:rsidRPr="00EC3BD7" w:rsidRDefault="00136210">
      <w:pPr>
        <w:pStyle w:val="Text"/>
        <w:widowControl w:val="0"/>
        <w:spacing w:before="0"/>
        <w:jc w:val="left"/>
        <w:rPr>
          <w:color w:val="000000"/>
          <w:sz w:val="22"/>
          <w:szCs w:val="22"/>
          <w:lang w:val="et-EE"/>
        </w:rPr>
      </w:pPr>
      <w:r w:rsidRPr="00EC3BD7">
        <w:rPr>
          <w:color w:val="000000"/>
          <w:sz w:val="22"/>
          <w:szCs w:val="22"/>
          <w:lang w:val="et-EE"/>
        </w:rPr>
        <w:t>Imatiniib suurendab simvastatiini (CYP3A4 substraat) keskmist C</w:t>
      </w:r>
      <w:r w:rsidRPr="00EC3BD7">
        <w:rPr>
          <w:color w:val="000000"/>
          <w:sz w:val="22"/>
          <w:szCs w:val="22"/>
          <w:vertAlign w:val="subscript"/>
          <w:lang w:val="et-EE"/>
        </w:rPr>
        <w:t>max</w:t>
      </w:r>
      <w:r w:rsidRPr="00EC3BD7">
        <w:rPr>
          <w:color w:val="000000"/>
          <w:sz w:val="22"/>
          <w:szCs w:val="22"/>
          <w:lang w:val="et-EE"/>
        </w:rPr>
        <w:t xml:space="preserve"> ja AUC vastavalt 2 ja 3,5 korda, mis annab tunnistust CYP3A4 pärssimisest imatiniibi poolt. Seetõttu soovitatakse olla ettevaatlik Gliveci kasutamisel koos kitsa terapeutilise vahemikuga CYP3A4 substraatidega (näiteks tsüklosporiin</w:t>
      </w:r>
      <w:r w:rsidR="004924B8" w:rsidRPr="00EC3BD7">
        <w:rPr>
          <w:color w:val="000000"/>
          <w:sz w:val="22"/>
          <w:szCs w:val="22"/>
          <w:lang w:val="et-EE"/>
        </w:rPr>
        <w:t>,</w:t>
      </w:r>
      <w:r w:rsidRPr="00EC3BD7">
        <w:rPr>
          <w:color w:val="000000"/>
          <w:sz w:val="22"/>
          <w:szCs w:val="22"/>
          <w:lang w:val="et-EE"/>
        </w:rPr>
        <w:t xml:space="preserve"> pimosiid</w:t>
      </w:r>
      <w:r w:rsidR="004924B8" w:rsidRPr="00EC3BD7">
        <w:rPr>
          <w:color w:val="000000"/>
          <w:sz w:val="22"/>
          <w:szCs w:val="22"/>
          <w:lang w:val="et-EE"/>
        </w:rPr>
        <w:t>, takroliimus, siroliimus, ergotamiin, diergotamiin, fentanüül, alfentaniil,</w:t>
      </w:r>
      <w:r w:rsidR="00003EF4" w:rsidRPr="00EC3BD7">
        <w:rPr>
          <w:color w:val="000000"/>
          <w:sz w:val="22"/>
          <w:szCs w:val="22"/>
          <w:lang w:val="et-EE"/>
        </w:rPr>
        <w:t xml:space="preserve"> </w:t>
      </w:r>
      <w:r w:rsidR="004924B8" w:rsidRPr="00EC3BD7">
        <w:rPr>
          <w:color w:val="000000"/>
          <w:sz w:val="22"/>
          <w:szCs w:val="22"/>
          <w:lang w:val="et-EE"/>
        </w:rPr>
        <w:t>terfenadiin, bortesomiib, dotsetakseel ja kinidiin</w:t>
      </w:r>
      <w:r w:rsidRPr="00EC3BD7">
        <w:rPr>
          <w:color w:val="000000"/>
          <w:sz w:val="22"/>
          <w:szCs w:val="22"/>
          <w:lang w:val="et-EE"/>
        </w:rPr>
        <w:t xml:space="preserve">). Glivec võib suurendada teiste CYP3A4 vahendusel metaboliseeruvate ravimite plasmakontsentratsiooni (näiteks triasolobensodiasepiinid, dihüdropüridiinsed kaltsiumikanalite blokaatorid, teatud </w:t>
      </w:r>
      <w:smartTag w:uri="urn:schemas-microsoft-com:office:smarttags" w:element="stockticker">
        <w:r w:rsidRPr="00EC3BD7">
          <w:rPr>
            <w:color w:val="000000"/>
            <w:sz w:val="22"/>
            <w:szCs w:val="22"/>
            <w:lang w:val="et-EE"/>
          </w:rPr>
          <w:t>HMG</w:t>
        </w:r>
      </w:smartTag>
      <w:r w:rsidRPr="00EC3BD7">
        <w:rPr>
          <w:color w:val="000000"/>
          <w:sz w:val="22"/>
          <w:szCs w:val="22"/>
          <w:lang w:val="et-EE"/>
        </w:rPr>
        <w:t>-CoA reduktaasi inhibiitorid nagu statiinid jne).</w:t>
      </w:r>
    </w:p>
    <w:p w14:paraId="6DDDD552" w14:textId="77777777" w:rsidR="00136210" w:rsidRPr="00EC3BD7" w:rsidRDefault="00136210">
      <w:pPr>
        <w:pStyle w:val="Text"/>
        <w:widowControl w:val="0"/>
        <w:spacing w:before="0"/>
        <w:jc w:val="left"/>
        <w:rPr>
          <w:color w:val="000000"/>
          <w:sz w:val="22"/>
          <w:szCs w:val="22"/>
          <w:lang w:val="et-EE"/>
        </w:rPr>
      </w:pPr>
    </w:p>
    <w:p w14:paraId="724D98A2" w14:textId="77777777" w:rsidR="00136210" w:rsidRPr="00EC3BD7" w:rsidRDefault="004924B8">
      <w:pPr>
        <w:pStyle w:val="Text"/>
        <w:widowControl w:val="0"/>
        <w:spacing w:before="0"/>
        <w:jc w:val="left"/>
        <w:rPr>
          <w:color w:val="000000"/>
          <w:sz w:val="22"/>
          <w:szCs w:val="22"/>
          <w:lang w:val="et-EE"/>
        </w:rPr>
      </w:pPr>
      <w:r w:rsidRPr="00EC3BD7">
        <w:rPr>
          <w:color w:val="000000"/>
          <w:sz w:val="22"/>
          <w:szCs w:val="22"/>
          <w:lang w:val="et-EE"/>
        </w:rPr>
        <w:t xml:space="preserve">Kuna imatiniibi samaaegsel kasutamisel on teada suurenenud verejooksu risk (nt hemorraagia), </w:t>
      </w:r>
      <w:r w:rsidR="00136210" w:rsidRPr="00EC3BD7">
        <w:rPr>
          <w:color w:val="000000"/>
          <w:sz w:val="22"/>
          <w:szCs w:val="22"/>
          <w:lang w:val="et-EE"/>
        </w:rPr>
        <w:t xml:space="preserve">tuleb antikoagulantravi vajadusel patsientidele manustada </w:t>
      </w:r>
      <w:r w:rsidR="00B863C9" w:rsidRPr="00EC3BD7">
        <w:rPr>
          <w:color w:val="000000"/>
          <w:sz w:val="22"/>
          <w:szCs w:val="22"/>
          <w:lang w:val="et-EE"/>
        </w:rPr>
        <w:t xml:space="preserve">kumariini derivaatide, näiteks varfariini asemel </w:t>
      </w:r>
      <w:r w:rsidR="00136210" w:rsidRPr="00EC3BD7">
        <w:rPr>
          <w:color w:val="000000"/>
          <w:sz w:val="22"/>
          <w:szCs w:val="22"/>
          <w:lang w:val="et-EE"/>
        </w:rPr>
        <w:t>madalmolekulaarset või tavalist hepariini.</w:t>
      </w:r>
    </w:p>
    <w:p w14:paraId="25E563C8" w14:textId="77777777" w:rsidR="00136210" w:rsidRPr="00EC3BD7" w:rsidRDefault="00136210">
      <w:pPr>
        <w:pStyle w:val="Text"/>
        <w:widowControl w:val="0"/>
        <w:spacing w:before="0"/>
        <w:jc w:val="left"/>
        <w:rPr>
          <w:color w:val="000000"/>
          <w:sz w:val="22"/>
          <w:szCs w:val="22"/>
          <w:lang w:val="et-EE"/>
        </w:rPr>
      </w:pPr>
    </w:p>
    <w:p w14:paraId="6C31BCE8" w14:textId="77777777" w:rsidR="00FE5C2B" w:rsidRPr="00EC3BD7" w:rsidRDefault="00136210" w:rsidP="00FE5C2B">
      <w:pPr>
        <w:rPr>
          <w:color w:val="000000"/>
          <w:szCs w:val="22"/>
          <w:lang w:val="et-EE"/>
        </w:rPr>
      </w:pPr>
      <w:r w:rsidRPr="00EC3BD7">
        <w:rPr>
          <w:i/>
          <w:color w:val="000000"/>
          <w:szCs w:val="22"/>
          <w:lang w:val="et-EE"/>
        </w:rPr>
        <w:t>In vitro</w:t>
      </w:r>
      <w:r w:rsidRPr="00EC3BD7">
        <w:rPr>
          <w:color w:val="000000"/>
          <w:szCs w:val="22"/>
          <w:lang w:val="et-EE"/>
        </w:rPr>
        <w:t xml:space="preserve"> pärsib Glivec tsütokroom P450 isoensüümi CYP2D6 aktiivsust kontsentratsioonides, mis on sarnased CYP3A4 aktiivsust mõjutavatele kontsentratsioonidele. </w:t>
      </w:r>
      <w:r w:rsidR="00B35800" w:rsidRPr="00EC3BD7">
        <w:rPr>
          <w:color w:val="000000"/>
          <w:szCs w:val="22"/>
          <w:lang w:val="et-EE"/>
        </w:rPr>
        <w:t>A</w:t>
      </w:r>
      <w:r w:rsidR="00C209D6" w:rsidRPr="00EC3BD7">
        <w:rPr>
          <w:color w:val="000000"/>
          <w:szCs w:val="22"/>
          <w:lang w:val="et-EE"/>
        </w:rPr>
        <w:t xml:space="preserve">nnuses 400 mg kaks korda päevas oli </w:t>
      </w:r>
      <w:r w:rsidR="00B35800" w:rsidRPr="00EC3BD7">
        <w:rPr>
          <w:color w:val="000000"/>
          <w:szCs w:val="22"/>
          <w:lang w:val="et-EE"/>
        </w:rPr>
        <w:t xml:space="preserve">imatiniibil </w:t>
      </w:r>
      <w:r w:rsidR="00C209D6" w:rsidRPr="00EC3BD7">
        <w:rPr>
          <w:color w:val="000000"/>
          <w:szCs w:val="22"/>
          <w:lang w:val="et-EE"/>
        </w:rPr>
        <w:t>inhibeeriv toime CYP2D6-vahendatud metoprolooli metabolismile, metoprolooli C</w:t>
      </w:r>
      <w:r w:rsidR="00C209D6" w:rsidRPr="00EC3BD7">
        <w:rPr>
          <w:color w:val="000000"/>
          <w:szCs w:val="22"/>
          <w:vertAlign w:val="subscript"/>
          <w:lang w:val="et-EE"/>
        </w:rPr>
        <w:t>max</w:t>
      </w:r>
      <w:r w:rsidR="00C209D6" w:rsidRPr="00EC3BD7">
        <w:rPr>
          <w:color w:val="000000"/>
          <w:szCs w:val="22"/>
          <w:lang w:val="et-EE"/>
        </w:rPr>
        <w:t xml:space="preserve"> ja AUC suurenesid ligikaudu 23% (90%CI [1.16</w:t>
      </w:r>
      <w:r w:rsidR="00DB0BC8" w:rsidRPr="00EC3BD7">
        <w:rPr>
          <w:color w:val="000000"/>
          <w:szCs w:val="22"/>
          <w:lang w:val="et-EE"/>
        </w:rPr>
        <w:t>...</w:t>
      </w:r>
      <w:r w:rsidR="00C209D6" w:rsidRPr="00EC3BD7">
        <w:rPr>
          <w:color w:val="000000"/>
          <w:szCs w:val="22"/>
          <w:lang w:val="et-EE"/>
        </w:rPr>
        <w:t>1.30]). Imatiniib</w:t>
      </w:r>
      <w:r w:rsidR="00B35800" w:rsidRPr="00EC3BD7">
        <w:rPr>
          <w:color w:val="000000"/>
          <w:szCs w:val="22"/>
          <w:lang w:val="et-EE"/>
        </w:rPr>
        <w:t>i</w:t>
      </w:r>
      <w:r w:rsidR="00C209D6" w:rsidRPr="00EC3BD7">
        <w:rPr>
          <w:color w:val="000000"/>
          <w:szCs w:val="22"/>
          <w:lang w:val="et-EE"/>
        </w:rPr>
        <w:t xml:space="preserve"> koosmanustamisel CYP2D6 substraatidega ei ole annuse kohaldamine vajalik</w:t>
      </w:r>
      <w:r w:rsidR="00B25333" w:rsidRPr="00EC3BD7">
        <w:rPr>
          <w:color w:val="000000"/>
          <w:szCs w:val="22"/>
          <w:lang w:val="et-EE"/>
        </w:rPr>
        <w:t>;</w:t>
      </w:r>
      <w:r w:rsidR="00C209D6" w:rsidRPr="00EC3BD7">
        <w:rPr>
          <w:color w:val="000000"/>
          <w:szCs w:val="22"/>
          <w:lang w:val="et-EE"/>
        </w:rPr>
        <w:t xml:space="preserve"> siiski </w:t>
      </w:r>
      <w:r w:rsidR="00B25333" w:rsidRPr="00EC3BD7">
        <w:rPr>
          <w:color w:val="000000"/>
          <w:szCs w:val="22"/>
          <w:lang w:val="et-EE"/>
        </w:rPr>
        <w:t>peab olema ettevaatlik</w:t>
      </w:r>
      <w:r w:rsidR="00C209D6" w:rsidRPr="00EC3BD7">
        <w:rPr>
          <w:color w:val="000000"/>
          <w:szCs w:val="22"/>
          <w:lang w:val="et-EE"/>
        </w:rPr>
        <w:t xml:space="preserve"> kui CYP2D6 substraatidel on samasugune terapeutiline </w:t>
      </w:r>
      <w:r w:rsidR="00B25333" w:rsidRPr="00EC3BD7">
        <w:rPr>
          <w:color w:val="000000"/>
          <w:szCs w:val="22"/>
          <w:lang w:val="et-EE"/>
        </w:rPr>
        <w:t>laius</w:t>
      </w:r>
      <w:r w:rsidR="00C209D6" w:rsidRPr="00EC3BD7">
        <w:rPr>
          <w:color w:val="000000"/>
          <w:szCs w:val="22"/>
          <w:lang w:val="et-EE"/>
        </w:rPr>
        <w:t xml:space="preserve"> kui metoproloolil. Metoprolool-ravi saavaid patsiente tuleks kliiniliselt jälgida.</w:t>
      </w:r>
    </w:p>
    <w:p w14:paraId="4B28F489" w14:textId="77777777" w:rsidR="00FE5C2B" w:rsidRPr="00EC3BD7" w:rsidRDefault="00FE5C2B" w:rsidP="00FE5C2B">
      <w:pPr>
        <w:pStyle w:val="Text"/>
        <w:widowControl w:val="0"/>
        <w:spacing w:before="0"/>
        <w:jc w:val="left"/>
        <w:rPr>
          <w:color w:val="000000"/>
          <w:sz w:val="22"/>
          <w:szCs w:val="22"/>
          <w:lang w:val="et-EE"/>
        </w:rPr>
      </w:pPr>
    </w:p>
    <w:p w14:paraId="7D3A071B" w14:textId="77777777" w:rsidR="00FE5C2B" w:rsidRPr="00EC3BD7" w:rsidRDefault="00FE5C2B" w:rsidP="00FE5C2B">
      <w:pPr>
        <w:pStyle w:val="Text"/>
        <w:widowControl w:val="0"/>
        <w:spacing w:before="0"/>
        <w:jc w:val="left"/>
        <w:rPr>
          <w:color w:val="000000"/>
          <w:sz w:val="22"/>
          <w:szCs w:val="22"/>
          <w:lang w:val="et-EE"/>
        </w:rPr>
      </w:pPr>
      <w:r w:rsidRPr="00EC3BD7">
        <w:rPr>
          <w:color w:val="000000"/>
          <w:sz w:val="22"/>
          <w:szCs w:val="22"/>
          <w:lang w:val="et-EE"/>
        </w:rPr>
        <w:t xml:space="preserve">Glivec inhibeerib </w:t>
      </w:r>
      <w:r w:rsidRPr="00EC3BD7">
        <w:rPr>
          <w:i/>
          <w:color w:val="000000"/>
          <w:sz w:val="22"/>
          <w:szCs w:val="22"/>
          <w:lang w:val="et-EE"/>
        </w:rPr>
        <w:t>in vitro</w:t>
      </w:r>
      <w:r w:rsidRPr="00EC3BD7">
        <w:rPr>
          <w:color w:val="000000"/>
          <w:sz w:val="22"/>
          <w:szCs w:val="22"/>
          <w:lang w:val="et-EE"/>
        </w:rPr>
        <w:t xml:space="preserve"> paratsetamooli O-glükuronisatsiooni Ki väärtus</w:t>
      </w:r>
      <w:r w:rsidR="002F017A" w:rsidRPr="00EC3BD7">
        <w:rPr>
          <w:color w:val="000000"/>
          <w:sz w:val="22"/>
          <w:szCs w:val="22"/>
          <w:lang w:val="et-EE"/>
        </w:rPr>
        <w:t>ega</w:t>
      </w:r>
      <w:r w:rsidRPr="00EC3BD7">
        <w:rPr>
          <w:color w:val="000000"/>
          <w:sz w:val="22"/>
          <w:szCs w:val="22"/>
          <w:lang w:val="et-EE"/>
        </w:rPr>
        <w:t xml:space="preserve"> 58,5 mikromooli/l.</w:t>
      </w:r>
      <w:r w:rsidR="00DB4CF0" w:rsidRPr="00EC3BD7">
        <w:rPr>
          <w:color w:val="000000"/>
          <w:sz w:val="22"/>
          <w:szCs w:val="22"/>
          <w:lang w:val="et-EE"/>
        </w:rPr>
        <w:t xml:space="preserve"> </w:t>
      </w:r>
      <w:r w:rsidR="00865560" w:rsidRPr="00EC3BD7">
        <w:rPr>
          <w:color w:val="000000"/>
          <w:sz w:val="22"/>
          <w:szCs w:val="22"/>
          <w:lang w:val="et-EE"/>
        </w:rPr>
        <w:t>Glivec 400 mg ja paratsetamool 1000 mg manustamise järgselt ei ole inhibitsiooni</w:t>
      </w:r>
      <w:r w:rsidR="008945B8" w:rsidRPr="00EC3BD7">
        <w:rPr>
          <w:color w:val="000000"/>
          <w:sz w:val="22"/>
          <w:szCs w:val="22"/>
          <w:lang w:val="et-EE"/>
        </w:rPr>
        <w:t xml:space="preserve"> </w:t>
      </w:r>
      <w:r w:rsidR="00865560" w:rsidRPr="00EC3BD7">
        <w:rPr>
          <w:i/>
          <w:iCs/>
          <w:color w:val="000000"/>
          <w:sz w:val="22"/>
          <w:szCs w:val="22"/>
          <w:lang w:val="et-EE"/>
        </w:rPr>
        <w:t>in vivo</w:t>
      </w:r>
      <w:r w:rsidR="00865560" w:rsidRPr="00EC3BD7">
        <w:rPr>
          <w:color w:val="000000"/>
          <w:sz w:val="22"/>
          <w:szCs w:val="22"/>
          <w:lang w:val="et-EE"/>
        </w:rPr>
        <w:t xml:space="preserve"> </w:t>
      </w:r>
      <w:r w:rsidR="008945B8" w:rsidRPr="00EC3BD7">
        <w:rPr>
          <w:color w:val="000000"/>
          <w:sz w:val="22"/>
          <w:szCs w:val="22"/>
          <w:lang w:val="et-EE"/>
        </w:rPr>
        <w:t>uuritud</w:t>
      </w:r>
      <w:r w:rsidR="00865560" w:rsidRPr="00EC3BD7">
        <w:rPr>
          <w:i/>
          <w:iCs/>
          <w:color w:val="000000"/>
          <w:sz w:val="22"/>
          <w:szCs w:val="22"/>
          <w:lang w:val="et-EE"/>
        </w:rPr>
        <w:t>.</w:t>
      </w:r>
      <w:r w:rsidR="004C1100" w:rsidRPr="00EC3BD7">
        <w:rPr>
          <w:i/>
          <w:iCs/>
          <w:color w:val="000000"/>
          <w:sz w:val="22"/>
          <w:szCs w:val="22"/>
          <w:lang w:val="et-EE"/>
        </w:rPr>
        <w:t xml:space="preserve"> </w:t>
      </w:r>
      <w:r w:rsidR="004C1100" w:rsidRPr="00EC3BD7">
        <w:rPr>
          <w:iCs/>
          <w:color w:val="000000"/>
          <w:sz w:val="22"/>
          <w:szCs w:val="22"/>
          <w:lang w:val="et-EE"/>
        </w:rPr>
        <w:t>Gliveci ja</w:t>
      </w:r>
      <w:r w:rsidR="004C1100" w:rsidRPr="00EC3BD7">
        <w:rPr>
          <w:i/>
          <w:iCs/>
          <w:color w:val="000000"/>
          <w:sz w:val="22"/>
          <w:szCs w:val="22"/>
          <w:lang w:val="et-EE"/>
        </w:rPr>
        <w:t xml:space="preserve"> </w:t>
      </w:r>
      <w:r w:rsidR="004C1100" w:rsidRPr="00EC3BD7">
        <w:rPr>
          <w:iCs/>
          <w:color w:val="000000"/>
          <w:sz w:val="22"/>
          <w:szCs w:val="22"/>
          <w:lang w:val="et-EE"/>
        </w:rPr>
        <w:t>paratsetamooli kõrgemaid annuseid ei ole uuritud.</w:t>
      </w:r>
    </w:p>
    <w:p w14:paraId="362F80C2" w14:textId="77777777" w:rsidR="00FE5C2B" w:rsidRPr="00EC3BD7" w:rsidRDefault="00FE5C2B" w:rsidP="00FE5C2B">
      <w:pPr>
        <w:pStyle w:val="Text"/>
        <w:widowControl w:val="0"/>
        <w:spacing w:before="0"/>
        <w:jc w:val="left"/>
        <w:rPr>
          <w:color w:val="000000"/>
          <w:sz w:val="22"/>
          <w:szCs w:val="22"/>
          <w:lang w:val="et-EE"/>
        </w:rPr>
      </w:pPr>
    </w:p>
    <w:p w14:paraId="576B6652" w14:textId="77777777" w:rsidR="00FE5C2B" w:rsidRPr="00EC3BD7" w:rsidRDefault="00FE5C2B" w:rsidP="00FE5C2B">
      <w:pPr>
        <w:pStyle w:val="Text"/>
        <w:widowControl w:val="0"/>
        <w:spacing w:before="0"/>
        <w:jc w:val="left"/>
        <w:rPr>
          <w:color w:val="000000"/>
          <w:sz w:val="22"/>
          <w:szCs w:val="22"/>
          <w:lang w:val="et-EE"/>
        </w:rPr>
      </w:pPr>
      <w:r w:rsidRPr="00EC3BD7">
        <w:rPr>
          <w:color w:val="000000"/>
          <w:sz w:val="22"/>
          <w:szCs w:val="22"/>
          <w:lang w:val="et-EE"/>
        </w:rPr>
        <w:t xml:space="preserve">Seetõttu tuleb olla ettevaatlik </w:t>
      </w:r>
      <w:r w:rsidR="006806E9" w:rsidRPr="00EC3BD7">
        <w:rPr>
          <w:color w:val="000000"/>
          <w:sz w:val="22"/>
          <w:szCs w:val="22"/>
          <w:lang w:val="et-EE"/>
        </w:rPr>
        <w:t xml:space="preserve">suurte annustega </w:t>
      </w:r>
      <w:r w:rsidRPr="00EC3BD7">
        <w:rPr>
          <w:color w:val="000000"/>
          <w:sz w:val="22"/>
          <w:szCs w:val="22"/>
          <w:lang w:val="et-EE"/>
        </w:rPr>
        <w:t xml:space="preserve">paratsetamooli </w:t>
      </w:r>
      <w:r w:rsidR="006806E9" w:rsidRPr="00EC3BD7">
        <w:rPr>
          <w:color w:val="000000"/>
          <w:sz w:val="22"/>
          <w:szCs w:val="22"/>
          <w:lang w:val="et-EE"/>
        </w:rPr>
        <w:t>ja</w:t>
      </w:r>
      <w:r w:rsidRPr="00EC3BD7">
        <w:rPr>
          <w:color w:val="000000"/>
          <w:sz w:val="22"/>
          <w:szCs w:val="22"/>
          <w:lang w:val="et-EE"/>
        </w:rPr>
        <w:t xml:space="preserve"> Gliveci</w:t>
      </w:r>
      <w:r w:rsidR="006806E9" w:rsidRPr="00EC3BD7">
        <w:rPr>
          <w:color w:val="000000"/>
          <w:sz w:val="22"/>
          <w:szCs w:val="22"/>
          <w:lang w:val="et-EE"/>
        </w:rPr>
        <w:t xml:space="preserve"> koos kasutamisel</w:t>
      </w:r>
      <w:r w:rsidRPr="00EC3BD7">
        <w:rPr>
          <w:color w:val="000000"/>
          <w:sz w:val="22"/>
          <w:szCs w:val="22"/>
          <w:lang w:val="et-EE"/>
        </w:rPr>
        <w:t>.</w:t>
      </w:r>
    </w:p>
    <w:p w14:paraId="4E413B71" w14:textId="77777777" w:rsidR="00FE5C2B" w:rsidRPr="00EC3BD7" w:rsidRDefault="00FE5C2B" w:rsidP="00FE5C2B">
      <w:pPr>
        <w:pStyle w:val="Text"/>
        <w:widowControl w:val="0"/>
        <w:spacing w:before="0"/>
        <w:jc w:val="left"/>
        <w:rPr>
          <w:color w:val="000000"/>
          <w:sz w:val="22"/>
          <w:szCs w:val="22"/>
          <w:lang w:val="et-EE"/>
        </w:rPr>
      </w:pPr>
    </w:p>
    <w:p w14:paraId="37924E38" w14:textId="77777777" w:rsidR="00136210" w:rsidRPr="00EC3BD7" w:rsidRDefault="00FE5C2B" w:rsidP="00FE5C2B">
      <w:pPr>
        <w:rPr>
          <w:color w:val="000000"/>
          <w:szCs w:val="22"/>
          <w:lang w:val="et-EE"/>
        </w:rPr>
      </w:pPr>
      <w:r w:rsidRPr="00EC3BD7">
        <w:rPr>
          <w:color w:val="000000"/>
          <w:szCs w:val="22"/>
          <w:lang w:val="et-EE"/>
        </w:rPr>
        <w:t xml:space="preserve">Türeoidektoomia </w:t>
      </w:r>
      <w:r w:rsidR="00136210" w:rsidRPr="00EC3BD7">
        <w:rPr>
          <w:color w:val="000000"/>
          <w:szCs w:val="22"/>
          <w:lang w:val="et-EE"/>
        </w:rPr>
        <w:t xml:space="preserve">läbinud patsientidel, kes saavavad ravi levotüroksiiniga, võib samaaegsel Gliveci kasutamisel levotüroksiini </w:t>
      </w:r>
      <w:r w:rsidR="000B2E8D" w:rsidRPr="00EC3BD7">
        <w:rPr>
          <w:color w:val="000000"/>
          <w:szCs w:val="22"/>
          <w:lang w:val="et-EE"/>
        </w:rPr>
        <w:t>plasmakontsentratsioon</w:t>
      </w:r>
      <w:r w:rsidR="000D66A3" w:rsidRPr="00EC3BD7" w:rsidDel="000D66A3">
        <w:rPr>
          <w:color w:val="000000"/>
          <w:szCs w:val="22"/>
          <w:lang w:val="et-EE"/>
        </w:rPr>
        <w:t xml:space="preserve"> </w:t>
      </w:r>
      <w:r w:rsidR="00136210" w:rsidRPr="00EC3BD7">
        <w:rPr>
          <w:color w:val="000000"/>
          <w:szCs w:val="22"/>
          <w:lang w:val="et-EE"/>
        </w:rPr>
        <w:t>väheneda (vt lõik</w:t>
      </w:r>
      <w:r w:rsidR="00DB0BC8" w:rsidRPr="00EC3BD7">
        <w:rPr>
          <w:color w:val="000000"/>
          <w:szCs w:val="22"/>
          <w:lang w:val="et-EE"/>
        </w:rPr>
        <w:t> </w:t>
      </w:r>
      <w:r w:rsidR="00136210" w:rsidRPr="00EC3BD7">
        <w:rPr>
          <w:color w:val="000000"/>
          <w:szCs w:val="22"/>
          <w:lang w:val="et-EE"/>
        </w:rPr>
        <w:t>4.4). Seetõttu on ettevaatus vajalik. Selle täheldatud koostoime mehhanism ei ole praeguseks selge.</w:t>
      </w:r>
    </w:p>
    <w:p w14:paraId="02CF90F7" w14:textId="77777777" w:rsidR="00136210" w:rsidRPr="00EC3BD7" w:rsidRDefault="00136210">
      <w:pPr>
        <w:pStyle w:val="Text"/>
        <w:widowControl w:val="0"/>
        <w:spacing w:before="0"/>
        <w:jc w:val="left"/>
        <w:rPr>
          <w:b/>
          <w:color w:val="000000"/>
          <w:sz w:val="22"/>
          <w:szCs w:val="22"/>
          <w:lang w:val="et-EE"/>
        </w:rPr>
      </w:pPr>
    </w:p>
    <w:p w14:paraId="6FF9064E" w14:textId="19F66C27" w:rsidR="00136210" w:rsidRPr="00EC3BD7" w:rsidRDefault="00136210">
      <w:pPr>
        <w:pStyle w:val="Text"/>
        <w:widowControl w:val="0"/>
        <w:spacing w:before="0"/>
        <w:jc w:val="left"/>
        <w:rPr>
          <w:color w:val="000000"/>
          <w:sz w:val="22"/>
          <w:szCs w:val="22"/>
          <w:lang w:val="et-EE"/>
        </w:rPr>
      </w:pPr>
      <w:r w:rsidRPr="00EC3BD7">
        <w:rPr>
          <w:color w:val="000000"/>
          <w:sz w:val="22"/>
          <w:szCs w:val="22"/>
          <w:lang w:val="et-EE"/>
        </w:rPr>
        <w:t>Gliveci ja kemoteraapia samaaegse kasutamise kliiniline kogemus Ph+ </w:t>
      </w:r>
      <w:smartTag w:uri="urn:schemas-microsoft-com:office:smarttags" w:element="stockticker">
        <w:r w:rsidRPr="00EC3BD7">
          <w:rPr>
            <w:color w:val="000000"/>
            <w:sz w:val="22"/>
            <w:szCs w:val="22"/>
            <w:lang w:val="et-EE"/>
          </w:rPr>
          <w:t>ALL</w:t>
        </w:r>
        <w:r w:rsidR="00D21C49">
          <w:rPr>
            <w:color w:val="000000"/>
            <w:sz w:val="22"/>
            <w:szCs w:val="22"/>
            <w:lang w:val="et-EE"/>
          </w:rPr>
          <w:t>-i</w:t>
        </w:r>
      </w:smartTag>
      <w:r w:rsidRPr="00EC3BD7">
        <w:rPr>
          <w:color w:val="000000"/>
          <w:sz w:val="22"/>
          <w:szCs w:val="22"/>
          <w:lang w:val="et-EE"/>
        </w:rPr>
        <w:t xml:space="preserve"> patsientidel on olemas (vt lõik</w:t>
      </w:r>
      <w:r w:rsidR="00DB0BC8" w:rsidRPr="00EC3BD7">
        <w:rPr>
          <w:color w:val="000000"/>
          <w:sz w:val="22"/>
          <w:szCs w:val="22"/>
          <w:lang w:val="et-EE"/>
        </w:rPr>
        <w:t> </w:t>
      </w:r>
      <w:r w:rsidRPr="00EC3BD7">
        <w:rPr>
          <w:color w:val="000000"/>
          <w:sz w:val="22"/>
          <w:szCs w:val="22"/>
          <w:lang w:val="et-EE"/>
        </w:rPr>
        <w:t>5.1), kuid imatiniibi ja kemoteraapia võimalikud koostoimed ei ole täpselt määratletud. Imatiniibi kõrvaltoimed, nagu hepatotoksilisus, müelosupressioon või teised, võivad suureneda ning on teateid, et imatiniibi samaaegsel kasutamisel koos L-asparaginaasiga võib olla seos hepatotoksilisuse suurenemisega (vt lõik</w:t>
      </w:r>
      <w:r w:rsidR="00DB0BC8" w:rsidRPr="00EC3BD7">
        <w:rPr>
          <w:color w:val="000000"/>
          <w:sz w:val="22"/>
          <w:szCs w:val="22"/>
          <w:lang w:val="et-EE"/>
        </w:rPr>
        <w:t> </w:t>
      </w:r>
      <w:r w:rsidRPr="00EC3BD7">
        <w:rPr>
          <w:color w:val="000000"/>
          <w:sz w:val="22"/>
          <w:szCs w:val="22"/>
          <w:lang w:val="et-EE"/>
        </w:rPr>
        <w:t>4.8). Seetõttu nõuab Gliveci kasutamine kombinatsioonravis erilist ettevaatust.</w:t>
      </w:r>
    </w:p>
    <w:p w14:paraId="3F73CF7B" w14:textId="77777777" w:rsidR="00136210" w:rsidRPr="00EC3BD7" w:rsidRDefault="00136210">
      <w:pPr>
        <w:pStyle w:val="EndnoteText"/>
        <w:widowControl w:val="0"/>
        <w:tabs>
          <w:tab w:val="clear" w:pos="567"/>
        </w:tabs>
        <w:rPr>
          <w:color w:val="000000"/>
          <w:szCs w:val="22"/>
          <w:lang w:val="et-EE"/>
        </w:rPr>
      </w:pPr>
    </w:p>
    <w:p w14:paraId="58EB76E0"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4.6</w:t>
      </w:r>
      <w:r w:rsidRPr="00EC3BD7">
        <w:rPr>
          <w:b/>
          <w:color w:val="000000"/>
          <w:szCs w:val="22"/>
          <w:lang w:val="et-EE"/>
        </w:rPr>
        <w:tab/>
      </w:r>
      <w:r w:rsidR="008174D6" w:rsidRPr="00EC3BD7">
        <w:rPr>
          <w:b/>
          <w:color w:val="000000"/>
          <w:szCs w:val="22"/>
          <w:lang w:val="et-EE"/>
        </w:rPr>
        <w:t>Fertiilsus, r</w:t>
      </w:r>
      <w:r w:rsidRPr="00EC3BD7">
        <w:rPr>
          <w:b/>
          <w:color w:val="000000"/>
          <w:szCs w:val="22"/>
          <w:lang w:val="et-EE"/>
        </w:rPr>
        <w:t>asedus ja imetamine</w:t>
      </w:r>
    </w:p>
    <w:p w14:paraId="5C3C5D5E" w14:textId="77777777" w:rsidR="00136210" w:rsidRPr="00EC3BD7" w:rsidRDefault="00136210" w:rsidP="00B9089D">
      <w:pPr>
        <w:pStyle w:val="EndnoteText"/>
        <w:keepNext/>
        <w:widowControl w:val="0"/>
        <w:rPr>
          <w:color w:val="000000"/>
          <w:szCs w:val="22"/>
          <w:lang w:val="et-EE"/>
        </w:rPr>
      </w:pPr>
    </w:p>
    <w:p w14:paraId="12D6D1DE" w14:textId="77777777" w:rsidR="005616C3" w:rsidRPr="00EC3BD7" w:rsidRDefault="005616C3" w:rsidP="00B9089D">
      <w:pPr>
        <w:pStyle w:val="EndnoteText"/>
        <w:keepNext/>
        <w:widowControl w:val="0"/>
        <w:rPr>
          <w:color w:val="000000"/>
          <w:szCs w:val="22"/>
          <w:u w:val="single"/>
          <w:lang w:val="et-EE"/>
        </w:rPr>
      </w:pPr>
      <w:r w:rsidRPr="00EC3BD7">
        <w:rPr>
          <w:color w:val="000000"/>
          <w:szCs w:val="22"/>
          <w:u w:val="single"/>
          <w:lang w:val="et-EE"/>
        </w:rPr>
        <w:t>Fertiilses eas naised</w:t>
      </w:r>
    </w:p>
    <w:p w14:paraId="563DE8A5" w14:textId="77777777" w:rsidR="005616C3" w:rsidRPr="00EC3BD7" w:rsidRDefault="005616C3" w:rsidP="005616C3">
      <w:pPr>
        <w:pStyle w:val="EndnoteText"/>
        <w:widowControl w:val="0"/>
        <w:rPr>
          <w:color w:val="000000"/>
          <w:szCs w:val="22"/>
          <w:lang w:val="et-EE"/>
        </w:rPr>
      </w:pPr>
      <w:r w:rsidRPr="00EC3BD7">
        <w:rPr>
          <w:color w:val="000000"/>
          <w:szCs w:val="22"/>
          <w:lang w:val="et-EE"/>
        </w:rPr>
        <w:t xml:space="preserve">Fertiilses eas naistele tuleb soovitada ravi ajal </w:t>
      </w:r>
      <w:r w:rsidR="00255F36" w:rsidRPr="00EC3BD7">
        <w:rPr>
          <w:color w:val="000000"/>
          <w:szCs w:val="22"/>
          <w:lang w:val="et-EE"/>
        </w:rPr>
        <w:t xml:space="preserve">ja vähemalt 15 päeva pärast ravi lõpetamist Gliveciga </w:t>
      </w:r>
      <w:r w:rsidRPr="00EC3BD7">
        <w:rPr>
          <w:color w:val="000000"/>
          <w:szCs w:val="22"/>
          <w:lang w:val="et-EE"/>
        </w:rPr>
        <w:t>efektiivsete rasestumisvastaste vahendite kasutamist.</w:t>
      </w:r>
    </w:p>
    <w:p w14:paraId="2012E839" w14:textId="77777777" w:rsidR="005616C3" w:rsidRPr="00EC3BD7" w:rsidRDefault="005616C3" w:rsidP="005616C3">
      <w:pPr>
        <w:pStyle w:val="EndnoteText"/>
        <w:widowControl w:val="0"/>
        <w:rPr>
          <w:color w:val="000000"/>
          <w:szCs w:val="22"/>
          <w:lang w:val="et-EE"/>
        </w:rPr>
      </w:pPr>
    </w:p>
    <w:p w14:paraId="106383DD" w14:textId="77777777" w:rsidR="00136210" w:rsidRPr="00EC3BD7" w:rsidRDefault="00136210" w:rsidP="00B9089D">
      <w:pPr>
        <w:pStyle w:val="EndnoteText"/>
        <w:keepNext/>
        <w:widowControl w:val="0"/>
        <w:rPr>
          <w:color w:val="000000"/>
          <w:szCs w:val="22"/>
          <w:u w:val="single"/>
          <w:lang w:val="et-EE"/>
        </w:rPr>
      </w:pPr>
      <w:r w:rsidRPr="00EC3BD7">
        <w:rPr>
          <w:color w:val="000000"/>
          <w:szCs w:val="22"/>
          <w:u w:val="single"/>
          <w:lang w:val="et-EE"/>
        </w:rPr>
        <w:lastRenderedPageBreak/>
        <w:t>Rasedus</w:t>
      </w:r>
    </w:p>
    <w:p w14:paraId="54C66EC1" w14:textId="77777777" w:rsidR="00047A8D" w:rsidRPr="00EC3BD7" w:rsidRDefault="009A2F5B">
      <w:pPr>
        <w:pStyle w:val="EndnoteText"/>
        <w:widowControl w:val="0"/>
        <w:rPr>
          <w:color w:val="000000"/>
          <w:szCs w:val="22"/>
          <w:lang w:val="et-EE"/>
        </w:rPr>
      </w:pPr>
      <w:r w:rsidRPr="00EC3BD7">
        <w:rPr>
          <w:color w:val="000000"/>
          <w:szCs w:val="22"/>
          <w:lang w:val="et-EE"/>
        </w:rPr>
        <w:t>Andmed i</w:t>
      </w:r>
      <w:r w:rsidR="00136210" w:rsidRPr="00EC3BD7">
        <w:rPr>
          <w:color w:val="000000"/>
          <w:szCs w:val="22"/>
          <w:lang w:val="et-EE"/>
        </w:rPr>
        <w:t xml:space="preserve">matiniibi kasutamise kohta rasedatel </w:t>
      </w:r>
      <w:r w:rsidRPr="00EC3BD7">
        <w:rPr>
          <w:color w:val="000000"/>
          <w:szCs w:val="22"/>
          <w:lang w:val="et-EE"/>
        </w:rPr>
        <w:t>on puudulikud</w:t>
      </w:r>
      <w:r w:rsidR="00136210" w:rsidRPr="00EC3BD7">
        <w:rPr>
          <w:color w:val="000000"/>
          <w:szCs w:val="22"/>
          <w:lang w:val="et-EE"/>
        </w:rPr>
        <w:t xml:space="preserve">. </w:t>
      </w:r>
      <w:r w:rsidR="002E2463" w:rsidRPr="00EC3BD7">
        <w:rPr>
          <w:color w:val="000000"/>
          <w:szCs w:val="22"/>
          <w:lang w:val="et-EE"/>
        </w:rPr>
        <w:t xml:space="preserve">Glivecit kasutanud naistel on turuletulekujärgselt teatatud spontaansetest abortidest ja kaasasündinud väärarengutest imikutel. </w:t>
      </w:r>
      <w:r w:rsidR="00136210" w:rsidRPr="00EC3BD7">
        <w:rPr>
          <w:color w:val="000000"/>
          <w:szCs w:val="22"/>
          <w:lang w:val="et-EE"/>
        </w:rPr>
        <w:t xml:space="preserve">Loomkatsed on </w:t>
      </w:r>
      <w:r w:rsidR="00600C1D" w:rsidRPr="00EC3BD7">
        <w:rPr>
          <w:color w:val="000000"/>
          <w:szCs w:val="22"/>
          <w:lang w:val="et-EE"/>
        </w:rPr>
        <w:t xml:space="preserve">siiski </w:t>
      </w:r>
      <w:r w:rsidR="00136210" w:rsidRPr="00EC3BD7">
        <w:rPr>
          <w:color w:val="000000"/>
          <w:szCs w:val="22"/>
          <w:lang w:val="et-EE"/>
        </w:rPr>
        <w:t>näidanud kahjulikku toimet reproduktiivsusele (vt lõik</w:t>
      </w:r>
      <w:r w:rsidR="00DB0BC8" w:rsidRPr="00EC3BD7">
        <w:rPr>
          <w:color w:val="000000"/>
          <w:szCs w:val="22"/>
          <w:lang w:val="et-EE"/>
        </w:rPr>
        <w:t> </w:t>
      </w:r>
      <w:r w:rsidR="00136210" w:rsidRPr="00EC3BD7">
        <w:rPr>
          <w:color w:val="000000"/>
          <w:szCs w:val="22"/>
          <w:lang w:val="et-EE"/>
        </w:rPr>
        <w:t>5.3). Võimalik risk lootele ei ole teada. Glivecit ei tohi kasutada raseduse ajal</w:t>
      </w:r>
      <w:r w:rsidR="00C330CF" w:rsidRPr="00EC3BD7">
        <w:rPr>
          <w:color w:val="000000"/>
          <w:szCs w:val="22"/>
          <w:lang w:val="et-EE"/>
        </w:rPr>
        <w:t xml:space="preserve"> väljaarvatud juhul</w:t>
      </w:r>
      <w:r w:rsidR="00136210" w:rsidRPr="00EC3BD7">
        <w:rPr>
          <w:color w:val="000000"/>
          <w:szCs w:val="22"/>
          <w:lang w:val="et-EE"/>
        </w:rPr>
        <w:t xml:space="preserve"> kui see </w:t>
      </w:r>
      <w:r w:rsidR="00C330CF" w:rsidRPr="00EC3BD7">
        <w:rPr>
          <w:color w:val="000000"/>
          <w:szCs w:val="22"/>
          <w:lang w:val="et-EE"/>
        </w:rPr>
        <w:t xml:space="preserve">on </w:t>
      </w:r>
      <w:r w:rsidR="00136210" w:rsidRPr="00EC3BD7">
        <w:rPr>
          <w:color w:val="000000"/>
          <w:szCs w:val="22"/>
          <w:lang w:val="et-EE"/>
        </w:rPr>
        <w:t>hädavajalik. Kui ravimit kasutatakse raseduse ajal, tuleb patsienti informeerida võimalikust ohust lootele.</w:t>
      </w:r>
    </w:p>
    <w:p w14:paraId="5B93C82A" w14:textId="77777777" w:rsidR="00047A8D" w:rsidRPr="00EC3BD7" w:rsidRDefault="00047A8D">
      <w:pPr>
        <w:pStyle w:val="EndnoteText"/>
        <w:widowControl w:val="0"/>
        <w:rPr>
          <w:color w:val="000000"/>
          <w:szCs w:val="22"/>
          <w:lang w:val="et-EE"/>
        </w:rPr>
      </w:pPr>
    </w:p>
    <w:p w14:paraId="4F72DC3B" w14:textId="77777777" w:rsidR="00136210" w:rsidRPr="00EC3BD7" w:rsidRDefault="00136210" w:rsidP="00B9089D">
      <w:pPr>
        <w:pStyle w:val="EndnoteText"/>
        <w:keepNext/>
        <w:widowControl w:val="0"/>
        <w:rPr>
          <w:color w:val="000000"/>
          <w:szCs w:val="22"/>
          <w:u w:val="single"/>
          <w:lang w:val="et-EE"/>
        </w:rPr>
      </w:pPr>
      <w:r w:rsidRPr="00EC3BD7">
        <w:rPr>
          <w:color w:val="000000"/>
          <w:szCs w:val="22"/>
          <w:u w:val="single"/>
          <w:lang w:val="et-EE"/>
        </w:rPr>
        <w:t>Imetamine</w:t>
      </w:r>
    </w:p>
    <w:p w14:paraId="0477AFA2" w14:textId="2223D15F" w:rsidR="005A7006" w:rsidRPr="00EC3BD7" w:rsidRDefault="00D76BF9" w:rsidP="005A7006">
      <w:pPr>
        <w:pStyle w:val="EndnoteText"/>
        <w:widowControl w:val="0"/>
        <w:rPr>
          <w:color w:val="000000"/>
          <w:szCs w:val="22"/>
          <w:lang w:val="et-EE"/>
        </w:rPr>
      </w:pPr>
      <w:r w:rsidRPr="00EC3BD7">
        <w:rPr>
          <w:color w:val="000000"/>
          <w:szCs w:val="22"/>
          <w:lang w:val="et-EE"/>
        </w:rPr>
        <w:t>Ei ole piisavalt andmeid imatiniibi jaotumise kohta inimese rinnapiima.</w:t>
      </w:r>
      <w:r w:rsidR="007E1731" w:rsidRPr="00EC3BD7">
        <w:rPr>
          <w:color w:val="000000"/>
          <w:szCs w:val="22"/>
          <w:lang w:val="et-EE"/>
        </w:rPr>
        <w:t xml:space="preserve"> </w:t>
      </w:r>
      <w:r w:rsidR="00883CB6" w:rsidRPr="00EC3BD7">
        <w:rPr>
          <w:color w:val="000000"/>
          <w:szCs w:val="22"/>
          <w:lang w:val="et-EE"/>
        </w:rPr>
        <w:t>Kahel imetaval naisel läbi</w:t>
      </w:r>
      <w:r w:rsidR="006E646A" w:rsidRPr="00EC3BD7">
        <w:rPr>
          <w:color w:val="000000"/>
          <w:szCs w:val="22"/>
          <w:lang w:val="et-EE"/>
        </w:rPr>
        <w:t xml:space="preserve"> </w:t>
      </w:r>
      <w:r w:rsidR="00883CB6" w:rsidRPr="00EC3BD7">
        <w:rPr>
          <w:color w:val="000000"/>
          <w:szCs w:val="22"/>
          <w:lang w:val="et-EE"/>
        </w:rPr>
        <w:t>viidud uuringu tulemusena selgus, et</w:t>
      </w:r>
      <w:r w:rsidR="00F173F2" w:rsidRPr="00EC3BD7">
        <w:rPr>
          <w:color w:val="000000"/>
          <w:szCs w:val="22"/>
          <w:lang w:val="et-EE"/>
        </w:rPr>
        <w:t xml:space="preserve"> </w:t>
      </w:r>
      <w:r w:rsidR="00883CB6" w:rsidRPr="00EC3BD7">
        <w:rPr>
          <w:color w:val="000000"/>
          <w:szCs w:val="22"/>
          <w:lang w:val="et-EE"/>
        </w:rPr>
        <w:t>n</w:t>
      </w:r>
      <w:r w:rsidR="002E6425" w:rsidRPr="00EC3BD7">
        <w:rPr>
          <w:color w:val="000000"/>
          <w:szCs w:val="22"/>
          <w:lang w:val="et-EE"/>
        </w:rPr>
        <w:t xml:space="preserve">ii imatiniib kui ka selle aktiivne metaboliit võivad jaotuda inimese rinnapiima. </w:t>
      </w:r>
      <w:r w:rsidR="006E646A" w:rsidRPr="00EC3BD7">
        <w:rPr>
          <w:color w:val="000000"/>
          <w:szCs w:val="22"/>
          <w:lang w:val="et-EE"/>
        </w:rPr>
        <w:t>Ühel patsiendil läbi viidud uuring näitas, et r</w:t>
      </w:r>
      <w:r w:rsidR="002E6425" w:rsidRPr="00EC3BD7">
        <w:rPr>
          <w:color w:val="000000"/>
          <w:szCs w:val="22"/>
          <w:lang w:val="et-EE"/>
        </w:rPr>
        <w:t xml:space="preserve">avimi sisalduse suhe piimas/plasmas oli 0,5 imatiniibi ja 0,9 metaboliidi puhul, mis näitab metaboliidi suuremat jaotumist piima. Võttes arvesse imatiniibi ja metaboliidi kombineeritud kontsentratsiooni ning maksimaalset lapse poolt joodava piima kogust päevas, on kogu </w:t>
      </w:r>
      <w:r w:rsidR="000D66A3" w:rsidRPr="00EC3BD7">
        <w:rPr>
          <w:color w:val="000000"/>
          <w:szCs w:val="22"/>
          <w:lang w:val="et-EE"/>
        </w:rPr>
        <w:t>plasmakontsentratsioon</w:t>
      </w:r>
      <w:r w:rsidR="002E6425" w:rsidRPr="00EC3BD7">
        <w:rPr>
          <w:color w:val="000000"/>
          <w:szCs w:val="22"/>
          <w:lang w:val="et-EE"/>
        </w:rPr>
        <w:t xml:space="preserve"> madal (~10% terapeutilisest annusest). Ent kuna imatiniibi väikese annusega kokkupuute mõju lapsele on teadmata, ei tohi naised</w:t>
      </w:r>
      <w:r w:rsidR="00FB1F86" w:rsidRPr="00EC3BD7">
        <w:rPr>
          <w:color w:val="000000"/>
          <w:szCs w:val="22"/>
          <w:lang w:val="et-EE"/>
        </w:rPr>
        <w:t xml:space="preserve"> ravi ajal</w:t>
      </w:r>
      <w:r w:rsidR="002E6425" w:rsidRPr="00EC3BD7">
        <w:rPr>
          <w:color w:val="000000"/>
          <w:szCs w:val="22"/>
          <w:lang w:val="et-EE"/>
        </w:rPr>
        <w:t xml:space="preserve"> </w:t>
      </w:r>
      <w:r w:rsidR="00FB1F86" w:rsidRPr="00EC3BD7">
        <w:rPr>
          <w:color w:val="000000"/>
          <w:szCs w:val="22"/>
          <w:lang w:val="et-EE"/>
        </w:rPr>
        <w:t xml:space="preserve">ja vähemalt 15 päeva pärast ravi lõpetamist Gliveciga </w:t>
      </w:r>
      <w:r w:rsidR="002E6425" w:rsidRPr="00EC3BD7">
        <w:rPr>
          <w:color w:val="000000"/>
          <w:szCs w:val="22"/>
          <w:lang w:val="et-EE"/>
        </w:rPr>
        <w:t>last rinnaga toita.</w:t>
      </w:r>
    </w:p>
    <w:p w14:paraId="7E99986A" w14:textId="77777777" w:rsidR="005A7006" w:rsidRPr="00EC3BD7" w:rsidRDefault="005A7006" w:rsidP="005A7006">
      <w:pPr>
        <w:pStyle w:val="EndnoteText"/>
        <w:widowControl w:val="0"/>
        <w:rPr>
          <w:color w:val="000000"/>
          <w:szCs w:val="22"/>
          <w:lang w:val="et-EE"/>
        </w:rPr>
      </w:pPr>
    </w:p>
    <w:p w14:paraId="65790E0C" w14:textId="77777777" w:rsidR="005A7006" w:rsidRPr="00EC3BD7" w:rsidRDefault="005A7006" w:rsidP="00B9089D">
      <w:pPr>
        <w:pStyle w:val="EndnoteText"/>
        <w:keepNext/>
        <w:widowControl w:val="0"/>
        <w:rPr>
          <w:color w:val="000000"/>
          <w:szCs w:val="22"/>
          <w:u w:val="single"/>
          <w:lang w:val="et-EE"/>
        </w:rPr>
      </w:pPr>
      <w:r w:rsidRPr="00EC3BD7">
        <w:rPr>
          <w:color w:val="000000"/>
          <w:szCs w:val="22"/>
          <w:u w:val="single"/>
          <w:lang w:val="et-EE"/>
        </w:rPr>
        <w:t>Fertiilsus</w:t>
      </w:r>
    </w:p>
    <w:p w14:paraId="701CBFCB" w14:textId="77777777" w:rsidR="002E6425" w:rsidRPr="00EC3BD7" w:rsidRDefault="00DF0C56" w:rsidP="005A7006">
      <w:pPr>
        <w:pStyle w:val="EndnoteText"/>
        <w:widowControl w:val="0"/>
        <w:rPr>
          <w:color w:val="000000"/>
          <w:szCs w:val="22"/>
          <w:lang w:val="et-EE"/>
        </w:rPr>
      </w:pPr>
      <w:r w:rsidRPr="00EC3BD7">
        <w:rPr>
          <w:color w:val="000000"/>
          <w:szCs w:val="22"/>
          <w:lang w:val="et-EE"/>
        </w:rPr>
        <w:t>Mittekliinilistes uuringutes ei esinenud mõju isaste ja emaste rottide fertiilsusele</w:t>
      </w:r>
      <w:r w:rsidR="00550B98" w:rsidRPr="00EC3BD7">
        <w:rPr>
          <w:color w:val="000000"/>
          <w:szCs w:val="22"/>
          <w:lang w:val="et-EE"/>
        </w:rPr>
        <w:t>, kuigi t</w:t>
      </w:r>
      <w:r w:rsidR="00942E0C" w:rsidRPr="00EC3BD7">
        <w:rPr>
          <w:color w:val="000000"/>
          <w:szCs w:val="22"/>
          <w:lang w:val="et-EE"/>
        </w:rPr>
        <w:t>äheldati mõju reproduktiivsuse</w:t>
      </w:r>
      <w:r w:rsidR="00550B98" w:rsidRPr="00EC3BD7">
        <w:rPr>
          <w:color w:val="000000"/>
          <w:szCs w:val="22"/>
          <w:lang w:val="et-EE"/>
        </w:rPr>
        <w:t xml:space="preserve"> näitajatele</w:t>
      </w:r>
      <w:r w:rsidRPr="00EC3BD7">
        <w:rPr>
          <w:color w:val="000000"/>
          <w:szCs w:val="22"/>
          <w:lang w:val="et-EE"/>
        </w:rPr>
        <w:t xml:space="preserve"> (vt lõik</w:t>
      </w:r>
      <w:r w:rsidR="00DB0BC8" w:rsidRPr="00EC3BD7">
        <w:rPr>
          <w:color w:val="000000"/>
          <w:szCs w:val="22"/>
          <w:lang w:val="et-EE"/>
        </w:rPr>
        <w:t> </w:t>
      </w:r>
      <w:r w:rsidRPr="00EC3BD7">
        <w:rPr>
          <w:color w:val="000000"/>
          <w:szCs w:val="22"/>
          <w:lang w:val="et-EE"/>
        </w:rPr>
        <w:t>5.3). U</w:t>
      </w:r>
      <w:r w:rsidR="005A7006" w:rsidRPr="00EC3BD7">
        <w:rPr>
          <w:color w:val="000000"/>
          <w:szCs w:val="22"/>
          <w:lang w:val="et-EE"/>
        </w:rPr>
        <w:t xml:space="preserve">uringuid patsientidel, kes on saanud Glivecit ja selle mõju kohta fertiilsusele ja </w:t>
      </w:r>
      <w:r w:rsidRPr="00EC3BD7">
        <w:rPr>
          <w:color w:val="000000"/>
          <w:szCs w:val="22"/>
          <w:lang w:val="et-EE"/>
        </w:rPr>
        <w:t>game</w:t>
      </w:r>
      <w:r w:rsidR="005A7006" w:rsidRPr="00EC3BD7">
        <w:rPr>
          <w:color w:val="000000"/>
          <w:szCs w:val="22"/>
          <w:lang w:val="et-EE"/>
        </w:rPr>
        <w:t xml:space="preserve">togeneesile ei ole läbi viidud. </w:t>
      </w:r>
      <w:r w:rsidR="00024179" w:rsidRPr="00EC3BD7">
        <w:rPr>
          <w:color w:val="000000"/>
          <w:szCs w:val="22"/>
          <w:lang w:val="et-EE"/>
        </w:rPr>
        <w:t>P</w:t>
      </w:r>
      <w:r w:rsidR="005A7006" w:rsidRPr="00EC3BD7">
        <w:rPr>
          <w:color w:val="000000"/>
          <w:szCs w:val="22"/>
          <w:lang w:val="et-EE"/>
        </w:rPr>
        <w:t>atsiendid, kes on mures oma fertiilsuse pärast Gliveci ravi ajal, peaksid konsulteerima oma arstiga (vt lõik</w:t>
      </w:r>
      <w:r w:rsidR="00DB0BC8" w:rsidRPr="00EC3BD7">
        <w:rPr>
          <w:color w:val="000000"/>
          <w:szCs w:val="22"/>
          <w:lang w:val="et-EE"/>
        </w:rPr>
        <w:t> </w:t>
      </w:r>
      <w:r w:rsidR="005A7006" w:rsidRPr="00EC3BD7">
        <w:rPr>
          <w:color w:val="000000"/>
          <w:szCs w:val="22"/>
          <w:lang w:val="et-EE"/>
        </w:rPr>
        <w:t>5.3).</w:t>
      </w:r>
    </w:p>
    <w:p w14:paraId="19F6BBFF" w14:textId="77777777" w:rsidR="00136210" w:rsidRPr="00EC3BD7" w:rsidRDefault="00136210">
      <w:pPr>
        <w:pStyle w:val="EndnoteText"/>
        <w:widowControl w:val="0"/>
        <w:rPr>
          <w:color w:val="000000"/>
          <w:szCs w:val="22"/>
          <w:lang w:val="et-EE"/>
        </w:rPr>
      </w:pPr>
    </w:p>
    <w:p w14:paraId="2996D2D2"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4.7</w:t>
      </w:r>
      <w:r w:rsidRPr="00EC3BD7">
        <w:rPr>
          <w:b/>
          <w:color w:val="000000"/>
          <w:szCs w:val="22"/>
          <w:lang w:val="et-EE"/>
        </w:rPr>
        <w:tab/>
        <w:t>Toime reaktsioonikiirusele</w:t>
      </w:r>
    </w:p>
    <w:p w14:paraId="1A228A13" w14:textId="77777777" w:rsidR="00136210" w:rsidRPr="00EC3BD7" w:rsidRDefault="00136210" w:rsidP="00B9089D">
      <w:pPr>
        <w:pStyle w:val="EndnoteText"/>
        <w:keepNext/>
        <w:widowControl w:val="0"/>
        <w:tabs>
          <w:tab w:val="clear" w:pos="567"/>
        </w:tabs>
        <w:rPr>
          <w:color w:val="000000"/>
          <w:szCs w:val="22"/>
          <w:lang w:val="et-EE"/>
        </w:rPr>
      </w:pPr>
    </w:p>
    <w:p w14:paraId="3A17AED4" w14:textId="77777777" w:rsidR="00136210" w:rsidRPr="00EC3BD7" w:rsidRDefault="002C47EB">
      <w:pPr>
        <w:pStyle w:val="EndnoteText"/>
        <w:widowControl w:val="0"/>
        <w:tabs>
          <w:tab w:val="clear" w:pos="567"/>
        </w:tabs>
        <w:rPr>
          <w:snapToGrid w:val="0"/>
          <w:color w:val="000000"/>
          <w:szCs w:val="22"/>
          <w:lang w:val="et-EE"/>
        </w:rPr>
      </w:pPr>
      <w:r w:rsidRPr="00EC3BD7">
        <w:rPr>
          <w:snapToGrid w:val="0"/>
          <w:color w:val="000000"/>
          <w:szCs w:val="22"/>
          <w:lang w:val="et-EE"/>
        </w:rPr>
        <w:t>P</w:t>
      </w:r>
      <w:r w:rsidR="00136210" w:rsidRPr="00EC3BD7">
        <w:rPr>
          <w:snapToGrid w:val="0"/>
          <w:color w:val="000000"/>
          <w:szCs w:val="22"/>
          <w:lang w:val="et-EE"/>
        </w:rPr>
        <w:t>atsiente</w:t>
      </w:r>
      <w:r w:rsidRPr="00EC3BD7">
        <w:rPr>
          <w:snapToGrid w:val="0"/>
          <w:color w:val="000000"/>
          <w:szCs w:val="22"/>
          <w:lang w:val="et-EE"/>
        </w:rPr>
        <w:t xml:space="preserve"> tuleb</w:t>
      </w:r>
      <w:r w:rsidR="00136210" w:rsidRPr="00EC3BD7">
        <w:rPr>
          <w:snapToGrid w:val="0"/>
          <w:color w:val="000000"/>
          <w:szCs w:val="22"/>
          <w:lang w:val="et-EE"/>
        </w:rPr>
        <w:t xml:space="preserve"> informeerida, et neil võib imatiniibi ravi ajal esineda kõrvaltoimeid nagu uimasus</w:t>
      </w:r>
      <w:r w:rsidR="006D3BB3" w:rsidRPr="00EC3BD7">
        <w:rPr>
          <w:snapToGrid w:val="0"/>
          <w:color w:val="000000"/>
          <w:szCs w:val="22"/>
          <w:lang w:val="et-EE"/>
        </w:rPr>
        <w:t>,</w:t>
      </w:r>
      <w:r w:rsidR="00136210" w:rsidRPr="00EC3BD7">
        <w:rPr>
          <w:snapToGrid w:val="0"/>
          <w:color w:val="000000"/>
          <w:szCs w:val="22"/>
          <w:lang w:val="et-EE"/>
        </w:rPr>
        <w:t xml:space="preserve"> hägune nägemine</w:t>
      </w:r>
      <w:r w:rsidR="006D3BB3" w:rsidRPr="00EC3BD7">
        <w:rPr>
          <w:snapToGrid w:val="0"/>
          <w:color w:val="000000"/>
          <w:szCs w:val="22"/>
          <w:lang w:val="et-EE"/>
        </w:rPr>
        <w:t xml:space="preserve"> või unisus</w:t>
      </w:r>
      <w:r w:rsidR="00136210" w:rsidRPr="00EC3BD7">
        <w:rPr>
          <w:snapToGrid w:val="0"/>
          <w:color w:val="000000"/>
          <w:szCs w:val="22"/>
          <w:lang w:val="et-EE"/>
        </w:rPr>
        <w:t>. Seetõttu soovitatakse autojuhtimisel või masinate käsitsemisel olla ettevaatlik.</w:t>
      </w:r>
    </w:p>
    <w:p w14:paraId="399AD023" w14:textId="77777777" w:rsidR="00136210" w:rsidRPr="00EC3BD7" w:rsidRDefault="00136210">
      <w:pPr>
        <w:pStyle w:val="EndnoteText"/>
        <w:widowControl w:val="0"/>
        <w:tabs>
          <w:tab w:val="clear" w:pos="567"/>
        </w:tabs>
        <w:rPr>
          <w:color w:val="000000"/>
          <w:szCs w:val="22"/>
          <w:lang w:val="et-EE"/>
        </w:rPr>
      </w:pPr>
    </w:p>
    <w:p w14:paraId="032F8F62" w14:textId="77777777" w:rsidR="00136210" w:rsidRPr="00EC3BD7" w:rsidRDefault="00136210" w:rsidP="00B9089D">
      <w:pPr>
        <w:keepNext/>
        <w:widowControl w:val="0"/>
        <w:tabs>
          <w:tab w:val="clear" w:pos="567"/>
        </w:tabs>
        <w:spacing w:line="240" w:lineRule="auto"/>
        <w:ind w:left="567" w:hanging="567"/>
        <w:rPr>
          <w:b/>
          <w:color w:val="000000"/>
          <w:szCs w:val="22"/>
          <w:lang w:val="et-EE"/>
        </w:rPr>
      </w:pPr>
      <w:r w:rsidRPr="00EC3BD7">
        <w:rPr>
          <w:b/>
          <w:color w:val="000000"/>
          <w:szCs w:val="22"/>
          <w:lang w:val="et-EE"/>
        </w:rPr>
        <w:t>4.8</w:t>
      </w:r>
      <w:r w:rsidRPr="00EC3BD7">
        <w:rPr>
          <w:b/>
          <w:color w:val="000000"/>
          <w:szCs w:val="22"/>
          <w:lang w:val="et-EE"/>
        </w:rPr>
        <w:tab/>
        <w:t>Kõrvaltoimed</w:t>
      </w:r>
    </w:p>
    <w:p w14:paraId="529C4CB6" w14:textId="77777777" w:rsidR="00136210" w:rsidRPr="00EC3BD7" w:rsidRDefault="00136210" w:rsidP="00B9089D">
      <w:pPr>
        <w:keepNext/>
        <w:widowControl w:val="0"/>
        <w:tabs>
          <w:tab w:val="clear" w:pos="567"/>
        </w:tabs>
        <w:spacing w:line="240" w:lineRule="auto"/>
        <w:rPr>
          <w:color w:val="000000"/>
          <w:szCs w:val="22"/>
          <w:lang w:val="et-EE"/>
        </w:rPr>
      </w:pPr>
    </w:p>
    <w:p w14:paraId="5137BF1B" w14:textId="77777777" w:rsidR="00136210" w:rsidRPr="00EC3BD7" w:rsidRDefault="00136210">
      <w:pPr>
        <w:pStyle w:val="Text"/>
        <w:widowControl w:val="0"/>
        <w:spacing w:before="0"/>
        <w:jc w:val="left"/>
        <w:rPr>
          <w:color w:val="000000"/>
          <w:sz w:val="22"/>
          <w:szCs w:val="22"/>
          <w:lang w:val="et-EE"/>
        </w:rPr>
      </w:pPr>
      <w:r w:rsidRPr="00EC3BD7">
        <w:rPr>
          <w:color w:val="000000"/>
          <w:sz w:val="22"/>
          <w:szCs w:val="22"/>
          <w:lang w:val="et-EE"/>
        </w:rPr>
        <w:t>Kaugelearenenud faasis pahaloomuliste kasvajatega patsientidel võivad esineda mitmed kaasuvad haigusseisundid. Kõrvaltoimete põhjuslikkust on raske hinnata erinevate sümptomite tõttu, mis on seotud haiguse, selle progresseerumise ja paljude ravimite samaaegse manustamisega.</w:t>
      </w:r>
    </w:p>
    <w:p w14:paraId="62AB493F" w14:textId="77777777" w:rsidR="00136210" w:rsidRPr="00EC3BD7" w:rsidRDefault="00136210">
      <w:pPr>
        <w:pStyle w:val="Text"/>
        <w:widowControl w:val="0"/>
        <w:spacing w:before="0"/>
        <w:jc w:val="left"/>
        <w:rPr>
          <w:color w:val="000000"/>
          <w:sz w:val="22"/>
          <w:szCs w:val="22"/>
          <w:lang w:val="et-EE"/>
        </w:rPr>
      </w:pPr>
    </w:p>
    <w:p w14:paraId="6025D8F1" w14:textId="6A269ABC" w:rsidR="00136210" w:rsidRPr="00EC3BD7" w:rsidRDefault="00D21C49">
      <w:pPr>
        <w:pStyle w:val="Text"/>
        <w:widowControl w:val="0"/>
        <w:spacing w:before="0"/>
        <w:jc w:val="left"/>
        <w:rPr>
          <w:color w:val="000000"/>
          <w:sz w:val="22"/>
          <w:szCs w:val="22"/>
          <w:lang w:val="et-EE"/>
        </w:rPr>
      </w:pPr>
      <w:r>
        <w:rPr>
          <w:color w:val="000000"/>
          <w:sz w:val="22"/>
          <w:szCs w:val="22"/>
          <w:lang w:val="et-EE"/>
        </w:rPr>
        <w:t>K</w:t>
      </w:r>
      <w:r w:rsidR="00136210" w:rsidRPr="00EC3BD7">
        <w:rPr>
          <w:color w:val="000000"/>
          <w:sz w:val="22"/>
          <w:szCs w:val="22"/>
          <w:lang w:val="et-EE"/>
        </w:rPr>
        <w:t>ML</w:t>
      </w:r>
      <w:r>
        <w:rPr>
          <w:color w:val="000000"/>
          <w:sz w:val="22"/>
          <w:szCs w:val="22"/>
          <w:lang w:val="et-EE"/>
        </w:rPr>
        <w:t>-i</w:t>
      </w:r>
      <w:r w:rsidR="00136210" w:rsidRPr="00EC3BD7">
        <w:rPr>
          <w:color w:val="000000"/>
          <w:sz w:val="22"/>
          <w:szCs w:val="22"/>
          <w:lang w:val="et-EE"/>
        </w:rPr>
        <w:t xml:space="preserve"> kliinilistes uuringutes lõpetati ravimi manustamine ravimiga seotud kõrvaltoimete tõttu 2,4% värskelt diagnoositud patsientidel, 4% hilises kroonilises staadiumis patsientidel kellel ravi interferooniga oli ebaõnnestunud, 4% aktseleratsioonifaasis patsientidel pärast interferoonravi ebaõnnestumist ja 5% blastses kriisis patsientidel pärast interferoonravi ebaõnnestumist. GIST</w:t>
      </w:r>
      <w:r w:rsidR="00DD0F07">
        <w:rPr>
          <w:color w:val="000000"/>
          <w:sz w:val="22"/>
          <w:szCs w:val="22"/>
          <w:lang w:val="et-EE"/>
        </w:rPr>
        <w:t>-i</w:t>
      </w:r>
      <w:r w:rsidR="00136210" w:rsidRPr="00EC3BD7">
        <w:rPr>
          <w:color w:val="000000"/>
          <w:sz w:val="22"/>
          <w:szCs w:val="22"/>
          <w:lang w:val="et-EE"/>
        </w:rPr>
        <w:t xml:space="preserve"> puhul lõpetati uuringuravimi manustamine ravimiga seotud kõrvaltoimete tõttu 4% patsientidest.</w:t>
      </w:r>
    </w:p>
    <w:p w14:paraId="27007456" w14:textId="77777777" w:rsidR="00136210" w:rsidRPr="00EC3BD7" w:rsidRDefault="00136210">
      <w:pPr>
        <w:pStyle w:val="Text"/>
        <w:widowControl w:val="0"/>
        <w:spacing w:before="0"/>
        <w:jc w:val="left"/>
        <w:rPr>
          <w:color w:val="000000"/>
          <w:sz w:val="22"/>
          <w:szCs w:val="22"/>
          <w:lang w:val="et-EE"/>
        </w:rPr>
      </w:pPr>
    </w:p>
    <w:p w14:paraId="577BD877" w14:textId="224D94FE" w:rsidR="00136210" w:rsidRPr="00EC3BD7" w:rsidRDefault="00136210">
      <w:pPr>
        <w:pStyle w:val="Text"/>
        <w:widowControl w:val="0"/>
        <w:spacing w:before="0"/>
        <w:jc w:val="left"/>
        <w:rPr>
          <w:color w:val="000000"/>
          <w:sz w:val="22"/>
          <w:szCs w:val="22"/>
          <w:lang w:val="et-EE"/>
        </w:rPr>
      </w:pPr>
      <w:r w:rsidRPr="00EC3BD7">
        <w:rPr>
          <w:color w:val="000000"/>
          <w:sz w:val="22"/>
          <w:szCs w:val="22"/>
          <w:lang w:val="et-EE"/>
        </w:rPr>
        <w:t xml:space="preserve">Kõrvaltoimed olid kõigi näidustuste puhul patsientidel sarnased kahe erandiga. Müelosupressiooni täheldati sagedamini </w:t>
      </w:r>
      <w:smartTag w:uri="urn:schemas-microsoft-com:office:smarttags" w:element="stockticker">
        <w:r w:rsidRPr="00EC3BD7">
          <w:rPr>
            <w:color w:val="000000"/>
            <w:sz w:val="22"/>
            <w:szCs w:val="22"/>
            <w:lang w:val="et-EE"/>
          </w:rPr>
          <w:t>KML</w:t>
        </w:r>
        <w:r w:rsidR="00D21C49">
          <w:rPr>
            <w:color w:val="000000"/>
            <w:sz w:val="22"/>
            <w:szCs w:val="22"/>
            <w:lang w:val="et-EE"/>
          </w:rPr>
          <w:t>-i</w:t>
        </w:r>
      </w:smartTag>
      <w:r w:rsidRPr="00EC3BD7">
        <w:rPr>
          <w:color w:val="000000"/>
          <w:sz w:val="22"/>
          <w:szCs w:val="22"/>
          <w:lang w:val="et-EE"/>
        </w:rPr>
        <w:t xml:space="preserve"> patsientidel võrreldes GIST</w:t>
      </w:r>
      <w:r w:rsidR="00D21C49">
        <w:rPr>
          <w:color w:val="000000"/>
          <w:sz w:val="22"/>
          <w:szCs w:val="22"/>
          <w:lang w:val="et-EE"/>
        </w:rPr>
        <w:t>-i</w:t>
      </w:r>
      <w:r w:rsidRPr="00EC3BD7">
        <w:rPr>
          <w:color w:val="000000"/>
          <w:sz w:val="22"/>
          <w:szCs w:val="22"/>
          <w:lang w:val="et-EE"/>
        </w:rPr>
        <w:t xml:space="preserve"> patsientidega, mis tõenäoliselt on tingitud haiguse eripärast.</w:t>
      </w:r>
      <w:r w:rsidR="00556CBF" w:rsidRPr="00EC3BD7">
        <w:rPr>
          <w:color w:val="000000"/>
          <w:sz w:val="22"/>
          <w:szCs w:val="22"/>
          <w:lang w:val="et-EE"/>
        </w:rPr>
        <w:t xml:space="preserve"> Mitteopereeritava ja/või metastaseerunud GIST</w:t>
      </w:r>
      <w:r w:rsidR="00D21C49">
        <w:rPr>
          <w:color w:val="000000"/>
          <w:sz w:val="22"/>
          <w:szCs w:val="22"/>
          <w:lang w:val="et-EE"/>
        </w:rPr>
        <w:t>-i</w:t>
      </w:r>
      <w:r w:rsidR="00556CBF" w:rsidRPr="00EC3BD7">
        <w:rPr>
          <w:color w:val="000000"/>
          <w:sz w:val="22"/>
          <w:szCs w:val="22"/>
          <w:lang w:val="et-EE"/>
        </w:rPr>
        <w:t xml:space="preserve"> uuringus täheldati kokku</w:t>
      </w:r>
      <w:r w:rsidRPr="00EC3BD7">
        <w:rPr>
          <w:color w:val="000000"/>
          <w:sz w:val="22"/>
          <w:szCs w:val="22"/>
          <w:lang w:val="et-EE"/>
        </w:rPr>
        <w:t xml:space="preserve"> seitsmel patsiendil</w:t>
      </w:r>
      <w:r w:rsidRPr="00EC3BD7">
        <w:rPr>
          <w:snapToGrid w:val="0"/>
          <w:color w:val="000000"/>
          <w:sz w:val="22"/>
          <w:szCs w:val="22"/>
          <w:lang w:val="et-EE"/>
        </w:rPr>
        <w:t xml:space="preserve"> (5%) </w:t>
      </w:r>
      <w:smartTag w:uri="urn:schemas-microsoft-com:office:smarttags" w:element="stockticker">
        <w:r w:rsidRPr="00EC3BD7">
          <w:rPr>
            <w:snapToGrid w:val="0"/>
            <w:color w:val="000000"/>
            <w:sz w:val="22"/>
            <w:szCs w:val="22"/>
            <w:lang w:val="et-EE"/>
          </w:rPr>
          <w:t>III</w:t>
        </w:r>
      </w:smartTag>
      <w:r w:rsidRPr="00EC3BD7">
        <w:rPr>
          <w:snapToGrid w:val="0"/>
          <w:color w:val="000000"/>
          <w:sz w:val="22"/>
          <w:szCs w:val="22"/>
          <w:lang w:val="et-EE"/>
        </w:rPr>
        <w:t>/IV astme (</w:t>
      </w:r>
      <w:smartTag w:uri="urn:schemas-microsoft-com:office:smarttags" w:element="stockticker">
        <w:r w:rsidRPr="00EC3BD7">
          <w:rPr>
            <w:snapToGrid w:val="0"/>
            <w:color w:val="000000"/>
            <w:sz w:val="22"/>
            <w:szCs w:val="22"/>
            <w:lang w:val="et-EE"/>
          </w:rPr>
          <w:t>CTC</w:t>
        </w:r>
      </w:smartTag>
      <w:r w:rsidRPr="00EC3BD7">
        <w:rPr>
          <w:snapToGrid w:val="0"/>
          <w:color w:val="000000"/>
          <w:sz w:val="22"/>
          <w:szCs w:val="22"/>
          <w:lang w:val="et-EE"/>
        </w:rPr>
        <w:t xml:space="preserve"> järgi) seedetrakti verejookse (kolmel patsiendil), kasvajasiseseid verejookse (kolmel patsiendil) või mõlemat (ühel patsiendil). Seedetrakti verejooksud võisid pärineda seedetraktis paiknevatest kasvajatest (vt lõik</w:t>
      </w:r>
      <w:r w:rsidR="00DB0BC8" w:rsidRPr="00EC3BD7">
        <w:rPr>
          <w:snapToGrid w:val="0"/>
          <w:color w:val="000000"/>
          <w:sz w:val="22"/>
          <w:szCs w:val="22"/>
          <w:lang w:val="et-EE"/>
        </w:rPr>
        <w:t> </w:t>
      </w:r>
      <w:r w:rsidRPr="00EC3BD7">
        <w:rPr>
          <w:snapToGrid w:val="0"/>
          <w:color w:val="000000"/>
          <w:sz w:val="22"/>
          <w:szCs w:val="22"/>
          <w:lang w:val="et-EE"/>
        </w:rPr>
        <w:t xml:space="preserve">4.4). Seedetrakti ja kasvaja verejooksud võivad olla rasked ja mõnikord ka letaalsed. Kõige sagedamini täheldatud </w:t>
      </w:r>
      <w:r w:rsidRPr="00EC3BD7">
        <w:rPr>
          <w:color w:val="000000"/>
          <w:sz w:val="22"/>
          <w:szCs w:val="22"/>
          <w:lang w:val="et-EE"/>
        </w:rPr>
        <w:t>(</w:t>
      </w:r>
      <w:r w:rsidRPr="00EC3BD7">
        <w:rPr>
          <w:color w:val="000000"/>
          <w:sz w:val="22"/>
          <w:szCs w:val="22"/>
          <w:lang w:val="et-EE"/>
        </w:rPr>
        <w:sym w:font="Symbol" w:char="F0B3"/>
      </w:r>
      <w:r w:rsidRPr="00EC3BD7">
        <w:rPr>
          <w:color w:val="000000"/>
          <w:sz w:val="22"/>
          <w:szCs w:val="22"/>
          <w:lang w:val="et-EE"/>
        </w:rPr>
        <w:t>10%) ravimiga seotud kõrvaltoimed olid mõlemal juhul kerge iiveldus, oksendamine, kõhulahtisus, kõhuvalu, väsimus, lihasvalu, lihaskrambid ja lööve. Pindmised tursed esinesid sageli kõigis uuringutes ja neid kirjeldati peamiselt periorbitaalsete või alajäsemete tursetena. Siiski olid need tursed harva rasked ja neid võib vajadusel ravida diureetikumide, teiste toetavate abinõude või Gliveci annuse vähendamisega.</w:t>
      </w:r>
    </w:p>
    <w:p w14:paraId="452C232C" w14:textId="77777777" w:rsidR="00136210" w:rsidRPr="00EC3BD7" w:rsidRDefault="00136210">
      <w:pPr>
        <w:pStyle w:val="Text"/>
        <w:widowControl w:val="0"/>
        <w:spacing w:before="0"/>
        <w:jc w:val="left"/>
        <w:rPr>
          <w:color w:val="000000"/>
          <w:sz w:val="22"/>
          <w:szCs w:val="22"/>
          <w:lang w:val="et-EE"/>
        </w:rPr>
      </w:pPr>
    </w:p>
    <w:p w14:paraId="494E35F0" w14:textId="75ADF73A" w:rsidR="00136210" w:rsidRPr="00EC3BD7" w:rsidRDefault="00136210">
      <w:pPr>
        <w:pStyle w:val="Text"/>
        <w:widowControl w:val="0"/>
        <w:spacing w:before="0"/>
        <w:jc w:val="left"/>
        <w:rPr>
          <w:color w:val="000000"/>
          <w:sz w:val="22"/>
          <w:szCs w:val="22"/>
          <w:lang w:val="et-EE"/>
        </w:rPr>
      </w:pPr>
      <w:r w:rsidRPr="00EC3BD7">
        <w:rPr>
          <w:color w:val="000000"/>
          <w:sz w:val="22"/>
          <w:szCs w:val="22"/>
          <w:lang w:val="et-EE"/>
        </w:rPr>
        <w:t>Kui Ph+ </w:t>
      </w:r>
      <w:smartTag w:uri="urn:schemas-microsoft-com:office:smarttags" w:element="stockticker">
        <w:r w:rsidRPr="00EC3BD7">
          <w:rPr>
            <w:color w:val="000000"/>
            <w:sz w:val="22"/>
            <w:szCs w:val="22"/>
            <w:lang w:val="et-EE"/>
          </w:rPr>
          <w:t>ALL</w:t>
        </w:r>
        <w:r w:rsidR="00D21C49">
          <w:rPr>
            <w:color w:val="000000"/>
            <w:sz w:val="22"/>
            <w:szCs w:val="22"/>
            <w:lang w:val="et-EE"/>
          </w:rPr>
          <w:t>-i</w:t>
        </w:r>
      </w:smartTag>
      <w:r w:rsidRPr="00EC3BD7">
        <w:rPr>
          <w:color w:val="000000"/>
          <w:sz w:val="22"/>
          <w:szCs w:val="22"/>
          <w:lang w:val="et-EE"/>
        </w:rPr>
        <w:t xml:space="preserve"> patsientidel kasutati imatiniibi kombinatsioonis suurte kemoteraapia annustega, täheldati mööduvat maksatoksilisust maksaensüümide aktiivsuse suurenemise ja hüperbilirubineemiaga.</w:t>
      </w:r>
      <w:r w:rsidR="00C02448" w:rsidRPr="00EC3BD7">
        <w:rPr>
          <w:color w:val="000000"/>
          <w:sz w:val="22"/>
          <w:szCs w:val="22"/>
          <w:lang w:val="et-EE"/>
        </w:rPr>
        <w:t xml:space="preserve"> </w:t>
      </w:r>
      <w:r w:rsidR="004920C4" w:rsidRPr="00EC3BD7">
        <w:rPr>
          <w:color w:val="000000"/>
          <w:sz w:val="22"/>
          <w:szCs w:val="22"/>
          <w:lang w:val="et-EE"/>
        </w:rPr>
        <w:t>Kuigi lastel on seni kirjeldatud vähe kõrvaltoimeid, on need ohutusalaste andmete vähesust a</w:t>
      </w:r>
      <w:r w:rsidR="00C02448" w:rsidRPr="00EC3BD7">
        <w:rPr>
          <w:color w:val="000000"/>
          <w:sz w:val="22"/>
          <w:szCs w:val="22"/>
          <w:lang w:val="et-EE"/>
        </w:rPr>
        <w:t xml:space="preserve">rvestades </w:t>
      </w:r>
      <w:r w:rsidR="004920C4" w:rsidRPr="00EC3BD7">
        <w:rPr>
          <w:color w:val="000000"/>
          <w:sz w:val="22"/>
          <w:szCs w:val="22"/>
          <w:lang w:val="et-EE"/>
        </w:rPr>
        <w:t xml:space="preserve">sarnased </w:t>
      </w:r>
      <w:r w:rsidR="0039488C" w:rsidRPr="00EC3BD7">
        <w:rPr>
          <w:color w:val="000000"/>
          <w:sz w:val="22"/>
          <w:szCs w:val="22"/>
          <w:lang w:val="et-EE"/>
        </w:rPr>
        <w:t xml:space="preserve">ohutusprofiiliga </w:t>
      </w:r>
      <w:r w:rsidR="00E82F3D" w:rsidRPr="00EC3BD7">
        <w:rPr>
          <w:color w:val="000000"/>
          <w:sz w:val="22"/>
          <w:szCs w:val="22"/>
          <w:lang w:val="et-EE"/>
        </w:rPr>
        <w:t>täiskasvanud patsientide</w:t>
      </w:r>
      <w:r w:rsidR="0039488C" w:rsidRPr="00EC3BD7">
        <w:rPr>
          <w:color w:val="000000"/>
          <w:sz w:val="22"/>
          <w:szCs w:val="22"/>
          <w:lang w:val="et-EE"/>
        </w:rPr>
        <w:t>l</w:t>
      </w:r>
      <w:r w:rsidR="0039488C" w:rsidRPr="00EC3BD7">
        <w:rPr>
          <w:lang w:val="et-EE"/>
        </w:rPr>
        <w:t xml:space="preserve"> </w:t>
      </w:r>
      <w:r w:rsidR="0039488C" w:rsidRPr="00EC3BD7">
        <w:rPr>
          <w:color w:val="000000"/>
          <w:sz w:val="22"/>
          <w:szCs w:val="22"/>
          <w:lang w:val="et-EE"/>
        </w:rPr>
        <w:t>Ph+ ALL</w:t>
      </w:r>
      <w:r w:rsidR="00D21C49">
        <w:rPr>
          <w:color w:val="000000"/>
          <w:sz w:val="22"/>
          <w:szCs w:val="22"/>
          <w:lang w:val="et-EE"/>
        </w:rPr>
        <w:t>-i</w:t>
      </w:r>
      <w:r w:rsidR="0039488C" w:rsidRPr="00EC3BD7">
        <w:rPr>
          <w:color w:val="000000"/>
          <w:sz w:val="22"/>
          <w:szCs w:val="22"/>
          <w:lang w:val="et-EE"/>
        </w:rPr>
        <w:t xml:space="preserve"> korral</w:t>
      </w:r>
      <w:r w:rsidR="00E82F3D" w:rsidRPr="00EC3BD7">
        <w:rPr>
          <w:color w:val="000000"/>
          <w:sz w:val="22"/>
          <w:szCs w:val="22"/>
          <w:lang w:val="et-EE"/>
        </w:rPr>
        <w:t>.</w:t>
      </w:r>
      <w:r w:rsidR="00DE41B4" w:rsidRPr="00EC3BD7">
        <w:rPr>
          <w:color w:val="000000"/>
          <w:sz w:val="22"/>
          <w:szCs w:val="22"/>
          <w:lang w:val="et-EE"/>
        </w:rPr>
        <w:t xml:space="preserve"> </w:t>
      </w:r>
      <w:r w:rsidR="00DE41B4" w:rsidRPr="00EC3BD7">
        <w:rPr>
          <w:color w:val="000000"/>
          <w:sz w:val="22"/>
          <w:szCs w:val="22"/>
          <w:lang w:val="et-EE"/>
        </w:rPr>
        <w:lastRenderedPageBreak/>
        <w:t>Kuigi ohutusalas</w:t>
      </w:r>
      <w:r w:rsidR="0039488C" w:rsidRPr="00EC3BD7">
        <w:rPr>
          <w:color w:val="000000"/>
          <w:sz w:val="22"/>
          <w:szCs w:val="22"/>
          <w:lang w:val="et-EE"/>
        </w:rPr>
        <w:t>ed</w:t>
      </w:r>
      <w:r w:rsidR="00DE41B4" w:rsidRPr="00EC3BD7">
        <w:rPr>
          <w:color w:val="000000"/>
          <w:sz w:val="22"/>
          <w:szCs w:val="22"/>
          <w:lang w:val="et-EE"/>
        </w:rPr>
        <w:t xml:space="preserve"> andmed lastel </w:t>
      </w:r>
      <w:r w:rsidR="0039488C" w:rsidRPr="00EC3BD7">
        <w:rPr>
          <w:color w:val="000000"/>
          <w:sz w:val="22"/>
          <w:szCs w:val="22"/>
          <w:lang w:val="et-EE"/>
        </w:rPr>
        <w:t>Ph+ ALL</w:t>
      </w:r>
      <w:r w:rsidR="00D21C49">
        <w:rPr>
          <w:color w:val="000000"/>
          <w:sz w:val="22"/>
          <w:szCs w:val="22"/>
          <w:lang w:val="et-EE"/>
        </w:rPr>
        <w:t>-i</w:t>
      </w:r>
      <w:r w:rsidR="0039488C" w:rsidRPr="00EC3BD7">
        <w:rPr>
          <w:color w:val="000000"/>
          <w:sz w:val="22"/>
          <w:szCs w:val="22"/>
          <w:lang w:val="et-EE"/>
        </w:rPr>
        <w:t xml:space="preserve"> korral </w:t>
      </w:r>
      <w:r w:rsidR="00DE41B4" w:rsidRPr="00EC3BD7">
        <w:rPr>
          <w:color w:val="000000"/>
          <w:sz w:val="22"/>
          <w:szCs w:val="22"/>
          <w:lang w:val="et-EE"/>
        </w:rPr>
        <w:t>on piiratud, ei ole uusi ohtusid lastel idenfititseeritud.</w:t>
      </w:r>
    </w:p>
    <w:p w14:paraId="587801B1" w14:textId="77777777" w:rsidR="00136210" w:rsidRPr="00EC3BD7" w:rsidRDefault="00136210">
      <w:pPr>
        <w:pStyle w:val="Text"/>
        <w:widowControl w:val="0"/>
        <w:spacing w:before="0"/>
        <w:jc w:val="left"/>
        <w:rPr>
          <w:color w:val="000000"/>
          <w:sz w:val="22"/>
          <w:szCs w:val="22"/>
          <w:lang w:val="et-EE"/>
        </w:rPr>
      </w:pPr>
    </w:p>
    <w:p w14:paraId="0EE5C469" w14:textId="77777777" w:rsidR="00136210" w:rsidRPr="00EC3BD7" w:rsidRDefault="00136210">
      <w:pPr>
        <w:pStyle w:val="Text"/>
        <w:widowControl w:val="0"/>
        <w:spacing w:before="0"/>
        <w:jc w:val="left"/>
        <w:rPr>
          <w:color w:val="000000"/>
          <w:sz w:val="22"/>
          <w:szCs w:val="22"/>
          <w:lang w:val="et-EE"/>
        </w:rPr>
      </w:pPr>
      <w:r w:rsidRPr="00EC3BD7">
        <w:rPr>
          <w:color w:val="000000"/>
          <w:sz w:val="22"/>
          <w:szCs w:val="22"/>
          <w:lang w:val="et-EE"/>
        </w:rPr>
        <w:t>Mitmesuguseid kõrvaltoimeid nagu pleura efusioon, astsiit, kopsuturse ja kiire kaalutõus koos või ilma pindmiste turseteta, võib üheskoos kirjeldada kui “vedelikupeetust”. Neid reaktsioone saab tavaliselt ravida Gliveci ajutise ärajätmisega ja diureetikumidega ning muu toetava raviga. Siiski võivad mõned nimetatud juhtudest olla rasked või eluohtlikud ning mitmed blastses kriisis patsiendid surid pleuraefusiooni, kongestiivse südamepuudulikkuse ja neerupuudulikkuse kompleksse kliinilise pildiga. Pediaatrilistes kliinilistes uuringutes ei olnud erinevaid ohutusalaseid leide.</w:t>
      </w:r>
    </w:p>
    <w:p w14:paraId="1FACB335" w14:textId="77777777" w:rsidR="00136210" w:rsidRPr="00EC3BD7" w:rsidRDefault="00136210">
      <w:pPr>
        <w:pStyle w:val="Text"/>
        <w:widowControl w:val="0"/>
        <w:spacing w:before="0"/>
        <w:jc w:val="left"/>
        <w:rPr>
          <w:color w:val="000000"/>
          <w:sz w:val="22"/>
          <w:szCs w:val="22"/>
          <w:lang w:val="et-EE"/>
        </w:rPr>
      </w:pPr>
    </w:p>
    <w:p w14:paraId="3F63C189" w14:textId="77777777" w:rsidR="00136210" w:rsidRPr="00EC3BD7" w:rsidRDefault="00136210" w:rsidP="00B9089D">
      <w:pPr>
        <w:pStyle w:val="Text"/>
        <w:keepNext/>
        <w:widowControl w:val="0"/>
        <w:spacing w:before="0"/>
        <w:jc w:val="left"/>
        <w:rPr>
          <w:b/>
          <w:color w:val="000000"/>
          <w:sz w:val="22"/>
          <w:szCs w:val="22"/>
          <w:lang w:val="et-EE"/>
        </w:rPr>
      </w:pPr>
      <w:r w:rsidRPr="00EC3BD7">
        <w:rPr>
          <w:b/>
          <w:color w:val="000000"/>
          <w:sz w:val="22"/>
          <w:szCs w:val="22"/>
          <w:lang w:val="et-EE"/>
        </w:rPr>
        <w:t>Kõrvaltoimed</w:t>
      </w:r>
    </w:p>
    <w:p w14:paraId="710470F8" w14:textId="77777777" w:rsidR="00136210" w:rsidRPr="00EC3BD7" w:rsidRDefault="00136210" w:rsidP="008174D6">
      <w:pPr>
        <w:pStyle w:val="Text"/>
        <w:widowControl w:val="0"/>
        <w:spacing w:before="0"/>
        <w:jc w:val="left"/>
        <w:rPr>
          <w:color w:val="000000"/>
          <w:sz w:val="22"/>
          <w:szCs w:val="22"/>
          <w:lang w:val="et-EE"/>
        </w:rPr>
      </w:pPr>
      <w:r w:rsidRPr="00EC3BD7">
        <w:rPr>
          <w:color w:val="000000"/>
          <w:sz w:val="22"/>
          <w:szCs w:val="22"/>
          <w:lang w:val="et-EE"/>
        </w:rPr>
        <w:t>Kõrvaltoimed, mida täheldati sagedamini kui üksikjuht, on toodud allpool organsüsteemi klasside ja esinemissageduse järgi. Esinemissagedus on defineeritud</w:t>
      </w:r>
      <w:r w:rsidR="008174D6" w:rsidRPr="00EC3BD7">
        <w:rPr>
          <w:color w:val="000000"/>
          <w:sz w:val="22"/>
          <w:szCs w:val="22"/>
          <w:lang w:val="et-EE"/>
        </w:rPr>
        <w:t>, kasutades</w:t>
      </w:r>
      <w:r w:rsidRPr="00EC3BD7">
        <w:rPr>
          <w:color w:val="000000"/>
          <w:sz w:val="22"/>
          <w:szCs w:val="22"/>
          <w:lang w:val="et-EE"/>
        </w:rPr>
        <w:t xml:space="preserve"> järgmis</w:t>
      </w:r>
      <w:r w:rsidR="008174D6" w:rsidRPr="00EC3BD7">
        <w:rPr>
          <w:color w:val="000000"/>
          <w:sz w:val="22"/>
          <w:szCs w:val="22"/>
          <w:lang w:val="et-EE"/>
        </w:rPr>
        <w:t>t konventsiooni</w:t>
      </w:r>
      <w:r w:rsidRPr="00EC3BD7">
        <w:rPr>
          <w:color w:val="000000"/>
          <w:sz w:val="22"/>
          <w:szCs w:val="22"/>
          <w:lang w:val="et-EE"/>
        </w:rPr>
        <w:t>: väga sage (</w:t>
      </w:r>
      <w:r w:rsidR="00DA3449" w:rsidRPr="00EC3BD7">
        <w:rPr>
          <w:color w:val="000000"/>
          <w:sz w:val="22"/>
          <w:szCs w:val="22"/>
          <w:lang w:val="et-EE"/>
        </w:rPr>
        <w:t>≥</w:t>
      </w:r>
      <w:r w:rsidRPr="00EC3BD7">
        <w:rPr>
          <w:color w:val="000000"/>
          <w:sz w:val="22"/>
          <w:szCs w:val="22"/>
          <w:lang w:val="et-EE"/>
        </w:rPr>
        <w:t>1/10), sage (</w:t>
      </w:r>
      <w:r w:rsidR="00DA3449" w:rsidRPr="00EC3BD7">
        <w:rPr>
          <w:color w:val="000000"/>
          <w:sz w:val="22"/>
          <w:szCs w:val="22"/>
          <w:lang w:val="et-EE"/>
        </w:rPr>
        <w:t>≥</w:t>
      </w:r>
      <w:r w:rsidRPr="00EC3BD7">
        <w:rPr>
          <w:color w:val="000000"/>
          <w:sz w:val="22"/>
          <w:szCs w:val="22"/>
          <w:lang w:val="et-EE"/>
        </w:rPr>
        <w:t>1/100</w:t>
      </w:r>
      <w:r w:rsidR="008174D6" w:rsidRPr="00EC3BD7">
        <w:rPr>
          <w:color w:val="000000"/>
          <w:sz w:val="22"/>
          <w:szCs w:val="22"/>
          <w:lang w:val="et-EE"/>
        </w:rPr>
        <w:t xml:space="preserve"> kuni</w:t>
      </w:r>
      <w:r w:rsidRPr="00EC3BD7">
        <w:rPr>
          <w:color w:val="000000"/>
          <w:sz w:val="22"/>
          <w:szCs w:val="22"/>
          <w:lang w:val="et-EE"/>
        </w:rPr>
        <w:t xml:space="preserve"> </w:t>
      </w:r>
      <w:r w:rsidR="00DA3449" w:rsidRPr="00EC3BD7">
        <w:rPr>
          <w:color w:val="000000"/>
          <w:sz w:val="22"/>
          <w:szCs w:val="22"/>
          <w:lang w:val="et-EE"/>
        </w:rPr>
        <w:t>&lt;</w:t>
      </w:r>
      <w:r w:rsidRPr="00EC3BD7">
        <w:rPr>
          <w:color w:val="000000"/>
          <w:sz w:val="22"/>
          <w:szCs w:val="22"/>
          <w:lang w:val="et-EE"/>
        </w:rPr>
        <w:t>1/10), aeg-ajalt (</w:t>
      </w:r>
      <w:r w:rsidR="00DA3449" w:rsidRPr="00EC3BD7">
        <w:rPr>
          <w:color w:val="000000"/>
          <w:sz w:val="22"/>
          <w:szCs w:val="22"/>
          <w:lang w:val="et-EE"/>
        </w:rPr>
        <w:t>≥</w:t>
      </w:r>
      <w:r w:rsidRPr="00EC3BD7">
        <w:rPr>
          <w:color w:val="000000"/>
          <w:sz w:val="22"/>
          <w:szCs w:val="22"/>
          <w:lang w:val="et-EE"/>
        </w:rPr>
        <w:t>1/1000</w:t>
      </w:r>
      <w:r w:rsidR="008174D6" w:rsidRPr="00EC3BD7">
        <w:rPr>
          <w:color w:val="000000"/>
          <w:sz w:val="22"/>
          <w:szCs w:val="22"/>
          <w:lang w:val="et-EE"/>
        </w:rPr>
        <w:t xml:space="preserve"> kuni</w:t>
      </w:r>
      <w:r w:rsidRPr="00EC3BD7">
        <w:rPr>
          <w:color w:val="000000"/>
          <w:sz w:val="22"/>
          <w:szCs w:val="22"/>
          <w:lang w:val="et-EE"/>
        </w:rPr>
        <w:t xml:space="preserve"> </w:t>
      </w:r>
      <w:r w:rsidR="00DA3449" w:rsidRPr="00EC3BD7">
        <w:rPr>
          <w:color w:val="000000"/>
          <w:sz w:val="22"/>
          <w:szCs w:val="22"/>
          <w:lang w:val="et-EE"/>
        </w:rPr>
        <w:t>&lt;</w:t>
      </w:r>
      <w:r w:rsidRPr="00EC3BD7">
        <w:rPr>
          <w:color w:val="000000"/>
          <w:sz w:val="22"/>
          <w:szCs w:val="22"/>
          <w:lang w:val="et-EE"/>
        </w:rPr>
        <w:t>1/100), harv (</w:t>
      </w:r>
      <w:r w:rsidR="008174D6" w:rsidRPr="00EC3BD7">
        <w:rPr>
          <w:color w:val="000000"/>
          <w:sz w:val="22"/>
          <w:szCs w:val="22"/>
          <w:lang w:val="et-EE"/>
        </w:rPr>
        <w:t>≥1/10 000 kuni &lt;</w:t>
      </w:r>
      <w:r w:rsidRPr="00EC3BD7">
        <w:rPr>
          <w:color w:val="000000"/>
          <w:sz w:val="22"/>
          <w:szCs w:val="22"/>
          <w:lang w:val="et-EE"/>
        </w:rPr>
        <w:t xml:space="preserve">1/1000), </w:t>
      </w:r>
      <w:r w:rsidR="008174D6" w:rsidRPr="00EC3BD7">
        <w:rPr>
          <w:color w:val="000000"/>
          <w:sz w:val="22"/>
          <w:szCs w:val="22"/>
          <w:lang w:val="et-EE"/>
        </w:rPr>
        <w:t>väga harv (&lt;1/10 000)</w:t>
      </w:r>
      <w:r w:rsidR="000B760F" w:rsidRPr="00EC3BD7">
        <w:rPr>
          <w:color w:val="000000"/>
          <w:sz w:val="22"/>
          <w:szCs w:val="22"/>
          <w:lang w:val="et-EE"/>
        </w:rPr>
        <w:t xml:space="preserve">, </w:t>
      </w:r>
      <w:r w:rsidRPr="00EC3BD7">
        <w:rPr>
          <w:color w:val="000000"/>
          <w:sz w:val="22"/>
          <w:szCs w:val="22"/>
          <w:lang w:val="et-EE"/>
        </w:rPr>
        <w:t>teadmata (ei saa hinnata olemasolevate andmete alusel).</w:t>
      </w:r>
    </w:p>
    <w:p w14:paraId="526ECFE1" w14:textId="77777777" w:rsidR="00136210" w:rsidRPr="00EC3BD7" w:rsidRDefault="00136210">
      <w:pPr>
        <w:pStyle w:val="Text"/>
        <w:widowControl w:val="0"/>
        <w:spacing w:before="0"/>
        <w:jc w:val="left"/>
        <w:rPr>
          <w:color w:val="000000"/>
          <w:sz w:val="22"/>
          <w:szCs w:val="22"/>
          <w:lang w:val="et-EE"/>
        </w:rPr>
      </w:pPr>
    </w:p>
    <w:p w14:paraId="0029D943" w14:textId="77777777" w:rsidR="00136210" w:rsidRPr="00EC3BD7" w:rsidRDefault="00136210">
      <w:pPr>
        <w:pStyle w:val="Text"/>
        <w:widowControl w:val="0"/>
        <w:spacing w:before="0"/>
        <w:jc w:val="left"/>
        <w:rPr>
          <w:color w:val="000000"/>
          <w:sz w:val="22"/>
          <w:szCs w:val="22"/>
          <w:lang w:val="et-EE"/>
        </w:rPr>
      </w:pPr>
      <w:r w:rsidRPr="00EC3BD7">
        <w:rPr>
          <w:color w:val="000000"/>
          <w:sz w:val="22"/>
          <w:szCs w:val="22"/>
          <w:lang w:val="et-EE"/>
        </w:rPr>
        <w:t xml:space="preserve">Igas esinemissageduse grupis on kõrvaltoimed toodud </w:t>
      </w:r>
      <w:r w:rsidR="007D5948" w:rsidRPr="00EC3BD7">
        <w:rPr>
          <w:color w:val="000000"/>
          <w:sz w:val="22"/>
          <w:szCs w:val="22"/>
          <w:lang w:val="et-EE"/>
        </w:rPr>
        <w:t>sageduse järjekorras, sagedasemad eespool</w:t>
      </w:r>
      <w:r w:rsidRPr="00EC3BD7">
        <w:rPr>
          <w:color w:val="000000"/>
          <w:sz w:val="22"/>
          <w:szCs w:val="22"/>
          <w:lang w:val="et-EE"/>
        </w:rPr>
        <w:t>.</w:t>
      </w:r>
    </w:p>
    <w:p w14:paraId="60808FBE" w14:textId="77777777" w:rsidR="00DB73AD" w:rsidRPr="00EC3BD7" w:rsidRDefault="00DB73AD">
      <w:pPr>
        <w:pStyle w:val="Text"/>
        <w:widowControl w:val="0"/>
        <w:spacing w:before="0"/>
        <w:jc w:val="left"/>
        <w:rPr>
          <w:color w:val="000000"/>
          <w:sz w:val="22"/>
          <w:szCs w:val="22"/>
          <w:lang w:val="et-EE"/>
        </w:rPr>
      </w:pPr>
    </w:p>
    <w:p w14:paraId="3F1752E7" w14:textId="77777777" w:rsidR="00DB73AD" w:rsidRPr="00EC3BD7" w:rsidRDefault="00DB73AD" w:rsidP="00B9089D">
      <w:pPr>
        <w:keepNext/>
        <w:rPr>
          <w:color w:val="000000"/>
          <w:szCs w:val="22"/>
          <w:lang w:val="et-EE"/>
        </w:rPr>
      </w:pPr>
      <w:bookmarkStart w:id="2" w:name="_Toc411838883"/>
      <w:bookmarkStart w:id="3" w:name="_Toc450641613"/>
      <w:r w:rsidRPr="00EC3BD7">
        <w:rPr>
          <w:color w:val="000000"/>
          <w:szCs w:val="22"/>
          <w:lang w:val="et-EE" w:eastAsia="ja-JP"/>
        </w:rPr>
        <w:t>Tabelis</w:t>
      </w:r>
      <w:r w:rsidR="00256CFD" w:rsidRPr="00EC3BD7">
        <w:rPr>
          <w:color w:val="000000"/>
          <w:szCs w:val="22"/>
          <w:lang w:val="et-EE" w:eastAsia="ja-JP"/>
        </w:rPr>
        <w:t> </w:t>
      </w:r>
      <w:r w:rsidRPr="00EC3BD7">
        <w:rPr>
          <w:color w:val="000000"/>
          <w:szCs w:val="22"/>
          <w:lang w:val="et-EE" w:eastAsia="ja-JP"/>
        </w:rPr>
        <w:t xml:space="preserve">1 </w:t>
      </w:r>
      <w:r w:rsidR="00F1277A" w:rsidRPr="00EC3BD7">
        <w:rPr>
          <w:color w:val="000000"/>
          <w:szCs w:val="22"/>
          <w:lang w:val="et-EE" w:eastAsia="ja-JP"/>
        </w:rPr>
        <w:t xml:space="preserve">on </w:t>
      </w:r>
      <w:r w:rsidRPr="00EC3BD7">
        <w:rPr>
          <w:color w:val="000000"/>
          <w:szCs w:val="22"/>
          <w:lang w:val="et-EE" w:eastAsia="ja-JP"/>
        </w:rPr>
        <w:t>toodud kõrvaltoimed ja nende esinemissagedused.</w:t>
      </w:r>
    </w:p>
    <w:p w14:paraId="7CD438D6" w14:textId="77777777" w:rsidR="00DB73AD" w:rsidRPr="00EC3BD7" w:rsidRDefault="00DB73AD" w:rsidP="00B9089D">
      <w:pPr>
        <w:keepNext/>
        <w:rPr>
          <w:color w:val="000000"/>
          <w:szCs w:val="22"/>
          <w:lang w:val="et-EE"/>
        </w:rPr>
      </w:pPr>
    </w:p>
    <w:p w14:paraId="74957089" w14:textId="77777777" w:rsidR="00DB73AD" w:rsidRPr="00EC3BD7" w:rsidRDefault="00DB73AD" w:rsidP="00B9089D">
      <w:pPr>
        <w:keepNext/>
        <w:tabs>
          <w:tab w:val="clear" w:pos="567"/>
          <w:tab w:val="left" w:pos="1134"/>
        </w:tabs>
        <w:rPr>
          <w:b/>
          <w:color w:val="000000"/>
          <w:szCs w:val="22"/>
          <w:lang w:val="et-EE"/>
        </w:rPr>
      </w:pPr>
      <w:r w:rsidRPr="00EC3BD7">
        <w:rPr>
          <w:b/>
          <w:color w:val="000000"/>
          <w:szCs w:val="22"/>
          <w:lang w:val="et-EE"/>
        </w:rPr>
        <w:t>Tabel 1</w:t>
      </w:r>
      <w:r w:rsidRPr="00EC3BD7">
        <w:rPr>
          <w:b/>
          <w:color w:val="000000"/>
          <w:szCs w:val="22"/>
          <w:lang w:val="et-EE"/>
        </w:rPr>
        <w:tab/>
        <w:t>Kõrvaltoime</w:t>
      </w:r>
      <w:r w:rsidR="00F1277A" w:rsidRPr="00EC3BD7">
        <w:rPr>
          <w:b/>
          <w:color w:val="000000"/>
          <w:szCs w:val="22"/>
          <w:lang w:val="et-EE"/>
        </w:rPr>
        <w:t>te kokkuvõte tabelina</w:t>
      </w:r>
    </w:p>
    <w:p w14:paraId="240B2F48" w14:textId="77777777" w:rsidR="00DF716C" w:rsidRPr="00EC3BD7" w:rsidRDefault="00DF716C" w:rsidP="00B9089D">
      <w:pPr>
        <w:keepNext/>
        <w:rPr>
          <w:color w:val="000000"/>
          <w:szCs w:val="22"/>
          <w:lang w:val="et-EE"/>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DA3449" w:rsidRPr="00EC3BD7" w14:paraId="12D838EF" w14:textId="77777777" w:rsidTr="008B1609">
        <w:trPr>
          <w:cantSplit/>
        </w:trPr>
        <w:tc>
          <w:tcPr>
            <w:tcW w:w="9322" w:type="dxa"/>
            <w:gridSpan w:val="2"/>
          </w:tcPr>
          <w:p w14:paraId="5C21AC34" w14:textId="77777777" w:rsidR="00DA3449" w:rsidRPr="00EC3BD7" w:rsidRDefault="00DA3449" w:rsidP="00B9089D">
            <w:pPr>
              <w:keepNext/>
              <w:rPr>
                <w:color w:val="000000"/>
                <w:szCs w:val="22"/>
                <w:lang w:val="et-EE"/>
              </w:rPr>
            </w:pPr>
            <w:r w:rsidRPr="00EC3BD7">
              <w:rPr>
                <w:b/>
                <w:color w:val="000000"/>
                <w:szCs w:val="22"/>
                <w:lang w:val="et-EE"/>
              </w:rPr>
              <w:t>Infektsioonid ja infestatsioonid</w:t>
            </w:r>
          </w:p>
        </w:tc>
      </w:tr>
      <w:tr w:rsidR="00DA3449" w:rsidRPr="005D29F8" w14:paraId="756228BE" w14:textId="77777777" w:rsidTr="008B1609">
        <w:trPr>
          <w:cantSplit/>
        </w:trPr>
        <w:tc>
          <w:tcPr>
            <w:tcW w:w="2235" w:type="dxa"/>
          </w:tcPr>
          <w:p w14:paraId="0C0CEDD6" w14:textId="77777777" w:rsidR="00DA3449" w:rsidRPr="00EC3BD7" w:rsidRDefault="00DA3449" w:rsidP="00B9089D">
            <w:pPr>
              <w:keepNext/>
              <w:rPr>
                <w:color w:val="000000"/>
                <w:szCs w:val="22"/>
                <w:lang w:val="et-EE"/>
              </w:rPr>
            </w:pPr>
            <w:r w:rsidRPr="00EC3BD7">
              <w:rPr>
                <w:i/>
                <w:color w:val="000000"/>
                <w:szCs w:val="22"/>
                <w:lang w:val="et-EE"/>
              </w:rPr>
              <w:t>Aeg-ajalt:</w:t>
            </w:r>
          </w:p>
        </w:tc>
        <w:tc>
          <w:tcPr>
            <w:tcW w:w="7087" w:type="dxa"/>
          </w:tcPr>
          <w:p w14:paraId="670CE961" w14:textId="77777777" w:rsidR="00DA3449" w:rsidRPr="00EC3BD7" w:rsidRDefault="00DA3449" w:rsidP="00B9089D">
            <w:pPr>
              <w:keepNext/>
              <w:rPr>
                <w:color w:val="000000"/>
                <w:szCs w:val="22"/>
                <w:lang w:val="et-EE"/>
              </w:rPr>
            </w:pPr>
            <w:r w:rsidRPr="00EC3BD7">
              <w:rPr>
                <w:i/>
                <w:color w:val="000000"/>
                <w:szCs w:val="22"/>
                <w:lang w:val="et-EE"/>
              </w:rPr>
              <w:t>Herpes zoster</w:t>
            </w:r>
            <w:r w:rsidRPr="00EC3BD7">
              <w:rPr>
                <w:color w:val="000000"/>
                <w:szCs w:val="22"/>
                <w:lang w:val="et-EE"/>
              </w:rPr>
              <w:t xml:space="preserve">, </w:t>
            </w:r>
            <w:r w:rsidRPr="00EC3BD7">
              <w:rPr>
                <w:i/>
                <w:color w:val="000000"/>
                <w:szCs w:val="22"/>
                <w:lang w:val="et-EE"/>
              </w:rPr>
              <w:t>herpes simplex</w:t>
            </w:r>
            <w:r w:rsidRPr="00EC3BD7">
              <w:rPr>
                <w:color w:val="000000"/>
                <w:szCs w:val="22"/>
                <w:lang w:val="et-EE"/>
              </w:rPr>
              <w:t>, nasofarüngiit, kopsupõletik</w:t>
            </w:r>
            <w:r w:rsidR="004528D4" w:rsidRPr="00EC3BD7">
              <w:rPr>
                <w:color w:val="000000"/>
                <w:szCs w:val="22"/>
                <w:vertAlign w:val="superscript"/>
                <w:lang w:val="et-EE"/>
              </w:rPr>
              <w:t>1</w:t>
            </w:r>
            <w:r w:rsidRPr="00EC3BD7">
              <w:rPr>
                <w:color w:val="000000"/>
                <w:szCs w:val="22"/>
                <w:lang w:val="et-EE"/>
              </w:rPr>
              <w:t>, sinusiit, tselluliit, ülemiste hingamisteede infektsioon, gripp, kuseteede infektsioon, gastroenteriit, sepsis</w:t>
            </w:r>
          </w:p>
        </w:tc>
      </w:tr>
      <w:tr w:rsidR="00DA3449" w:rsidRPr="00EC3BD7" w14:paraId="6DE15C23" w14:textId="77777777" w:rsidTr="008B1609">
        <w:trPr>
          <w:cantSplit/>
        </w:trPr>
        <w:tc>
          <w:tcPr>
            <w:tcW w:w="2235" w:type="dxa"/>
          </w:tcPr>
          <w:p w14:paraId="51C2008D" w14:textId="77777777" w:rsidR="00DA3449" w:rsidRPr="00EC3BD7" w:rsidRDefault="00DA3449" w:rsidP="00B9089D">
            <w:pPr>
              <w:keepNext/>
              <w:rPr>
                <w:i/>
                <w:color w:val="000000"/>
                <w:szCs w:val="22"/>
                <w:lang w:val="et-EE"/>
              </w:rPr>
            </w:pPr>
            <w:r w:rsidRPr="00EC3BD7">
              <w:rPr>
                <w:i/>
                <w:color w:val="000000"/>
                <w:szCs w:val="22"/>
                <w:lang w:val="et-EE"/>
              </w:rPr>
              <w:t>Harv:</w:t>
            </w:r>
          </w:p>
        </w:tc>
        <w:tc>
          <w:tcPr>
            <w:tcW w:w="7087" w:type="dxa"/>
          </w:tcPr>
          <w:p w14:paraId="1A9C010F" w14:textId="77777777" w:rsidR="00DA3449" w:rsidRPr="00EC3BD7" w:rsidRDefault="00DA3449" w:rsidP="00B9089D">
            <w:pPr>
              <w:keepNext/>
              <w:rPr>
                <w:color w:val="000000"/>
                <w:szCs w:val="22"/>
                <w:lang w:val="et-EE"/>
              </w:rPr>
            </w:pPr>
            <w:r w:rsidRPr="00EC3BD7">
              <w:rPr>
                <w:color w:val="000000"/>
                <w:szCs w:val="22"/>
                <w:lang w:val="et-EE"/>
              </w:rPr>
              <w:t>Seeninfektsioon</w:t>
            </w:r>
          </w:p>
        </w:tc>
      </w:tr>
      <w:tr w:rsidR="00FE4734" w:rsidRPr="00EC3BD7" w14:paraId="17F5E43A" w14:textId="77777777" w:rsidTr="008B1609">
        <w:trPr>
          <w:cantSplit/>
        </w:trPr>
        <w:tc>
          <w:tcPr>
            <w:tcW w:w="2235" w:type="dxa"/>
          </w:tcPr>
          <w:p w14:paraId="799893B0" w14:textId="77777777" w:rsidR="00FE4734" w:rsidRPr="00EC3BD7" w:rsidRDefault="00FE4734" w:rsidP="00D87ADB">
            <w:pPr>
              <w:widowControl w:val="0"/>
              <w:rPr>
                <w:i/>
                <w:color w:val="000000"/>
                <w:szCs w:val="22"/>
                <w:lang w:val="et-EE"/>
              </w:rPr>
            </w:pPr>
            <w:r w:rsidRPr="00EC3BD7">
              <w:rPr>
                <w:i/>
                <w:color w:val="000000"/>
                <w:szCs w:val="22"/>
                <w:lang w:val="et-EE"/>
              </w:rPr>
              <w:t>Teadmata:</w:t>
            </w:r>
          </w:p>
        </w:tc>
        <w:tc>
          <w:tcPr>
            <w:tcW w:w="7087" w:type="dxa"/>
          </w:tcPr>
          <w:p w14:paraId="6D66B335" w14:textId="77777777" w:rsidR="00FE4734" w:rsidRPr="00EC3BD7" w:rsidRDefault="00FE4734" w:rsidP="00D87ADB">
            <w:pPr>
              <w:widowControl w:val="0"/>
              <w:rPr>
                <w:color w:val="000000"/>
                <w:szCs w:val="22"/>
                <w:lang w:val="et-EE"/>
              </w:rPr>
            </w:pPr>
            <w:r w:rsidRPr="00EC3BD7">
              <w:rPr>
                <w:color w:val="000000"/>
                <w:szCs w:val="22"/>
                <w:lang w:val="et-EE"/>
              </w:rPr>
              <w:t>B-hepatiidi reaktivatsioon*</w:t>
            </w:r>
          </w:p>
        </w:tc>
      </w:tr>
      <w:tr w:rsidR="005C4A64" w:rsidRPr="00EC3BD7" w14:paraId="186D3322" w14:textId="77777777" w:rsidTr="008B1609">
        <w:trPr>
          <w:cantSplit/>
        </w:trPr>
        <w:tc>
          <w:tcPr>
            <w:tcW w:w="9322" w:type="dxa"/>
            <w:gridSpan w:val="2"/>
          </w:tcPr>
          <w:p w14:paraId="4F41552B" w14:textId="77777777" w:rsidR="005C4A64" w:rsidRPr="00EC3BD7" w:rsidRDefault="005C4A64" w:rsidP="00B9089D">
            <w:pPr>
              <w:keepNext/>
              <w:rPr>
                <w:b/>
                <w:color w:val="000000"/>
                <w:szCs w:val="22"/>
                <w:lang w:val="et-EE"/>
              </w:rPr>
            </w:pPr>
            <w:r w:rsidRPr="00EC3BD7">
              <w:rPr>
                <w:b/>
                <w:color w:val="000000"/>
                <w:szCs w:val="22"/>
                <w:lang w:val="et-EE"/>
              </w:rPr>
              <w:t>Hea-, pahaloomulised ja täpsustamata kasvajad (sealhulgas tsüstid ja polüübid)</w:t>
            </w:r>
          </w:p>
        </w:tc>
      </w:tr>
      <w:tr w:rsidR="00F1277A" w:rsidRPr="00EC3BD7" w14:paraId="6DD52BF3" w14:textId="77777777" w:rsidTr="008B1609">
        <w:trPr>
          <w:cantSplit/>
        </w:trPr>
        <w:tc>
          <w:tcPr>
            <w:tcW w:w="2235" w:type="dxa"/>
          </w:tcPr>
          <w:p w14:paraId="304F5108" w14:textId="77777777" w:rsidR="00F1277A" w:rsidRPr="00EC3BD7" w:rsidRDefault="00F1277A" w:rsidP="00B9089D">
            <w:pPr>
              <w:keepNext/>
              <w:rPr>
                <w:i/>
                <w:color w:val="000000"/>
                <w:szCs w:val="22"/>
                <w:lang w:val="et-EE"/>
              </w:rPr>
            </w:pPr>
            <w:r w:rsidRPr="00EC3BD7">
              <w:rPr>
                <w:i/>
                <w:color w:val="000000"/>
                <w:szCs w:val="22"/>
                <w:lang w:val="et-EE"/>
              </w:rPr>
              <w:t>Harv:</w:t>
            </w:r>
          </w:p>
        </w:tc>
        <w:tc>
          <w:tcPr>
            <w:tcW w:w="7087" w:type="dxa"/>
          </w:tcPr>
          <w:p w14:paraId="6DE463CA" w14:textId="77777777" w:rsidR="00F1277A" w:rsidRPr="00EC3BD7" w:rsidRDefault="00F1277A" w:rsidP="00B9089D">
            <w:pPr>
              <w:keepNext/>
              <w:rPr>
                <w:color w:val="000000"/>
                <w:szCs w:val="22"/>
                <w:lang w:val="et-EE"/>
              </w:rPr>
            </w:pPr>
            <w:r w:rsidRPr="00EC3BD7">
              <w:rPr>
                <w:color w:val="000000"/>
                <w:szCs w:val="22"/>
                <w:lang w:val="et-EE"/>
              </w:rPr>
              <w:t>Tuumorilahustussündroom</w:t>
            </w:r>
          </w:p>
        </w:tc>
      </w:tr>
      <w:tr w:rsidR="00A2060F" w:rsidRPr="00EC3BD7" w14:paraId="1C6A5748" w14:textId="77777777" w:rsidTr="008B1609">
        <w:trPr>
          <w:cantSplit/>
        </w:trPr>
        <w:tc>
          <w:tcPr>
            <w:tcW w:w="2235" w:type="dxa"/>
          </w:tcPr>
          <w:p w14:paraId="2603F4F4" w14:textId="77777777" w:rsidR="00A2060F" w:rsidRPr="00EC3BD7" w:rsidRDefault="00A2060F" w:rsidP="001015B8">
            <w:pPr>
              <w:rPr>
                <w:i/>
                <w:color w:val="000000"/>
                <w:szCs w:val="22"/>
                <w:lang w:val="et-EE"/>
              </w:rPr>
            </w:pPr>
            <w:r w:rsidRPr="00EC3BD7">
              <w:rPr>
                <w:i/>
                <w:color w:val="000000"/>
                <w:szCs w:val="22"/>
                <w:lang w:val="et-EE"/>
              </w:rPr>
              <w:t>Teadmata:</w:t>
            </w:r>
          </w:p>
        </w:tc>
        <w:tc>
          <w:tcPr>
            <w:tcW w:w="7087" w:type="dxa"/>
          </w:tcPr>
          <w:p w14:paraId="00D8E8DF" w14:textId="77777777" w:rsidR="00A2060F" w:rsidRPr="00EC3BD7" w:rsidRDefault="00A2060F" w:rsidP="001015B8">
            <w:pPr>
              <w:rPr>
                <w:color w:val="000000"/>
                <w:szCs w:val="22"/>
                <w:lang w:val="et-EE"/>
              </w:rPr>
            </w:pPr>
            <w:r w:rsidRPr="00EC3BD7">
              <w:rPr>
                <w:color w:val="000000"/>
                <w:szCs w:val="22"/>
                <w:lang w:val="et-EE"/>
              </w:rPr>
              <w:t>Tuumori hemorraagia/tuumori nekroos*</w:t>
            </w:r>
          </w:p>
        </w:tc>
      </w:tr>
      <w:tr w:rsidR="00F1277A" w:rsidRPr="00EC3BD7" w14:paraId="297661B8" w14:textId="77777777" w:rsidTr="008B1609">
        <w:trPr>
          <w:cantSplit/>
        </w:trPr>
        <w:tc>
          <w:tcPr>
            <w:tcW w:w="9322" w:type="dxa"/>
            <w:gridSpan w:val="2"/>
          </w:tcPr>
          <w:p w14:paraId="36A31556" w14:textId="77777777" w:rsidR="00F1277A" w:rsidRPr="00EC3BD7" w:rsidRDefault="00F1277A" w:rsidP="00B9089D">
            <w:pPr>
              <w:keepNext/>
              <w:rPr>
                <w:b/>
                <w:color w:val="000000"/>
                <w:szCs w:val="22"/>
                <w:lang w:val="et-EE"/>
              </w:rPr>
            </w:pPr>
            <w:r w:rsidRPr="00EC3BD7">
              <w:rPr>
                <w:b/>
                <w:color w:val="000000"/>
                <w:szCs w:val="22"/>
                <w:lang w:val="et-EE"/>
              </w:rPr>
              <w:t>Immuunsüsteemi häired</w:t>
            </w:r>
          </w:p>
        </w:tc>
      </w:tr>
      <w:tr w:rsidR="00F1277A" w:rsidRPr="00EC3BD7" w14:paraId="4F1E76E6" w14:textId="77777777" w:rsidTr="008B1609">
        <w:trPr>
          <w:cantSplit/>
        </w:trPr>
        <w:tc>
          <w:tcPr>
            <w:tcW w:w="2235" w:type="dxa"/>
          </w:tcPr>
          <w:p w14:paraId="3D8F86FE" w14:textId="77777777" w:rsidR="00F1277A" w:rsidRPr="00EC3BD7" w:rsidRDefault="00F1277A" w:rsidP="00072FC7">
            <w:pPr>
              <w:rPr>
                <w:i/>
                <w:color w:val="000000"/>
                <w:szCs w:val="22"/>
                <w:lang w:val="et-EE"/>
              </w:rPr>
            </w:pPr>
            <w:r w:rsidRPr="00EC3BD7">
              <w:rPr>
                <w:i/>
                <w:color w:val="000000"/>
                <w:szCs w:val="22"/>
                <w:lang w:val="et-EE"/>
              </w:rPr>
              <w:t>Teadmata:</w:t>
            </w:r>
          </w:p>
        </w:tc>
        <w:tc>
          <w:tcPr>
            <w:tcW w:w="7087" w:type="dxa"/>
          </w:tcPr>
          <w:p w14:paraId="463A8C20" w14:textId="77777777" w:rsidR="00F1277A" w:rsidRPr="00EC3BD7" w:rsidRDefault="00F1277A" w:rsidP="00072FC7">
            <w:pPr>
              <w:rPr>
                <w:color w:val="000000"/>
                <w:szCs w:val="22"/>
                <w:lang w:val="et-EE"/>
              </w:rPr>
            </w:pPr>
            <w:r w:rsidRPr="00EC3BD7">
              <w:rPr>
                <w:color w:val="000000"/>
                <w:szCs w:val="22"/>
                <w:lang w:val="et-EE"/>
              </w:rPr>
              <w:t>Anafülaktiline šokk*</w:t>
            </w:r>
          </w:p>
        </w:tc>
      </w:tr>
      <w:tr w:rsidR="00F1277A" w:rsidRPr="00EC3BD7" w14:paraId="285DBBBA" w14:textId="77777777" w:rsidTr="008B1609">
        <w:trPr>
          <w:cantSplit/>
        </w:trPr>
        <w:tc>
          <w:tcPr>
            <w:tcW w:w="9322" w:type="dxa"/>
            <w:gridSpan w:val="2"/>
          </w:tcPr>
          <w:p w14:paraId="5EC43623" w14:textId="77777777" w:rsidR="00F1277A" w:rsidRPr="00EC3BD7" w:rsidRDefault="00F1277A" w:rsidP="00B9089D">
            <w:pPr>
              <w:keepNext/>
              <w:rPr>
                <w:color w:val="000000"/>
                <w:szCs w:val="22"/>
                <w:lang w:val="et-EE"/>
              </w:rPr>
            </w:pPr>
            <w:r w:rsidRPr="00EC3BD7">
              <w:rPr>
                <w:b/>
                <w:color w:val="000000"/>
                <w:szCs w:val="22"/>
                <w:lang w:val="et-EE"/>
              </w:rPr>
              <w:t>Vere ja lümfisüsteemi häired</w:t>
            </w:r>
          </w:p>
        </w:tc>
      </w:tr>
      <w:tr w:rsidR="00F1277A" w:rsidRPr="00EC3BD7" w14:paraId="593C5A5D" w14:textId="77777777" w:rsidTr="008B1609">
        <w:trPr>
          <w:cantSplit/>
        </w:trPr>
        <w:tc>
          <w:tcPr>
            <w:tcW w:w="2235" w:type="dxa"/>
          </w:tcPr>
          <w:p w14:paraId="2EF78E56" w14:textId="77777777" w:rsidR="00F1277A" w:rsidRPr="00EC3BD7" w:rsidRDefault="00F1277A" w:rsidP="00B9089D">
            <w:pPr>
              <w:keepNext/>
              <w:rPr>
                <w:color w:val="000000"/>
                <w:szCs w:val="22"/>
                <w:lang w:val="et-EE"/>
              </w:rPr>
            </w:pPr>
            <w:r w:rsidRPr="00EC3BD7">
              <w:rPr>
                <w:i/>
                <w:color w:val="000000"/>
                <w:szCs w:val="22"/>
                <w:lang w:val="et-EE"/>
              </w:rPr>
              <w:t>Väga sage:</w:t>
            </w:r>
          </w:p>
        </w:tc>
        <w:tc>
          <w:tcPr>
            <w:tcW w:w="7087" w:type="dxa"/>
          </w:tcPr>
          <w:p w14:paraId="6A1C42D2" w14:textId="77777777" w:rsidR="00F1277A" w:rsidRPr="00EC3BD7" w:rsidRDefault="00F1277A" w:rsidP="00B9089D">
            <w:pPr>
              <w:keepNext/>
              <w:rPr>
                <w:color w:val="000000"/>
                <w:szCs w:val="22"/>
                <w:lang w:val="et-EE"/>
              </w:rPr>
            </w:pPr>
            <w:r w:rsidRPr="00EC3BD7">
              <w:rPr>
                <w:color w:val="000000"/>
                <w:szCs w:val="22"/>
                <w:lang w:val="et-EE"/>
              </w:rPr>
              <w:t>Neutropeenia, trombotsütopeenia, aneemia</w:t>
            </w:r>
          </w:p>
        </w:tc>
      </w:tr>
      <w:tr w:rsidR="00F1277A" w:rsidRPr="00EC3BD7" w14:paraId="6DAB06D8" w14:textId="77777777" w:rsidTr="008B1609">
        <w:trPr>
          <w:cantSplit/>
        </w:trPr>
        <w:tc>
          <w:tcPr>
            <w:tcW w:w="2235" w:type="dxa"/>
          </w:tcPr>
          <w:p w14:paraId="7B638716" w14:textId="77777777" w:rsidR="00F1277A" w:rsidRPr="00EC3BD7" w:rsidRDefault="00F1277A" w:rsidP="00B9089D">
            <w:pPr>
              <w:keepNext/>
              <w:rPr>
                <w:color w:val="000000"/>
                <w:szCs w:val="22"/>
                <w:lang w:val="et-EE"/>
              </w:rPr>
            </w:pPr>
            <w:r w:rsidRPr="00EC3BD7">
              <w:rPr>
                <w:i/>
                <w:color w:val="000000"/>
                <w:szCs w:val="22"/>
                <w:lang w:val="et-EE"/>
              </w:rPr>
              <w:t>Sage:</w:t>
            </w:r>
          </w:p>
        </w:tc>
        <w:tc>
          <w:tcPr>
            <w:tcW w:w="7087" w:type="dxa"/>
          </w:tcPr>
          <w:p w14:paraId="34424703" w14:textId="77777777" w:rsidR="00F1277A" w:rsidRPr="00EC3BD7" w:rsidRDefault="00F1277A" w:rsidP="00B9089D">
            <w:pPr>
              <w:keepNext/>
              <w:rPr>
                <w:color w:val="000000"/>
                <w:szCs w:val="22"/>
                <w:lang w:val="et-EE"/>
              </w:rPr>
            </w:pPr>
            <w:r w:rsidRPr="00EC3BD7">
              <w:rPr>
                <w:color w:val="000000"/>
                <w:szCs w:val="22"/>
                <w:lang w:val="et-EE"/>
              </w:rPr>
              <w:t>Pantsütopeenia, febriilne neutropeenia</w:t>
            </w:r>
          </w:p>
        </w:tc>
      </w:tr>
      <w:tr w:rsidR="00F1277A" w:rsidRPr="005D29F8" w14:paraId="166EF4C3" w14:textId="77777777" w:rsidTr="008B1609">
        <w:trPr>
          <w:cantSplit/>
        </w:trPr>
        <w:tc>
          <w:tcPr>
            <w:tcW w:w="2235" w:type="dxa"/>
          </w:tcPr>
          <w:p w14:paraId="5532749E" w14:textId="77777777" w:rsidR="00F1277A" w:rsidRPr="00EC3BD7" w:rsidRDefault="00F1277A" w:rsidP="00B9089D">
            <w:pPr>
              <w:keepNext/>
              <w:rPr>
                <w:color w:val="000000"/>
                <w:szCs w:val="22"/>
                <w:lang w:val="et-EE"/>
              </w:rPr>
            </w:pPr>
            <w:r w:rsidRPr="00EC3BD7">
              <w:rPr>
                <w:i/>
                <w:color w:val="000000"/>
                <w:szCs w:val="22"/>
                <w:lang w:val="et-EE"/>
              </w:rPr>
              <w:t>Aeg-ajalt:</w:t>
            </w:r>
          </w:p>
        </w:tc>
        <w:tc>
          <w:tcPr>
            <w:tcW w:w="7087" w:type="dxa"/>
          </w:tcPr>
          <w:p w14:paraId="0BB0BDD3" w14:textId="77777777" w:rsidR="00F1277A" w:rsidRPr="00EC3BD7" w:rsidRDefault="00F1277A" w:rsidP="00B9089D">
            <w:pPr>
              <w:keepNext/>
              <w:rPr>
                <w:color w:val="000000"/>
                <w:szCs w:val="22"/>
                <w:lang w:val="et-EE"/>
              </w:rPr>
            </w:pPr>
            <w:r w:rsidRPr="00EC3BD7">
              <w:rPr>
                <w:color w:val="000000"/>
                <w:szCs w:val="22"/>
                <w:lang w:val="et-EE"/>
              </w:rPr>
              <w:t>Trombotsütopeenia, lümfopeenia, luuüdi depressioon, eosinofiilia, lümfadenopaatia</w:t>
            </w:r>
          </w:p>
        </w:tc>
      </w:tr>
      <w:tr w:rsidR="00F1277A" w:rsidRPr="00EC3BD7" w14:paraId="6A664A02" w14:textId="77777777" w:rsidTr="008B1609">
        <w:trPr>
          <w:cantSplit/>
        </w:trPr>
        <w:tc>
          <w:tcPr>
            <w:tcW w:w="2235" w:type="dxa"/>
            <w:tcBorders>
              <w:bottom w:val="single" w:sz="4" w:space="0" w:color="auto"/>
            </w:tcBorders>
          </w:tcPr>
          <w:p w14:paraId="39B09DA7" w14:textId="77777777" w:rsidR="00F1277A" w:rsidRPr="00EC3BD7" w:rsidRDefault="00F1277A" w:rsidP="00DB73AD">
            <w:pPr>
              <w:rPr>
                <w:i/>
                <w:color w:val="000000"/>
                <w:szCs w:val="22"/>
                <w:lang w:val="et-EE"/>
              </w:rPr>
            </w:pPr>
            <w:r w:rsidRPr="00EC3BD7">
              <w:rPr>
                <w:i/>
                <w:color w:val="000000"/>
                <w:szCs w:val="22"/>
                <w:lang w:val="et-EE"/>
              </w:rPr>
              <w:t>Harv:</w:t>
            </w:r>
          </w:p>
        </w:tc>
        <w:tc>
          <w:tcPr>
            <w:tcW w:w="7087" w:type="dxa"/>
            <w:tcBorders>
              <w:bottom w:val="single" w:sz="4" w:space="0" w:color="auto"/>
            </w:tcBorders>
          </w:tcPr>
          <w:p w14:paraId="479CEE14" w14:textId="77777777" w:rsidR="00F1277A" w:rsidRPr="00EC3BD7" w:rsidRDefault="00F1277A" w:rsidP="00DB73AD">
            <w:pPr>
              <w:rPr>
                <w:color w:val="000000"/>
                <w:szCs w:val="22"/>
                <w:lang w:val="et-EE"/>
              </w:rPr>
            </w:pPr>
            <w:r w:rsidRPr="00EC3BD7">
              <w:rPr>
                <w:color w:val="000000"/>
                <w:szCs w:val="22"/>
                <w:lang w:val="et-EE"/>
              </w:rPr>
              <w:t>Hemolüütiline aneemia</w:t>
            </w:r>
            <w:r w:rsidR="007A53C3" w:rsidRPr="00EC3BD7">
              <w:rPr>
                <w:color w:val="000000"/>
                <w:szCs w:val="22"/>
                <w:lang w:val="et-EE"/>
              </w:rPr>
              <w:t>, trombootiline mikroangiopaatia</w:t>
            </w:r>
          </w:p>
        </w:tc>
      </w:tr>
      <w:tr w:rsidR="00F1277A" w:rsidRPr="00EC3BD7" w14:paraId="2A007782" w14:textId="77777777" w:rsidTr="008B1609">
        <w:trPr>
          <w:cantSplit/>
        </w:trPr>
        <w:tc>
          <w:tcPr>
            <w:tcW w:w="9322" w:type="dxa"/>
            <w:gridSpan w:val="2"/>
          </w:tcPr>
          <w:p w14:paraId="71321946" w14:textId="77777777" w:rsidR="00F1277A" w:rsidRPr="00EC3BD7" w:rsidRDefault="00F1277A" w:rsidP="00B9089D">
            <w:pPr>
              <w:keepNext/>
              <w:rPr>
                <w:color w:val="000000"/>
                <w:szCs w:val="22"/>
                <w:lang w:val="et-EE"/>
              </w:rPr>
            </w:pPr>
            <w:r w:rsidRPr="00EC3BD7">
              <w:rPr>
                <w:b/>
                <w:color w:val="000000"/>
                <w:szCs w:val="22"/>
                <w:lang w:val="et-EE"/>
              </w:rPr>
              <w:t>Ainevahetus- ja toitumishäired</w:t>
            </w:r>
          </w:p>
        </w:tc>
      </w:tr>
      <w:tr w:rsidR="00F1277A" w:rsidRPr="00EC3BD7" w14:paraId="52A1A941" w14:textId="77777777" w:rsidTr="008B1609">
        <w:trPr>
          <w:cantSplit/>
        </w:trPr>
        <w:tc>
          <w:tcPr>
            <w:tcW w:w="2235" w:type="dxa"/>
          </w:tcPr>
          <w:p w14:paraId="6EF59169" w14:textId="77777777" w:rsidR="00F1277A" w:rsidRPr="00EC3BD7" w:rsidRDefault="00F1277A" w:rsidP="00B9089D">
            <w:pPr>
              <w:keepNext/>
              <w:rPr>
                <w:i/>
                <w:color w:val="000000"/>
                <w:szCs w:val="22"/>
                <w:lang w:val="et-EE"/>
              </w:rPr>
            </w:pPr>
            <w:r w:rsidRPr="00EC3BD7">
              <w:rPr>
                <w:i/>
                <w:color w:val="000000"/>
                <w:szCs w:val="22"/>
                <w:lang w:val="et-EE"/>
              </w:rPr>
              <w:t>Sage:</w:t>
            </w:r>
          </w:p>
        </w:tc>
        <w:tc>
          <w:tcPr>
            <w:tcW w:w="7087" w:type="dxa"/>
          </w:tcPr>
          <w:p w14:paraId="5DD86B85" w14:textId="77777777" w:rsidR="00F1277A" w:rsidRPr="00EC3BD7" w:rsidRDefault="00F1277A" w:rsidP="00B9089D">
            <w:pPr>
              <w:keepNext/>
              <w:rPr>
                <w:color w:val="000000"/>
                <w:szCs w:val="22"/>
                <w:lang w:val="et-EE"/>
              </w:rPr>
            </w:pPr>
            <w:r w:rsidRPr="00EC3BD7">
              <w:rPr>
                <w:color w:val="000000"/>
                <w:szCs w:val="22"/>
                <w:lang w:val="et-EE"/>
              </w:rPr>
              <w:t>Anoreksia</w:t>
            </w:r>
          </w:p>
        </w:tc>
      </w:tr>
      <w:tr w:rsidR="00F1277A" w:rsidRPr="005D29F8" w14:paraId="403D850F" w14:textId="77777777" w:rsidTr="008B1609">
        <w:trPr>
          <w:cantSplit/>
        </w:trPr>
        <w:tc>
          <w:tcPr>
            <w:tcW w:w="2235" w:type="dxa"/>
          </w:tcPr>
          <w:p w14:paraId="1EE6F796" w14:textId="77777777" w:rsidR="00F1277A" w:rsidRPr="00EC3BD7" w:rsidRDefault="00F1277A" w:rsidP="00B9089D">
            <w:pPr>
              <w:keepNext/>
              <w:rPr>
                <w:i/>
                <w:color w:val="000000"/>
                <w:szCs w:val="22"/>
                <w:lang w:val="et-EE"/>
              </w:rPr>
            </w:pPr>
            <w:r w:rsidRPr="00EC3BD7">
              <w:rPr>
                <w:i/>
                <w:color w:val="000000"/>
                <w:szCs w:val="22"/>
                <w:lang w:val="et-EE"/>
              </w:rPr>
              <w:t>Aeg-ajalt:</w:t>
            </w:r>
          </w:p>
        </w:tc>
        <w:tc>
          <w:tcPr>
            <w:tcW w:w="7087" w:type="dxa"/>
          </w:tcPr>
          <w:p w14:paraId="1DB4E839" w14:textId="77777777" w:rsidR="00F1277A" w:rsidRPr="00EC3BD7" w:rsidRDefault="00F1277A" w:rsidP="00B9089D">
            <w:pPr>
              <w:keepNext/>
              <w:rPr>
                <w:color w:val="000000"/>
                <w:szCs w:val="22"/>
                <w:lang w:val="et-EE"/>
              </w:rPr>
            </w:pPr>
            <w:r w:rsidRPr="00EC3BD7">
              <w:rPr>
                <w:color w:val="000000"/>
                <w:szCs w:val="22"/>
                <w:lang w:val="et-EE"/>
              </w:rPr>
              <w:t>Hüpokaleemia, isu suurenemine, hüpofosfateemia, isu vähenemine, dehüdratsioon, podagra, hüperurikeemia, hüperkaltseemia, hüperglükeemia, hüponatreemia</w:t>
            </w:r>
          </w:p>
        </w:tc>
      </w:tr>
      <w:tr w:rsidR="00F1277A" w:rsidRPr="00EC3BD7" w14:paraId="4379DF7A" w14:textId="77777777" w:rsidTr="008B1609">
        <w:trPr>
          <w:cantSplit/>
        </w:trPr>
        <w:tc>
          <w:tcPr>
            <w:tcW w:w="2235" w:type="dxa"/>
            <w:tcBorders>
              <w:bottom w:val="nil"/>
            </w:tcBorders>
          </w:tcPr>
          <w:p w14:paraId="13266CB0" w14:textId="77777777" w:rsidR="00F1277A" w:rsidRPr="00EC3BD7" w:rsidRDefault="00F1277A" w:rsidP="008F53F3">
            <w:pPr>
              <w:rPr>
                <w:i/>
                <w:color w:val="000000"/>
                <w:szCs w:val="22"/>
                <w:lang w:val="et-EE"/>
              </w:rPr>
            </w:pPr>
            <w:r w:rsidRPr="00EC3BD7">
              <w:rPr>
                <w:i/>
                <w:color w:val="000000"/>
                <w:szCs w:val="22"/>
                <w:lang w:val="et-EE"/>
              </w:rPr>
              <w:t>Harv:</w:t>
            </w:r>
          </w:p>
        </w:tc>
        <w:tc>
          <w:tcPr>
            <w:tcW w:w="7087" w:type="dxa"/>
            <w:tcBorders>
              <w:bottom w:val="nil"/>
            </w:tcBorders>
          </w:tcPr>
          <w:p w14:paraId="4424666B" w14:textId="77777777" w:rsidR="00F1277A" w:rsidRPr="00EC3BD7" w:rsidRDefault="00F1277A" w:rsidP="008F53F3">
            <w:pPr>
              <w:rPr>
                <w:color w:val="000000"/>
                <w:szCs w:val="22"/>
                <w:lang w:val="et-EE"/>
              </w:rPr>
            </w:pPr>
            <w:r w:rsidRPr="00EC3BD7">
              <w:rPr>
                <w:color w:val="000000"/>
                <w:szCs w:val="22"/>
                <w:lang w:val="et-EE"/>
              </w:rPr>
              <w:t>Hüperkaleemia, hüpomagneseemia</w:t>
            </w:r>
          </w:p>
        </w:tc>
      </w:tr>
      <w:tr w:rsidR="00F1277A" w:rsidRPr="00EC3BD7" w14:paraId="69CFC6EB" w14:textId="77777777" w:rsidTr="008B1609">
        <w:trPr>
          <w:cantSplit/>
        </w:trPr>
        <w:tc>
          <w:tcPr>
            <w:tcW w:w="9322" w:type="dxa"/>
            <w:gridSpan w:val="2"/>
          </w:tcPr>
          <w:p w14:paraId="357F2589" w14:textId="77777777" w:rsidR="00F1277A" w:rsidRPr="00EC3BD7" w:rsidRDefault="00F1277A" w:rsidP="00B9089D">
            <w:pPr>
              <w:keepNext/>
              <w:rPr>
                <w:color w:val="000000"/>
                <w:szCs w:val="22"/>
                <w:lang w:val="et-EE"/>
              </w:rPr>
            </w:pPr>
            <w:r w:rsidRPr="00EC3BD7">
              <w:rPr>
                <w:b/>
                <w:color w:val="000000"/>
                <w:szCs w:val="22"/>
                <w:lang w:val="et-EE"/>
              </w:rPr>
              <w:t>Psühhiaatrilised häired</w:t>
            </w:r>
          </w:p>
        </w:tc>
      </w:tr>
      <w:tr w:rsidR="00F1277A" w:rsidRPr="00EC3BD7" w14:paraId="27D95904" w14:textId="77777777" w:rsidTr="008B1609">
        <w:trPr>
          <w:cantSplit/>
        </w:trPr>
        <w:tc>
          <w:tcPr>
            <w:tcW w:w="2235" w:type="dxa"/>
          </w:tcPr>
          <w:p w14:paraId="630F1084" w14:textId="77777777" w:rsidR="00F1277A" w:rsidRPr="00EC3BD7" w:rsidRDefault="00F1277A" w:rsidP="00B9089D">
            <w:pPr>
              <w:keepNext/>
              <w:rPr>
                <w:i/>
                <w:color w:val="000000"/>
                <w:szCs w:val="22"/>
                <w:lang w:val="et-EE"/>
              </w:rPr>
            </w:pPr>
            <w:r w:rsidRPr="00EC3BD7">
              <w:rPr>
                <w:i/>
                <w:color w:val="000000"/>
                <w:szCs w:val="22"/>
                <w:lang w:val="et-EE"/>
              </w:rPr>
              <w:t>Sage:</w:t>
            </w:r>
          </w:p>
        </w:tc>
        <w:tc>
          <w:tcPr>
            <w:tcW w:w="7087" w:type="dxa"/>
          </w:tcPr>
          <w:p w14:paraId="53F98E6A" w14:textId="77777777" w:rsidR="00F1277A" w:rsidRPr="00EC3BD7" w:rsidRDefault="00F1277A" w:rsidP="00B9089D">
            <w:pPr>
              <w:keepNext/>
              <w:rPr>
                <w:color w:val="000000"/>
                <w:szCs w:val="22"/>
                <w:lang w:val="et-EE"/>
              </w:rPr>
            </w:pPr>
            <w:r w:rsidRPr="00EC3BD7">
              <w:rPr>
                <w:color w:val="000000"/>
                <w:szCs w:val="22"/>
                <w:lang w:val="et-EE"/>
              </w:rPr>
              <w:t>Unetus</w:t>
            </w:r>
          </w:p>
        </w:tc>
      </w:tr>
      <w:tr w:rsidR="00F1277A" w:rsidRPr="00EC3BD7" w14:paraId="16A44163" w14:textId="77777777" w:rsidTr="008B1609">
        <w:trPr>
          <w:cantSplit/>
        </w:trPr>
        <w:tc>
          <w:tcPr>
            <w:tcW w:w="2235" w:type="dxa"/>
          </w:tcPr>
          <w:p w14:paraId="5838C67E" w14:textId="77777777" w:rsidR="00F1277A" w:rsidRPr="00EC3BD7" w:rsidRDefault="00F1277A" w:rsidP="00B9089D">
            <w:pPr>
              <w:keepNext/>
              <w:rPr>
                <w:i/>
                <w:color w:val="000000"/>
                <w:szCs w:val="22"/>
                <w:lang w:val="et-EE"/>
              </w:rPr>
            </w:pPr>
            <w:r w:rsidRPr="00EC3BD7">
              <w:rPr>
                <w:i/>
                <w:color w:val="000000"/>
                <w:szCs w:val="22"/>
                <w:lang w:val="et-EE"/>
              </w:rPr>
              <w:t>Aeg-ajalt:</w:t>
            </w:r>
          </w:p>
        </w:tc>
        <w:tc>
          <w:tcPr>
            <w:tcW w:w="7087" w:type="dxa"/>
          </w:tcPr>
          <w:p w14:paraId="1523BA06" w14:textId="77777777" w:rsidR="00F1277A" w:rsidRPr="00EC3BD7" w:rsidRDefault="00F1277A" w:rsidP="00B9089D">
            <w:pPr>
              <w:keepNext/>
              <w:rPr>
                <w:color w:val="000000"/>
                <w:szCs w:val="22"/>
                <w:lang w:val="et-EE"/>
              </w:rPr>
            </w:pPr>
            <w:r w:rsidRPr="00EC3BD7">
              <w:rPr>
                <w:color w:val="000000"/>
                <w:szCs w:val="22"/>
                <w:lang w:val="et-EE"/>
              </w:rPr>
              <w:t>Depressioon, libiido langus, ärevus</w:t>
            </w:r>
          </w:p>
        </w:tc>
      </w:tr>
      <w:tr w:rsidR="00F1277A" w:rsidRPr="00EC3BD7" w14:paraId="216830B0" w14:textId="77777777" w:rsidTr="008B1609">
        <w:trPr>
          <w:cantSplit/>
        </w:trPr>
        <w:tc>
          <w:tcPr>
            <w:tcW w:w="2235" w:type="dxa"/>
          </w:tcPr>
          <w:p w14:paraId="366D3833" w14:textId="77777777" w:rsidR="00F1277A" w:rsidRPr="00EC3BD7" w:rsidRDefault="00F1277A" w:rsidP="008F53F3">
            <w:pPr>
              <w:rPr>
                <w:i/>
                <w:color w:val="000000"/>
                <w:szCs w:val="22"/>
                <w:lang w:val="et-EE"/>
              </w:rPr>
            </w:pPr>
            <w:r w:rsidRPr="00EC3BD7">
              <w:rPr>
                <w:i/>
                <w:color w:val="000000"/>
                <w:szCs w:val="22"/>
                <w:lang w:val="et-EE"/>
              </w:rPr>
              <w:t>Harv:</w:t>
            </w:r>
          </w:p>
        </w:tc>
        <w:tc>
          <w:tcPr>
            <w:tcW w:w="7087" w:type="dxa"/>
          </w:tcPr>
          <w:p w14:paraId="1711D013" w14:textId="77777777" w:rsidR="00F1277A" w:rsidRPr="00EC3BD7" w:rsidRDefault="00F1277A" w:rsidP="008F53F3">
            <w:pPr>
              <w:rPr>
                <w:color w:val="000000"/>
                <w:szCs w:val="22"/>
                <w:lang w:val="et-EE"/>
              </w:rPr>
            </w:pPr>
            <w:r w:rsidRPr="00EC3BD7">
              <w:rPr>
                <w:color w:val="000000"/>
                <w:szCs w:val="22"/>
                <w:lang w:val="et-EE"/>
              </w:rPr>
              <w:t>Segasus</w:t>
            </w:r>
          </w:p>
        </w:tc>
      </w:tr>
      <w:tr w:rsidR="00F1277A" w:rsidRPr="00EC3BD7" w14:paraId="3B6F8A68" w14:textId="77777777" w:rsidTr="008B1609">
        <w:trPr>
          <w:cantSplit/>
        </w:trPr>
        <w:tc>
          <w:tcPr>
            <w:tcW w:w="9322" w:type="dxa"/>
            <w:gridSpan w:val="2"/>
            <w:tcBorders>
              <w:top w:val="nil"/>
            </w:tcBorders>
          </w:tcPr>
          <w:p w14:paraId="352083DD" w14:textId="77777777" w:rsidR="00F1277A" w:rsidRPr="00EC3BD7" w:rsidRDefault="00F1277A" w:rsidP="00B9089D">
            <w:pPr>
              <w:keepNext/>
              <w:rPr>
                <w:color w:val="000000"/>
                <w:szCs w:val="22"/>
                <w:lang w:val="et-EE"/>
              </w:rPr>
            </w:pPr>
            <w:r w:rsidRPr="00EC3BD7">
              <w:rPr>
                <w:b/>
                <w:color w:val="000000"/>
                <w:szCs w:val="22"/>
                <w:lang w:val="et-EE"/>
              </w:rPr>
              <w:lastRenderedPageBreak/>
              <w:t>Närvisüsteemi häired</w:t>
            </w:r>
          </w:p>
        </w:tc>
      </w:tr>
      <w:tr w:rsidR="00F1277A" w:rsidRPr="00EC3BD7" w14:paraId="4EC44A73" w14:textId="77777777" w:rsidTr="008B1609">
        <w:trPr>
          <w:cantSplit/>
        </w:trPr>
        <w:tc>
          <w:tcPr>
            <w:tcW w:w="2235" w:type="dxa"/>
          </w:tcPr>
          <w:p w14:paraId="411D7872" w14:textId="77777777" w:rsidR="00F1277A" w:rsidRPr="00EC3BD7" w:rsidRDefault="00F1277A" w:rsidP="00B9089D">
            <w:pPr>
              <w:keepNext/>
              <w:rPr>
                <w:color w:val="000000"/>
                <w:szCs w:val="22"/>
                <w:lang w:val="et-EE"/>
              </w:rPr>
            </w:pPr>
            <w:r w:rsidRPr="00EC3BD7">
              <w:rPr>
                <w:i/>
                <w:color w:val="000000"/>
                <w:szCs w:val="22"/>
                <w:lang w:val="et-EE"/>
              </w:rPr>
              <w:t>Väga sage:</w:t>
            </w:r>
          </w:p>
        </w:tc>
        <w:tc>
          <w:tcPr>
            <w:tcW w:w="7087" w:type="dxa"/>
          </w:tcPr>
          <w:p w14:paraId="22A27DE4" w14:textId="77777777" w:rsidR="00F1277A" w:rsidRPr="00EC3BD7" w:rsidRDefault="00F1277A" w:rsidP="00B9089D">
            <w:pPr>
              <w:keepNext/>
              <w:rPr>
                <w:color w:val="000000"/>
                <w:szCs w:val="22"/>
                <w:lang w:val="et-EE"/>
              </w:rPr>
            </w:pPr>
            <w:r w:rsidRPr="00EC3BD7">
              <w:rPr>
                <w:color w:val="000000"/>
                <w:szCs w:val="22"/>
                <w:lang w:val="et-EE"/>
              </w:rPr>
              <w:t>Peavalu</w:t>
            </w:r>
            <w:r w:rsidRPr="00EC3BD7">
              <w:rPr>
                <w:color w:val="000000"/>
                <w:szCs w:val="22"/>
                <w:vertAlign w:val="superscript"/>
                <w:lang w:val="et-EE"/>
              </w:rPr>
              <w:t>2</w:t>
            </w:r>
          </w:p>
        </w:tc>
      </w:tr>
      <w:tr w:rsidR="00F1277A" w:rsidRPr="00EC3BD7" w14:paraId="2F86B8A4" w14:textId="77777777" w:rsidTr="008B1609">
        <w:trPr>
          <w:cantSplit/>
        </w:trPr>
        <w:tc>
          <w:tcPr>
            <w:tcW w:w="2235" w:type="dxa"/>
          </w:tcPr>
          <w:p w14:paraId="5B690793" w14:textId="77777777" w:rsidR="00F1277A" w:rsidRPr="00EC3BD7" w:rsidRDefault="00F1277A" w:rsidP="00B9089D">
            <w:pPr>
              <w:keepNext/>
              <w:rPr>
                <w:color w:val="000000"/>
                <w:szCs w:val="22"/>
                <w:lang w:val="et-EE"/>
              </w:rPr>
            </w:pPr>
            <w:r w:rsidRPr="00EC3BD7">
              <w:rPr>
                <w:i/>
                <w:color w:val="000000"/>
                <w:szCs w:val="22"/>
                <w:lang w:val="et-EE"/>
              </w:rPr>
              <w:t>Sage:</w:t>
            </w:r>
          </w:p>
        </w:tc>
        <w:tc>
          <w:tcPr>
            <w:tcW w:w="7087" w:type="dxa"/>
          </w:tcPr>
          <w:p w14:paraId="67547E86" w14:textId="77777777" w:rsidR="00F1277A" w:rsidRPr="00EC3BD7" w:rsidRDefault="00F1277A" w:rsidP="00B9089D">
            <w:pPr>
              <w:keepNext/>
              <w:rPr>
                <w:color w:val="000000"/>
                <w:szCs w:val="22"/>
                <w:lang w:val="et-EE"/>
              </w:rPr>
            </w:pPr>
            <w:r w:rsidRPr="00EC3BD7">
              <w:rPr>
                <w:color w:val="000000"/>
                <w:szCs w:val="22"/>
                <w:lang w:val="et-EE"/>
              </w:rPr>
              <w:t>Pearinglus, paresteesia, maitsetundlikkuse häired, hüpoesteesia</w:t>
            </w:r>
          </w:p>
        </w:tc>
      </w:tr>
      <w:tr w:rsidR="00F1277A" w:rsidRPr="00EC3BD7" w14:paraId="3BDAE55A" w14:textId="77777777" w:rsidTr="008B1609">
        <w:trPr>
          <w:cantSplit/>
        </w:trPr>
        <w:tc>
          <w:tcPr>
            <w:tcW w:w="2235" w:type="dxa"/>
          </w:tcPr>
          <w:p w14:paraId="5E663CE0" w14:textId="77777777" w:rsidR="00F1277A" w:rsidRPr="00EC3BD7" w:rsidRDefault="00F1277A" w:rsidP="00B9089D">
            <w:pPr>
              <w:keepNext/>
              <w:rPr>
                <w:color w:val="000000"/>
                <w:szCs w:val="22"/>
                <w:lang w:val="et-EE"/>
              </w:rPr>
            </w:pPr>
            <w:r w:rsidRPr="00EC3BD7">
              <w:rPr>
                <w:i/>
                <w:color w:val="000000"/>
                <w:szCs w:val="22"/>
                <w:lang w:val="et-EE"/>
              </w:rPr>
              <w:t>Aeg-ajalt:</w:t>
            </w:r>
          </w:p>
        </w:tc>
        <w:tc>
          <w:tcPr>
            <w:tcW w:w="7087" w:type="dxa"/>
          </w:tcPr>
          <w:p w14:paraId="133A3A4A" w14:textId="77777777" w:rsidR="00F1277A" w:rsidRPr="00EC3BD7" w:rsidRDefault="00F1277A" w:rsidP="00B9089D">
            <w:pPr>
              <w:keepNext/>
              <w:rPr>
                <w:color w:val="000000"/>
                <w:szCs w:val="22"/>
                <w:lang w:val="et-EE"/>
              </w:rPr>
            </w:pPr>
            <w:r w:rsidRPr="00EC3BD7">
              <w:rPr>
                <w:color w:val="000000"/>
                <w:szCs w:val="22"/>
                <w:lang w:val="et-EE"/>
              </w:rPr>
              <w:t>Migreen, somnolentsus, minestamine, perifeerne neuropaatia, mälu halvenemine, ishias, rahutute jalgade sündroom, treemor, ajuverejooks</w:t>
            </w:r>
          </w:p>
        </w:tc>
      </w:tr>
      <w:tr w:rsidR="00F1277A" w:rsidRPr="005D29F8" w14:paraId="793501BA" w14:textId="77777777" w:rsidTr="008B1609">
        <w:trPr>
          <w:cantSplit/>
        </w:trPr>
        <w:tc>
          <w:tcPr>
            <w:tcW w:w="2235" w:type="dxa"/>
          </w:tcPr>
          <w:p w14:paraId="579D7793" w14:textId="77777777" w:rsidR="00F1277A" w:rsidRPr="00EC3BD7" w:rsidRDefault="00F1277A" w:rsidP="00B9089D">
            <w:pPr>
              <w:keepNext/>
              <w:rPr>
                <w:color w:val="000000"/>
                <w:szCs w:val="22"/>
                <w:lang w:val="et-EE"/>
              </w:rPr>
            </w:pPr>
            <w:r w:rsidRPr="00EC3BD7">
              <w:rPr>
                <w:i/>
                <w:color w:val="000000"/>
                <w:szCs w:val="22"/>
                <w:lang w:val="et-EE"/>
              </w:rPr>
              <w:t>Harv:</w:t>
            </w:r>
          </w:p>
        </w:tc>
        <w:tc>
          <w:tcPr>
            <w:tcW w:w="7087" w:type="dxa"/>
          </w:tcPr>
          <w:p w14:paraId="4F011FFD" w14:textId="77777777" w:rsidR="00F1277A" w:rsidRPr="00EC3BD7" w:rsidRDefault="00F1277A" w:rsidP="00B9089D">
            <w:pPr>
              <w:keepNext/>
              <w:rPr>
                <w:color w:val="000000"/>
                <w:szCs w:val="22"/>
                <w:lang w:val="et-EE"/>
              </w:rPr>
            </w:pPr>
            <w:r w:rsidRPr="00EC3BD7">
              <w:rPr>
                <w:color w:val="000000"/>
                <w:szCs w:val="22"/>
                <w:lang w:val="et-EE"/>
              </w:rPr>
              <w:t>Kõrgenenud koljusisene rõhk, krambid, nägemisnärvi neuriit</w:t>
            </w:r>
          </w:p>
        </w:tc>
      </w:tr>
      <w:tr w:rsidR="00F1277A" w:rsidRPr="00EC3BD7" w14:paraId="54C63FA3" w14:textId="77777777" w:rsidTr="008B1609">
        <w:trPr>
          <w:cantSplit/>
        </w:trPr>
        <w:tc>
          <w:tcPr>
            <w:tcW w:w="2235" w:type="dxa"/>
          </w:tcPr>
          <w:p w14:paraId="01902E17" w14:textId="77777777" w:rsidR="00F1277A" w:rsidRPr="00EC3BD7" w:rsidRDefault="00F1277A" w:rsidP="00072FC7">
            <w:pPr>
              <w:rPr>
                <w:i/>
                <w:color w:val="000000"/>
                <w:szCs w:val="22"/>
                <w:lang w:val="et-EE"/>
              </w:rPr>
            </w:pPr>
            <w:r w:rsidRPr="00EC3BD7">
              <w:rPr>
                <w:i/>
                <w:color w:val="000000"/>
                <w:szCs w:val="22"/>
                <w:lang w:val="et-EE"/>
              </w:rPr>
              <w:t>Teadmata:</w:t>
            </w:r>
          </w:p>
        </w:tc>
        <w:tc>
          <w:tcPr>
            <w:tcW w:w="7087" w:type="dxa"/>
          </w:tcPr>
          <w:p w14:paraId="1344E307" w14:textId="77777777" w:rsidR="00F1277A" w:rsidRPr="00EC3BD7" w:rsidRDefault="00F1277A" w:rsidP="00072FC7">
            <w:pPr>
              <w:rPr>
                <w:color w:val="000000"/>
                <w:szCs w:val="22"/>
                <w:lang w:val="et-EE"/>
              </w:rPr>
            </w:pPr>
            <w:r w:rsidRPr="00EC3BD7">
              <w:rPr>
                <w:color w:val="000000"/>
                <w:szCs w:val="22"/>
                <w:lang w:val="et-EE"/>
              </w:rPr>
              <w:t>Ajuturse*</w:t>
            </w:r>
          </w:p>
        </w:tc>
      </w:tr>
      <w:tr w:rsidR="00F1277A" w:rsidRPr="00EC3BD7" w14:paraId="6D2A3E69" w14:textId="77777777" w:rsidTr="008B1609">
        <w:trPr>
          <w:cantSplit/>
        </w:trPr>
        <w:tc>
          <w:tcPr>
            <w:tcW w:w="9322" w:type="dxa"/>
            <w:gridSpan w:val="2"/>
          </w:tcPr>
          <w:p w14:paraId="5484291E" w14:textId="77777777" w:rsidR="00F1277A" w:rsidRPr="00EC3BD7" w:rsidRDefault="00F1277A" w:rsidP="00B9089D">
            <w:pPr>
              <w:keepNext/>
              <w:rPr>
                <w:color w:val="000000"/>
                <w:szCs w:val="22"/>
                <w:lang w:val="et-EE"/>
              </w:rPr>
            </w:pPr>
            <w:r w:rsidRPr="00EC3BD7">
              <w:rPr>
                <w:b/>
                <w:color w:val="000000"/>
                <w:szCs w:val="22"/>
                <w:lang w:val="et-EE"/>
              </w:rPr>
              <w:t>Silma kahjustused</w:t>
            </w:r>
          </w:p>
        </w:tc>
      </w:tr>
      <w:tr w:rsidR="00F1277A" w:rsidRPr="005D29F8" w14:paraId="54B4C9FC" w14:textId="77777777" w:rsidTr="008B1609">
        <w:trPr>
          <w:cantSplit/>
        </w:trPr>
        <w:tc>
          <w:tcPr>
            <w:tcW w:w="2235" w:type="dxa"/>
          </w:tcPr>
          <w:p w14:paraId="08A92C2C" w14:textId="77777777" w:rsidR="00F1277A" w:rsidRPr="00EC3BD7" w:rsidRDefault="00F1277A" w:rsidP="00B9089D">
            <w:pPr>
              <w:keepNext/>
              <w:rPr>
                <w:color w:val="000000"/>
                <w:szCs w:val="22"/>
                <w:lang w:val="et-EE"/>
              </w:rPr>
            </w:pPr>
            <w:r w:rsidRPr="00EC3BD7">
              <w:rPr>
                <w:i/>
                <w:color w:val="000000"/>
                <w:szCs w:val="22"/>
                <w:lang w:val="et-EE"/>
              </w:rPr>
              <w:t>Sage:</w:t>
            </w:r>
          </w:p>
        </w:tc>
        <w:tc>
          <w:tcPr>
            <w:tcW w:w="7087" w:type="dxa"/>
          </w:tcPr>
          <w:p w14:paraId="5D10485C" w14:textId="77777777" w:rsidR="00F1277A" w:rsidRPr="00EC3BD7" w:rsidRDefault="00F1277A" w:rsidP="00B9089D">
            <w:pPr>
              <w:keepNext/>
              <w:rPr>
                <w:color w:val="000000"/>
                <w:szCs w:val="22"/>
                <w:lang w:val="et-EE"/>
              </w:rPr>
            </w:pPr>
            <w:r w:rsidRPr="00EC3BD7">
              <w:rPr>
                <w:color w:val="000000"/>
                <w:szCs w:val="22"/>
                <w:lang w:val="et-EE"/>
              </w:rPr>
              <w:t>Silmalaugude turse, suurenenud pisaravool, konjunktivaalne verejooks, konjunktiviit, silmade kuivus, hägune nägemine</w:t>
            </w:r>
          </w:p>
        </w:tc>
      </w:tr>
      <w:tr w:rsidR="00F1277A" w:rsidRPr="005D29F8" w14:paraId="30A93877" w14:textId="77777777" w:rsidTr="008B1609">
        <w:trPr>
          <w:cantSplit/>
        </w:trPr>
        <w:tc>
          <w:tcPr>
            <w:tcW w:w="2235" w:type="dxa"/>
          </w:tcPr>
          <w:p w14:paraId="36B5BD36" w14:textId="77777777" w:rsidR="00F1277A" w:rsidRPr="00EC3BD7" w:rsidRDefault="00F1277A" w:rsidP="00B9089D">
            <w:pPr>
              <w:keepNext/>
              <w:rPr>
                <w:color w:val="000000"/>
                <w:szCs w:val="22"/>
                <w:lang w:val="et-EE"/>
              </w:rPr>
            </w:pPr>
            <w:r w:rsidRPr="00EC3BD7">
              <w:rPr>
                <w:i/>
                <w:color w:val="000000"/>
                <w:szCs w:val="22"/>
                <w:lang w:val="et-EE"/>
              </w:rPr>
              <w:t>Aeg-ajalt:</w:t>
            </w:r>
          </w:p>
        </w:tc>
        <w:tc>
          <w:tcPr>
            <w:tcW w:w="7087" w:type="dxa"/>
          </w:tcPr>
          <w:p w14:paraId="75289356" w14:textId="77777777" w:rsidR="00F1277A" w:rsidRPr="00EC3BD7" w:rsidRDefault="00F1277A" w:rsidP="00B9089D">
            <w:pPr>
              <w:keepNext/>
              <w:rPr>
                <w:color w:val="000000"/>
                <w:szCs w:val="22"/>
                <w:lang w:val="et-EE"/>
              </w:rPr>
            </w:pPr>
            <w:r w:rsidRPr="00EC3BD7">
              <w:rPr>
                <w:color w:val="000000"/>
                <w:szCs w:val="22"/>
                <w:lang w:val="et-EE"/>
              </w:rPr>
              <w:t>Silmade ärritus, silmavalu, silmakoopa turse, kõvakesta verejooks, reetina verejooks, blefariit, maakula turse</w:t>
            </w:r>
          </w:p>
        </w:tc>
      </w:tr>
      <w:tr w:rsidR="00F1277A" w:rsidRPr="00EC3BD7" w14:paraId="1655F90E" w14:textId="77777777" w:rsidTr="008B1609">
        <w:trPr>
          <w:cantSplit/>
        </w:trPr>
        <w:tc>
          <w:tcPr>
            <w:tcW w:w="2235" w:type="dxa"/>
          </w:tcPr>
          <w:p w14:paraId="66E7E832" w14:textId="77777777" w:rsidR="00F1277A" w:rsidRPr="00EC3BD7" w:rsidRDefault="00F1277A" w:rsidP="00B9089D">
            <w:pPr>
              <w:keepNext/>
              <w:rPr>
                <w:color w:val="000000"/>
                <w:szCs w:val="22"/>
                <w:lang w:val="et-EE"/>
              </w:rPr>
            </w:pPr>
            <w:r w:rsidRPr="00EC3BD7">
              <w:rPr>
                <w:i/>
                <w:color w:val="000000"/>
                <w:szCs w:val="22"/>
                <w:lang w:val="et-EE"/>
              </w:rPr>
              <w:t>Harv:</w:t>
            </w:r>
          </w:p>
        </w:tc>
        <w:tc>
          <w:tcPr>
            <w:tcW w:w="7087" w:type="dxa"/>
          </w:tcPr>
          <w:p w14:paraId="69C3C47E" w14:textId="77777777" w:rsidR="00F1277A" w:rsidRPr="00EC3BD7" w:rsidRDefault="00F1277A" w:rsidP="00B9089D">
            <w:pPr>
              <w:keepNext/>
              <w:rPr>
                <w:color w:val="000000"/>
                <w:szCs w:val="22"/>
                <w:lang w:val="et-EE"/>
              </w:rPr>
            </w:pPr>
            <w:r w:rsidRPr="00EC3BD7">
              <w:rPr>
                <w:color w:val="000000"/>
                <w:szCs w:val="22"/>
                <w:lang w:val="et-EE"/>
              </w:rPr>
              <w:t>Katarakt, glaukoom, papilli ödeem</w:t>
            </w:r>
          </w:p>
        </w:tc>
      </w:tr>
      <w:tr w:rsidR="00F1277A" w:rsidRPr="00EC3BD7" w14:paraId="63040B4A" w14:textId="77777777" w:rsidTr="008B1609">
        <w:trPr>
          <w:cantSplit/>
        </w:trPr>
        <w:tc>
          <w:tcPr>
            <w:tcW w:w="2235" w:type="dxa"/>
          </w:tcPr>
          <w:p w14:paraId="7B405B69" w14:textId="77777777" w:rsidR="00F1277A" w:rsidRPr="00EC3BD7" w:rsidRDefault="00F1277A" w:rsidP="00072FC7">
            <w:pPr>
              <w:rPr>
                <w:i/>
                <w:color w:val="000000"/>
                <w:szCs w:val="22"/>
                <w:lang w:val="et-EE"/>
              </w:rPr>
            </w:pPr>
            <w:r w:rsidRPr="00EC3BD7">
              <w:rPr>
                <w:i/>
                <w:color w:val="000000"/>
                <w:szCs w:val="22"/>
                <w:lang w:val="et-EE"/>
              </w:rPr>
              <w:t>Teadmata:</w:t>
            </w:r>
          </w:p>
        </w:tc>
        <w:tc>
          <w:tcPr>
            <w:tcW w:w="7087" w:type="dxa"/>
          </w:tcPr>
          <w:p w14:paraId="6EFFB65D" w14:textId="77777777" w:rsidR="00F1277A" w:rsidRPr="00EC3BD7" w:rsidRDefault="00F1277A" w:rsidP="00072FC7">
            <w:pPr>
              <w:rPr>
                <w:color w:val="000000"/>
                <w:szCs w:val="22"/>
                <w:lang w:val="et-EE"/>
              </w:rPr>
            </w:pPr>
            <w:r w:rsidRPr="00EC3BD7">
              <w:rPr>
                <w:color w:val="000000"/>
                <w:szCs w:val="22"/>
                <w:lang w:val="et-EE"/>
              </w:rPr>
              <w:t>Klaaskeha verejooks*</w:t>
            </w:r>
          </w:p>
        </w:tc>
      </w:tr>
      <w:tr w:rsidR="00F1277A" w:rsidRPr="00EC3BD7" w14:paraId="71364D53" w14:textId="77777777" w:rsidTr="008B1609">
        <w:trPr>
          <w:cantSplit/>
        </w:trPr>
        <w:tc>
          <w:tcPr>
            <w:tcW w:w="9322" w:type="dxa"/>
            <w:gridSpan w:val="2"/>
          </w:tcPr>
          <w:p w14:paraId="2D31F950" w14:textId="77777777" w:rsidR="00F1277A" w:rsidRPr="00EC3BD7" w:rsidRDefault="00F1277A" w:rsidP="00B9089D">
            <w:pPr>
              <w:keepNext/>
              <w:rPr>
                <w:color w:val="000000"/>
                <w:szCs w:val="22"/>
                <w:lang w:val="et-EE"/>
              </w:rPr>
            </w:pPr>
            <w:r w:rsidRPr="00EC3BD7">
              <w:rPr>
                <w:b/>
                <w:color w:val="000000"/>
                <w:szCs w:val="22"/>
                <w:lang w:val="et-EE"/>
              </w:rPr>
              <w:t>Kõrva ja labürindi kahjustused</w:t>
            </w:r>
          </w:p>
        </w:tc>
      </w:tr>
      <w:tr w:rsidR="00F1277A" w:rsidRPr="00EC3BD7" w14:paraId="199B02D6" w14:textId="77777777" w:rsidTr="008B1609">
        <w:trPr>
          <w:cantSplit/>
        </w:trPr>
        <w:tc>
          <w:tcPr>
            <w:tcW w:w="2235" w:type="dxa"/>
            <w:tcBorders>
              <w:bottom w:val="nil"/>
            </w:tcBorders>
          </w:tcPr>
          <w:p w14:paraId="4B414C22" w14:textId="77777777" w:rsidR="00F1277A" w:rsidRPr="00EC3BD7" w:rsidRDefault="00F1277A" w:rsidP="00DB73AD">
            <w:pPr>
              <w:rPr>
                <w:color w:val="000000"/>
                <w:szCs w:val="22"/>
                <w:lang w:val="et-EE"/>
              </w:rPr>
            </w:pPr>
            <w:r w:rsidRPr="00EC3BD7">
              <w:rPr>
                <w:i/>
                <w:color w:val="000000"/>
                <w:szCs w:val="22"/>
                <w:lang w:val="et-EE"/>
              </w:rPr>
              <w:t>Aeg-ajalt:</w:t>
            </w:r>
          </w:p>
        </w:tc>
        <w:tc>
          <w:tcPr>
            <w:tcW w:w="7087" w:type="dxa"/>
            <w:tcBorders>
              <w:bottom w:val="nil"/>
            </w:tcBorders>
          </w:tcPr>
          <w:p w14:paraId="23128C3F" w14:textId="77777777" w:rsidR="00F1277A" w:rsidRPr="00EC3BD7" w:rsidRDefault="00F1277A" w:rsidP="00DB73AD">
            <w:pPr>
              <w:rPr>
                <w:color w:val="000000"/>
                <w:szCs w:val="22"/>
                <w:lang w:val="et-EE"/>
              </w:rPr>
            </w:pPr>
            <w:r w:rsidRPr="00EC3BD7">
              <w:rPr>
                <w:color w:val="000000"/>
                <w:szCs w:val="22"/>
                <w:lang w:val="et-EE"/>
              </w:rPr>
              <w:t>Vertiigo, tinnitus, kuulmise kaotus</w:t>
            </w:r>
          </w:p>
        </w:tc>
      </w:tr>
      <w:tr w:rsidR="00F1277A" w:rsidRPr="00EC3BD7" w14:paraId="2D432549" w14:textId="77777777" w:rsidTr="008B1609">
        <w:trPr>
          <w:cantSplit/>
        </w:trPr>
        <w:tc>
          <w:tcPr>
            <w:tcW w:w="9322" w:type="dxa"/>
            <w:gridSpan w:val="2"/>
          </w:tcPr>
          <w:p w14:paraId="6AC89D30" w14:textId="77777777" w:rsidR="00F1277A" w:rsidRPr="00EC3BD7" w:rsidRDefault="00F1277A" w:rsidP="00B9089D">
            <w:pPr>
              <w:keepNext/>
              <w:rPr>
                <w:color w:val="000000"/>
                <w:szCs w:val="22"/>
                <w:lang w:val="et-EE"/>
              </w:rPr>
            </w:pPr>
            <w:r w:rsidRPr="00EC3BD7">
              <w:rPr>
                <w:b/>
                <w:color w:val="000000"/>
                <w:szCs w:val="22"/>
                <w:lang w:val="et-EE"/>
              </w:rPr>
              <w:t>Südame häired</w:t>
            </w:r>
          </w:p>
        </w:tc>
      </w:tr>
      <w:tr w:rsidR="00F1277A" w:rsidRPr="005D29F8" w14:paraId="74110ACB" w14:textId="77777777" w:rsidTr="008B1609">
        <w:trPr>
          <w:cantSplit/>
        </w:trPr>
        <w:tc>
          <w:tcPr>
            <w:tcW w:w="2235" w:type="dxa"/>
          </w:tcPr>
          <w:p w14:paraId="03FA3C43" w14:textId="77777777" w:rsidR="00F1277A" w:rsidRPr="00EC3BD7" w:rsidRDefault="00F1277A" w:rsidP="00B9089D">
            <w:pPr>
              <w:keepNext/>
              <w:rPr>
                <w:color w:val="000000"/>
                <w:szCs w:val="22"/>
                <w:lang w:val="et-EE"/>
              </w:rPr>
            </w:pPr>
            <w:r w:rsidRPr="00EC3BD7">
              <w:rPr>
                <w:i/>
                <w:color w:val="000000"/>
                <w:szCs w:val="22"/>
                <w:lang w:val="et-EE"/>
              </w:rPr>
              <w:t>Aeg-ajalt:</w:t>
            </w:r>
          </w:p>
        </w:tc>
        <w:tc>
          <w:tcPr>
            <w:tcW w:w="7087" w:type="dxa"/>
          </w:tcPr>
          <w:p w14:paraId="31E6888B" w14:textId="77777777" w:rsidR="00F1277A" w:rsidRPr="00EC3BD7" w:rsidRDefault="00F1277A" w:rsidP="00B9089D">
            <w:pPr>
              <w:keepNext/>
              <w:rPr>
                <w:color w:val="000000"/>
                <w:szCs w:val="22"/>
                <w:lang w:val="et-EE"/>
              </w:rPr>
            </w:pPr>
            <w:r w:rsidRPr="00EC3BD7">
              <w:rPr>
                <w:color w:val="000000"/>
                <w:szCs w:val="22"/>
                <w:lang w:val="et-EE"/>
              </w:rPr>
              <w:t>Palpitatsioonid, tahhükardia, südame paispuudulikkus</w:t>
            </w:r>
            <w:r w:rsidRPr="00EC3BD7">
              <w:rPr>
                <w:color w:val="000000"/>
                <w:szCs w:val="22"/>
                <w:vertAlign w:val="superscript"/>
                <w:lang w:val="et-EE"/>
              </w:rPr>
              <w:t>3</w:t>
            </w:r>
            <w:r w:rsidRPr="00EC3BD7">
              <w:rPr>
                <w:color w:val="000000"/>
                <w:szCs w:val="22"/>
                <w:lang w:val="et-EE"/>
              </w:rPr>
              <w:t>, kopsuturse</w:t>
            </w:r>
          </w:p>
        </w:tc>
      </w:tr>
      <w:tr w:rsidR="00F1277A" w:rsidRPr="005D29F8" w14:paraId="68EF9C0D" w14:textId="77777777" w:rsidTr="008B1609">
        <w:trPr>
          <w:cantSplit/>
        </w:trPr>
        <w:tc>
          <w:tcPr>
            <w:tcW w:w="2235" w:type="dxa"/>
          </w:tcPr>
          <w:p w14:paraId="4CD806D4" w14:textId="77777777" w:rsidR="00F1277A" w:rsidRPr="00EC3BD7" w:rsidRDefault="00F1277A" w:rsidP="00B9089D">
            <w:pPr>
              <w:keepNext/>
              <w:rPr>
                <w:color w:val="000000"/>
                <w:szCs w:val="22"/>
                <w:lang w:val="et-EE"/>
              </w:rPr>
            </w:pPr>
            <w:r w:rsidRPr="00EC3BD7">
              <w:rPr>
                <w:i/>
                <w:color w:val="000000"/>
                <w:szCs w:val="22"/>
                <w:lang w:val="et-EE"/>
              </w:rPr>
              <w:t>Harv:</w:t>
            </w:r>
          </w:p>
        </w:tc>
        <w:tc>
          <w:tcPr>
            <w:tcW w:w="7087" w:type="dxa"/>
          </w:tcPr>
          <w:p w14:paraId="168AE13D" w14:textId="77777777" w:rsidR="00F1277A" w:rsidRPr="00EC3BD7" w:rsidRDefault="00F1277A" w:rsidP="00B9089D">
            <w:pPr>
              <w:keepNext/>
              <w:rPr>
                <w:color w:val="000000"/>
                <w:szCs w:val="22"/>
                <w:lang w:val="et-EE"/>
              </w:rPr>
            </w:pPr>
            <w:r w:rsidRPr="00EC3BD7">
              <w:rPr>
                <w:color w:val="000000"/>
                <w:szCs w:val="22"/>
                <w:lang w:val="et-EE"/>
              </w:rPr>
              <w:t>Arütmia, kodade fibrillatsioon, südameseiskus, müokardiinfarkt, stenokardia, perikardi efusioon</w:t>
            </w:r>
          </w:p>
        </w:tc>
      </w:tr>
      <w:tr w:rsidR="00F1277A" w:rsidRPr="00EC3BD7" w14:paraId="7BD67EDB" w14:textId="77777777" w:rsidTr="008B1609">
        <w:trPr>
          <w:cantSplit/>
        </w:trPr>
        <w:tc>
          <w:tcPr>
            <w:tcW w:w="2235" w:type="dxa"/>
          </w:tcPr>
          <w:p w14:paraId="4B429615" w14:textId="77777777" w:rsidR="00F1277A" w:rsidRPr="00EC3BD7" w:rsidRDefault="00F1277A" w:rsidP="00072FC7">
            <w:pPr>
              <w:rPr>
                <w:i/>
                <w:color w:val="000000"/>
                <w:szCs w:val="22"/>
                <w:lang w:val="et-EE"/>
              </w:rPr>
            </w:pPr>
            <w:r w:rsidRPr="00EC3BD7">
              <w:rPr>
                <w:i/>
                <w:color w:val="000000"/>
                <w:szCs w:val="22"/>
                <w:lang w:val="et-EE"/>
              </w:rPr>
              <w:t>Teadmata:</w:t>
            </w:r>
          </w:p>
        </w:tc>
        <w:tc>
          <w:tcPr>
            <w:tcW w:w="7087" w:type="dxa"/>
          </w:tcPr>
          <w:p w14:paraId="54848B07" w14:textId="77777777" w:rsidR="00F1277A" w:rsidRPr="00EC3BD7" w:rsidRDefault="00F1277A" w:rsidP="00072FC7">
            <w:pPr>
              <w:rPr>
                <w:color w:val="000000"/>
                <w:szCs w:val="22"/>
                <w:lang w:val="et-EE"/>
              </w:rPr>
            </w:pPr>
            <w:r w:rsidRPr="00EC3BD7">
              <w:rPr>
                <w:color w:val="000000"/>
                <w:szCs w:val="22"/>
                <w:lang w:val="et-EE"/>
              </w:rPr>
              <w:t>Perikardiit*, südame tamponaad*</w:t>
            </w:r>
          </w:p>
        </w:tc>
      </w:tr>
      <w:tr w:rsidR="00F1277A" w:rsidRPr="00EC3BD7" w14:paraId="5DA623CB" w14:textId="77777777" w:rsidTr="008B1609">
        <w:trPr>
          <w:cantSplit/>
        </w:trPr>
        <w:tc>
          <w:tcPr>
            <w:tcW w:w="9322" w:type="dxa"/>
            <w:gridSpan w:val="2"/>
          </w:tcPr>
          <w:p w14:paraId="6ECD864D" w14:textId="77777777" w:rsidR="00F1277A" w:rsidRPr="00EC3BD7" w:rsidRDefault="00F1277A" w:rsidP="00B9089D">
            <w:pPr>
              <w:keepNext/>
              <w:rPr>
                <w:color w:val="000000"/>
                <w:szCs w:val="22"/>
                <w:lang w:val="et-EE"/>
              </w:rPr>
            </w:pPr>
            <w:r w:rsidRPr="00EC3BD7">
              <w:rPr>
                <w:b/>
                <w:color w:val="000000"/>
                <w:szCs w:val="22"/>
                <w:lang w:val="et-EE"/>
              </w:rPr>
              <w:t>Vaskulaarsed häired</w:t>
            </w:r>
            <w:r w:rsidRPr="00EC3BD7">
              <w:rPr>
                <w:color w:val="000000"/>
                <w:szCs w:val="22"/>
                <w:vertAlign w:val="superscript"/>
                <w:lang w:val="et-EE"/>
              </w:rPr>
              <w:t>4</w:t>
            </w:r>
          </w:p>
        </w:tc>
      </w:tr>
      <w:tr w:rsidR="00F1277A" w:rsidRPr="00EC3BD7" w14:paraId="5C97AF37" w14:textId="77777777" w:rsidTr="008B1609">
        <w:trPr>
          <w:cantSplit/>
        </w:trPr>
        <w:tc>
          <w:tcPr>
            <w:tcW w:w="2235" w:type="dxa"/>
          </w:tcPr>
          <w:p w14:paraId="49B80B45" w14:textId="77777777" w:rsidR="00F1277A" w:rsidRPr="00EC3BD7" w:rsidRDefault="00F1277A" w:rsidP="00B9089D">
            <w:pPr>
              <w:keepNext/>
              <w:rPr>
                <w:i/>
                <w:color w:val="000000"/>
                <w:szCs w:val="22"/>
                <w:lang w:val="et-EE"/>
              </w:rPr>
            </w:pPr>
            <w:r w:rsidRPr="00EC3BD7">
              <w:rPr>
                <w:i/>
                <w:color w:val="000000"/>
                <w:szCs w:val="22"/>
                <w:lang w:val="et-EE"/>
              </w:rPr>
              <w:t>Sage:</w:t>
            </w:r>
          </w:p>
        </w:tc>
        <w:tc>
          <w:tcPr>
            <w:tcW w:w="7087" w:type="dxa"/>
          </w:tcPr>
          <w:p w14:paraId="34953ED1" w14:textId="77777777" w:rsidR="00F1277A" w:rsidRPr="00EC3BD7" w:rsidRDefault="00F1277A" w:rsidP="00B9089D">
            <w:pPr>
              <w:keepNext/>
              <w:rPr>
                <w:color w:val="000000"/>
                <w:szCs w:val="22"/>
                <w:lang w:val="et-EE"/>
              </w:rPr>
            </w:pPr>
            <w:r w:rsidRPr="00EC3BD7">
              <w:rPr>
                <w:color w:val="000000"/>
                <w:szCs w:val="22"/>
                <w:lang w:val="et-EE"/>
              </w:rPr>
              <w:t>Nahaõhetus, hemorraagia</w:t>
            </w:r>
          </w:p>
        </w:tc>
      </w:tr>
      <w:tr w:rsidR="00F1277A" w:rsidRPr="00EC3BD7" w:rsidDel="00655175" w14:paraId="6C6E2D88" w14:textId="77777777" w:rsidTr="008B1609">
        <w:trPr>
          <w:cantSplit/>
        </w:trPr>
        <w:tc>
          <w:tcPr>
            <w:tcW w:w="2235" w:type="dxa"/>
          </w:tcPr>
          <w:p w14:paraId="4229C246" w14:textId="77777777" w:rsidR="00F1277A" w:rsidRPr="00EC3BD7" w:rsidDel="00655175" w:rsidRDefault="00F1277A" w:rsidP="00B9089D">
            <w:pPr>
              <w:keepNext/>
              <w:rPr>
                <w:i/>
                <w:color w:val="000000"/>
                <w:szCs w:val="22"/>
                <w:lang w:val="et-EE"/>
              </w:rPr>
            </w:pPr>
            <w:r w:rsidRPr="00EC3BD7">
              <w:rPr>
                <w:i/>
                <w:color w:val="000000"/>
                <w:szCs w:val="22"/>
                <w:lang w:val="et-EE"/>
              </w:rPr>
              <w:t>Aeg-ajalt:</w:t>
            </w:r>
          </w:p>
        </w:tc>
        <w:tc>
          <w:tcPr>
            <w:tcW w:w="7087" w:type="dxa"/>
          </w:tcPr>
          <w:p w14:paraId="570EC37B" w14:textId="77777777" w:rsidR="00F1277A" w:rsidRPr="00EC3BD7" w:rsidDel="00655175" w:rsidRDefault="00F1277A" w:rsidP="00B9089D">
            <w:pPr>
              <w:keepNext/>
              <w:rPr>
                <w:color w:val="000000"/>
                <w:szCs w:val="22"/>
                <w:lang w:val="et-EE"/>
              </w:rPr>
            </w:pPr>
            <w:r w:rsidRPr="00EC3BD7">
              <w:rPr>
                <w:color w:val="000000"/>
                <w:szCs w:val="22"/>
                <w:lang w:val="et-EE"/>
              </w:rPr>
              <w:t>Hüpertensioon, hematoom, subduraalne hematoom, perifeerse verevarustuse häired, hüpotensioon, Raynaud’ sündroom</w:t>
            </w:r>
          </w:p>
        </w:tc>
      </w:tr>
      <w:tr w:rsidR="00F1277A" w:rsidRPr="00EC3BD7" w14:paraId="2927FF02" w14:textId="77777777" w:rsidTr="008B1609">
        <w:trPr>
          <w:cantSplit/>
        </w:trPr>
        <w:tc>
          <w:tcPr>
            <w:tcW w:w="2235" w:type="dxa"/>
          </w:tcPr>
          <w:p w14:paraId="59D5B12B" w14:textId="77777777" w:rsidR="00F1277A" w:rsidRPr="00EC3BD7" w:rsidRDefault="00F1277A" w:rsidP="00072FC7">
            <w:pPr>
              <w:rPr>
                <w:i/>
                <w:color w:val="000000"/>
                <w:szCs w:val="22"/>
                <w:lang w:val="et-EE"/>
              </w:rPr>
            </w:pPr>
            <w:r w:rsidRPr="00EC3BD7">
              <w:rPr>
                <w:i/>
                <w:color w:val="000000"/>
                <w:szCs w:val="22"/>
                <w:lang w:val="et-EE"/>
              </w:rPr>
              <w:t>Teadmata:</w:t>
            </w:r>
          </w:p>
        </w:tc>
        <w:tc>
          <w:tcPr>
            <w:tcW w:w="7087" w:type="dxa"/>
          </w:tcPr>
          <w:p w14:paraId="75FA94B6" w14:textId="77777777" w:rsidR="00F1277A" w:rsidRPr="00EC3BD7" w:rsidRDefault="00F1277A" w:rsidP="00072FC7">
            <w:pPr>
              <w:rPr>
                <w:color w:val="000000"/>
                <w:szCs w:val="22"/>
                <w:lang w:val="et-EE"/>
              </w:rPr>
            </w:pPr>
            <w:r w:rsidRPr="00EC3BD7">
              <w:rPr>
                <w:color w:val="000000"/>
                <w:szCs w:val="22"/>
                <w:lang w:val="et-EE"/>
              </w:rPr>
              <w:t>Tromboos/emboolia*</w:t>
            </w:r>
          </w:p>
        </w:tc>
      </w:tr>
      <w:tr w:rsidR="00F1277A" w:rsidRPr="00EC3BD7" w14:paraId="7788BBC3" w14:textId="77777777" w:rsidTr="008B1609">
        <w:trPr>
          <w:cantSplit/>
        </w:trPr>
        <w:tc>
          <w:tcPr>
            <w:tcW w:w="9322" w:type="dxa"/>
            <w:gridSpan w:val="2"/>
            <w:tcBorders>
              <w:top w:val="nil"/>
            </w:tcBorders>
          </w:tcPr>
          <w:p w14:paraId="7E6EB0FC" w14:textId="77777777" w:rsidR="00F1277A" w:rsidRPr="00EC3BD7" w:rsidRDefault="00F1277A" w:rsidP="00B9089D">
            <w:pPr>
              <w:keepNext/>
              <w:rPr>
                <w:color w:val="000000"/>
                <w:szCs w:val="22"/>
                <w:lang w:val="et-EE"/>
              </w:rPr>
            </w:pPr>
            <w:r w:rsidRPr="00EC3BD7">
              <w:rPr>
                <w:b/>
                <w:color w:val="000000"/>
                <w:szCs w:val="22"/>
                <w:lang w:val="et-EE"/>
              </w:rPr>
              <w:t>Respiratoorsed, rindkere ja mediastiinumi häired</w:t>
            </w:r>
          </w:p>
        </w:tc>
      </w:tr>
      <w:tr w:rsidR="00F1277A" w:rsidRPr="00EC3BD7" w14:paraId="5CFBF7B2" w14:textId="77777777" w:rsidTr="008B1609">
        <w:trPr>
          <w:cantSplit/>
        </w:trPr>
        <w:tc>
          <w:tcPr>
            <w:tcW w:w="2235" w:type="dxa"/>
          </w:tcPr>
          <w:p w14:paraId="539830BC" w14:textId="77777777" w:rsidR="00F1277A" w:rsidRPr="00EC3BD7" w:rsidRDefault="00F1277A" w:rsidP="00B9089D">
            <w:pPr>
              <w:keepNext/>
              <w:rPr>
                <w:color w:val="000000"/>
                <w:szCs w:val="22"/>
                <w:lang w:val="et-EE"/>
              </w:rPr>
            </w:pPr>
            <w:r w:rsidRPr="00EC3BD7">
              <w:rPr>
                <w:i/>
                <w:color w:val="000000"/>
                <w:szCs w:val="22"/>
                <w:lang w:val="et-EE"/>
              </w:rPr>
              <w:t>Sage:</w:t>
            </w:r>
          </w:p>
        </w:tc>
        <w:tc>
          <w:tcPr>
            <w:tcW w:w="7087" w:type="dxa"/>
          </w:tcPr>
          <w:p w14:paraId="109270BF" w14:textId="77777777" w:rsidR="00F1277A" w:rsidRPr="00EC3BD7" w:rsidRDefault="00F1277A" w:rsidP="00B9089D">
            <w:pPr>
              <w:keepNext/>
              <w:rPr>
                <w:color w:val="000000"/>
                <w:szCs w:val="22"/>
                <w:lang w:val="et-EE"/>
              </w:rPr>
            </w:pPr>
            <w:r w:rsidRPr="00EC3BD7">
              <w:rPr>
                <w:color w:val="000000"/>
                <w:szCs w:val="22"/>
                <w:lang w:val="et-EE"/>
              </w:rPr>
              <w:t>Düspnoe, epistaksis, köha</w:t>
            </w:r>
          </w:p>
        </w:tc>
      </w:tr>
      <w:tr w:rsidR="00F1277A" w:rsidRPr="005D29F8" w14:paraId="561243B4" w14:textId="77777777" w:rsidTr="008B1609">
        <w:trPr>
          <w:cantSplit/>
        </w:trPr>
        <w:tc>
          <w:tcPr>
            <w:tcW w:w="2235" w:type="dxa"/>
          </w:tcPr>
          <w:p w14:paraId="495A5D3A" w14:textId="77777777" w:rsidR="00F1277A" w:rsidRPr="00EC3BD7" w:rsidRDefault="00F1277A" w:rsidP="00B9089D">
            <w:pPr>
              <w:keepNext/>
              <w:rPr>
                <w:color w:val="000000"/>
                <w:szCs w:val="22"/>
                <w:lang w:val="et-EE"/>
              </w:rPr>
            </w:pPr>
            <w:r w:rsidRPr="00EC3BD7">
              <w:rPr>
                <w:i/>
                <w:color w:val="000000"/>
                <w:szCs w:val="22"/>
                <w:lang w:val="et-EE"/>
              </w:rPr>
              <w:t>Aeg-ajalt:</w:t>
            </w:r>
          </w:p>
        </w:tc>
        <w:tc>
          <w:tcPr>
            <w:tcW w:w="7087" w:type="dxa"/>
          </w:tcPr>
          <w:p w14:paraId="2AB753B0" w14:textId="77777777" w:rsidR="00F1277A" w:rsidRPr="00EC3BD7" w:rsidRDefault="00F1277A" w:rsidP="00B9089D">
            <w:pPr>
              <w:keepNext/>
              <w:rPr>
                <w:color w:val="000000"/>
                <w:szCs w:val="22"/>
                <w:lang w:val="et-EE"/>
              </w:rPr>
            </w:pPr>
            <w:r w:rsidRPr="00EC3BD7">
              <w:rPr>
                <w:color w:val="000000"/>
                <w:szCs w:val="22"/>
                <w:lang w:val="et-EE"/>
              </w:rPr>
              <w:t>Pleura efusioon</w:t>
            </w:r>
            <w:r w:rsidRPr="00EC3BD7">
              <w:rPr>
                <w:color w:val="000000"/>
                <w:szCs w:val="22"/>
                <w:vertAlign w:val="superscript"/>
                <w:lang w:val="et-EE"/>
              </w:rPr>
              <w:t>5</w:t>
            </w:r>
            <w:r w:rsidRPr="00EC3BD7">
              <w:rPr>
                <w:color w:val="000000"/>
                <w:szCs w:val="22"/>
                <w:lang w:val="et-EE"/>
              </w:rPr>
              <w:t>, valu neelu- ja kõri piirkonnas, farüngiit</w:t>
            </w:r>
          </w:p>
        </w:tc>
      </w:tr>
      <w:tr w:rsidR="00F1277A" w:rsidRPr="005D29F8" w14:paraId="788008CF" w14:textId="77777777" w:rsidTr="008B1609">
        <w:trPr>
          <w:cantSplit/>
        </w:trPr>
        <w:tc>
          <w:tcPr>
            <w:tcW w:w="2235" w:type="dxa"/>
          </w:tcPr>
          <w:p w14:paraId="15BC3625" w14:textId="77777777" w:rsidR="00F1277A" w:rsidRPr="00EC3BD7" w:rsidRDefault="00F1277A" w:rsidP="00B9089D">
            <w:pPr>
              <w:keepNext/>
              <w:rPr>
                <w:color w:val="000000"/>
                <w:szCs w:val="22"/>
                <w:lang w:val="et-EE"/>
              </w:rPr>
            </w:pPr>
            <w:r w:rsidRPr="00EC3BD7">
              <w:rPr>
                <w:i/>
                <w:color w:val="000000"/>
                <w:szCs w:val="22"/>
                <w:lang w:val="et-EE"/>
              </w:rPr>
              <w:t>Harv:</w:t>
            </w:r>
          </w:p>
        </w:tc>
        <w:tc>
          <w:tcPr>
            <w:tcW w:w="7087" w:type="dxa"/>
          </w:tcPr>
          <w:p w14:paraId="7075F68A" w14:textId="77777777" w:rsidR="00F1277A" w:rsidRPr="00EC3BD7" w:rsidRDefault="00F1277A" w:rsidP="00B9089D">
            <w:pPr>
              <w:keepNext/>
              <w:rPr>
                <w:color w:val="000000"/>
                <w:szCs w:val="22"/>
                <w:lang w:val="et-EE"/>
              </w:rPr>
            </w:pPr>
            <w:r w:rsidRPr="00EC3BD7">
              <w:rPr>
                <w:color w:val="000000"/>
                <w:szCs w:val="22"/>
                <w:lang w:val="et-EE"/>
              </w:rPr>
              <w:t>Pleuraalne valu, kopsu fibroos, pulmonaalhüpertensioon, pulmonaalverejooks</w:t>
            </w:r>
          </w:p>
        </w:tc>
      </w:tr>
      <w:tr w:rsidR="00F1277A" w:rsidRPr="00EC3BD7" w14:paraId="5232CF9F" w14:textId="77777777" w:rsidTr="008B1609">
        <w:trPr>
          <w:cantSplit/>
        </w:trPr>
        <w:tc>
          <w:tcPr>
            <w:tcW w:w="2235" w:type="dxa"/>
          </w:tcPr>
          <w:p w14:paraId="62DEF6FE" w14:textId="77777777" w:rsidR="00F1277A" w:rsidRPr="00EC3BD7" w:rsidRDefault="00F1277A" w:rsidP="00072FC7">
            <w:pPr>
              <w:rPr>
                <w:i/>
                <w:color w:val="000000"/>
                <w:szCs w:val="22"/>
                <w:lang w:val="et-EE"/>
              </w:rPr>
            </w:pPr>
            <w:r w:rsidRPr="00EC3BD7">
              <w:rPr>
                <w:i/>
                <w:color w:val="000000"/>
                <w:szCs w:val="22"/>
                <w:lang w:val="et-EE"/>
              </w:rPr>
              <w:t>Teadmata:</w:t>
            </w:r>
          </w:p>
        </w:tc>
        <w:tc>
          <w:tcPr>
            <w:tcW w:w="7087" w:type="dxa"/>
          </w:tcPr>
          <w:p w14:paraId="1EB6499D" w14:textId="77777777" w:rsidR="00F1277A" w:rsidRPr="00EC3BD7" w:rsidRDefault="00F1277A" w:rsidP="00072FC7">
            <w:pPr>
              <w:rPr>
                <w:color w:val="000000"/>
                <w:szCs w:val="22"/>
                <w:lang w:val="et-EE"/>
              </w:rPr>
            </w:pPr>
            <w:r w:rsidRPr="00EC3BD7">
              <w:rPr>
                <w:color w:val="000000"/>
                <w:szCs w:val="22"/>
                <w:lang w:val="et-EE"/>
              </w:rPr>
              <w:t>Äge hingamispuudulikkus</w:t>
            </w:r>
            <w:r w:rsidR="002553C9" w:rsidRPr="00EC3BD7">
              <w:rPr>
                <w:color w:val="000000"/>
                <w:szCs w:val="22"/>
                <w:vertAlign w:val="superscript"/>
                <w:lang w:val="et-EE"/>
              </w:rPr>
              <w:t>11</w:t>
            </w:r>
            <w:r w:rsidRPr="00EC3BD7">
              <w:rPr>
                <w:color w:val="000000"/>
                <w:szCs w:val="22"/>
                <w:lang w:val="et-EE"/>
              </w:rPr>
              <w:t>*</w:t>
            </w:r>
            <w:r w:rsidR="00B85B1E" w:rsidRPr="00EC3BD7">
              <w:rPr>
                <w:color w:val="000000"/>
                <w:szCs w:val="22"/>
                <w:lang w:val="et-EE"/>
              </w:rPr>
              <w:t>, interstitsiaalne kopsuhaigus*</w:t>
            </w:r>
          </w:p>
        </w:tc>
      </w:tr>
      <w:tr w:rsidR="00F1277A" w:rsidRPr="00EC3BD7" w14:paraId="65F09038" w14:textId="77777777" w:rsidTr="008B1609">
        <w:trPr>
          <w:cantSplit/>
        </w:trPr>
        <w:tc>
          <w:tcPr>
            <w:tcW w:w="9322" w:type="dxa"/>
            <w:gridSpan w:val="2"/>
          </w:tcPr>
          <w:p w14:paraId="0253DA76" w14:textId="77777777" w:rsidR="00F1277A" w:rsidRPr="00EC3BD7" w:rsidRDefault="00F1277A" w:rsidP="00B9089D">
            <w:pPr>
              <w:keepNext/>
              <w:rPr>
                <w:color w:val="000000"/>
                <w:szCs w:val="22"/>
                <w:lang w:val="et-EE"/>
              </w:rPr>
            </w:pPr>
            <w:r w:rsidRPr="00EC3BD7">
              <w:rPr>
                <w:b/>
                <w:color w:val="000000"/>
                <w:szCs w:val="22"/>
                <w:lang w:val="et-EE"/>
              </w:rPr>
              <w:t>Seedetrakti häired</w:t>
            </w:r>
          </w:p>
        </w:tc>
      </w:tr>
      <w:tr w:rsidR="00F1277A" w:rsidRPr="005D29F8" w14:paraId="7A5A1E76" w14:textId="77777777" w:rsidTr="008B1609">
        <w:trPr>
          <w:cantSplit/>
        </w:trPr>
        <w:tc>
          <w:tcPr>
            <w:tcW w:w="2235" w:type="dxa"/>
          </w:tcPr>
          <w:p w14:paraId="58D9ACC1" w14:textId="77777777" w:rsidR="00F1277A" w:rsidRPr="00EC3BD7" w:rsidRDefault="00F1277A" w:rsidP="00B9089D">
            <w:pPr>
              <w:keepNext/>
              <w:rPr>
                <w:color w:val="000000"/>
                <w:szCs w:val="22"/>
                <w:lang w:val="et-EE"/>
              </w:rPr>
            </w:pPr>
            <w:r w:rsidRPr="00EC3BD7">
              <w:rPr>
                <w:i/>
                <w:color w:val="000000"/>
                <w:szCs w:val="22"/>
                <w:lang w:val="et-EE"/>
              </w:rPr>
              <w:t>Väga sage:</w:t>
            </w:r>
          </w:p>
        </w:tc>
        <w:tc>
          <w:tcPr>
            <w:tcW w:w="7087" w:type="dxa"/>
          </w:tcPr>
          <w:p w14:paraId="31C554FC" w14:textId="77777777" w:rsidR="00F1277A" w:rsidRPr="00EC3BD7" w:rsidRDefault="00F1277A" w:rsidP="00B9089D">
            <w:pPr>
              <w:keepNext/>
              <w:rPr>
                <w:color w:val="000000"/>
                <w:szCs w:val="22"/>
                <w:lang w:val="et-EE"/>
              </w:rPr>
            </w:pPr>
            <w:r w:rsidRPr="00EC3BD7">
              <w:rPr>
                <w:color w:val="000000"/>
                <w:szCs w:val="22"/>
                <w:lang w:val="et-EE"/>
              </w:rPr>
              <w:t>Iiveldus, kõhulahtisus, oksendamine, düspepsia, kõhuvalu</w:t>
            </w:r>
            <w:r w:rsidRPr="00EC3BD7">
              <w:rPr>
                <w:color w:val="000000"/>
                <w:szCs w:val="22"/>
                <w:vertAlign w:val="superscript"/>
                <w:lang w:val="et-EE"/>
              </w:rPr>
              <w:t>6</w:t>
            </w:r>
          </w:p>
        </w:tc>
      </w:tr>
      <w:tr w:rsidR="00F1277A" w:rsidRPr="005D29F8" w14:paraId="4C00E292" w14:textId="77777777" w:rsidTr="008B1609">
        <w:trPr>
          <w:cantSplit/>
        </w:trPr>
        <w:tc>
          <w:tcPr>
            <w:tcW w:w="2235" w:type="dxa"/>
          </w:tcPr>
          <w:p w14:paraId="6E4F89AE" w14:textId="77777777" w:rsidR="00F1277A" w:rsidRPr="00EC3BD7" w:rsidRDefault="00F1277A" w:rsidP="00B9089D">
            <w:pPr>
              <w:keepNext/>
              <w:rPr>
                <w:color w:val="000000"/>
                <w:szCs w:val="22"/>
                <w:lang w:val="et-EE"/>
              </w:rPr>
            </w:pPr>
            <w:r w:rsidRPr="00EC3BD7">
              <w:rPr>
                <w:i/>
                <w:color w:val="000000"/>
                <w:szCs w:val="22"/>
                <w:lang w:val="et-EE"/>
              </w:rPr>
              <w:t>Sage:</w:t>
            </w:r>
          </w:p>
        </w:tc>
        <w:tc>
          <w:tcPr>
            <w:tcW w:w="7087" w:type="dxa"/>
          </w:tcPr>
          <w:p w14:paraId="7C61B8F1" w14:textId="77777777" w:rsidR="00F1277A" w:rsidRPr="00EC3BD7" w:rsidRDefault="00F1277A" w:rsidP="00B9089D">
            <w:pPr>
              <w:keepNext/>
              <w:rPr>
                <w:color w:val="000000"/>
                <w:szCs w:val="22"/>
                <w:lang w:val="et-EE"/>
              </w:rPr>
            </w:pPr>
            <w:r w:rsidRPr="00EC3BD7">
              <w:rPr>
                <w:color w:val="000000"/>
                <w:szCs w:val="22"/>
                <w:lang w:val="et-EE"/>
              </w:rPr>
              <w:t>Kõhupuhitus, kõhu esilevõlvumine, gastroösofageaalne refluks, kõhukinnisus, suukuivus, gastriit</w:t>
            </w:r>
          </w:p>
        </w:tc>
      </w:tr>
      <w:tr w:rsidR="00F1277A" w:rsidRPr="005D29F8" w14:paraId="4E3A065A" w14:textId="77777777" w:rsidTr="008B1609">
        <w:trPr>
          <w:cantSplit/>
        </w:trPr>
        <w:tc>
          <w:tcPr>
            <w:tcW w:w="2235" w:type="dxa"/>
          </w:tcPr>
          <w:p w14:paraId="5900DFF7" w14:textId="77777777" w:rsidR="00F1277A" w:rsidRPr="00EC3BD7" w:rsidRDefault="00F1277A" w:rsidP="00B9089D">
            <w:pPr>
              <w:keepNext/>
              <w:rPr>
                <w:color w:val="000000"/>
                <w:szCs w:val="22"/>
                <w:lang w:val="et-EE"/>
              </w:rPr>
            </w:pPr>
            <w:r w:rsidRPr="00EC3BD7">
              <w:rPr>
                <w:i/>
                <w:color w:val="000000"/>
                <w:szCs w:val="22"/>
                <w:lang w:val="et-EE"/>
              </w:rPr>
              <w:t>Aeg-ajalt:</w:t>
            </w:r>
          </w:p>
        </w:tc>
        <w:tc>
          <w:tcPr>
            <w:tcW w:w="7087" w:type="dxa"/>
          </w:tcPr>
          <w:p w14:paraId="119CFA46" w14:textId="77777777" w:rsidR="00F1277A" w:rsidRPr="00EC3BD7" w:rsidRDefault="00F1277A" w:rsidP="00B9089D">
            <w:pPr>
              <w:keepNext/>
              <w:rPr>
                <w:color w:val="000000"/>
                <w:szCs w:val="22"/>
                <w:lang w:val="et-EE"/>
              </w:rPr>
            </w:pPr>
            <w:r w:rsidRPr="00EC3BD7">
              <w:rPr>
                <w:color w:val="000000"/>
                <w:szCs w:val="22"/>
                <w:lang w:val="et-EE"/>
              </w:rPr>
              <w:t>Stomatiit, suu limaskesta haavandumine, seedetrakti verejooks</w:t>
            </w:r>
            <w:r w:rsidRPr="00EC3BD7">
              <w:rPr>
                <w:color w:val="000000"/>
                <w:szCs w:val="22"/>
                <w:vertAlign w:val="superscript"/>
                <w:lang w:val="et-EE"/>
              </w:rPr>
              <w:t>7</w:t>
            </w:r>
            <w:r w:rsidRPr="00EC3BD7">
              <w:rPr>
                <w:color w:val="000000"/>
                <w:szCs w:val="22"/>
                <w:lang w:val="et-EE"/>
              </w:rPr>
              <w:t>, röhitsused, veriroe, ösofagiit, astsiit, maohaavand, veriokse, keiliit, düsfaagia, pankreatiit</w:t>
            </w:r>
          </w:p>
        </w:tc>
      </w:tr>
      <w:tr w:rsidR="00F1277A" w:rsidRPr="00EC3BD7" w14:paraId="0C82F376" w14:textId="77777777" w:rsidTr="008B1609">
        <w:trPr>
          <w:cantSplit/>
        </w:trPr>
        <w:tc>
          <w:tcPr>
            <w:tcW w:w="2235" w:type="dxa"/>
          </w:tcPr>
          <w:p w14:paraId="23128A02" w14:textId="77777777" w:rsidR="00F1277A" w:rsidRPr="00EC3BD7" w:rsidRDefault="00F1277A" w:rsidP="00B9089D">
            <w:pPr>
              <w:keepNext/>
              <w:rPr>
                <w:color w:val="000000"/>
                <w:szCs w:val="22"/>
                <w:lang w:val="et-EE"/>
              </w:rPr>
            </w:pPr>
            <w:r w:rsidRPr="00EC3BD7">
              <w:rPr>
                <w:i/>
                <w:color w:val="000000"/>
                <w:szCs w:val="22"/>
                <w:lang w:val="et-EE"/>
              </w:rPr>
              <w:t>Harv:</w:t>
            </w:r>
          </w:p>
        </w:tc>
        <w:tc>
          <w:tcPr>
            <w:tcW w:w="7087" w:type="dxa"/>
          </w:tcPr>
          <w:p w14:paraId="19452401" w14:textId="77777777" w:rsidR="00F1277A" w:rsidRPr="00EC3BD7" w:rsidRDefault="00F1277A" w:rsidP="00B9089D">
            <w:pPr>
              <w:keepNext/>
              <w:rPr>
                <w:snapToGrid w:val="0"/>
                <w:color w:val="000000"/>
                <w:szCs w:val="22"/>
                <w:lang w:val="et-EE"/>
              </w:rPr>
            </w:pPr>
            <w:r w:rsidRPr="00EC3BD7">
              <w:rPr>
                <w:color w:val="000000"/>
                <w:szCs w:val="22"/>
                <w:lang w:val="et-EE"/>
              </w:rPr>
              <w:t>Koliit, i</w:t>
            </w:r>
            <w:r w:rsidRPr="00EC3BD7">
              <w:rPr>
                <w:snapToGrid w:val="0"/>
                <w:color w:val="000000"/>
                <w:szCs w:val="22"/>
                <w:lang w:val="et-EE"/>
              </w:rPr>
              <w:t>ileus, soolepõletik</w:t>
            </w:r>
          </w:p>
        </w:tc>
      </w:tr>
      <w:tr w:rsidR="00B85B1E" w:rsidRPr="005D29F8" w14:paraId="721C5801" w14:textId="77777777" w:rsidTr="008B1609">
        <w:trPr>
          <w:cantSplit/>
        </w:trPr>
        <w:tc>
          <w:tcPr>
            <w:tcW w:w="2235" w:type="dxa"/>
          </w:tcPr>
          <w:p w14:paraId="16C2B915" w14:textId="77777777" w:rsidR="00B85B1E" w:rsidRPr="00EC3BD7" w:rsidRDefault="00B85B1E" w:rsidP="00072FC7">
            <w:pPr>
              <w:rPr>
                <w:i/>
                <w:color w:val="000000"/>
                <w:szCs w:val="22"/>
                <w:lang w:val="et-EE"/>
              </w:rPr>
            </w:pPr>
            <w:r w:rsidRPr="00EC3BD7">
              <w:rPr>
                <w:i/>
                <w:color w:val="000000"/>
                <w:szCs w:val="22"/>
                <w:lang w:val="et-EE"/>
              </w:rPr>
              <w:t>Teadmata:</w:t>
            </w:r>
          </w:p>
        </w:tc>
        <w:tc>
          <w:tcPr>
            <w:tcW w:w="7087" w:type="dxa"/>
          </w:tcPr>
          <w:p w14:paraId="47430B7B" w14:textId="77777777" w:rsidR="00B85B1E" w:rsidRPr="00EC3BD7" w:rsidRDefault="00B85B1E" w:rsidP="00B85B1E">
            <w:pPr>
              <w:rPr>
                <w:color w:val="000000"/>
                <w:szCs w:val="22"/>
                <w:lang w:val="et-EE"/>
              </w:rPr>
            </w:pPr>
            <w:r w:rsidRPr="00EC3BD7">
              <w:rPr>
                <w:color w:val="000000"/>
                <w:szCs w:val="22"/>
                <w:lang w:val="et-EE"/>
              </w:rPr>
              <w:t>Iileus/soole obstruktsioon</w:t>
            </w:r>
            <w:r w:rsidR="00A2060F" w:rsidRPr="00EC3BD7">
              <w:rPr>
                <w:color w:val="000000"/>
                <w:szCs w:val="22"/>
                <w:lang w:val="et-EE"/>
              </w:rPr>
              <w:t>*</w:t>
            </w:r>
            <w:r w:rsidRPr="00EC3BD7">
              <w:rPr>
                <w:color w:val="000000"/>
                <w:szCs w:val="22"/>
                <w:lang w:val="et-EE"/>
              </w:rPr>
              <w:t xml:space="preserve">, seedetrakti perforatsioon*, divertikuliit*, mao </w:t>
            </w:r>
            <w:r w:rsidRPr="00EC3BD7">
              <w:rPr>
                <w:i/>
                <w:color w:val="000000"/>
                <w:szCs w:val="22"/>
                <w:lang w:val="et-EE"/>
              </w:rPr>
              <w:t>antrumi</w:t>
            </w:r>
            <w:r w:rsidRPr="00EC3BD7">
              <w:rPr>
                <w:color w:val="000000"/>
                <w:szCs w:val="22"/>
                <w:lang w:val="et-EE"/>
              </w:rPr>
              <w:t xml:space="preserve"> piirkonna vaskulaarne ektaasia (</w:t>
            </w:r>
            <w:r w:rsidRPr="00EC3BD7">
              <w:rPr>
                <w:lang w:val="et-EE"/>
              </w:rPr>
              <w:t>GAVE)*</w:t>
            </w:r>
          </w:p>
        </w:tc>
      </w:tr>
      <w:tr w:rsidR="00F1277A" w:rsidRPr="00EC3BD7" w14:paraId="0E53A32F" w14:textId="77777777" w:rsidTr="008B1609">
        <w:trPr>
          <w:cantSplit/>
        </w:trPr>
        <w:tc>
          <w:tcPr>
            <w:tcW w:w="9322" w:type="dxa"/>
            <w:gridSpan w:val="2"/>
          </w:tcPr>
          <w:p w14:paraId="446914E6" w14:textId="77777777" w:rsidR="00F1277A" w:rsidRPr="00EC3BD7" w:rsidRDefault="00F1277A" w:rsidP="00B9089D">
            <w:pPr>
              <w:keepNext/>
              <w:rPr>
                <w:snapToGrid w:val="0"/>
                <w:color w:val="000000"/>
                <w:szCs w:val="22"/>
                <w:lang w:val="et-EE"/>
              </w:rPr>
            </w:pPr>
            <w:r w:rsidRPr="00EC3BD7">
              <w:rPr>
                <w:b/>
                <w:color w:val="000000"/>
                <w:szCs w:val="22"/>
                <w:lang w:val="et-EE"/>
              </w:rPr>
              <w:t>Maksa ja sapiteede häired</w:t>
            </w:r>
          </w:p>
        </w:tc>
      </w:tr>
      <w:tr w:rsidR="00F1277A" w:rsidRPr="00EC3BD7" w14:paraId="279EB3E2" w14:textId="77777777" w:rsidTr="008B1609">
        <w:trPr>
          <w:cantSplit/>
        </w:trPr>
        <w:tc>
          <w:tcPr>
            <w:tcW w:w="2235" w:type="dxa"/>
          </w:tcPr>
          <w:p w14:paraId="39A7FD91" w14:textId="77777777" w:rsidR="00F1277A" w:rsidRPr="00EC3BD7" w:rsidRDefault="00F1277A" w:rsidP="00B9089D">
            <w:pPr>
              <w:keepNext/>
              <w:rPr>
                <w:i/>
                <w:color w:val="000000"/>
                <w:szCs w:val="22"/>
                <w:lang w:val="et-EE"/>
              </w:rPr>
            </w:pPr>
            <w:r w:rsidRPr="00EC3BD7">
              <w:rPr>
                <w:i/>
                <w:color w:val="000000"/>
                <w:szCs w:val="22"/>
                <w:lang w:val="et-EE"/>
              </w:rPr>
              <w:t>Sage:</w:t>
            </w:r>
          </w:p>
        </w:tc>
        <w:tc>
          <w:tcPr>
            <w:tcW w:w="7087" w:type="dxa"/>
          </w:tcPr>
          <w:p w14:paraId="7CB7860E" w14:textId="77777777" w:rsidR="00F1277A" w:rsidRPr="00EC3BD7" w:rsidRDefault="00F1277A" w:rsidP="00B9089D">
            <w:pPr>
              <w:keepNext/>
              <w:rPr>
                <w:color w:val="000000"/>
                <w:szCs w:val="22"/>
                <w:lang w:val="et-EE"/>
              </w:rPr>
            </w:pPr>
            <w:r w:rsidRPr="00EC3BD7">
              <w:rPr>
                <w:color w:val="000000"/>
                <w:szCs w:val="22"/>
                <w:lang w:val="et-EE"/>
              </w:rPr>
              <w:t>Maksaensüümide aktiivsuse tõus</w:t>
            </w:r>
          </w:p>
        </w:tc>
      </w:tr>
      <w:tr w:rsidR="00F1277A" w:rsidRPr="00EC3BD7" w14:paraId="0BC1CB88" w14:textId="77777777" w:rsidTr="008B1609">
        <w:trPr>
          <w:cantSplit/>
        </w:trPr>
        <w:tc>
          <w:tcPr>
            <w:tcW w:w="2235" w:type="dxa"/>
          </w:tcPr>
          <w:p w14:paraId="0E67B50E" w14:textId="77777777" w:rsidR="00F1277A" w:rsidRPr="00EC3BD7" w:rsidRDefault="00F1277A" w:rsidP="00B9089D">
            <w:pPr>
              <w:keepNext/>
              <w:rPr>
                <w:i/>
                <w:color w:val="000000"/>
                <w:szCs w:val="22"/>
                <w:lang w:val="et-EE"/>
              </w:rPr>
            </w:pPr>
            <w:r w:rsidRPr="00EC3BD7">
              <w:rPr>
                <w:i/>
                <w:color w:val="000000"/>
                <w:szCs w:val="22"/>
                <w:lang w:val="et-EE"/>
              </w:rPr>
              <w:t>Aeg-ajalt:</w:t>
            </w:r>
          </w:p>
        </w:tc>
        <w:tc>
          <w:tcPr>
            <w:tcW w:w="7087" w:type="dxa"/>
          </w:tcPr>
          <w:p w14:paraId="3B99864B" w14:textId="77777777" w:rsidR="00F1277A" w:rsidRPr="00EC3BD7" w:rsidRDefault="00F1277A" w:rsidP="00B9089D">
            <w:pPr>
              <w:keepNext/>
              <w:rPr>
                <w:color w:val="000000"/>
                <w:szCs w:val="22"/>
                <w:lang w:val="et-EE"/>
              </w:rPr>
            </w:pPr>
            <w:r w:rsidRPr="00EC3BD7">
              <w:rPr>
                <w:color w:val="000000"/>
                <w:szCs w:val="22"/>
                <w:lang w:val="et-EE"/>
              </w:rPr>
              <w:t>Hüperbilirubineemia, hepatiit, ikterus</w:t>
            </w:r>
          </w:p>
        </w:tc>
      </w:tr>
      <w:tr w:rsidR="00F1277A" w:rsidRPr="00EC3BD7" w14:paraId="07B43679" w14:textId="77777777" w:rsidTr="008B1609">
        <w:trPr>
          <w:cantSplit/>
        </w:trPr>
        <w:tc>
          <w:tcPr>
            <w:tcW w:w="2235" w:type="dxa"/>
          </w:tcPr>
          <w:p w14:paraId="24A9E38B" w14:textId="77777777" w:rsidR="00F1277A" w:rsidRPr="00EC3BD7" w:rsidRDefault="00F1277A" w:rsidP="008667AF">
            <w:pPr>
              <w:rPr>
                <w:i/>
                <w:color w:val="000000"/>
                <w:szCs w:val="22"/>
                <w:lang w:val="et-EE"/>
              </w:rPr>
            </w:pPr>
            <w:r w:rsidRPr="00EC3BD7">
              <w:rPr>
                <w:i/>
                <w:color w:val="000000"/>
                <w:szCs w:val="22"/>
                <w:lang w:val="et-EE"/>
              </w:rPr>
              <w:t>Harv:</w:t>
            </w:r>
          </w:p>
        </w:tc>
        <w:tc>
          <w:tcPr>
            <w:tcW w:w="7087" w:type="dxa"/>
          </w:tcPr>
          <w:p w14:paraId="248B1BBF" w14:textId="77777777" w:rsidR="00F1277A" w:rsidRPr="00EC3BD7" w:rsidRDefault="00F1277A" w:rsidP="008667AF">
            <w:pPr>
              <w:rPr>
                <w:color w:val="000000"/>
                <w:szCs w:val="22"/>
                <w:lang w:val="et-EE"/>
              </w:rPr>
            </w:pPr>
            <w:r w:rsidRPr="00EC3BD7">
              <w:rPr>
                <w:color w:val="000000"/>
                <w:szCs w:val="22"/>
                <w:lang w:val="et-EE"/>
              </w:rPr>
              <w:t>Maksapuudulikkus</w:t>
            </w:r>
            <w:r w:rsidRPr="00EC3BD7">
              <w:rPr>
                <w:color w:val="000000"/>
                <w:szCs w:val="22"/>
                <w:vertAlign w:val="superscript"/>
                <w:lang w:val="et-EE"/>
              </w:rPr>
              <w:t>8</w:t>
            </w:r>
            <w:r w:rsidRPr="00EC3BD7">
              <w:rPr>
                <w:color w:val="000000"/>
                <w:szCs w:val="22"/>
                <w:lang w:val="et-EE"/>
              </w:rPr>
              <w:t>, maksanekroos</w:t>
            </w:r>
          </w:p>
        </w:tc>
      </w:tr>
      <w:tr w:rsidR="00F1277A" w:rsidRPr="00EC3BD7" w14:paraId="69CA0C53" w14:textId="77777777" w:rsidTr="008B1609">
        <w:trPr>
          <w:cantSplit/>
        </w:trPr>
        <w:tc>
          <w:tcPr>
            <w:tcW w:w="9322" w:type="dxa"/>
            <w:gridSpan w:val="2"/>
          </w:tcPr>
          <w:p w14:paraId="279A6965" w14:textId="77777777" w:rsidR="00F1277A" w:rsidRPr="00EC3BD7" w:rsidRDefault="00F1277A" w:rsidP="00B9089D">
            <w:pPr>
              <w:keepNext/>
              <w:rPr>
                <w:color w:val="000000"/>
                <w:szCs w:val="22"/>
                <w:lang w:val="et-EE"/>
              </w:rPr>
            </w:pPr>
            <w:r w:rsidRPr="00EC3BD7">
              <w:rPr>
                <w:b/>
                <w:color w:val="000000"/>
                <w:szCs w:val="22"/>
                <w:lang w:val="et-EE"/>
              </w:rPr>
              <w:lastRenderedPageBreak/>
              <w:t>Naha ja nahaaluskoe kahjustused</w:t>
            </w:r>
          </w:p>
        </w:tc>
      </w:tr>
      <w:tr w:rsidR="00F1277A" w:rsidRPr="00EC3BD7" w14:paraId="2F0D79E0" w14:textId="77777777" w:rsidTr="008B1609">
        <w:trPr>
          <w:cantSplit/>
        </w:trPr>
        <w:tc>
          <w:tcPr>
            <w:tcW w:w="2235" w:type="dxa"/>
          </w:tcPr>
          <w:p w14:paraId="0747B4AE" w14:textId="77777777" w:rsidR="00F1277A" w:rsidRPr="00EC3BD7" w:rsidRDefault="00F1277A" w:rsidP="00B9089D">
            <w:pPr>
              <w:keepNext/>
              <w:rPr>
                <w:color w:val="000000"/>
                <w:szCs w:val="22"/>
                <w:lang w:val="et-EE"/>
              </w:rPr>
            </w:pPr>
            <w:r w:rsidRPr="00EC3BD7">
              <w:rPr>
                <w:i/>
                <w:color w:val="000000"/>
                <w:szCs w:val="22"/>
                <w:lang w:val="et-EE"/>
              </w:rPr>
              <w:t>Väga sage:</w:t>
            </w:r>
          </w:p>
        </w:tc>
        <w:tc>
          <w:tcPr>
            <w:tcW w:w="7087" w:type="dxa"/>
          </w:tcPr>
          <w:p w14:paraId="64EB3998" w14:textId="77777777" w:rsidR="00F1277A" w:rsidRPr="00EC3BD7" w:rsidRDefault="00F1277A" w:rsidP="00B9089D">
            <w:pPr>
              <w:keepNext/>
              <w:rPr>
                <w:color w:val="000000"/>
                <w:szCs w:val="22"/>
                <w:lang w:val="et-EE"/>
              </w:rPr>
            </w:pPr>
            <w:r w:rsidRPr="00EC3BD7">
              <w:rPr>
                <w:color w:val="000000"/>
                <w:szCs w:val="22"/>
                <w:lang w:val="et-EE"/>
              </w:rPr>
              <w:t>Periorbitaalne turse, dermatiit/ekseem/lööve</w:t>
            </w:r>
          </w:p>
        </w:tc>
      </w:tr>
      <w:tr w:rsidR="00F1277A" w:rsidRPr="00EC3BD7" w14:paraId="778662D0" w14:textId="77777777" w:rsidTr="008B1609">
        <w:trPr>
          <w:cantSplit/>
        </w:trPr>
        <w:tc>
          <w:tcPr>
            <w:tcW w:w="2235" w:type="dxa"/>
          </w:tcPr>
          <w:p w14:paraId="3309514E" w14:textId="77777777" w:rsidR="00F1277A" w:rsidRPr="00EC3BD7" w:rsidRDefault="00F1277A" w:rsidP="00B9089D">
            <w:pPr>
              <w:keepNext/>
              <w:rPr>
                <w:color w:val="000000"/>
                <w:szCs w:val="22"/>
                <w:lang w:val="et-EE"/>
              </w:rPr>
            </w:pPr>
            <w:r w:rsidRPr="00EC3BD7">
              <w:rPr>
                <w:i/>
                <w:color w:val="000000"/>
                <w:szCs w:val="22"/>
                <w:lang w:val="et-EE"/>
              </w:rPr>
              <w:t>Sage:</w:t>
            </w:r>
          </w:p>
        </w:tc>
        <w:tc>
          <w:tcPr>
            <w:tcW w:w="7087" w:type="dxa"/>
          </w:tcPr>
          <w:p w14:paraId="0780E964" w14:textId="77777777" w:rsidR="00F1277A" w:rsidRPr="00EC3BD7" w:rsidRDefault="00F1277A" w:rsidP="00B9089D">
            <w:pPr>
              <w:keepNext/>
              <w:rPr>
                <w:color w:val="000000"/>
                <w:szCs w:val="22"/>
                <w:lang w:val="et-EE"/>
              </w:rPr>
            </w:pPr>
            <w:r w:rsidRPr="00EC3BD7">
              <w:rPr>
                <w:color w:val="000000"/>
                <w:szCs w:val="22"/>
                <w:lang w:val="et-EE"/>
              </w:rPr>
              <w:t>Pruuritus, näo turse, naha kuivus, erüteem, alopeetsia, öine higistamine, fotosensibilisatsioon</w:t>
            </w:r>
          </w:p>
        </w:tc>
      </w:tr>
      <w:tr w:rsidR="00F1277A" w:rsidRPr="005D29F8" w14:paraId="1499497D" w14:textId="77777777" w:rsidTr="008B1609">
        <w:trPr>
          <w:cantSplit/>
        </w:trPr>
        <w:tc>
          <w:tcPr>
            <w:tcW w:w="2235" w:type="dxa"/>
          </w:tcPr>
          <w:p w14:paraId="7989BC52" w14:textId="77777777" w:rsidR="00F1277A" w:rsidRPr="00EC3BD7" w:rsidRDefault="00F1277A" w:rsidP="00B9089D">
            <w:pPr>
              <w:keepNext/>
              <w:rPr>
                <w:color w:val="000000"/>
                <w:szCs w:val="22"/>
                <w:lang w:val="et-EE"/>
              </w:rPr>
            </w:pPr>
            <w:r w:rsidRPr="00EC3BD7">
              <w:rPr>
                <w:i/>
                <w:color w:val="000000"/>
                <w:szCs w:val="22"/>
                <w:lang w:val="et-EE"/>
              </w:rPr>
              <w:t>Aeg-ajalt:</w:t>
            </w:r>
          </w:p>
        </w:tc>
        <w:tc>
          <w:tcPr>
            <w:tcW w:w="7087" w:type="dxa"/>
          </w:tcPr>
          <w:p w14:paraId="340A923F" w14:textId="77777777" w:rsidR="00F1277A" w:rsidRPr="00EC3BD7" w:rsidRDefault="00F1277A" w:rsidP="00B9089D">
            <w:pPr>
              <w:keepNext/>
              <w:rPr>
                <w:color w:val="000000"/>
                <w:szCs w:val="22"/>
                <w:lang w:val="et-EE"/>
              </w:rPr>
            </w:pPr>
            <w:r w:rsidRPr="00EC3BD7">
              <w:rPr>
                <w:color w:val="000000"/>
                <w:szCs w:val="22"/>
                <w:lang w:val="et-EE"/>
              </w:rPr>
              <w:t>Pustuloosne lööve, muljumine, suurenenud higistamine, urtikaaria, ekhümoos, verevalumite tekkimise sagenemine, hüpotrihhoos, naha hüpopigmentatsioon, eksfoliatiivne dermatiit, küünte murdumine, follikuliit, petehhiad, psoriaas, purpur, naha hüperpigmentatsioon, bulloossed kahjustused</w:t>
            </w:r>
          </w:p>
        </w:tc>
      </w:tr>
      <w:tr w:rsidR="00F1277A" w:rsidRPr="005D29F8" w14:paraId="25F434D2" w14:textId="77777777" w:rsidTr="008B1609">
        <w:trPr>
          <w:cantSplit/>
        </w:trPr>
        <w:tc>
          <w:tcPr>
            <w:tcW w:w="2235" w:type="dxa"/>
          </w:tcPr>
          <w:p w14:paraId="57A508A4" w14:textId="77777777" w:rsidR="00F1277A" w:rsidRPr="00EC3BD7" w:rsidRDefault="00F1277A" w:rsidP="00B9089D">
            <w:pPr>
              <w:keepNext/>
              <w:rPr>
                <w:color w:val="000000"/>
                <w:szCs w:val="22"/>
                <w:lang w:val="et-EE"/>
              </w:rPr>
            </w:pPr>
            <w:r w:rsidRPr="00EC3BD7">
              <w:rPr>
                <w:i/>
                <w:color w:val="000000"/>
                <w:szCs w:val="22"/>
                <w:lang w:val="et-EE"/>
              </w:rPr>
              <w:t>Harv:</w:t>
            </w:r>
          </w:p>
        </w:tc>
        <w:tc>
          <w:tcPr>
            <w:tcW w:w="7087" w:type="dxa"/>
          </w:tcPr>
          <w:p w14:paraId="71495950" w14:textId="77777777" w:rsidR="00F1277A" w:rsidRPr="00EC3BD7" w:rsidRDefault="00F1277A" w:rsidP="00B9089D">
            <w:pPr>
              <w:keepNext/>
              <w:rPr>
                <w:color w:val="000000"/>
                <w:szCs w:val="22"/>
                <w:lang w:val="et-EE"/>
              </w:rPr>
            </w:pPr>
            <w:r w:rsidRPr="00EC3BD7">
              <w:rPr>
                <w:color w:val="000000"/>
                <w:szCs w:val="22"/>
                <w:lang w:val="et-EE"/>
              </w:rPr>
              <w:t>Äge febriilne neutrofiilne dermatoos (Sweet’i sündroom), küünte värvuse muutus, angioödeem, vesikulaarne lööve, multiformne erüteem, leukotsütoklastiline vaskuliit, Stevens-Johnson’i sündroom, äge generaliseerunud eksantematoosne pustuloos (AGEP)</w:t>
            </w:r>
          </w:p>
        </w:tc>
      </w:tr>
      <w:tr w:rsidR="00B85B1E" w:rsidRPr="005D29F8" w14:paraId="3EA9AB06" w14:textId="77777777" w:rsidTr="008B1609">
        <w:trPr>
          <w:cantSplit/>
        </w:trPr>
        <w:tc>
          <w:tcPr>
            <w:tcW w:w="2235" w:type="dxa"/>
          </w:tcPr>
          <w:p w14:paraId="249B1F5A" w14:textId="77777777" w:rsidR="00B85B1E" w:rsidRPr="00EC3BD7" w:rsidRDefault="00B85B1E" w:rsidP="00072FC7">
            <w:pPr>
              <w:rPr>
                <w:i/>
                <w:color w:val="000000"/>
                <w:szCs w:val="22"/>
                <w:lang w:val="et-EE"/>
              </w:rPr>
            </w:pPr>
            <w:r w:rsidRPr="00EC3BD7">
              <w:rPr>
                <w:i/>
                <w:color w:val="000000"/>
                <w:szCs w:val="22"/>
                <w:lang w:val="et-EE"/>
              </w:rPr>
              <w:t>Teadmata:</w:t>
            </w:r>
          </w:p>
        </w:tc>
        <w:tc>
          <w:tcPr>
            <w:tcW w:w="7087" w:type="dxa"/>
          </w:tcPr>
          <w:p w14:paraId="6E0E88F9" w14:textId="77777777" w:rsidR="00B85B1E" w:rsidRPr="00EC3BD7" w:rsidRDefault="00B85B1E" w:rsidP="00B85B1E">
            <w:pPr>
              <w:rPr>
                <w:color w:val="000000"/>
                <w:szCs w:val="22"/>
                <w:lang w:val="et-EE"/>
              </w:rPr>
            </w:pPr>
            <w:r w:rsidRPr="00EC3BD7">
              <w:rPr>
                <w:color w:val="000000"/>
                <w:szCs w:val="22"/>
                <w:lang w:val="et-EE"/>
              </w:rPr>
              <w:t>Palmoplantaarse erütrodüsesteesia sündroom*, lihhenoidne keratoos*, lame lihhen*, toksiline epidermaalne nekrolüüs*</w:t>
            </w:r>
            <w:r w:rsidR="00020593" w:rsidRPr="00EC3BD7">
              <w:rPr>
                <w:color w:val="000000"/>
                <w:szCs w:val="22"/>
                <w:lang w:val="et-EE"/>
              </w:rPr>
              <w:t>, ravimlööve koos eosinofiilia ja süsteemsete sümptomitega (DRESS)*</w:t>
            </w:r>
            <w:r w:rsidR="00244FDC" w:rsidRPr="00EC3BD7">
              <w:rPr>
                <w:color w:val="000000"/>
                <w:szCs w:val="22"/>
                <w:lang w:val="et-EE"/>
              </w:rPr>
              <w:t>, pseudoporfüüria*</w:t>
            </w:r>
          </w:p>
        </w:tc>
      </w:tr>
      <w:tr w:rsidR="00F1277A" w:rsidRPr="005D29F8" w14:paraId="0375E657" w14:textId="77777777" w:rsidTr="008B1609">
        <w:trPr>
          <w:cantSplit/>
        </w:trPr>
        <w:tc>
          <w:tcPr>
            <w:tcW w:w="9322" w:type="dxa"/>
            <w:gridSpan w:val="2"/>
          </w:tcPr>
          <w:p w14:paraId="0E12D4AF" w14:textId="77777777" w:rsidR="00F1277A" w:rsidRPr="00EC3BD7" w:rsidRDefault="00F1277A" w:rsidP="006B6C08">
            <w:pPr>
              <w:keepNext/>
              <w:rPr>
                <w:color w:val="000000"/>
                <w:szCs w:val="22"/>
                <w:lang w:val="et-EE"/>
              </w:rPr>
            </w:pPr>
            <w:r w:rsidRPr="00EC3BD7">
              <w:rPr>
                <w:b/>
                <w:color w:val="000000"/>
                <w:szCs w:val="22"/>
                <w:lang w:val="et-EE"/>
              </w:rPr>
              <w:t>Lihas</w:t>
            </w:r>
            <w:r w:rsidR="002E5BC2" w:rsidRPr="00EC3BD7">
              <w:rPr>
                <w:b/>
                <w:color w:val="000000"/>
                <w:szCs w:val="22"/>
                <w:lang w:val="et-EE"/>
              </w:rPr>
              <w:t xml:space="preserve">te, luustiku </w:t>
            </w:r>
            <w:r w:rsidRPr="00EC3BD7">
              <w:rPr>
                <w:b/>
                <w:color w:val="000000"/>
                <w:szCs w:val="22"/>
                <w:lang w:val="et-EE"/>
              </w:rPr>
              <w:t>ja sidekoe kahjustused</w:t>
            </w:r>
          </w:p>
        </w:tc>
      </w:tr>
      <w:tr w:rsidR="00F1277A" w:rsidRPr="005D29F8" w14:paraId="7DE34BDB" w14:textId="77777777" w:rsidTr="008B1609">
        <w:trPr>
          <w:cantSplit/>
        </w:trPr>
        <w:tc>
          <w:tcPr>
            <w:tcW w:w="2235" w:type="dxa"/>
          </w:tcPr>
          <w:p w14:paraId="5D1243E3" w14:textId="77777777" w:rsidR="00F1277A" w:rsidRPr="00EC3BD7" w:rsidRDefault="00F1277A" w:rsidP="00B9089D">
            <w:pPr>
              <w:keepNext/>
              <w:rPr>
                <w:i/>
                <w:color w:val="000000"/>
                <w:szCs w:val="22"/>
                <w:lang w:val="et-EE"/>
              </w:rPr>
            </w:pPr>
            <w:r w:rsidRPr="00EC3BD7">
              <w:rPr>
                <w:i/>
                <w:color w:val="000000"/>
                <w:szCs w:val="22"/>
                <w:lang w:val="et-EE"/>
              </w:rPr>
              <w:t>Väga sage:</w:t>
            </w:r>
          </w:p>
        </w:tc>
        <w:tc>
          <w:tcPr>
            <w:tcW w:w="7087" w:type="dxa"/>
          </w:tcPr>
          <w:p w14:paraId="20C342B8" w14:textId="77777777" w:rsidR="00F1277A" w:rsidRPr="00EC3BD7" w:rsidRDefault="00F1277A" w:rsidP="00B9089D">
            <w:pPr>
              <w:keepNext/>
              <w:rPr>
                <w:color w:val="000000"/>
                <w:szCs w:val="22"/>
                <w:lang w:val="et-EE"/>
              </w:rPr>
            </w:pPr>
            <w:r w:rsidRPr="00EC3BD7">
              <w:rPr>
                <w:color w:val="000000"/>
                <w:szCs w:val="22"/>
                <w:lang w:val="et-EE"/>
              </w:rPr>
              <w:t>Lihasspasmid ja -krambid, lihas-skeleti valu, sh lihasvalu</w:t>
            </w:r>
            <w:r w:rsidR="00AE5CF5" w:rsidRPr="00EC3BD7">
              <w:rPr>
                <w:color w:val="000000"/>
                <w:szCs w:val="22"/>
                <w:vertAlign w:val="superscript"/>
                <w:lang w:val="et-EE"/>
              </w:rPr>
              <w:t>9</w:t>
            </w:r>
            <w:r w:rsidRPr="00EC3BD7">
              <w:rPr>
                <w:color w:val="000000"/>
                <w:szCs w:val="22"/>
                <w:lang w:val="et-EE"/>
              </w:rPr>
              <w:t>, liigesvalu, luuvalu</w:t>
            </w:r>
            <w:r w:rsidR="002553C9" w:rsidRPr="00EC3BD7">
              <w:rPr>
                <w:color w:val="000000"/>
                <w:szCs w:val="22"/>
                <w:vertAlign w:val="superscript"/>
                <w:lang w:val="et-EE"/>
              </w:rPr>
              <w:t>10</w:t>
            </w:r>
          </w:p>
        </w:tc>
      </w:tr>
      <w:tr w:rsidR="00F1277A" w:rsidRPr="00EC3BD7" w14:paraId="2D5BCC6E" w14:textId="77777777" w:rsidTr="008B1609">
        <w:trPr>
          <w:cantSplit/>
        </w:trPr>
        <w:tc>
          <w:tcPr>
            <w:tcW w:w="2235" w:type="dxa"/>
          </w:tcPr>
          <w:p w14:paraId="13E2078C" w14:textId="77777777" w:rsidR="00F1277A" w:rsidRPr="00EC3BD7" w:rsidRDefault="00F1277A" w:rsidP="00B9089D">
            <w:pPr>
              <w:keepNext/>
              <w:rPr>
                <w:i/>
                <w:color w:val="000000"/>
                <w:szCs w:val="22"/>
                <w:lang w:val="et-EE"/>
              </w:rPr>
            </w:pPr>
            <w:r w:rsidRPr="00EC3BD7">
              <w:rPr>
                <w:i/>
                <w:color w:val="000000"/>
                <w:szCs w:val="22"/>
                <w:lang w:val="et-EE"/>
              </w:rPr>
              <w:t>Sage:</w:t>
            </w:r>
          </w:p>
        </w:tc>
        <w:tc>
          <w:tcPr>
            <w:tcW w:w="7087" w:type="dxa"/>
          </w:tcPr>
          <w:p w14:paraId="61484A6B" w14:textId="77777777" w:rsidR="00F1277A" w:rsidRPr="00EC3BD7" w:rsidRDefault="00F1277A" w:rsidP="00B9089D">
            <w:pPr>
              <w:keepNext/>
              <w:rPr>
                <w:color w:val="000000"/>
                <w:szCs w:val="22"/>
                <w:lang w:val="et-EE"/>
              </w:rPr>
            </w:pPr>
            <w:r w:rsidRPr="00EC3BD7">
              <w:rPr>
                <w:color w:val="000000"/>
                <w:szCs w:val="22"/>
                <w:lang w:val="et-EE"/>
              </w:rPr>
              <w:t>Liigeste tursed</w:t>
            </w:r>
          </w:p>
        </w:tc>
      </w:tr>
      <w:tr w:rsidR="00F1277A" w:rsidRPr="00EC3BD7" w14:paraId="685C880A" w14:textId="77777777" w:rsidTr="008B1609">
        <w:trPr>
          <w:cantSplit/>
        </w:trPr>
        <w:tc>
          <w:tcPr>
            <w:tcW w:w="2235" w:type="dxa"/>
          </w:tcPr>
          <w:p w14:paraId="35BE5E78" w14:textId="77777777" w:rsidR="00F1277A" w:rsidRPr="00EC3BD7" w:rsidRDefault="00F1277A" w:rsidP="00B9089D">
            <w:pPr>
              <w:keepNext/>
              <w:rPr>
                <w:i/>
                <w:color w:val="000000"/>
                <w:szCs w:val="22"/>
                <w:lang w:val="et-EE"/>
              </w:rPr>
            </w:pPr>
            <w:r w:rsidRPr="00EC3BD7">
              <w:rPr>
                <w:i/>
                <w:color w:val="000000"/>
                <w:szCs w:val="22"/>
                <w:lang w:val="et-EE"/>
              </w:rPr>
              <w:t>Aeg-ajalt:</w:t>
            </w:r>
          </w:p>
        </w:tc>
        <w:tc>
          <w:tcPr>
            <w:tcW w:w="7087" w:type="dxa"/>
          </w:tcPr>
          <w:p w14:paraId="633AF882" w14:textId="77777777" w:rsidR="00F1277A" w:rsidRPr="00EC3BD7" w:rsidRDefault="00F1277A" w:rsidP="00B9089D">
            <w:pPr>
              <w:keepNext/>
              <w:rPr>
                <w:color w:val="000000"/>
                <w:szCs w:val="22"/>
                <w:lang w:val="et-EE"/>
              </w:rPr>
            </w:pPr>
            <w:r w:rsidRPr="00EC3BD7">
              <w:rPr>
                <w:color w:val="000000"/>
                <w:szCs w:val="22"/>
                <w:lang w:val="et-EE"/>
              </w:rPr>
              <w:t>Liigeste ja lihaste jäikus</w:t>
            </w:r>
          </w:p>
        </w:tc>
      </w:tr>
      <w:tr w:rsidR="00F1277A" w:rsidRPr="00EC3BD7" w14:paraId="69846DED" w14:textId="77777777" w:rsidTr="008B1609">
        <w:trPr>
          <w:cantSplit/>
        </w:trPr>
        <w:tc>
          <w:tcPr>
            <w:tcW w:w="2235" w:type="dxa"/>
          </w:tcPr>
          <w:p w14:paraId="40DBC84A" w14:textId="77777777" w:rsidR="00F1277A" w:rsidRPr="00EC3BD7" w:rsidRDefault="00F1277A" w:rsidP="00B9089D">
            <w:pPr>
              <w:keepNext/>
              <w:rPr>
                <w:i/>
                <w:color w:val="000000"/>
                <w:szCs w:val="22"/>
                <w:lang w:val="et-EE"/>
              </w:rPr>
            </w:pPr>
            <w:r w:rsidRPr="00EC3BD7">
              <w:rPr>
                <w:i/>
                <w:color w:val="000000"/>
                <w:szCs w:val="22"/>
                <w:lang w:val="et-EE"/>
              </w:rPr>
              <w:t>Harv:</w:t>
            </w:r>
          </w:p>
        </w:tc>
        <w:tc>
          <w:tcPr>
            <w:tcW w:w="7087" w:type="dxa"/>
          </w:tcPr>
          <w:p w14:paraId="4A9FA4DC" w14:textId="77777777" w:rsidR="00F1277A" w:rsidRPr="00EC3BD7" w:rsidRDefault="00F1277A" w:rsidP="00B9089D">
            <w:pPr>
              <w:keepNext/>
              <w:rPr>
                <w:color w:val="000000"/>
                <w:szCs w:val="22"/>
                <w:lang w:val="et-EE"/>
              </w:rPr>
            </w:pPr>
            <w:r w:rsidRPr="00EC3BD7">
              <w:rPr>
                <w:bCs/>
                <w:color w:val="000000"/>
                <w:szCs w:val="22"/>
                <w:lang w:val="et-EE"/>
              </w:rPr>
              <w:t xml:space="preserve">Lihasnõrkus, artriit, </w:t>
            </w:r>
            <w:r w:rsidRPr="00EC3BD7">
              <w:rPr>
                <w:color w:val="000000"/>
                <w:szCs w:val="22"/>
                <w:lang w:val="et-EE"/>
              </w:rPr>
              <w:t>rabdomolüüs/müopaatia</w:t>
            </w:r>
          </w:p>
        </w:tc>
      </w:tr>
      <w:tr w:rsidR="00020593" w:rsidRPr="005D29F8" w14:paraId="407AB683" w14:textId="77777777" w:rsidTr="008B1609">
        <w:trPr>
          <w:cantSplit/>
        </w:trPr>
        <w:tc>
          <w:tcPr>
            <w:tcW w:w="2235" w:type="dxa"/>
          </w:tcPr>
          <w:p w14:paraId="187A0D6B" w14:textId="77777777" w:rsidR="00020593" w:rsidRPr="00EC3BD7" w:rsidRDefault="00020593" w:rsidP="00072FC7">
            <w:pPr>
              <w:rPr>
                <w:i/>
                <w:color w:val="000000"/>
                <w:szCs w:val="22"/>
                <w:lang w:val="et-EE"/>
              </w:rPr>
            </w:pPr>
            <w:r w:rsidRPr="00EC3BD7">
              <w:rPr>
                <w:i/>
                <w:color w:val="000000"/>
                <w:szCs w:val="22"/>
                <w:lang w:val="et-EE"/>
              </w:rPr>
              <w:t>Teadmata:</w:t>
            </w:r>
          </w:p>
        </w:tc>
        <w:tc>
          <w:tcPr>
            <w:tcW w:w="7087" w:type="dxa"/>
          </w:tcPr>
          <w:p w14:paraId="1D618010" w14:textId="77777777" w:rsidR="00020593" w:rsidRPr="00EC3BD7" w:rsidRDefault="00020593" w:rsidP="00072FC7">
            <w:pPr>
              <w:rPr>
                <w:color w:val="000000"/>
                <w:szCs w:val="22"/>
                <w:lang w:val="et-EE"/>
              </w:rPr>
            </w:pPr>
            <w:r w:rsidRPr="00EC3BD7">
              <w:rPr>
                <w:color w:val="000000"/>
                <w:szCs w:val="22"/>
                <w:lang w:val="et-EE"/>
              </w:rPr>
              <w:t>Avaskulaarne luunekroos/puusaluu nekroos*, kasvupeetus lastel*</w:t>
            </w:r>
          </w:p>
        </w:tc>
      </w:tr>
      <w:tr w:rsidR="00F1277A" w:rsidRPr="00EC3BD7" w14:paraId="48BDDB55" w14:textId="77777777" w:rsidTr="008B1609">
        <w:trPr>
          <w:cantSplit/>
        </w:trPr>
        <w:tc>
          <w:tcPr>
            <w:tcW w:w="9322" w:type="dxa"/>
            <w:gridSpan w:val="2"/>
          </w:tcPr>
          <w:p w14:paraId="3EB88B1E" w14:textId="77777777" w:rsidR="00F1277A" w:rsidRPr="00EC3BD7" w:rsidRDefault="00F1277A" w:rsidP="00B9089D">
            <w:pPr>
              <w:keepNext/>
              <w:rPr>
                <w:b/>
                <w:color w:val="000000"/>
                <w:szCs w:val="22"/>
                <w:lang w:val="et-EE"/>
              </w:rPr>
            </w:pPr>
            <w:r w:rsidRPr="00EC3BD7">
              <w:rPr>
                <w:b/>
                <w:color w:val="000000"/>
                <w:szCs w:val="22"/>
                <w:lang w:val="et-EE"/>
              </w:rPr>
              <w:t>Neerude ja kuseteede häired</w:t>
            </w:r>
          </w:p>
        </w:tc>
      </w:tr>
      <w:tr w:rsidR="00F1277A" w:rsidRPr="00EC3BD7" w14:paraId="5D842406" w14:textId="77777777" w:rsidTr="008B1609">
        <w:trPr>
          <w:cantSplit/>
        </w:trPr>
        <w:tc>
          <w:tcPr>
            <w:tcW w:w="2235" w:type="dxa"/>
          </w:tcPr>
          <w:p w14:paraId="36943920" w14:textId="77777777" w:rsidR="00F1277A" w:rsidRPr="00EC3BD7" w:rsidRDefault="00F1277A" w:rsidP="00B9089D">
            <w:pPr>
              <w:keepNext/>
              <w:rPr>
                <w:color w:val="000000"/>
                <w:szCs w:val="22"/>
                <w:lang w:val="et-EE"/>
              </w:rPr>
            </w:pPr>
            <w:r w:rsidRPr="00EC3BD7">
              <w:rPr>
                <w:i/>
                <w:color w:val="000000"/>
                <w:szCs w:val="22"/>
                <w:lang w:val="et-EE"/>
              </w:rPr>
              <w:t>Aeg-ajalt:</w:t>
            </w:r>
          </w:p>
        </w:tc>
        <w:tc>
          <w:tcPr>
            <w:tcW w:w="7087" w:type="dxa"/>
          </w:tcPr>
          <w:p w14:paraId="6F605405" w14:textId="77777777" w:rsidR="00F1277A" w:rsidRPr="00EC3BD7" w:rsidRDefault="00F1277A" w:rsidP="00B9089D">
            <w:pPr>
              <w:keepNext/>
              <w:rPr>
                <w:color w:val="000000"/>
                <w:szCs w:val="22"/>
                <w:lang w:val="et-EE"/>
              </w:rPr>
            </w:pPr>
            <w:r w:rsidRPr="00EC3BD7">
              <w:rPr>
                <w:color w:val="000000"/>
                <w:szCs w:val="22"/>
                <w:lang w:val="et-EE"/>
              </w:rPr>
              <w:t>Valu neerude piirkonnas, hematuuria, äge neerupuudulikkus, urineerimissageduse suurenemine</w:t>
            </w:r>
          </w:p>
        </w:tc>
      </w:tr>
      <w:tr w:rsidR="00DB7CA6" w:rsidRPr="00EC3BD7" w14:paraId="4ABBB11E" w14:textId="77777777" w:rsidTr="008B1609">
        <w:trPr>
          <w:cantSplit/>
        </w:trPr>
        <w:tc>
          <w:tcPr>
            <w:tcW w:w="2235" w:type="dxa"/>
          </w:tcPr>
          <w:p w14:paraId="3166DCB6" w14:textId="77777777" w:rsidR="00DB7CA6" w:rsidRPr="00EC3BD7" w:rsidRDefault="00DB7CA6" w:rsidP="008667AF">
            <w:pPr>
              <w:rPr>
                <w:i/>
                <w:color w:val="000000"/>
                <w:szCs w:val="22"/>
                <w:lang w:val="et-EE"/>
              </w:rPr>
            </w:pPr>
            <w:r w:rsidRPr="00EC3BD7">
              <w:rPr>
                <w:i/>
                <w:color w:val="000000"/>
                <w:szCs w:val="22"/>
                <w:lang w:val="et-EE"/>
              </w:rPr>
              <w:t>Teadmata:</w:t>
            </w:r>
          </w:p>
        </w:tc>
        <w:tc>
          <w:tcPr>
            <w:tcW w:w="7087" w:type="dxa"/>
          </w:tcPr>
          <w:p w14:paraId="522E067C" w14:textId="77777777" w:rsidR="00DB7CA6" w:rsidRPr="00EC3BD7" w:rsidRDefault="00DB7CA6" w:rsidP="008667AF">
            <w:pPr>
              <w:rPr>
                <w:color w:val="000000"/>
                <w:szCs w:val="22"/>
                <w:lang w:val="et-EE"/>
              </w:rPr>
            </w:pPr>
            <w:r w:rsidRPr="00EC3BD7">
              <w:rPr>
                <w:color w:val="000000"/>
                <w:szCs w:val="22"/>
                <w:lang w:val="et-EE"/>
              </w:rPr>
              <w:t>Krooniline neerupuudulikkus</w:t>
            </w:r>
          </w:p>
        </w:tc>
      </w:tr>
      <w:tr w:rsidR="00F1277A" w:rsidRPr="005D29F8" w14:paraId="50970095" w14:textId="77777777" w:rsidTr="008B1609">
        <w:trPr>
          <w:cantSplit/>
        </w:trPr>
        <w:tc>
          <w:tcPr>
            <w:tcW w:w="9322" w:type="dxa"/>
            <w:gridSpan w:val="2"/>
          </w:tcPr>
          <w:p w14:paraId="1D869F39" w14:textId="77777777" w:rsidR="00F1277A" w:rsidRPr="00EC3BD7" w:rsidRDefault="00F1277A" w:rsidP="00B9089D">
            <w:pPr>
              <w:keepNext/>
              <w:rPr>
                <w:color w:val="000000"/>
                <w:szCs w:val="22"/>
                <w:lang w:val="et-EE"/>
              </w:rPr>
            </w:pPr>
            <w:r w:rsidRPr="00EC3BD7">
              <w:rPr>
                <w:b/>
                <w:color w:val="000000"/>
                <w:szCs w:val="22"/>
                <w:lang w:val="et-EE"/>
              </w:rPr>
              <w:t>Reproduktiivse süsteemi ja rinnanäärme häired</w:t>
            </w:r>
          </w:p>
        </w:tc>
      </w:tr>
      <w:tr w:rsidR="00F1277A" w:rsidRPr="005D29F8" w14:paraId="756777E5" w14:textId="77777777" w:rsidTr="008B1609">
        <w:trPr>
          <w:cantSplit/>
        </w:trPr>
        <w:tc>
          <w:tcPr>
            <w:tcW w:w="2235" w:type="dxa"/>
          </w:tcPr>
          <w:p w14:paraId="4BFE3AC8" w14:textId="77777777" w:rsidR="00F1277A" w:rsidRPr="00EC3BD7" w:rsidRDefault="00F1277A" w:rsidP="00B9089D">
            <w:pPr>
              <w:keepNext/>
              <w:rPr>
                <w:i/>
                <w:color w:val="000000"/>
                <w:szCs w:val="22"/>
                <w:lang w:val="et-EE"/>
              </w:rPr>
            </w:pPr>
            <w:r w:rsidRPr="00EC3BD7">
              <w:rPr>
                <w:i/>
                <w:color w:val="000000"/>
                <w:szCs w:val="22"/>
                <w:lang w:val="et-EE"/>
              </w:rPr>
              <w:t>Aeg-ajalt:</w:t>
            </w:r>
          </w:p>
        </w:tc>
        <w:tc>
          <w:tcPr>
            <w:tcW w:w="7087" w:type="dxa"/>
          </w:tcPr>
          <w:p w14:paraId="7321DEA6" w14:textId="77777777" w:rsidR="00F1277A" w:rsidRPr="00EC3BD7" w:rsidRDefault="00F1277A" w:rsidP="00B9089D">
            <w:pPr>
              <w:keepNext/>
              <w:rPr>
                <w:color w:val="000000"/>
                <w:szCs w:val="22"/>
                <w:lang w:val="et-EE"/>
              </w:rPr>
            </w:pPr>
            <w:r w:rsidRPr="00EC3BD7">
              <w:rPr>
                <w:color w:val="000000"/>
                <w:szCs w:val="22"/>
                <w:lang w:val="et-EE"/>
              </w:rPr>
              <w:t>Günekomastia, erektsioonihäired, menorraagia, ebaregulaarne menstruatsioon, seksuaalne düsfunktsioon, rinnanibude valulikkus, rindade suurenemine, skrootumi turse</w:t>
            </w:r>
          </w:p>
        </w:tc>
      </w:tr>
      <w:tr w:rsidR="00F1277A" w:rsidRPr="00EC3BD7" w14:paraId="74503478" w14:textId="77777777" w:rsidTr="008B1609">
        <w:trPr>
          <w:cantSplit/>
        </w:trPr>
        <w:tc>
          <w:tcPr>
            <w:tcW w:w="2235" w:type="dxa"/>
          </w:tcPr>
          <w:p w14:paraId="1D6F741F" w14:textId="77777777" w:rsidR="00F1277A" w:rsidRPr="00EC3BD7" w:rsidRDefault="00F1277A" w:rsidP="008667AF">
            <w:pPr>
              <w:rPr>
                <w:i/>
                <w:color w:val="000000"/>
                <w:szCs w:val="22"/>
                <w:lang w:val="et-EE"/>
              </w:rPr>
            </w:pPr>
            <w:r w:rsidRPr="00EC3BD7">
              <w:rPr>
                <w:i/>
                <w:color w:val="000000"/>
                <w:szCs w:val="22"/>
                <w:lang w:val="et-EE"/>
              </w:rPr>
              <w:t>Harv:</w:t>
            </w:r>
          </w:p>
        </w:tc>
        <w:tc>
          <w:tcPr>
            <w:tcW w:w="7087" w:type="dxa"/>
          </w:tcPr>
          <w:p w14:paraId="57C67A57" w14:textId="77777777" w:rsidR="00F1277A" w:rsidRPr="00EC3BD7" w:rsidRDefault="00F1277A" w:rsidP="008667AF">
            <w:pPr>
              <w:rPr>
                <w:color w:val="000000"/>
                <w:szCs w:val="22"/>
                <w:lang w:val="et-EE"/>
              </w:rPr>
            </w:pPr>
            <w:r w:rsidRPr="00EC3BD7">
              <w:rPr>
                <w:color w:val="000000"/>
                <w:szCs w:val="22"/>
                <w:lang w:val="et-EE"/>
              </w:rPr>
              <w:t>Hemorraagiline kollaskeha/hemorraagiline munasarjatsüst</w:t>
            </w:r>
          </w:p>
        </w:tc>
      </w:tr>
      <w:tr w:rsidR="00F1277A" w:rsidRPr="00EC3BD7" w14:paraId="60BE4CE0" w14:textId="77777777" w:rsidTr="008B1609">
        <w:trPr>
          <w:cantSplit/>
        </w:trPr>
        <w:tc>
          <w:tcPr>
            <w:tcW w:w="9322" w:type="dxa"/>
            <w:gridSpan w:val="2"/>
          </w:tcPr>
          <w:p w14:paraId="43F9C9C4" w14:textId="77777777" w:rsidR="00F1277A" w:rsidRPr="00EC3BD7" w:rsidRDefault="00F1277A" w:rsidP="00B9089D">
            <w:pPr>
              <w:keepNext/>
              <w:rPr>
                <w:color w:val="000000"/>
                <w:szCs w:val="22"/>
                <w:lang w:val="et-EE"/>
              </w:rPr>
            </w:pPr>
            <w:r w:rsidRPr="00EC3BD7">
              <w:rPr>
                <w:b/>
                <w:color w:val="000000"/>
                <w:szCs w:val="22"/>
                <w:lang w:val="et-EE"/>
              </w:rPr>
              <w:t>Üldised häired ja manustamiskoha reaktsioonid</w:t>
            </w:r>
          </w:p>
        </w:tc>
      </w:tr>
      <w:tr w:rsidR="00F1277A" w:rsidRPr="00EC3BD7" w14:paraId="0E74120A" w14:textId="77777777" w:rsidTr="008B1609">
        <w:trPr>
          <w:cantSplit/>
        </w:trPr>
        <w:tc>
          <w:tcPr>
            <w:tcW w:w="2235" w:type="dxa"/>
          </w:tcPr>
          <w:p w14:paraId="7F98240F" w14:textId="77777777" w:rsidR="00F1277A" w:rsidRPr="00EC3BD7" w:rsidRDefault="00F1277A" w:rsidP="00B9089D">
            <w:pPr>
              <w:keepNext/>
              <w:rPr>
                <w:i/>
                <w:color w:val="000000"/>
                <w:szCs w:val="22"/>
                <w:lang w:val="et-EE"/>
              </w:rPr>
            </w:pPr>
            <w:r w:rsidRPr="00EC3BD7">
              <w:rPr>
                <w:i/>
                <w:color w:val="000000"/>
                <w:szCs w:val="22"/>
                <w:lang w:val="et-EE"/>
              </w:rPr>
              <w:t>Väga sage:</w:t>
            </w:r>
          </w:p>
        </w:tc>
        <w:tc>
          <w:tcPr>
            <w:tcW w:w="7087" w:type="dxa"/>
          </w:tcPr>
          <w:p w14:paraId="0AAC48DE" w14:textId="77777777" w:rsidR="00F1277A" w:rsidRPr="00EC3BD7" w:rsidRDefault="00F1277A" w:rsidP="00B9089D">
            <w:pPr>
              <w:keepNext/>
              <w:rPr>
                <w:color w:val="000000"/>
                <w:szCs w:val="22"/>
                <w:lang w:val="et-EE"/>
              </w:rPr>
            </w:pPr>
            <w:r w:rsidRPr="00EC3BD7">
              <w:rPr>
                <w:color w:val="000000"/>
                <w:szCs w:val="22"/>
                <w:lang w:val="et-EE"/>
              </w:rPr>
              <w:t>Vedelikupeetus ja tursed, väsimus</w:t>
            </w:r>
          </w:p>
        </w:tc>
      </w:tr>
      <w:tr w:rsidR="00F1277A" w:rsidRPr="005D29F8" w14:paraId="65DFF61A" w14:textId="77777777" w:rsidTr="008B1609">
        <w:trPr>
          <w:cantSplit/>
        </w:trPr>
        <w:tc>
          <w:tcPr>
            <w:tcW w:w="2235" w:type="dxa"/>
          </w:tcPr>
          <w:p w14:paraId="15E4D59D" w14:textId="77777777" w:rsidR="00F1277A" w:rsidRPr="00EC3BD7" w:rsidRDefault="00F1277A" w:rsidP="00B9089D">
            <w:pPr>
              <w:keepNext/>
              <w:rPr>
                <w:i/>
                <w:color w:val="000000"/>
                <w:szCs w:val="22"/>
                <w:lang w:val="et-EE"/>
              </w:rPr>
            </w:pPr>
            <w:r w:rsidRPr="00EC3BD7">
              <w:rPr>
                <w:i/>
                <w:color w:val="000000"/>
                <w:szCs w:val="22"/>
                <w:lang w:val="et-EE"/>
              </w:rPr>
              <w:t>Sage:</w:t>
            </w:r>
          </w:p>
        </w:tc>
        <w:tc>
          <w:tcPr>
            <w:tcW w:w="7087" w:type="dxa"/>
          </w:tcPr>
          <w:p w14:paraId="06E3A28F" w14:textId="77777777" w:rsidR="00F1277A" w:rsidRPr="00EC3BD7" w:rsidRDefault="00F1277A" w:rsidP="00B9089D">
            <w:pPr>
              <w:keepNext/>
              <w:rPr>
                <w:color w:val="000000"/>
                <w:szCs w:val="22"/>
                <w:lang w:val="et-EE"/>
              </w:rPr>
            </w:pPr>
            <w:r w:rsidRPr="00EC3BD7">
              <w:rPr>
                <w:color w:val="000000"/>
                <w:szCs w:val="22"/>
                <w:lang w:val="et-EE"/>
              </w:rPr>
              <w:t>Nõrkus, püreksia, anasarka, külmavärinad, külmatunne</w:t>
            </w:r>
          </w:p>
        </w:tc>
      </w:tr>
      <w:tr w:rsidR="00F1277A" w:rsidRPr="00EC3BD7" w14:paraId="3CA70E55" w14:textId="77777777" w:rsidTr="008B1609">
        <w:trPr>
          <w:cantSplit/>
        </w:trPr>
        <w:tc>
          <w:tcPr>
            <w:tcW w:w="2235" w:type="dxa"/>
          </w:tcPr>
          <w:p w14:paraId="5BF13F73" w14:textId="77777777" w:rsidR="00F1277A" w:rsidRPr="00EC3BD7" w:rsidRDefault="00F1277A" w:rsidP="00DB73AD">
            <w:pPr>
              <w:rPr>
                <w:i/>
                <w:color w:val="000000"/>
                <w:szCs w:val="22"/>
                <w:lang w:val="et-EE"/>
              </w:rPr>
            </w:pPr>
            <w:r w:rsidRPr="00EC3BD7">
              <w:rPr>
                <w:i/>
                <w:color w:val="000000"/>
                <w:szCs w:val="22"/>
                <w:lang w:val="et-EE"/>
              </w:rPr>
              <w:t>Aeg-ajalt:</w:t>
            </w:r>
          </w:p>
        </w:tc>
        <w:tc>
          <w:tcPr>
            <w:tcW w:w="7087" w:type="dxa"/>
          </w:tcPr>
          <w:p w14:paraId="511C1038" w14:textId="77777777" w:rsidR="00F1277A" w:rsidRPr="00EC3BD7" w:rsidRDefault="00F1277A" w:rsidP="00DB73AD">
            <w:pPr>
              <w:rPr>
                <w:color w:val="000000"/>
                <w:szCs w:val="22"/>
                <w:lang w:val="et-EE"/>
              </w:rPr>
            </w:pPr>
            <w:r w:rsidRPr="00EC3BD7">
              <w:rPr>
                <w:color w:val="000000"/>
                <w:szCs w:val="22"/>
                <w:lang w:val="et-EE"/>
              </w:rPr>
              <w:t>Valu rindkeres, halb enesetunne</w:t>
            </w:r>
          </w:p>
        </w:tc>
      </w:tr>
      <w:tr w:rsidR="00F1277A" w:rsidRPr="00EC3BD7" w14:paraId="2715368F" w14:textId="77777777" w:rsidTr="008B1609">
        <w:trPr>
          <w:cantSplit/>
        </w:trPr>
        <w:tc>
          <w:tcPr>
            <w:tcW w:w="9322" w:type="dxa"/>
            <w:gridSpan w:val="2"/>
          </w:tcPr>
          <w:p w14:paraId="6FDDB27C" w14:textId="77777777" w:rsidR="00F1277A" w:rsidRPr="00EC3BD7" w:rsidRDefault="00F1277A" w:rsidP="00B9089D">
            <w:pPr>
              <w:keepNext/>
              <w:rPr>
                <w:color w:val="000000"/>
                <w:szCs w:val="22"/>
                <w:lang w:val="et-EE"/>
              </w:rPr>
            </w:pPr>
            <w:r w:rsidRPr="00EC3BD7">
              <w:rPr>
                <w:b/>
                <w:color w:val="000000"/>
                <w:szCs w:val="22"/>
                <w:lang w:val="et-EE"/>
              </w:rPr>
              <w:t>Uuringud</w:t>
            </w:r>
          </w:p>
        </w:tc>
      </w:tr>
      <w:tr w:rsidR="00F1277A" w:rsidRPr="00EC3BD7" w14:paraId="44738A5F" w14:textId="77777777" w:rsidTr="008B1609">
        <w:trPr>
          <w:cantSplit/>
        </w:trPr>
        <w:tc>
          <w:tcPr>
            <w:tcW w:w="2235" w:type="dxa"/>
          </w:tcPr>
          <w:p w14:paraId="73DADAFF" w14:textId="77777777" w:rsidR="00F1277A" w:rsidRPr="00EC3BD7" w:rsidRDefault="00F1277A" w:rsidP="00B9089D">
            <w:pPr>
              <w:keepNext/>
              <w:rPr>
                <w:color w:val="000000"/>
                <w:szCs w:val="22"/>
                <w:lang w:val="et-EE"/>
              </w:rPr>
            </w:pPr>
            <w:r w:rsidRPr="00EC3BD7">
              <w:rPr>
                <w:i/>
                <w:color w:val="000000"/>
                <w:szCs w:val="22"/>
                <w:lang w:val="et-EE"/>
              </w:rPr>
              <w:t>Väga sage:</w:t>
            </w:r>
          </w:p>
        </w:tc>
        <w:tc>
          <w:tcPr>
            <w:tcW w:w="7087" w:type="dxa"/>
          </w:tcPr>
          <w:p w14:paraId="2E105AAE" w14:textId="77777777" w:rsidR="00F1277A" w:rsidRPr="00EC3BD7" w:rsidRDefault="00F1277A" w:rsidP="00B9089D">
            <w:pPr>
              <w:keepNext/>
              <w:rPr>
                <w:color w:val="000000"/>
                <w:szCs w:val="22"/>
                <w:lang w:val="et-EE"/>
              </w:rPr>
            </w:pPr>
            <w:r w:rsidRPr="00EC3BD7">
              <w:rPr>
                <w:color w:val="000000"/>
                <w:szCs w:val="22"/>
                <w:lang w:val="et-EE"/>
              </w:rPr>
              <w:t>Kehakaalu tõus</w:t>
            </w:r>
          </w:p>
        </w:tc>
      </w:tr>
      <w:tr w:rsidR="00F1277A" w:rsidRPr="00EC3BD7" w14:paraId="262206E4" w14:textId="77777777" w:rsidTr="008B1609">
        <w:trPr>
          <w:cantSplit/>
        </w:trPr>
        <w:tc>
          <w:tcPr>
            <w:tcW w:w="2235" w:type="dxa"/>
          </w:tcPr>
          <w:p w14:paraId="1F902B17" w14:textId="77777777" w:rsidR="00F1277A" w:rsidRPr="00EC3BD7" w:rsidRDefault="00F1277A" w:rsidP="00B9089D">
            <w:pPr>
              <w:keepNext/>
              <w:rPr>
                <w:color w:val="000000"/>
                <w:szCs w:val="22"/>
                <w:lang w:val="et-EE"/>
              </w:rPr>
            </w:pPr>
            <w:r w:rsidRPr="00EC3BD7">
              <w:rPr>
                <w:i/>
                <w:color w:val="000000"/>
                <w:szCs w:val="22"/>
                <w:lang w:val="et-EE"/>
              </w:rPr>
              <w:t>Sage</w:t>
            </w:r>
            <w:r w:rsidRPr="00EC3BD7">
              <w:rPr>
                <w:color w:val="000000"/>
                <w:szCs w:val="22"/>
                <w:lang w:val="et-EE"/>
              </w:rPr>
              <w:t>:</w:t>
            </w:r>
          </w:p>
        </w:tc>
        <w:tc>
          <w:tcPr>
            <w:tcW w:w="7087" w:type="dxa"/>
          </w:tcPr>
          <w:p w14:paraId="78D1DD41" w14:textId="77777777" w:rsidR="00F1277A" w:rsidRPr="00EC3BD7" w:rsidRDefault="00F1277A" w:rsidP="00B9089D">
            <w:pPr>
              <w:keepNext/>
              <w:rPr>
                <w:color w:val="000000"/>
                <w:szCs w:val="22"/>
                <w:lang w:val="et-EE"/>
              </w:rPr>
            </w:pPr>
            <w:r w:rsidRPr="00EC3BD7">
              <w:rPr>
                <w:color w:val="000000"/>
                <w:szCs w:val="22"/>
                <w:lang w:val="et-EE"/>
              </w:rPr>
              <w:t>Kehakaalu langus</w:t>
            </w:r>
          </w:p>
        </w:tc>
      </w:tr>
      <w:tr w:rsidR="00F1277A" w:rsidRPr="005D29F8" w14:paraId="17B9F5E4" w14:textId="77777777" w:rsidTr="008B1609">
        <w:trPr>
          <w:cantSplit/>
        </w:trPr>
        <w:tc>
          <w:tcPr>
            <w:tcW w:w="2235" w:type="dxa"/>
          </w:tcPr>
          <w:p w14:paraId="026F3179" w14:textId="77777777" w:rsidR="00F1277A" w:rsidRPr="00EC3BD7" w:rsidRDefault="00F1277A" w:rsidP="00B9089D">
            <w:pPr>
              <w:keepNext/>
              <w:rPr>
                <w:color w:val="000000"/>
                <w:szCs w:val="22"/>
                <w:lang w:val="et-EE"/>
              </w:rPr>
            </w:pPr>
            <w:r w:rsidRPr="00EC3BD7">
              <w:rPr>
                <w:i/>
                <w:color w:val="000000"/>
                <w:szCs w:val="22"/>
                <w:lang w:val="et-EE"/>
              </w:rPr>
              <w:t>Aeg-ajalt</w:t>
            </w:r>
            <w:r w:rsidRPr="00EC3BD7">
              <w:rPr>
                <w:color w:val="000000"/>
                <w:szCs w:val="22"/>
                <w:lang w:val="et-EE"/>
              </w:rPr>
              <w:t>:</w:t>
            </w:r>
          </w:p>
        </w:tc>
        <w:tc>
          <w:tcPr>
            <w:tcW w:w="7087" w:type="dxa"/>
          </w:tcPr>
          <w:p w14:paraId="7EC99DDC" w14:textId="77777777" w:rsidR="00F1277A" w:rsidRPr="00EC3BD7" w:rsidRDefault="00F1277A" w:rsidP="00B9089D">
            <w:pPr>
              <w:keepNext/>
              <w:rPr>
                <w:color w:val="000000"/>
                <w:szCs w:val="22"/>
                <w:lang w:val="et-EE"/>
              </w:rPr>
            </w:pPr>
            <w:r w:rsidRPr="00EC3BD7">
              <w:rPr>
                <w:color w:val="000000"/>
                <w:szCs w:val="22"/>
                <w:lang w:val="et-EE"/>
              </w:rPr>
              <w:t>Kreatiniini tõus veres, kreatiinfosfokinaasi tõus veres, laktaatdehüdrogenaasi tõus veres, alkaalse fosfataasi tõus veres</w:t>
            </w:r>
          </w:p>
        </w:tc>
      </w:tr>
      <w:tr w:rsidR="00F1277A" w:rsidRPr="00EC3BD7" w14:paraId="5ACA3F3E" w14:textId="77777777" w:rsidTr="008B1609">
        <w:trPr>
          <w:cantSplit/>
        </w:trPr>
        <w:tc>
          <w:tcPr>
            <w:tcW w:w="2235" w:type="dxa"/>
          </w:tcPr>
          <w:p w14:paraId="541AE4B3" w14:textId="77777777" w:rsidR="00F1277A" w:rsidRPr="00EC3BD7" w:rsidRDefault="00F1277A" w:rsidP="00716222">
            <w:pPr>
              <w:rPr>
                <w:i/>
                <w:color w:val="000000"/>
                <w:szCs w:val="22"/>
                <w:lang w:val="et-EE"/>
              </w:rPr>
            </w:pPr>
            <w:r w:rsidRPr="00EC3BD7">
              <w:rPr>
                <w:i/>
                <w:color w:val="000000"/>
                <w:szCs w:val="22"/>
                <w:lang w:val="et-EE"/>
              </w:rPr>
              <w:t>Harv:</w:t>
            </w:r>
          </w:p>
        </w:tc>
        <w:tc>
          <w:tcPr>
            <w:tcW w:w="7087" w:type="dxa"/>
          </w:tcPr>
          <w:p w14:paraId="26C47BB3" w14:textId="77777777" w:rsidR="00F1277A" w:rsidRPr="00EC3BD7" w:rsidRDefault="00F1277A" w:rsidP="00716222">
            <w:pPr>
              <w:rPr>
                <w:color w:val="000000"/>
                <w:szCs w:val="22"/>
                <w:lang w:val="et-EE"/>
              </w:rPr>
            </w:pPr>
            <w:r w:rsidRPr="00EC3BD7">
              <w:rPr>
                <w:color w:val="000000"/>
                <w:szCs w:val="22"/>
                <w:lang w:val="et-EE"/>
              </w:rPr>
              <w:t>Amülaasi tõus veres</w:t>
            </w:r>
          </w:p>
        </w:tc>
      </w:tr>
    </w:tbl>
    <w:p w14:paraId="1BE916BA" w14:textId="77777777" w:rsidR="00DB73AD" w:rsidRPr="00EC3BD7" w:rsidRDefault="00DB73AD" w:rsidP="008B1609">
      <w:pPr>
        <w:keepNext/>
        <w:keepLines/>
        <w:widowControl w:val="0"/>
        <w:spacing w:line="240" w:lineRule="auto"/>
        <w:rPr>
          <w:color w:val="000000"/>
          <w:szCs w:val="22"/>
          <w:lang w:val="et-EE"/>
        </w:rPr>
      </w:pPr>
    </w:p>
    <w:p w14:paraId="581991F2" w14:textId="77777777" w:rsidR="00020593" w:rsidRPr="00EC3BD7" w:rsidRDefault="00020593" w:rsidP="008B1609">
      <w:pPr>
        <w:keepNext/>
        <w:keepLines/>
        <w:widowControl w:val="0"/>
        <w:tabs>
          <w:tab w:val="clear" w:pos="567"/>
        </w:tabs>
        <w:spacing w:line="240" w:lineRule="auto"/>
        <w:ind w:left="567" w:hanging="567"/>
        <w:rPr>
          <w:color w:val="000000"/>
          <w:szCs w:val="22"/>
          <w:lang w:val="et-EE"/>
        </w:rPr>
      </w:pPr>
      <w:r w:rsidRPr="00EC3BD7">
        <w:rPr>
          <w:color w:val="000000"/>
          <w:szCs w:val="22"/>
          <w:lang w:val="et-EE"/>
        </w:rPr>
        <w:t>*</w:t>
      </w:r>
      <w:r w:rsidRPr="00EC3BD7">
        <w:rPr>
          <w:color w:val="000000"/>
          <w:szCs w:val="22"/>
          <w:lang w:val="et-EE"/>
        </w:rPr>
        <w:tab/>
        <w:t xml:space="preserve">Nendest kõrvaltoimetest on teatatud peamiselt turuletulekujärgselt. Siia kuuluvad spontaansed kõrvaltoimeteatised ja ka tõsised kõrvaltoimed hetkel käimasolevatest uuringutest, laiendatud juurdepääsu programmidest, kliinilise farmakoloogia uuringutest ja kinnitamata näidustuste uuringutest. Kuna nendest kõrvaltoimetest teatamisel on populatsiooni suurus teadmata, siis </w:t>
      </w:r>
      <w:r w:rsidR="00301090" w:rsidRPr="00EC3BD7">
        <w:rPr>
          <w:color w:val="000000"/>
          <w:szCs w:val="22"/>
          <w:lang w:val="et-EE"/>
        </w:rPr>
        <w:t>ei ole</w:t>
      </w:r>
      <w:r w:rsidRPr="00EC3BD7">
        <w:rPr>
          <w:color w:val="000000"/>
          <w:szCs w:val="22"/>
          <w:lang w:val="et-EE"/>
        </w:rPr>
        <w:t xml:space="preserve"> alati võimalik usaldusväärselt kindlaks määrata nende esinemissagedust või tõestada põhjuslikku seost imatiniibi plasmakontsentratsiooniga.</w:t>
      </w:r>
    </w:p>
    <w:p w14:paraId="6800C97A" w14:textId="07E7D6E8" w:rsidR="003D6863" w:rsidRPr="00EC3BD7" w:rsidRDefault="00DB73AD" w:rsidP="008B1609">
      <w:pPr>
        <w:keepNext/>
        <w:keepLines/>
        <w:widowControl w:val="0"/>
        <w:tabs>
          <w:tab w:val="clear" w:pos="567"/>
        </w:tabs>
        <w:spacing w:line="240" w:lineRule="auto"/>
        <w:ind w:left="567" w:hanging="567"/>
        <w:rPr>
          <w:color w:val="000000"/>
          <w:szCs w:val="22"/>
          <w:lang w:val="et-EE"/>
        </w:rPr>
      </w:pPr>
      <w:r w:rsidRPr="00EC3BD7">
        <w:rPr>
          <w:color w:val="000000"/>
          <w:szCs w:val="22"/>
          <w:lang w:val="et-EE"/>
        </w:rPr>
        <w:t>1</w:t>
      </w:r>
      <w:r w:rsidRPr="00EC3BD7">
        <w:rPr>
          <w:color w:val="000000"/>
          <w:szCs w:val="22"/>
          <w:lang w:val="et-EE"/>
        </w:rPr>
        <w:tab/>
      </w:r>
      <w:r w:rsidR="003D6863" w:rsidRPr="00EC3BD7">
        <w:rPr>
          <w:color w:val="000000"/>
          <w:szCs w:val="22"/>
          <w:lang w:val="et-EE"/>
        </w:rPr>
        <w:t xml:space="preserve">Pneumooniast teatati kõige sagedamini transformeerunud </w:t>
      </w:r>
      <w:smartTag w:uri="urn:schemas-microsoft-com:office:smarttags" w:element="stockticker">
        <w:r w:rsidR="003D6863" w:rsidRPr="00EC3BD7">
          <w:rPr>
            <w:color w:val="000000"/>
            <w:szCs w:val="22"/>
            <w:lang w:val="et-EE"/>
          </w:rPr>
          <w:t>KML</w:t>
        </w:r>
        <w:r w:rsidR="00D21C49">
          <w:rPr>
            <w:color w:val="000000"/>
            <w:szCs w:val="22"/>
            <w:lang w:val="et-EE"/>
          </w:rPr>
          <w:t>-i</w:t>
        </w:r>
      </w:smartTag>
      <w:r w:rsidR="003D6863" w:rsidRPr="00EC3BD7">
        <w:rPr>
          <w:color w:val="000000"/>
          <w:szCs w:val="22"/>
          <w:lang w:val="et-EE"/>
        </w:rPr>
        <w:t xml:space="preserve"> patsientidel ja GIST</w:t>
      </w:r>
      <w:r w:rsidR="00D21C49" w:rsidRPr="00D21C49">
        <w:rPr>
          <w:color w:val="000000"/>
          <w:szCs w:val="22"/>
          <w:lang w:val="et-EE"/>
        </w:rPr>
        <w:t>-i</w:t>
      </w:r>
      <w:r w:rsidR="003D6863" w:rsidRPr="00EC3BD7">
        <w:rPr>
          <w:color w:val="000000"/>
          <w:szCs w:val="22"/>
          <w:lang w:val="et-EE"/>
        </w:rPr>
        <w:t xml:space="preserve"> patsientidel.</w:t>
      </w:r>
    </w:p>
    <w:p w14:paraId="013E41FD" w14:textId="25281668" w:rsidR="00DB73AD" w:rsidRPr="00EC3BD7" w:rsidRDefault="00DB73AD" w:rsidP="008B1609">
      <w:pPr>
        <w:keepNext/>
        <w:keepLines/>
        <w:widowControl w:val="0"/>
        <w:tabs>
          <w:tab w:val="clear" w:pos="567"/>
        </w:tabs>
        <w:spacing w:line="240" w:lineRule="auto"/>
        <w:ind w:left="567" w:hanging="567"/>
        <w:rPr>
          <w:color w:val="000000"/>
          <w:szCs w:val="22"/>
          <w:lang w:val="et-EE"/>
        </w:rPr>
      </w:pPr>
      <w:r w:rsidRPr="00EC3BD7">
        <w:rPr>
          <w:color w:val="000000"/>
          <w:szCs w:val="22"/>
          <w:lang w:val="et-EE"/>
        </w:rPr>
        <w:t>2</w:t>
      </w:r>
      <w:r w:rsidRPr="00EC3BD7">
        <w:rPr>
          <w:color w:val="000000"/>
          <w:szCs w:val="22"/>
          <w:lang w:val="et-EE"/>
        </w:rPr>
        <w:tab/>
        <w:t>Peavalu oli kõige sageda</w:t>
      </w:r>
      <w:r w:rsidR="00476A3A" w:rsidRPr="00EC3BD7">
        <w:rPr>
          <w:color w:val="000000"/>
          <w:szCs w:val="22"/>
          <w:lang w:val="et-EE"/>
        </w:rPr>
        <w:t>sem</w:t>
      </w:r>
      <w:r w:rsidRPr="00EC3BD7">
        <w:rPr>
          <w:color w:val="000000"/>
          <w:szCs w:val="22"/>
          <w:lang w:val="et-EE"/>
        </w:rPr>
        <w:t xml:space="preserve"> GIST</w:t>
      </w:r>
      <w:r w:rsidR="00D21C49">
        <w:rPr>
          <w:color w:val="000000"/>
          <w:szCs w:val="22"/>
          <w:lang w:val="et-EE"/>
        </w:rPr>
        <w:t>-i</w:t>
      </w:r>
      <w:r w:rsidRPr="00EC3BD7">
        <w:rPr>
          <w:color w:val="000000"/>
          <w:szCs w:val="22"/>
          <w:lang w:val="et-EE"/>
        </w:rPr>
        <w:t xml:space="preserve"> patsientidel.</w:t>
      </w:r>
    </w:p>
    <w:p w14:paraId="4C763344" w14:textId="7A4E3B77" w:rsidR="003D6863" w:rsidRPr="00EC3BD7" w:rsidRDefault="00DB73AD" w:rsidP="008B1609">
      <w:pPr>
        <w:keepNext/>
        <w:keepLines/>
        <w:widowControl w:val="0"/>
        <w:tabs>
          <w:tab w:val="clear" w:pos="567"/>
        </w:tabs>
        <w:spacing w:line="240" w:lineRule="auto"/>
        <w:ind w:left="567" w:hanging="567"/>
        <w:rPr>
          <w:color w:val="000000"/>
          <w:szCs w:val="22"/>
          <w:lang w:val="et-EE"/>
        </w:rPr>
      </w:pPr>
      <w:r w:rsidRPr="00EC3BD7">
        <w:rPr>
          <w:color w:val="000000"/>
          <w:szCs w:val="22"/>
          <w:lang w:val="et-EE"/>
        </w:rPr>
        <w:t>3</w:t>
      </w:r>
      <w:r w:rsidRPr="00EC3BD7">
        <w:rPr>
          <w:color w:val="000000"/>
          <w:szCs w:val="22"/>
          <w:lang w:val="et-EE"/>
        </w:rPr>
        <w:tab/>
      </w:r>
      <w:r w:rsidR="003D6863" w:rsidRPr="00EC3BD7">
        <w:rPr>
          <w:color w:val="000000"/>
          <w:szCs w:val="22"/>
          <w:lang w:val="et-EE"/>
        </w:rPr>
        <w:t xml:space="preserve">Patsient aasta kohta täheldati südame häireid, sh südame paispuudulikkust sagedamini transformeerunud </w:t>
      </w:r>
      <w:smartTag w:uri="urn:schemas-microsoft-com:office:smarttags" w:element="stockticker">
        <w:r w:rsidR="003D6863" w:rsidRPr="00EC3BD7">
          <w:rPr>
            <w:color w:val="000000"/>
            <w:szCs w:val="22"/>
            <w:lang w:val="et-EE"/>
          </w:rPr>
          <w:t>KML</w:t>
        </w:r>
        <w:r w:rsidR="00D21C49">
          <w:rPr>
            <w:color w:val="000000"/>
            <w:szCs w:val="22"/>
            <w:lang w:val="et-EE"/>
          </w:rPr>
          <w:t>-i</w:t>
        </w:r>
      </w:smartTag>
      <w:r w:rsidR="003D6863" w:rsidRPr="00EC3BD7">
        <w:rPr>
          <w:color w:val="000000"/>
          <w:szCs w:val="22"/>
          <w:lang w:val="et-EE"/>
        </w:rPr>
        <w:t xml:space="preserve"> patsientidel kui kroonilise </w:t>
      </w:r>
      <w:smartTag w:uri="urn:schemas-microsoft-com:office:smarttags" w:element="stockticker">
        <w:r w:rsidR="003D6863" w:rsidRPr="00EC3BD7">
          <w:rPr>
            <w:color w:val="000000"/>
            <w:szCs w:val="22"/>
            <w:lang w:val="et-EE"/>
          </w:rPr>
          <w:t>KML</w:t>
        </w:r>
        <w:r w:rsidR="00D21C49">
          <w:rPr>
            <w:color w:val="000000"/>
            <w:szCs w:val="22"/>
            <w:lang w:val="et-EE"/>
          </w:rPr>
          <w:t>-i</w:t>
        </w:r>
      </w:smartTag>
      <w:r w:rsidR="003D6863" w:rsidRPr="00EC3BD7">
        <w:rPr>
          <w:color w:val="000000"/>
          <w:szCs w:val="22"/>
          <w:lang w:val="et-EE"/>
        </w:rPr>
        <w:t xml:space="preserve"> patsientidel.</w:t>
      </w:r>
    </w:p>
    <w:p w14:paraId="6D99A5EC" w14:textId="59895091" w:rsidR="003D6863" w:rsidRPr="00EC3BD7" w:rsidRDefault="003D6863" w:rsidP="008B1609">
      <w:pPr>
        <w:keepNext/>
        <w:keepLines/>
        <w:widowControl w:val="0"/>
        <w:tabs>
          <w:tab w:val="clear" w:pos="567"/>
        </w:tabs>
        <w:spacing w:line="240" w:lineRule="auto"/>
        <w:ind w:left="567" w:hanging="567"/>
        <w:rPr>
          <w:color w:val="000000"/>
          <w:szCs w:val="22"/>
          <w:lang w:val="et-EE"/>
        </w:rPr>
      </w:pPr>
      <w:r w:rsidRPr="00EC3BD7">
        <w:rPr>
          <w:color w:val="000000"/>
          <w:szCs w:val="22"/>
          <w:lang w:val="et-EE"/>
        </w:rPr>
        <w:t>4</w:t>
      </w:r>
      <w:r w:rsidRPr="00EC3BD7">
        <w:rPr>
          <w:color w:val="000000"/>
          <w:szCs w:val="22"/>
          <w:lang w:val="et-EE"/>
        </w:rPr>
        <w:tab/>
        <w:t>Nahaõhetus oli kõige sagedasem GIST</w:t>
      </w:r>
      <w:r w:rsidR="00D21C49">
        <w:rPr>
          <w:color w:val="000000"/>
          <w:szCs w:val="22"/>
          <w:lang w:val="et-EE"/>
        </w:rPr>
        <w:t>-i</w:t>
      </w:r>
      <w:r w:rsidRPr="00EC3BD7">
        <w:rPr>
          <w:color w:val="000000"/>
          <w:szCs w:val="22"/>
          <w:lang w:val="et-EE"/>
        </w:rPr>
        <w:t xml:space="preserve"> patsientidel ja verejooks (hematoom, hemorraagia) GIST</w:t>
      </w:r>
      <w:r w:rsidR="00D21C49">
        <w:rPr>
          <w:color w:val="000000"/>
          <w:szCs w:val="22"/>
          <w:lang w:val="et-EE"/>
        </w:rPr>
        <w:t>-i</w:t>
      </w:r>
      <w:r w:rsidRPr="00EC3BD7">
        <w:rPr>
          <w:color w:val="000000"/>
          <w:szCs w:val="22"/>
          <w:lang w:val="et-EE"/>
        </w:rPr>
        <w:t xml:space="preserve"> ja transformeerunud </w:t>
      </w:r>
      <w:smartTag w:uri="urn:schemas-microsoft-com:office:smarttags" w:element="stockticker">
        <w:r w:rsidRPr="00EC3BD7">
          <w:rPr>
            <w:color w:val="000000"/>
            <w:szCs w:val="22"/>
            <w:lang w:val="et-EE"/>
          </w:rPr>
          <w:t>KML</w:t>
        </w:r>
        <w:r w:rsidR="00D21C49">
          <w:rPr>
            <w:color w:val="000000"/>
            <w:szCs w:val="22"/>
            <w:lang w:val="et-EE"/>
          </w:rPr>
          <w:t>-i</w:t>
        </w:r>
      </w:smartTag>
      <w:r w:rsidRPr="00EC3BD7">
        <w:rPr>
          <w:color w:val="000000"/>
          <w:szCs w:val="22"/>
          <w:lang w:val="et-EE"/>
        </w:rPr>
        <w:t xml:space="preserve"> (</w:t>
      </w:r>
      <w:smartTag w:uri="urn:schemas-microsoft-com:office:smarttags" w:element="stockticker">
        <w:r w:rsidRPr="00EC3BD7">
          <w:rPr>
            <w:color w:val="000000"/>
            <w:szCs w:val="22"/>
            <w:lang w:val="et-EE"/>
          </w:rPr>
          <w:t>KML</w:t>
        </w:r>
      </w:smartTag>
      <w:r w:rsidRPr="00EC3BD7">
        <w:rPr>
          <w:color w:val="000000"/>
          <w:szCs w:val="22"/>
          <w:lang w:val="et-EE"/>
        </w:rPr>
        <w:t xml:space="preserve">-AP ja </w:t>
      </w:r>
      <w:smartTag w:uri="urn:schemas-microsoft-com:office:smarttags" w:element="stockticker">
        <w:r w:rsidRPr="00EC3BD7">
          <w:rPr>
            <w:color w:val="000000"/>
            <w:szCs w:val="22"/>
            <w:lang w:val="et-EE"/>
          </w:rPr>
          <w:t>KML</w:t>
        </w:r>
      </w:smartTag>
      <w:r w:rsidRPr="00EC3BD7">
        <w:rPr>
          <w:color w:val="000000"/>
          <w:szCs w:val="22"/>
          <w:lang w:val="et-EE"/>
        </w:rPr>
        <w:t>-BC) patsientidel.</w:t>
      </w:r>
    </w:p>
    <w:p w14:paraId="3A7F3B75" w14:textId="01112802" w:rsidR="00DB73AD" w:rsidRPr="00EC3BD7" w:rsidRDefault="00CB2A52" w:rsidP="008B1609">
      <w:pPr>
        <w:keepNext/>
        <w:keepLines/>
        <w:widowControl w:val="0"/>
        <w:tabs>
          <w:tab w:val="clear" w:pos="567"/>
        </w:tabs>
        <w:spacing w:line="240" w:lineRule="auto"/>
        <w:ind w:left="567" w:hanging="567"/>
        <w:rPr>
          <w:color w:val="000000"/>
          <w:szCs w:val="22"/>
          <w:lang w:val="et-EE"/>
        </w:rPr>
      </w:pPr>
      <w:r w:rsidRPr="00EC3BD7">
        <w:rPr>
          <w:color w:val="000000"/>
          <w:szCs w:val="22"/>
          <w:lang w:val="et-EE"/>
        </w:rPr>
        <w:t>5</w:t>
      </w:r>
      <w:r w:rsidRPr="00EC3BD7">
        <w:rPr>
          <w:color w:val="000000"/>
          <w:szCs w:val="22"/>
          <w:lang w:val="et-EE"/>
        </w:rPr>
        <w:tab/>
      </w:r>
      <w:r w:rsidR="00DB73AD" w:rsidRPr="00EC3BD7">
        <w:rPr>
          <w:color w:val="000000"/>
          <w:szCs w:val="22"/>
          <w:lang w:val="et-EE"/>
        </w:rPr>
        <w:t>Pleura efusioonist teatati sagedamini GIST</w:t>
      </w:r>
      <w:r w:rsidR="00D21C49">
        <w:rPr>
          <w:color w:val="000000"/>
          <w:szCs w:val="22"/>
          <w:lang w:val="et-EE"/>
        </w:rPr>
        <w:t>-i</w:t>
      </w:r>
      <w:r w:rsidR="00DB73AD" w:rsidRPr="00EC3BD7">
        <w:rPr>
          <w:color w:val="000000"/>
          <w:szCs w:val="22"/>
          <w:lang w:val="et-EE"/>
        </w:rPr>
        <w:t xml:space="preserve"> ja transformeerunud </w:t>
      </w:r>
      <w:smartTag w:uri="urn:schemas-microsoft-com:office:smarttags" w:element="stockticker">
        <w:r w:rsidR="00DB73AD" w:rsidRPr="00EC3BD7">
          <w:rPr>
            <w:color w:val="000000"/>
            <w:szCs w:val="22"/>
            <w:lang w:val="et-EE"/>
          </w:rPr>
          <w:t>KML</w:t>
        </w:r>
        <w:r w:rsidR="00D21C49">
          <w:rPr>
            <w:color w:val="000000"/>
            <w:szCs w:val="22"/>
            <w:lang w:val="et-EE"/>
          </w:rPr>
          <w:t>-i</w:t>
        </w:r>
      </w:smartTag>
      <w:r w:rsidR="00DB73AD" w:rsidRPr="00EC3BD7">
        <w:rPr>
          <w:color w:val="000000"/>
          <w:szCs w:val="22"/>
          <w:lang w:val="et-EE"/>
        </w:rPr>
        <w:t xml:space="preserve"> (</w:t>
      </w:r>
      <w:smartTag w:uri="urn:schemas-microsoft-com:office:smarttags" w:element="stockticker">
        <w:r w:rsidR="00DB73AD" w:rsidRPr="00EC3BD7">
          <w:rPr>
            <w:color w:val="000000"/>
            <w:szCs w:val="22"/>
            <w:lang w:val="et-EE"/>
          </w:rPr>
          <w:t>KML</w:t>
        </w:r>
      </w:smartTag>
      <w:r w:rsidR="00DB73AD" w:rsidRPr="00EC3BD7">
        <w:rPr>
          <w:color w:val="000000"/>
          <w:szCs w:val="22"/>
          <w:lang w:val="et-EE"/>
        </w:rPr>
        <w:t xml:space="preserve">-AP ja </w:t>
      </w:r>
      <w:smartTag w:uri="urn:schemas-microsoft-com:office:smarttags" w:element="stockticker">
        <w:r w:rsidR="00DB73AD" w:rsidRPr="00EC3BD7">
          <w:rPr>
            <w:color w:val="000000"/>
            <w:szCs w:val="22"/>
            <w:lang w:val="et-EE"/>
          </w:rPr>
          <w:t>KML</w:t>
        </w:r>
      </w:smartTag>
      <w:r w:rsidR="00DB73AD" w:rsidRPr="00EC3BD7">
        <w:rPr>
          <w:color w:val="000000"/>
          <w:szCs w:val="22"/>
          <w:lang w:val="et-EE"/>
        </w:rPr>
        <w:t xml:space="preserve">-BC) patsientidel kui kroonilise </w:t>
      </w:r>
      <w:smartTag w:uri="urn:schemas-microsoft-com:office:smarttags" w:element="stockticker">
        <w:r w:rsidR="00DB73AD" w:rsidRPr="00EC3BD7">
          <w:rPr>
            <w:color w:val="000000"/>
            <w:szCs w:val="22"/>
            <w:lang w:val="et-EE"/>
          </w:rPr>
          <w:t>KML</w:t>
        </w:r>
        <w:r w:rsidR="00D21C49">
          <w:rPr>
            <w:color w:val="000000"/>
            <w:szCs w:val="22"/>
            <w:lang w:val="et-EE"/>
          </w:rPr>
          <w:t>-i</w:t>
        </w:r>
      </w:smartTag>
      <w:r w:rsidR="00DB73AD" w:rsidRPr="00EC3BD7">
        <w:rPr>
          <w:color w:val="000000"/>
          <w:szCs w:val="22"/>
          <w:lang w:val="et-EE"/>
        </w:rPr>
        <w:t xml:space="preserve"> patsientidel.</w:t>
      </w:r>
    </w:p>
    <w:p w14:paraId="3E18C08F" w14:textId="7D346152" w:rsidR="00DB73AD" w:rsidRPr="00EC3BD7" w:rsidRDefault="00CB2A52" w:rsidP="008B1609">
      <w:pPr>
        <w:keepNext/>
        <w:keepLines/>
        <w:widowControl w:val="0"/>
        <w:tabs>
          <w:tab w:val="clear" w:pos="567"/>
        </w:tabs>
        <w:spacing w:line="240" w:lineRule="auto"/>
        <w:ind w:left="567" w:hanging="567"/>
        <w:rPr>
          <w:color w:val="000000"/>
          <w:szCs w:val="22"/>
          <w:lang w:val="et-EE"/>
        </w:rPr>
      </w:pPr>
      <w:r w:rsidRPr="00EC3BD7">
        <w:rPr>
          <w:color w:val="000000"/>
          <w:szCs w:val="22"/>
          <w:lang w:val="et-EE"/>
        </w:rPr>
        <w:t>6+7</w:t>
      </w:r>
      <w:r w:rsidRPr="00EC3BD7">
        <w:rPr>
          <w:color w:val="000000"/>
          <w:szCs w:val="22"/>
          <w:lang w:val="et-EE"/>
        </w:rPr>
        <w:tab/>
      </w:r>
      <w:r w:rsidR="00DB73AD" w:rsidRPr="00EC3BD7">
        <w:rPr>
          <w:color w:val="000000"/>
          <w:szCs w:val="22"/>
          <w:lang w:val="et-EE"/>
        </w:rPr>
        <w:t xml:space="preserve">Kõhuvalu ja </w:t>
      </w:r>
      <w:r w:rsidR="00476A3A" w:rsidRPr="00EC3BD7">
        <w:rPr>
          <w:color w:val="000000"/>
          <w:szCs w:val="22"/>
          <w:lang w:val="et-EE"/>
        </w:rPr>
        <w:t>seedetrakti</w:t>
      </w:r>
      <w:r w:rsidR="00DB73AD" w:rsidRPr="00EC3BD7">
        <w:rPr>
          <w:color w:val="000000"/>
          <w:szCs w:val="22"/>
          <w:lang w:val="et-EE"/>
        </w:rPr>
        <w:t xml:space="preserve"> verejooksu täheldati kõige sagedamini GIST</w:t>
      </w:r>
      <w:r w:rsidR="00D21C49">
        <w:rPr>
          <w:color w:val="000000"/>
          <w:szCs w:val="22"/>
          <w:lang w:val="et-EE"/>
        </w:rPr>
        <w:t>-i</w:t>
      </w:r>
      <w:r w:rsidR="00DB73AD" w:rsidRPr="00EC3BD7">
        <w:rPr>
          <w:color w:val="000000"/>
          <w:szCs w:val="22"/>
          <w:lang w:val="et-EE"/>
        </w:rPr>
        <w:t xml:space="preserve"> patsientidel.</w:t>
      </w:r>
    </w:p>
    <w:p w14:paraId="56A00B9C" w14:textId="77777777" w:rsidR="00CB2A52" w:rsidRPr="00EC3BD7" w:rsidRDefault="00CB2A52" w:rsidP="008B1609">
      <w:pPr>
        <w:keepNext/>
        <w:keepLines/>
        <w:widowControl w:val="0"/>
        <w:tabs>
          <w:tab w:val="clear" w:pos="567"/>
        </w:tabs>
        <w:spacing w:line="240" w:lineRule="auto"/>
        <w:ind w:left="567" w:hanging="567"/>
        <w:rPr>
          <w:color w:val="000000"/>
          <w:szCs w:val="22"/>
          <w:lang w:val="et-EE"/>
        </w:rPr>
      </w:pPr>
      <w:r w:rsidRPr="00EC3BD7">
        <w:rPr>
          <w:color w:val="000000"/>
          <w:szCs w:val="22"/>
          <w:lang w:val="et-EE"/>
        </w:rPr>
        <w:t>8</w:t>
      </w:r>
      <w:r w:rsidRPr="00EC3BD7">
        <w:rPr>
          <w:color w:val="000000"/>
          <w:szCs w:val="22"/>
          <w:lang w:val="et-EE"/>
        </w:rPr>
        <w:tab/>
        <w:t>Teatatud on üksikutest letaalse lõppega maksapuudulikkuse ja maksanekroosi juhtudest.</w:t>
      </w:r>
    </w:p>
    <w:p w14:paraId="54EA3B75" w14:textId="77777777" w:rsidR="002553C9" w:rsidRPr="00EC3BD7" w:rsidRDefault="002553C9" w:rsidP="008B1609">
      <w:pPr>
        <w:keepNext/>
        <w:keepLines/>
        <w:widowControl w:val="0"/>
        <w:tabs>
          <w:tab w:val="clear" w:pos="567"/>
        </w:tabs>
        <w:spacing w:line="240" w:lineRule="auto"/>
        <w:ind w:left="567" w:hanging="567"/>
        <w:rPr>
          <w:color w:val="000000"/>
          <w:szCs w:val="22"/>
          <w:lang w:val="et-EE"/>
        </w:rPr>
      </w:pPr>
      <w:r w:rsidRPr="00EC3BD7">
        <w:rPr>
          <w:color w:val="000000"/>
          <w:szCs w:val="22"/>
          <w:lang w:val="et-EE"/>
        </w:rPr>
        <w:t>9</w:t>
      </w:r>
      <w:r w:rsidRPr="00EC3BD7">
        <w:rPr>
          <w:color w:val="000000"/>
          <w:szCs w:val="22"/>
          <w:lang w:val="et-EE"/>
        </w:rPr>
        <w:tab/>
        <w:t>Turuletulekujärgselt on täheldatud imatiniibravi ajal või pärast ravi lõppu lihas</w:t>
      </w:r>
      <w:r w:rsidRPr="00EC3BD7">
        <w:rPr>
          <w:color w:val="000000"/>
          <w:szCs w:val="22"/>
          <w:lang w:val="et-EE"/>
        </w:rPr>
        <w:noBreakHyphen/>
        <w:t>skeletivalu</w:t>
      </w:r>
      <w:r w:rsidR="007E3C98" w:rsidRPr="00EC3BD7">
        <w:rPr>
          <w:color w:val="000000"/>
          <w:szCs w:val="22"/>
          <w:lang w:val="et-EE"/>
        </w:rPr>
        <w:t>.</w:t>
      </w:r>
    </w:p>
    <w:p w14:paraId="38F7E4E6" w14:textId="216D7B5C" w:rsidR="00DB73AD" w:rsidRPr="00EC3BD7" w:rsidRDefault="002553C9" w:rsidP="008B1609">
      <w:pPr>
        <w:keepNext/>
        <w:keepLines/>
        <w:widowControl w:val="0"/>
        <w:tabs>
          <w:tab w:val="clear" w:pos="567"/>
        </w:tabs>
        <w:spacing w:line="240" w:lineRule="auto"/>
        <w:ind w:left="567" w:hanging="567"/>
        <w:rPr>
          <w:color w:val="000000"/>
          <w:szCs w:val="22"/>
          <w:lang w:val="et-EE"/>
        </w:rPr>
      </w:pPr>
      <w:r w:rsidRPr="00EC3BD7">
        <w:rPr>
          <w:color w:val="000000"/>
          <w:szCs w:val="22"/>
          <w:lang w:val="et-EE"/>
        </w:rPr>
        <w:t>10</w:t>
      </w:r>
      <w:r w:rsidR="00DB73AD" w:rsidRPr="00EC3BD7">
        <w:rPr>
          <w:color w:val="000000"/>
          <w:szCs w:val="22"/>
          <w:lang w:val="et-EE"/>
        </w:rPr>
        <w:tab/>
        <w:t xml:space="preserve">Lihas-skeleti valu ja sellega seotud sümptomeid täheldati sagedamini </w:t>
      </w:r>
      <w:smartTag w:uri="urn:schemas-microsoft-com:office:smarttags" w:element="stockticker">
        <w:r w:rsidR="00DB73AD" w:rsidRPr="00EC3BD7">
          <w:rPr>
            <w:color w:val="000000"/>
            <w:szCs w:val="22"/>
            <w:lang w:val="et-EE"/>
          </w:rPr>
          <w:t>KML</w:t>
        </w:r>
        <w:r w:rsidR="00D21C49">
          <w:rPr>
            <w:color w:val="000000"/>
            <w:szCs w:val="22"/>
            <w:lang w:val="et-EE"/>
          </w:rPr>
          <w:t>-i</w:t>
        </w:r>
      </w:smartTag>
      <w:r w:rsidR="00DB73AD" w:rsidRPr="00EC3BD7">
        <w:rPr>
          <w:color w:val="000000"/>
          <w:szCs w:val="22"/>
          <w:lang w:val="et-EE"/>
        </w:rPr>
        <w:t xml:space="preserve"> patsientidel kui GIST</w:t>
      </w:r>
      <w:r w:rsidR="00D21C49">
        <w:rPr>
          <w:color w:val="000000"/>
          <w:szCs w:val="22"/>
          <w:lang w:val="et-EE"/>
        </w:rPr>
        <w:t>-i</w:t>
      </w:r>
      <w:r w:rsidR="00DB73AD" w:rsidRPr="00EC3BD7">
        <w:rPr>
          <w:color w:val="000000"/>
          <w:szCs w:val="22"/>
          <w:lang w:val="et-EE"/>
        </w:rPr>
        <w:t xml:space="preserve"> patsientidel.</w:t>
      </w:r>
    </w:p>
    <w:p w14:paraId="19152CE4" w14:textId="77777777" w:rsidR="00301090" w:rsidRPr="00EC3BD7" w:rsidRDefault="00301090" w:rsidP="008B1609">
      <w:pPr>
        <w:keepLines/>
        <w:widowControl w:val="0"/>
        <w:tabs>
          <w:tab w:val="clear" w:pos="567"/>
        </w:tabs>
        <w:spacing w:line="240" w:lineRule="auto"/>
        <w:ind w:left="567" w:hanging="567"/>
        <w:rPr>
          <w:color w:val="000000"/>
          <w:szCs w:val="22"/>
          <w:lang w:val="et-EE"/>
        </w:rPr>
      </w:pPr>
      <w:r w:rsidRPr="00EC3BD7">
        <w:rPr>
          <w:color w:val="000000"/>
          <w:szCs w:val="22"/>
          <w:lang w:val="et-EE"/>
        </w:rPr>
        <w:t>1</w:t>
      </w:r>
      <w:r w:rsidR="002553C9" w:rsidRPr="00EC3BD7">
        <w:rPr>
          <w:color w:val="000000"/>
          <w:szCs w:val="22"/>
          <w:lang w:val="et-EE"/>
        </w:rPr>
        <w:t>1</w:t>
      </w:r>
      <w:r w:rsidRPr="00EC3BD7">
        <w:rPr>
          <w:color w:val="000000"/>
          <w:szCs w:val="22"/>
          <w:lang w:val="et-EE"/>
        </w:rPr>
        <w:tab/>
        <w:t>Surmaga lõppenud juhtudest on teatatud kaugelearenenud haiguse, ägedate infektsioonide, ägeda neutropeenia ja teiste tõsiste kaasuvate seisunditega patsientidel.</w:t>
      </w:r>
    </w:p>
    <w:p w14:paraId="5C67D86E" w14:textId="77777777" w:rsidR="00DB73AD" w:rsidRPr="00EC3BD7" w:rsidRDefault="00DB73AD" w:rsidP="00DB73AD">
      <w:pPr>
        <w:widowControl w:val="0"/>
        <w:spacing w:line="240" w:lineRule="auto"/>
        <w:rPr>
          <w:color w:val="000000"/>
          <w:szCs w:val="22"/>
          <w:lang w:val="et-EE"/>
        </w:rPr>
      </w:pPr>
    </w:p>
    <w:p w14:paraId="16E6D73E" w14:textId="77777777" w:rsidR="00136210" w:rsidRPr="00EC3BD7" w:rsidRDefault="00136210" w:rsidP="00B9089D">
      <w:pPr>
        <w:pStyle w:val="Heading4"/>
        <w:widowControl w:val="0"/>
        <w:spacing w:line="240" w:lineRule="auto"/>
        <w:jc w:val="left"/>
        <w:rPr>
          <w:b w:val="0"/>
          <w:noProof w:val="0"/>
          <w:color w:val="000000"/>
          <w:szCs w:val="22"/>
          <w:u w:val="single"/>
          <w:lang w:val="et-EE"/>
        </w:rPr>
      </w:pPr>
      <w:r w:rsidRPr="00EC3BD7">
        <w:rPr>
          <w:b w:val="0"/>
          <w:noProof w:val="0"/>
          <w:color w:val="000000"/>
          <w:szCs w:val="22"/>
          <w:u w:val="single"/>
          <w:lang w:val="et-EE"/>
        </w:rPr>
        <w:t>Kõrvalekalded laboratoorsetes analüüsides</w:t>
      </w:r>
    </w:p>
    <w:p w14:paraId="30DC32DA" w14:textId="77777777" w:rsidR="00136210" w:rsidRPr="00EC3BD7" w:rsidRDefault="00136210" w:rsidP="00B9089D">
      <w:pPr>
        <w:pStyle w:val="Text"/>
        <w:keepNext/>
        <w:widowControl w:val="0"/>
        <w:spacing w:before="0"/>
        <w:jc w:val="left"/>
        <w:rPr>
          <w:i/>
          <w:color w:val="000000"/>
          <w:sz w:val="22"/>
          <w:szCs w:val="22"/>
          <w:lang w:val="et-EE"/>
        </w:rPr>
      </w:pPr>
      <w:r w:rsidRPr="00EC3BD7">
        <w:rPr>
          <w:i/>
          <w:color w:val="000000"/>
          <w:sz w:val="22"/>
          <w:szCs w:val="22"/>
          <w:lang w:val="et-EE"/>
        </w:rPr>
        <w:t>Hematoloogia</w:t>
      </w:r>
    </w:p>
    <w:p w14:paraId="0A979A0F" w14:textId="444D03FB" w:rsidR="00136210" w:rsidRPr="00EC3BD7" w:rsidRDefault="00136210">
      <w:pPr>
        <w:pStyle w:val="Text"/>
        <w:widowControl w:val="0"/>
        <w:spacing w:before="0"/>
        <w:jc w:val="left"/>
        <w:rPr>
          <w:color w:val="000000"/>
          <w:sz w:val="22"/>
          <w:szCs w:val="22"/>
          <w:lang w:val="et-EE"/>
        </w:rPr>
      </w:pPr>
      <w:r w:rsidRPr="00EC3BD7">
        <w:rPr>
          <w:color w:val="000000"/>
          <w:sz w:val="22"/>
          <w:szCs w:val="22"/>
          <w:lang w:val="et-EE"/>
        </w:rPr>
        <w:t xml:space="preserve">Kõigis </w:t>
      </w:r>
      <w:smartTag w:uri="urn:schemas-microsoft-com:office:smarttags" w:element="stockticker">
        <w:r w:rsidRPr="00EC3BD7">
          <w:rPr>
            <w:color w:val="000000"/>
            <w:sz w:val="22"/>
            <w:szCs w:val="22"/>
            <w:lang w:val="et-EE"/>
          </w:rPr>
          <w:t>KML</w:t>
        </w:r>
        <w:r w:rsidR="00D21C49">
          <w:rPr>
            <w:color w:val="000000"/>
            <w:szCs w:val="22"/>
            <w:lang w:val="et-EE"/>
          </w:rPr>
          <w:t>-i</w:t>
        </w:r>
      </w:smartTag>
      <w:r w:rsidRPr="00EC3BD7">
        <w:rPr>
          <w:color w:val="000000"/>
          <w:sz w:val="22"/>
          <w:szCs w:val="22"/>
          <w:lang w:val="et-EE"/>
        </w:rPr>
        <w:t xml:space="preserve"> uuringutes on täheldatud tsütopeeniat, eriti neutropeeniat ja trombotsütopeeniat, kusjuures esinemissagedus näib olevat suurem suuremate annuste, </w:t>
      </w:r>
      <w:r w:rsidRPr="00EC3BD7">
        <w:rPr>
          <w:color w:val="000000"/>
          <w:sz w:val="22"/>
          <w:szCs w:val="22"/>
          <w:lang w:val="et-EE"/>
        </w:rPr>
        <w:sym w:font="Symbol" w:char="F0B3"/>
      </w:r>
      <w:r w:rsidRPr="00EC3BD7">
        <w:rPr>
          <w:color w:val="000000"/>
          <w:sz w:val="22"/>
          <w:szCs w:val="22"/>
          <w:lang w:val="et-EE"/>
        </w:rPr>
        <w:t xml:space="preserve">750 mg kasutamisel (I faasi uuring). Samas oli tsütopeeniate esinemine selgelt seotud haiguse faasiga – </w:t>
      </w:r>
      <w:smartTag w:uri="urn:schemas-microsoft-com:office:smarttags" w:element="stockticker">
        <w:r w:rsidRPr="00EC3BD7">
          <w:rPr>
            <w:color w:val="000000"/>
            <w:sz w:val="22"/>
            <w:szCs w:val="22"/>
            <w:lang w:val="et-EE"/>
          </w:rPr>
          <w:t>III</w:t>
        </w:r>
      </w:smartTag>
      <w:r w:rsidRPr="00EC3BD7">
        <w:rPr>
          <w:color w:val="000000"/>
          <w:sz w:val="22"/>
          <w:szCs w:val="22"/>
          <w:lang w:val="et-EE"/>
        </w:rPr>
        <w:t xml:space="preserve"> ja IV astme neutropeenia (neutrofiilide absoluutarv &lt;1,0x10</w:t>
      </w:r>
      <w:r w:rsidRPr="00EC3BD7">
        <w:rPr>
          <w:color w:val="000000"/>
          <w:sz w:val="22"/>
          <w:szCs w:val="22"/>
          <w:vertAlign w:val="superscript"/>
          <w:lang w:val="et-EE"/>
        </w:rPr>
        <w:t>9</w:t>
      </w:r>
      <w:r w:rsidRPr="00EC3BD7">
        <w:rPr>
          <w:color w:val="000000"/>
          <w:sz w:val="22"/>
          <w:szCs w:val="22"/>
          <w:lang w:val="et-EE"/>
        </w:rPr>
        <w:t>/l) ja trombotsütopeenia (trombotsüütide arv &lt;50x10</w:t>
      </w:r>
      <w:r w:rsidRPr="00EC3BD7">
        <w:rPr>
          <w:color w:val="000000"/>
          <w:sz w:val="22"/>
          <w:szCs w:val="22"/>
          <w:vertAlign w:val="superscript"/>
          <w:lang w:val="et-EE"/>
        </w:rPr>
        <w:t>9</w:t>
      </w:r>
      <w:r w:rsidRPr="00EC3BD7">
        <w:rPr>
          <w:color w:val="000000"/>
          <w:sz w:val="22"/>
          <w:szCs w:val="22"/>
          <w:lang w:val="et-EE"/>
        </w:rPr>
        <w:t xml:space="preserve">/l) esinemissagedus oli neli kuni kuus korda kõrgem blastse kriisi ja aktseleratsioonifaasi korral (neutropeenia esines vastavalt 59...64% patsientidel ja trombotsütopeenia 44...63% patsientidel) võrreldes kroonilises faasis äsja diagnoositud </w:t>
      </w:r>
      <w:smartTag w:uri="urn:schemas-microsoft-com:office:smarttags" w:element="stockticker">
        <w:r w:rsidRPr="00EC3BD7">
          <w:rPr>
            <w:color w:val="000000"/>
            <w:sz w:val="22"/>
            <w:szCs w:val="22"/>
            <w:lang w:val="et-EE"/>
          </w:rPr>
          <w:t>KML</w:t>
        </w:r>
        <w:r w:rsidR="00D21C49">
          <w:rPr>
            <w:color w:val="000000"/>
            <w:szCs w:val="22"/>
            <w:lang w:val="et-EE"/>
          </w:rPr>
          <w:t>-i</w:t>
        </w:r>
      </w:smartTag>
      <w:r w:rsidRPr="00EC3BD7">
        <w:rPr>
          <w:color w:val="000000"/>
          <w:sz w:val="22"/>
          <w:szCs w:val="22"/>
          <w:lang w:val="et-EE"/>
        </w:rPr>
        <w:t xml:space="preserve"> patsientidega (16,7% patsientidest esines neutropeenia ja 8,9% patsientidest trombotsütopeenia). Äsja diagnoositud kroonilises faasis </w:t>
      </w:r>
      <w:smartTag w:uri="urn:schemas-microsoft-com:office:smarttags" w:element="stockticker">
        <w:r w:rsidRPr="00EC3BD7">
          <w:rPr>
            <w:color w:val="000000"/>
            <w:sz w:val="22"/>
            <w:szCs w:val="22"/>
            <w:lang w:val="et-EE"/>
          </w:rPr>
          <w:t>KML</w:t>
        </w:r>
      </w:smartTag>
      <w:r w:rsidRPr="00EC3BD7">
        <w:rPr>
          <w:color w:val="000000"/>
          <w:sz w:val="22"/>
          <w:szCs w:val="22"/>
          <w:lang w:val="et-EE"/>
        </w:rPr>
        <w:t xml:space="preserve"> korral täheldati IV astme neutropeeniat (neutrofiilide absoluutarv &lt;0,5x10</w:t>
      </w:r>
      <w:r w:rsidRPr="00EC3BD7">
        <w:rPr>
          <w:color w:val="000000"/>
          <w:sz w:val="22"/>
          <w:szCs w:val="22"/>
          <w:vertAlign w:val="superscript"/>
          <w:lang w:val="et-EE"/>
        </w:rPr>
        <w:t>9</w:t>
      </w:r>
      <w:r w:rsidRPr="00EC3BD7">
        <w:rPr>
          <w:color w:val="000000"/>
          <w:sz w:val="22"/>
          <w:szCs w:val="22"/>
          <w:lang w:val="et-EE"/>
        </w:rPr>
        <w:t>/l) ja trombotsütopeeniat (trombotsüütide arv &lt;10x10</w:t>
      </w:r>
      <w:r w:rsidRPr="00EC3BD7">
        <w:rPr>
          <w:color w:val="000000"/>
          <w:sz w:val="22"/>
          <w:szCs w:val="22"/>
          <w:vertAlign w:val="superscript"/>
          <w:lang w:val="et-EE"/>
        </w:rPr>
        <w:t>9</w:t>
      </w:r>
      <w:r w:rsidRPr="00EC3BD7">
        <w:rPr>
          <w:color w:val="000000"/>
          <w:sz w:val="22"/>
          <w:szCs w:val="22"/>
          <w:lang w:val="et-EE"/>
        </w:rPr>
        <w:t xml:space="preserve">/l) vastavalt 3,6% ja vähem kui 1% patsientidest. Neutropeenia ja trombotsütopeenia episoodide keskmine kestus oli tavaliselt vastavalt kaks kuni kolm nädalat ja kolm kuni neli nädalat. Selliseid kõrvalekaldeid saab tavaliselt ravida kas annuse vähendamisega või Gliveci ravi ajutise katkestamisega, harva võib olla vajalik ravi lõplik lõpetamine. </w:t>
      </w:r>
      <w:smartTag w:uri="urn:schemas-microsoft-com:office:smarttags" w:element="stockticker">
        <w:r w:rsidRPr="00EC3BD7">
          <w:rPr>
            <w:color w:val="000000"/>
            <w:sz w:val="22"/>
            <w:szCs w:val="22"/>
            <w:lang w:val="et-EE"/>
          </w:rPr>
          <w:t>KML</w:t>
        </w:r>
      </w:smartTag>
      <w:r w:rsidRPr="00EC3BD7">
        <w:rPr>
          <w:color w:val="000000"/>
          <w:sz w:val="22"/>
          <w:szCs w:val="22"/>
          <w:lang w:val="et-EE"/>
        </w:rPr>
        <w:t xml:space="preserve"> korral täheldati lastel kõige sagedamini </w:t>
      </w:r>
      <w:smartTag w:uri="urn:schemas-microsoft-com:office:smarttags" w:element="stockticker">
        <w:r w:rsidRPr="00EC3BD7">
          <w:rPr>
            <w:color w:val="000000"/>
            <w:sz w:val="22"/>
            <w:szCs w:val="22"/>
            <w:lang w:val="et-EE"/>
          </w:rPr>
          <w:t>III</w:t>
        </w:r>
      </w:smartTag>
      <w:r w:rsidRPr="00EC3BD7">
        <w:rPr>
          <w:color w:val="000000"/>
          <w:sz w:val="22"/>
          <w:szCs w:val="22"/>
          <w:lang w:val="et-EE"/>
        </w:rPr>
        <w:t xml:space="preserve"> või IV astme tsütopeeniat, sealhulgas neutropeeniat, trombotsütopeeniat ja aneemiat. Tavaliselt esinesid need esimeste ravikuude jooksul.</w:t>
      </w:r>
    </w:p>
    <w:p w14:paraId="74FDE226" w14:textId="77777777" w:rsidR="00556CBF" w:rsidRPr="00EC3BD7" w:rsidRDefault="00556CBF" w:rsidP="00556CBF">
      <w:pPr>
        <w:pStyle w:val="Text"/>
        <w:widowControl w:val="0"/>
        <w:spacing w:before="0"/>
        <w:jc w:val="left"/>
        <w:rPr>
          <w:color w:val="000000"/>
          <w:sz w:val="22"/>
          <w:szCs w:val="22"/>
          <w:lang w:val="et-EE"/>
        </w:rPr>
      </w:pPr>
    </w:p>
    <w:p w14:paraId="4AD9CE8E" w14:textId="48799A2C" w:rsidR="00136210" w:rsidRPr="00EC3BD7" w:rsidRDefault="00556CBF" w:rsidP="00556CBF">
      <w:pPr>
        <w:pStyle w:val="Text"/>
        <w:widowControl w:val="0"/>
        <w:spacing w:before="0"/>
        <w:jc w:val="left"/>
        <w:rPr>
          <w:color w:val="000000"/>
          <w:sz w:val="22"/>
          <w:szCs w:val="22"/>
          <w:lang w:val="et-EE"/>
        </w:rPr>
      </w:pPr>
      <w:r w:rsidRPr="00EC3BD7">
        <w:rPr>
          <w:color w:val="000000"/>
          <w:sz w:val="22"/>
          <w:szCs w:val="22"/>
          <w:lang w:val="et-EE"/>
        </w:rPr>
        <w:t>Mitteopereeritava ja/või metastaseerunud patsientidel täheldati GIST</w:t>
      </w:r>
      <w:r w:rsidR="00D21C49">
        <w:rPr>
          <w:color w:val="000000"/>
          <w:szCs w:val="22"/>
          <w:lang w:val="et-EE"/>
        </w:rPr>
        <w:t>-i</w:t>
      </w:r>
      <w:r w:rsidRPr="00EC3BD7">
        <w:rPr>
          <w:color w:val="000000"/>
          <w:sz w:val="22"/>
          <w:szCs w:val="22"/>
          <w:lang w:val="et-EE"/>
        </w:rPr>
        <w:t xml:space="preserve"> uuringus </w:t>
      </w:r>
      <w:smartTag w:uri="urn:schemas-microsoft-com:office:smarttags" w:element="stockticker">
        <w:r w:rsidRPr="00EC3BD7">
          <w:rPr>
            <w:color w:val="000000"/>
            <w:sz w:val="22"/>
            <w:szCs w:val="22"/>
            <w:lang w:val="et-EE"/>
          </w:rPr>
          <w:t>III</w:t>
        </w:r>
      </w:smartTag>
      <w:r w:rsidRPr="00EC3BD7">
        <w:rPr>
          <w:color w:val="000000"/>
          <w:sz w:val="22"/>
          <w:szCs w:val="22"/>
          <w:lang w:val="et-EE"/>
        </w:rPr>
        <w:t xml:space="preserve"> ja IV</w:t>
      </w:r>
      <w:r w:rsidR="00136210" w:rsidRPr="00EC3BD7">
        <w:rPr>
          <w:color w:val="000000"/>
          <w:sz w:val="22"/>
          <w:szCs w:val="22"/>
          <w:lang w:val="et-EE"/>
        </w:rPr>
        <w:t xml:space="preserve"> astme aneemiat vastavalt 5,4% ja 0,7% patsientidest ja see võis vähemalt osadel patsientidest olla seotud seedetrakti või kasvajasiseste verejooksudega. </w:t>
      </w:r>
      <w:smartTag w:uri="urn:schemas-microsoft-com:office:smarttags" w:element="stockticker">
        <w:r w:rsidR="00136210" w:rsidRPr="00EC3BD7">
          <w:rPr>
            <w:color w:val="000000"/>
            <w:sz w:val="22"/>
            <w:szCs w:val="22"/>
            <w:lang w:val="et-EE"/>
          </w:rPr>
          <w:t>III</w:t>
        </w:r>
      </w:smartTag>
      <w:r w:rsidR="00136210" w:rsidRPr="00EC3BD7">
        <w:rPr>
          <w:color w:val="000000"/>
          <w:sz w:val="22"/>
          <w:szCs w:val="22"/>
          <w:lang w:val="et-EE"/>
        </w:rPr>
        <w:t xml:space="preserve"> ja IV astme neutropeeniat täheldati vastavalt 7,5% ja 2,7% patsientidest ning </w:t>
      </w:r>
      <w:smartTag w:uri="urn:schemas-microsoft-com:office:smarttags" w:element="stockticker">
        <w:r w:rsidR="00136210" w:rsidRPr="00EC3BD7">
          <w:rPr>
            <w:color w:val="000000"/>
            <w:sz w:val="22"/>
            <w:szCs w:val="22"/>
            <w:lang w:val="et-EE"/>
          </w:rPr>
          <w:t>III</w:t>
        </w:r>
      </w:smartTag>
      <w:r w:rsidR="00136210" w:rsidRPr="00EC3BD7">
        <w:rPr>
          <w:color w:val="000000"/>
          <w:sz w:val="22"/>
          <w:szCs w:val="22"/>
          <w:lang w:val="et-EE"/>
        </w:rPr>
        <w:t> astme trombotsütopeeniat 0,7% patsientidest. Ühelgi patsiendil ei tekkinud IV astme trombotsütopeeniat. Leukotsüütide ja neutrofiilide arvu langus tekkis peamiselt ravi esimese kuue nädala jooksul ja pärast seda püsisid väärtused suhteliselt stabiilsel tasemel.</w:t>
      </w:r>
    </w:p>
    <w:p w14:paraId="20D5F614" w14:textId="77777777" w:rsidR="00136210" w:rsidRPr="00EC3BD7" w:rsidRDefault="00136210">
      <w:pPr>
        <w:pStyle w:val="Text"/>
        <w:widowControl w:val="0"/>
        <w:spacing w:before="0"/>
        <w:jc w:val="left"/>
        <w:rPr>
          <w:color w:val="000000"/>
          <w:sz w:val="22"/>
          <w:szCs w:val="22"/>
          <w:lang w:val="et-EE"/>
        </w:rPr>
      </w:pPr>
    </w:p>
    <w:p w14:paraId="4B4E2499" w14:textId="77777777" w:rsidR="00136210" w:rsidRPr="00EC3BD7" w:rsidRDefault="00136210" w:rsidP="00B9089D">
      <w:pPr>
        <w:pStyle w:val="Text"/>
        <w:keepNext/>
        <w:widowControl w:val="0"/>
        <w:spacing w:before="0"/>
        <w:jc w:val="left"/>
        <w:rPr>
          <w:color w:val="000000"/>
          <w:sz w:val="22"/>
          <w:szCs w:val="22"/>
          <w:lang w:val="et-EE"/>
        </w:rPr>
      </w:pPr>
      <w:r w:rsidRPr="00EC3BD7">
        <w:rPr>
          <w:i/>
          <w:color w:val="000000"/>
          <w:sz w:val="22"/>
          <w:szCs w:val="22"/>
          <w:lang w:val="et-EE"/>
        </w:rPr>
        <w:t>Biokeemia</w:t>
      </w:r>
    </w:p>
    <w:p w14:paraId="0FDED86D" w14:textId="32B7AEB5" w:rsidR="00136210" w:rsidRPr="00EC3BD7" w:rsidRDefault="00136210">
      <w:pPr>
        <w:pStyle w:val="Text"/>
        <w:widowControl w:val="0"/>
        <w:spacing w:before="0"/>
        <w:jc w:val="left"/>
        <w:rPr>
          <w:color w:val="000000"/>
          <w:sz w:val="22"/>
          <w:szCs w:val="22"/>
          <w:lang w:val="et-EE"/>
        </w:rPr>
      </w:pPr>
      <w:r w:rsidRPr="00EC3BD7">
        <w:rPr>
          <w:color w:val="000000"/>
          <w:sz w:val="22"/>
          <w:szCs w:val="22"/>
          <w:lang w:val="et-EE"/>
        </w:rPr>
        <w:t xml:space="preserve">Transaminaaside aktiivsuse (&lt;5%) või bilirubiini (&lt;1%) taseme rasket tõusu täheldati </w:t>
      </w:r>
      <w:r w:rsidR="00D21C49">
        <w:rPr>
          <w:color w:val="000000"/>
          <w:sz w:val="22"/>
          <w:szCs w:val="22"/>
          <w:lang w:val="et-EE"/>
        </w:rPr>
        <w:t>K</w:t>
      </w:r>
      <w:r w:rsidRPr="00EC3BD7">
        <w:rPr>
          <w:color w:val="000000"/>
          <w:sz w:val="22"/>
          <w:szCs w:val="22"/>
          <w:lang w:val="et-EE"/>
        </w:rPr>
        <w:t>ML</w:t>
      </w:r>
      <w:r w:rsidR="00D21C49">
        <w:rPr>
          <w:color w:val="000000"/>
          <w:szCs w:val="22"/>
          <w:lang w:val="et-EE"/>
        </w:rPr>
        <w:t>-i</w:t>
      </w:r>
      <w:r w:rsidRPr="00EC3BD7">
        <w:rPr>
          <w:color w:val="000000"/>
          <w:sz w:val="22"/>
          <w:szCs w:val="22"/>
          <w:lang w:val="et-EE"/>
        </w:rPr>
        <w:t xml:space="preserve"> patsientidel ja seda raviti tavaliselt annuse vähendamisega või ravi ajutise katkestamisega (taoliste episoodide keskmine kestus oli umbes üks nädal). Maksa laboratoorsete analüüside kõrvalekallete tõttu katkestati ravi vähem kui 1% </w:t>
      </w:r>
      <w:r w:rsidR="00D21C49">
        <w:rPr>
          <w:color w:val="000000"/>
          <w:sz w:val="22"/>
          <w:szCs w:val="22"/>
          <w:lang w:val="et-EE"/>
        </w:rPr>
        <w:t>K</w:t>
      </w:r>
      <w:r w:rsidRPr="00EC3BD7">
        <w:rPr>
          <w:color w:val="000000"/>
          <w:sz w:val="22"/>
          <w:szCs w:val="22"/>
          <w:lang w:val="et-EE"/>
        </w:rPr>
        <w:t>ML</w:t>
      </w:r>
      <w:r w:rsidR="00D21C49">
        <w:rPr>
          <w:color w:val="000000"/>
          <w:szCs w:val="22"/>
          <w:lang w:val="et-EE"/>
        </w:rPr>
        <w:t>-i</w:t>
      </w:r>
      <w:r w:rsidRPr="00EC3BD7">
        <w:rPr>
          <w:color w:val="000000"/>
          <w:sz w:val="22"/>
          <w:szCs w:val="22"/>
          <w:lang w:val="et-EE"/>
        </w:rPr>
        <w:t xml:space="preserve"> patsientidest. GIST</w:t>
      </w:r>
      <w:r w:rsidR="00D21C49">
        <w:rPr>
          <w:color w:val="000000"/>
          <w:szCs w:val="22"/>
          <w:lang w:val="et-EE"/>
        </w:rPr>
        <w:t>-i</w:t>
      </w:r>
      <w:r w:rsidRPr="00EC3BD7">
        <w:rPr>
          <w:color w:val="000000"/>
          <w:sz w:val="22"/>
          <w:szCs w:val="22"/>
          <w:lang w:val="et-EE"/>
        </w:rPr>
        <w:t xml:space="preserve"> patsientidel (uuring B2222) täheldati 6,8% juhtudest </w:t>
      </w:r>
      <w:smartTag w:uri="urn:schemas-microsoft-com:office:smarttags" w:element="stockticker">
        <w:r w:rsidRPr="00EC3BD7">
          <w:rPr>
            <w:color w:val="000000"/>
            <w:sz w:val="22"/>
            <w:szCs w:val="22"/>
            <w:lang w:val="et-EE"/>
          </w:rPr>
          <w:t>III</w:t>
        </w:r>
      </w:smartTag>
      <w:r w:rsidRPr="00EC3BD7">
        <w:rPr>
          <w:color w:val="000000"/>
          <w:sz w:val="22"/>
          <w:szCs w:val="22"/>
          <w:lang w:val="et-EE"/>
        </w:rPr>
        <w:t xml:space="preserve"> või IV astme AL</w:t>
      </w:r>
      <w:r w:rsidR="00AD37CE" w:rsidRPr="00EC3BD7">
        <w:rPr>
          <w:color w:val="000000"/>
          <w:sz w:val="22"/>
          <w:szCs w:val="22"/>
          <w:lang w:val="et-EE"/>
        </w:rPr>
        <w:t>A</w:t>
      </w:r>
      <w:r w:rsidRPr="00EC3BD7">
        <w:rPr>
          <w:color w:val="000000"/>
          <w:sz w:val="22"/>
          <w:szCs w:val="22"/>
          <w:lang w:val="et-EE"/>
        </w:rPr>
        <w:t xml:space="preserve">T (alaniini aminotransferaasi) taseme suurenemist ja 4,8% </w:t>
      </w:r>
      <w:smartTag w:uri="urn:schemas-microsoft-com:office:smarttags" w:element="stockticker">
        <w:r w:rsidRPr="00EC3BD7">
          <w:rPr>
            <w:color w:val="000000"/>
            <w:sz w:val="22"/>
            <w:szCs w:val="22"/>
            <w:lang w:val="et-EE"/>
          </w:rPr>
          <w:t>III</w:t>
        </w:r>
      </w:smartTag>
      <w:r w:rsidRPr="00EC3BD7">
        <w:rPr>
          <w:color w:val="000000"/>
          <w:sz w:val="22"/>
          <w:szCs w:val="22"/>
          <w:lang w:val="et-EE"/>
        </w:rPr>
        <w:t xml:space="preserve"> või IV astme AS</w:t>
      </w:r>
      <w:r w:rsidR="00AD37CE" w:rsidRPr="00EC3BD7">
        <w:rPr>
          <w:color w:val="000000"/>
          <w:sz w:val="22"/>
          <w:szCs w:val="22"/>
          <w:lang w:val="et-EE"/>
        </w:rPr>
        <w:t>A</w:t>
      </w:r>
      <w:r w:rsidRPr="00EC3BD7">
        <w:rPr>
          <w:color w:val="000000"/>
          <w:sz w:val="22"/>
          <w:szCs w:val="22"/>
          <w:lang w:val="et-EE"/>
        </w:rPr>
        <w:t>T (aspartaadi aminotransferaasi) taseme suurenemist. Bilirubiini taseme suurenemist esines alla 3%.</w:t>
      </w:r>
    </w:p>
    <w:p w14:paraId="73219514" w14:textId="77777777" w:rsidR="00136210" w:rsidRPr="00EC3BD7" w:rsidRDefault="00136210">
      <w:pPr>
        <w:pStyle w:val="Text"/>
        <w:widowControl w:val="0"/>
        <w:spacing w:before="0"/>
        <w:jc w:val="left"/>
        <w:rPr>
          <w:color w:val="000000"/>
          <w:sz w:val="22"/>
          <w:szCs w:val="22"/>
          <w:lang w:val="et-EE"/>
        </w:rPr>
      </w:pPr>
    </w:p>
    <w:p w14:paraId="6A61050B" w14:textId="77777777" w:rsidR="00136210" w:rsidRPr="00EC3BD7" w:rsidRDefault="00136210">
      <w:pPr>
        <w:pStyle w:val="Text"/>
        <w:widowControl w:val="0"/>
        <w:spacing w:before="0"/>
        <w:jc w:val="left"/>
        <w:rPr>
          <w:color w:val="000000"/>
          <w:sz w:val="22"/>
          <w:szCs w:val="22"/>
          <w:lang w:val="et-EE"/>
        </w:rPr>
      </w:pPr>
      <w:r w:rsidRPr="00EC3BD7">
        <w:rPr>
          <w:color w:val="000000"/>
          <w:sz w:val="22"/>
          <w:szCs w:val="22"/>
          <w:lang w:val="et-EE"/>
        </w:rPr>
        <w:t>Täheldati ka tsütolüütilise ja kolestaatilise hepatiidi ja maksapuudulikkuse juhte, mis mõnel juhul oli letaalse lõppega, sealhulgas ühel patsiendil, kes sai paratsetamooli suures annuses.</w:t>
      </w:r>
      <w:bookmarkEnd w:id="2"/>
      <w:bookmarkEnd w:id="3"/>
    </w:p>
    <w:p w14:paraId="270B5CAD" w14:textId="77777777" w:rsidR="00FE4734" w:rsidRPr="00EC3BD7" w:rsidRDefault="00FE4734" w:rsidP="00FE4734">
      <w:pPr>
        <w:tabs>
          <w:tab w:val="clear" w:pos="567"/>
        </w:tabs>
        <w:spacing w:line="240" w:lineRule="auto"/>
        <w:rPr>
          <w:color w:val="000000"/>
          <w:szCs w:val="22"/>
          <w:lang w:val="et-EE"/>
        </w:rPr>
      </w:pPr>
    </w:p>
    <w:p w14:paraId="79EF1EFA" w14:textId="77777777" w:rsidR="00FE4734" w:rsidRPr="00EC3BD7" w:rsidRDefault="00FE4734" w:rsidP="002553C9">
      <w:pPr>
        <w:keepNext/>
        <w:tabs>
          <w:tab w:val="clear" w:pos="567"/>
        </w:tabs>
        <w:spacing w:line="240" w:lineRule="auto"/>
        <w:rPr>
          <w:color w:val="000000"/>
          <w:szCs w:val="22"/>
          <w:u w:val="single"/>
          <w:lang w:val="et-EE"/>
        </w:rPr>
      </w:pPr>
      <w:r w:rsidRPr="00EC3BD7">
        <w:rPr>
          <w:color w:val="000000"/>
          <w:szCs w:val="22"/>
          <w:u w:val="single"/>
          <w:lang w:val="et-EE"/>
        </w:rPr>
        <w:t>Valitud kõrvaltoimete kirjeldus</w:t>
      </w:r>
    </w:p>
    <w:p w14:paraId="65845D9F" w14:textId="77777777" w:rsidR="00FE4734" w:rsidRPr="00EC3BD7" w:rsidRDefault="00FE4734" w:rsidP="0067535F">
      <w:pPr>
        <w:keepNext/>
        <w:tabs>
          <w:tab w:val="clear" w:pos="567"/>
        </w:tabs>
        <w:spacing w:line="240" w:lineRule="auto"/>
        <w:rPr>
          <w:i/>
          <w:color w:val="000000"/>
          <w:szCs w:val="22"/>
          <w:u w:val="single"/>
          <w:lang w:val="et-EE"/>
        </w:rPr>
      </w:pPr>
      <w:r w:rsidRPr="00EC3BD7">
        <w:rPr>
          <w:i/>
          <w:color w:val="000000"/>
          <w:szCs w:val="22"/>
          <w:u w:val="single"/>
          <w:lang w:val="et-EE"/>
        </w:rPr>
        <w:t>B-hepatiidi reaktivatsioon</w:t>
      </w:r>
    </w:p>
    <w:p w14:paraId="22087FE5" w14:textId="77777777" w:rsidR="00FE4734" w:rsidRPr="00EC3BD7" w:rsidRDefault="00FE4734" w:rsidP="00FE4734">
      <w:pPr>
        <w:tabs>
          <w:tab w:val="clear" w:pos="567"/>
        </w:tabs>
        <w:spacing w:line="240" w:lineRule="auto"/>
        <w:rPr>
          <w:color w:val="000000"/>
          <w:szCs w:val="22"/>
          <w:lang w:val="et-EE"/>
        </w:rPr>
      </w:pPr>
      <w:r w:rsidRPr="00EC3BD7">
        <w:rPr>
          <w:color w:val="000000"/>
          <w:szCs w:val="22"/>
          <w:lang w:val="et-EE"/>
        </w:rPr>
        <w:t>B-hepatiidi reaktivatsioonist on teatatud seoses BCR-ABL-i TKI-dega. Mõnel juhul tekkis äge maksapuudulikkus või fulminantne hepatiit, mille tõttu tekkis maksasiirdamise vajadus või patsient suri (vt lõik 4.4).</w:t>
      </w:r>
    </w:p>
    <w:p w14:paraId="3B1F3395" w14:textId="77777777" w:rsidR="005616C3" w:rsidRPr="00EC3BD7" w:rsidRDefault="005616C3" w:rsidP="005616C3">
      <w:pPr>
        <w:autoSpaceDE w:val="0"/>
        <w:autoSpaceDN w:val="0"/>
        <w:adjustRightInd w:val="0"/>
        <w:jc w:val="both"/>
        <w:rPr>
          <w:szCs w:val="24"/>
          <w:u w:val="single"/>
          <w:lang w:val="et-EE"/>
        </w:rPr>
      </w:pPr>
    </w:p>
    <w:p w14:paraId="370AA83B" w14:textId="77777777" w:rsidR="005616C3" w:rsidRPr="00EC3BD7" w:rsidRDefault="005616C3" w:rsidP="00B9089D">
      <w:pPr>
        <w:keepNext/>
        <w:autoSpaceDE w:val="0"/>
        <w:autoSpaceDN w:val="0"/>
        <w:adjustRightInd w:val="0"/>
        <w:jc w:val="both"/>
        <w:rPr>
          <w:szCs w:val="24"/>
          <w:u w:val="single"/>
          <w:lang w:val="et-EE"/>
        </w:rPr>
      </w:pPr>
      <w:r w:rsidRPr="00EC3BD7">
        <w:rPr>
          <w:szCs w:val="24"/>
          <w:u w:val="single"/>
          <w:lang w:val="et-EE"/>
        </w:rPr>
        <w:t>Võimalikest kõrvaltoimetest teavitamine</w:t>
      </w:r>
    </w:p>
    <w:p w14:paraId="2EE4B5C1" w14:textId="77777777" w:rsidR="00136210" w:rsidRPr="00EC3BD7" w:rsidRDefault="005616C3" w:rsidP="005616C3">
      <w:pPr>
        <w:pStyle w:val="Text"/>
        <w:widowControl w:val="0"/>
        <w:spacing w:before="0"/>
        <w:jc w:val="left"/>
        <w:rPr>
          <w:sz w:val="22"/>
          <w:szCs w:val="24"/>
          <w:lang w:val="et-EE"/>
        </w:rPr>
      </w:pPr>
      <w:r w:rsidRPr="00EC3BD7">
        <w:rPr>
          <w:sz w:val="22"/>
          <w:szCs w:val="24"/>
          <w:lang w:val="et-EE"/>
        </w:rPr>
        <w:t xml:space="preserve">Ravimi võimalikest kõrvaltoimetest on oluline teavitada ka pärast ravimi müügiloa väljastamist. See võimaldab jätkuvalt hinnata ravimi kasu/riski suhet. Tervishoiutöötajatel palutakse teavitada kõigist võimalikest kõrvaltoimetest </w:t>
      </w:r>
      <w:r w:rsidRPr="00EC3BD7">
        <w:rPr>
          <w:sz w:val="22"/>
          <w:szCs w:val="24"/>
          <w:shd w:val="pct15" w:color="auto" w:fill="auto"/>
          <w:lang w:val="et-EE"/>
        </w:rPr>
        <w:t xml:space="preserve">riikliku teavitamissüsteemi, mis on loetletud </w:t>
      </w:r>
      <w:hyperlink r:id="rId12" w:history="1">
        <w:r w:rsidRPr="00EC3BD7">
          <w:rPr>
            <w:color w:val="0000FF"/>
            <w:sz w:val="22"/>
            <w:szCs w:val="24"/>
            <w:u w:val="single"/>
            <w:shd w:val="pct15" w:color="auto" w:fill="auto"/>
            <w:lang w:val="et-EE"/>
          </w:rPr>
          <w:t>V lisas</w:t>
        </w:r>
      </w:hyperlink>
      <w:r w:rsidRPr="00EC3BD7">
        <w:rPr>
          <w:sz w:val="22"/>
          <w:szCs w:val="24"/>
          <w:shd w:val="pct15" w:color="auto" w:fill="auto"/>
          <w:lang w:val="et-EE"/>
        </w:rPr>
        <w:t>,</w:t>
      </w:r>
      <w:r w:rsidRPr="00EC3BD7">
        <w:rPr>
          <w:sz w:val="22"/>
          <w:szCs w:val="24"/>
          <w:lang w:val="et-EE"/>
        </w:rPr>
        <w:t xml:space="preserve"> kaudu.</w:t>
      </w:r>
    </w:p>
    <w:p w14:paraId="171D6A2F" w14:textId="77777777" w:rsidR="005616C3" w:rsidRPr="00EC3BD7" w:rsidRDefault="005616C3" w:rsidP="005616C3">
      <w:pPr>
        <w:pStyle w:val="Text"/>
        <w:widowControl w:val="0"/>
        <w:spacing w:before="0"/>
        <w:jc w:val="left"/>
        <w:rPr>
          <w:color w:val="000000"/>
          <w:sz w:val="22"/>
          <w:szCs w:val="22"/>
          <w:lang w:val="et-EE"/>
        </w:rPr>
      </w:pPr>
    </w:p>
    <w:p w14:paraId="5E7F41F9" w14:textId="77777777" w:rsidR="00136210" w:rsidRPr="00EC3BD7" w:rsidRDefault="00136210" w:rsidP="00B9089D">
      <w:pPr>
        <w:keepNext/>
        <w:widowControl w:val="0"/>
        <w:tabs>
          <w:tab w:val="clear" w:pos="567"/>
        </w:tabs>
        <w:spacing w:line="240" w:lineRule="auto"/>
        <w:ind w:left="567" w:hanging="567"/>
        <w:rPr>
          <w:b/>
          <w:color w:val="000000"/>
          <w:szCs w:val="22"/>
          <w:lang w:val="et-EE"/>
        </w:rPr>
      </w:pPr>
      <w:r w:rsidRPr="00EC3BD7">
        <w:rPr>
          <w:b/>
          <w:color w:val="000000"/>
          <w:szCs w:val="22"/>
          <w:lang w:val="et-EE"/>
        </w:rPr>
        <w:t>4.9</w:t>
      </w:r>
      <w:r w:rsidRPr="00EC3BD7">
        <w:rPr>
          <w:b/>
          <w:color w:val="000000"/>
          <w:szCs w:val="22"/>
          <w:lang w:val="et-EE"/>
        </w:rPr>
        <w:tab/>
        <w:t>Üleannustamine</w:t>
      </w:r>
    </w:p>
    <w:p w14:paraId="5312D070" w14:textId="77777777" w:rsidR="005A0EE7" w:rsidRPr="00EC3BD7" w:rsidRDefault="005A0EE7" w:rsidP="00B9089D">
      <w:pPr>
        <w:keepNext/>
        <w:widowControl w:val="0"/>
        <w:tabs>
          <w:tab w:val="clear" w:pos="567"/>
        </w:tabs>
        <w:spacing w:line="240" w:lineRule="auto"/>
        <w:ind w:left="567" w:hanging="567"/>
        <w:rPr>
          <w:color w:val="000000"/>
          <w:szCs w:val="22"/>
          <w:lang w:val="et-EE"/>
        </w:rPr>
      </w:pPr>
    </w:p>
    <w:p w14:paraId="13D33082" w14:textId="77777777" w:rsidR="005A0EE7" w:rsidRPr="00EC3BD7" w:rsidRDefault="005A0EE7" w:rsidP="005A0EE7">
      <w:pPr>
        <w:widowControl w:val="0"/>
        <w:rPr>
          <w:color w:val="000000"/>
          <w:szCs w:val="22"/>
          <w:lang w:val="et-EE"/>
        </w:rPr>
      </w:pPr>
      <w:r w:rsidRPr="00EC3BD7">
        <w:rPr>
          <w:color w:val="000000"/>
          <w:szCs w:val="22"/>
          <w:lang w:val="et-EE"/>
        </w:rPr>
        <w:t xml:space="preserve">Soovitatud terapeutilisest annusest suuremate annuste kasutamise kogemus on vähene. Spontaanselt ja kirjanduses on teatatud üksikutest Gliveci üleannustamise juhtudest. Üleannustamise korral tuleb patsienti jälgida ja alustada sobivat sümptomaatilist ravi. Üldiselt oli nende juhtude puhul kirjeldatud lõpptulemus </w:t>
      </w:r>
      <w:r w:rsidR="00D04616" w:rsidRPr="00EC3BD7">
        <w:rPr>
          <w:color w:val="000000"/>
          <w:szCs w:val="22"/>
          <w:lang w:val="et-EE"/>
        </w:rPr>
        <w:t>“</w:t>
      </w:r>
      <w:r w:rsidRPr="00EC3BD7">
        <w:rPr>
          <w:color w:val="000000"/>
          <w:szCs w:val="22"/>
          <w:lang w:val="et-EE"/>
        </w:rPr>
        <w:t>paranenud</w:t>
      </w:r>
      <w:r w:rsidR="00D04616" w:rsidRPr="00EC3BD7">
        <w:rPr>
          <w:color w:val="000000"/>
          <w:szCs w:val="22"/>
          <w:lang w:val="et-EE"/>
        </w:rPr>
        <w:t>”</w:t>
      </w:r>
      <w:r w:rsidRPr="00EC3BD7">
        <w:rPr>
          <w:color w:val="000000"/>
          <w:szCs w:val="22"/>
          <w:lang w:val="et-EE"/>
        </w:rPr>
        <w:t xml:space="preserve"> või </w:t>
      </w:r>
      <w:r w:rsidR="00D04616" w:rsidRPr="00EC3BD7">
        <w:rPr>
          <w:color w:val="000000"/>
          <w:szCs w:val="22"/>
          <w:lang w:val="et-EE"/>
        </w:rPr>
        <w:t>“</w:t>
      </w:r>
      <w:r w:rsidRPr="00EC3BD7">
        <w:rPr>
          <w:color w:val="000000"/>
          <w:szCs w:val="22"/>
          <w:lang w:val="et-EE"/>
        </w:rPr>
        <w:t>tervenenud</w:t>
      </w:r>
      <w:r w:rsidR="00D04616" w:rsidRPr="00EC3BD7">
        <w:rPr>
          <w:color w:val="000000"/>
          <w:szCs w:val="22"/>
          <w:lang w:val="et-EE"/>
        </w:rPr>
        <w:t>”</w:t>
      </w:r>
      <w:r w:rsidRPr="00EC3BD7">
        <w:rPr>
          <w:color w:val="000000"/>
          <w:szCs w:val="22"/>
          <w:lang w:val="et-EE"/>
        </w:rPr>
        <w:t>. Erinevate annusevahemike puhul kirjeldatud nähud on järgmised:</w:t>
      </w:r>
    </w:p>
    <w:p w14:paraId="27F89A35" w14:textId="77777777" w:rsidR="005A0EE7" w:rsidRPr="00EC3BD7" w:rsidRDefault="005A0EE7" w:rsidP="005A0EE7">
      <w:pPr>
        <w:widowControl w:val="0"/>
        <w:rPr>
          <w:color w:val="000000"/>
          <w:szCs w:val="22"/>
          <w:lang w:val="et-EE"/>
        </w:rPr>
      </w:pPr>
    </w:p>
    <w:p w14:paraId="0740B8D3" w14:textId="77777777" w:rsidR="005A0EE7" w:rsidRPr="00EC3BD7" w:rsidRDefault="00C6596E" w:rsidP="00B9089D">
      <w:pPr>
        <w:keepNext/>
        <w:widowControl w:val="0"/>
        <w:rPr>
          <w:i/>
          <w:color w:val="000000"/>
          <w:szCs w:val="22"/>
          <w:lang w:val="et-EE"/>
        </w:rPr>
      </w:pPr>
      <w:r w:rsidRPr="00EC3BD7">
        <w:rPr>
          <w:i/>
          <w:color w:val="000000"/>
          <w:szCs w:val="22"/>
          <w:lang w:val="et-EE"/>
        </w:rPr>
        <w:t>T</w:t>
      </w:r>
      <w:r w:rsidR="005A0EE7" w:rsidRPr="00EC3BD7">
        <w:rPr>
          <w:i/>
          <w:color w:val="000000"/>
          <w:szCs w:val="22"/>
          <w:lang w:val="et-EE"/>
        </w:rPr>
        <w:t>äiskasvanu</w:t>
      </w:r>
      <w:r w:rsidRPr="00EC3BD7">
        <w:rPr>
          <w:i/>
          <w:color w:val="000000"/>
          <w:szCs w:val="22"/>
          <w:lang w:val="et-EE"/>
        </w:rPr>
        <w:t>d</w:t>
      </w:r>
    </w:p>
    <w:p w14:paraId="58FF3AC3" w14:textId="77777777" w:rsidR="005A0EE7" w:rsidRPr="00EC3BD7" w:rsidRDefault="005A0EE7" w:rsidP="005A0EE7">
      <w:pPr>
        <w:pStyle w:val="Text"/>
        <w:spacing w:before="0"/>
        <w:jc w:val="left"/>
        <w:rPr>
          <w:color w:val="000000"/>
          <w:sz w:val="22"/>
          <w:szCs w:val="22"/>
          <w:lang w:val="et-EE"/>
        </w:rPr>
      </w:pPr>
      <w:r w:rsidRPr="00EC3BD7">
        <w:rPr>
          <w:color w:val="000000"/>
          <w:sz w:val="22"/>
          <w:szCs w:val="22"/>
          <w:lang w:val="et-EE"/>
        </w:rPr>
        <w:t>1200...1600 mg (kestus vahemikus 1...10 päeva): iiveldus, oksendamine, kõhulahtisus, lööve, erüteem, ödeem, tursed, väsimus, lihasspasmid, trombotsütopeenia, pantsütopeenia, kõhuvalu, peavalu, söögiisu vähenemine.</w:t>
      </w:r>
    </w:p>
    <w:p w14:paraId="527E28F3" w14:textId="77777777" w:rsidR="005A0EE7" w:rsidRPr="00EC3BD7" w:rsidRDefault="005A0EE7" w:rsidP="005A0EE7">
      <w:pPr>
        <w:pStyle w:val="Text"/>
        <w:spacing w:before="0"/>
        <w:jc w:val="left"/>
        <w:rPr>
          <w:color w:val="000000"/>
          <w:sz w:val="22"/>
          <w:szCs w:val="22"/>
          <w:lang w:val="et-EE"/>
        </w:rPr>
      </w:pPr>
      <w:r w:rsidRPr="00EC3BD7">
        <w:rPr>
          <w:color w:val="000000"/>
          <w:sz w:val="22"/>
          <w:szCs w:val="22"/>
          <w:lang w:val="et-EE"/>
        </w:rPr>
        <w:t>1800...3200 mg (kuni 3200 mg ööpäevas 6 päeva jooksul): nõrkus, lihasvalu, kreatiinfosfokinaasi taseme tõus, bilirubiinisisalduse suurenemine, seedetrakti valu.</w:t>
      </w:r>
    </w:p>
    <w:p w14:paraId="4CF5D183" w14:textId="77777777" w:rsidR="005A0EE7" w:rsidRPr="00EC3BD7" w:rsidRDefault="005A0EE7" w:rsidP="005A0EE7">
      <w:pPr>
        <w:pStyle w:val="Text"/>
        <w:spacing w:before="0"/>
        <w:jc w:val="left"/>
        <w:rPr>
          <w:color w:val="000000"/>
          <w:sz w:val="22"/>
          <w:szCs w:val="22"/>
          <w:lang w:val="et-EE"/>
        </w:rPr>
      </w:pPr>
      <w:r w:rsidRPr="00EC3BD7">
        <w:rPr>
          <w:color w:val="000000"/>
          <w:sz w:val="22"/>
          <w:szCs w:val="22"/>
          <w:lang w:val="et-EE"/>
        </w:rPr>
        <w:t>6400 mg (ühekordne annus): kirjanduses on teatatud ühest juhust ühel patsiendil, kellel tekkisid iiveldus, oksendamine, kõhuvalu, palavik, näo turse, neutrofiilide arvu langus, maksa aminotransferaaside aktiivsuse suurenemine.</w:t>
      </w:r>
    </w:p>
    <w:p w14:paraId="0D736343" w14:textId="77777777" w:rsidR="005A0EE7" w:rsidRPr="00EC3BD7" w:rsidRDefault="005A0EE7" w:rsidP="005A0EE7">
      <w:pPr>
        <w:pStyle w:val="Text"/>
        <w:spacing w:before="0"/>
        <w:jc w:val="left"/>
        <w:rPr>
          <w:color w:val="000000"/>
          <w:sz w:val="22"/>
          <w:szCs w:val="22"/>
          <w:lang w:val="et-EE"/>
        </w:rPr>
      </w:pPr>
      <w:r w:rsidRPr="00EC3BD7">
        <w:rPr>
          <w:color w:val="000000"/>
          <w:sz w:val="22"/>
          <w:szCs w:val="22"/>
          <w:lang w:val="et-EE"/>
        </w:rPr>
        <w:t>8...10 g (ühekordne annus): kirjeldatud on oksendamist ja seedetrakti valu.</w:t>
      </w:r>
    </w:p>
    <w:p w14:paraId="1EB3BE8F" w14:textId="77777777" w:rsidR="005A0EE7" w:rsidRPr="00EC3BD7" w:rsidRDefault="005A0EE7" w:rsidP="005A0EE7">
      <w:pPr>
        <w:widowControl w:val="0"/>
        <w:rPr>
          <w:color w:val="000000"/>
          <w:szCs w:val="22"/>
          <w:lang w:val="et-EE"/>
        </w:rPr>
      </w:pPr>
    </w:p>
    <w:p w14:paraId="70A236C8" w14:textId="77777777" w:rsidR="005A0EE7" w:rsidRPr="00EC3BD7" w:rsidRDefault="00C6596E" w:rsidP="00B9089D">
      <w:pPr>
        <w:keepNext/>
        <w:widowControl w:val="0"/>
        <w:rPr>
          <w:i/>
          <w:color w:val="000000"/>
          <w:szCs w:val="22"/>
          <w:lang w:val="et-EE"/>
        </w:rPr>
      </w:pPr>
      <w:r w:rsidRPr="00EC3BD7">
        <w:rPr>
          <w:i/>
          <w:color w:val="000000"/>
          <w:szCs w:val="22"/>
          <w:lang w:val="et-EE"/>
        </w:rPr>
        <w:t>L</w:t>
      </w:r>
      <w:r w:rsidR="005A0EE7" w:rsidRPr="00EC3BD7">
        <w:rPr>
          <w:i/>
          <w:color w:val="000000"/>
          <w:szCs w:val="22"/>
          <w:lang w:val="et-EE"/>
        </w:rPr>
        <w:t>a</w:t>
      </w:r>
      <w:r w:rsidRPr="00EC3BD7">
        <w:rPr>
          <w:i/>
          <w:color w:val="000000"/>
          <w:szCs w:val="22"/>
          <w:lang w:val="et-EE"/>
        </w:rPr>
        <w:t>psed</w:t>
      </w:r>
    </w:p>
    <w:p w14:paraId="1A1C97C3" w14:textId="77777777" w:rsidR="005A0EE7" w:rsidRPr="00EC3BD7" w:rsidRDefault="005A0EE7" w:rsidP="005A0EE7">
      <w:pPr>
        <w:rPr>
          <w:color w:val="000000"/>
          <w:szCs w:val="22"/>
          <w:lang w:val="et-EE"/>
        </w:rPr>
      </w:pPr>
      <w:r w:rsidRPr="00EC3BD7">
        <w:rPr>
          <w:color w:val="000000"/>
          <w:szCs w:val="22"/>
          <w:lang w:val="et-EE"/>
        </w:rPr>
        <w:t>Ühel 3</w:t>
      </w:r>
      <w:r w:rsidRPr="00EC3BD7">
        <w:rPr>
          <w:color w:val="000000"/>
          <w:szCs w:val="22"/>
          <w:lang w:val="et-EE"/>
        </w:rPr>
        <w:noBreakHyphen/>
        <w:t>aastasel poisil, kes sai ühekordse annusena 400 mg, tekkisid oksendamine, kõhulahtisus ja isutus, ning ühel teisel 3</w:t>
      </w:r>
      <w:r w:rsidRPr="00EC3BD7">
        <w:rPr>
          <w:color w:val="000000"/>
          <w:szCs w:val="22"/>
          <w:lang w:val="et-EE"/>
        </w:rPr>
        <w:noBreakHyphen/>
        <w:t>aastasel poisil, kes sai ühekordse annusena 980 mg, tekkisid valgevereliblede arvu vähenemine ja kõhulahtisus.</w:t>
      </w:r>
    </w:p>
    <w:p w14:paraId="55F6C61E" w14:textId="77777777" w:rsidR="005A0EE7" w:rsidRPr="00EC3BD7" w:rsidRDefault="005A0EE7">
      <w:pPr>
        <w:widowControl w:val="0"/>
        <w:tabs>
          <w:tab w:val="clear" w:pos="567"/>
        </w:tabs>
        <w:spacing w:line="240" w:lineRule="auto"/>
        <w:ind w:left="567" w:hanging="567"/>
        <w:rPr>
          <w:color w:val="000000"/>
          <w:szCs w:val="22"/>
          <w:lang w:val="et-EE"/>
        </w:rPr>
      </w:pPr>
    </w:p>
    <w:p w14:paraId="771B422A" w14:textId="77777777" w:rsidR="00136210" w:rsidRPr="00EC3BD7" w:rsidRDefault="00136210">
      <w:pPr>
        <w:widowControl w:val="0"/>
        <w:tabs>
          <w:tab w:val="clear" w:pos="567"/>
        </w:tabs>
        <w:spacing w:line="240" w:lineRule="auto"/>
        <w:rPr>
          <w:color w:val="000000"/>
          <w:szCs w:val="22"/>
          <w:lang w:val="et-EE"/>
        </w:rPr>
      </w:pPr>
      <w:r w:rsidRPr="00EC3BD7">
        <w:rPr>
          <w:color w:val="000000"/>
          <w:szCs w:val="22"/>
          <w:lang w:val="et-EE"/>
        </w:rPr>
        <w:t>Üleannustamise korral tuleb patsienti jälgida ning tagada asjakohane toetav ravi.</w:t>
      </w:r>
    </w:p>
    <w:p w14:paraId="6BC63A38" w14:textId="77777777" w:rsidR="00136210" w:rsidRPr="00EC3BD7" w:rsidRDefault="00136210">
      <w:pPr>
        <w:widowControl w:val="0"/>
        <w:tabs>
          <w:tab w:val="clear" w:pos="567"/>
        </w:tabs>
        <w:spacing w:line="240" w:lineRule="auto"/>
        <w:rPr>
          <w:color w:val="000000"/>
          <w:szCs w:val="22"/>
          <w:lang w:val="et-EE"/>
        </w:rPr>
      </w:pPr>
    </w:p>
    <w:p w14:paraId="2EB46504" w14:textId="77777777" w:rsidR="00136210" w:rsidRPr="00EC3BD7" w:rsidRDefault="00136210">
      <w:pPr>
        <w:widowControl w:val="0"/>
        <w:tabs>
          <w:tab w:val="clear" w:pos="567"/>
        </w:tabs>
        <w:spacing w:line="240" w:lineRule="auto"/>
        <w:rPr>
          <w:color w:val="000000"/>
          <w:szCs w:val="22"/>
          <w:lang w:val="et-EE"/>
        </w:rPr>
      </w:pPr>
    </w:p>
    <w:p w14:paraId="599408DE"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5.</w:t>
      </w:r>
      <w:r w:rsidRPr="00EC3BD7">
        <w:rPr>
          <w:b/>
          <w:color w:val="000000"/>
          <w:szCs w:val="22"/>
          <w:lang w:val="et-EE"/>
        </w:rPr>
        <w:tab/>
        <w:t>FARMAKOLOOGILISED OMADUSED</w:t>
      </w:r>
    </w:p>
    <w:p w14:paraId="1F251241" w14:textId="77777777" w:rsidR="00136210" w:rsidRPr="00EC3BD7" w:rsidRDefault="00136210" w:rsidP="00B9089D">
      <w:pPr>
        <w:keepNext/>
        <w:widowControl w:val="0"/>
        <w:tabs>
          <w:tab w:val="clear" w:pos="567"/>
        </w:tabs>
        <w:spacing w:line="240" w:lineRule="auto"/>
        <w:rPr>
          <w:color w:val="000000"/>
          <w:szCs w:val="22"/>
          <w:lang w:val="et-EE"/>
        </w:rPr>
      </w:pPr>
    </w:p>
    <w:p w14:paraId="6C3A06C7"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5.1</w:t>
      </w:r>
      <w:r w:rsidRPr="00EC3BD7">
        <w:rPr>
          <w:b/>
          <w:color w:val="000000"/>
          <w:szCs w:val="22"/>
          <w:lang w:val="et-EE"/>
        </w:rPr>
        <w:tab/>
        <w:t>Farmakodünaamilised omadused</w:t>
      </w:r>
    </w:p>
    <w:p w14:paraId="0922DEDB" w14:textId="77777777" w:rsidR="00136210" w:rsidRPr="00EC3BD7" w:rsidRDefault="00136210" w:rsidP="00B9089D">
      <w:pPr>
        <w:pStyle w:val="EndnoteText"/>
        <w:keepNext/>
        <w:widowControl w:val="0"/>
        <w:tabs>
          <w:tab w:val="clear" w:pos="567"/>
        </w:tabs>
        <w:rPr>
          <w:color w:val="000000"/>
          <w:szCs w:val="22"/>
          <w:lang w:val="et-EE"/>
        </w:rPr>
      </w:pPr>
    </w:p>
    <w:p w14:paraId="19CC3407" w14:textId="77777777" w:rsidR="00136210" w:rsidRPr="00EC3BD7" w:rsidRDefault="00136210" w:rsidP="00B9089D">
      <w:pPr>
        <w:keepNext/>
        <w:widowControl w:val="0"/>
        <w:tabs>
          <w:tab w:val="clear" w:pos="567"/>
        </w:tabs>
        <w:spacing w:line="240" w:lineRule="auto"/>
        <w:rPr>
          <w:color w:val="000000"/>
          <w:szCs w:val="22"/>
          <w:lang w:val="et-EE"/>
        </w:rPr>
      </w:pPr>
      <w:r w:rsidRPr="00EC3BD7">
        <w:rPr>
          <w:color w:val="000000"/>
          <w:szCs w:val="22"/>
          <w:lang w:val="et-EE"/>
        </w:rPr>
        <w:t xml:space="preserve">Farmakoterapeutiline </w:t>
      </w:r>
      <w:r w:rsidR="008A2E95" w:rsidRPr="00EC3BD7">
        <w:rPr>
          <w:color w:val="000000"/>
          <w:szCs w:val="22"/>
          <w:lang w:val="et-EE"/>
        </w:rPr>
        <w:t>rühm</w:t>
      </w:r>
      <w:r w:rsidRPr="00EC3BD7">
        <w:rPr>
          <w:color w:val="000000"/>
          <w:szCs w:val="22"/>
          <w:lang w:val="et-EE"/>
        </w:rPr>
        <w:t>: proteiintürosiinkinaasi inhibiitor, ATC</w:t>
      </w:r>
      <w:r w:rsidR="00A4224E" w:rsidRPr="00EC3BD7">
        <w:rPr>
          <w:color w:val="000000"/>
          <w:szCs w:val="22"/>
          <w:lang w:val="et-EE"/>
        </w:rPr>
        <w:t>-</w:t>
      </w:r>
      <w:r w:rsidRPr="00EC3BD7">
        <w:rPr>
          <w:color w:val="000000"/>
          <w:szCs w:val="22"/>
          <w:lang w:val="et-EE"/>
        </w:rPr>
        <w:t>kood: L01X</w:t>
      </w:r>
      <w:r w:rsidR="00CC19F4" w:rsidRPr="00EC3BD7">
        <w:rPr>
          <w:color w:val="000000"/>
          <w:szCs w:val="22"/>
          <w:lang w:val="et-EE"/>
        </w:rPr>
        <w:t>E01</w:t>
      </w:r>
    </w:p>
    <w:p w14:paraId="49F4BA6C" w14:textId="77777777" w:rsidR="006D7C11" w:rsidRPr="00EC3BD7" w:rsidRDefault="006D7C11" w:rsidP="00B9089D">
      <w:pPr>
        <w:keepNext/>
        <w:widowControl w:val="0"/>
        <w:tabs>
          <w:tab w:val="clear" w:pos="567"/>
        </w:tabs>
        <w:spacing w:line="240" w:lineRule="auto"/>
        <w:rPr>
          <w:color w:val="000000"/>
          <w:szCs w:val="22"/>
          <w:lang w:val="et-EE"/>
        </w:rPr>
      </w:pPr>
    </w:p>
    <w:p w14:paraId="4CA09ED2" w14:textId="77777777" w:rsidR="006D7C11" w:rsidRPr="00EC3BD7" w:rsidRDefault="006D7C11" w:rsidP="00B9089D">
      <w:pPr>
        <w:keepNext/>
        <w:widowControl w:val="0"/>
        <w:tabs>
          <w:tab w:val="clear" w:pos="567"/>
        </w:tabs>
        <w:spacing w:line="240" w:lineRule="auto"/>
        <w:rPr>
          <w:color w:val="000000"/>
          <w:szCs w:val="22"/>
          <w:u w:val="single"/>
          <w:lang w:val="et-EE"/>
        </w:rPr>
      </w:pPr>
      <w:r w:rsidRPr="00EC3BD7">
        <w:rPr>
          <w:color w:val="000000"/>
          <w:szCs w:val="22"/>
          <w:u w:val="single"/>
          <w:lang w:val="et-EE"/>
        </w:rPr>
        <w:t>Toimemehhanism</w:t>
      </w:r>
    </w:p>
    <w:p w14:paraId="48F9B31C" w14:textId="77777777" w:rsidR="006D7C11" w:rsidRPr="00EC3BD7" w:rsidRDefault="006D7C11" w:rsidP="006D7C11">
      <w:pPr>
        <w:widowControl w:val="0"/>
        <w:tabs>
          <w:tab w:val="clear" w:pos="567"/>
        </w:tabs>
        <w:spacing w:line="240" w:lineRule="auto"/>
        <w:rPr>
          <w:color w:val="000000"/>
          <w:szCs w:val="22"/>
          <w:lang w:val="et-EE"/>
        </w:rPr>
      </w:pPr>
      <w:r w:rsidRPr="00EC3BD7">
        <w:rPr>
          <w:color w:val="000000"/>
          <w:szCs w:val="22"/>
          <w:lang w:val="et-EE"/>
        </w:rPr>
        <w:t>Imatiniib on väikesemolekuliline proteiintürosiinkinaasi inhibiitor, mis pärsib tugevalt nii BCR-ABL türosiinkinaasi aktiivsust kui ka mitmeid türosiinkinaasi retseptoreid: c-Kit proto-onkogeeni poolt kodeeritud tüviraku faktori (SCF) retseptor Kit, diskoidiini domeeni retseptorid (DDR1 ja DDR2), kolooniaid stimuleeriva faktori retseptor (CSF-1R) ja trombotsüütide kasvuteguri retseptorid alfa ja beeta (PDGFR-alfa ja PDGFR-beeta). Imatiniib võib samuti pärssida nende retseptorite kinaaside poolt vahendatud rakulisi protsesse.</w:t>
      </w:r>
    </w:p>
    <w:p w14:paraId="2E590454" w14:textId="77777777" w:rsidR="006D7C11" w:rsidRPr="00EC3BD7" w:rsidRDefault="006D7C11" w:rsidP="006D7C11">
      <w:pPr>
        <w:widowControl w:val="0"/>
        <w:tabs>
          <w:tab w:val="clear" w:pos="567"/>
        </w:tabs>
        <w:spacing w:line="240" w:lineRule="auto"/>
        <w:rPr>
          <w:color w:val="000000"/>
          <w:szCs w:val="22"/>
          <w:lang w:val="et-EE"/>
        </w:rPr>
      </w:pPr>
    </w:p>
    <w:p w14:paraId="2807C51D" w14:textId="77777777" w:rsidR="00136210" w:rsidRPr="00EC3BD7" w:rsidRDefault="006D7C11" w:rsidP="00B9089D">
      <w:pPr>
        <w:keepNext/>
        <w:widowControl w:val="0"/>
        <w:tabs>
          <w:tab w:val="clear" w:pos="567"/>
        </w:tabs>
        <w:spacing w:line="240" w:lineRule="auto"/>
        <w:rPr>
          <w:color w:val="000000"/>
          <w:szCs w:val="22"/>
          <w:lang w:val="et-EE"/>
        </w:rPr>
      </w:pPr>
      <w:r w:rsidRPr="00EC3BD7">
        <w:rPr>
          <w:color w:val="000000"/>
          <w:szCs w:val="22"/>
          <w:u w:val="single"/>
          <w:lang w:val="et-EE"/>
        </w:rPr>
        <w:lastRenderedPageBreak/>
        <w:t>Farmakodünaamilised toimed</w:t>
      </w:r>
    </w:p>
    <w:p w14:paraId="4D219EA9" w14:textId="4FEA6C55" w:rsidR="00136210" w:rsidRPr="00EC3BD7" w:rsidRDefault="00136210">
      <w:pPr>
        <w:pStyle w:val="EndnoteText"/>
        <w:widowControl w:val="0"/>
        <w:tabs>
          <w:tab w:val="clear" w:pos="567"/>
        </w:tabs>
        <w:rPr>
          <w:color w:val="000000"/>
          <w:szCs w:val="22"/>
          <w:lang w:val="et-EE"/>
        </w:rPr>
      </w:pPr>
      <w:r w:rsidRPr="00EC3BD7">
        <w:rPr>
          <w:color w:val="000000"/>
          <w:szCs w:val="22"/>
          <w:lang w:val="et-EE"/>
        </w:rPr>
        <w:t xml:space="preserve">Imatiniib on proteiintürosiinkinaasi inhibiitor, mis pärsib tugevalt </w:t>
      </w:r>
      <w:smartTag w:uri="urn:schemas-microsoft-com:office:smarttags" w:element="stockticker">
        <w:r w:rsidRPr="00EC3BD7">
          <w:rPr>
            <w:color w:val="000000"/>
            <w:szCs w:val="22"/>
            <w:lang w:val="et-EE"/>
          </w:rPr>
          <w:t>BCR</w:t>
        </w:r>
      </w:smartTag>
      <w:r w:rsidRPr="00EC3BD7">
        <w:rPr>
          <w:color w:val="000000"/>
          <w:szCs w:val="22"/>
          <w:lang w:val="et-EE"/>
        </w:rPr>
        <w:t>-</w:t>
      </w:r>
      <w:smartTag w:uri="urn:schemas-microsoft-com:office:smarttags" w:element="stockticker">
        <w:r w:rsidRPr="00EC3BD7">
          <w:rPr>
            <w:color w:val="000000"/>
            <w:szCs w:val="22"/>
            <w:lang w:val="et-EE"/>
          </w:rPr>
          <w:t>ABL</w:t>
        </w:r>
      </w:smartTag>
      <w:r w:rsidRPr="00EC3BD7">
        <w:rPr>
          <w:color w:val="000000"/>
          <w:szCs w:val="22"/>
          <w:lang w:val="et-EE"/>
        </w:rPr>
        <w:t xml:space="preserve"> türosiinkinaasi </w:t>
      </w:r>
      <w:r w:rsidRPr="00EC3BD7">
        <w:rPr>
          <w:i/>
          <w:color w:val="000000"/>
          <w:szCs w:val="22"/>
          <w:lang w:val="et-EE"/>
        </w:rPr>
        <w:t>in vitro</w:t>
      </w:r>
      <w:r w:rsidRPr="00EC3BD7">
        <w:rPr>
          <w:color w:val="000000"/>
          <w:szCs w:val="22"/>
          <w:lang w:val="et-EE"/>
        </w:rPr>
        <w:t xml:space="preserve">, rakulisel ja </w:t>
      </w:r>
      <w:r w:rsidRPr="00EC3BD7">
        <w:rPr>
          <w:i/>
          <w:color w:val="000000"/>
          <w:szCs w:val="22"/>
          <w:lang w:val="et-EE"/>
        </w:rPr>
        <w:t>in vivo</w:t>
      </w:r>
      <w:r w:rsidRPr="00EC3BD7">
        <w:rPr>
          <w:color w:val="000000"/>
          <w:szCs w:val="22"/>
          <w:lang w:val="et-EE"/>
        </w:rPr>
        <w:t xml:space="preserve"> tasemel. Aine pärssis valikuliselt proliferatsiooni ja indutseeris apoptoosi nii </w:t>
      </w:r>
      <w:smartTag w:uri="urn:schemas-microsoft-com:office:smarttags" w:element="stockticker">
        <w:r w:rsidRPr="00EC3BD7">
          <w:rPr>
            <w:color w:val="000000"/>
            <w:szCs w:val="22"/>
            <w:lang w:val="et-EE"/>
          </w:rPr>
          <w:t>BCR</w:t>
        </w:r>
      </w:smartTag>
      <w:r w:rsidRPr="00EC3BD7">
        <w:rPr>
          <w:color w:val="000000"/>
          <w:szCs w:val="22"/>
          <w:lang w:val="et-EE"/>
        </w:rPr>
        <w:t>-</w:t>
      </w:r>
      <w:smartTag w:uri="urn:schemas-microsoft-com:office:smarttags" w:element="stockticker">
        <w:r w:rsidRPr="00EC3BD7">
          <w:rPr>
            <w:color w:val="000000"/>
            <w:szCs w:val="22"/>
            <w:lang w:val="et-EE"/>
          </w:rPr>
          <w:t>ABL</w:t>
        </w:r>
      </w:smartTag>
      <w:r w:rsidRPr="00EC3BD7">
        <w:rPr>
          <w:color w:val="000000"/>
          <w:szCs w:val="22"/>
          <w:lang w:val="et-EE"/>
        </w:rPr>
        <w:t xml:space="preserve"> positiivsetes rakukultuurides kui ka värsketes leukeemiarakkudes, mis pärinesid Philadelphia kromosoom-positiivse </w:t>
      </w:r>
      <w:smartTag w:uri="urn:schemas-microsoft-com:office:smarttags" w:element="stockticker">
        <w:r w:rsidRPr="00EC3BD7">
          <w:rPr>
            <w:color w:val="000000"/>
            <w:szCs w:val="22"/>
            <w:lang w:val="et-EE"/>
          </w:rPr>
          <w:t>KML</w:t>
        </w:r>
        <w:r w:rsidR="00D21C49">
          <w:rPr>
            <w:color w:val="000000"/>
            <w:szCs w:val="22"/>
            <w:lang w:val="et-EE"/>
          </w:rPr>
          <w:t>-i</w:t>
        </w:r>
      </w:smartTag>
      <w:r w:rsidRPr="00EC3BD7">
        <w:rPr>
          <w:color w:val="000000"/>
          <w:szCs w:val="22"/>
          <w:lang w:val="et-EE"/>
        </w:rPr>
        <w:t xml:space="preserve"> ja ägeda lümfoblastse leukeemia patsientidelt.</w:t>
      </w:r>
    </w:p>
    <w:p w14:paraId="1DD08AEB" w14:textId="77777777" w:rsidR="00136210" w:rsidRPr="00EC3BD7" w:rsidRDefault="00136210">
      <w:pPr>
        <w:pStyle w:val="EndnoteText"/>
        <w:widowControl w:val="0"/>
        <w:tabs>
          <w:tab w:val="clear" w:pos="567"/>
        </w:tabs>
        <w:rPr>
          <w:color w:val="000000"/>
          <w:szCs w:val="22"/>
          <w:lang w:val="et-EE"/>
        </w:rPr>
      </w:pPr>
    </w:p>
    <w:p w14:paraId="646E24D2" w14:textId="77777777" w:rsidR="00136210" w:rsidRPr="00EC3BD7" w:rsidRDefault="00136210">
      <w:pPr>
        <w:pStyle w:val="EndnoteText"/>
        <w:widowControl w:val="0"/>
        <w:tabs>
          <w:tab w:val="clear" w:pos="567"/>
        </w:tabs>
        <w:rPr>
          <w:color w:val="000000"/>
          <w:szCs w:val="22"/>
          <w:lang w:val="et-EE"/>
        </w:rPr>
      </w:pPr>
      <w:smartTag w:uri="urn:schemas-microsoft-com:office:smarttags" w:element="stockticker">
        <w:r w:rsidRPr="00EC3BD7">
          <w:rPr>
            <w:color w:val="000000"/>
            <w:szCs w:val="22"/>
            <w:lang w:val="et-EE"/>
          </w:rPr>
          <w:t>BCR</w:t>
        </w:r>
      </w:smartTag>
      <w:r w:rsidRPr="00EC3BD7">
        <w:rPr>
          <w:color w:val="000000"/>
          <w:szCs w:val="22"/>
          <w:lang w:val="et-EE"/>
        </w:rPr>
        <w:t>-</w:t>
      </w:r>
      <w:smartTag w:uri="urn:schemas-microsoft-com:office:smarttags" w:element="stockticker">
        <w:r w:rsidRPr="00EC3BD7">
          <w:rPr>
            <w:color w:val="000000"/>
            <w:szCs w:val="22"/>
            <w:lang w:val="et-EE"/>
          </w:rPr>
          <w:t>ABL</w:t>
        </w:r>
      </w:smartTag>
      <w:r w:rsidRPr="00EC3BD7">
        <w:rPr>
          <w:color w:val="000000"/>
          <w:szCs w:val="22"/>
          <w:lang w:val="et-EE"/>
        </w:rPr>
        <w:t>-positiivseid kasvajarakke</w:t>
      </w:r>
      <w:r w:rsidRPr="00EC3BD7">
        <w:rPr>
          <w:i/>
          <w:color w:val="000000"/>
          <w:szCs w:val="22"/>
          <w:lang w:val="et-EE"/>
        </w:rPr>
        <w:t xml:space="preserve"> </w:t>
      </w:r>
      <w:r w:rsidRPr="00EC3BD7">
        <w:rPr>
          <w:color w:val="000000"/>
          <w:szCs w:val="22"/>
          <w:lang w:val="et-EE"/>
        </w:rPr>
        <w:t>kasutavatel</w:t>
      </w:r>
      <w:r w:rsidRPr="00EC3BD7">
        <w:rPr>
          <w:i/>
          <w:color w:val="000000"/>
          <w:szCs w:val="22"/>
          <w:lang w:val="et-EE"/>
        </w:rPr>
        <w:t xml:space="preserve"> in vivo</w:t>
      </w:r>
      <w:r w:rsidRPr="00EC3BD7">
        <w:rPr>
          <w:color w:val="000000"/>
          <w:szCs w:val="22"/>
          <w:lang w:val="et-EE"/>
        </w:rPr>
        <w:t xml:space="preserve"> loommudelitel avaldab ta kasvajavastast toimet.</w:t>
      </w:r>
    </w:p>
    <w:p w14:paraId="7087891E" w14:textId="77777777" w:rsidR="00136210" w:rsidRPr="00EC3BD7" w:rsidRDefault="00136210">
      <w:pPr>
        <w:pStyle w:val="EndnoteText"/>
        <w:widowControl w:val="0"/>
        <w:tabs>
          <w:tab w:val="clear" w:pos="567"/>
        </w:tabs>
        <w:rPr>
          <w:color w:val="000000"/>
          <w:szCs w:val="22"/>
          <w:lang w:val="et-EE"/>
        </w:rPr>
      </w:pPr>
    </w:p>
    <w:p w14:paraId="1AA43544" w14:textId="251BAEDA" w:rsidR="00136210" w:rsidRPr="00EC3BD7" w:rsidRDefault="00136210">
      <w:pPr>
        <w:pStyle w:val="EndnoteText"/>
        <w:widowControl w:val="0"/>
        <w:tabs>
          <w:tab w:val="clear" w:pos="567"/>
        </w:tabs>
        <w:rPr>
          <w:color w:val="000000"/>
          <w:szCs w:val="22"/>
          <w:lang w:val="et-EE"/>
        </w:rPr>
      </w:pPr>
      <w:r w:rsidRPr="00EC3BD7">
        <w:rPr>
          <w:color w:val="000000"/>
          <w:szCs w:val="22"/>
          <w:lang w:val="et-EE"/>
        </w:rPr>
        <w:t xml:space="preserve">Imatiniib on ühtlasi trombotsüütidelt pärineva kasvufaktori (PDGF), PDGF-Ri, tüviraku faktori (SCF) ja c-Kit retseptori türosiinkinaasi inhibiitor ja pärsib PDGFi ja SCFi vahendusel toimuvaid rakulisi protsesse. </w:t>
      </w:r>
      <w:r w:rsidRPr="00EC3BD7">
        <w:rPr>
          <w:i/>
          <w:color w:val="000000"/>
          <w:szCs w:val="22"/>
          <w:lang w:val="et-EE"/>
        </w:rPr>
        <w:t>In vitro</w:t>
      </w:r>
      <w:r w:rsidRPr="00EC3BD7">
        <w:rPr>
          <w:color w:val="000000"/>
          <w:szCs w:val="22"/>
          <w:lang w:val="et-EE"/>
        </w:rPr>
        <w:t xml:space="preserve"> pärsib imatiniib proliferatsiooni ja indutseerib apoptoosi gastrointestinaalsete stromaaltuumorite (GIST) rakkudes, millel esineb aktiveeriv </w:t>
      </w:r>
      <w:r w:rsidRPr="00EC3BD7">
        <w:rPr>
          <w:i/>
          <w:color w:val="000000"/>
          <w:szCs w:val="22"/>
          <w:lang w:val="et-EE"/>
        </w:rPr>
        <w:t>kit</w:t>
      </w:r>
      <w:r w:rsidRPr="00EC3BD7">
        <w:rPr>
          <w:color w:val="000000"/>
          <w:szCs w:val="22"/>
          <w:lang w:val="et-EE"/>
        </w:rPr>
        <w:t xml:space="preserve"> mutatsioon. Erinevate partnerproteiinide liitumise tagajärjel toimuv PDGF retseptori või Abl proteiini türosiinkinaasi konstitutiivne aktivatsioon või PDGF konstitutiivne produktsioon on seotud </w:t>
      </w:r>
      <w:smartTag w:uri="urn:schemas-microsoft-com:office:smarttags" w:element="stockticker">
        <w:r w:rsidRPr="00EC3BD7">
          <w:rPr>
            <w:color w:val="000000"/>
            <w:szCs w:val="22"/>
            <w:lang w:val="et-EE"/>
          </w:rPr>
          <w:t>MDS</w:t>
        </w:r>
      </w:smartTag>
      <w:r w:rsidRPr="00EC3BD7">
        <w:rPr>
          <w:color w:val="000000"/>
          <w:szCs w:val="22"/>
          <w:lang w:val="et-EE"/>
        </w:rPr>
        <w:t>/MPD, HES/KEL</w:t>
      </w:r>
      <w:r w:rsidR="006F73CE" w:rsidRPr="00593631">
        <w:rPr>
          <w:color w:val="000000"/>
          <w:szCs w:val="22"/>
          <w:lang w:val="et-EE"/>
        </w:rPr>
        <w:t>-i</w:t>
      </w:r>
      <w:r w:rsidRPr="00EC3BD7">
        <w:rPr>
          <w:color w:val="000000"/>
          <w:szCs w:val="22"/>
          <w:lang w:val="et-EE"/>
        </w:rPr>
        <w:t xml:space="preserve"> ja </w:t>
      </w:r>
      <w:r w:rsidR="004E6E0E" w:rsidRPr="00EC3BD7">
        <w:rPr>
          <w:color w:val="000000"/>
          <w:szCs w:val="22"/>
          <w:lang w:val="et-EE"/>
        </w:rPr>
        <w:t>PDFS</w:t>
      </w:r>
      <w:r w:rsidR="006F73CE" w:rsidRPr="00593631">
        <w:rPr>
          <w:color w:val="000000"/>
          <w:szCs w:val="22"/>
          <w:lang w:val="et-EE"/>
        </w:rPr>
        <w:t>-i</w:t>
      </w:r>
      <w:r w:rsidRPr="00EC3BD7">
        <w:rPr>
          <w:color w:val="000000"/>
          <w:szCs w:val="22"/>
          <w:lang w:val="et-EE"/>
        </w:rPr>
        <w:t xml:space="preserve"> patogeneesiga. Imatiniib pärsib düsreguleeritud PDGFR ja Abl kinaasi poolt juhitud rakkudes signaali ülekandmist ja proliferatsiooni.</w:t>
      </w:r>
    </w:p>
    <w:p w14:paraId="289C44CD" w14:textId="77777777" w:rsidR="00136210" w:rsidRPr="00EC3BD7" w:rsidRDefault="00136210">
      <w:pPr>
        <w:pStyle w:val="EndnoteText"/>
        <w:widowControl w:val="0"/>
        <w:tabs>
          <w:tab w:val="clear" w:pos="567"/>
        </w:tabs>
        <w:rPr>
          <w:color w:val="000000"/>
          <w:szCs w:val="22"/>
          <w:lang w:val="et-EE"/>
        </w:rPr>
      </w:pPr>
    </w:p>
    <w:p w14:paraId="0E0830D0" w14:textId="493CD251"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u w:val="single"/>
          <w:lang w:val="et-EE"/>
        </w:rPr>
        <w:t xml:space="preserve">Kliinilised </w:t>
      </w:r>
      <w:smartTag w:uri="urn:schemas-microsoft-com:office:smarttags" w:element="stockticker">
        <w:r w:rsidRPr="00EC3BD7">
          <w:rPr>
            <w:color w:val="000000"/>
            <w:szCs w:val="22"/>
            <w:u w:val="single"/>
            <w:lang w:val="et-EE"/>
          </w:rPr>
          <w:t>KML</w:t>
        </w:r>
        <w:r w:rsidR="00D21C49">
          <w:rPr>
            <w:color w:val="000000"/>
            <w:szCs w:val="22"/>
            <w:lang w:val="et-EE"/>
          </w:rPr>
          <w:t>-i</w:t>
        </w:r>
      </w:smartTag>
      <w:r w:rsidRPr="00EC3BD7">
        <w:rPr>
          <w:color w:val="000000"/>
          <w:szCs w:val="22"/>
          <w:u w:val="single"/>
          <w:lang w:val="et-EE"/>
        </w:rPr>
        <w:t xml:space="preserve"> uuringud</w:t>
      </w:r>
    </w:p>
    <w:p w14:paraId="6B4541D9" w14:textId="77777777" w:rsidR="00136210" w:rsidRPr="00EC3BD7" w:rsidRDefault="00136210">
      <w:pPr>
        <w:pStyle w:val="EndnoteText"/>
        <w:widowControl w:val="0"/>
        <w:tabs>
          <w:tab w:val="clear" w:pos="567"/>
        </w:tabs>
        <w:rPr>
          <w:color w:val="000000"/>
          <w:szCs w:val="22"/>
          <w:u w:val="single"/>
          <w:lang w:val="et-EE"/>
        </w:rPr>
      </w:pPr>
      <w:r w:rsidRPr="00EC3BD7">
        <w:rPr>
          <w:color w:val="000000"/>
          <w:szCs w:val="22"/>
          <w:lang w:val="et-EE"/>
        </w:rPr>
        <w:t xml:space="preserve">Gliveci efektiivsus põhineb üldisel hematoloogilisel ja tsütogeneetilisel ravivastusel ning progressioonivabal elulemusel. Välja arvatud äsja diagnoositud kroonilises faasis </w:t>
      </w:r>
      <w:smartTag w:uri="urn:schemas-microsoft-com:office:smarttags" w:element="stockticker">
        <w:r w:rsidRPr="00EC3BD7">
          <w:rPr>
            <w:color w:val="000000"/>
            <w:szCs w:val="22"/>
            <w:lang w:val="et-EE"/>
          </w:rPr>
          <w:t>KML</w:t>
        </w:r>
      </w:smartTag>
      <w:r w:rsidRPr="00EC3BD7">
        <w:rPr>
          <w:color w:val="000000"/>
          <w:szCs w:val="22"/>
          <w:lang w:val="et-EE"/>
        </w:rPr>
        <w:t xml:space="preserve"> puhul, ei ole tehtud kontrollrühmaga uuringuid, mis näitaksid kliinilist kasu nagu haigusega seotud sümptomite või elulemuse paranemine.</w:t>
      </w:r>
    </w:p>
    <w:p w14:paraId="5AFC1B11" w14:textId="77777777" w:rsidR="001242F8" w:rsidRPr="00EC3BD7" w:rsidRDefault="001242F8">
      <w:pPr>
        <w:pStyle w:val="EndnoteText"/>
        <w:widowControl w:val="0"/>
        <w:tabs>
          <w:tab w:val="clear" w:pos="567"/>
        </w:tabs>
        <w:rPr>
          <w:color w:val="000000"/>
          <w:szCs w:val="22"/>
          <w:lang w:val="et-EE"/>
        </w:rPr>
      </w:pPr>
    </w:p>
    <w:p w14:paraId="14A7311F" w14:textId="2A2FCB98" w:rsidR="00136210" w:rsidRPr="00EC3BD7" w:rsidRDefault="00136210">
      <w:pPr>
        <w:pStyle w:val="EndnoteText"/>
        <w:widowControl w:val="0"/>
        <w:tabs>
          <w:tab w:val="clear" w:pos="567"/>
        </w:tabs>
        <w:rPr>
          <w:color w:val="000000"/>
          <w:szCs w:val="22"/>
          <w:lang w:val="et-EE"/>
        </w:rPr>
      </w:pPr>
      <w:r w:rsidRPr="00EC3BD7">
        <w:rPr>
          <w:color w:val="000000"/>
          <w:szCs w:val="22"/>
          <w:lang w:val="et-EE"/>
        </w:rPr>
        <w:t xml:space="preserve">Läbi on viidud kolm suurt rahvusvahelist avatud kontrollgrupita II faasi uuringut Philadelphia kromosoom-positiivse (Ph+) kaugelearenenud, blastses kriisis või aktseleratsioonifaasis </w:t>
      </w:r>
      <w:smartTag w:uri="urn:schemas-microsoft-com:office:smarttags" w:element="stockticker">
        <w:r w:rsidRPr="00EC3BD7">
          <w:rPr>
            <w:color w:val="000000"/>
            <w:szCs w:val="22"/>
            <w:lang w:val="et-EE"/>
          </w:rPr>
          <w:t>KML</w:t>
        </w:r>
        <w:r w:rsidR="00D21C49">
          <w:rPr>
            <w:color w:val="000000"/>
            <w:szCs w:val="22"/>
            <w:lang w:val="et-EE"/>
          </w:rPr>
          <w:t>-i</w:t>
        </w:r>
      </w:smartTag>
      <w:r w:rsidRPr="00EC3BD7">
        <w:rPr>
          <w:color w:val="000000"/>
          <w:szCs w:val="22"/>
          <w:lang w:val="et-EE"/>
        </w:rPr>
        <w:t xml:space="preserve"> patsientidel, teiste Ph+ leukeemiatega patsientidel või kroonilises staadiumis, kuid eelnevalt ebaõnnestunud α-interferoonraviga </w:t>
      </w:r>
      <w:smartTag w:uri="urn:schemas-microsoft-com:office:smarttags" w:element="stockticker">
        <w:r w:rsidRPr="00EC3BD7">
          <w:rPr>
            <w:color w:val="000000"/>
            <w:szCs w:val="22"/>
            <w:lang w:val="et-EE"/>
          </w:rPr>
          <w:t>KML</w:t>
        </w:r>
        <w:r w:rsidR="00D21C49">
          <w:rPr>
            <w:color w:val="000000"/>
            <w:szCs w:val="22"/>
            <w:lang w:val="et-EE"/>
          </w:rPr>
          <w:t>-i</w:t>
        </w:r>
      </w:smartTag>
      <w:r w:rsidRPr="00EC3BD7">
        <w:rPr>
          <w:color w:val="000000"/>
          <w:szCs w:val="22"/>
          <w:lang w:val="et-EE"/>
        </w:rPr>
        <w:t xml:space="preserve"> patsientidel. Üks suur avatud mitmekeskuseline rahvusvaheline randomiseeritud </w:t>
      </w:r>
      <w:smartTag w:uri="urn:schemas-microsoft-com:office:smarttags" w:element="stockticker">
        <w:r w:rsidRPr="00EC3BD7">
          <w:rPr>
            <w:color w:val="000000"/>
            <w:szCs w:val="22"/>
            <w:lang w:val="et-EE"/>
          </w:rPr>
          <w:t>III</w:t>
        </w:r>
      </w:smartTag>
      <w:r w:rsidRPr="00EC3BD7">
        <w:rPr>
          <w:color w:val="000000"/>
          <w:szCs w:val="22"/>
          <w:lang w:val="et-EE"/>
        </w:rPr>
        <w:t xml:space="preserve"> faasi uuring on tehtud äsja diagnoositud Ph+ </w:t>
      </w:r>
      <w:smartTag w:uri="urn:schemas-microsoft-com:office:smarttags" w:element="stockticker">
        <w:r w:rsidRPr="00EC3BD7">
          <w:rPr>
            <w:color w:val="000000"/>
            <w:szCs w:val="22"/>
            <w:lang w:val="et-EE"/>
          </w:rPr>
          <w:t>KML</w:t>
        </w:r>
        <w:r w:rsidR="00D21C49">
          <w:rPr>
            <w:color w:val="000000"/>
            <w:szCs w:val="22"/>
            <w:lang w:val="et-EE"/>
          </w:rPr>
          <w:t>-i</w:t>
        </w:r>
      </w:smartTag>
      <w:r w:rsidRPr="00EC3BD7">
        <w:rPr>
          <w:color w:val="000000"/>
          <w:szCs w:val="22"/>
          <w:lang w:val="et-EE"/>
        </w:rPr>
        <w:t xml:space="preserve"> patsientidel. Lisaks on kahes I faasi ja ühes II faasi uuringus ravitud lapsi.</w:t>
      </w:r>
    </w:p>
    <w:p w14:paraId="6D1432D9" w14:textId="77777777" w:rsidR="00136210" w:rsidRPr="00EC3BD7" w:rsidRDefault="00136210">
      <w:pPr>
        <w:pStyle w:val="EndnoteText"/>
        <w:widowControl w:val="0"/>
        <w:tabs>
          <w:tab w:val="clear" w:pos="567"/>
        </w:tabs>
        <w:rPr>
          <w:color w:val="000000"/>
          <w:szCs w:val="22"/>
          <w:lang w:val="et-EE"/>
        </w:rPr>
      </w:pPr>
    </w:p>
    <w:p w14:paraId="3AEF9EB3"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Kõigis kliinilistes uuringutes olid 38...40% patsientidest üle 60</w:t>
      </w:r>
      <w:r w:rsidR="00DB0BC8" w:rsidRPr="00EC3BD7">
        <w:rPr>
          <w:color w:val="000000"/>
          <w:szCs w:val="22"/>
          <w:lang w:val="et-EE"/>
        </w:rPr>
        <w:noBreakHyphen/>
      </w:r>
      <w:r w:rsidRPr="00EC3BD7">
        <w:rPr>
          <w:color w:val="000000"/>
          <w:szCs w:val="22"/>
          <w:lang w:val="et-EE"/>
        </w:rPr>
        <w:t>aastased ja 10...12% patsientidest olid 70</w:t>
      </w:r>
      <w:r w:rsidR="00DB0BC8" w:rsidRPr="00EC3BD7">
        <w:rPr>
          <w:color w:val="000000"/>
          <w:szCs w:val="22"/>
          <w:lang w:val="et-EE"/>
        </w:rPr>
        <w:noBreakHyphen/>
      </w:r>
      <w:r w:rsidRPr="00EC3BD7">
        <w:rPr>
          <w:color w:val="000000"/>
          <w:szCs w:val="22"/>
          <w:lang w:val="et-EE"/>
        </w:rPr>
        <w:t>aastased või vanemad.</w:t>
      </w:r>
    </w:p>
    <w:p w14:paraId="15A81A36" w14:textId="77777777" w:rsidR="00136210" w:rsidRPr="00EC3BD7" w:rsidRDefault="00136210">
      <w:pPr>
        <w:pStyle w:val="EndnoteText"/>
        <w:widowControl w:val="0"/>
        <w:tabs>
          <w:tab w:val="clear" w:pos="567"/>
        </w:tabs>
        <w:rPr>
          <w:color w:val="000000"/>
          <w:szCs w:val="22"/>
          <w:lang w:val="et-EE"/>
        </w:rPr>
      </w:pPr>
    </w:p>
    <w:p w14:paraId="6D0253A5" w14:textId="77777777" w:rsidR="00136210" w:rsidRPr="00EC3BD7" w:rsidRDefault="00136210">
      <w:pPr>
        <w:pStyle w:val="EndnoteText"/>
        <w:widowControl w:val="0"/>
        <w:rPr>
          <w:color w:val="000000"/>
          <w:szCs w:val="22"/>
          <w:lang w:val="et-EE"/>
        </w:rPr>
      </w:pPr>
      <w:r w:rsidRPr="00EC3BD7">
        <w:rPr>
          <w:i/>
          <w:color w:val="000000"/>
          <w:szCs w:val="22"/>
          <w:lang w:val="et-EE"/>
        </w:rPr>
        <w:t>Krooniline staadium, äsja diagnoositud.</w:t>
      </w:r>
      <w:r w:rsidRPr="00EC3BD7">
        <w:rPr>
          <w:color w:val="000000"/>
          <w:szCs w:val="22"/>
          <w:lang w:val="et-EE"/>
        </w:rPr>
        <w:t xml:space="preserve"> Selles </w:t>
      </w:r>
      <w:smartTag w:uri="urn:schemas-microsoft-com:office:smarttags" w:element="stockticker">
        <w:r w:rsidRPr="00EC3BD7">
          <w:rPr>
            <w:color w:val="000000"/>
            <w:szCs w:val="22"/>
            <w:lang w:val="et-EE"/>
          </w:rPr>
          <w:t>III</w:t>
        </w:r>
      </w:smartTag>
      <w:r w:rsidRPr="00EC3BD7">
        <w:rPr>
          <w:color w:val="000000"/>
          <w:szCs w:val="22"/>
          <w:lang w:val="et-EE"/>
        </w:rPr>
        <w:t xml:space="preserve"> faasi uuringus täiskasvanud patsientidel võrreldi Gliveci monoteraapiat α-interferooni (IFN) ja tsütarabiini (Ara-C) kombinatsiooniga. Patsiendid, kellel puudus ravivastus (täieliku hematoloogilise vastuse puudumine kuue kuu möödudes, leukotsüütide arvu suurenemine, olulise tsütogeneetilise vastuse puudumine 24 kuu möödudes), kellel ravivastus kadus (täieliku hematoloogilise ravivastuse või olulise tsütogeneetilise ravivastuse kadu) või kellel arenes raske ravitalumatus, võidi üle viia alternatiivsesse ravirühma. Gliveci rühmas raviti patsiente annusega 400 mg ööpäevas. IFNi rühmas raviti patsiente IFNi sihtannusega 5 MRÜ/m</w:t>
      </w:r>
      <w:r w:rsidRPr="00EC3BD7">
        <w:rPr>
          <w:color w:val="000000"/>
          <w:szCs w:val="22"/>
          <w:vertAlign w:val="superscript"/>
          <w:lang w:val="et-EE"/>
        </w:rPr>
        <w:t>2</w:t>
      </w:r>
      <w:r w:rsidRPr="00EC3BD7">
        <w:rPr>
          <w:color w:val="000000"/>
          <w:szCs w:val="22"/>
          <w:lang w:val="et-EE"/>
        </w:rPr>
        <w:t>/ööpäevas subkutaanselt kombinatsioonis subkutaanse Ara-C annusega 20 mg/m</w:t>
      </w:r>
      <w:r w:rsidRPr="00EC3BD7">
        <w:rPr>
          <w:color w:val="000000"/>
          <w:szCs w:val="22"/>
          <w:vertAlign w:val="superscript"/>
          <w:lang w:val="et-EE"/>
        </w:rPr>
        <w:t>2</w:t>
      </w:r>
      <w:r w:rsidRPr="00EC3BD7">
        <w:rPr>
          <w:color w:val="000000"/>
          <w:szCs w:val="22"/>
          <w:lang w:val="et-EE"/>
        </w:rPr>
        <w:t>/ööpäevas 10 päeva/kuus.</w:t>
      </w:r>
    </w:p>
    <w:p w14:paraId="0D4FCC78" w14:textId="77777777" w:rsidR="00136210" w:rsidRPr="00EC3BD7" w:rsidRDefault="00136210">
      <w:pPr>
        <w:pStyle w:val="EndnoteText"/>
        <w:widowControl w:val="0"/>
        <w:rPr>
          <w:color w:val="000000"/>
          <w:szCs w:val="22"/>
          <w:lang w:val="et-EE"/>
        </w:rPr>
      </w:pPr>
    </w:p>
    <w:p w14:paraId="4963BDE2" w14:textId="77777777" w:rsidR="00136210" w:rsidRPr="00EC3BD7" w:rsidRDefault="00136210">
      <w:pPr>
        <w:pStyle w:val="EndnoteText"/>
        <w:widowControl w:val="0"/>
        <w:rPr>
          <w:color w:val="000000"/>
          <w:szCs w:val="22"/>
          <w:lang w:val="et-EE"/>
        </w:rPr>
      </w:pPr>
      <w:r w:rsidRPr="00EC3BD7">
        <w:rPr>
          <w:color w:val="000000"/>
          <w:szCs w:val="22"/>
          <w:lang w:val="et-EE"/>
        </w:rPr>
        <w:t xml:space="preserve">Kokku randomiseeriti 1106 patsienti, 553 kumbagi rühma. Rühmad olid esialgsete näitajate põhjal hästi tasakaalus. Keskmine vanus oli 51 aastat (vahemik 18...70 aastat), kusjuures 21,9% patsientidest olid 60-aastased ja vanemad. Mehi oli 59% ja naisi 41%; valgeid oli 89,9% ja mustanahalisi 4,7%. </w:t>
      </w:r>
      <w:r w:rsidR="001E7CEF" w:rsidRPr="00EC3BD7">
        <w:rPr>
          <w:color w:val="000000"/>
          <w:szCs w:val="22"/>
          <w:lang w:val="et-EE"/>
        </w:rPr>
        <w:t>Seitse</w:t>
      </w:r>
      <w:r w:rsidRPr="00EC3BD7">
        <w:rPr>
          <w:color w:val="000000"/>
          <w:szCs w:val="22"/>
          <w:lang w:val="et-EE"/>
        </w:rPr>
        <w:t xml:space="preserve"> aastat pärast viimase patsiendi uuringusse värbamist oli esmavaliku ravi keskmine kestus </w:t>
      </w:r>
      <w:r w:rsidR="001E7CEF" w:rsidRPr="00EC3BD7">
        <w:rPr>
          <w:color w:val="000000"/>
          <w:szCs w:val="22"/>
          <w:lang w:val="et-EE"/>
        </w:rPr>
        <w:t>82</w:t>
      </w:r>
      <w:r w:rsidRPr="00EC3BD7">
        <w:rPr>
          <w:color w:val="000000"/>
          <w:szCs w:val="22"/>
          <w:lang w:val="et-EE"/>
        </w:rPr>
        <w:t xml:space="preserve"> ja 8</w:t>
      </w:r>
      <w:r w:rsidR="00D57D73" w:rsidRPr="00EC3BD7">
        <w:rPr>
          <w:color w:val="000000"/>
          <w:szCs w:val="22"/>
          <w:lang w:val="et-EE"/>
        </w:rPr>
        <w:t> </w:t>
      </w:r>
      <w:r w:rsidRPr="00EC3BD7">
        <w:rPr>
          <w:color w:val="000000"/>
          <w:szCs w:val="22"/>
          <w:lang w:val="et-EE"/>
        </w:rPr>
        <w:t xml:space="preserve">kuud vastavalt Gliveci ja IFNi rühmas. Teisese valiku Glivec-ravi keskmine kestus oli </w:t>
      </w:r>
      <w:r w:rsidR="001E7CEF" w:rsidRPr="00EC3BD7">
        <w:rPr>
          <w:color w:val="000000"/>
          <w:szCs w:val="22"/>
          <w:lang w:val="et-EE"/>
        </w:rPr>
        <w:t>64</w:t>
      </w:r>
      <w:r w:rsidRPr="00EC3BD7">
        <w:rPr>
          <w:color w:val="000000"/>
          <w:szCs w:val="22"/>
          <w:lang w:val="et-EE"/>
        </w:rPr>
        <w:t xml:space="preserve"> kuud. Esmavaliku Glivec-ravi saavatel patsientidel oli keskmine ööpäevane annus üldjuhul </w:t>
      </w:r>
      <w:r w:rsidR="001E7CEF" w:rsidRPr="00EC3BD7">
        <w:rPr>
          <w:color w:val="000000"/>
          <w:szCs w:val="22"/>
          <w:lang w:val="et-EE"/>
        </w:rPr>
        <w:t>406</w:t>
      </w:r>
      <w:r w:rsidRPr="00EC3BD7">
        <w:rPr>
          <w:color w:val="000000"/>
          <w:szCs w:val="22"/>
          <w:lang w:val="et-EE"/>
        </w:rPr>
        <w:t>±</w:t>
      </w:r>
      <w:r w:rsidR="001E7CEF" w:rsidRPr="00EC3BD7">
        <w:rPr>
          <w:color w:val="000000"/>
          <w:szCs w:val="22"/>
          <w:lang w:val="et-EE"/>
        </w:rPr>
        <w:t>76</w:t>
      </w:r>
      <w:r w:rsidRPr="00EC3BD7">
        <w:rPr>
          <w:color w:val="000000"/>
          <w:szCs w:val="22"/>
          <w:lang w:val="et-EE"/>
        </w:rPr>
        <w:t> mg. Uuringu esmane tulemusnäitaja oli progressioonivaba elulemus. Progresseerumine defineeriti kui ükskõik milline järgmistest sündmustest: progresseerumine aktseleratsioonifaasi või blastsesse kriisi, surm, täieliku hematoloogilise ravivastuse või olulise tsütogeneetilise ravivastuse kadu või suurenenud leukotsüütide arv patsientidel, kellel ei saavutatud täielikku hematoloogilist ravivastust asjakohasest ravist hoolimata. Oluline tsütogeneetiline ravivastus, hematoloogiline ravivastus, molekulaarne ravivastus (minimaalse residuaalhaiguse hindamine), ajavahemik aktseleratsioonifaasi või blastse kriisini ja elulemus olid peamised teisesed tulemusnäitajad. Tulemused on toodud tabelis </w:t>
      </w:r>
      <w:r w:rsidR="00A2060F" w:rsidRPr="00EC3BD7">
        <w:rPr>
          <w:color w:val="000000"/>
          <w:szCs w:val="22"/>
          <w:lang w:val="et-EE"/>
        </w:rPr>
        <w:t>2</w:t>
      </w:r>
      <w:r w:rsidRPr="00EC3BD7">
        <w:rPr>
          <w:color w:val="000000"/>
          <w:szCs w:val="22"/>
          <w:lang w:val="et-EE"/>
        </w:rPr>
        <w:t>.</w:t>
      </w:r>
    </w:p>
    <w:p w14:paraId="127859FA" w14:textId="77777777" w:rsidR="00136210" w:rsidRPr="00EC3BD7" w:rsidRDefault="00136210">
      <w:pPr>
        <w:pStyle w:val="EndnoteText"/>
        <w:widowControl w:val="0"/>
        <w:rPr>
          <w:color w:val="000000"/>
          <w:szCs w:val="22"/>
          <w:lang w:val="et-EE"/>
        </w:rPr>
      </w:pPr>
    </w:p>
    <w:p w14:paraId="2E207B40" w14:textId="0E6F6575" w:rsidR="00136210" w:rsidRPr="00EC3BD7" w:rsidRDefault="00136210" w:rsidP="008B1609">
      <w:pPr>
        <w:pStyle w:val="EndnoteText"/>
        <w:keepNext/>
        <w:widowControl w:val="0"/>
        <w:tabs>
          <w:tab w:val="clear" w:pos="567"/>
          <w:tab w:val="left" w:pos="1134"/>
        </w:tabs>
        <w:rPr>
          <w:b/>
          <w:color w:val="000000"/>
          <w:szCs w:val="22"/>
          <w:lang w:val="et-EE"/>
        </w:rPr>
      </w:pPr>
      <w:r w:rsidRPr="00EC3BD7">
        <w:rPr>
          <w:b/>
          <w:color w:val="000000"/>
          <w:szCs w:val="22"/>
          <w:lang w:val="et-EE"/>
        </w:rPr>
        <w:lastRenderedPageBreak/>
        <w:t>Tabel </w:t>
      </w:r>
      <w:r w:rsidR="00A2060F" w:rsidRPr="00EC3BD7">
        <w:rPr>
          <w:b/>
          <w:color w:val="000000"/>
          <w:szCs w:val="22"/>
          <w:lang w:val="et-EE"/>
        </w:rPr>
        <w:t>2</w:t>
      </w:r>
      <w:r w:rsidRPr="00EC3BD7">
        <w:rPr>
          <w:b/>
          <w:color w:val="000000"/>
          <w:szCs w:val="22"/>
          <w:lang w:val="et-EE"/>
        </w:rPr>
        <w:tab/>
        <w:t xml:space="preserve">Ravivastus äsja diagnoositud </w:t>
      </w:r>
      <w:smartTag w:uri="urn:schemas-microsoft-com:office:smarttags" w:element="stockticker">
        <w:r w:rsidRPr="00EC3BD7">
          <w:rPr>
            <w:b/>
            <w:color w:val="000000"/>
            <w:szCs w:val="22"/>
            <w:lang w:val="et-EE"/>
          </w:rPr>
          <w:t>KML</w:t>
        </w:r>
        <w:r w:rsidR="00D21C49">
          <w:rPr>
            <w:color w:val="000000"/>
            <w:szCs w:val="22"/>
            <w:lang w:val="et-EE"/>
          </w:rPr>
          <w:t>-i</w:t>
        </w:r>
      </w:smartTag>
      <w:r w:rsidRPr="00EC3BD7">
        <w:rPr>
          <w:b/>
          <w:color w:val="000000"/>
          <w:szCs w:val="22"/>
          <w:lang w:val="et-EE"/>
        </w:rPr>
        <w:t xml:space="preserve"> uuringus (</w:t>
      </w:r>
      <w:r w:rsidR="001E7CEF" w:rsidRPr="00EC3BD7">
        <w:rPr>
          <w:b/>
          <w:color w:val="000000"/>
          <w:szCs w:val="22"/>
          <w:lang w:val="et-EE"/>
        </w:rPr>
        <w:t>84</w:t>
      </w:r>
      <w:r w:rsidRPr="00EC3BD7">
        <w:rPr>
          <w:b/>
          <w:color w:val="000000"/>
          <w:szCs w:val="22"/>
          <w:lang w:val="et-EE"/>
        </w:rPr>
        <w:t> kuu andmed)</w:t>
      </w:r>
    </w:p>
    <w:p w14:paraId="2F251F44" w14:textId="77777777" w:rsidR="00136210" w:rsidRPr="00EC3BD7" w:rsidRDefault="00136210" w:rsidP="008B1609">
      <w:pPr>
        <w:pStyle w:val="EndnoteText"/>
        <w:keepNext/>
        <w:widowControl w:val="0"/>
        <w:rPr>
          <w:color w:val="000000"/>
          <w:szCs w:val="22"/>
          <w:lang w:val="et-EE"/>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136210" w:rsidRPr="00EC3BD7" w14:paraId="7B03816A" w14:textId="77777777" w:rsidTr="008B1609">
        <w:trPr>
          <w:cantSplit/>
        </w:trPr>
        <w:tc>
          <w:tcPr>
            <w:tcW w:w="3794" w:type="dxa"/>
            <w:tcBorders>
              <w:top w:val="single" w:sz="4" w:space="0" w:color="auto"/>
              <w:left w:val="single" w:sz="4" w:space="0" w:color="auto"/>
              <w:bottom w:val="nil"/>
            </w:tcBorders>
          </w:tcPr>
          <w:p w14:paraId="3E2D4573" w14:textId="77777777" w:rsidR="00136210" w:rsidRPr="00EC3BD7" w:rsidRDefault="00136210" w:rsidP="008B1609">
            <w:pPr>
              <w:pStyle w:val="Table"/>
              <w:keepLines w:val="0"/>
              <w:widowControl w:val="0"/>
              <w:spacing w:before="0" w:after="0"/>
              <w:rPr>
                <w:rFonts w:ascii="Times New Roman" w:hAnsi="Times New Roman"/>
                <w:color w:val="000000"/>
                <w:sz w:val="22"/>
                <w:szCs w:val="22"/>
                <w:lang w:val="et-EE"/>
              </w:rPr>
            </w:pPr>
          </w:p>
        </w:tc>
        <w:tc>
          <w:tcPr>
            <w:tcW w:w="2693" w:type="dxa"/>
            <w:tcBorders>
              <w:top w:val="single" w:sz="4" w:space="0" w:color="auto"/>
              <w:bottom w:val="nil"/>
            </w:tcBorders>
          </w:tcPr>
          <w:p w14:paraId="69CE2D22" w14:textId="77777777" w:rsidR="00136210" w:rsidRPr="00EC3BD7" w:rsidRDefault="00136210" w:rsidP="008B1609">
            <w:pPr>
              <w:pStyle w:val="Table"/>
              <w:keepLines w:val="0"/>
              <w:widowControl w:val="0"/>
              <w:spacing w:before="0" w:after="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Glivec</w:t>
            </w:r>
          </w:p>
        </w:tc>
        <w:tc>
          <w:tcPr>
            <w:tcW w:w="2718" w:type="dxa"/>
            <w:tcBorders>
              <w:top w:val="single" w:sz="4" w:space="0" w:color="auto"/>
              <w:bottom w:val="nil"/>
              <w:right w:val="single" w:sz="4" w:space="0" w:color="auto"/>
            </w:tcBorders>
          </w:tcPr>
          <w:p w14:paraId="25A661D2" w14:textId="77777777" w:rsidR="00136210" w:rsidRPr="00EC3BD7" w:rsidRDefault="00136210" w:rsidP="008B1609">
            <w:pPr>
              <w:pStyle w:val="Table"/>
              <w:keepLines w:val="0"/>
              <w:widowControl w:val="0"/>
              <w:spacing w:before="0" w:after="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IFN+Ara-C</w:t>
            </w:r>
          </w:p>
        </w:tc>
      </w:tr>
      <w:tr w:rsidR="00136210" w:rsidRPr="00EC3BD7" w14:paraId="3ABEE501" w14:textId="77777777" w:rsidTr="008B1609">
        <w:trPr>
          <w:cantSplit/>
        </w:trPr>
        <w:tc>
          <w:tcPr>
            <w:tcW w:w="3794" w:type="dxa"/>
            <w:tcBorders>
              <w:top w:val="nil"/>
              <w:left w:val="single" w:sz="4" w:space="0" w:color="auto"/>
              <w:bottom w:val="single" w:sz="4" w:space="0" w:color="auto"/>
            </w:tcBorders>
          </w:tcPr>
          <w:p w14:paraId="5088AE53" w14:textId="77777777" w:rsidR="00136210" w:rsidRPr="00EC3BD7" w:rsidRDefault="00136210" w:rsidP="008B1609">
            <w:pPr>
              <w:pStyle w:val="Table"/>
              <w:keepLines w:val="0"/>
              <w:widowControl w:val="0"/>
              <w:spacing w:before="0" w:after="0"/>
              <w:rPr>
                <w:rFonts w:ascii="Times New Roman" w:hAnsi="Times New Roman"/>
                <w:b/>
                <w:color w:val="000000"/>
                <w:sz w:val="22"/>
                <w:szCs w:val="22"/>
                <w:lang w:val="et-EE"/>
              </w:rPr>
            </w:pPr>
            <w:r w:rsidRPr="00EC3BD7">
              <w:rPr>
                <w:rFonts w:ascii="Times New Roman" w:hAnsi="Times New Roman"/>
                <w:b/>
                <w:color w:val="000000"/>
                <w:sz w:val="22"/>
                <w:szCs w:val="22"/>
                <w:lang w:val="et-EE"/>
              </w:rPr>
              <w:t>(Parim reaktsioon)</w:t>
            </w:r>
          </w:p>
        </w:tc>
        <w:tc>
          <w:tcPr>
            <w:tcW w:w="2693" w:type="dxa"/>
            <w:tcBorders>
              <w:top w:val="nil"/>
              <w:bottom w:val="single" w:sz="4" w:space="0" w:color="auto"/>
            </w:tcBorders>
          </w:tcPr>
          <w:p w14:paraId="269498DF" w14:textId="77777777" w:rsidR="00136210" w:rsidRPr="00EC3BD7" w:rsidRDefault="00136210"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n=553</w:t>
            </w:r>
          </w:p>
        </w:tc>
        <w:tc>
          <w:tcPr>
            <w:tcW w:w="2718" w:type="dxa"/>
            <w:tcBorders>
              <w:top w:val="nil"/>
              <w:bottom w:val="single" w:sz="4" w:space="0" w:color="auto"/>
              <w:right w:val="single" w:sz="4" w:space="0" w:color="auto"/>
            </w:tcBorders>
          </w:tcPr>
          <w:p w14:paraId="2DB95A03" w14:textId="77777777" w:rsidR="00136210" w:rsidRPr="00EC3BD7" w:rsidRDefault="00136210"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N=553</w:t>
            </w:r>
          </w:p>
        </w:tc>
      </w:tr>
      <w:tr w:rsidR="00136210" w:rsidRPr="00EC3BD7" w14:paraId="1E311B55" w14:textId="77777777" w:rsidTr="008B1609">
        <w:trPr>
          <w:cantSplit/>
        </w:trPr>
        <w:tc>
          <w:tcPr>
            <w:tcW w:w="3794" w:type="dxa"/>
            <w:tcBorders>
              <w:top w:val="nil"/>
              <w:left w:val="single" w:sz="4" w:space="0" w:color="auto"/>
            </w:tcBorders>
          </w:tcPr>
          <w:p w14:paraId="48642EE1" w14:textId="77777777" w:rsidR="00136210" w:rsidRPr="00EC3BD7" w:rsidRDefault="00136210" w:rsidP="008B1609">
            <w:pPr>
              <w:pStyle w:val="Table"/>
              <w:keepLines w:val="0"/>
              <w:widowControl w:val="0"/>
              <w:spacing w:before="0" w:after="0"/>
              <w:rPr>
                <w:rFonts w:ascii="Times New Roman" w:hAnsi="Times New Roman"/>
                <w:b/>
                <w:color w:val="000000"/>
                <w:sz w:val="22"/>
                <w:szCs w:val="22"/>
                <w:lang w:val="et-EE"/>
              </w:rPr>
            </w:pPr>
            <w:r w:rsidRPr="00EC3BD7">
              <w:rPr>
                <w:rFonts w:ascii="Times New Roman" w:hAnsi="Times New Roman"/>
                <w:b/>
                <w:color w:val="000000"/>
                <w:sz w:val="22"/>
                <w:szCs w:val="22"/>
                <w:lang w:val="et-EE"/>
              </w:rPr>
              <w:t>Hematoloogiline vastus</w:t>
            </w:r>
          </w:p>
        </w:tc>
        <w:tc>
          <w:tcPr>
            <w:tcW w:w="2693" w:type="dxa"/>
            <w:tcBorders>
              <w:top w:val="nil"/>
            </w:tcBorders>
          </w:tcPr>
          <w:p w14:paraId="46674D92" w14:textId="77777777" w:rsidR="00136210" w:rsidRPr="00EC3BD7" w:rsidRDefault="00136210" w:rsidP="008B1609">
            <w:pPr>
              <w:pStyle w:val="Table"/>
              <w:keepLines w:val="0"/>
              <w:widowControl w:val="0"/>
              <w:spacing w:before="0" w:after="0"/>
              <w:jc w:val="center"/>
              <w:rPr>
                <w:rFonts w:ascii="Times New Roman" w:hAnsi="Times New Roman"/>
                <w:b/>
                <w:color w:val="000000"/>
                <w:sz w:val="22"/>
                <w:szCs w:val="22"/>
                <w:lang w:val="et-EE"/>
              </w:rPr>
            </w:pPr>
          </w:p>
        </w:tc>
        <w:tc>
          <w:tcPr>
            <w:tcW w:w="2718" w:type="dxa"/>
            <w:tcBorders>
              <w:top w:val="nil"/>
              <w:right w:val="single" w:sz="4" w:space="0" w:color="auto"/>
            </w:tcBorders>
          </w:tcPr>
          <w:p w14:paraId="0417C018" w14:textId="77777777" w:rsidR="00136210" w:rsidRPr="00EC3BD7" w:rsidRDefault="00136210" w:rsidP="008B1609">
            <w:pPr>
              <w:pStyle w:val="Table"/>
              <w:keepLines w:val="0"/>
              <w:widowControl w:val="0"/>
              <w:spacing w:before="0" w:after="0"/>
              <w:jc w:val="center"/>
              <w:rPr>
                <w:rFonts w:ascii="Times New Roman" w:hAnsi="Times New Roman"/>
                <w:b/>
                <w:color w:val="000000"/>
                <w:sz w:val="22"/>
                <w:szCs w:val="22"/>
                <w:lang w:val="et-EE"/>
              </w:rPr>
            </w:pPr>
          </w:p>
        </w:tc>
      </w:tr>
      <w:tr w:rsidR="00136210" w:rsidRPr="00EC3BD7" w14:paraId="0C71520F" w14:textId="77777777" w:rsidTr="008B1609">
        <w:trPr>
          <w:cantSplit/>
        </w:trPr>
        <w:tc>
          <w:tcPr>
            <w:tcW w:w="3794" w:type="dxa"/>
            <w:tcBorders>
              <w:top w:val="nil"/>
              <w:left w:val="single" w:sz="4" w:space="0" w:color="auto"/>
            </w:tcBorders>
          </w:tcPr>
          <w:p w14:paraId="5CF251B6" w14:textId="77777777" w:rsidR="00136210" w:rsidRPr="00EC3BD7" w:rsidRDefault="00136210" w:rsidP="008B1609">
            <w:pPr>
              <w:pStyle w:val="Table"/>
              <w:keepLines w:val="0"/>
              <w:widowControl w:val="0"/>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Täielik hematoloogiline ravivastus n (%)</w:t>
            </w:r>
          </w:p>
        </w:tc>
        <w:tc>
          <w:tcPr>
            <w:tcW w:w="2693" w:type="dxa"/>
            <w:tcBorders>
              <w:top w:val="nil"/>
            </w:tcBorders>
          </w:tcPr>
          <w:p w14:paraId="5735980B" w14:textId="77777777" w:rsidR="00136210" w:rsidRPr="00EC3BD7" w:rsidRDefault="00136210"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534 (96,6%)*</w:t>
            </w:r>
          </w:p>
        </w:tc>
        <w:tc>
          <w:tcPr>
            <w:tcW w:w="2718" w:type="dxa"/>
            <w:tcBorders>
              <w:top w:val="nil"/>
              <w:right w:val="single" w:sz="4" w:space="0" w:color="auto"/>
            </w:tcBorders>
          </w:tcPr>
          <w:p w14:paraId="3E16D189" w14:textId="77777777" w:rsidR="00136210" w:rsidRPr="00EC3BD7" w:rsidRDefault="00136210"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313 (56,6%)*</w:t>
            </w:r>
          </w:p>
        </w:tc>
      </w:tr>
      <w:tr w:rsidR="00136210" w:rsidRPr="00EC3BD7" w14:paraId="51DFD2E7" w14:textId="77777777" w:rsidTr="008B1609">
        <w:trPr>
          <w:cantSplit/>
        </w:trPr>
        <w:tc>
          <w:tcPr>
            <w:tcW w:w="3794" w:type="dxa"/>
            <w:tcBorders>
              <w:left w:val="single" w:sz="4" w:space="0" w:color="auto"/>
            </w:tcBorders>
          </w:tcPr>
          <w:p w14:paraId="7265C264" w14:textId="77777777" w:rsidR="00136210" w:rsidRPr="00EC3BD7" w:rsidRDefault="00136210" w:rsidP="008B1609">
            <w:pPr>
              <w:pStyle w:val="Table"/>
              <w:keepLines w:val="0"/>
              <w:widowControl w:val="0"/>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ab/>
              <w:t>[95% CI]</w:t>
            </w:r>
          </w:p>
        </w:tc>
        <w:tc>
          <w:tcPr>
            <w:tcW w:w="2693" w:type="dxa"/>
          </w:tcPr>
          <w:p w14:paraId="44DF7854" w14:textId="77777777" w:rsidR="00136210" w:rsidRPr="00EC3BD7" w:rsidRDefault="00136210"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[94,7%, 97,9%]</w:t>
            </w:r>
          </w:p>
        </w:tc>
        <w:tc>
          <w:tcPr>
            <w:tcW w:w="2718" w:type="dxa"/>
            <w:tcBorders>
              <w:right w:val="single" w:sz="4" w:space="0" w:color="auto"/>
            </w:tcBorders>
          </w:tcPr>
          <w:p w14:paraId="4C180E0C" w14:textId="77777777" w:rsidR="00136210" w:rsidRPr="00EC3BD7" w:rsidRDefault="00136210"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[52,4%, 60,8%]</w:t>
            </w:r>
          </w:p>
        </w:tc>
      </w:tr>
      <w:tr w:rsidR="00136210" w:rsidRPr="00EC3BD7" w14:paraId="3CF46224" w14:textId="77777777" w:rsidTr="008B1609">
        <w:trPr>
          <w:cantSplit/>
        </w:trPr>
        <w:tc>
          <w:tcPr>
            <w:tcW w:w="3794" w:type="dxa"/>
            <w:tcBorders>
              <w:left w:val="single" w:sz="4" w:space="0" w:color="auto"/>
            </w:tcBorders>
          </w:tcPr>
          <w:p w14:paraId="12AABB04" w14:textId="77777777" w:rsidR="00136210" w:rsidRPr="00EC3BD7" w:rsidRDefault="00136210" w:rsidP="008B1609">
            <w:pPr>
              <w:pStyle w:val="Table"/>
              <w:keepLines w:val="0"/>
              <w:widowControl w:val="0"/>
              <w:spacing w:before="0" w:after="0"/>
              <w:rPr>
                <w:rFonts w:ascii="Times New Roman" w:hAnsi="Times New Roman"/>
                <w:color w:val="000000"/>
                <w:sz w:val="22"/>
                <w:szCs w:val="22"/>
                <w:lang w:val="et-EE"/>
              </w:rPr>
            </w:pPr>
          </w:p>
        </w:tc>
        <w:tc>
          <w:tcPr>
            <w:tcW w:w="2693" w:type="dxa"/>
          </w:tcPr>
          <w:p w14:paraId="3AD54CCA" w14:textId="77777777" w:rsidR="00136210" w:rsidRPr="00EC3BD7" w:rsidRDefault="00136210" w:rsidP="008B1609">
            <w:pPr>
              <w:pStyle w:val="Table"/>
              <w:keepLines w:val="0"/>
              <w:widowControl w:val="0"/>
              <w:spacing w:before="0" w:after="0"/>
              <w:jc w:val="center"/>
              <w:rPr>
                <w:rFonts w:ascii="Times New Roman" w:hAnsi="Times New Roman"/>
                <w:color w:val="000000"/>
                <w:sz w:val="22"/>
                <w:szCs w:val="22"/>
                <w:lang w:val="et-EE"/>
              </w:rPr>
            </w:pPr>
          </w:p>
        </w:tc>
        <w:tc>
          <w:tcPr>
            <w:tcW w:w="2718" w:type="dxa"/>
            <w:tcBorders>
              <w:right w:val="single" w:sz="4" w:space="0" w:color="auto"/>
            </w:tcBorders>
          </w:tcPr>
          <w:p w14:paraId="23EFAE09" w14:textId="77777777" w:rsidR="00136210" w:rsidRPr="00EC3BD7" w:rsidRDefault="00136210" w:rsidP="008B1609">
            <w:pPr>
              <w:pStyle w:val="Table"/>
              <w:keepLines w:val="0"/>
              <w:widowControl w:val="0"/>
              <w:spacing w:before="0" w:after="0"/>
              <w:jc w:val="center"/>
              <w:rPr>
                <w:rFonts w:ascii="Times New Roman" w:hAnsi="Times New Roman"/>
                <w:color w:val="000000"/>
                <w:sz w:val="22"/>
                <w:szCs w:val="22"/>
                <w:lang w:val="et-EE"/>
              </w:rPr>
            </w:pPr>
          </w:p>
        </w:tc>
      </w:tr>
      <w:tr w:rsidR="00136210" w:rsidRPr="00EC3BD7" w14:paraId="233A253E" w14:textId="77777777" w:rsidTr="008B1609">
        <w:trPr>
          <w:cantSplit/>
        </w:trPr>
        <w:tc>
          <w:tcPr>
            <w:tcW w:w="3794" w:type="dxa"/>
            <w:tcBorders>
              <w:left w:val="single" w:sz="4" w:space="0" w:color="auto"/>
            </w:tcBorders>
          </w:tcPr>
          <w:p w14:paraId="0665D4E0" w14:textId="77777777" w:rsidR="00136210" w:rsidRPr="00EC3BD7" w:rsidRDefault="00136210" w:rsidP="008B1609">
            <w:pPr>
              <w:pStyle w:val="Table"/>
              <w:keepLines w:val="0"/>
              <w:widowControl w:val="0"/>
              <w:spacing w:before="0" w:after="0"/>
              <w:rPr>
                <w:rFonts w:ascii="Times New Roman" w:hAnsi="Times New Roman"/>
                <w:b/>
                <w:color w:val="000000"/>
                <w:sz w:val="22"/>
                <w:szCs w:val="22"/>
                <w:lang w:val="et-EE"/>
              </w:rPr>
            </w:pPr>
            <w:r w:rsidRPr="00EC3BD7">
              <w:rPr>
                <w:rFonts w:ascii="Times New Roman" w:hAnsi="Times New Roman"/>
                <w:b/>
                <w:color w:val="000000"/>
                <w:sz w:val="22"/>
                <w:szCs w:val="22"/>
                <w:lang w:val="et-EE"/>
              </w:rPr>
              <w:t>Tsütogeneetiline vastus</w:t>
            </w:r>
          </w:p>
        </w:tc>
        <w:tc>
          <w:tcPr>
            <w:tcW w:w="2693" w:type="dxa"/>
          </w:tcPr>
          <w:p w14:paraId="0BA44808" w14:textId="77777777" w:rsidR="00136210" w:rsidRPr="00EC3BD7" w:rsidRDefault="00136210" w:rsidP="008B1609">
            <w:pPr>
              <w:pStyle w:val="Table"/>
              <w:keepLines w:val="0"/>
              <w:widowControl w:val="0"/>
              <w:spacing w:before="0" w:after="0"/>
              <w:jc w:val="center"/>
              <w:rPr>
                <w:rFonts w:ascii="Times New Roman" w:hAnsi="Times New Roman"/>
                <w:b/>
                <w:color w:val="000000"/>
                <w:sz w:val="22"/>
                <w:szCs w:val="22"/>
                <w:lang w:val="et-EE"/>
              </w:rPr>
            </w:pPr>
          </w:p>
        </w:tc>
        <w:tc>
          <w:tcPr>
            <w:tcW w:w="2718" w:type="dxa"/>
            <w:tcBorders>
              <w:right w:val="single" w:sz="4" w:space="0" w:color="auto"/>
            </w:tcBorders>
          </w:tcPr>
          <w:p w14:paraId="386C064A" w14:textId="77777777" w:rsidR="00136210" w:rsidRPr="00EC3BD7" w:rsidRDefault="00136210" w:rsidP="008B1609">
            <w:pPr>
              <w:pStyle w:val="Table"/>
              <w:keepLines w:val="0"/>
              <w:widowControl w:val="0"/>
              <w:spacing w:before="0" w:after="0"/>
              <w:jc w:val="center"/>
              <w:rPr>
                <w:rFonts w:ascii="Times New Roman" w:hAnsi="Times New Roman"/>
                <w:b/>
                <w:color w:val="000000"/>
                <w:sz w:val="22"/>
                <w:szCs w:val="22"/>
                <w:lang w:val="et-EE"/>
              </w:rPr>
            </w:pPr>
          </w:p>
        </w:tc>
      </w:tr>
      <w:tr w:rsidR="00136210" w:rsidRPr="00EC3BD7" w14:paraId="116D03D7" w14:textId="77777777" w:rsidTr="008B1609">
        <w:trPr>
          <w:cantSplit/>
        </w:trPr>
        <w:tc>
          <w:tcPr>
            <w:tcW w:w="3794" w:type="dxa"/>
            <w:tcBorders>
              <w:left w:val="single" w:sz="4" w:space="0" w:color="auto"/>
            </w:tcBorders>
          </w:tcPr>
          <w:p w14:paraId="08B385A2" w14:textId="77777777" w:rsidR="00136210" w:rsidRPr="00EC3BD7" w:rsidRDefault="00136210" w:rsidP="008B1609">
            <w:pPr>
              <w:pStyle w:val="Table"/>
              <w:keepLines w:val="0"/>
              <w:widowControl w:val="0"/>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Oluline ravivastus n (%)</w:t>
            </w:r>
          </w:p>
        </w:tc>
        <w:tc>
          <w:tcPr>
            <w:tcW w:w="2693" w:type="dxa"/>
          </w:tcPr>
          <w:p w14:paraId="6A1A3D9D" w14:textId="77777777" w:rsidR="00136210" w:rsidRPr="00EC3BD7" w:rsidRDefault="00136210"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490 (88,6%)*</w:t>
            </w:r>
          </w:p>
        </w:tc>
        <w:tc>
          <w:tcPr>
            <w:tcW w:w="2718" w:type="dxa"/>
            <w:tcBorders>
              <w:right w:val="single" w:sz="4" w:space="0" w:color="auto"/>
            </w:tcBorders>
          </w:tcPr>
          <w:p w14:paraId="0BBA9EDC" w14:textId="77777777" w:rsidR="00136210" w:rsidRPr="00EC3BD7" w:rsidRDefault="00136210"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129 (23,3%)*</w:t>
            </w:r>
          </w:p>
        </w:tc>
      </w:tr>
      <w:tr w:rsidR="00136210" w:rsidRPr="00EC3BD7" w14:paraId="7C67472E" w14:textId="77777777" w:rsidTr="008B1609">
        <w:trPr>
          <w:cantSplit/>
        </w:trPr>
        <w:tc>
          <w:tcPr>
            <w:tcW w:w="3794" w:type="dxa"/>
            <w:tcBorders>
              <w:left w:val="single" w:sz="4" w:space="0" w:color="auto"/>
            </w:tcBorders>
          </w:tcPr>
          <w:p w14:paraId="1E38FF23" w14:textId="77777777" w:rsidR="00136210" w:rsidRPr="00EC3BD7" w:rsidRDefault="00136210" w:rsidP="008B1609">
            <w:pPr>
              <w:pStyle w:val="Table"/>
              <w:keepLines w:val="0"/>
              <w:widowControl w:val="0"/>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ab/>
              <w:t>[95% CI]</w:t>
            </w:r>
          </w:p>
        </w:tc>
        <w:tc>
          <w:tcPr>
            <w:tcW w:w="2693" w:type="dxa"/>
          </w:tcPr>
          <w:p w14:paraId="0BA0A5C1" w14:textId="77777777" w:rsidR="00136210" w:rsidRPr="00EC3BD7" w:rsidRDefault="00136210"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[85,7%, 91,1%]</w:t>
            </w:r>
          </w:p>
        </w:tc>
        <w:tc>
          <w:tcPr>
            <w:tcW w:w="2718" w:type="dxa"/>
            <w:tcBorders>
              <w:right w:val="single" w:sz="4" w:space="0" w:color="auto"/>
            </w:tcBorders>
          </w:tcPr>
          <w:p w14:paraId="2D038DE5" w14:textId="77777777" w:rsidR="00136210" w:rsidRPr="00EC3BD7" w:rsidRDefault="00136210"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[19,9%, 27,1%]</w:t>
            </w:r>
          </w:p>
        </w:tc>
      </w:tr>
      <w:tr w:rsidR="001E7CEF" w:rsidRPr="00EC3BD7" w14:paraId="055EB60F" w14:textId="77777777" w:rsidTr="008B1609">
        <w:trPr>
          <w:cantSplit/>
        </w:trPr>
        <w:tc>
          <w:tcPr>
            <w:tcW w:w="3794" w:type="dxa"/>
            <w:tcBorders>
              <w:left w:val="single" w:sz="4" w:space="0" w:color="auto"/>
            </w:tcBorders>
          </w:tcPr>
          <w:p w14:paraId="2122AA5F" w14:textId="77777777" w:rsidR="001E7CEF" w:rsidRPr="00EC3BD7" w:rsidRDefault="001E7CEF" w:rsidP="008B1609">
            <w:pPr>
              <w:pStyle w:val="Table"/>
              <w:keepLines w:val="0"/>
              <w:widowControl w:val="0"/>
              <w:spacing w:before="0" w:after="0"/>
              <w:ind w:left="284" w:hanging="284"/>
              <w:rPr>
                <w:rFonts w:ascii="Times New Roman" w:hAnsi="Times New Roman"/>
                <w:color w:val="000000"/>
                <w:sz w:val="22"/>
                <w:szCs w:val="22"/>
                <w:lang w:val="et-EE"/>
              </w:rPr>
            </w:pPr>
            <w:r w:rsidRPr="00EC3BD7">
              <w:rPr>
                <w:rFonts w:ascii="Times New Roman" w:hAnsi="Times New Roman"/>
                <w:color w:val="000000"/>
                <w:sz w:val="22"/>
                <w:szCs w:val="22"/>
                <w:lang w:val="et-EE"/>
              </w:rPr>
              <w:tab/>
              <w:t>Täielik tsütogeneetiline ravivastus CyR n (%)</w:t>
            </w:r>
          </w:p>
        </w:tc>
        <w:tc>
          <w:tcPr>
            <w:tcW w:w="2693" w:type="dxa"/>
          </w:tcPr>
          <w:p w14:paraId="49EEBF53" w14:textId="77777777" w:rsidR="001E7CEF" w:rsidRPr="00EC3BD7" w:rsidRDefault="001E7CE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456 (82,5%)*</w:t>
            </w:r>
          </w:p>
        </w:tc>
        <w:tc>
          <w:tcPr>
            <w:tcW w:w="2718" w:type="dxa"/>
            <w:tcBorders>
              <w:right w:val="single" w:sz="4" w:space="0" w:color="auto"/>
            </w:tcBorders>
          </w:tcPr>
          <w:p w14:paraId="672EB18F" w14:textId="77777777" w:rsidR="001E7CEF" w:rsidRPr="00EC3BD7" w:rsidRDefault="001E7CE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64 (11,6%)*</w:t>
            </w:r>
          </w:p>
        </w:tc>
      </w:tr>
      <w:tr w:rsidR="001E7CEF" w:rsidRPr="00EC3BD7" w14:paraId="7D9E9571" w14:textId="77777777" w:rsidTr="008B1609">
        <w:trPr>
          <w:cantSplit/>
        </w:trPr>
        <w:tc>
          <w:tcPr>
            <w:tcW w:w="3794" w:type="dxa"/>
            <w:tcBorders>
              <w:left w:val="single" w:sz="4" w:space="0" w:color="auto"/>
            </w:tcBorders>
          </w:tcPr>
          <w:p w14:paraId="1D7B21A3" w14:textId="77777777" w:rsidR="001E7CEF" w:rsidRPr="00EC3BD7" w:rsidRDefault="001E7CEF" w:rsidP="008B1609">
            <w:pPr>
              <w:pStyle w:val="Table"/>
              <w:keepLines w:val="0"/>
              <w:widowControl w:val="0"/>
              <w:spacing w:before="0" w:after="0"/>
              <w:ind w:left="284" w:hanging="284"/>
              <w:rPr>
                <w:rFonts w:ascii="Times New Roman" w:hAnsi="Times New Roman"/>
                <w:color w:val="000000"/>
                <w:sz w:val="22"/>
                <w:szCs w:val="22"/>
                <w:lang w:val="et-EE"/>
              </w:rPr>
            </w:pPr>
            <w:r w:rsidRPr="00EC3BD7">
              <w:rPr>
                <w:rFonts w:ascii="Times New Roman" w:hAnsi="Times New Roman"/>
                <w:color w:val="000000"/>
                <w:sz w:val="22"/>
                <w:szCs w:val="22"/>
                <w:lang w:val="et-EE"/>
              </w:rPr>
              <w:tab/>
              <w:t>Osaline tsütogeneetiline ravivastus n (%)</w:t>
            </w:r>
          </w:p>
        </w:tc>
        <w:tc>
          <w:tcPr>
            <w:tcW w:w="2693" w:type="dxa"/>
          </w:tcPr>
          <w:p w14:paraId="17C628EF" w14:textId="77777777" w:rsidR="001E7CEF" w:rsidRPr="00EC3BD7" w:rsidRDefault="001E7CE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34 (6,1%)</w:t>
            </w:r>
          </w:p>
        </w:tc>
        <w:tc>
          <w:tcPr>
            <w:tcW w:w="2718" w:type="dxa"/>
            <w:tcBorders>
              <w:right w:val="single" w:sz="4" w:space="0" w:color="auto"/>
            </w:tcBorders>
          </w:tcPr>
          <w:p w14:paraId="281D0D93" w14:textId="77777777" w:rsidR="001E7CEF" w:rsidRPr="00EC3BD7" w:rsidRDefault="001E7CE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65 (11,8%)</w:t>
            </w:r>
          </w:p>
        </w:tc>
      </w:tr>
      <w:tr w:rsidR="00136210" w:rsidRPr="00EC3BD7" w14:paraId="69F6297A" w14:textId="77777777" w:rsidTr="008B1609">
        <w:trPr>
          <w:cantSplit/>
        </w:trPr>
        <w:tc>
          <w:tcPr>
            <w:tcW w:w="3794" w:type="dxa"/>
            <w:tcBorders>
              <w:left w:val="single" w:sz="4" w:space="0" w:color="auto"/>
              <w:bottom w:val="nil"/>
            </w:tcBorders>
          </w:tcPr>
          <w:p w14:paraId="47D81679" w14:textId="77777777" w:rsidR="00136210" w:rsidRPr="00EC3BD7" w:rsidRDefault="00136210" w:rsidP="008B1609">
            <w:pPr>
              <w:pStyle w:val="Table"/>
              <w:keepLines w:val="0"/>
              <w:widowControl w:val="0"/>
              <w:spacing w:before="0" w:after="0"/>
              <w:rPr>
                <w:rFonts w:ascii="Times New Roman" w:hAnsi="Times New Roman"/>
                <w:color w:val="000000"/>
                <w:sz w:val="22"/>
                <w:szCs w:val="22"/>
                <w:lang w:val="et-EE"/>
              </w:rPr>
            </w:pPr>
          </w:p>
        </w:tc>
        <w:tc>
          <w:tcPr>
            <w:tcW w:w="2693" w:type="dxa"/>
            <w:tcBorders>
              <w:bottom w:val="nil"/>
            </w:tcBorders>
          </w:tcPr>
          <w:p w14:paraId="47E2F4B3" w14:textId="77777777" w:rsidR="00136210" w:rsidRPr="00EC3BD7" w:rsidRDefault="00136210" w:rsidP="008B1609">
            <w:pPr>
              <w:pStyle w:val="Table"/>
              <w:keepLines w:val="0"/>
              <w:widowControl w:val="0"/>
              <w:spacing w:before="0" w:after="0"/>
              <w:rPr>
                <w:rFonts w:ascii="Times New Roman" w:hAnsi="Times New Roman"/>
                <w:color w:val="000000"/>
                <w:sz w:val="22"/>
                <w:szCs w:val="22"/>
                <w:lang w:val="et-EE"/>
              </w:rPr>
            </w:pPr>
          </w:p>
        </w:tc>
        <w:tc>
          <w:tcPr>
            <w:tcW w:w="2718" w:type="dxa"/>
            <w:tcBorders>
              <w:bottom w:val="nil"/>
              <w:right w:val="single" w:sz="4" w:space="0" w:color="auto"/>
            </w:tcBorders>
          </w:tcPr>
          <w:p w14:paraId="68D26193" w14:textId="77777777" w:rsidR="00136210" w:rsidRPr="00EC3BD7" w:rsidRDefault="00136210" w:rsidP="008B1609">
            <w:pPr>
              <w:pStyle w:val="Table"/>
              <w:keepLines w:val="0"/>
              <w:widowControl w:val="0"/>
              <w:spacing w:before="0" w:after="0"/>
              <w:rPr>
                <w:rFonts w:ascii="Times New Roman" w:hAnsi="Times New Roman"/>
                <w:color w:val="000000"/>
                <w:sz w:val="22"/>
                <w:szCs w:val="22"/>
                <w:lang w:val="et-EE"/>
              </w:rPr>
            </w:pPr>
          </w:p>
        </w:tc>
      </w:tr>
      <w:tr w:rsidR="00136210" w:rsidRPr="00EC3BD7" w14:paraId="416C22AA" w14:textId="77777777" w:rsidTr="008B1609">
        <w:trPr>
          <w:cantSplit/>
        </w:trPr>
        <w:tc>
          <w:tcPr>
            <w:tcW w:w="3794" w:type="dxa"/>
            <w:tcBorders>
              <w:left w:val="single" w:sz="4" w:space="0" w:color="auto"/>
              <w:bottom w:val="nil"/>
            </w:tcBorders>
          </w:tcPr>
          <w:p w14:paraId="23A22ECC" w14:textId="77777777" w:rsidR="00136210" w:rsidRPr="00EC3BD7" w:rsidRDefault="00136210" w:rsidP="008B1609">
            <w:pPr>
              <w:pStyle w:val="Table"/>
              <w:keepLines w:val="0"/>
              <w:widowControl w:val="0"/>
              <w:spacing w:before="0" w:after="0"/>
              <w:rPr>
                <w:rFonts w:ascii="Times New Roman" w:hAnsi="Times New Roman"/>
                <w:b/>
                <w:color w:val="000000"/>
                <w:sz w:val="22"/>
                <w:szCs w:val="22"/>
                <w:lang w:val="et-EE"/>
              </w:rPr>
            </w:pPr>
            <w:r w:rsidRPr="00EC3BD7">
              <w:rPr>
                <w:rFonts w:ascii="Times New Roman" w:hAnsi="Times New Roman"/>
                <w:b/>
                <w:color w:val="000000"/>
                <w:sz w:val="22"/>
                <w:szCs w:val="22"/>
                <w:lang w:val="et-EE"/>
              </w:rPr>
              <w:t>Molekulaarne ravivastus</w:t>
            </w:r>
            <w:r w:rsidR="00417195" w:rsidRPr="00EC3BD7">
              <w:rPr>
                <w:rFonts w:ascii="Times New Roman" w:hAnsi="Times New Roman"/>
                <w:color w:val="000000"/>
                <w:sz w:val="22"/>
                <w:szCs w:val="22"/>
                <w:lang w:val="et-EE"/>
              </w:rPr>
              <w:t>**</w:t>
            </w:r>
          </w:p>
        </w:tc>
        <w:tc>
          <w:tcPr>
            <w:tcW w:w="2693" w:type="dxa"/>
            <w:tcBorders>
              <w:bottom w:val="nil"/>
            </w:tcBorders>
          </w:tcPr>
          <w:p w14:paraId="1FEA1D28" w14:textId="77777777" w:rsidR="00136210" w:rsidRPr="00EC3BD7" w:rsidRDefault="00136210" w:rsidP="008B1609">
            <w:pPr>
              <w:pStyle w:val="Table"/>
              <w:keepLines w:val="0"/>
              <w:widowControl w:val="0"/>
              <w:spacing w:before="0" w:after="0"/>
              <w:rPr>
                <w:rFonts w:ascii="Times New Roman" w:hAnsi="Times New Roman"/>
                <w:color w:val="000000"/>
                <w:sz w:val="22"/>
                <w:szCs w:val="22"/>
                <w:lang w:val="et-EE"/>
              </w:rPr>
            </w:pPr>
          </w:p>
        </w:tc>
        <w:tc>
          <w:tcPr>
            <w:tcW w:w="2718" w:type="dxa"/>
            <w:tcBorders>
              <w:bottom w:val="nil"/>
              <w:right w:val="single" w:sz="4" w:space="0" w:color="auto"/>
            </w:tcBorders>
          </w:tcPr>
          <w:p w14:paraId="736D4139" w14:textId="77777777" w:rsidR="00136210" w:rsidRPr="00EC3BD7" w:rsidRDefault="00136210" w:rsidP="008B1609">
            <w:pPr>
              <w:pStyle w:val="Table"/>
              <w:keepLines w:val="0"/>
              <w:widowControl w:val="0"/>
              <w:spacing w:before="0" w:after="0"/>
              <w:rPr>
                <w:rFonts w:ascii="Times New Roman" w:hAnsi="Times New Roman"/>
                <w:color w:val="000000"/>
                <w:sz w:val="22"/>
                <w:szCs w:val="22"/>
                <w:lang w:val="et-EE"/>
              </w:rPr>
            </w:pPr>
          </w:p>
        </w:tc>
      </w:tr>
      <w:tr w:rsidR="001E7CEF" w:rsidRPr="00EC3BD7" w14:paraId="0AA10F4C" w14:textId="77777777" w:rsidTr="008B1609">
        <w:trPr>
          <w:cantSplit/>
        </w:trPr>
        <w:tc>
          <w:tcPr>
            <w:tcW w:w="3794" w:type="dxa"/>
            <w:tcBorders>
              <w:left w:val="single" w:sz="4" w:space="0" w:color="auto"/>
              <w:bottom w:val="nil"/>
            </w:tcBorders>
          </w:tcPr>
          <w:p w14:paraId="6C7AB071" w14:textId="77777777" w:rsidR="001E7CEF" w:rsidRPr="00EC3BD7" w:rsidRDefault="001E7CEF" w:rsidP="008B1609">
            <w:pPr>
              <w:pStyle w:val="Table"/>
              <w:keepLines w:val="0"/>
              <w:widowControl w:val="0"/>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Oluline ravivastus 12. kuuks (%)</w:t>
            </w:r>
          </w:p>
        </w:tc>
        <w:tc>
          <w:tcPr>
            <w:tcW w:w="2693" w:type="dxa"/>
            <w:tcBorders>
              <w:bottom w:val="nil"/>
            </w:tcBorders>
          </w:tcPr>
          <w:p w14:paraId="39CFD357" w14:textId="77777777" w:rsidR="001E7CEF" w:rsidRPr="00EC3BD7" w:rsidRDefault="001E7CE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153/305=50,2%</w:t>
            </w:r>
          </w:p>
        </w:tc>
        <w:tc>
          <w:tcPr>
            <w:tcW w:w="2718" w:type="dxa"/>
            <w:tcBorders>
              <w:bottom w:val="nil"/>
              <w:right w:val="single" w:sz="4" w:space="0" w:color="auto"/>
            </w:tcBorders>
          </w:tcPr>
          <w:p w14:paraId="74EB86D8" w14:textId="77777777" w:rsidR="001E7CEF" w:rsidRPr="00EC3BD7" w:rsidRDefault="001E7CE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8/83=9,6%</w:t>
            </w:r>
          </w:p>
        </w:tc>
      </w:tr>
      <w:tr w:rsidR="001E7CEF" w:rsidRPr="00EC3BD7" w14:paraId="13FEED85" w14:textId="77777777" w:rsidTr="008B1609">
        <w:trPr>
          <w:cantSplit/>
        </w:trPr>
        <w:tc>
          <w:tcPr>
            <w:tcW w:w="3794" w:type="dxa"/>
            <w:tcBorders>
              <w:left w:val="single" w:sz="4" w:space="0" w:color="auto"/>
              <w:bottom w:val="nil"/>
            </w:tcBorders>
          </w:tcPr>
          <w:p w14:paraId="5FD48FC7" w14:textId="77777777" w:rsidR="001E7CEF" w:rsidRPr="00EC3BD7" w:rsidRDefault="001E7CEF" w:rsidP="008B1609">
            <w:pPr>
              <w:pStyle w:val="Table"/>
              <w:keepLines w:val="0"/>
              <w:widowControl w:val="0"/>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Oluline ravivastus 24. kuuks (%)</w:t>
            </w:r>
          </w:p>
        </w:tc>
        <w:tc>
          <w:tcPr>
            <w:tcW w:w="2693" w:type="dxa"/>
            <w:tcBorders>
              <w:bottom w:val="nil"/>
            </w:tcBorders>
          </w:tcPr>
          <w:p w14:paraId="789CB5D5" w14:textId="77777777" w:rsidR="001E7CEF" w:rsidRPr="00EC3BD7" w:rsidRDefault="001E7CE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73/104=70,2%</w:t>
            </w:r>
          </w:p>
        </w:tc>
        <w:tc>
          <w:tcPr>
            <w:tcW w:w="2718" w:type="dxa"/>
            <w:tcBorders>
              <w:bottom w:val="nil"/>
              <w:right w:val="single" w:sz="4" w:space="0" w:color="auto"/>
            </w:tcBorders>
          </w:tcPr>
          <w:p w14:paraId="2EF8A5D7" w14:textId="77777777" w:rsidR="001E7CEF" w:rsidRPr="00EC3BD7" w:rsidRDefault="001E7CE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3/12=25%</w:t>
            </w:r>
          </w:p>
        </w:tc>
      </w:tr>
      <w:tr w:rsidR="001E7CEF" w:rsidRPr="00EC3BD7" w14:paraId="2D4478BD" w14:textId="77777777" w:rsidTr="008B1609">
        <w:trPr>
          <w:cantSplit/>
        </w:trPr>
        <w:tc>
          <w:tcPr>
            <w:tcW w:w="3794" w:type="dxa"/>
            <w:tcBorders>
              <w:left w:val="single" w:sz="4" w:space="0" w:color="auto"/>
              <w:bottom w:val="nil"/>
            </w:tcBorders>
          </w:tcPr>
          <w:p w14:paraId="35EAB493" w14:textId="77777777" w:rsidR="001E7CEF" w:rsidRPr="00EC3BD7" w:rsidRDefault="001E7CEF" w:rsidP="008B1609">
            <w:pPr>
              <w:pStyle w:val="Table"/>
              <w:keepLines w:val="0"/>
              <w:widowControl w:val="0"/>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Oluline ravivastus 84. kuuks (%)</w:t>
            </w:r>
          </w:p>
        </w:tc>
        <w:tc>
          <w:tcPr>
            <w:tcW w:w="2693" w:type="dxa"/>
            <w:tcBorders>
              <w:bottom w:val="nil"/>
            </w:tcBorders>
          </w:tcPr>
          <w:p w14:paraId="081E3A28" w14:textId="77777777" w:rsidR="001E7CEF" w:rsidRPr="00EC3BD7" w:rsidRDefault="001E7CE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102/116=87,9%</w:t>
            </w:r>
          </w:p>
        </w:tc>
        <w:tc>
          <w:tcPr>
            <w:tcW w:w="2718" w:type="dxa"/>
            <w:tcBorders>
              <w:bottom w:val="nil"/>
              <w:right w:val="single" w:sz="4" w:space="0" w:color="auto"/>
            </w:tcBorders>
          </w:tcPr>
          <w:p w14:paraId="0AA9C057" w14:textId="77777777" w:rsidR="001E7CEF" w:rsidRPr="00EC3BD7" w:rsidRDefault="001E7CE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3/4=75%</w:t>
            </w:r>
          </w:p>
        </w:tc>
      </w:tr>
      <w:tr w:rsidR="00136210" w:rsidRPr="005D29F8" w14:paraId="191ABD97" w14:textId="77777777" w:rsidTr="008B1609">
        <w:trPr>
          <w:cantSplit/>
        </w:trPr>
        <w:tc>
          <w:tcPr>
            <w:tcW w:w="9205" w:type="dxa"/>
            <w:gridSpan w:val="3"/>
            <w:tcBorders>
              <w:top w:val="single" w:sz="4" w:space="0" w:color="auto"/>
              <w:left w:val="single" w:sz="4" w:space="0" w:color="auto"/>
              <w:bottom w:val="single" w:sz="4" w:space="0" w:color="auto"/>
              <w:right w:val="single" w:sz="4" w:space="0" w:color="auto"/>
            </w:tcBorders>
          </w:tcPr>
          <w:p w14:paraId="36D8A7CD" w14:textId="77777777" w:rsidR="00136210" w:rsidRPr="00EC3BD7" w:rsidRDefault="00136210" w:rsidP="008B1609">
            <w:pPr>
              <w:pStyle w:val="Table"/>
              <w:keepNext w:val="0"/>
              <w:keepLines w:val="0"/>
              <w:widowControl w:val="0"/>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 p&lt;0,001, Fischeri täpne test</w:t>
            </w:r>
          </w:p>
          <w:p w14:paraId="30AA45B4" w14:textId="77777777" w:rsidR="00136210" w:rsidRPr="00EC3BD7" w:rsidRDefault="00136210" w:rsidP="008B1609">
            <w:pPr>
              <w:pStyle w:val="Table"/>
              <w:keepNext w:val="0"/>
              <w:keepLines w:val="0"/>
              <w:widowControl w:val="0"/>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 xml:space="preserve">** </w:t>
            </w:r>
            <w:r w:rsidR="00D8333F" w:rsidRPr="00EC3BD7">
              <w:rPr>
                <w:rFonts w:ascii="Times New Roman" w:hAnsi="Times New Roman"/>
                <w:color w:val="000000"/>
                <w:sz w:val="22"/>
                <w:szCs w:val="22"/>
                <w:lang w:val="et-EE"/>
              </w:rPr>
              <w:t>Molekulaarse ravivastuse</w:t>
            </w:r>
            <w:r w:rsidR="00D8333F" w:rsidRPr="00EC3BD7">
              <w:rPr>
                <w:rFonts w:ascii="Times New Roman" w:hAnsi="Times New Roman"/>
                <w:b/>
                <w:color w:val="000000"/>
                <w:sz w:val="22"/>
                <w:szCs w:val="22"/>
                <w:lang w:val="et-EE"/>
              </w:rPr>
              <w:t xml:space="preserve"> </w:t>
            </w:r>
            <w:r w:rsidR="007D7BE4" w:rsidRPr="00EC3BD7">
              <w:rPr>
                <w:rFonts w:ascii="Times New Roman" w:hAnsi="Times New Roman"/>
                <w:color w:val="000000"/>
                <w:sz w:val="22"/>
                <w:szCs w:val="22"/>
                <w:lang w:val="et-EE"/>
              </w:rPr>
              <w:t>protsendiline osakaal baseerub</w:t>
            </w:r>
            <w:r w:rsidR="00D8333F" w:rsidRPr="00EC3BD7">
              <w:rPr>
                <w:rFonts w:ascii="Times New Roman" w:hAnsi="Times New Roman"/>
                <w:color w:val="000000"/>
                <w:sz w:val="22"/>
                <w:szCs w:val="22"/>
                <w:lang w:val="et-EE"/>
              </w:rPr>
              <w:t xml:space="preserve"> kättesaadavatel näidetel</w:t>
            </w:r>
          </w:p>
          <w:p w14:paraId="0F40E941" w14:textId="77777777" w:rsidR="00136210" w:rsidRPr="00EC3BD7" w:rsidRDefault="00136210" w:rsidP="008B1609">
            <w:pPr>
              <w:pStyle w:val="Table"/>
              <w:keepNext w:val="0"/>
              <w:keepLines w:val="0"/>
              <w:widowControl w:val="0"/>
              <w:spacing w:before="0" w:after="0"/>
              <w:rPr>
                <w:rFonts w:ascii="Times New Roman" w:hAnsi="Times New Roman"/>
                <w:b/>
                <w:color w:val="000000"/>
                <w:sz w:val="22"/>
                <w:szCs w:val="22"/>
                <w:lang w:val="et-EE"/>
              </w:rPr>
            </w:pPr>
            <w:r w:rsidRPr="00EC3BD7">
              <w:rPr>
                <w:rFonts w:ascii="Times New Roman" w:hAnsi="Times New Roman"/>
                <w:b/>
                <w:color w:val="000000"/>
                <w:sz w:val="22"/>
                <w:szCs w:val="22"/>
                <w:lang w:val="et-EE"/>
              </w:rPr>
              <w:t xml:space="preserve">Hematoloogilise ravivastuse kriteeriumid (kõik ravivastused kinnituvad pärast </w:t>
            </w:r>
            <w:r w:rsidRPr="00EC3BD7">
              <w:rPr>
                <w:rFonts w:ascii="Times New Roman" w:hAnsi="Times New Roman"/>
                <w:b/>
                <w:color w:val="000000"/>
                <w:sz w:val="22"/>
                <w:szCs w:val="22"/>
                <w:lang w:val="et-EE"/>
              </w:rPr>
              <w:sym w:font="Symbol" w:char="F0B3"/>
            </w:r>
            <w:r w:rsidRPr="00EC3BD7">
              <w:rPr>
                <w:rFonts w:ascii="Times New Roman" w:hAnsi="Times New Roman"/>
                <w:b/>
                <w:color w:val="000000"/>
                <w:sz w:val="22"/>
                <w:szCs w:val="22"/>
                <w:lang w:val="et-EE"/>
              </w:rPr>
              <w:t>4 nädalat):</w:t>
            </w:r>
          </w:p>
          <w:p w14:paraId="48411471" w14:textId="77777777" w:rsidR="00136210" w:rsidRPr="00EC3BD7" w:rsidRDefault="00136210" w:rsidP="008B1609">
            <w:pPr>
              <w:pStyle w:val="Table"/>
              <w:keepNext w:val="0"/>
              <w:keepLines w:val="0"/>
              <w:widowControl w:val="0"/>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Leukotsüütide arv &lt;10x10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 trombotsüüte &lt;450x10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 müelotsüüte+metamüelotsüüte veres &lt;5%, veres puuduvad blastid ja promüelotsüüdid, basofiile &lt;20%, puudub ekstramedullaarne haigus</w:t>
            </w:r>
          </w:p>
          <w:p w14:paraId="03BA04E0" w14:textId="77777777" w:rsidR="00136210" w:rsidRPr="00EC3BD7" w:rsidRDefault="00136210" w:rsidP="008B1609">
            <w:pPr>
              <w:pStyle w:val="Table"/>
              <w:keepNext w:val="0"/>
              <w:keepLines w:val="0"/>
              <w:widowControl w:val="0"/>
              <w:spacing w:before="0" w:after="0"/>
              <w:rPr>
                <w:rFonts w:ascii="Times New Roman" w:hAnsi="Times New Roman"/>
                <w:color w:val="000000"/>
                <w:sz w:val="22"/>
                <w:szCs w:val="22"/>
                <w:lang w:val="et-EE"/>
              </w:rPr>
            </w:pPr>
            <w:r w:rsidRPr="00EC3BD7">
              <w:rPr>
                <w:rFonts w:ascii="Times New Roman" w:hAnsi="Times New Roman"/>
                <w:b/>
                <w:color w:val="000000"/>
                <w:sz w:val="22"/>
                <w:szCs w:val="22"/>
                <w:lang w:val="et-EE"/>
              </w:rPr>
              <w:t xml:space="preserve">Tsütogeneetilise ravivastuse kriteeriumid: </w:t>
            </w:r>
            <w:r w:rsidRPr="00EC3BD7">
              <w:rPr>
                <w:rFonts w:ascii="Times New Roman" w:hAnsi="Times New Roman"/>
                <w:color w:val="000000"/>
                <w:sz w:val="22"/>
                <w:szCs w:val="22"/>
                <w:lang w:val="et-EE"/>
              </w:rPr>
              <w:t>täielik (0% Ph+ metafaase), osaline (1...35%), vähene (36...65%) või minimaalne (66...95%). Oluline ravivastus (0...35%) hõlmab nii täieliku kui osalise ravivastuse.</w:t>
            </w:r>
          </w:p>
          <w:p w14:paraId="1259C657" w14:textId="77777777" w:rsidR="00136210" w:rsidRPr="00EC3BD7" w:rsidRDefault="00136210" w:rsidP="008B1609">
            <w:pPr>
              <w:pStyle w:val="Table"/>
              <w:keepNext w:val="0"/>
              <w:keepLines w:val="0"/>
              <w:widowControl w:val="0"/>
              <w:spacing w:before="0" w:after="0"/>
              <w:rPr>
                <w:rFonts w:ascii="Times New Roman" w:hAnsi="Times New Roman"/>
                <w:color w:val="000000"/>
                <w:sz w:val="22"/>
                <w:szCs w:val="22"/>
                <w:lang w:val="et-EE"/>
              </w:rPr>
            </w:pPr>
            <w:r w:rsidRPr="00EC3BD7">
              <w:rPr>
                <w:rFonts w:ascii="Times New Roman" w:hAnsi="Times New Roman"/>
                <w:b/>
                <w:color w:val="000000"/>
                <w:sz w:val="22"/>
                <w:szCs w:val="22"/>
                <w:lang w:val="et-EE"/>
              </w:rPr>
              <w:t>Olulise molekulaarse ravivastuse kriteeriumid:</w:t>
            </w:r>
            <w:r w:rsidRPr="00EC3BD7">
              <w:rPr>
                <w:rFonts w:ascii="Times New Roman" w:hAnsi="Times New Roman"/>
                <w:color w:val="000000"/>
                <w:sz w:val="22"/>
                <w:szCs w:val="22"/>
                <w:lang w:val="et-EE"/>
              </w:rPr>
              <w:t xml:space="preserve"> Bcr-Ab1 transkriptide arvu ≥3 logaritmiline vähenemine perifeerses veres pärast 12</w:t>
            </w:r>
            <w:r w:rsidR="000B2E8D" w:rsidRPr="00EC3BD7">
              <w:rPr>
                <w:rFonts w:ascii="Times New Roman" w:hAnsi="Times New Roman"/>
                <w:color w:val="000000"/>
                <w:sz w:val="22"/>
                <w:szCs w:val="22"/>
                <w:lang w:val="et-EE"/>
              </w:rPr>
              <w:noBreakHyphen/>
            </w:r>
            <w:r w:rsidRPr="00EC3BD7">
              <w:rPr>
                <w:rFonts w:ascii="Times New Roman" w:hAnsi="Times New Roman"/>
                <w:color w:val="000000"/>
                <w:sz w:val="22"/>
                <w:szCs w:val="22"/>
                <w:lang w:val="et-EE"/>
              </w:rPr>
              <w:t xml:space="preserve">kuulist ravi võrrelduna algväärtusega (mõõdetud reaalajas kvantitatiivse pöördtranskriptaasi </w:t>
            </w:r>
            <w:smartTag w:uri="urn:schemas-microsoft-com:office:smarttags" w:element="stockticker">
              <w:r w:rsidRPr="00EC3BD7">
                <w:rPr>
                  <w:rFonts w:ascii="Times New Roman" w:hAnsi="Times New Roman"/>
                  <w:color w:val="000000"/>
                  <w:sz w:val="22"/>
                  <w:szCs w:val="22"/>
                  <w:lang w:val="et-EE"/>
                </w:rPr>
                <w:t>PCR</w:t>
              </w:r>
            </w:smartTag>
            <w:r w:rsidRPr="00EC3BD7">
              <w:rPr>
                <w:rFonts w:ascii="Times New Roman" w:hAnsi="Times New Roman"/>
                <w:color w:val="000000"/>
                <w:sz w:val="22"/>
                <w:szCs w:val="22"/>
                <w:lang w:val="et-EE"/>
              </w:rPr>
              <w:t xml:space="preserve"> meetodil).</w:t>
            </w:r>
          </w:p>
        </w:tc>
      </w:tr>
    </w:tbl>
    <w:p w14:paraId="31E8165C" w14:textId="77777777" w:rsidR="00136210" w:rsidRPr="00EC3BD7" w:rsidRDefault="00136210">
      <w:pPr>
        <w:pStyle w:val="Text"/>
        <w:widowControl w:val="0"/>
        <w:spacing w:before="0"/>
        <w:jc w:val="left"/>
        <w:rPr>
          <w:color w:val="000000"/>
          <w:sz w:val="22"/>
          <w:szCs w:val="22"/>
          <w:lang w:val="et-EE"/>
        </w:rPr>
      </w:pPr>
    </w:p>
    <w:p w14:paraId="2FAE8C5B" w14:textId="77777777" w:rsidR="00136210" w:rsidRPr="00EC3BD7" w:rsidRDefault="00136210">
      <w:pPr>
        <w:pStyle w:val="EndnoteText"/>
        <w:rPr>
          <w:color w:val="000000"/>
          <w:szCs w:val="22"/>
          <w:lang w:val="et-EE"/>
        </w:rPr>
      </w:pPr>
      <w:r w:rsidRPr="00EC3BD7">
        <w:rPr>
          <w:color w:val="000000"/>
          <w:szCs w:val="22"/>
          <w:lang w:val="et-EE"/>
        </w:rPr>
        <w:t xml:space="preserve">Täieliku hematoloogilise ravivastuse, olulise tsütogeneetilise ravivastuse ja täieliku tsütogeneetilise ravivastuse sagedused esmavaliku ravi puhul leiti Kaplan-Meieri hinnangfunktsiooni kasutades, mille puhul ravivastuse puudumised tsenseeriti viimase läbivaatuse kuupäeval. Seda hinnangfunktsiooni kasutades saadud kumulatiivsed ravivastuse sagedused esmavaliku Glivec-ravi puhul vahemikus 12 kuni </w:t>
      </w:r>
      <w:r w:rsidR="00884D19" w:rsidRPr="00EC3BD7">
        <w:rPr>
          <w:color w:val="000000"/>
          <w:szCs w:val="22"/>
          <w:lang w:val="et-EE"/>
        </w:rPr>
        <w:t>84</w:t>
      </w:r>
      <w:r w:rsidRPr="00EC3BD7">
        <w:rPr>
          <w:color w:val="000000"/>
          <w:szCs w:val="22"/>
          <w:lang w:val="et-EE"/>
        </w:rPr>
        <w:t xml:space="preserve"> kuud paranesid järgmiselt: täielik hematoloogiline ravivastus vastavalt 96,4% ning 98,4% ja täielik tsütoloogiline ravivastus vastavalt 69,5% ning </w:t>
      </w:r>
      <w:r w:rsidR="00884D19" w:rsidRPr="00EC3BD7">
        <w:rPr>
          <w:color w:val="000000"/>
          <w:szCs w:val="22"/>
          <w:lang w:val="et-EE"/>
        </w:rPr>
        <w:t>87,2</w:t>
      </w:r>
      <w:r w:rsidRPr="00EC3BD7">
        <w:rPr>
          <w:color w:val="000000"/>
          <w:szCs w:val="22"/>
          <w:lang w:val="et-EE"/>
        </w:rPr>
        <w:t>%.</w:t>
      </w:r>
    </w:p>
    <w:p w14:paraId="564B5D18" w14:textId="77777777" w:rsidR="00136210" w:rsidRPr="00EC3BD7" w:rsidRDefault="00136210">
      <w:pPr>
        <w:pStyle w:val="EndnoteText"/>
        <w:rPr>
          <w:color w:val="000000"/>
          <w:szCs w:val="22"/>
          <w:lang w:val="et-EE"/>
        </w:rPr>
      </w:pPr>
    </w:p>
    <w:p w14:paraId="243F39FC" w14:textId="77777777" w:rsidR="00136210" w:rsidRPr="00EC3BD7" w:rsidRDefault="00884D19">
      <w:pPr>
        <w:pStyle w:val="EndnoteText"/>
        <w:rPr>
          <w:color w:val="000000"/>
          <w:szCs w:val="22"/>
          <w:lang w:val="et-EE"/>
        </w:rPr>
      </w:pPr>
      <w:r w:rsidRPr="00EC3BD7">
        <w:rPr>
          <w:color w:val="000000"/>
          <w:szCs w:val="22"/>
          <w:lang w:val="et-EE"/>
        </w:rPr>
        <w:t>7</w:t>
      </w:r>
      <w:r w:rsidR="00136210" w:rsidRPr="00EC3BD7">
        <w:rPr>
          <w:color w:val="000000"/>
          <w:szCs w:val="22"/>
          <w:lang w:val="et-EE"/>
        </w:rPr>
        <w:t xml:space="preserve">-aastase järelkontrolli jooksul täheldati Gliveci rühmas </w:t>
      </w:r>
      <w:r w:rsidRPr="00EC3BD7">
        <w:rPr>
          <w:color w:val="000000"/>
          <w:szCs w:val="22"/>
          <w:lang w:val="et-EE"/>
        </w:rPr>
        <w:t>93</w:t>
      </w:r>
      <w:r w:rsidR="00136210" w:rsidRPr="00EC3BD7">
        <w:rPr>
          <w:color w:val="000000"/>
          <w:szCs w:val="22"/>
          <w:lang w:val="et-EE"/>
        </w:rPr>
        <w:t xml:space="preserve"> (</w:t>
      </w:r>
      <w:r w:rsidRPr="00EC3BD7">
        <w:rPr>
          <w:color w:val="000000"/>
          <w:szCs w:val="22"/>
          <w:lang w:val="et-EE"/>
        </w:rPr>
        <w:t>16,8</w:t>
      </w:r>
      <w:r w:rsidR="00136210" w:rsidRPr="00EC3BD7">
        <w:rPr>
          <w:color w:val="000000"/>
          <w:szCs w:val="22"/>
          <w:lang w:val="et-EE"/>
        </w:rPr>
        <w:t xml:space="preserve">%) progresseerumise juhtu: </w:t>
      </w:r>
      <w:r w:rsidRPr="00EC3BD7">
        <w:rPr>
          <w:color w:val="000000"/>
          <w:szCs w:val="22"/>
          <w:lang w:val="et-EE"/>
        </w:rPr>
        <w:t>37</w:t>
      </w:r>
      <w:r w:rsidR="00136210" w:rsidRPr="00EC3BD7">
        <w:rPr>
          <w:color w:val="000000"/>
          <w:szCs w:val="22"/>
          <w:lang w:val="et-EE"/>
        </w:rPr>
        <w:t xml:space="preserve"> (6,</w:t>
      </w:r>
      <w:r w:rsidRPr="00EC3BD7">
        <w:rPr>
          <w:color w:val="000000"/>
          <w:szCs w:val="22"/>
          <w:lang w:val="et-EE"/>
        </w:rPr>
        <w:t>7</w:t>
      </w:r>
      <w:r w:rsidR="00136210" w:rsidRPr="00EC3BD7">
        <w:rPr>
          <w:color w:val="000000"/>
          <w:szCs w:val="22"/>
          <w:lang w:val="et-EE"/>
        </w:rPr>
        <w:t xml:space="preserve">%) juhul oli tegemist progresseerumisega aktseleratsioonifaasi/blastsesse kriisi, </w:t>
      </w:r>
      <w:r w:rsidRPr="00EC3BD7">
        <w:rPr>
          <w:color w:val="000000"/>
          <w:szCs w:val="22"/>
          <w:lang w:val="et-EE"/>
        </w:rPr>
        <w:t>31</w:t>
      </w:r>
      <w:r w:rsidR="00136210" w:rsidRPr="00EC3BD7">
        <w:rPr>
          <w:color w:val="000000"/>
          <w:szCs w:val="22"/>
          <w:lang w:val="et-EE"/>
        </w:rPr>
        <w:t xml:space="preserve"> (5,</w:t>
      </w:r>
      <w:r w:rsidRPr="00EC3BD7">
        <w:rPr>
          <w:color w:val="000000"/>
          <w:szCs w:val="22"/>
          <w:lang w:val="et-EE"/>
        </w:rPr>
        <w:t>6</w:t>
      </w:r>
      <w:r w:rsidR="00136210" w:rsidRPr="00EC3BD7">
        <w:rPr>
          <w:color w:val="000000"/>
          <w:szCs w:val="22"/>
          <w:lang w:val="et-EE"/>
        </w:rPr>
        <w:t>%) juhul olulise tsütogeneetilise ravivastuse kaoga, 1</w:t>
      </w:r>
      <w:r w:rsidRPr="00EC3BD7">
        <w:rPr>
          <w:color w:val="000000"/>
          <w:szCs w:val="22"/>
          <w:lang w:val="et-EE"/>
        </w:rPr>
        <w:t>5</w:t>
      </w:r>
      <w:r w:rsidR="00136210" w:rsidRPr="00EC3BD7">
        <w:rPr>
          <w:color w:val="000000"/>
          <w:szCs w:val="22"/>
          <w:lang w:val="et-EE"/>
        </w:rPr>
        <w:t xml:space="preserve"> (2,</w:t>
      </w:r>
      <w:r w:rsidRPr="00EC3BD7">
        <w:rPr>
          <w:color w:val="000000"/>
          <w:szCs w:val="22"/>
          <w:lang w:val="et-EE"/>
        </w:rPr>
        <w:t>7</w:t>
      </w:r>
      <w:r w:rsidR="00136210" w:rsidRPr="00EC3BD7">
        <w:rPr>
          <w:color w:val="000000"/>
          <w:szCs w:val="22"/>
          <w:lang w:val="et-EE"/>
        </w:rPr>
        <w:t xml:space="preserve">%) juhul täieliku hematoloogilise ravivastuse kaoga või leukotsüütide arvu suurenemisega ning </w:t>
      </w:r>
      <w:r w:rsidRPr="00EC3BD7">
        <w:rPr>
          <w:color w:val="000000"/>
          <w:szCs w:val="22"/>
          <w:lang w:val="et-EE"/>
        </w:rPr>
        <w:t>10</w:t>
      </w:r>
      <w:r w:rsidR="00136210" w:rsidRPr="00EC3BD7">
        <w:rPr>
          <w:color w:val="000000"/>
          <w:szCs w:val="22"/>
          <w:lang w:val="et-EE"/>
        </w:rPr>
        <w:t xml:space="preserve"> (1,</w:t>
      </w:r>
      <w:r w:rsidR="00ED4EE3" w:rsidRPr="00EC3BD7">
        <w:rPr>
          <w:color w:val="000000"/>
          <w:szCs w:val="22"/>
          <w:lang w:val="et-EE"/>
        </w:rPr>
        <w:t>8</w:t>
      </w:r>
      <w:r w:rsidR="00136210" w:rsidRPr="00EC3BD7">
        <w:rPr>
          <w:color w:val="000000"/>
          <w:szCs w:val="22"/>
          <w:lang w:val="et-EE"/>
        </w:rPr>
        <w:t xml:space="preserve">%) juhul </w:t>
      </w:r>
      <w:smartTag w:uri="urn:schemas-microsoft-com:office:smarttags" w:element="stockticker">
        <w:r w:rsidR="00136210" w:rsidRPr="00EC3BD7">
          <w:rPr>
            <w:color w:val="000000"/>
            <w:szCs w:val="22"/>
            <w:lang w:val="et-EE"/>
          </w:rPr>
          <w:t>KML</w:t>
        </w:r>
      </w:smartTag>
      <w:r w:rsidR="00136210" w:rsidRPr="00EC3BD7">
        <w:rPr>
          <w:color w:val="000000"/>
          <w:szCs w:val="22"/>
          <w:lang w:val="et-EE"/>
        </w:rPr>
        <w:t>'ga mitteseotud surmadega. IFN+Ara-C rühmas täheldati aga 1</w:t>
      </w:r>
      <w:r w:rsidR="00ED4EE3" w:rsidRPr="00EC3BD7">
        <w:rPr>
          <w:color w:val="000000"/>
          <w:szCs w:val="22"/>
          <w:lang w:val="et-EE"/>
        </w:rPr>
        <w:t>65</w:t>
      </w:r>
      <w:r w:rsidR="00136210" w:rsidRPr="00EC3BD7">
        <w:rPr>
          <w:color w:val="000000"/>
          <w:szCs w:val="22"/>
          <w:lang w:val="et-EE"/>
        </w:rPr>
        <w:t xml:space="preserve"> (2</w:t>
      </w:r>
      <w:r w:rsidR="00ED4EE3" w:rsidRPr="00EC3BD7">
        <w:rPr>
          <w:color w:val="000000"/>
          <w:szCs w:val="22"/>
          <w:lang w:val="et-EE"/>
        </w:rPr>
        <w:t>9</w:t>
      </w:r>
      <w:r w:rsidR="00136210" w:rsidRPr="00EC3BD7">
        <w:rPr>
          <w:color w:val="000000"/>
          <w:szCs w:val="22"/>
          <w:lang w:val="et-EE"/>
        </w:rPr>
        <w:t>,</w:t>
      </w:r>
      <w:r w:rsidR="00ED4EE3" w:rsidRPr="00EC3BD7">
        <w:rPr>
          <w:color w:val="000000"/>
          <w:szCs w:val="22"/>
          <w:lang w:val="et-EE"/>
        </w:rPr>
        <w:t>8</w:t>
      </w:r>
      <w:r w:rsidR="00136210" w:rsidRPr="00EC3BD7">
        <w:rPr>
          <w:color w:val="000000"/>
          <w:szCs w:val="22"/>
          <w:lang w:val="et-EE"/>
        </w:rPr>
        <w:t>%) progresseerumise juhtu, millest 1</w:t>
      </w:r>
      <w:r w:rsidR="00ED4EE3" w:rsidRPr="00EC3BD7">
        <w:rPr>
          <w:color w:val="000000"/>
          <w:szCs w:val="22"/>
          <w:lang w:val="et-EE"/>
        </w:rPr>
        <w:t>30</w:t>
      </w:r>
      <w:r w:rsidR="00136210" w:rsidRPr="00EC3BD7">
        <w:rPr>
          <w:color w:val="000000"/>
          <w:szCs w:val="22"/>
          <w:lang w:val="et-EE"/>
        </w:rPr>
        <w:t xml:space="preserve"> ilmnesid esmavaliku IFN+Ara-C ravi ajal.</w:t>
      </w:r>
    </w:p>
    <w:p w14:paraId="28A05157" w14:textId="77777777" w:rsidR="00136210" w:rsidRPr="00EC3BD7" w:rsidRDefault="00136210">
      <w:pPr>
        <w:pStyle w:val="Text"/>
        <w:widowControl w:val="0"/>
        <w:spacing w:before="0"/>
        <w:jc w:val="left"/>
        <w:rPr>
          <w:color w:val="000000"/>
          <w:sz w:val="22"/>
          <w:szCs w:val="22"/>
          <w:lang w:val="et-EE"/>
        </w:rPr>
      </w:pPr>
    </w:p>
    <w:p w14:paraId="295D3373" w14:textId="77777777" w:rsidR="00136210" w:rsidRPr="00EC3BD7" w:rsidRDefault="00136210">
      <w:pPr>
        <w:pStyle w:val="EndnoteText"/>
        <w:widowControl w:val="0"/>
        <w:rPr>
          <w:color w:val="000000"/>
          <w:szCs w:val="22"/>
          <w:lang w:val="et-EE"/>
        </w:rPr>
      </w:pPr>
      <w:r w:rsidRPr="00EC3BD7">
        <w:rPr>
          <w:color w:val="000000"/>
          <w:szCs w:val="22"/>
          <w:lang w:val="et-EE"/>
        </w:rPr>
        <w:t xml:space="preserve">Patsientide osa, kelle haigus ei progresseerunud </w:t>
      </w:r>
      <w:r w:rsidR="00ED4EE3" w:rsidRPr="00EC3BD7">
        <w:rPr>
          <w:color w:val="000000"/>
          <w:szCs w:val="22"/>
          <w:lang w:val="et-EE"/>
        </w:rPr>
        <w:t>84</w:t>
      </w:r>
      <w:r w:rsidRPr="00EC3BD7">
        <w:rPr>
          <w:color w:val="000000"/>
          <w:szCs w:val="22"/>
          <w:lang w:val="et-EE"/>
        </w:rPr>
        <w:t> kuu möödudes aktseleratsioonifaasi või blastsesse kriisi, oli Gliveci rühmas oluliselt kõrgem kui IFNi rühmas (92,</w:t>
      </w:r>
      <w:r w:rsidR="00ED4EE3" w:rsidRPr="00EC3BD7">
        <w:rPr>
          <w:color w:val="000000"/>
          <w:szCs w:val="22"/>
          <w:lang w:val="et-EE"/>
        </w:rPr>
        <w:t>5</w:t>
      </w:r>
      <w:r w:rsidRPr="00EC3BD7">
        <w:rPr>
          <w:color w:val="000000"/>
          <w:szCs w:val="22"/>
          <w:lang w:val="et-EE"/>
        </w:rPr>
        <w:t xml:space="preserve">% </w:t>
      </w:r>
      <w:r w:rsidRPr="00EC3BD7">
        <w:rPr>
          <w:i/>
          <w:color w:val="000000"/>
          <w:szCs w:val="22"/>
          <w:lang w:val="et-EE"/>
        </w:rPr>
        <w:t>versus</w:t>
      </w:r>
      <w:r w:rsidRPr="00EC3BD7">
        <w:rPr>
          <w:color w:val="000000"/>
          <w:szCs w:val="22"/>
          <w:lang w:val="et-EE"/>
        </w:rPr>
        <w:t xml:space="preserve"> 8</w:t>
      </w:r>
      <w:r w:rsidR="00ED4EE3" w:rsidRPr="00EC3BD7">
        <w:rPr>
          <w:color w:val="000000"/>
          <w:szCs w:val="22"/>
          <w:lang w:val="et-EE"/>
        </w:rPr>
        <w:t>5</w:t>
      </w:r>
      <w:r w:rsidRPr="00EC3BD7">
        <w:rPr>
          <w:color w:val="000000"/>
          <w:szCs w:val="22"/>
          <w:lang w:val="et-EE"/>
        </w:rPr>
        <w:t>,</w:t>
      </w:r>
      <w:r w:rsidR="00ED4EE3" w:rsidRPr="00EC3BD7">
        <w:rPr>
          <w:color w:val="000000"/>
          <w:szCs w:val="22"/>
          <w:lang w:val="et-EE"/>
        </w:rPr>
        <w:t>1</w:t>
      </w:r>
      <w:r w:rsidRPr="00EC3BD7">
        <w:rPr>
          <w:color w:val="000000"/>
          <w:szCs w:val="22"/>
          <w:lang w:val="et-EE"/>
        </w:rPr>
        <w:t xml:space="preserve">%, p&lt;0,001). Aktseleratsioonifaasi või blastsesse kriisi progresseerumise aastane määr vähenes ajas ning oli neljandal ja viiendal aastal vähem kui 1%. Progressioonivaba elulemus </w:t>
      </w:r>
      <w:r w:rsidR="00E93DB8" w:rsidRPr="00EC3BD7">
        <w:rPr>
          <w:color w:val="000000"/>
          <w:szCs w:val="22"/>
          <w:lang w:val="et-EE"/>
        </w:rPr>
        <w:t>84</w:t>
      </w:r>
      <w:r w:rsidRPr="00EC3BD7">
        <w:rPr>
          <w:color w:val="000000"/>
          <w:szCs w:val="22"/>
          <w:lang w:val="et-EE"/>
        </w:rPr>
        <w:t> kuu möödudes oli 8</w:t>
      </w:r>
      <w:r w:rsidR="00E93DB8" w:rsidRPr="00EC3BD7">
        <w:rPr>
          <w:color w:val="000000"/>
          <w:szCs w:val="22"/>
          <w:lang w:val="et-EE"/>
        </w:rPr>
        <w:t>1</w:t>
      </w:r>
      <w:r w:rsidR="001777EF" w:rsidRPr="00EC3BD7">
        <w:rPr>
          <w:color w:val="000000"/>
          <w:szCs w:val="22"/>
          <w:lang w:val="et-EE"/>
        </w:rPr>
        <w:t>,</w:t>
      </w:r>
      <w:r w:rsidRPr="00EC3BD7">
        <w:rPr>
          <w:color w:val="000000"/>
          <w:szCs w:val="22"/>
          <w:lang w:val="et-EE"/>
        </w:rPr>
        <w:t>2% Gliveci rühmas ja 6</w:t>
      </w:r>
      <w:r w:rsidR="00E93DB8" w:rsidRPr="00EC3BD7">
        <w:rPr>
          <w:color w:val="000000"/>
          <w:szCs w:val="22"/>
          <w:lang w:val="et-EE"/>
        </w:rPr>
        <w:t>0</w:t>
      </w:r>
      <w:r w:rsidRPr="00EC3BD7">
        <w:rPr>
          <w:color w:val="000000"/>
          <w:szCs w:val="22"/>
          <w:lang w:val="et-EE"/>
        </w:rPr>
        <w:t>,</w:t>
      </w:r>
      <w:r w:rsidR="00E93DB8" w:rsidRPr="00EC3BD7">
        <w:rPr>
          <w:color w:val="000000"/>
          <w:szCs w:val="22"/>
          <w:lang w:val="et-EE"/>
        </w:rPr>
        <w:t>6</w:t>
      </w:r>
      <w:r w:rsidRPr="00EC3BD7">
        <w:rPr>
          <w:color w:val="000000"/>
          <w:szCs w:val="22"/>
          <w:lang w:val="et-EE"/>
        </w:rPr>
        <w:t>% kontrollrühmas (p&lt;0,001). Gliveci kasutamisel vähenes progresseerumise aastane määr ajas ka kõigil teistel juhtudel.</w:t>
      </w:r>
    </w:p>
    <w:p w14:paraId="778B8922" w14:textId="77777777" w:rsidR="00136210" w:rsidRPr="00EC3BD7" w:rsidRDefault="00136210">
      <w:pPr>
        <w:pStyle w:val="EndnoteText"/>
        <w:widowControl w:val="0"/>
        <w:rPr>
          <w:color w:val="000000"/>
          <w:szCs w:val="22"/>
          <w:lang w:val="et-EE"/>
        </w:rPr>
      </w:pPr>
    </w:p>
    <w:p w14:paraId="3F18CCB2" w14:textId="77777777" w:rsidR="00136210" w:rsidRPr="00EC3BD7" w:rsidRDefault="00136210">
      <w:pPr>
        <w:pStyle w:val="EndnoteText"/>
        <w:rPr>
          <w:color w:val="000000"/>
          <w:szCs w:val="22"/>
          <w:lang w:val="et-EE"/>
        </w:rPr>
      </w:pPr>
      <w:r w:rsidRPr="00EC3BD7">
        <w:rPr>
          <w:color w:val="000000"/>
          <w:szCs w:val="22"/>
          <w:lang w:val="et-EE"/>
        </w:rPr>
        <w:t xml:space="preserve">Gliveci ja IFN+Ara-C rühmas suri kokku vastavalt </w:t>
      </w:r>
      <w:r w:rsidR="00E93DB8" w:rsidRPr="00EC3BD7">
        <w:rPr>
          <w:color w:val="000000"/>
          <w:szCs w:val="22"/>
          <w:lang w:val="et-EE"/>
        </w:rPr>
        <w:t>71</w:t>
      </w:r>
      <w:r w:rsidRPr="00EC3BD7">
        <w:rPr>
          <w:color w:val="000000"/>
          <w:szCs w:val="22"/>
          <w:lang w:val="et-EE"/>
        </w:rPr>
        <w:t xml:space="preserve"> (1</w:t>
      </w:r>
      <w:r w:rsidR="00E93DB8" w:rsidRPr="00EC3BD7">
        <w:rPr>
          <w:color w:val="000000"/>
          <w:szCs w:val="22"/>
          <w:lang w:val="et-EE"/>
        </w:rPr>
        <w:t>2</w:t>
      </w:r>
      <w:r w:rsidRPr="00EC3BD7">
        <w:rPr>
          <w:color w:val="000000"/>
          <w:szCs w:val="22"/>
          <w:lang w:val="et-EE"/>
        </w:rPr>
        <w:t>,</w:t>
      </w:r>
      <w:r w:rsidR="00E93DB8" w:rsidRPr="00EC3BD7">
        <w:rPr>
          <w:color w:val="000000"/>
          <w:szCs w:val="22"/>
          <w:lang w:val="et-EE"/>
        </w:rPr>
        <w:t>8</w:t>
      </w:r>
      <w:r w:rsidRPr="00EC3BD7">
        <w:rPr>
          <w:color w:val="000000"/>
          <w:szCs w:val="22"/>
          <w:lang w:val="et-EE"/>
        </w:rPr>
        <w:t xml:space="preserve">%) ja </w:t>
      </w:r>
      <w:r w:rsidR="00E93DB8" w:rsidRPr="00EC3BD7">
        <w:rPr>
          <w:color w:val="000000"/>
          <w:szCs w:val="22"/>
          <w:lang w:val="et-EE"/>
        </w:rPr>
        <w:t>85</w:t>
      </w:r>
      <w:r w:rsidRPr="00EC3BD7">
        <w:rPr>
          <w:color w:val="000000"/>
          <w:szCs w:val="22"/>
          <w:lang w:val="et-EE"/>
        </w:rPr>
        <w:t xml:space="preserve"> (1</w:t>
      </w:r>
      <w:r w:rsidR="00E93DB8" w:rsidRPr="00EC3BD7">
        <w:rPr>
          <w:color w:val="000000"/>
          <w:szCs w:val="22"/>
          <w:lang w:val="et-EE"/>
        </w:rPr>
        <w:t>5</w:t>
      </w:r>
      <w:r w:rsidRPr="00EC3BD7">
        <w:rPr>
          <w:color w:val="000000"/>
          <w:szCs w:val="22"/>
          <w:lang w:val="et-EE"/>
        </w:rPr>
        <w:t>,</w:t>
      </w:r>
      <w:r w:rsidR="00E93DB8" w:rsidRPr="00EC3BD7">
        <w:rPr>
          <w:color w:val="000000"/>
          <w:szCs w:val="22"/>
          <w:lang w:val="et-EE"/>
        </w:rPr>
        <w:t>4</w:t>
      </w:r>
      <w:r w:rsidRPr="00EC3BD7">
        <w:rPr>
          <w:color w:val="000000"/>
          <w:szCs w:val="22"/>
          <w:lang w:val="et-EE"/>
        </w:rPr>
        <w:t xml:space="preserve">%) patsienti. </w:t>
      </w:r>
      <w:r w:rsidR="00E93DB8" w:rsidRPr="00EC3BD7">
        <w:rPr>
          <w:color w:val="000000"/>
          <w:szCs w:val="22"/>
          <w:lang w:val="et-EE"/>
        </w:rPr>
        <w:t>84</w:t>
      </w:r>
      <w:r w:rsidRPr="00EC3BD7">
        <w:rPr>
          <w:color w:val="000000"/>
          <w:szCs w:val="22"/>
          <w:lang w:val="et-EE"/>
        </w:rPr>
        <w:t> kuu möödudes oli hinnatud üldine elulemus vastavalt 8</w:t>
      </w:r>
      <w:r w:rsidR="00E93DB8" w:rsidRPr="00EC3BD7">
        <w:rPr>
          <w:color w:val="000000"/>
          <w:szCs w:val="22"/>
          <w:lang w:val="et-EE"/>
        </w:rPr>
        <w:t>6</w:t>
      </w:r>
      <w:r w:rsidRPr="00EC3BD7">
        <w:rPr>
          <w:color w:val="000000"/>
          <w:szCs w:val="22"/>
          <w:lang w:val="et-EE"/>
        </w:rPr>
        <w:t>,4% (8</w:t>
      </w:r>
      <w:r w:rsidR="00E93DB8" w:rsidRPr="00EC3BD7">
        <w:rPr>
          <w:color w:val="000000"/>
          <w:szCs w:val="22"/>
          <w:lang w:val="et-EE"/>
        </w:rPr>
        <w:t>3</w:t>
      </w:r>
      <w:r w:rsidRPr="00EC3BD7">
        <w:rPr>
          <w:color w:val="000000"/>
          <w:szCs w:val="22"/>
          <w:lang w:val="et-EE"/>
        </w:rPr>
        <w:t>, 9</w:t>
      </w:r>
      <w:r w:rsidR="00E93DB8" w:rsidRPr="00EC3BD7">
        <w:rPr>
          <w:color w:val="000000"/>
          <w:szCs w:val="22"/>
          <w:lang w:val="et-EE"/>
        </w:rPr>
        <w:t>0</w:t>
      </w:r>
      <w:r w:rsidRPr="00EC3BD7">
        <w:rPr>
          <w:color w:val="000000"/>
          <w:szCs w:val="22"/>
          <w:lang w:val="et-EE"/>
        </w:rPr>
        <w:t xml:space="preserve">) </w:t>
      </w:r>
      <w:r w:rsidRPr="00EC3BD7">
        <w:rPr>
          <w:i/>
          <w:color w:val="000000"/>
          <w:szCs w:val="22"/>
          <w:lang w:val="et-EE"/>
        </w:rPr>
        <w:t>vs.</w:t>
      </w:r>
      <w:r w:rsidRPr="00EC3BD7">
        <w:rPr>
          <w:color w:val="000000"/>
          <w:szCs w:val="22"/>
          <w:lang w:val="et-EE"/>
        </w:rPr>
        <w:t xml:space="preserve"> 8</w:t>
      </w:r>
      <w:r w:rsidR="00E93DB8" w:rsidRPr="00EC3BD7">
        <w:rPr>
          <w:color w:val="000000"/>
          <w:szCs w:val="22"/>
          <w:lang w:val="et-EE"/>
        </w:rPr>
        <w:t>3</w:t>
      </w:r>
      <w:r w:rsidRPr="00EC3BD7">
        <w:rPr>
          <w:color w:val="000000"/>
          <w:szCs w:val="22"/>
          <w:lang w:val="et-EE"/>
        </w:rPr>
        <w:t>,</w:t>
      </w:r>
      <w:r w:rsidR="00E93DB8" w:rsidRPr="00EC3BD7">
        <w:rPr>
          <w:color w:val="000000"/>
          <w:szCs w:val="22"/>
          <w:lang w:val="et-EE"/>
        </w:rPr>
        <w:t>3</w:t>
      </w:r>
      <w:r w:rsidRPr="00EC3BD7">
        <w:rPr>
          <w:color w:val="000000"/>
          <w:szCs w:val="22"/>
          <w:lang w:val="et-EE"/>
        </w:rPr>
        <w:t>% (8</w:t>
      </w:r>
      <w:r w:rsidR="00E93DB8" w:rsidRPr="00EC3BD7">
        <w:rPr>
          <w:color w:val="000000"/>
          <w:szCs w:val="22"/>
          <w:lang w:val="et-EE"/>
        </w:rPr>
        <w:t>0</w:t>
      </w:r>
      <w:r w:rsidRPr="00EC3BD7">
        <w:rPr>
          <w:color w:val="000000"/>
          <w:szCs w:val="22"/>
          <w:lang w:val="et-EE"/>
        </w:rPr>
        <w:t>, 8</w:t>
      </w:r>
      <w:r w:rsidR="00E93DB8" w:rsidRPr="00EC3BD7">
        <w:rPr>
          <w:color w:val="000000"/>
          <w:szCs w:val="22"/>
          <w:lang w:val="et-EE"/>
        </w:rPr>
        <w:t>7</w:t>
      </w:r>
      <w:r w:rsidRPr="00EC3BD7">
        <w:rPr>
          <w:color w:val="000000"/>
          <w:szCs w:val="22"/>
          <w:lang w:val="et-EE"/>
        </w:rPr>
        <w:t>) randomiseeritud Gliveci ja IFN+Ara-C rühmas (p=0,0</w:t>
      </w:r>
      <w:r w:rsidR="00E93DB8" w:rsidRPr="00EC3BD7">
        <w:rPr>
          <w:color w:val="000000"/>
          <w:szCs w:val="22"/>
          <w:lang w:val="et-EE"/>
        </w:rPr>
        <w:t>73</w:t>
      </w:r>
      <w:r w:rsidRPr="00EC3BD7">
        <w:rPr>
          <w:color w:val="000000"/>
          <w:szCs w:val="22"/>
          <w:lang w:val="et-EE"/>
        </w:rPr>
        <w:t xml:space="preserve">, logaritmiline astaktest). Tulemusnäitajat – haiguse </w:t>
      </w:r>
      <w:r w:rsidRPr="00EC3BD7">
        <w:rPr>
          <w:color w:val="000000"/>
          <w:szCs w:val="22"/>
          <w:lang w:val="et-EE"/>
        </w:rPr>
        <w:lastRenderedPageBreak/>
        <w:t xml:space="preserve">progresseerumiseni kuluvat aega – mõjutab oluliselt suur IFN+Ara-C ravilt Glivec-ravile üleviimise sagedus. Glivec-ravi toimet elulemusele kroonilises faasis, äsja diagnoositud </w:t>
      </w:r>
      <w:smartTag w:uri="urn:schemas-microsoft-com:office:smarttags" w:element="stockticker">
        <w:r w:rsidRPr="00EC3BD7">
          <w:rPr>
            <w:color w:val="000000"/>
            <w:szCs w:val="22"/>
            <w:lang w:val="et-EE"/>
          </w:rPr>
          <w:t>KML</w:t>
        </w:r>
      </w:smartTag>
      <w:r w:rsidRPr="00EC3BD7">
        <w:rPr>
          <w:color w:val="000000"/>
          <w:szCs w:val="22"/>
          <w:lang w:val="et-EE"/>
        </w:rPr>
        <w:t xml:space="preserve"> puhul on täiendavalt uuritud ülaltoodud Gliveci andmete retrospektiivses analüüsis koos esmaste andmetega ühest teisest </w:t>
      </w:r>
      <w:smartTag w:uri="urn:schemas-microsoft-com:office:smarttags" w:element="stockticker">
        <w:r w:rsidRPr="00EC3BD7">
          <w:rPr>
            <w:color w:val="000000"/>
            <w:szCs w:val="22"/>
            <w:lang w:val="et-EE"/>
          </w:rPr>
          <w:t>III</w:t>
        </w:r>
      </w:smartTag>
      <w:r w:rsidRPr="00EC3BD7">
        <w:rPr>
          <w:color w:val="000000"/>
          <w:szCs w:val="22"/>
          <w:lang w:val="et-EE"/>
        </w:rPr>
        <w:t xml:space="preserve"> faasi uuringust, kus IFN+Ara-C (n=325) kasutati samasuguse skeemi alusel. Selles retrospektiivses analüüsis demonstreeriti Gliveci paremust IFN+Ara-C ees üldise elulemuse suhtes (p&lt;0,001); 42 kuu jooksul suri 47 (8,5%) Gliveci patsienti ja 63 (19,4%) IFN+Ara-C patsienti.</w:t>
      </w:r>
    </w:p>
    <w:p w14:paraId="35719F82" w14:textId="77777777" w:rsidR="00136210" w:rsidRPr="00EC3BD7" w:rsidRDefault="00136210">
      <w:pPr>
        <w:pStyle w:val="EndnoteText"/>
        <w:rPr>
          <w:color w:val="000000"/>
          <w:szCs w:val="22"/>
          <w:lang w:val="et-EE"/>
        </w:rPr>
      </w:pPr>
    </w:p>
    <w:p w14:paraId="630105B5" w14:textId="77777777" w:rsidR="00136210" w:rsidRPr="00EC3BD7" w:rsidRDefault="00136210">
      <w:pPr>
        <w:pStyle w:val="EndnoteText"/>
        <w:rPr>
          <w:color w:val="000000"/>
          <w:szCs w:val="22"/>
          <w:lang w:val="et-EE"/>
        </w:rPr>
      </w:pPr>
      <w:r w:rsidRPr="00EC3BD7">
        <w:rPr>
          <w:color w:val="000000"/>
          <w:szCs w:val="22"/>
          <w:lang w:val="et-EE"/>
        </w:rPr>
        <w:t xml:space="preserve">Tsütogeneetilise ravivastuse ja molekulaarse ravivastuse määral oli ilmne toime pikaajalistele ravitulemustele Glivec-ravi saanud patsientidel. </w:t>
      </w:r>
      <w:r w:rsidR="007E4659" w:rsidRPr="00EC3BD7">
        <w:rPr>
          <w:color w:val="000000"/>
          <w:szCs w:val="22"/>
          <w:lang w:val="et-EE"/>
        </w:rPr>
        <w:t>84</w:t>
      </w:r>
      <w:r w:rsidRPr="00EC3BD7">
        <w:rPr>
          <w:color w:val="000000"/>
          <w:szCs w:val="22"/>
          <w:lang w:val="et-EE"/>
        </w:rPr>
        <w:t xml:space="preserve">. kuuks ei olnud aktseleratsioonifaasi/blastsesse kriisi progresseerunud </w:t>
      </w:r>
      <w:r w:rsidR="007E4659" w:rsidRPr="00EC3BD7">
        <w:rPr>
          <w:color w:val="000000"/>
          <w:szCs w:val="22"/>
          <w:lang w:val="et-EE"/>
        </w:rPr>
        <w:t>96</w:t>
      </w:r>
      <w:r w:rsidRPr="00EC3BD7">
        <w:rPr>
          <w:color w:val="000000"/>
          <w:szCs w:val="22"/>
          <w:lang w:val="et-EE"/>
        </w:rPr>
        <w:t>% (93%) patsientidest, kes olid 12. kuuks saavutanud täieliku (osalise) t</w:t>
      </w:r>
      <w:r w:rsidR="00003EF4" w:rsidRPr="00EC3BD7">
        <w:rPr>
          <w:color w:val="000000"/>
          <w:szCs w:val="22"/>
          <w:lang w:val="et-EE"/>
        </w:rPr>
        <w:t>sü</w:t>
      </w:r>
      <w:r w:rsidRPr="00EC3BD7">
        <w:rPr>
          <w:color w:val="000000"/>
          <w:szCs w:val="22"/>
          <w:lang w:val="et-EE"/>
        </w:rPr>
        <w:t xml:space="preserve">togeneetilise ravivastuse, ning ainult 81% patsientidest, kellel puudus </w:t>
      </w:r>
      <w:r w:rsidR="007E4659" w:rsidRPr="00EC3BD7">
        <w:rPr>
          <w:color w:val="000000"/>
          <w:szCs w:val="22"/>
          <w:lang w:val="et-EE"/>
        </w:rPr>
        <w:t>84</w:t>
      </w:r>
      <w:r w:rsidRPr="00EC3BD7">
        <w:rPr>
          <w:color w:val="000000"/>
          <w:szCs w:val="22"/>
          <w:lang w:val="et-EE"/>
        </w:rPr>
        <w:t>. kuul oluline tsütogeneetiline ravivastus (p&lt;0,001 üldiselt, p=0,2</w:t>
      </w:r>
      <w:r w:rsidR="007E4659" w:rsidRPr="00EC3BD7">
        <w:rPr>
          <w:color w:val="000000"/>
          <w:szCs w:val="22"/>
          <w:lang w:val="et-EE"/>
        </w:rPr>
        <w:t>5</w:t>
      </w:r>
      <w:r w:rsidRPr="00EC3BD7">
        <w:rPr>
          <w:color w:val="000000"/>
          <w:szCs w:val="22"/>
          <w:lang w:val="et-EE"/>
        </w:rPr>
        <w:t xml:space="preserve"> võrreldes täielikku ja osalist tsütogeneetilist ravivastust). Patsientidel, kellel esines täielik Bcr-Abl transkriptide arvu vähemalt 3-logaritmiline vähenemine pärast 12</w:t>
      </w:r>
      <w:r w:rsidRPr="00EC3BD7">
        <w:rPr>
          <w:color w:val="000000"/>
          <w:szCs w:val="22"/>
          <w:lang w:val="et-EE"/>
        </w:rPr>
        <w:noBreakHyphen/>
        <w:t xml:space="preserve">kuulist ravi, oli </w:t>
      </w:r>
      <w:r w:rsidR="003912B5" w:rsidRPr="00EC3BD7">
        <w:rPr>
          <w:color w:val="000000"/>
          <w:szCs w:val="22"/>
          <w:lang w:val="et-EE"/>
        </w:rPr>
        <w:t>99</w:t>
      </w:r>
      <w:r w:rsidRPr="00EC3BD7">
        <w:rPr>
          <w:color w:val="000000"/>
          <w:szCs w:val="22"/>
          <w:lang w:val="et-EE"/>
        </w:rPr>
        <w:t xml:space="preserve">% tõenäosus jääda </w:t>
      </w:r>
      <w:r w:rsidR="003912B5" w:rsidRPr="00EC3BD7">
        <w:rPr>
          <w:color w:val="000000"/>
          <w:szCs w:val="22"/>
          <w:lang w:val="et-EE"/>
        </w:rPr>
        <w:t>84</w:t>
      </w:r>
      <w:r w:rsidRPr="00EC3BD7">
        <w:rPr>
          <w:color w:val="000000"/>
          <w:szCs w:val="22"/>
          <w:lang w:val="et-EE"/>
        </w:rPr>
        <w:t xml:space="preserve"> kuuks aktseleratsioonifaasi/blastse kriisi progressioonivabaks. </w:t>
      </w:r>
      <w:r w:rsidR="002A219C" w:rsidRPr="00EC3BD7">
        <w:rPr>
          <w:color w:val="000000"/>
          <w:szCs w:val="22"/>
          <w:lang w:val="et-EE"/>
        </w:rPr>
        <w:t xml:space="preserve">Samasugused tulemused saadi </w:t>
      </w:r>
      <w:r w:rsidR="00983442" w:rsidRPr="00EC3BD7">
        <w:rPr>
          <w:color w:val="000000"/>
          <w:szCs w:val="22"/>
          <w:lang w:val="et-EE"/>
        </w:rPr>
        <w:t>ka 18 </w:t>
      </w:r>
      <w:r w:rsidR="002A219C" w:rsidRPr="00EC3BD7">
        <w:rPr>
          <w:color w:val="000000"/>
          <w:szCs w:val="22"/>
          <w:lang w:val="et-EE"/>
        </w:rPr>
        <w:t>kuu andmete analüüsil.</w:t>
      </w:r>
    </w:p>
    <w:p w14:paraId="3944D588" w14:textId="77777777" w:rsidR="00136210" w:rsidRPr="00EC3BD7" w:rsidRDefault="00136210">
      <w:pPr>
        <w:pStyle w:val="EndnoteText"/>
        <w:widowControl w:val="0"/>
        <w:rPr>
          <w:color w:val="000000"/>
          <w:szCs w:val="22"/>
          <w:lang w:val="et-EE"/>
        </w:rPr>
      </w:pPr>
    </w:p>
    <w:p w14:paraId="20C0A803" w14:textId="77777777" w:rsidR="00136210" w:rsidRPr="00EC3BD7" w:rsidRDefault="00136210">
      <w:pPr>
        <w:pStyle w:val="EndnoteText"/>
        <w:widowControl w:val="0"/>
        <w:rPr>
          <w:color w:val="000000"/>
          <w:szCs w:val="22"/>
          <w:lang w:val="et-EE"/>
        </w:rPr>
      </w:pPr>
      <w:r w:rsidRPr="00EC3BD7">
        <w:rPr>
          <w:color w:val="000000"/>
          <w:szCs w:val="22"/>
          <w:lang w:val="et-EE"/>
        </w:rPr>
        <w:t>Annuse suurendamine oli selles uuringus lubatud annuselt 400 mg päevas kuni 600 mg päevas, seejärel 600 mg päevas kuni 800 mg päevas. Pärast 42 kuulist jälgimist leidis 11 patsiendil kinnitust tsütogeneetilise ravivastuse kadumine (nelja nädala jooksul). Nendest 11-st patsiendist neljal suurendati annust 800 mg-ni päevas, nendest kaks saavutasid uuesti tsütogeneetilise ravivastuse (üks osalise ja teine täieliku, hiljem ka molekulaarse ravivastuse). Annust ei suurendatud 7 patsiendil ning neist ainult ühel taastus tsütogeneetiline ravivastus. Kõrvaltoimete esinemissagedus oli suurem nendel 40 patsiendil, kellel annust suurendati 800 mg-ni päevas võrrelduna patsientide populatsiooniga enne annuse suurendamist (n=551). Kõige sagedasemateks kõrvaltoimeteks olid gastrointestinaalsed hemorraagiad, konjunktiviit ja transaminaaside või bilirubiini taseme tõus. Teised kõrvaltoimed esinesid kas sama või väiksema sagedusega.</w:t>
      </w:r>
    </w:p>
    <w:p w14:paraId="19FA3A42" w14:textId="77777777" w:rsidR="00136210" w:rsidRPr="00EC3BD7" w:rsidRDefault="00136210">
      <w:pPr>
        <w:pStyle w:val="EndnoteText"/>
        <w:widowControl w:val="0"/>
        <w:rPr>
          <w:color w:val="000000"/>
          <w:szCs w:val="22"/>
          <w:lang w:val="et-EE"/>
        </w:rPr>
      </w:pPr>
    </w:p>
    <w:p w14:paraId="2F99AE2D" w14:textId="77777777" w:rsidR="00136210" w:rsidRPr="00EC3BD7" w:rsidRDefault="00136210">
      <w:pPr>
        <w:pStyle w:val="EndnoteText"/>
        <w:widowControl w:val="0"/>
        <w:tabs>
          <w:tab w:val="clear" w:pos="567"/>
        </w:tabs>
        <w:rPr>
          <w:color w:val="000000"/>
          <w:szCs w:val="22"/>
          <w:lang w:val="et-EE"/>
        </w:rPr>
      </w:pPr>
      <w:r w:rsidRPr="00EC3BD7">
        <w:rPr>
          <w:i/>
          <w:color w:val="000000"/>
          <w:szCs w:val="22"/>
          <w:lang w:val="et-EE"/>
        </w:rPr>
        <w:t>Krooniline staadium, interferoonravi ebaõnnestumine.</w:t>
      </w:r>
      <w:r w:rsidRPr="00EC3BD7">
        <w:rPr>
          <w:color w:val="000000"/>
          <w:szCs w:val="22"/>
          <w:lang w:val="et-EE"/>
        </w:rPr>
        <w:t xml:space="preserve"> 532 täiskasvanud patsiendil alustati ravi annusega 400 mg. Patsiendid jaotusid kolme peamisse rühma: hematoloogiline ebaõnnestumine (29%), tsütogeneetiline ebaõnnestumine (35%) või interferooni talumatus (36%). Patsiendid olid eelnevalt saanud keskmiselt 14 kuud (mediaan) IFNi ravi annustega </w:t>
      </w:r>
      <w:r w:rsidRPr="00EC3BD7">
        <w:rPr>
          <w:color w:val="000000"/>
          <w:szCs w:val="22"/>
          <w:lang w:val="et-EE"/>
        </w:rPr>
        <w:sym w:font="Symbol" w:char="F0B3"/>
      </w:r>
      <w:r w:rsidRPr="00EC3BD7">
        <w:rPr>
          <w:color w:val="000000"/>
          <w:szCs w:val="22"/>
          <w:lang w:val="et-EE"/>
        </w:rPr>
        <w:t>25x10</w:t>
      </w:r>
      <w:r w:rsidRPr="00EC3BD7">
        <w:rPr>
          <w:color w:val="000000"/>
          <w:szCs w:val="22"/>
          <w:vertAlign w:val="superscript"/>
          <w:lang w:val="et-EE"/>
        </w:rPr>
        <w:t>6</w:t>
      </w:r>
      <w:r w:rsidRPr="00EC3BD7">
        <w:rPr>
          <w:color w:val="000000"/>
          <w:szCs w:val="22"/>
          <w:lang w:val="et-EE"/>
        </w:rPr>
        <w:t xml:space="preserve"> RÜ/nädalas ja olid kõik hilises kroonilises staadiumis; diagnoosist oli möödunud keskmiselt 32 kuud. Uuringu esmane tulemusväljund oli oluline tsütogeneetiline vastus (täielik pluss osaline ravivastus, 0 kuni 35% Ph+ metafaase luuüdis).</w:t>
      </w:r>
    </w:p>
    <w:p w14:paraId="35BBB0AA" w14:textId="77777777" w:rsidR="00136210" w:rsidRPr="00EC3BD7" w:rsidRDefault="00136210">
      <w:pPr>
        <w:pStyle w:val="EndnoteText"/>
        <w:widowControl w:val="0"/>
        <w:tabs>
          <w:tab w:val="clear" w:pos="567"/>
        </w:tabs>
        <w:rPr>
          <w:color w:val="000000"/>
          <w:szCs w:val="22"/>
          <w:lang w:val="et-EE"/>
        </w:rPr>
      </w:pPr>
    </w:p>
    <w:p w14:paraId="7C754C0F"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Selles uuringus saavutas 65% patsientidest olulise tsütogeneetilise vastuse, mis 53%-l patsientidest oli täielik (kinnitunud 43%) (tabel </w:t>
      </w:r>
      <w:r w:rsidR="00A2060F" w:rsidRPr="00EC3BD7">
        <w:rPr>
          <w:color w:val="000000"/>
          <w:szCs w:val="22"/>
          <w:lang w:val="et-EE"/>
        </w:rPr>
        <w:t>3</w:t>
      </w:r>
      <w:r w:rsidRPr="00EC3BD7">
        <w:rPr>
          <w:color w:val="000000"/>
          <w:szCs w:val="22"/>
          <w:lang w:val="et-EE"/>
        </w:rPr>
        <w:t>). Täielik hematoloogiline vastus saavutati 95%-l patsientidest.</w:t>
      </w:r>
    </w:p>
    <w:p w14:paraId="3AF3E7A4" w14:textId="77777777" w:rsidR="00136210" w:rsidRPr="00EC3BD7" w:rsidRDefault="00136210">
      <w:pPr>
        <w:pStyle w:val="EndnoteText"/>
        <w:widowControl w:val="0"/>
        <w:tabs>
          <w:tab w:val="clear" w:pos="567"/>
        </w:tabs>
        <w:rPr>
          <w:color w:val="000000"/>
          <w:szCs w:val="22"/>
          <w:lang w:val="et-EE"/>
        </w:rPr>
      </w:pPr>
    </w:p>
    <w:p w14:paraId="3A0A52B9" w14:textId="77777777" w:rsidR="00136210" w:rsidRPr="00EC3BD7" w:rsidRDefault="00136210">
      <w:pPr>
        <w:pStyle w:val="EndnoteText"/>
        <w:widowControl w:val="0"/>
        <w:tabs>
          <w:tab w:val="clear" w:pos="567"/>
        </w:tabs>
        <w:rPr>
          <w:color w:val="000000"/>
          <w:szCs w:val="22"/>
          <w:lang w:val="et-EE"/>
        </w:rPr>
      </w:pPr>
      <w:r w:rsidRPr="00EC3BD7">
        <w:rPr>
          <w:i/>
          <w:color w:val="000000"/>
          <w:szCs w:val="22"/>
          <w:lang w:val="et-EE"/>
        </w:rPr>
        <w:t>Aktseleratsioonifaas</w:t>
      </w:r>
      <w:r w:rsidRPr="00EC3BD7">
        <w:rPr>
          <w:color w:val="000000"/>
          <w:szCs w:val="22"/>
          <w:lang w:val="et-EE"/>
        </w:rPr>
        <w:t xml:space="preserve">. Osales 235 täiskasvanud patsienti </w:t>
      </w:r>
      <w:smartTag w:uri="urn:schemas-microsoft-com:office:smarttags" w:element="stockticker">
        <w:r w:rsidRPr="00EC3BD7">
          <w:rPr>
            <w:color w:val="000000"/>
            <w:szCs w:val="22"/>
            <w:lang w:val="et-EE"/>
          </w:rPr>
          <w:t>KML</w:t>
        </w:r>
      </w:smartTag>
      <w:r w:rsidRPr="00EC3BD7">
        <w:rPr>
          <w:color w:val="000000"/>
          <w:szCs w:val="22"/>
          <w:lang w:val="et-EE"/>
        </w:rPr>
        <w:t xml:space="preserve"> aktseleratsioonifaasis. Esimesed 77 patsienti alustasid ravi annusega 400 mg, kuid seejärel muudeti protokolli, et saaks kasutada suuremaid annuseid ning ülejäänud 158 patsienti alustasid annusega 600 mg.</w:t>
      </w:r>
    </w:p>
    <w:p w14:paraId="39145C5F" w14:textId="77777777" w:rsidR="00136210" w:rsidRPr="00EC3BD7" w:rsidRDefault="00136210">
      <w:pPr>
        <w:pStyle w:val="EndnoteText"/>
        <w:widowControl w:val="0"/>
        <w:tabs>
          <w:tab w:val="clear" w:pos="567"/>
        </w:tabs>
        <w:rPr>
          <w:color w:val="000000"/>
          <w:szCs w:val="22"/>
          <w:lang w:val="et-EE"/>
        </w:rPr>
      </w:pPr>
    </w:p>
    <w:p w14:paraId="5D288832"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 xml:space="preserve">Esmane tulemusnäitaja oli hematoloogiline ravivastus, mis väljendus kas täieliku hematoloogilise vastusena, leukeemia tunnuste puudumisena (st blastid kadunud luuüdist ja verest, kuid ilma täieliku perifeerse vere normaliseerumiseta nagu täieliku reaktsiooni puhul) või </w:t>
      </w:r>
      <w:smartTag w:uri="urn:schemas-microsoft-com:office:smarttags" w:element="stockticker">
        <w:r w:rsidRPr="00EC3BD7">
          <w:rPr>
            <w:color w:val="000000"/>
            <w:szCs w:val="22"/>
            <w:lang w:val="et-EE"/>
          </w:rPr>
          <w:t>KML</w:t>
        </w:r>
      </w:smartTag>
      <w:r w:rsidRPr="00EC3BD7">
        <w:rPr>
          <w:color w:val="000000"/>
          <w:szCs w:val="22"/>
          <w:lang w:val="et-EE"/>
        </w:rPr>
        <w:t xml:space="preserve"> kroonilise faasi taastumisena. Kinnitunud hematoloogiline vastus saavutati 71,5% patsientidel (tabel </w:t>
      </w:r>
      <w:r w:rsidR="00A2060F" w:rsidRPr="00EC3BD7">
        <w:rPr>
          <w:color w:val="000000"/>
          <w:szCs w:val="22"/>
          <w:lang w:val="et-EE"/>
        </w:rPr>
        <w:t>3</w:t>
      </w:r>
      <w:r w:rsidRPr="00EC3BD7">
        <w:rPr>
          <w:color w:val="000000"/>
          <w:szCs w:val="22"/>
          <w:lang w:val="et-EE"/>
        </w:rPr>
        <w:t>). Oluline oli, et 27,7% patsientidest saavutasid ka olulise tsütogeneetilise vastuse, mis oli täielik 20,4% patsientidel (kinnitus 16% patsientidest). Annusega 600 mg ravitud patsientide progressioonivaba elulemus ja üleüldine elulemus olid hinnanguliselt keskmiselt vastavalt 22,9 ja 42,5 kuud.</w:t>
      </w:r>
    </w:p>
    <w:p w14:paraId="76FDBE47" w14:textId="77777777" w:rsidR="00136210" w:rsidRPr="00EC3BD7" w:rsidRDefault="00136210">
      <w:pPr>
        <w:pStyle w:val="EndnoteText"/>
        <w:widowControl w:val="0"/>
        <w:tabs>
          <w:tab w:val="clear" w:pos="567"/>
        </w:tabs>
        <w:rPr>
          <w:color w:val="000000"/>
          <w:szCs w:val="22"/>
          <w:lang w:val="et-EE"/>
        </w:rPr>
      </w:pPr>
    </w:p>
    <w:p w14:paraId="7F799B02" w14:textId="77777777" w:rsidR="00136210" w:rsidRPr="00EC3BD7" w:rsidRDefault="00136210">
      <w:pPr>
        <w:pStyle w:val="EndnoteText"/>
        <w:widowControl w:val="0"/>
        <w:tabs>
          <w:tab w:val="clear" w:pos="567"/>
        </w:tabs>
        <w:rPr>
          <w:color w:val="000000"/>
          <w:szCs w:val="22"/>
          <w:lang w:val="et-EE"/>
        </w:rPr>
      </w:pPr>
      <w:r w:rsidRPr="00EC3BD7">
        <w:rPr>
          <w:i/>
          <w:color w:val="000000"/>
          <w:szCs w:val="22"/>
          <w:lang w:val="et-EE"/>
        </w:rPr>
        <w:t xml:space="preserve">Müeloidne blastne kriis. </w:t>
      </w:r>
      <w:r w:rsidRPr="00EC3BD7">
        <w:rPr>
          <w:color w:val="000000"/>
          <w:szCs w:val="22"/>
          <w:lang w:val="et-EE"/>
        </w:rPr>
        <w:t>Osales 260 patsienti müeloidse blastse kriisiga. 95 patsienti (37%) olid eelnevalt saanud kemoteraapiat kas aktseleratsioonifaasi või blastse kriisi raviks (“eelnevalt ravitud patsiendid”) ja 165 (63%) ei olnud ravi saanud (“ravimata patsiendid”). Esimesed 37 patsienti alustasid ravi annusega 400 mg, kuid seejärel muudeti protokolli, et saaks kasutada suuremaid annuseid ja ülejäänud 223 patsienti alustasid annusega 600 mg.</w:t>
      </w:r>
    </w:p>
    <w:p w14:paraId="773C873F" w14:textId="77777777" w:rsidR="00136210" w:rsidRPr="00EC3BD7" w:rsidRDefault="00136210">
      <w:pPr>
        <w:pStyle w:val="EndnoteText"/>
        <w:widowControl w:val="0"/>
        <w:tabs>
          <w:tab w:val="clear" w:pos="567"/>
        </w:tabs>
        <w:rPr>
          <w:color w:val="000000"/>
          <w:szCs w:val="22"/>
          <w:lang w:val="et-EE"/>
        </w:rPr>
      </w:pPr>
    </w:p>
    <w:p w14:paraId="681D6EE6"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 xml:space="preserve">Esmane tulemusnäitaja oli hematoloogilise vastuse saavutamine, mis väljendus kas täieliku </w:t>
      </w:r>
      <w:r w:rsidRPr="00EC3BD7">
        <w:rPr>
          <w:color w:val="000000"/>
          <w:szCs w:val="22"/>
          <w:lang w:val="et-EE"/>
        </w:rPr>
        <w:lastRenderedPageBreak/>
        <w:t xml:space="preserve">hematoloogilise vastusena, leukeemia tunnuste puudumisena või </w:t>
      </w:r>
      <w:smartTag w:uri="urn:schemas-microsoft-com:office:smarttags" w:element="stockticker">
        <w:r w:rsidRPr="00EC3BD7">
          <w:rPr>
            <w:color w:val="000000"/>
            <w:szCs w:val="22"/>
            <w:lang w:val="et-EE"/>
          </w:rPr>
          <w:t>KML</w:t>
        </w:r>
      </w:smartTag>
      <w:r w:rsidRPr="00EC3BD7">
        <w:rPr>
          <w:color w:val="000000"/>
          <w:szCs w:val="22"/>
          <w:lang w:val="et-EE"/>
        </w:rPr>
        <w:t xml:space="preserve"> kroonilise faasi taastumisena (kasutati samu kriteeriume nagu aktseleratsioonifaasi uuringus). Selles uuringus saavutasid 31% patsientidest hematoloogilise vastuse (36% eelnevalt ravitud patsientidest ja 22% ravimata patsientidest). Ravivastus esines sagedamini patsientidel, keda raviti annusega 600 mg (33%) võrreldes patsientidega, keda raviti annusega 400 mg (16%, p=0,0220). Keskmiseks elulemuseks (mediaan) hinnati 7,7 ja 4,7 kuud vastavalt eelnevalt ravitud patsientidel ja ravimata patsientidel.</w:t>
      </w:r>
    </w:p>
    <w:p w14:paraId="4C3466DD" w14:textId="77777777" w:rsidR="00136210" w:rsidRPr="00EC3BD7" w:rsidRDefault="00136210">
      <w:pPr>
        <w:pStyle w:val="EndnoteText"/>
        <w:widowControl w:val="0"/>
        <w:tabs>
          <w:tab w:val="clear" w:pos="567"/>
        </w:tabs>
        <w:rPr>
          <w:color w:val="000000"/>
          <w:szCs w:val="22"/>
          <w:lang w:val="et-EE"/>
        </w:rPr>
      </w:pPr>
    </w:p>
    <w:p w14:paraId="115B090D" w14:textId="77777777" w:rsidR="00136210" w:rsidRPr="00EC3BD7" w:rsidRDefault="00136210">
      <w:pPr>
        <w:pStyle w:val="BodyText"/>
        <w:widowControl w:val="0"/>
        <w:spacing w:line="240" w:lineRule="auto"/>
        <w:rPr>
          <w:b w:val="0"/>
          <w:i w:val="0"/>
          <w:color w:val="000000"/>
          <w:szCs w:val="22"/>
          <w:lang w:val="et-EE"/>
        </w:rPr>
      </w:pPr>
      <w:r w:rsidRPr="00EC3BD7">
        <w:rPr>
          <w:b w:val="0"/>
          <w:color w:val="000000"/>
          <w:szCs w:val="22"/>
          <w:lang w:val="et-EE"/>
        </w:rPr>
        <w:t>Lümfoidne blastne kriis</w:t>
      </w:r>
      <w:r w:rsidRPr="00EC3BD7">
        <w:rPr>
          <w:b w:val="0"/>
          <w:i w:val="0"/>
          <w:color w:val="000000"/>
          <w:szCs w:val="22"/>
          <w:lang w:val="et-EE"/>
        </w:rPr>
        <w:t>. I faasi uuringutes osales piiratud arv patsiente (n=10). Hematoloogiline vastus esines 70% patsientidel kestusega 2...3 kuud.</w:t>
      </w:r>
    </w:p>
    <w:p w14:paraId="6C76E640" w14:textId="77777777" w:rsidR="00136210" w:rsidRPr="00EC3BD7" w:rsidRDefault="00136210">
      <w:pPr>
        <w:pStyle w:val="EndnoteText"/>
        <w:widowControl w:val="0"/>
        <w:tabs>
          <w:tab w:val="clear" w:pos="567"/>
        </w:tabs>
        <w:rPr>
          <w:color w:val="000000"/>
          <w:szCs w:val="22"/>
          <w:lang w:val="et-EE"/>
        </w:rPr>
      </w:pPr>
    </w:p>
    <w:p w14:paraId="286C1DBD" w14:textId="77777777" w:rsidR="00136210" w:rsidRPr="00EC3BD7" w:rsidRDefault="00136210" w:rsidP="008B1609">
      <w:pPr>
        <w:pStyle w:val="EndnoteText"/>
        <w:keepNext/>
        <w:widowControl w:val="0"/>
        <w:tabs>
          <w:tab w:val="clear" w:pos="567"/>
          <w:tab w:val="left" w:pos="1134"/>
        </w:tabs>
        <w:rPr>
          <w:color w:val="000000"/>
          <w:szCs w:val="22"/>
          <w:lang w:val="et-EE"/>
        </w:rPr>
      </w:pPr>
      <w:r w:rsidRPr="00EC3BD7">
        <w:rPr>
          <w:b/>
          <w:color w:val="000000"/>
          <w:szCs w:val="22"/>
          <w:lang w:val="et-EE"/>
        </w:rPr>
        <w:t>Tabel </w:t>
      </w:r>
      <w:r w:rsidR="00A2060F" w:rsidRPr="00EC3BD7">
        <w:rPr>
          <w:b/>
          <w:color w:val="000000"/>
          <w:szCs w:val="22"/>
          <w:lang w:val="et-EE"/>
        </w:rPr>
        <w:t>3</w:t>
      </w:r>
      <w:r w:rsidRPr="00EC3BD7">
        <w:rPr>
          <w:b/>
          <w:color w:val="000000"/>
          <w:szCs w:val="22"/>
          <w:lang w:val="et-EE"/>
        </w:rPr>
        <w:tab/>
        <w:t xml:space="preserve">Reaktsioon </w:t>
      </w:r>
      <w:smartTag w:uri="urn:schemas-microsoft-com:office:smarttags" w:element="stockticker">
        <w:r w:rsidRPr="00EC3BD7">
          <w:rPr>
            <w:b/>
            <w:color w:val="000000"/>
            <w:szCs w:val="22"/>
            <w:lang w:val="et-EE"/>
          </w:rPr>
          <w:t>KML</w:t>
        </w:r>
      </w:smartTag>
      <w:r w:rsidRPr="00EC3BD7">
        <w:rPr>
          <w:b/>
          <w:color w:val="000000"/>
          <w:szCs w:val="22"/>
          <w:lang w:val="et-EE"/>
        </w:rPr>
        <w:t xml:space="preserve"> uuringutes täiskasvanutel</w:t>
      </w:r>
    </w:p>
    <w:p w14:paraId="56BD9222" w14:textId="77777777" w:rsidR="00136210" w:rsidRPr="00EC3BD7" w:rsidRDefault="00136210" w:rsidP="008B1609">
      <w:pPr>
        <w:pStyle w:val="EndnoteText"/>
        <w:keepNext/>
        <w:widowControl w:val="0"/>
        <w:tabs>
          <w:tab w:val="clear" w:pos="567"/>
        </w:tabs>
        <w:rPr>
          <w:color w:val="000000"/>
          <w:szCs w:val="22"/>
          <w:lang w:val="et-EE"/>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983"/>
        <w:gridCol w:w="2126"/>
        <w:gridCol w:w="1986"/>
      </w:tblGrid>
      <w:tr w:rsidR="00136210" w:rsidRPr="005D29F8" w14:paraId="160E2D9A" w14:textId="77777777" w:rsidTr="008B1609">
        <w:trPr>
          <w:cantSplit/>
        </w:trPr>
        <w:tc>
          <w:tcPr>
            <w:tcW w:w="3227" w:type="dxa"/>
            <w:tcBorders>
              <w:bottom w:val="nil"/>
            </w:tcBorders>
          </w:tcPr>
          <w:p w14:paraId="419BFE37" w14:textId="77777777" w:rsidR="00136210" w:rsidRPr="00EC3BD7" w:rsidRDefault="00136210" w:rsidP="008B1609">
            <w:pPr>
              <w:pStyle w:val="EndnoteText"/>
              <w:keepNext/>
              <w:widowControl w:val="0"/>
              <w:tabs>
                <w:tab w:val="clear" w:pos="567"/>
              </w:tabs>
              <w:rPr>
                <w:color w:val="000000"/>
                <w:szCs w:val="22"/>
                <w:lang w:val="et-EE"/>
              </w:rPr>
            </w:pPr>
          </w:p>
        </w:tc>
        <w:tc>
          <w:tcPr>
            <w:tcW w:w="1983" w:type="dxa"/>
            <w:tcBorders>
              <w:bottom w:val="nil"/>
            </w:tcBorders>
          </w:tcPr>
          <w:p w14:paraId="187451FC"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Uuring 0110</w:t>
            </w:r>
          </w:p>
          <w:p w14:paraId="4179E765"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37 kuu andmed</w:t>
            </w:r>
          </w:p>
          <w:p w14:paraId="7CAEE607"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Krooniline staadium, IFN ebaõnnestumine</w:t>
            </w:r>
          </w:p>
          <w:p w14:paraId="5CBBA0AA"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(n=532)</w:t>
            </w:r>
          </w:p>
        </w:tc>
        <w:tc>
          <w:tcPr>
            <w:tcW w:w="2126" w:type="dxa"/>
            <w:tcBorders>
              <w:bottom w:val="nil"/>
            </w:tcBorders>
          </w:tcPr>
          <w:p w14:paraId="250F78FE"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Uuring 0109</w:t>
            </w:r>
          </w:p>
          <w:p w14:paraId="5DA17CF1"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40,5 kuu andmed</w:t>
            </w:r>
          </w:p>
          <w:p w14:paraId="17430D22"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Aktseleratsioonifaas</w:t>
            </w:r>
          </w:p>
          <w:p w14:paraId="025B9431"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(n=235)</w:t>
            </w:r>
          </w:p>
        </w:tc>
        <w:tc>
          <w:tcPr>
            <w:tcW w:w="1986" w:type="dxa"/>
            <w:tcBorders>
              <w:bottom w:val="nil"/>
            </w:tcBorders>
          </w:tcPr>
          <w:p w14:paraId="0E50D02E"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Uuring 0102</w:t>
            </w:r>
          </w:p>
          <w:p w14:paraId="4D4F26EA"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38 kuu andmed</w:t>
            </w:r>
          </w:p>
          <w:p w14:paraId="7094C44F"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Müeloidne blastne kriis</w:t>
            </w:r>
          </w:p>
          <w:p w14:paraId="163BFAB8"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(n=260)</w:t>
            </w:r>
          </w:p>
        </w:tc>
      </w:tr>
      <w:tr w:rsidR="00136210" w:rsidRPr="00EC3BD7" w14:paraId="53B2BEC9" w14:textId="77777777" w:rsidTr="008B1609">
        <w:trPr>
          <w:cantSplit/>
        </w:trPr>
        <w:tc>
          <w:tcPr>
            <w:tcW w:w="3227" w:type="dxa"/>
            <w:tcBorders>
              <w:bottom w:val="nil"/>
            </w:tcBorders>
          </w:tcPr>
          <w:p w14:paraId="38F82EBC" w14:textId="77777777" w:rsidR="00136210" w:rsidRPr="00EC3BD7" w:rsidRDefault="00136210" w:rsidP="008B1609">
            <w:pPr>
              <w:pStyle w:val="EndnoteText"/>
              <w:keepNext/>
              <w:widowControl w:val="0"/>
              <w:tabs>
                <w:tab w:val="clear" w:pos="567"/>
              </w:tabs>
              <w:rPr>
                <w:color w:val="000000"/>
                <w:szCs w:val="22"/>
                <w:lang w:val="et-EE"/>
              </w:rPr>
            </w:pPr>
          </w:p>
        </w:tc>
        <w:tc>
          <w:tcPr>
            <w:tcW w:w="6095" w:type="dxa"/>
            <w:gridSpan w:val="3"/>
            <w:tcBorders>
              <w:bottom w:val="nil"/>
            </w:tcBorders>
          </w:tcPr>
          <w:p w14:paraId="2425A835"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Patsientide % (CI</w:t>
            </w:r>
            <w:r w:rsidRPr="00EC3BD7">
              <w:rPr>
                <w:color w:val="000000"/>
                <w:szCs w:val="22"/>
                <w:vertAlign w:val="subscript"/>
                <w:lang w:val="et-EE"/>
              </w:rPr>
              <w:t>95%</w:t>
            </w:r>
            <w:r w:rsidRPr="00EC3BD7">
              <w:rPr>
                <w:color w:val="000000"/>
                <w:szCs w:val="22"/>
                <w:lang w:val="et-EE"/>
              </w:rPr>
              <w:t>)</w:t>
            </w:r>
          </w:p>
        </w:tc>
      </w:tr>
      <w:tr w:rsidR="00136210" w:rsidRPr="00EC3BD7" w14:paraId="1AFE2E95" w14:textId="77777777" w:rsidTr="008B1609">
        <w:trPr>
          <w:cantSplit/>
        </w:trPr>
        <w:tc>
          <w:tcPr>
            <w:tcW w:w="3227" w:type="dxa"/>
            <w:tcBorders>
              <w:bottom w:val="nil"/>
            </w:tcBorders>
          </w:tcPr>
          <w:p w14:paraId="0B4E1471" w14:textId="77777777" w:rsidR="00136210" w:rsidRPr="00EC3BD7" w:rsidRDefault="00136210" w:rsidP="008B1609">
            <w:pPr>
              <w:pStyle w:val="EndnoteText"/>
              <w:keepNext/>
              <w:widowControl w:val="0"/>
              <w:tabs>
                <w:tab w:val="clear" w:pos="567"/>
              </w:tabs>
              <w:rPr>
                <w:color w:val="000000"/>
                <w:szCs w:val="22"/>
                <w:lang w:val="et-EE"/>
              </w:rPr>
            </w:pPr>
            <w:r w:rsidRPr="00EC3BD7">
              <w:rPr>
                <w:color w:val="000000"/>
                <w:szCs w:val="22"/>
                <w:lang w:val="et-EE"/>
              </w:rPr>
              <w:t>Hematoloogiline ravivastus</w:t>
            </w:r>
            <w:r w:rsidRPr="00EC3BD7">
              <w:rPr>
                <w:color w:val="000000"/>
                <w:szCs w:val="22"/>
                <w:vertAlign w:val="superscript"/>
                <w:lang w:val="et-EE"/>
              </w:rPr>
              <w:t>1</w:t>
            </w:r>
          </w:p>
        </w:tc>
        <w:tc>
          <w:tcPr>
            <w:tcW w:w="1983" w:type="dxa"/>
            <w:tcBorders>
              <w:bottom w:val="nil"/>
            </w:tcBorders>
          </w:tcPr>
          <w:p w14:paraId="4D72EA59"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95% (92,3...96,3)</w:t>
            </w:r>
          </w:p>
        </w:tc>
        <w:tc>
          <w:tcPr>
            <w:tcW w:w="2126" w:type="dxa"/>
            <w:tcBorders>
              <w:bottom w:val="nil"/>
            </w:tcBorders>
          </w:tcPr>
          <w:p w14:paraId="4C95341E"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71% (65,3...77,2)</w:t>
            </w:r>
          </w:p>
        </w:tc>
        <w:tc>
          <w:tcPr>
            <w:tcW w:w="1986" w:type="dxa"/>
            <w:tcBorders>
              <w:bottom w:val="nil"/>
            </w:tcBorders>
          </w:tcPr>
          <w:p w14:paraId="12FD504C"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31% (25,2...36,8)</w:t>
            </w:r>
          </w:p>
        </w:tc>
      </w:tr>
      <w:tr w:rsidR="00136210" w:rsidRPr="00EC3BD7" w14:paraId="6E406F17" w14:textId="77777777" w:rsidTr="008B1609">
        <w:trPr>
          <w:cantSplit/>
        </w:trPr>
        <w:tc>
          <w:tcPr>
            <w:tcW w:w="3227" w:type="dxa"/>
            <w:tcBorders>
              <w:top w:val="nil"/>
              <w:bottom w:val="nil"/>
            </w:tcBorders>
          </w:tcPr>
          <w:p w14:paraId="244DBBBC" w14:textId="77777777" w:rsidR="00136210" w:rsidRPr="00EC3BD7" w:rsidRDefault="00136210" w:rsidP="008B1609">
            <w:pPr>
              <w:pStyle w:val="EndnoteText"/>
              <w:keepNext/>
              <w:widowControl w:val="0"/>
              <w:tabs>
                <w:tab w:val="clear" w:pos="567"/>
              </w:tabs>
              <w:ind w:left="284"/>
              <w:rPr>
                <w:color w:val="000000"/>
                <w:szCs w:val="22"/>
                <w:lang w:val="et-EE"/>
              </w:rPr>
            </w:pPr>
            <w:r w:rsidRPr="00EC3BD7">
              <w:rPr>
                <w:color w:val="000000"/>
                <w:szCs w:val="22"/>
                <w:lang w:val="et-EE"/>
              </w:rPr>
              <w:t>Täielik hematoloogiline ravivastus</w:t>
            </w:r>
          </w:p>
        </w:tc>
        <w:tc>
          <w:tcPr>
            <w:tcW w:w="1983" w:type="dxa"/>
            <w:tcBorders>
              <w:top w:val="nil"/>
              <w:bottom w:val="nil"/>
            </w:tcBorders>
          </w:tcPr>
          <w:p w14:paraId="5527D836"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95%</w:t>
            </w:r>
          </w:p>
        </w:tc>
        <w:tc>
          <w:tcPr>
            <w:tcW w:w="2126" w:type="dxa"/>
            <w:tcBorders>
              <w:top w:val="nil"/>
              <w:bottom w:val="nil"/>
            </w:tcBorders>
          </w:tcPr>
          <w:p w14:paraId="749E834E"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42%</w:t>
            </w:r>
          </w:p>
        </w:tc>
        <w:tc>
          <w:tcPr>
            <w:tcW w:w="1986" w:type="dxa"/>
            <w:tcBorders>
              <w:top w:val="nil"/>
              <w:bottom w:val="nil"/>
            </w:tcBorders>
          </w:tcPr>
          <w:p w14:paraId="00203290"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8%</w:t>
            </w:r>
          </w:p>
        </w:tc>
      </w:tr>
      <w:tr w:rsidR="00136210" w:rsidRPr="00EC3BD7" w14:paraId="2EBC6350" w14:textId="77777777" w:rsidTr="008B1609">
        <w:trPr>
          <w:cantSplit/>
        </w:trPr>
        <w:tc>
          <w:tcPr>
            <w:tcW w:w="3227" w:type="dxa"/>
            <w:tcBorders>
              <w:top w:val="nil"/>
              <w:bottom w:val="nil"/>
            </w:tcBorders>
          </w:tcPr>
          <w:p w14:paraId="38F2A8B6" w14:textId="77777777" w:rsidR="00136210" w:rsidRPr="00EC3BD7" w:rsidRDefault="00136210" w:rsidP="008B1609">
            <w:pPr>
              <w:pStyle w:val="EndnoteText"/>
              <w:keepNext/>
              <w:widowControl w:val="0"/>
              <w:tabs>
                <w:tab w:val="clear" w:pos="567"/>
              </w:tabs>
              <w:ind w:left="284"/>
              <w:rPr>
                <w:color w:val="000000"/>
                <w:szCs w:val="22"/>
                <w:lang w:val="et-EE"/>
              </w:rPr>
            </w:pPr>
            <w:r w:rsidRPr="00EC3BD7">
              <w:rPr>
                <w:color w:val="000000"/>
                <w:szCs w:val="22"/>
                <w:lang w:val="et-EE"/>
              </w:rPr>
              <w:t>Leukeemia tunnuste puudumine</w:t>
            </w:r>
          </w:p>
        </w:tc>
        <w:tc>
          <w:tcPr>
            <w:tcW w:w="1983" w:type="dxa"/>
            <w:tcBorders>
              <w:top w:val="nil"/>
              <w:bottom w:val="nil"/>
            </w:tcBorders>
          </w:tcPr>
          <w:p w14:paraId="503F30CC"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Ei ole kohaldatav</w:t>
            </w:r>
          </w:p>
        </w:tc>
        <w:tc>
          <w:tcPr>
            <w:tcW w:w="2126" w:type="dxa"/>
            <w:tcBorders>
              <w:top w:val="nil"/>
              <w:bottom w:val="nil"/>
            </w:tcBorders>
          </w:tcPr>
          <w:p w14:paraId="233FE46B"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12%</w:t>
            </w:r>
          </w:p>
        </w:tc>
        <w:tc>
          <w:tcPr>
            <w:tcW w:w="1986" w:type="dxa"/>
            <w:tcBorders>
              <w:top w:val="nil"/>
              <w:bottom w:val="nil"/>
            </w:tcBorders>
          </w:tcPr>
          <w:p w14:paraId="652A9C55"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5%</w:t>
            </w:r>
          </w:p>
        </w:tc>
      </w:tr>
      <w:tr w:rsidR="00136210" w:rsidRPr="00EC3BD7" w14:paraId="797889A6" w14:textId="77777777" w:rsidTr="008B1609">
        <w:trPr>
          <w:cantSplit/>
        </w:trPr>
        <w:tc>
          <w:tcPr>
            <w:tcW w:w="3227" w:type="dxa"/>
            <w:tcBorders>
              <w:top w:val="nil"/>
              <w:bottom w:val="nil"/>
            </w:tcBorders>
          </w:tcPr>
          <w:p w14:paraId="0C3AC643" w14:textId="77777777" w:rsidR="00136210" w:rsidRPr="00EC3BD7" w:rsidRDefault="00136210" w:rsidP="008B1609">
            <w:pPr>
              <w:pStyle w:val="EndnoteText"/>
              <w:keepNext/>
              <w:widowControl w:val="0"/>
              <w:tabs>
                <w:tab w:val="clear" w:pos="567"/>
              </w:tabs>
              <w:ind w:left="284"/>
              <w:rPr>
                <w:color w:val="000000"/>
                <w:szCs w:val="22"/>
                <w:lang w:val="et-EE"/>
              </w:rPr>
            </w:pPr>
            <w:r w:rsidRPr="00EC3BD7">
              <w:rPr>
                <w:color w:val="000000"/>
                <w:szCs w:val="22"/>
                <w:lang w:val="et-EE"/>
              </w:rPr>
              <w:t>Kroonilise staadiumi taastumine</w:t>
            </w:r>
          </w:p>
        </w:tc>
        <w:tc>
          <w:tcPr>
            <w:tcW w:w="1983" w:type="dxa"/>
            <w:tcBorders>
              <w:top w:val="nil"/>
              <w:bottom w:val="nil"/>
            </w:tcBorders>
          </w:tcPr>
          <w:p w14:paraId="45D4B5C8"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Ei ole kohaldatav</w:t>
            </w:r>
          </w:p>
        </w:tc>
        <w:tc>
          <w:tcPr>
            <w:tcW w:w="2126" w:type="dxa"/>
            <w:tcBorders>
              <w:top w:val="nil"/>
              <w:bottom w:val="nil"/>
            </w:tcBorders>
          </w:tcPr>
          <w:p w14:paraId="0C4E9167"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17%</w:t>
            </w:r>
          </w:p>
        </w:tc>
        <w:tc>
          <w:tcPr>
            <w:tcW w:w="1986" w:type="dxa"/>
            <w:tcBorders>
              <w:top w:val="nil"/>
              <w:bottom w:val="nil"/>
            </w:tcBorders>
          </w:tcPr>
          <w:p w14:paraId="3D2CC46E"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18%</w:t>
            </w:r>
          </w:p>
        </w:tc>
      </w:tr>
      <w:tr w:rsidR="00136210" w:rsidRPr="00EC3BD7" w14:paraId="7CAF8DF9" w14:textId="77777777" w:rsidTr="008B1609">
        <w:trPr>
          <w:cantSplit/>
        </w:trPr>
        <w:tc>
          <w:tcPr>
            <w:tcW w:w="3227" w:type="dxa"/>
            <w:tcBorders>
              <w:bottom w:val="nil"/>
            </w:tcBorders>
          </w:tcPr>
          <w:p w14:paraId="20458F68" w14:textId="77777777" w:rsidR="00136210" w:rsidRPr="00EC3BD7" w:rsidRDefault="00136210" w:rsidP="008B1609">
            <w:pPr>
              <w:pStyle w:val="EndnoteText"/>
              <w:keepNext/>
              <w:widowControl w:val="0"/>
              <w:tabs>
                <w:tab w:val="clear" w:pos="567"/>
              </w:tabs>
              <w:rPr>
                <w:color w:val="000000"/>
                <w:szCs w:val="22"/>
                <w:lang w:val="et-EE"/>
              </w:rPr>
            </w:pPr>
            <w:r w:rsidRPr="00EC3BD7">
              <w:rPr>
                <w:color w:val="000000"/>
                <w:szCs w:val="22"/>
                <w:lang w:val="et-EE"/>
              </w:rPr>
              <w:t>Oluline tsütogeneetiline raviastus</w:t>
            </w:r>
            <w:r w:rsidRPr="00EC3BD7">
              <w:rPr>
                <w:color w:val="000000"/>
                <w:szCs w:val="22"/>
                <w:vertAlign w:val="superscript"/>
                <w:lang w:val="et-EE"/>
              </w:rPr>
              <w:t>2</w:t>
            </w:r>
          </w:p>
        </w:tc>
        <w:tc>
          <w:tcPr>
            <w:tcW w:w="1983" w:type="dxa"/>
            <w:tcBorders>
              <w:bottom w:val="nil"/>
            </w:tcBorders>
          </w:tcPr>
          <w:p w14:paraId="279B440D"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65% (61,2...69,5)</w:t>
            </w:r>
          </w:p>
        </w:tc>
        <w:tc>
          <w:tcPr>
            <w:tcW w:w="2126" w:type="dxa"/>
            <w:tcBorders>
              <w:bottom w:val="nil"/>
            </w:tcBorders>
          </w:tcPr>
          <w:p w14:paraId="0A8E7434"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28% (22,0...33,9)</w:t>
            </w:r>
          </w:p>
        </w:tc>
        <w:tc>
          <w:tcPr>
            <w:tcW w:w="1986" w:type="dxa"/>
            <w:tcBorders>
              <w:bottom w:val="nil"/>
            </w:tcBorders>
          </w:tcPr>
          <w:p w14:paraId="160C9B53"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15% (11,2...20,4)</w:t>
            </w:r>
          </w:p>
        </w:tc>
      </w:tr>
      <w:tr w:rsidR="00136210" w:rsidRPr="00EC3BD7" w14:paraId="19C56F01" w14:textId="77777777" w:rsidTr="008B1609">
        <w:trPr>
          <w:cantSplit/>
        </w:trPr>
        <w:tc>
          <w:tcPr>
            <w:tcW w:w="3227" w:type="dxa"/>
            <w:tcBorders>
              <w:top w:val="nil"/>
              <w:bottom w:val="nil"/>
            </w:tcBorders>
          </w:tcPr>
          <w:p w14:paraId="75E68CF4" w14:textId="77777777" w:rsidR="00136210" w:rsidRPr="00EC3BD7" w:rsidRDefault="00136210" w:rsidP="008B1609">
            <w:pPr>
              <w:pStyle w:val="EndnoteText"/>
              <w:keepNext/>
              <w:widowControl w:val="0"/>
              <w:tabs>
                <w:tab w:val="clear" w:pos="567"/>
              </w:tabs>
              <w:ind w:left="284"/>
              <w:rPr>
                <w:color w:val="000000"/>
                <w:szCs w:val="22"/>
                <w:lang w:val="et-EE"/>
              </w:rPr>
            </w:pPr>
            <w:r w:rsidRPr="00EC3BD7">
              <w:rPr>
                <w:color w:val="000000"/>
                <w:szCs w:val="22"/>
                <w:lang w:val="et-EE"/>
              </w:rPr>
              <w:t>Täielik</w:t>
            </w:r>
          </w:p>
        </w:tc>
        <w:tc>
          <w:tcPr>
            <w:tcW w:w="1983" w:type="dxa"/>
            <w:tcBorders>
              <w:top w:val="nil"/>
              <w:bottom w:val="nil"/>
            </w:tcBorders>
          </w:tcPr>
          <w:p w14:paraId="28BA6474"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53%</w:t>
            </w:r>
          </w:p>
        </w:tc>
        <w:tc>
          <w:tcPr>
            <w:tcW w:w="2126" w:type="dxa"/>
            <w:tcBorders>
              <w:top w:val="nil"/>
              <w:bottom w:val="nil"/>
            </w:tcBorders>
          </w:tcPr>
          <w:p w14:paraId="11AC7AB4"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20%</w:t>
            </w:r>
          </w:p>
        </w:tc>
        <w:tc>
          <w:tcPr>
            <w:tcW w:w="1986" w:type="dxa"/>
            <w:tcBorders>
              <w:top w:val="nil"/>
              <w:bottom w:val="nil"/>
            </w:tcBorders>
          </w:tcPr>
          <w:p w14:paraId="20EC0696"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7%</w:t>
            </w:r>
          </w:p>
        </w:tc>
      </w:tr>
      <w:tr w:rsidR="00136210" w:rsidRPr="00EC3BD7" w14:paraId="78A29BD5" w14:textId="77777777" w:rsidTr="008B1609">
        <w:trPr>
          <w:cantSplit/>
        </w:trPr>
        <w:tc>
          <w:tcPr>
            <w:tcW w:w="3227" w:type="dxa"/>
            <w:tcBorders>
              <w:top w:val="nil"/>
              <w:bottom w:val="nil"/>
            </w:tcBorders>
          </w:tcPr>
          <w:p w14:paraId="464029EB" w14:textId="77777777" w:rsidR="00136210" w:rsidRPr="00EC3BD7" w:rsidRDefault="00136210" w:rsidP="008B1609">
            <w:pPr>
              <w:pStyle w:val="BodyTextIndent2"/>
              <w:keepNext/>
              <w:widowControl w:val="0"/>
              <w:tabs>
                <w:tab w:val="clear" w:pos="567"/>
              </w:tabs>
              <w:spacing w:line="240" w:lineRule="auto"/>
              <w:ind w:left="284" w:firstLine="0"/>
              <w:jc w:val="left"/>
              <w:rPr>
                <w:b w:val="0"/>
                <w:color w:val="000000"/>
                <w:szCs w:val="22"/>
                <w:lang w:val="et-EE"/>
              </w:rPr>
            </w:pPr>
            <w:r w:rsidRPr="00EC3BD7">
              <w:rPr>
                <w:b w:val="0"/>
                <w:color w:val="000000"/>
                <w:szCs w:val="22"/>
                <w:lang w:val="et-EE"/>
              </w:rPr>
              <w:t>(Kinnitunud</w:t>
            </w:r>
            <w:r w:rsidRPr="00EC3BD7">
              <w:rPr>
                <w:b w:val="0"/>
                <w:color w:val="000000"/>
                <w:szCs w:val="22"/>
                <w:vertAlign w:val="superscript"/>
                <w:lang w:val="et-EE"/>
              </w:rPr>
              <w:t>3</w:t>
            </w:r>
            <w:r w:rsidRPr="00EC3BD7">
              <w:rPr>
                <w:b w:val="0"/>
                <w:color w:val="000000"/>
                <w:szCs w:val="22"/>
                <w:lang w:val="et-EE"/>
              </w:rPr>
              <w:t>) [95% CI]</w:t>
            </w:r>
          </w:p>
        </w:tc>
        <w:tc>
          <w:tcPr>
            <w:tcW w:w="1983" w:type="dxa"/>
            <w:tcBorders>
              <w:top w:val="nil"/>
              <w:bottom w:val="nil"/>
            </w:tcBorders>
          </w:tcPr>
          <w:p w14:paraId="2694EAD3" w14:textId="77777777" w:rsidR="00136210" w:rsidRPr="00EC3BD7" w:rsidRDefault="00136210" w:rsidP="008B1609">
            <w:pPr>
              <w:pStyle w:val="BodyTextIndent2"/>
              <w:keepNext/>
              <w:widowControl w:val="0"/>
              <w:tabs>
                <w:tab w:val="clear" w:pos="567"/>
              </w:tabs>
              <w:spacing w:line="240" w:lineRule="auto"/>
              <w:ind w:left="0" w:firstLine="0"/>
              <w:jc w:val="center"/>
              <w:rPr>
                <w:b w:val="0"/>
                <w:color w:val="000000"/>
                <w:szCs w:val="22"/>
                <w:lang w:val="et-EE"/>
              </w:rPr>
            </w:pPr>
            <w:r w:rsidRPr="00EC3BD7">
              <w:rPr>
                <w:b w:val="0"/>
                <w:color w:val="000000"/>
                <w:szCs w:val="22"/>
                <w:lang w:val="et-EE"/>
              </w:rPr>
              <w:t>(43%) [38,6...47,2]</w:t>
            </w:r>
          </w:p>
        </w:tc>
        <w:tc>
          <w:tcPr>
            <w:tcW w:w="2126" w:type="dxa"/>
            <w:tcBorders>
              <w:top w:val="nil"/>
              <w:bottom w:val="nil"/>
            </w:tcBorders>
          </w:tcPr>
          <w:p w14:paraId="3A015AF2" w14:textId="77777777" w:rsidR="00136210" w:rsidRPr="00EC3BD7" w:rsidRDefault="00136210" w:rsidP="008B1609">
            <w:pPr>
              <w:pStyle w:val="BodyTextIndent2"/>
              <w:keepNext/>
              <w:widowControl w:val="0"/>
              <w:tabs>
                <w:tab w:val="clear" w:pos="567"/>
              </w:tabs>
              <w:spacing w:line="240" w:lineRule="auto"/>
              <w:jc w:val="center"/>
              <w:rPr>
                <w:b w:val="0"/>
                <w:color w:val="000000"/>
                <w:szCs w:val="22"/>
                <w:lang w:val="et-EE"/>
              </w:rPr>
            </w:pPr>
            <w:r w:rsidRPr="00EC3BD7">
              <w:rPr>
                <w:b w:val="0"/>
                <w:color w:val="000000"/>
                <w:szCs w:val="22"/>
                <w:lang w:val="et-EE"/>
              </w:rPr>
              <w:t>(16%) [11,3...21,0]</w:t>
            </w:r>
          </w:p>
        </w:tc>
        <w:tc>
          <w:tcPr>
            <w:tcW w:w="1986" w:type="dxa"/>
            <w:tcBorders>
              <w:top w:val="nil"/>
              <w:bottom w:val="nil"/>
            </w:tcBorders>
          </w:tcPr>
          <w:p w14:paraId="610ADBE4" w14:textId="77777777" w:rsidR="00136210" w:rsidRPr="00EC3BD7" w:rsidRDefault="00136210" w:rsidP="008B1609">
            <w:pPr>
              <w:pStyle w:val="BodyTextIndent2"/>
              <w:keepNext/>
              <w:widowControl w:val="0"/>
              <w:tabs>
                <w:tab w:val="clear" w:pos="567"/>
              </w:tabs>
              <w:spacing w:line="240" w:lineRule="auto"/>
              <w:jc w:val="center"/>
              <w:rPr>
                <w:b w:val="0"/>
                <w:color w:val="000000"/>
                <w:szCs w:val="22"/>
                <w:lang w:val="et-EE"/>
              </w:rPr>
            </w:pPr>
            <w:r w:rsidRPr="00EC3BD7">
              <w:rPr>
                <w:b w:val="0"/>
                <w:color w:val="000000"/>
                <w:szCs w:val="22"/>
                <w:lang w:val="et-EE"/>
              </w:rPr>
              <w:t>(2%) [0,6...4,4]</w:t>
            </w:r>
          </w:p>
        </w:tc>
      </w:tr>
      <w:tr w:rsidR="00136210" w:rsidRPr="00EC3BD7" w14:paraId="10610B52" w14:textId="77777777" w:rsidTr="008B1609">
        <w:trPr>
          <w:cantSplit/>
        </w:trPr>
        <w:tc>
          <w:tcPr>
            <w:tcW w:w="3227" w:type="dxa"/>
            <w:tcBorders>
              <w:top w:val="nil"/>
              <w:bottom w:val="nil"/>
            </w:tcBorders>
          </w:tcPr>
          <w:p w14:paraId="11412AB3" w14:textId="77777777" w:rsidR="00136210" w:rsidRPr="00EC3BD7" w:rsidRDefault="00136210" w:rsidP="008B1609">
            <w:pPr>
              <w:pStyle w:val="EndnoteText"/>
              <w:keepNext/>
              <w:widowControl w:val="0"/>
              <w:tabs>
                <w:tab w:val="clear" w:pos="567"/>
              </w:tabs>
              <w:ind w:left="284"/>
              <w:rPr>
                <w:color w:val="000000"/>
                <w:szCs w:val="22"/>
                <w:lang w:val="et-EE"/>
              </w:rPr>
            </w:pPr>
            <w:r w:rsidRPr="00EC3BD7">
              <w:rPr>
                <w:color w:val="000000"/>
                <w:szCs w:val="22"/>
                <w:lang w:val="et-EE"/>
              </w:rPr>
              <w:t>Osaline</w:t>
            </w:r>
          </w:p>
        </w:tc>
        <w:tc>
          <w:tcPr>
            <w:tcW w:w="1983" w:type="dxa"/>
            <w:tcBorders>
              <w:top w:val="nil"/>
              <w:bottom w:val="nil"/>
            </w:tcBorders>
          </w:tcPr>
          <w:p w14:paraId="0C0FD34C"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12%</w:t>
            </w:r>
          </w:p>
        </w:tc>
        <w:tc>
          <w:tcPr>
            <w:tcW w:w="2126" w:type="dxa"/>
            <w:tcBorders>
              <w:top w:val="nil"/>
              <w:bottom w:val="nil"/>
            </w:tcBorders>
          </w:tcPr>
          <w:p w14:paraId="5629BBE9"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7%</w:t>
            </w:r>
          </w:p>
        </w:tc>
        <w:tc>
          <w:tcPr>
            <w:tcW w:w="1986" w:type="dxa"/>
            <w:tcBorders>
              <w:top w:val="nil"/>
              <w:bottom w:val="nil"/>
            </w:tcBorders>
          </w:tcPr>
          <w:p w14:paraId="1A1AC76B" w14:textId="77777777" w:rsidR="00136210" w:rsidRPr="00EC3BD7" w:rsidRDefault="00136210" w:rsidP="008B1609">
            <w:pPr>
              <w:pStyle w:val="EndnoteText"/>
              <w:keepNext/>
              <w:widowControl w:val="0"/>
              <w:tabs>
                <w:tab w:val="clear" w:pos="567"/>
              </w:tabs>
              <w:jc w:val="center"/>
              <w:rPr>
                <w:color w:val="000000"/>
                <w:szCs w:val="22"/>
                <w:lang w:val="et-EE"/>
              </w:rPr>
            </w:pPr>
            <w:r w:rsidRPr="00EC3BD7">
              <w:rPr>
                <w:color w:val="000000"/>
                <w:szCs w:val="22"/>
                <w:lang w:val="et-EE"/>
              </w:rPr>
              <w:t>8%</w:t>
            </w:r>
          </w:p>
        </w:tc>
      </w:tr>
      <w:tr w:rsidR="00136210" w:rsidRPr="005D29F8" w14:paraId="0A3C9480" w14:textId="77777777" w:rsidTr="008B1609">
        <w:trPr>
          <w:cantSplit/>
        </w:trPr>
        <w:tc>
          <w:tcPr>
            <w:tcW w:w="9322" w:type="dxa"/>
            <w:gridSpan w:val="4"/>
            <w:tcBorders>
              <w:top w:val="single" w:sz="4" w:space="0" w:color="auto"/>
              <w:bottom w:val="single" w:sz="4" w:space="0" w:color="auto"/>
            </w:tcBorders>
          </w:tcPr>
          <w:p w14:paraId="75FC0C26" w14:textId="77777777" w:rsidR="00136210" w:rsidRPr="00EC3BD7" w:rsidRDefault="00136210" w:rsidP="008B1609">
            <w:pPr>
              <w:pStyle w:val="Table"/>
              <w:keepNext w:val="0"/>
              <w:widowControl w:val="0"/>
              <w:spacing w:before="0" w:after="0"/>
              <w:rPr>
                <w:rFonts w:ascii="Times New Roman" w:hAnsi="Times New Roman"/>
                <w:b/>
                <w:color w:val="000000"/>
                <w:sz w:val="22"/>
                <w:szCs w:val="22"/>
                <w:lang w:val="et-EE"/>
              </w:rPr>
            </w:pPr>
            <w:r w:rsidRPr="00EC3BD7">
              <w:rPr>
                <w:rFonts w:ascii="Times New Roman" w:hAnsi="Times New Roman"/>
                <w:b/>
                <w:color w:val="000000"/>
                <w:sz w:val="22"/>
                <w:szCs w:val="22"/>
                <w:vertAlign w:val="superscript"/>
                <w:lang w:val="et-EE"/>
              </w:rPr>
              <w:t xml:space="preserve">1 </w:t>
            </w:r>
            <w:r w:rsidRPr="00EC3BD7">
              <w:rPr>
                <w:rFonts w:ascii="Times New Roman" w:hAnsi="Times New Roman"/>
                <w:b/>
                <w:color w:val="000000"/>
                <w:sz w:val="22"/>
                <w:szCs w:val="22"/>
                <w:lang w:val="et-EE"/>
              </w:rPr>
              <w:t xml:space="preserve">Hematoloogilise ravivastuse kriteeriumid (kõik ravivastused kinnituvad pärast </w:t>
            </w:r>
            <w:r w:rsidRPr="00EC3BD7">
              <w:rPr>
                <w:rFonts w:ascii="Times New Roman" w:hAnsi="Times New Roman"/>
                <w:b/>
                <w:color w:val="000000"/>
                <w:sz w:val="22"/>
                <w:szCs w:val="22"/>
                <w:lang w:val="et-EE"/>
              </w:rPr>
              <w:sym w:font="Symbol" w:char="F0B3"/>
            </w:r>
            <w:r w:rsidRPr="00EC3BD7">
              <w:rPr>
                <w:rFonts w:ascii="Times New Roman" w:hAnsi="Times New Roman"/>
                <w:b/>
                <w:color w:val="000000"/>
                <w:sz w:val="22"/>
                <w:szCs w:val="22"/>
                <w:lang w:val="et-EE"/>
              </w:rPr>
              <w:t>4 nädalat):</w:t>
            </w:r>
          </w:p>
          <w:p w14:paraId="616AF2F5" w14:textId="77777777" w:rsidR="00136210" w:rsidRPr="00EC3BD7" w:rsidRDefault="00136210" w:rsidP="008B1609">
            <w:pPr>
              <w:pStyle w:val="Table"/>
              <w:keepNext w:val="0"/>
              <w:widowControl w:val="0"/>
              <w:tabs>
                <w:tab w:val="clear" w:pos="284"/>
              </w:tab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Täielik hematoloogiline vastus: Uuring 0110 [leukotsüütide arv &lt;10x10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 trombotsüüte &lt;450x10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 xml:space="preserve">/l, müelotsüüte+metamüelotsüüte veres &lt;5%, veres puuduvad blastid ja promüelotsüüdid, basofiile &lt;20%, puudub ekstramedullaarne haaratus] ja uuringutes 0102 ja 0109 [absoluutne neutrofiilide arv </w:t>
            </w:r>
            <w:r w:rsidRPr="00EC3BD7">
              <w:rPr>
                <w:rFonts w:ascii="Times New Roman" w:hAnsi="Times New Roman"/>
                <w:color w:val="000000"/>
                <w:sz w:val="22"/>
                <w:szCs w:val="22"/>
                <w:lang w:val="et-EE"/>
              </w:rPr>
              <w:sym w:font="Symbol" w:char="F0B3"/>
            </w:r>
            <w:r w:rsidRPr="00EC3BD7">
              <w:rPr>
                <w:rFonts w:ascii="Times New Roman" w:hAnsi="Times New Roman"/>
                <w:color w:val="000000"/>
                <w:sz w:val="22"/>
                <w:szCs w:val="22"/>
                <w:lang w:val="et-EE"/>
              </w:rPr>
              <w:t>1,5x10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 xml:space="preserve">/l, trombotsüüte </w:t>
            </w:r>
            <w:r w:rsidRPr="00EC3BD7">
              <w:rPr>
                <w:rFonts w:ascii="Times New Roman" w:hAnsi="Times New Roman"/>
                <w:color w:val="000000"/>
                <w:sz w:val="22"/>
                <w:szCs w:val="22"/>
                <w:lang w:val="et-EE"/>
              </w:rPr>
              <w:sym w:font="Symbol" w:char="F0B3"/>
            </w:r>
            <w:r w:rsidRPr="00EC3BD7">
              <w:rPr>
                <w:rFonts w:ascii="Times New Roman" w:hAnsi="Times New Roman"/>
                <w:color w:val="000000"/>
                <w:sz w:val="22"/>
                <w:szCs w:val="22"/>
                <w:lang w:val="et-EE"/>
              </w:rPr>
              <w:t>100x10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 veres puuduvad blastid, luuüdis blaste &lt;5% ja puudub ekstramedullaarne haaratus]</w:t>
            </w:r>
          </w:p>
          <w:p w14:paraId="5EF7833C" w14:textId="77777777" w:rsidR="00136210" w:rsidRPr="00EC3BD7" w:rsidRDefault="00136210" w:rsidP="008B1609">
            <w:pPr>
              <w:pStyle w:val="Table"/>
              <w:keepNext w:val="0"/>
              <w:widowControl w:val="0"/>
              <w:tabs>
                <w:tab w:val="clear" w:pos="284"/>
              </w:tab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 xml:space="preserve">Leukeemia tunnuste puudumine: Samad, nagu ülal, kuid neutrofiilide absoluutarv </w:t>
            </w:r>
            <w:r w:rsidRPr="00EC3BD7">
              <w:rPr>
                <w:rFonts w:ascii="Times New Roman" w:hAnsi="Times New Roman"/>
                <w:color w:val="000000"/>
                <w:sz w:val="22"/>
                <w:szCs w:val="22"/>
                <w:lang w:val="et-EE"/>
              </w:rPr>
              <w:sym w:font="Symbol" w:char="F0B3"/>
            </w:r>
            <w:r w:rsidRPr="00EC3BD7">
              <w:rPr>
                <w:rFonts w:ascii="Times New Roman" w:hAnsi="Times New Roman"/>
                <w:color w:val="000000"/>
                <w:sz w:val="22"/>
                <w:szCs w:val="22"/>
                <w:lang w:val="et-EE"/>
              </w:rPr>
              <w:t>1x10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 xml:space="preserve">/l ja trombotsüüte </w:t>
            </w:r>
            <w:r w:rsidRPr="00EC3BD7">
              <w:rPr>
                <w:rFonts w:ascii="Times New Roman" w:hAnsi="Times New Roman"/>
                <w:color w:val="000000"/>
                <w:sz w:val="22"/>
                <w:szCs w:val="22"/>
                <w:lang w:val="et-EE"/>
              </w:rPr>
              <w:sym w:font="Symbol" w:char="F0B3"/>
            </w:r>
            <w:r w:rsidRPr="00EC3BD7">
              <w:rPr>
                <w:rFonts w:ascii="Times New Roman" w:hAnsi="Times New Roman"/>
                <w:color w:val="000000"/>
                <w:sz w:val="22"/>
                <w:szCs w:val="22"/>
                <w:lang w:val="et-EE"/>
              </w:rPr>
              <w:t>20x10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 (ainult 0102 ja 0109)</w:t>
            </w:r>
          </w:p>
          <w:p w14:paraId="587273A8" w14:textId="77777777" w:rsidR="00136210" w:rsidRPr="00EC3BD7" w:rsidRDefault="00136210" w:rsidP="008B1609">
            <w:pPr>
              <w:pStyle w:val="Table"/>
              <w:keepNext w:val="0"/>
              <w:widowControl w:val="0"/>
              <w:tabs>
                <w:tab w:val="clear" w:pos="284"/>
              </w:tab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Kroonilise staadiumi taastumine: luuüdis ja perifeerses veres blaste &lt;15%, blaste+promüelotsüüte luuüdis ja perifeerses veres &lt;30%, perifeerses veres basofiile &lt;20%, puuduvad ekstramedullaarsed haiguskolded, välja arvatud põrnas ja maksas (ainult 0102 ja 0109).</w:t>
            </w:r>
          </w:p>
          <w:p w14:paraId="39CBCC39" w14:textId="77777777" w:rsidR="00136210" w:rsidRPr="00EC3BD7" w:rsidRDefault="00136210" w:rsidP="008B1609">
            <w:pPr>
              <w:pStyle w:val="Table"/>
              <w:keepNext w:val="0"/>
              <w:widowControl w:val="0"/>
              <w:spacing w:before="0" w:after="0"/>
              <w:rPr>
                <w:rFonts w:ascii="Times New Roman" w:hAnsi="Times New Roman"/>
                <w:color w:val="000000"/>
                <w:sz w:val="22"/>
                <w:szCs w:val="22"/>
                <w:lang w:val="et-EE"/>
              </w:rPr>
            </w:pPr>
            <w:r w:rsidRPr="00EC3BD7">
              <w:rPr>
                <w:rFonts w:ascii="Times New Roman" w:hAnsi="Times New Roman"/>
                <w:b/>
                <w:color w:val="000000"/>
                <w:sz w:val="22"/>
                <w:szCs w:val="22"/>
                <w:vertAlign w:val="superscript"/>
                <w:lang w:val="et-EE"/>
              </w:rPr>
              <w:t xml:space="preserve">2 </w:t>
            </w:r>
            <w:r w:rsidRPr="00EC3BD7">
              <w:rPr>
                <w:rFonts w:ascii="Times New Roman" w:hAnsi="Times New Roman"/>
                <w:b/>
                <w:color w:val="000000"/>
                <w:sz w:val="22"/>
                <w:szCs w:val="22"/>
                <w:lang w:val="et-EE"/>
              </w:rPr>
              <w:t>Tsütogeneetilise vastuse kriteeriumid:</w:t>
            </w:r>
          </w:p>
          <w:p w14:paraId="5A667887" w14:textId="77777777" w:rsidR="00136210" w:rsidRPr="00EC3BD7" w:rsidRDefault="00136210" w:rsidP="008B1609">
            <w:pPr>
              <w:pStyle w:val="EndnoteText"/>
              <w:keepLines/>
              <w:widowControl w:val="0"/>
              <w:tabs>
                <w:tab w:val="clear" w:pos="567"/>
              </w:tabs>
              <w:rPr>
                <w:color w:val="000000"/>
                <w:szCs w:val="22"/>
                <w:lang w:val="et-EE"/>
              </w:rPr>
            </w:pPr>
            <w:r w:rsidRPr="00EC3BD7">
              <w:rPr>
                <w:color w:val="000000"/>
                <w:szCs w:val="22"/>
                <w:lang w:val="et-EE"/>
              </w:rPr>
              <w:t>Oluline vastus hõlmab nii täieliku kui osalise vastuse: täielik (0% Ph+ metafaase), osaline (1...35%)</w:t>
            </w:r>
          </w:p>
          <w:p w14:paraId="282ABA5F" w14:textId="77777777" w:rsidR="00136210" w:rsidRPr="00EC3BD7" w:rsidRDefault="00136210" w:rsidP="008B1609">
            <w:pPr>
              <w:pStyle w:val="EndnoteText"/>
              <w:keepLines/>
              <w:widowControl w:val="0"/>
              <w:tabs>
                <w:tab w:val="clear" w:pos="567"/>
              </w:tabs>
              <w:rPr>
                <w:color w:val="000000"/>
                <w:szCs w:val="22"/>
                <w:lang w:val="et-EE"/>
              </w:rPr>
            </w:pPr>
            <w:r w:rsidRPr="00EC3BD7">
              <w:rPr>
                <w:color w:val="000000"/>
                <w:szCs w:val="22"/>
                <w:vertAlign w:val="superscript"/>
                <w:lang w:val="et-EE"/>
              </w:rPr>
              <w:t>3</w:t>
            </w:r>
            <w:r w:rsidRPr="00EC3BD7">
              <w:rPr>
                <w:color w:val="000000"/>
                <w:szCs w:val="22"/>
                <w:lang w:val="et-EE"/>
              </w:rPr>
              <w:t xml:space="preserve"> Täielik tsütogeneetiline vastus kinnitunud teisel luuüdi tsütogeneetilisel hindamisel vähemalt üks kuu pärast esialgset luuüdi uuringut.</w:t>
            </w:r>
          </w:p>
        </w:tc>
      </w:tr>
    </w:tbl>
    <w:p w14:paraId="511998A3" w14:textId="77777777" w:rsidR="00136210" w:rsidRPr="00EC3BD7" w:rsidRDefault="00136210">
      <w:pPr>
        <w:pStyle w:val="EndnoteText"/>
        <w:widowControl w:val="0"/>
        <w:tabs>
          <w:tab w:val="clear" w:pos="567"/>
        </w:tabs>
        <w:rPr>
          <w:color w:val="000000"/>
          <w:szCs w:val="22"/>
          <w:lang w:val="et-EE"/>
        </w:rPr>
      </w:pPr>
    </w:p>
    <w:p w14:paraId="5E019083" w14:textId="77777777" w:rsidR="00136210" w:rsidRPr="00EC3BD7" w:rsidRDefault="00136210">
      <w:pPr>
        <w:pStyle w:val="EndnoteText"/>
        <w:widowControl w:val="0"/>
        <w:rPr>
          <w:color w:val="000000"/>
          <w:szCs w:val="22"/>
          <w:lang w:val="et-EE"/>
        </w:rPr>
      </w:pPr>
      <w:r w:rsidRPr="00EC3BD7">
        <w:rPr>
          <w:i/>
          <w:color w:val="000000"/>
          <w:szCs w:val="22"/>
          <w:lang w:val="et-EE"/>
        </w:rPr>
        <w:t>Pediaatrilised patsiendid</w:t>
      </w:r>
      <w:r w:rsidRPr="00EC3BD7">
        <w:rPr>
          <w:color w:val="000000"/>
          <w:szCs w:val="22"/>
          <w:lang w:val="et-EE"/>
        </w:rPr>
        <w:t xml:space="preserve">. Kokku osales annuse suurendamise I faasi uuringus 26 pediaatrilist patsienti vanuses alla 18 aasta, kellel esines kas kroonilises staadiumis </w:t>
      </w:r>
      <w:smartTag w:uri="urn:schemas-microsoft-com:office:smarttags" w:element="stockticker">
        <w:r w:rsidRPr="00EC3BD7">
          <w:rPr>
            <w:color w:val="000000"/>
            <w:szCs w:val="22"/>
            <w:lang w:val="et-EE"/>
          </w:rPr>
          <w:t>KML</w:t>
        </w:r>
      </w:smartTag>
      <w:r w:rsidRPr="00EC3BD7">
        <w:rPr>
          <w:color w:val="000000"/>
          <w:szCs w:val="22"/>
          <w:lang w:val="et-EE"/>
        </w:rPr>
        <w:t xml:space="preserve"> (n=11) või blastses kriisis </w:t>
      </w:r>
      <w:smartTag w:uri="urn:schemas-microsoft-com:office:smarttags" w:element="stockticker">
        <w:r w:rsidRPr="00EC3BD7">
          <w:rPr>
            <w:color w:val="000000"/>
            <w:szCs w:val="22"/>
            <w:lang w:val="et-EE"/>
          </w:rPr>
          <w:t>KML</w:t>
        </w:r>
      </w:smartTag>
      <w:r w:rsidRPr="00EC3BD7">
        <w:rPr>
          <w:color w:val="000000"/>
          <w:szCs w:val="22"/>
          <w:lang w:val="et-EE"/>
        </w:rPr>
        <w:t xml:space="preserve"> või Ph+ äge leukeemia (n=15). Kõiki patsiente oli varem olulisel määral ravitud – 46% patsientidest oli tehtud eelnev luuüdi siirdamine ja 73% olid saanud eelnevat kemoteraapiat mitme ravimiga. Patsiente raviti Gliveci annustega 260 mg/m</w:t>
      </w:r>
      <w:r w:rsidRPr="00EC3BD7">
        <w:rPr>
          <w:color w:val="000000"/>
          <w:szCs w:val="22"/>
          <w:vertAlign w:val="superscript"/>
          <w:lang w:val="et-EE"/>
        </w:rPr>
        <w:t>2</w:t>
      </w:r>
      <w:r w:rsidRPr="00EC3BD7">
        <w:rPr>
          <w:color w:val="000000"/>
          <w:szCs w:val="22"/>
          <w:lang w:val="et-EE"/>
        </w:rPr>
        <w:t>/ööpäevas (n=5), 340 mg/m</w:t>
      </w:r>
      <w:r w:rsidRPr="00EC3BD7">
        <w:rPr>
          <w:color w:val="000000"/>
          <w:szCs w:val="22"/>
          <w:vertAlign w:val="superscript"/>
          <w:lang w:val="et-EE"/>
        </w:rPr>
        <w:t>2</w:t>
      </w:r>
      <w:r w:rsidRPr="00EC3BD7">
        <w:rPr>
          <w:color w:val="000000"/>
          <w:szCs w:val="22"/>
          <w:lang w:val="et-EE"/>
        </w:rPr>
        <w:t>/ööpäevas (n=9), 440 mg/m</w:t>
      </w:r>
      <w:r w:rsidRPr="00EC3BD7">
        <w:rPr>
          <w:color w:val="000000"/>
          <w:szCs w:val="22"/>
          <w:vertAlign w:val="superscript"/>
          <w:lang w:val="et-EE"/>
        </w:rPr>
        <w:t>2</w:t>
      </w:r>
      <w:r w:rsidRPr="00EC3BD7">
        <w:rPr>
          <w:color w:val="000000"/>
          <w:szCs w:val="22"/>
          <w:lang w:val="et-EE"/>
        </w:rPr>
        <w:t>/ööpäevas (n=7) ja 570 mg/m</w:t>
      </w:r>
      <w:r w:rsidRPr="00EC3BD7">
        <w:rPr>
          <w:color w:val="000000"/>
          <w:szCs w:val="22"/>
          <w:vertAlign w:val="superscript"/>
          <w:lang w:val="et-EE"/>
        </w:rPr>
        <w:t>2</w:t>
      </w:r>
      <w:r w:rsidRPr="00EC3BD7">
        <w:rPr>
          <w:color w:val="000000"/>
          <w:szCs w:val="22"/>
          <w:lang w:val="et-EE"/>
        </w:rPr>
        <w:t xml:space="preserve">/ööpäevas (n=5). Üheksa patsiendi seas, kellel esines kroonilises staadiumis </w:t>
      </w:r>
      <w:smartTag w:uri="urn:schemas-microsoft-com:office:smarttags" w:element="stockticker">
        <w:r w:rsidRPr="00EC3BD7">
          <w:rPr>
            <w:color w:val="000000"/>
            <w:szCs w:val="22"/>
            <w:lang w:val="et-EE"/>
          </w:rPr>
          <w:t>KML</w:t>
        </w:r>
      </w:smartTag>
      <w:r w:rsidRPr="00EC3BD7">
        <w:rPr>
          <w:color w:val="000000"/>
          <w:szCs w:val="22"/>
          <w:lang w:val="et-EE"/>
        </w:rPr>
        <w:t xml:space="preserve"> ja kelle kohta on olemas tsütogeneetilised andmed, saavutasid vastavalt neli (44%) ja kolm (33%) patsienti täieliku ja osalise tsütogeneetilise vastuse; oluline tsütogeneetiline vastus esines seega 77% patsientidest.</w:t>
      </w:r>
    </w:p>
    <w:p w14:paraId="7D11CF9F" w14:textId="77777777" w:rsidR="00136210" w:rsidRPr="00EC3BD7" w:rsidRDefault="00136210">
      <w:pPr>
        <w:pStyle w:val="EndnoteText"/>
        <w:widowControl w:val="0"/>
        <w:tabs>
          <w:tab w:val="clear" w:pos="567"/>
        </w:tabs>
        <w:rPr>
          <w:color w:val="000000"/>
          <w:szCs w:val="22"/>
          <w:lang w:val="et-EE"/>
        </w:rPr>
      </w:pPr>
    </w:p>
    <w:p w14:paraId="2F570564" w14:textId="42FBE6F4" w:rsidR="00136210" w:rsidRPr="00EC3BD7" w:rsidRDefault="00136210">
      <w:pPr>
        <w:pStyle w:val="EndnoteText"/>
        <w:widowControl w:val="0"/>
        <w:tabs>
          <w:tab w:val="clear" w:pos="567"/>
        </w:tabs>
        <w:rPr>
          <w:color w:val="000000"/>
          <w:szCs w:val="22"/>
          <w:lang w:val="et-EE"/>
        </w:rPr>
      </w:pPr>
      <w:r w:rsidRPr="00EC3BD7">
        <w:rPr>
          <w:color w:val="000000"/>
          <w:szCs w:val="22"/>
          <w:lang w:val="et-EE"/>
        </w:rPr>
        <w:lastRenderedPageBreak/>
        <w:t xml:space="preserve">Avatud mitmekeskuselises, ühe haruga II faasi uuringus osales 51 äsjase </w:t>
      </w:r>
      <w:smartTag w:uri="urn:schemas-microsoft-com:office:smarttags" w:element="stockticker">
        <w:r w:rsidRPr="00EC3BD7">
          <w:rPr>
            <w:color w:val="000000"/>
            <w:szCs w:val="22"/>
            <w:lang w:val="et-EE"/>
          </w:rPr>
          <w:t>KML</w:t>
        </w:r>
      </w:smartTag>
      <w:r w:rsidRPr="00EC3BD7">
        <w:rPr>
          <w:color w:val="000000"/>
          <w:szCs w:val="22"/>
          <w:lang w:val="et-EE"/>
        </w:rPr>
        <w:t xml:space="preserve"> diagnoosiga last, kes varem ei olnud saanud ravi. Patsiente raviti Gliveci annusega 340 mg/m</w:t>
      </w:r>
      <w:r w:rsidRPr="00EC3BD7">
        <w:rPr>
          <w:color w:val="000000"/>
          <w:szCs w:val="22"/>
          <w:vertAlign w:val="superscript"/>
          <w:lang w:val="et-EE"/>
        </w:rPr>
        <w:t>2</w:t>
      </w:r>
      <w:r w:rsidRPr="00EC3BD7">
        <w:rPr>
          <w:color w:val="000000"/>
          <w:szCs w:val="22"/>
          <w:lang w:val="et-EE"/>
        </w:rPr>
        <w:t xml:space="preserve">/ööpäevas ilma katkestuseta, kui ei olnud vajalik annuse vähendamine toksilisuse tõttu. Gliveci ravi tulemusel tekkis äsjase </w:t>
      </w:r>
      <w:smartTag w:uri="urn:schemas-microsoft-com:office:smarttags" w:element="stockticker">
        <w:r w:rsidRPr="00EC3BD7">
          <w:rPr>
            <w:color w:val="000000"/>
            <w:szCs w:val="22"/>
            <w:lang w:val="et-EE"/>
          </w:rPr>
          <w:t>KML</w:t>
        </w:r>
      </w:smartTag>
      <w:r w:rsidRPr="00EC3BD7">
        <w:rPr>
          <w:color w:val="000000"/>
          <w:szCs w:val="22"/>
          <w:lang w:val="et-EE"/>
        </w:rPr>
        <w:t xml:space="preserve"> diagnoosiga patsientidel kiire ravivastus, pärast 8 nädalast ravi saavutasid täieliku hematoloogilise ravivastuse 78% patsientidest. Täieliku hematoloogilise ravivastusega kaasnes 65% juhtudest ka täielik tsütogeneetiline ravivastus, mis on võrreldav täiskasvanutel saadud tulemusega. Lisaks sellele täheldati olulist tsütogeneetilist ravivastust 81% patsientidest, kellest 16% saavutasid osalise tsütogeneetilise ravivastuse. Enamusel täieliku tsütogeneetilise ravivastuse saavutanud patsientidest tekkis see vahemikus 3 kuni 10 ravikuud, keskmine oli Kaplan-Meieri hinnangufunktsiooni põhjal 5,6 kuud.</w:t>
      </w:r>
    </w:p>
    <w:p w14:paraId="3876A645" w14:textId="77777777" w:rsidR="00492FB9" w:rsidRPr="00EC3BD7" w:rsidRDefault="00492FB9" w:rsidP="00492FB9">
      <w:pPr>
        <w:autoSpaceDE w:val="0"/>
        <w:autoSpaceDN w:val="0"/>
        <w:adjustRightInd w:val="0"/>
        <w:rPr>
          <w:color w:val="000000"/>
          <w:szCs w:val="22"/>
          <w:lang w:val="et-EE"/>
        </w:rPr>
      </w:pPr>
    </w:p>
    <w:p w14:paraId="3AD56FD8" w14:textId="77777777" w:rsidR="00492FB9" w:rsidRPr="00EC3BD7" w:rsidRDefault="00492FB9" w:rsidP="00492FB9">
      <w:pPr>
        <w:autoSpaceDE w:val="0"/>
        <w:autoSpaceDN w:val="0"/>
        <w:adjustRightInd w:val="0"/>
        <w:rPr>
          <w:color w:val="000000"/>
          <w:szCs w:val="22"/>
          <w:lang w:val="et-EE"/>
        </w:rPr>
      </w:pPr>
      <w:r w:rsidRPr="00EC3BD7">
        <w:rPr>
          <w:color w:val="000000"/>
          <w:szCs w:val="22"/>
          <w:lang w:val="et-EE"/>
        </w:rPr>
        <w:t>Euroop</w:t>
      </w:r>
      <w:r w:rsidR="004F623C" w:rsidRPr="00EC3BD7">
        <w:rPr>
          <w:color w:val="000000"/>
          <w:szCs w:val="22"/>
          <w:lang w:val="et-EE"/>
        </w:rPr>
        <w:t>a Ravimiamet ei kohusta esitama</w:t>
      </w:r>
      <w:r w:rsidRPr="00EC3BD7">
        <w:rPr>
          <w:color w:val="000000"/>
          <w:szCs w:val="22"/>
          <w:lang w:val="et-EE"/>
        </w:rPr>
        <w:t xml:space="preserve"> Gliveciga</w:t>
      </w:r>
      <w:r w:rsidR="004F623C" w:rsidRPr="00EC3BD7">
        <w:rPr>
          <w:color w:val="000000"/>
          <w:szCs w:val="22"/>
          <w:lang w:val="et-EE"/>
        </w:rPr>
        <w:t xml:space="preserve"> läbi viidud uuringute tulemusi laste kõikide</w:t>
      </w:r>
      <w:r w:rsidRPr="00EC3BD7">
        <w:rPr>
          <w:color w:val="000000"/>
          <w:szCs w:val="22"/>
          <w:lang w:val="et-EE"/>
        </w:rPr>
        <w:t xml:space="preserve"> alarühmade kohta Philadelphia kromosoomi (bcr-abl-translokatsiooni) suhtes positiivse kroonilise müeloidleukeemia korral (</w:t>
      </w:r>
      <w:r w:rsidR="000A34B7" w:rsidRPr="00EC3BD7">
        <w:rPr>
          <w:color w:val="000000"/>
          <w:szCs w:val="22"/>
          <w:lang w:val="et-EE"/>
        </w:rPr>
        <w:t xml:space="preserve">teave lastel kasutamise kohta: </w:t>
      </w:r>
      <w:r w:rsidRPr="00EC3BD7">
        <w:rPr>
          <w:color w:val="000000"/>
          <w:szCs w:val="22"/>
          <w:lang w:val="et-EE"/>
        </w:rPr>
        <w:t>vt lõik 4.2).</w:t>
      </w:r>
    </w:p>
    <w:p w14:paraId="293095F3" w14:textId="77777777" w:rsidR="00136210" w:rsidRPr="00EC3BD7" w:rsidRDefault="00136210">
      <w:pPr>
        <w:pStyle w:val="EndnoteText"/>
        <w:widowControl w:val="0"/>
        <w:tabs>
          <w:tab w:val="clear" w:pos="567"/>
        </w:tabs>
        <w:rPr>
          <w:color w:val="000000"/>
          <w:szCs w:val="22"/>
          <w:lang w:val="et-EE"/>
        </w:rPr>
      </w:pPr>
    </w:p>
    <w:p w14:paraId="47F55502"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u w:val="single"/>
          <w:lang w:val="et-EE"/>
        </w:rPr>
        <w:t>Kliinilised Ph+ </w:t>
      </w:r>
      <w:smartTag w:uri="urn:schemas-microsoft-com:office:smarttags" w:element="stockticker">
        <w:r w:rsidRPr="00EC3BD7">
          <w:rPr>
            <w:color w:val="000000"/>
            <w:szCs w:val="22"/>
            <w:u w:val="single"/>
            <w:lang w:val="et-EE"/>
          </w:rPr>
          <w:t>ALL</w:t>
        </w:r>
      </w:smartTag>
      <w:r w:rsidRPr="00EC3BD7">
        <w:rPr>
          <w:color w:val="000000"/>
          <w:szCs w:val="22"/>
          <w:u w:val="single"/>
          <w:lang w:val="et-EE"/>
        </w:rPr>
        <w:t xml:space="preserve"> uuringud</w:t>
      </w:r>
    </w:p>
    <w:p w14:paraId="29CAFD61" w14:textId="77777777" w:rsidR="00136210" w:rsidRPr="00EC3BD7" w:rsidRDefault="00136210">
      <w:pPr>
        <w:pStyle w:val="EndnoteText"/>
        <w:widowControl w:val="0"/>
        <w:tabs>
          <w:tab w:val="clear" w:pos="567"/>
        </w:tabs>
        <w:rPr>
          <w:color w:val="000000"/>
          <w:szCs w:val="22"/>
          <w:lang w:val="et-EE"/>
        </w:rPr>
      </w:pPr>
      <w:r w:rsidRPr="00EC3BD7">
        <w:rPr>
          <w:i/>
          <w:color w:val="000000"/>
          <w:szCs w:val="22"/>
          <w:lang w:val="et-EE"/>
        </w:rPr>
        <w:t>Äsja diagnoositud Ph+ </w:t>
      </w:r>
      <w:smartTag w:uri="urn:schemas-microsoft-com:office:smarttags" w:element="stockticker">
        <w:r w:rsidRPr="00EC3BD7">
          <w:rPr>
            <w:i/>
            <w:color w:val="000000"/>
            <w:szCs w:val="22"/>
            <w:lang w:val="et-EE"/>
          </w:rPr>
          <w:t>ALL</w:t>
        </w:r>
      </w:smartTag>
      <w:r w:rsidRPr="00EC3BD7">
        <w:rPr>
          <w:i/>
          <w:color w:val="000000"/>
          <w:szCs w:val="22"/>
          <w:lang w:val="et-EE"/>
        </w:rPr>
        <w:t xml:space="preserve">. </w:t>
      </w:r>
      <w:r w:rsidRPr="00EC3BD7">
        <w:rPr>
          <w:color w:val="000000"/>
          <w:szCs w:val="22"/>
          <w:lang w:val="et-EE"/>
        </w:rPr>
        <w:t xml:space="preserve">Kontrollitud uuringus (ADE10), kus imatiniibi võrreldi induktsioon-kemoteraapiaga 55 äsja diagnoositud patsiendil vanuses 55 ja enam aastat, saavutati imatiniibi monoteraapia korral oluliselt suurem täielik hematoloogiline ravivastus kui kemoteraapia puhul (96,3% vs. 50%; p=0,0001). Kui ravi imatiniibiga kasutati patsientidel, kes ei reageerinud üldse või reageerisid kemoteraapiale vähesel määral, saavutasid 9 patsienti (81,8%) 11-st täieliku hematoloogilise ravivastuse. See kliinilise efektiivsuse näitaja oli seotud </w:t>
      </w:r>
      <w:smartTag w:uri="urn:schemas-microsoft-com:office:smarttags" w:element="stockticker">
        <w:r w:rsidRPr="00EC3BD7">
          <w:rPr>
            <w:color w:val="000000"/>
            <w:szCs w:val="22"/>
            <w:lang w:val="et-EE"/>
          </w:rPr>
          <w:t>BCR</w:t>
        </w:r>
      </w:smartTag>
      <w:r w:rsidRPr="00EC3BD7">
        <w:rPr>
          <w:color w:val="000000"/>
          <w:szCs w:val="22"/>
          <w:lang w:val="et-EE"/>
        </w:rPr>
        <w:t>-</w:t>
      </w:r>
      <w:smartTag w:uri="urn:schemas-microsoft-com:office:smarttags" w:element="stockticker">
        <w:r w:rsidRPr="00EC3BD7">
          <w:rPr>
            <w:color w:val="000000"/>
            <w:szCs w:val="22"/>
            <w:lang w:val="et-EE"/>
          </w:rPr>
          <w:t>ABL</w:t>
        </w:r>
      </w:smartTag>
      <w:r w:rsidRPr="00EC3BD7">
        <w:rPr>
          <w:color w:val="000000"/>
          <w:szCs w:val="22"/>
          <w:lang w:val="et-EE"/>
        </w:rPr>
        <w:t xml:space="preserve"> transkriptide ulatuslikuma vähenemisega imatiniibiga ravitud patsientidel kui kemoteraapia grupis pärast 2 nädalat kestnud ravi (p=0,02). Kõik patsiendid said imatiniibi ja pärast induktsiooni säilituskemoteraapiat (tabel </w:t>
      </w:r>
      <w:r w:rsidR="00A2060F" w:rsidRPr="00EC3BD7">
        <w:rPr>
          <w:color w:val="000000"/>
          <w:szCs w:val="22"/>
          <w:lang w:val="et-EE"/>
        </w:rPr>
        <w:t>4</w:t>
      </w:r>
      <w:r w:rsidRPr="00EC3BD7">
        <w:rPr>
          <w:color w:val="000000"/>
          <w:szCs w:val="22"/>
          <w:lang w:val="et-EE"/>
        </w:rPr>
        <w:t xml:space="preserve">) ning 8. nädalal oli </w:t>
      </w:r>
      <w:smartTag w:uri="urn:schemas-microsoft-com:office:smarttags" w:element="stockticker">
        <w:r w:rsidRPr="00EC3BD7">
          <w:rPr>
            <w:color w:val="000000"/>
            <w:szCs w:val="22"/>
            <w:lang w:val="et-EE"/>
          </w:rPr>
          <w:t>BCR</w:t>
        </w:r>
      </w:smartTag>
      <w:r w:rsidRPr="00EC3BD7">
        <w:rPr>
          <w:color w:val="000000"/>
          <w:szCs w:val="22"/>
          <w:lang w:val="et-EE"/>
        </w:rPr>
        <w:t>-</w:t>
      </w:r>
      <w:smartTag w:uri="urn:schemas-microsoft-com:office:smarttags" w:element="stockticker">
        <w:r w:rsidRPr="00EC3BD7">
          <w:rPr>
            <w:color w:val="000000"/>
            <w:szCs w:val="22"/>
            <w:lang w:val="et-EE"/>
          </w:rPr>
          <w:t>ABL</w:t>
        </w:r>
      </w:smartTag>
      <w:r w:rsidRPr="00EC3BD7">
        <w:rPr>
          <w:color w:val="000000"/>
          <w:szCs w:val="22"/>
          <w:lang w:val="et-EE"/>
        </w:rPr>
        <w:t xml:space="preserve"> transkriptide tase mõlemas grupis ühesugune. Nagu võis oodata uuringu ülesehituse põhjal, ei täheldatud erinevust remissiooni kestuse, haigusvaba elulemuse või üldise elulemuse osas, kuigi täieliku molekulaarse ravivastuse ja minimaalse residuaalhaigusega patsiendid saavutasid parema lõpptulemuse nii remissiooni kestuse (p=0,01) kui haigusvaba elulemuse osas (p=0,02).</w:t>
      </w:r>
    </w:p>
    <w:p w14:paraId="6B6728EF" w14:textId="77777777" w:rsidR="00136210" w:rsidRPr="00EC3BD7" w:rsidRDefault="00136210">
      <w:pPr>
        <w:pStyle w:val="EndnoteText"/>
        <w:widowControl w:val="0"/>
        <w:tabs>
          <w:tab w:val="clear" w:pos="567"/>
        </w:tabs>
        <w:rPr>
          <w:color w:val="000000"/>
          <w:szCs w:val="22"/>
          <w:lang w:val="et-EE"/>
        </w:rPr>
      </w:pPr>
    </w:p>
    <w:p w14:paraId="6F9A4997" w14:textId="706EA35F" w:rsidR="00136210" w:rsidRPr="00EC3BD7" w:rsidRDefault="00136210">
      <w:pPr>
        <w:pStyle w:val="EndnoteText"/>
        <w:widowControl w:val="0"/>
        <w:tabs>
          <w:tab w:val="clear" w:pos="567"/>
        </w:tabs>
        <w:rPr>
          <w:color w:val="000000"/>
          <w:szCs w:val="22"/>
          <w:lang w:val="et-EE"/>
        </w:rPr>
      </w:pPr>
      <w:r w:rsidRPr="00EC3BD7">
        <w:rPr>
          <w:color w:val="000000"/>
          <w:szCs w:val="22"/>
          <w:lang w:val="et-EE"/>
        </w:rPr>
        <w:t>Tulemused, mis saadi neljas mittekontrollitud kliinilises uuringus (AAU02, ADE04, AJP01 ja AUS01) osalenud 211 äsja diagnoositud Ph+ </w:t>
      </w:r>
      <w:smartTag w:uri="urn:schemas-microsoft-com:office:smarttags" w:element="stockticker">
        <w:r w:rsidRPr="00EC3BD7">
          <w:rPr>
            <w:color w:val="000000"/>
            <w:szCs w:val="22"/>
            <w:lang w:val="et-EE"/>
          </w:rPr>
          <w:t>ALL</w:t>
        </w:r>
        <w:r w:rsidR="00B01FA1">
          <w:rPr>
            <w:color w:val="000000"/>
            <w:szCs w:val="22"/>
            <w:lang w:val="et-EE"/>
          </w:rPr>
          <w:t>-i</w:t>
        </w:r>
      </w:smartTag>
      <w:r w:rsidRPr="00EC3BD7">
        <w:rPr>
          <w:color w:val="000000"/>
          <w:szCs w:val="22"/>
          <w:lang w:val="et-EE"/>
        </w:rPr>
        <w:t xml:space="preserve"> patsiendilt, olid kooskõlas ülalkirjeldatud tulemustega. Imatiniib kombinatsioonis induktsioon-kemoteraapiaga (tabel </w:t>
      </w:r>
      <w:r w:rsidR="00A2060F" w:rsidRPr="00EC3BD7">
        <w:rPr>
          <w:color w:val="000000"/>
          <w:szCs w:val="22"/>
          <w:lang w:val="et-EE"/>
        </w:rPr>
        <w:t>4</w:t>
      </w:r>
      <w:r w:rsidRPr="00EC3BD7">
        <w:rPr>
          <w:color w:val="000000"/>
          <w:szCs w:val="22"/>
          <w:lang w:val="et-EE"/>
        </w:rPr>
        <w:t>) viis täieliku hematoloogilise ravivastuse saavutamiseni 93% (147/158) patsientidest ning olulise tsütogeneetilise ravivastuse saavutamiseni 90% (19/21) patsientidest. Täieliku molekulaarse ravivastuse saavutas 48% (49/102). Haigusvaba elulemus ja üldine elulemus ületasid konstantselt ühe aasta ja olid kõrgemad varasema kontrollgrupi näitajatest (haigusvaba elulemus p&lt;0,001; üldine elulemus p&lt;0,0001) kahes uuringus (AJP01 ja AUS01).</w:t>
      </w:r>
    </w:p>
    <w:p w14:paraId="0D060DEF" w14:textId="77777777" w:rsidR="00136210" w:rsidRPr="00EC3BD7" w:rsidRDefault="00136210">
      <w:pPr>
        <w:pStyle w:val="EndnoteText"/>
        <w:widowControl w:val="0"/>
        <w:tabs>
          <w:tab w:val="clear" w:pos="567"/>
        </w:tabs>
        <w:rPr>
          <w:color w:val="000000"/>
          <w:szCs w:val="22"/>
          <w:lang w:val="et-EE"/>
        </w:rPr>
      </w:pPr>
    </w:p>
    <w:p w14:paraId="3C5148D7" w14:textId="77777777" w:rsidR="00136210" w:rsidRPr="00EC3BD7" w:rsidRDefault="00136210" w:rsidP="00B9089D">
      <w:pPr>
        <w:pStyle w:val="EndnoteText"/>
        <w:keepNext/>
        <w:widowControl w:val="0"/>
        <w:rPr>
          <w:b/>
          <w:bCs/>
          <w:color w:val="000000"/>
          <w:szCs w:val="22"/>
          <w:lang w:val="et-EE"/>
        </w:rPr>
      </w:pPr>
      <w:r w:rsidRPr="00EC3BD7">
        <w:rPr>
          <w:b/>
          <w:bCs/>
          <w:color w:val="000000"/>
          <w:szCs w:val="22"/>
          <w:lang w:val="et-EE"/>
        </w:rPr>
        <w:t>Tabel </w:t>
      </w:r>
      <w:r w:rsidR="001645F8" w:rsidRPr="00EC3BD7">
        <w:rPr>
          <w:b/>
          <w:bCs/>
          <w:color w:val="000000"/>
          <w:szCs w:val="22"/>
          <w:lang w:val="et-EE"/>
        </w:rPr>
        <w:t>4</w:t>
      </w:r>
      <w:r w:rsidRPr="00EC3BD7">
        <w:rPr>
          <w:b/>
          <w:bCs/>
          <w:color w:val="000000"/>
          <w:szCs w:val="22"/>
          <w:lang w:val="et-EE"/>
        </w:rPr>
        <w:tab/>
        <w:t xml:space="preserve">Kemoteraapia raviskeem samaaegsel kasutamisel koos </w:t>
      </w:r>
      <w:r w:rsidRPr="00EC3BD7">
        <w:rPr>
          <w:b/>
          <w:color w:val="000000"/>
          <w:szCs w:val="22"/>
          <w:lang w:val="et-EE"/>
        </w:rPr>
        <w:t>imatiniibiga</w:t>
      </w:r>
    </w:p>
    <w:p w14:paraId="156430BB" w14:textId="77777777" w:rsidR="00136210" w:rsidRPr="00EC3BD7" w:rsidRDefault="00136210" w:rsidP="00B9089D">
      <w:pPr>
        <w:pStyle w:val="EndnoteText"/>
        <w:keepNext/>
        <w:widowControl w:val="0"/>
        <w:rPr>
          <w:color w:val="000000"/>
          <w:szCs w:val="22"/>
          <w:lang w:val="et-EE"/>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136210" w:rsidRPr="00EC3BD7" w14:paraId="1332E464" w14:textId="77777777" w:rsidTr="008B1609">
        <w:trPr>
          <w:cantSplit/>
        </w:trPr>
        <w:tc>
          <w:tcPr>
            <w:tcW w:w="2148" w:type="dxa"/>
            <w:tcBorders>
              <w:top w:val="single" w:sz="4" w:space="0" w:color="auto"/>
              <w:bottom w:val="single" w:sz="4" w:space="0" w:color="auto"/>
            </w:tcBorders>
          </w:tcPr>
          <w:p w14:paraId="3FAE3A7E" w14:textId="77777777" w:rsidR="00136210" w:rsidRPr="00EC3BD7" w:rsidRDefault="00136210">
            <w:pPr>
              <w:pStyle w:val="Table"/>
              <w:keepNext w:val="0"/>
              <w:widowControl w:val="0"/>
              <w:rPr>
                <w:rFonts w:ascii="Times New Roman" w:hAnsi="Times New Roman"/>
                <w:color w:val="000000"/>
                <w:sz w:val="22"/>
                <w:szCs w:val="22"/>
                <w:lang w:val="et-EE"/>
              </w:rPr>
            </w:pPr>
            <w:r w:rsidRPr="00EC3BD7">
              <w:rPr>
                <w:rFonts w:ascii="Times New Roman" w:hAnsi="Times New Roman"/>
                <w:b/>
                <w:color w:val="000000"/>
                <w:sz w:val="22"/>
                <w:szCs w:val="22"/>
                <w:lang w:val="et-EE"/>
              </w:rPr>
              <w:t>Uuring ADE10</w:t>
            </w:r>
          </w:p>
        </w:tc>
        <w:tc>
          <w:tcPr>
            <w:tcW w:w="6732" w:type="dxa"/>
            <w:gridSpan w:val="4"/>
            <w:tcBorders>
              <w:top w:val="single" w:sz="4" w:space="0" w:color="auto"/>
              <w:bottom w:val="single" w:sz="4" w:space="0" w:color="auto"/>
            </w:tcBorders>
          </w:tcPr>
          <w:p w14:paraId="1A06D555" w14:textId="77777777" w:rsidR="00136210" w:rsidRPr="00EC3BD7" w:rsidRDefault="00136210">
            <w:pPr>
              <w:pStyle w:val="Table"/>
              <w:keepNext w:val="0"/>
              <w:widowControl w:val="0"/>
              <w:rPr>
                <w:rFonts w:ascii="Times New Roman" w:hAnsi="Times New Roman"/>
                <w:color w:val="000000"/>
                <w:sz w:val="22"/>
                <w:szCs w:val="22"/>
                <w:lang w:val="et-EE"/>
              </w:rPr>
            </w:pPr>
          </w:p>
        </w:tc>
      </w:tr>
      <w:tr w:rsidR="00136210" w:rsidRPr="00EC3BD7" w14:paraId="3176FC7D" w14:textId="77777777" w:rsidTr="008B1609">
        <w:trPr>
          <w:cantSplit/>
        </w:trPr>
        <w:tc>
          <w:tcPr>
            <w:tcW w:w="2148" w:type="dxa"/>
            <w:tcBorders>
              <w:top w:val="single" w:sz="4" w:space="0" w:color="auto"/>
              <w:bottom w:val="single" w:sz="4" w:space="0" w:color="auto"/>
            </w:tcBorders>
          </w:tcPr>
          <w:p w14:paraId="227080E2" w14:textId="77777777" w:rsidR="00136210" w:rsidRPr="00EC3BD7" w:rsidRDefault="00136210">
            <w:pPr>
              <w:pStyle w:val="Table"/>
              <w:keepNext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Eelfaas</w:t>
            </w:r>
          </w:p>
        </w:tc>
        <w:tc>
          <w:tcPr>
            <w:tcW w:w="6732" w:type="dxa"/>
            <w:gridSpan w:val="4"/>
            <w:tcBorders>
              <w:top w:val="single" w:sz="4" w:space="0" w:color="auto"/>
              <w:bottom w:val="single" w:sz="4" w:space="0" w:color="auto"/>
            </w:tcBorders>
          </w:tcPr>
          <w:p w14:paraId="510D2C8D" w14:textId="77777777" w:rsidR="005616C3" w:rsidRPr="00EC3BD7" w:rsidRDefault="00136210">
            <w:pPr>
              <w:pStyle w:val="Table"/>
              <w:keepNext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DEX 10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suukaudselt, päevadel 1</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5;</w:t>
            </w:r>
          </w:p>
          <w:p w14:paraId="0172FDE2" w14:textId="77777777" w:rsidR="005616C3" w:rsidRPr="00EC3BD7" w:rsidRDefault="00136210">
            <w:pPr>
              <w:pStyle w:val="Table"/>
              <w:keepNext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CP 200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päevadel 3, 4, 5;</w:t>
            </w:r>
          </w:p>
          <w:p w14:paraId="338286B7" w14:textId="77777777" w:rsidR="00136210" w:rsidRPr="00EC3BD7" w:rsidRDefault="00136210">
            <w:pPr>
              <w:pStyle w:val="Table"/>
              <w:keepNext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MTX 12 mg intratekaalselt, päev 1</w:t>
            </w:r>
          </w:p>
        </w:tc>
      </w:tr>
      <w:tr w:rsidR="00136210" w:rsidRPr="00EC3BD7" w14:paraId="16AB5CAB" w14:textId="77777777" w:rsidTr="008B1609">
        <w:trPr>
          <w:cantSplit/>
        </w:trPr>
        <w:tc>
          <w:tcPr>
            <w:tcW w:w="2148" w:type="dxa"/>
            <w:tcBorders>
              <w:top w:val="single" w:sz="4" w:space="0" w:color="auto"/>
              <w:bottom w:val="single" w:sz="4" w:space="0" w:color="auto"/>
            </w:tcBorders>
          </w:tcPr>
          <w:p w14:paraId="3CC11CDE" w14:textId="77777777" w:rsidR="00136210" w:rsidRPr="00EC3BD7" w:rsidRDefault="00136210">
            <w:pPr>
              <w:pStyle w:val="Table"/>
              <w:keepNext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Remissiooni induktsioon</w:t>
            </w:r>
          </w:p>
        </w:tc>
        <w:tc>
          <w:tcPr>
            <w:tcW w:w="6732" w:type="dxa"/>
            <w:gridSpan w:val="4"/>
            <w:tcBorders>
              <w:top w:val="single" w:sz="4" w:space="0" w:color="auto"/>
              <w:bottom w:val="single" w:sz="4" w:space="0" w:color="auto"/>
            </w:tcBorders>
          </w:tcPr>
          <w:p w14:paraId="577D3D7C" w14:textId="77777777" w:rsidR="005616C3" w:rsidRPr="00EC3BD7" w:rsidRDefault="00136210">
            <w:pPr>
              <w:pStyle w:val="Table"/>
              <w:keepNext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DEX 10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suukaudselt, päevadel 6</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7, 13</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16;</w:t>
            </w:r>
          </w:p>
          <w:p w14:paraId="7AACB57B" w14:textId="77777777" w:rsidR="005616C3" w:rsidRPr="00EC3BD7" w:rsidRDefault="00136210">
            <w:pPr>
              <w:pStyle w:val="Table"/>
              <w:keepNext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VCR 1 mg i.v., päevadel 7, 14;</w:t>
            </w:r>
          </w:p>
          <w:p w14:paraId="4EBB1E0D" w14:textId="77777777" w:rsidR="005616C3" w:rsidRPr="00EC3BD7" w:rsidRDefault="00136210">
            <w:pPr>
              <w:pStyle w:val="Table"/>
              <w:keepNext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IDA 8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(0,5 h), päevadel 7, 8, 14, 15;</w:t>
            </w:r>
          </w:p>
          <w:p w14:paraId="7B7CC7FD" w14:textId="77777777" w:rsidR="005616C3" w:rsidRPr="00EC3BD7" w:rsidRDefault="00136210">
            <w:pPr>
              <w:pStyle w:val="Table"/>
              <w:keepNext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CP 500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i.v.(1 h) päev 1;</w:t>
            </w:r>
          </w:p>
          <w:p w14:paraId="7D112AFE" w14:textId="77777777" w:rsidR="00136210" w:rsidRPr="00EC3BD7" w:rsidRDefault="00136210" w:rsidP="00C10CCB">
            <w:pPr>
              <w:pStyle w:val="Table"/>
              <w:keepNext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Ara-C 60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päevadel 22</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25, 29</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32</w:t>
            </w:r>
          </w:p>
        </w:tc>
      </w:tr>
      <w:tr w:rsidR="00136210" w:rsidRPr="005D29F8" w14:paraId="156074B0" w14:textId="77777777" w:rsidTr="008B1609">
        <w:trPr>
          <w:cantSplit/>
        </w:trPr>
        <w:tc>
          <w:tcPr>
            <w:tcW w:w="2148" w:type="dxa"/>
            <w:tcBorders>
              <w:top w:val="single" w:sz="4" w:space="0" w:color="auto"/>
              <w:bottom w:val="single" w:sz="4" w:space="0" w:color="auto"/>
            </w:tcBorders>
          </w:tcPr>
          <w:p w14:paraId="470ED27B" w14:textId="77777777" w:rsidR="00136210" w:rsidRPr="00EC3BD7" w:rsidRDefault="00136210">
            <w:pPr>
              <w:pStyle w:val="Table"/>
              <w:keepNext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 xml:space="preserve">Konsolidatsioonravi I, </w:t>
            </w:r>
            <w:smartTag w:uri="urn:schemas-microsoft-com:office:smarttags" w:element="stockticker">
              <w:r w:rsidRPr="00EC3BD7">
                <w:rPr>
                  <w:rFonts w:ascii="Times New Roman" w:hAnsi="Times New Roman"/>
                  <w:color w:val="000000"/>
                  <w:sz w:val="22"/>
                  <w:szCs w:val="22"/>
                  <w:lang w:val="et-EE"/>
                </w:rPr>
                <w:t>III</w:t>
              </w:r>
            </w:smartTag>
            <w:r w:rsidRPr="00EC3BD7">
              <w:rPr>
                <w:rFonts w:ascii="Times New Roman" w:hAnsi="Times New Roman"/>
                <w:color w:val="000000"/>
                <w:sz w:val="22"/>
                <w:szCs w:val="22"/>
                <w:lang w:val="et-EE"/>
              </w:rPr>
              <w:t>, V</w:t>
            </w:r>
          </w:p>
        </w:tc>
        <w:tc>
          <w:tcPr>
            <w:tcW w:w="6732" w:type="dxa"/>
            <w:gridSpan w:val="4"/>
            <w:tcBorders>
              <w:top w:val="single" w:sz="4" w:space="0" w:color="auto"/>
              <w:bottom w:val="single" w:sz="4" w:space="0" w:color="auto"/>
            </w:tcBorders>
          </w:tcPr>
          <w:p w14:paraId="1EAD81AB" w14:textId="77777777" w:rsidR="005616C3" w:rsidRPr="00EC3BD7" w:rsidRDefault="00136210">
            <w:pPr>
              <w:pStyle w:val="Table"/>
              <w:keepNext w:val="0"/>
              <w:widowControl w:val="0"/>
              <w:rPr>
                <w:rFonts w:ascii="Times New Roman" w:hAnsi="Times New Roman"/>
                <w:color w:val="000000"/>
                <w:sz w:val="22"/>
                <w:szCs w:val="22"/>
                <w:lang w:val="et-EE"/>
              </w:rPr>
            </w:pPr>
            <w:smartTag w:uri="urn:schemas-microsoft-com:office:smarttags" w:element="stockticker">
              <w:r w:rsidRPr="00EC3BD7">
                <w:rPr>
                  <w:rFonts w:ascii="Times New Roman" w:hAnsi="Times New Roman"/>
                  <w:color w:val="000000"/>
                  <w:sz w:val="22"/>
                  <w:szCs w:val="22"/>
                  <w:lang w:val="et-EE"/>
                </w:rPr>
                <w:t>MTX</w:t>
              </w:r>
            </w:smartTag>
            <w:r w:rsidRPr="00EC3BD7">
              <w:rPr>
                <w:rFonts w:ascii="Times New Roman" w:hAnsi="Times New Roman"/>
                <w:color w:val="000000"/>
                <w:sz w:val="22"/>
                <w:szCs w:val="22"/>
                <w:lang w:val="et-EE"/>
              </w:rPr>
              <w:t xml:space="preserve"> 500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(24 h), päevadel 1, 15;</w:t>
            </w:r>
          </w:p>
          <w:p w14:paraId="01542D74" w14:textId="77777777" w:rsidR="00136210" w:rsidRPr="00EC3BD7" w:rsidRDefault="00136210" w:rsidP="00C10CCB">
            <w:pPr>
              <w:pStyle w:val="Table"/>
              <w:keepNext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6-MP 25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suukaudselt, päevadel 1</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20</w:t>
            </w:r>
          </w:p>
        </w:tc>
      </w:tr>
      <w:tr w:rsidR="00136210" w:rsidRPr="005D29F8" w14:paraId="0B6CD2D6" w14:textId="77777777" w:rsidTr="008B1609">
        <w:trPr>
          <w:cantSplit/>
        </w:trPr>
        <w:tc>
          <w:tcPr>
            <w:tcW w:w="2148" w:type="dxa"/>
            <w:tcBorders>
              <w:top w:val="single" w:sz="4" w:space="0" w:color="auto"/>
              <w:bottom w:val="single" w:sz="4" w:space="0" w:color="auto"/>
            </w:tcBorders>
          </w:tcPr>
          <w:p w14:paraId="30694A99" w14:textId="77777777" w:rsidR="00136210" w:rsidRPr="00EC3BD7" w:rsidRDefault="00136210"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Konsolidatsioonravi II, IV</w:t>
            </w:r>
          </w:p>
        </w:tc>
        <w:tc>
          <w:tcPr>
            <w:tcW w:w="6732" w:type="dxa"/>
            <w:gridSpan w:val="4"/>
            <w:tcBorders>
              <w:top w:val="single" w:sz="4" w:space="0" w:color="auto"/>
              <w:bottom w:val="single" w:sz="4" w:space="0" w:color="auto"/>
            </w:tcBorders>
          </w:tcPr>
          <w:p w14:paraId="525F9993" w14:textId="77777777" w:rsidR="005616C3" w:rsidRPr="00EC3BD7" w:rsidRDefault="00136210"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Ara-C 75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(1 h), päevadel 1</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5;</w:t>
            </w:r>
          </w:p>
          <w:p w14:paraId="38937142" w14:textId="77777777" w:rsidR="00136210" w:rsidRPr="00EC3BD7" w:rsidRDefault="00136210"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VM26 60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(1 h), päevadel 1</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5</w:t>
            </w:r>
          </w:p>
        </w:tc>
      </w:tr>
      <w:tr w:rsidR="00136210" w:rsidRPr="00EC3BD7" w14:paraId="0A7DF730" w14:textId="77777777" w:rsidTr="008B1609">
        <w:trPr>
          <w:cantSplit/>
        </w:trPr>
        <w:tc>
          <w:tcPr>
            <w:tcW w:w="2148" w:type="dxa"/>
            <w:tcBorders>
              <w:top w:val="single" w:sz="4" w:space="0" w:color="auto"/>
              <w:bottom w:val="single" w:sz="4" w:space="0" w:color="auto"/>
            </w:tcBorders>
          </w:tcPr>
          <w:p w14:paraId="68E117C2" w14:textId="77777777" w:rsidR="00136210" w:rsidRPr="00EC3BD7" w:rsidRDefault="00136210" w:rsidP="00B9089D">
            <w:pPr>
              <w:pStyle w:val="Table"/>
              <w:widowControl w:val="0"/>
              <w:rPr>
                <w:rFonts w:ascii="Times New Roman" w:hAnsi="Times New Roman"/>
                <w:b/>
                <w:color w:val="000000"/>
                <w:sz w:val="22"/>
                <w:szCs w:val="22"/>
                <w:lang w:val="et-EE"/>
              </w:rPr>
            </w:pPr>
            <w:r w:rsidRPr="00EC3BD7">
              <w:rPr>
                <w:rFonts w:ascii="Times New Roman" w:hAnsi="Times New Roman"/>
                <w:b/>
                <w:color w:val="000000"/>
                <w:sz w:val="22"/>
                <w:szCs w:val="22"/>
                <w:lang w:val="et-EE"/>
              </w:rPr>
              <w:lastRenderedPageBreak/>
              <w:t>Uuring AAU02</w:t>
            </w:r>
          </w:p>
        </w:tc>
        <w:tc>
          <w:tcPr>
            <w:tcW w:w="2652" w:type="dxa"/>
            <w:tcBorders>
              <w:top w:val="single" w:sz="4" w:space="0" w:color="auto"/>
              <w:bottom w:val="single" w:sz="4" w:space="0" w:color="auto"/>
            </w:tcBorders>
          </w:tcPr>
          <w:p w14:paraId="1E595A46" w14:textId="77777777" w:rsidR="00136210" w:rsidRPr="00EC3BD7" w:rsidRDefault="00136210" w:rsidP="00B9089D">
            <w:pPr>
              <w:pStyle w:val="Table"/>
              <w:widowControl w:val="0"/>
              <w:rPr>
                <w:rFonts w:ascii="Times New Roman" w:hAnsi="Times New Roman"/>
                <w:color w:val="000000"/>
                <w:sz w:val="22"/>
                <w:szCs w:val="22"/>
                <w:lang w:val="et-EE"/>
              </w:rPr>
            </w:pPr>
          </w:p>
        </w:tc>
        <w:tc>
          <w:tcPr>
            <w:tcW w:w="1080" w:type="dxa"/>
            <w:tcBorders>
              <w:top w:val="single" w:sz="4" w:space="0" w:color="auto"/>
              <w:bottom w:val="single" w:sz="4" w:space="0" w:color="auto"/>
            </w:tcBorders>
          </w:tcPr>
          <w:p w14:paraId="64E8FF60" w14:textId="77777777" w:rsidR="00136210" w:rsidRPr="00EC3BD7" w:rsidRDefault="00136210" w:rsidP="00B9089D">
            <w:pPr>
              <w:pStyle w:val="Table"/>
              <w:widowControl w:val="0"/>
              <w:rPr>
                <w:rFonts w:ascii="Times New Roman" w:hAnsi="Times New Roman"/>
                <w:color w:val="000000"/>
                <w:sz w:val="22"/>
                <w:szCs w:val="22"/>
                <w:lang w:val="et-EE"/>
              </w:rPr>
            </w:pPr>
          </w:p>
        </w:tc>
        <w:tc>
          <w:tcPr>
            <w:tcW w:w="1380" w:type="dxa"/>
            <w:tcBorders>
              <w:top w:val="single" w:sz="4" w:space="0" w:color="auto"/>
              <w:bottom w:val="single" w:sz="4" w:space="0" w:color="auto"/>
            </w:tcBorders>
          </w:tcPr>
          <w:p w14:paraId="5999FECF" w14:textId="77777777" w:rsidR="00136210" w:rsidRPr="00EC3BD7" w:rsidRDefault="00136210" w:rsidP="00B9089D">
            <w:pPr>
              <w:pStyle w:val="Table"/>
              <w:widowControl w:val="0"/>
              <w:rPr>
                <w:rFonts w:ascii="Times New Roman" w:hAnsi="Times New Roman"/>
                <w:color w:val="000000"/>
                <w:sz w:val="22"/>
                <w:szCs w:val="22"/>
                <w:lang w:val="et-EE"/>
              </w:rPr>
            </w:pPr>
          </w:p>
        </w:tc>
        <w:tc>
          <w:tcPr>
            <w:tcW w:w="1620" w:type="dxa"/>
            <w:tcBorders>
              <w:top w:val="single" w:sz="4" w:space="0" w:color="auto"/>
              <w:bottom w:val="single" w:sz="4" w:space="0" w:color="auto"/>
            </w:tcBorders>
          </w:tcPr>
          <w:p w14:paraId="03D12B7C" w14:textId="77777777" w:rsidR="00136210" w:rsidRPr="00EC3BD7" w:rsidRDefault="00136210" w:rsidP="00B9089D">
            <w:pPr>
              <w:pStyle w:val="Table"/>
              <w:widowControl w:val="0"/>
              <w:rPr>
                <w:rFonts w:ascii="Times New Roman" w:hAnsi="Times New Roman"/>
                <w:color w:val="000000"/>
                <w:sz w:val="22"/>
                <w:szCs w:val="22"/>
                <w:lang w:val="et-EE"/>
              </w:rPr>
            </w:pPr>
          </w:p>
        </w:tc>
      </w:tr>
      <w:tr w:rsidR="00136210" w:rsidRPr="00EC3BD7" w14:paraId="6F871D14" w14:textId="77777777" w:rsidTr="008B1609">
        <w:trPr>
          <w:cantSplit/>
        </w:trPr>
        <w:tc>
          <w:tcPr>
            <w:tcW w:w="2148" w:type="dxa"/>
            <w:tcBorders>
              <w:top w:val="single" w:sz="4" w:space="0" w:color="auto"/>
              <w:bottom w:val="single" w:sz="4" w:space="0" w:color="auto"/>
            </w:tcBorders>
          </w:tcPr>
          <w:p w14:paraId="1D809653" w14:textId="77777777" w:rsidR="00136210" w:rsidRPr="00EC3BD7" w:rsidRDefault="00136210" w:rsidP="00B9089D">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Induktsioonravi (</w:t>
            </w:r>
            <w:r w:rsidRPr="00EC3BD7">
              <w:rPr>
                <w:rFonts w:ascii="Times New Roman" w:hAnsi="Times New Roman"/>
                <w:i/>
                <w:color w:val="000000"/>
                <w:sz w:val="22"/>
                <w:szCs w:val="22"/>
                <w:lang w:val="et-EE"/>
              </w:rPr>
              <w:t>de novo</w:t>
            </w:r>
            <w:r w:rsidRPr="00EC3BD7">
              <w:rPr>
                <w:rFonts w:ascii="Times New Roman" w:hAnsi="Times New Roman"/>
                <w:color w:val="000000"/>
                <w:sz w:val="22"/>
                <w:szCs w:val="22"/>
                <w:lang w:val="et-EE"/>
              </w:rPr>
              <w:t xml:space="preserve"> Ph+ </w:t>
            </w:r>
            <w:smartTag w:uri="urn:schemas-microsoft-com:office:smarttags" w:element="stockticker">
              <w:r w:rsidRPr="00EC3BD7">
                <w:rPr>
                  <w:rFonts w:ascii="Times New Roman" w:hAnsi="Times New Roman"/>
                  <w:color w:val="000000"/>
                  <w:sz w:val="22"/>
                  <w:szCs w:val="22"/>
                  <w:lang w:val="et-EE"/>
                </w:rPr>
                <w:t>ALL</w:t>
              </w:r>
            </w:smartTag>
            <w:r w:rsidRPr="00EC3BD7">
              <w:rPr>
                <w:rFonts w:ascii="Times New Roman" w:hAnsi="Times New Roman"/>
                <w:color w:val="000000"/>
                <w:sz w:val="22"/>
                <w:szCs w:val="22"/>
                <w:lang w:val="et-EE"/>
              </w:rPr>
              <w:t>)</w:t>
            </w:r>
          </w:p>
        </w:tc>
        <w:tc>
          <w:tcPr>
            <w:tcW w:w="6732" w:type="dxa"/>
            <w:gridSpan w:val="4"/>
            <w:tcBorders>
              <w:top w:val="single" w:sz="4" w:space="0" w:color="auto"/>
              <w:bottom w:val="single" w:sz="4" w:space="0" w:color="auto"/>
            </w:tcBorders>
          </w:tcPr>
          <w:p w14:paraId="6913B63B" w14:textId="77777777" w:rsidR="005616C3" w:rsidRPr="00EC3BD7" w:rsidRDefault="00136210" w:rsidP="00B9089D">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Daunorubitsiin 30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päevadel 1</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3, 15</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16;</w:t>
            </w:r>
          </w:p>
          <w:p w14:paraId="3442EB99" w14:textId="77777777" w:rsidR="005616C3" w:rsidRPr="00EC3BD7" w:rsidRDefault="00136210" w:rsidP="00B9089D">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VCR koguannus 2 mg i.v., päevadel 1, 8, 15, 22;</w:t>
            </w:r>
          </w:p>
          <w:p w14:paraId="06551138" w14:textId="77777777" w:rsidR="005616C3" w:rsidRPr="00EC3BD7" w:rsidRDefault="00136210" w:rsidP="00B9089D">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CP 750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päevadel 1, 8;</w:t>
            </w:r>
          </w:p>
          <w:p w14:paraId="08825382" w14:textId="77777777" w:rsidR="005616C3" w:rsidRPr="00EC3BD7" w:rsidRDefault="005616C3" w:rsidP="00B9089D">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P</w:t>
            </w:r>
            <w:r w:rsidR="00136210" w:rsidRPr="00EC3BD7">
              <w:rPr>
                <w:rFonts w:ascii="Times New Roman" w:hAnsi="Times New Roman"/>
                <w:color w:val="000000"/>
                <w:sz w:val="22"/>
                <w:szCs w:val="22"/>
                <w:lang w:val="et-EE"/>
              </w:rPr>
              <w:t>rednisoon 60 mg/m</w:t>
            </w:r>
            <w:r w:rsidR="00136210" w:rsidRPr="00EC3BD7">
              <w:rPr>
                <w:rFonts w:ascii="Times New Roman" w:hAnsi="Times New Roman"/>
                <w:color w:val="000000"/>
                <w:sz w:val="22"/>
                <w:szCs w:val="22"/>
                <w:vertAlign w:val="superscript"/>
                <w:lang w:val="et-EE"/>
              </w:rPr>
              <w:t>2</w:t>
            </w:r>
            <w:r w:rsidR="00136210" w:rsidRPr="00EC3BD7">
              <w:rPr>
                <w:rFonts w:ascii="Times New Roman" w:hAnsi="Times New Roman"/>
                <w:color w:val="000000"/>
                <w:sz w:val="22"/>
                <w:szCs w:val="22"/>
                <w:lang w:val="et-EE"/>
              </w:rPr>
              <w:t xml:space="preserve"> suukaudselt, päevadel 1</w:t>
            </w:r>
            <w:r w:rsidR="00C10CCB" w:rsidRPr="00EC3BD7">
              <w:rPr>
                <w:rFonts w:ascii="Times New Roman" w:hAnsi="Times New Roman"/>
                <w:color w:val="000000"/>
                <w:sz w:val="22"/>
                <w:szCs w:val="22"/>
                <w:lang w:val="et-EE"/>
              </w:rPr>
              <w:t>...</w:t>
            </w:r>
            <w:r w:rsidR="00136210" w:rsidRPr="00EC3BD7">
              <w:rPr>
                <w:rFonts w:ascii="Times New Roman" w:hAnsi="Times New Roman"/>
                <w:color w:val="000000"/>
                <w:sz w:val="22"/>
                <w:szCs w:val="22"/>
                <w:lang w:val="et-EE"/>
              </w:rPr>
              <w:t>7, 15</w:t>
            </w:r>
            <w:r w:rsidR="00C10CCB" w:rsidRPr="00EC3BD7">
              <w:rPr>
                <w:rFonts w:ascii="Times New Roman" w:hAnsi="Times New Roman"/>
                <w:color w:val="000000"/>
                <w:sz w:val="22"/>
                <w:szCs w:val="22"/>
                <w:lang w:val="et-EE"/>
              </w:rPr>
              <w:t>...</w:t>
            </w:r>
            <w:r w:rsidR="00136210" w:rsidRPr="00EC3BD7">
              <w:rPr>
                <w:rFonts w:ascii="Times New Roman" w:hAnsi="Times New Roman"/>
                <w:color w:val="000000"/>
                <w:sz w:val="22"/>
                <w:szCs w:val="22"/>
                <w:lang w:val="et-EE"/>
              </w:rPr>
              <w:t>21;</w:t>
            </w:r>
          </w:p>
          <w:p w14:paraId="0ACA649E" w14:textId="77777777" w:rsidR="005616C3" w:rsidRPr="00EC3BD7" w:rsidRDefault="00136210" w:rsidP="00B9089D">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IDA 9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suukaudselt, päevadel 1</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28;</w:t>
            </w:r>
          </w:p>
          <w:p w14:paraId="1182B254" w14:textId="77777777" w:rsidR="005616C3" w:rsidRPr="00EC3BD7" w:rsidRDefault="00136210" w:rsidP="00B9089D">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MTX 15 mg intratekaalselt, päevadel 1, 8, 15, 22;</w:t>
            </w:r>
          </w:p>
          <w:p w14:paraId="5E000B71" w14:textId="77777777" w:rsidR="005616C3" w:rsidRPr="00EC3BD7" w:rsidRDefault="00136210" w:rsidP="00B9089D">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Ara-C 40 mg intratekaalselt, päevadel 1, 8, 15, 22;</w:t>
            </w:r>
          </w:p>
          <w:p w14:paraId="42C3E077" w14:textId="77777777" w:rsidR="00136210" w:rsidRPr="00EC3BD7" w:rsidRDefault="005616C3" w:rsidP="00B9089D">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M</w:t>
            </w:r>
            <w:r w:rsidR="00136210" w:rsidRPr="00EC3BD7">
              <w:rPr>
                <w:rFonts w:ascii="Times New Roman" w:hAnsi="Times New Roman"/>
                <w:color w:val="000000"/>
                <w:sz w:val="22"/>
                <w:szCs w:val="22"/>
                <w:lang w:val="et-EE"/>
              </w:rPr>
              <w:t>etüülprednisoloon 40 mg intratekaalselt, päevadel 1, 8, 15, 22</w:t>
            </w:r>
          </w:p>
        </w:tc>
      </w:tr>
      <w:tr w:rsidR="00136210" w:rsidRPr="00EC3BD7" w14:paraId="67655541" w14:textId="77777777" w:rsidTr="008B1609">
        <w:trPr>
          <w:cantSplit/>
        </w:trPr>
        <w:tc>
          <w:tcPr>
            <w:tcW w:w="2148" w:type="dxa"/>
            <w:tcBorders>
              <w:top w:val="single" w:sz="4" w:space="0" w:color="auto"/>
              <w:bottom w:val="single" w:sz="4" w:space="0" w:color="auto"/>
            </w:tcBorders>
          </w:tcPr>
          <w:p w14:paraId="2D737F07" w14:textId="77777777" w:rsidR="00136210" w:rsidRPr="00EC3BD7" w:rsidRDefault="00136210"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Konsolidatsioon (</w:t>
            </w:r>
            <w:r w:rsidRPr="00EC3BD7">
              <w:rPr>
                <w:rFonts w:ascii="Times New Roman" w:hAnsi="Times New Roman"/>
                <w:i/>
                <w:color w:val="000000"/>
                <w:sz w:val="22"/>
                <w:szCs w:val="22"/>
                <w:lang w:val="et-EE"/>
              </w:rPr>
              <w:t>de novo</w:t>
            </w:r>
            <w:r w:rsidRPr="00EC3BD7">
              <w:rPr>
                <w:rFonts w:ascii="Times New Roman" w:hAnsi="Times New Roman"/>
                <w:color w:val="000000"/>
                <w:sz w:val="22"/>
                <w:szCs w:val="22"/>
                <w:lang w:val="et-EE"/>
              </w:rPr>
              <w:t xml:space="preserve"> Ph+ </w:t>
            </w:r>
            <w:smartTag w:uri="urn:schemas-microsoft-com:office:smarttags" w:element="stockticker">
              <w:r w:rsidRPr="00EC3BD7">
                <w:rPr>
                  <w:rFonts w:ascii="Times New Roman" w:hAnsi="Times New Roman"/>
                  <w:color w:val="000000"/>
                  <w:sz w:val="22"/>
                  <w:szCs w:val="22"/>
                  <w:lang w:val="et-EE"/>
                </w:rPr>
                <w:t>ALL</w:t>
              </w:r>
            </w:smartTag>
            <w:r w:rsidRPr="00EC3BD7">
              <w:rPr>
                <w:rFonts w:ascii="Times New Roman" w:hAnsi="Times New Roman"/>
                <w:color w:val="000000"/>
                <w:sz w:val="22"/>
                <w:szCs w:val="22"/>
                <w:lang w:val="et-EE"/>
              </w:rPr>
              <w:t>)</w:t>
            </w:r>
          </w:p>
        </w:tc>
        <w:tc>
          <w:tcPr>
            <w:tcW w:w="6732" w:type="dxa"/>
            <w:gridSpan w:val="4"/>
            <w:tcBorders>
              <w:top w:val="single" w:sz="4" w:space="0" w:color="auto"/>
              <w:bottom w:val="single" w:sz="4" w:space="0" w:color="auto"/>
            </w:tcBorders>
          </w:tcPr>
          <w:p w14:paraId="42DD05A3" w14:textId="77777777" w:rsidR="005616C3" w:rsidRPr="00EC3BD7" w:rsidRDefault="00136210"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Ara-C 1000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/12 h i.v.(3 h), päevadel 1</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4;</w:t>
            </w:r>
          </w:p>
          <w:p w14:paraId="342E0CBE" w14:textId="77777777" w:rsidR="005616C3" w:rsidRPr="00EC3BD7" w:rsidRDefault="005616C3"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M</w:t>
            </w:r>
            <w:r w:rsidR="00136210" w:rsidRPr="00EC3BD7">
              <w:rPr>
                <w:rFonts w:ascii="Times New Roman" w:hAnsi="Times New Roman"/>
                <w:color w:val="000000"/>
                <w:sz w:val="22"/>
                <w:szCs w:val="22"/>
                <w:lang w:val="et-EE"/>
              </w:rPr>
              <w:t>itoksantroon 10 mg/m</w:t>
            </w:r>
            <w:r w:rsidR="00136210" w:rsidRPr="00EC3BD7">
              <w:rPr>
                <w:rFonts w:ascii="Times New Roman" w:hAnsi="Times New Roman"/>
                <w:color w:val="000000"/>
                <w:sz w:val="22"/>
                <w:szCs w:val="22"/>
                <w:vertAlign w:val="superscript"/>
                <w:lang w:val="et-EE"/>
              </w:rPr>
              <w:t>2</w:t>
            </w:r>
            <w:r w:rsidR="00136210" w:rsidRPr="00EC3BD7">
              <w:rPr>
                <w:rFonts w:ascii="Times New Roman" w:hAnsi="Times New Roman"/>
                <w:color w:val="000000"/>
                <w:sz w:val="22"/>
                <w:szCs w:val="22"/>
                <w:lang w:val="et-EE"/>
              </w:rPr>
              <w:t xml:space="preserve"> i.v. päevadel 3</w:t>
            </w:r>
            <w:r w:rsidR="00C10CCB" w:rsidRPr="00EC3BD7">
              <w:rPr>
                <w:rFonts w:ascii="Times New Roman" w:hAnsi="Times New Roman"/>
                <w:color w:val="000000"/>
                <w:sz w:val="22"/>
                <w:szCs w:val="22"/>
                <w:lang w:val="et-EE"/>
              </w:rPr>
              <w:t>...</w:t>
            </w:r>
            <w:r w:rsidR="00136210" w:rsidRPr="00EC3BD7">
              <w:rPr>
                <w:rFonts w:ascii="Times New Roman" w:hAnsi="Times New Roman"/>
                <w:color w:val="000000"/>
                <w:sz w:val="22"/>
                <w:szCs w:val="22"/>
                <w:lang w:val="et-EE"/>
              </w:rPr>
              <w:t>5;</w:t>
            </w:r>
          </w:p>
          <w:p w14:paraId="65AB9649" w14:textId="77777777" w:rsidR="005616C3" w:rsidRPr="00EC3BD7" w:rsidRDefault="00136210"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MTX 15 mg intratekaalselt, päev 1;</w:t>
            </w:r>
          </w:p>
          <w:p w14:paraId="02B15061" w14:textId="77777777" w:rsidR="00136210" w:rsidRPr="00EC3BD7" w:rsidRDefault="005616C3"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M</w:t>
            </w:r>
            <w:r w:rsidR="00136210" w:rsidRPr="00EC3BD7">
              <w:rPr>
                <w:rFonts w:ascii="Times New Roman" w:hAnsi="Times New Roman"/>
                <w:color w:val="000000"/>
                <w:sz w:val="22"/>
                <w:szCs w:val="22"/>
                <w:lang w:val="et-EE"/>
              </w:rPr>
              <w:t>etüülprednisoloon 40 mg intratekaalselt, päev 1</w:t>
            </w:r>
          </w:p>
        </w:tc>
      </w:tr>
      <w:tr w:rsidR="00136210" w:rsidRPr="00EC3BD7" w14:paraId="47EA5802" w14:textId="77777777" w:rsidTr="008B1609">
        <w:trPr>
          <w:cantSplit/>
        </w:trPr>
        <w:tc>
          <w:tcPr>
            <w:tcW w:w="4800" w:type="dxa"/>
            <w:gridSpan w:val="2"/>
            <w:tcBorders>
              <w:top w:val="single" w:sz="4" w:space="0" w:color="auto"/>
              <w:bottom w:val="single" w:sz="4" w:space="0" w:color="auto"/>
            </w:tcBorders>
          </w:tcPr>
          <w:p w14:paraId="35848B6A" w14:textId="77777777" w:rsidR="00136210" w:rsidRPr="00EC3BD7" w:rsidRDefault="00136210" w:rsidP="00B9089D">
            <w:pPr>
              <w:pStyle w:val="Table"/>
              <w:keepLines w:val="0"/>
              <w:widowControl w:val="0"/>
              <w:rPr>
                <w:rFonts w:ascii="Times New Roman" w:hAnsi="Times New Roman"/>
                <w:b/>
                <w:color w:val="000000"/>
                <w:sz w:val="22"/>
                <w:szCs w:val="22"/>
                <w:lang w:val="et-EE"/>
              </w:rPr>
            </w:pPr>
            <w:r w:rsidRPr="00EC3BD7">
              <w:rPr>
                <w:rFonts w:ascii="Times New Roman" w:hAnsi="Times New Roman"/>
                <w:b/>
                <w:color w:val="000000"/>
                <w:sz w:val="22"/>
                <w:szCs w:val="22"/>
                <w:lang w:val="et-EE"/>
              </w:rPr>
              <w:t>Uuring ADE04</w:t>
            </w:r>
          </w:p>
        </w:tc>
        <w:tc>
          <w:tcPr>
            <w:tcW w:w="1080" w:type="dxa"/>
            <w:tcBorders>
              <w:top w:val="single" w:sz="4" w:space="0" w:color="auto"/>
              <w:bottom w:val="single" w:sz="4" w:space="0" w:color="auto"/>
            </w:tcBorders>
          </w:tcPr>
          <w:p w14:paraId="38E52219" w14:textId="77777777" w:rsidR="00136210" w:rsidRPr="00EC3BD7" w:rsidRDefault="00136210" w:rsidP="00B9089D">
            <w:pPr>
              <w:pStyle w:val="Table"/>
              <w:keepLines w:val="0"/>
              <w:widowControl w:val="0"/>
              <w:rPr>
                <w:rFonts w:ascii="Times New Roman" w:hAnsi="Times New Roman"/>
                <w:color w:val="000000"/>
                <w:sz w:val="22"/>
                <w:szCs w:val="22"/>
                <w:lang w:val="et-EE"/>
              </w:rPr>
            </w:pPr>
          </w:p>
        </w:tc>
        <w:tc>
          <w:tcPr>
            <w:tcW w:w="1380" w:type="dxa"/>
            <w:tcBorders>
              <w:top w:val="single" w:sz="4" w:space="0" w:color="auto"/>
              <w:bottom w:val="single" w:sz="4" w:space="0" w:color="auto"/>
            </w:tcBorders>
          </w:tcPr>
          <w:p w14:paraId="4959E296" w14:textId="77777777" w:rsidR="00136210" w:rsidRPr="00EC3BD7" w:rsidRDefault="00136210" w:rsidP="00B9089D">
            <w:pPr>
              <w:pStyle w:val="Table"/>
              <w:keepLines w:val="0"/>
              <w:widowControl w:val="0"/>
              <w:rPr>
                <w:rFonts w:ascii="Times New Roman" w:hAnsi="Times New Roman"/>
                <w:color w:val="000000"/>
                <w:sz w:val="22"/>
                <w:szCs w:val="22"/>
                <w:lang w:val="et-EE"/>
              </w:rPr>
            </w:pPr>
          </w:p>
        </w:tc>
        <w:tc>
          <w:tcPr>
            <w:tcW w:w="1620" w:type="dxa"/>
            <w:tcBorders>
              <w:top w:val="single" w:sz="4" w:space="0" w:color="auto"/>
              <w:bottom w:val="single" w:sz="4" w:space="0" w:color="auto"/>
            </w:tcBorders>
          </w:tcPr>
          <w:p w14:paraId="1856759A" w14:textId="77777777" w:rsidR="00136210" w:rsidRPr="00EC3BD7" w:rsidRDefault="00136210" w:rsidP="00B9089D">
            <w:pPr>
              <w:pStyle w:val="Table"/>
              <w:keepLines w:val="0"/>
              <w:widowControl w:val="0"/>
              <w:rPr>
                <w:rFonts w:ascii="Times New Roman" w:hAnsi="Times New Roman"/>
                <w:color w:val="000000"/>
                <w:sz w:val="22"/>
                <w:szCs w:val="22"/>
                <w:lang w:val="et-EE"/>
              </w:rPr>
            </w:pPr>
          </w:p>
        </w:tc>
      </w:tr>
      <w:tr w:rsidR="00136210" w:rsidRPr="00EC3BD7" w14:paraId="76EEC487" w14:textId="77777777" w:rsidTr="008B1609">
        <w:trPr>
          <w:cantSplit/>
        </w:trPr>
        <w:tc>
          <w:tcPr>
            <w:tcW w:w="2148" w:type="dxa"/>
            <w:tcBorders>
              <w:top w:val="single" w:sz="4" w:space="0" w:color="auto"/>
              <w:bottom w:val="single" w:sz="4" w:space="0" w:color="auto"/>
            </w:tcBorders>
          </w:tcPr>
          <w:p w14:paraId="043F0E03" w14:textId="77777777" w:rsidR="00136210" w:rsidRPr="00EC3BD7" w:rsidRDefault="00136210" w:rsidP="00B9089D">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Eelfaas</w:t>
            </w:r>
          </w:p>
        </w:tc>
        <w:tc>
          <w:tcPr>
            <w:tcW w:w="6732" w:type="dxa"/>
            <w:gridSpan w:val="4"/>
            <w:tcBorders>
              <w:top w:val="single" w:sz="4" w:space="0" w:color="auto"/>
              <w:bottom w:val="single" w:sz="4" w:space="0" w:color="auto"/>
            </w:tcBorders>
          </w:tcPr>
          <w:p w14:paraId="02092EEF" w14:textId="77777777" w:rsidR="005616C3" w:rsidRPr="00EC3BD7" w:rsidRDefault="00136210" w:rsidP="00B9089D">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DEX 10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suukaudselt, päevadel 1</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5;</w:t>
            </w:r>
          </w:p>
          <w:p w14:paraId="355A2FE3" w14:textId="77777777" w:rsidR="005616C3" w:rsidRPr="00EC3BD7" w:rsidRDefault="00136210" w:rsidP="00B9089D">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CP 200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päevadel 3</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5;</w:t>
            </w:r>
          </w:p>
          <w:p w14:paraId="5FEBDF9F" w14:textId="77777777" w:rsidR="00136210" w:rsidRPr="00EC3BD7" w:rsidRDefault="00136210" w:rsidP="00B9089D">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MTX 15 mg intratekaalselt, päev 1</w:t>
            </w:r>
          </w:p>
        </w:tc>
      </w:tr>
      <w:tr w:rsidR="00136210" w:rsidRPr="005D29F8" w14:paraId="1EF410B1" w14:textId="77777777" w:rsidTr="008B1609">
        <w:trPr>
          <w:cantSplit/>
        </w:trPr>
        <w:tc>
          <w:tcPr>
            <w:tcW w:w="2148" w:type="dxa"/>
            <w:tcBorders>
              <w:top w:val="single" w:sz="4" w:space="0" w:color="auto"/>
              <w:bottom w:val="single" w:sz="4" w:space="0" w:color="auto"/>
            </w:tcBorders>
          </w:tcPr>
          <w:p w14:paraId="40F67337" w14:textId="77777777" w:rsidR="00136210" w:rsidRPr="00EC3BD7" w:rsidRDefault="00136210" w:rsidP="00B9089D">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Induktsioonravi I</w:t>
            </w:r>
          </w:p>
        </w:tc>
        <w:tc>
          <w:tcPr>
            <w:tcW w:w="6732" w:type="dxa"/>
            <w:gridSpan w:val="4"/>
            <w:tcBorders>
              <w:top w:val="single" w:sz="4" w:space="0" w:color="auto"/>
              <w:bottom w:val="single" w:sz="4" w:space="0" w:color="auto"/>
            </w:tcBorders>
          </w:tcPr>
          <w:p w14:paraId="49AEEEB4" w14:textId="77777777" w:rsidR="005616C3" w:rsidRPr="00EC3BD7" w:rsidRDefault="00136210" w:rsidP="00B9089D">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DEX 10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suukaudselt, päevadel 1</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5;</w:t>
            </w:r>
          </w:p>
          <w:p w14:paraId="5708548B" w14:textId="77777777" w:rsidR="005616C3" w:rsidRPr="00EC3BD7" w:rsidRDefault="00136210" w:rsidP="00B9089D">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VCR 2 mg i.v., päevadel 6, 13, 20;</w:t>
            </w:r>
          </w:p>
          <w:p w14:paraId="75A03A93" w14:textId="77777777" w:rsidR="00136210" w:rsidRPr="00EC3BD7" w:rsidRDefault="005616C3" w:rsidP="00B9089D">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D</w:t>
            </w:r>
            <w:r w:rsidR="00136210" w:rsidRPr="00EC3BD7">
              <w:rPr>
                <w:rFonts w:ascii="Times New Roman" w:hAnsi="Times New Roman"/>
                <w:color w:val="000000"/>
                <w:sz w:val="22"/>
                <w:szCs w:val="22"/>
                <w:lang w:val="et-EE"/>
              </w:rPr>
              <w:t>aunorubitsiin 45 mg/m</w:t>
            </w:r>
            <w:r w:rsidR="00136210" w:rsidRPr="00EC3BD7">
              <w:rPr>
                <w:rFonts w:ascii="Times New Roman" w:hAnsi="Times New Roman"/>
                <w:color w:val="000000"/>
                <w:sz w:val="22"/>
                <w:szCs w:val="22"/>
                <w:vertAlign w:val="superscript"/>
                <w:lang w:val="et-EE"/>
              </w:rPr>
              <w:t>2</w:t>
            </w:r>
            <w:r w:rsidR="00136210" w:rsidRPr="00EC3BD7">
              <w:rPr>
                <w:rFonts w:ascii="Times New Roman" w:hAnsi="Times New Roman"/>
                <w:color w:val="000000"/>
                <w:sz w:val="22"/>
                <w:szCs w:val="22"/>
                <w:lang w:val="et-EE"/>
              </w:rPr>
              <w:t xml:space="preserve"> i.v., päevadel 6</w:t>
            </w:r>
            <w:r w:rsidR="00C10CCB" w:rsidRPr="00EC3BD7">
              <w:rPr>
                <w:rFonts w:ascii="Times New Roman" w:hAnsi="Times New Roman"/>
                <w:color w:val="000000"/>
                <w:sz w:val="22"/>
                <w:szCs w:val="22"/>
                <w:lang w:val="et-EE"/>
              </w:rPr>
              <w:t>...</w:t>
            </w:r>
            <w:r w:rsidR="00136210" w:rsidRPr="00EC3BD7">
              <w:rPr>
                <w:rFonts w:ascii="Times New Roman" w:hAnsi="Times New Roman"/>
                <w:color w:val="000000"/>
                <w:sz w:val="22"/>
                <w:szCs w:val="22"/>
                <w:lang w:val="et-EE"/>
              </w:rPr>
              <w:t>7, 13</w:t>
            </w:r>
            <w:r w:rsidR="00C10CCB" w:rsidRPr="00EC3BD7">
              <w:rPr>
                <w:rFonts w:ascii="Times New Roman" w:hAnsi="Times New Roman"/>
                <w:color w:val="000000"/>
                <w:sz w:val="22"/>
                <w:szCs w:val="22"/>
                <w:lang w:val="et-EE"/>
              </w:rPr>
              <w:t>...</w:t>
            </w:r>
            <w:r w:rsidR="00136210" w:rsidRPr="00EC3BD7">
              <w:rPr>
                <w:rFonts w:ascii="Times New Roman" w:hAnsi="Times New Roman"/>
                <w:color w:val="000000"/>
                <w:sz w:val="22"/>
                <w:szCs w:val="22"/>
                <w:lang w:val="et-EE"/>
              </w:rPr>
              <w:t>14</w:t>
            </w:r>
          </w:p>
        </w:tc>
      </w:tr>
      <w:tr w:rsidR="00136210" w:rsidRPr="005D29F8" w14:paraId="62F663A2" w14:textId="77777777" w:rsidTr="008B1609">
        <w:trPr>
          <w:cantSplit/>
        </w:trPr>
        <w:tc>
          <w:tcPr>
            <w:tcW w:w="2148" w:type="dxa"/>
            <w:tcBorders>
              <w:top w:val="single" w:sz="4" w:space="0" w:color="auto"/>
              <w:bottom w:val="single" w:sz="4" w:space="0" w:color="auto"/>
            </w:tcBorders>
          </w:tcPr>
          <w:p w14:paraId="14311060" w14:textId="77777777" w:rsidR="00136210" w:rsidRPr="00EC3BD7" w:rsidRDefault="00136210" w:rsidP="00B9089D">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Induktsioonravi II</w:t>
            </w:r>
          </w:p>
        </w:tc>
        <w:tc>
          <w:tcPr>
            <w:tcW w:w="6732" w:type="dxa"/>
            <w:gridSpan w:val="4"/>
            <w:tcBorders>
              <w:top w:val="single" w:sz="4" w:space="0" w:color="auto"/>
              <w:bottom w:val="single" w:sz="4" w:space="0" w:color="auto"/>
            </w:tcBorders>
          </w:tcPr>
          <w:p w14:paraId="394DDD96" w14:textId="77777777" w:rsidR="005616C3" w:rsidRPr="00EC3BD7" w:rsidRDefault="00136210" w:rsidP="00B9089D">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CP 1 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(1 h), päevadel 26, 46;</w:t>
            </w:r>
          </w:p>
          <w:p w14:paraId="7B3A8B7F" w14:textId="77777777" w:rsidR="005616C3" w:rsidRPr="00EC3BD7" w:rsidRDefault="00136210" w:rsidP="00B9089D">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Ara-C 75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(1 h), päevadel 28</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31, 35</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38, 42</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45;</w:t>
            </w:r>
          </w:p>
          <w:p w14:paraId="10067655" w14:textId="77777777" w:rsidR="00136210" w:rsidRPr="00EC3BD7" w:rsidRDefault="00136210" w:rsidP="00B9089D">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6-MP 60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suukaudselt, päevadel 26</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46</w:t>
            </w:r>
          </w:p>
        </w:tc>
      </w:tr>
      <w:tr w:rsidR="00136210" w:rsidRPr="00EC3BD7" w14:paraId="00368609" w14:textId="77777777" w:rsidTr="008B1609">
        <w:trPr>
          <w:cantSplit/>
        </w:trPr>
        <w:tc>
          <w:tcPr>
            <w:tcW w:w="2148" w:type="dxa"/>
            <w:tcBorders>
              <w:top w:val="nil"/>
              <w:bottom w:val="single" w:sz="4" w:space="0" w:color="auto"/>
            </w:tcBorders>
          </w:tcPr>
          <w:p w14:paraId="21592601" w14:textId="77777777" w:rsidR="00136210" w:rsidRPr="00EC3BD7" w:rsidRDefault="00136210"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Konsolidatsioonravi</w:t>
            </w:r>
          </w:p>
        </w:tc>
        <w:tc>
          <w:tcPr>
            <w:tcW w:w="6732" w:type="dxa"/>
            <w:gridSpan w:val="4"/>
            <w:tcBorders>
              <w:top w:val="nil"/>
              <w:bottom w:val="single" w:sz="4" w:space="0" w:color="auto"/>
            </w:tcBorders>
          </w:tcPr>
          <w:p w14:paraId="7413BA45" w14:textId="77777777" w:rsidR="00021198" w:rsidRPr="00EC3BD7" w:rsidRDefault="00136210"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DEX 10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suukaudselt, päevadel 1</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5;</w:t>
            </w:r>
          </w:p>
          <w:p w14:paraId="33DDD4F7" w14:textId="77777777" w:rsidR="00021198" w:rsidRPr="00EC3BD7" w:rsidRDefault="00021198"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V</w:t>
            </w:r>
            <w:r w:rsidR="00136210" w:rsidRPr="00EC3BD7">
              <w:rPr>
                <w:rFonts w:ascii="Times New Roman" w:hAnsi="Times New Roman"/>
                <w:color w:val="000000"/>
                <w:sz w:val="22"/>
                <w:szCs w:val="22"/>
                <w:lang w:val="et-EE"/>
              </w:rPr>
              <w:t>indesiin 3 mg/m</w:t>
            </w:r>
            <w:r w:rsidR="00136210" w:rsidRPr="00EC3BD7">
              <w:rPr>
                <w:rFonts w:ascii="Times New Roman" w:hAnsi="Times New Roman"/>
                <w:color w:val="000000"/>
                <w:sz w:val="22"/>
                <w:szCs w:val="22"/>
                <w:vertAlign w:val="superscript"/>
                <w:lang w:val="et-EE"/>
              </w:rPr>
              <w:t>2</w:t>
            </w:r>
            <w:r w:rsidR="00136210" w:rsidRPr="00EC3BD7">
              <w:rPr>
                <w:rFonts w:ascii="Times New Roman" w:hAnsi="Times New Roman"/>
                <w:color w:val="000000"/>
                <w:sz w:val="22"/>
                <w:szCs w:val="22"/>
                <w:lang w:val="et-EE"/>
              </w:rPr>
              <w:t xml:space="preserve"> i.v., päev 1;</w:t>
            </w:r>
          </w:p>
          <w:p w14:paraId="603FD0C9" w14:textId="77777777" w:rsidR="00021198" w:rsidRPr="00EC3BD7" w:rsidRDefault="00136210"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MTX 1.5 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(24 h), päev 1;</w:t>
            </w:r>
          </w:p>
          <w:p w14:paraId="0B398CAF" w14:textId="77777777" w:rsidR="00021198" w:rsidRPr="00EC3BD7" w:rsidRDefault="00021198"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E</w:t>
            </w:r>
            <w:r w:rsidR="00136210" w:rsidRPr="00EC3BD7">
              <w:rPr>
                <w:rFonts w:ascii="Times New Roman" w:hAnsi="Times New Roman"/>
                <w:color w:val="000000"/>
                <w:sz w:val="22"/>
                <w:szCs w:val="22"/>
                <w:lang w:val="et-EE"/>
              </w:rPr>
              <w:t>toposiid 250 mg/m</w:t>
            </w:r>
            <w:r w:rsidR="00136210" w:rsidRPr="00EC3BD7">
              <w:rPr>
                <w:rFonts w:ascii="Times New Roman" w:hAnsi="Times New Roman"/>
                <w:color w:val="000000"/>
                <w:sz w:val="22"/>
                <w:szCs w:val="22"/>
                <w:vertAlign w:val="superscript"/>
                <w:lang w:val="et-EE"/>
              </w:rPr>
              <w:t>2</w:t>
            </w:r>
            <w:r w:rsidR="00136210" w:rsidRPr="00EC3BD7">
              <w:rPr>
                <w:rFonts w:ascii="Times New Roman" w:hAnsi="Times New Roman"/>
                <w:color w:val="000000"/>
                <w:sz w:val="22"/>
                <w:szCs w:val="22"/>
                <w:lang w:val="et-EE"/>
              </w:rPr>
              <w:t xml:space="preserve"> i.v. (1 h) päevadel 4</w:t>
            </w:r>
            <w:r w:rsidR="00C10CCB" w:rsidRPr="00EC3BD7">
              <w:rPr>
                <w:rFonts w:ascii="Times New Roman" w:hAnsi="Times New Roman"/>
                <w:color w:val="000000"/>
                <w:sz w:val="22"/>
                <w:szCs w:val="22"/>
                <w:lang w:val="et-EE"/>
              </w:rPr>
              <w:t>...</w:t>
            </w:r>
            <w:r w:rsidR="00136210" w:rsidRPr="00EC3BD7">
              <w:rPr>
                <w:rFonts w:ascii="Times New Roman" w:hAnsi="Times New Roman"/>
                <w:color w:val="000000"/>
                <w:sz w:val="22"/>
                <w:szCs w:val="22"/>
                <w:lang w:val="et-EE"/>
              </w:rPr>
              <w:t>5;</w:t>
            </w:r>
          </w:p>
          <w:p w14:paraId="39D6CB00" w14:textId="77777777" w:rsidR="00136210" w:rsidRPr="00EC3BD7" w:rsidRDefault="00136210"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Ara-C 2x 2 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(3 h, q 12 h), päev 5</w:t>
            </w:r>
          </w:p>
        </w:tc>
      </w:tr>
      <w:tr w:rsidR="00136210" w:rsidRPr="00EC3BD7" w14:paraId="0333CF4C" w14:textId="77777777" w:rsidTr="008B1609">
        <w:trPr>
          <w:cantSplit/>
        </w:trPr>
        <w:tc>
          <w:tcPr>
            <w:tcW w:w="2148" w:type="dxa"/>
            <w:tcBorders>
              <w:top w:val="nil"/>
              <w:bottom w:val="single" w:sz="4" w:space="0" w:color="auto"/>
            </w:tcBorders>
          </w:tcPr>
          <w:p w14:paraId="46C0C23D" w14:textId="77777777" w:rsidR="00136210" w:rsidRPr="00EC3BD7" w:rsidRDefault="00136210" w:rsidP="00B9089D">
            <w:pPr>
              <w:pStyle w:val="Table"/>
              <w:widowControl w:val="0"/>
              <w:rPr>
                <w:rFonts w:ascii="Times New Roman" w:hAnsi="Times New Roman"/>
                <w:b/>
                <w:color w:val="000000"/>
                <w:sz w:val="22"/>
                <w:szCs w:val="22"/>
                <w:lang w:val="et-EE"/>
              </w:rPr>
            </w:pPr>
            <w:r w:rsidRPr="00EC3BD7">
              <w:rPr>
                <w:rFonts w:ascii="Times New Roman" w:hAnsi="Times New Roman"/>
                <w:b/>
                <w:color w:val="000000"/>
                <w:sz w:val="22"/>
                <w:szCs w:val="22"/>
                <w:lang w:val="et-EE"/>
              </w:rPr>
              <w:t>Uuring AJP01</w:t>
            </w:r>
          </w:p>
        </w:tc>
        <w:tc>
          <w:tcPr>
            <w:tcW w:w="2652" w:type="dxa"/>
            <w:tcBorders>
              <w:top w:val="nil"/>
              <w:bottom w:val="single" w:sz="4" w:space="0" w:color="auto"/>
            </w:tcBorders>
          </w:tcPr>
          <w:p w14:paraId="6BE87620" w14:textId="77777777" w:rsidR="00136210" w:rsidRPr="00EC3BD7" w:rsidRDefault="00136210" w:rsidP="00B9089D">
            <w:pPr>
              <w:pStyle w:val="Table"/>
              <w:widowControl w:val="0"/>
              <w:rPr>
                <w:rFonts w:ascii="Times New Roman" w:hAnsi="Times New Roman"/>
                <w:color w:val="000000"/>
                <w:sz w:val="22"/>
                <w:szCs w:val="22"/>
                <w:lang w:val="et-EE"/>
              </w:rPr>
            </w:pPr>
          </w:p>
        </w:tc>
        <w:tc>
          <w:tcPr>
            <w:tcW w:w="1080" w:type="dxa"/>
            <w:tcBorders>
              <w:top w:val="nil"/>
              <w:bottom w:val="single" w:sz="4" w:space="0" w:color="auto"/>
            </w:tcBorders>
          </w:tcPr>
          <w:p w14:paraId="50089B4A" w14:textId="77777777" w:rsidR="00136210" w:rsidRPr="00EC3BD7" w:rsidRDefault="00136210" w:rsidP="00B9089D">
            <w:pPr>
              <w:pStyle w:val="Table"/>
              <w:widowControl w:val="0"/>
              <w:rPr>
                <w:rFonts w:ascii="Times New Roman" w:hAnsi="Times New Roman"/>
                <w:color w:val="000000"/>
                <w:sz w:val="22"/>
                <w:szCs w:val="22"/>
                <w:lang w:val="et-EE"/>
              </w:rPr>
            </w:pPr>
          </w:p>
        </w:tc>
        <w:tc>
          <w:tcPr>
            <w:tcW w:w="1380" w:type="dxa"/>
            <w:tcBorders>
              <w:top w:val="nil"/>
              <w:bottom w:val="single" w:sz="4" w:space="0" w:color="auto"/>
            </w:tcBorders>
          </w:tcPr>
          <w:p w14:paraId="753A54D9" w14:textId="77777777" w:rsidR="00136210" w:rsidRPr="00EC3BD7" w:rsidRDefault="00136210" w:rsidP="00B9089D">
            <w:pPr>
              <w:pStyle w:val="Table"/>
              <w:widowControl w:val="0"/>
              <w:rPr>
                <w:rFonts w:ascii="Times New Roman" w:hAnsi="Times New Roman"/>
                <w:color w:val="000000"/>
                <w:sz w:val="22"/>
                <w:szCs w:val="22"/>
                <w:lang w:val="et-EE"/>
              </w:rPr>
            </w:pPr>
          </w:p>
        </w:tc>
        <w:tc>
          <w:tcPr>
            <w:tcW w:w="1620" w:type="dxa"/>
            <w:tcBorders>
              <w:top w:val="nil"/>
              <w:bottom w:val="single" w:sz="4" w:space="0" w:color="auto"/>
            </w:tcBorders>
          </w:tcPr>
          <w:p w14:paraId="59D60968" w14:textId="77777777" w:rsidR="00136210" w:rsidRPr="00EC3BD7" w:rsidRDefault="00136210" w:rsidP="00B9089D">
            <w:pPr>
              <w:pStyle w:val="Table"/>
              <w:widowControl w:val="0"/>
              <w:rPr>
                <w:rFonts w:ascii="Times New Roman" w:hAnsi="Times New Roman"/>
                <w:color w:val="000000"/>
                <w:sz w:val="22"/>
                <w:szCs w:val="22"/>
                <w:lang w:val="et-EE"/>
              </w:rPr>
            </w:pPr>
          </w:p>
        </w:tc>
      </w:tr>
      <w:tr w:rsidR="00136210" w:rsidRPr="00EC3BD7" w14:paraId="269B4103" w14:textId="77777777" w:rsidTr="008B1609">
        <w:trPr>
          <w:cantSplit/>
        </w:trPr>
        <w:tc>
          <w:tcPr>
            <w:tcW w:w="2148" w:type="dxa"/>
            <w:tcBorders>
              <w:top w:val="nil"/>
              <w:bottom w:val="single" w:sz="4" w:space="0" w:color="auto"/>
            </w:tcBorders>
          </w:tcPr>
          <w:p w14:paraId="75A45B64" w14:textId="77777777" w:rsidR="00136210" w:rsidRPr="00EC3BD7" w:rsidRDefault="00136210" w:rsidP="00B9089D">
            <w:pPr>
              <w:pStyle w:val="Table"/>
              <w:widowControl w:val="0"/>
              <w:jc w:val="both"/>
              <w:rPr>
                <w:rFonts w:ascii="Times New Roman" w:hAnsi="Times New Roman"/>
                <w:color w:val="000000"/>
                <w:sz w:val="22"/>
                <w:szCs w:val="22"/>
                <w:lang w:val="et-EE"/>
              </w:rPr>
            </w:pPr>
            <w:r w:rsidRPr="00EC3BD7">
              <w:rPr>
                <w:rFonts w:ascii="Times New Roman" w:hAnsi="Times New Roman"/>
                <w:color w:val="000000"/>
                <w:sz w:val="22"/>
                <w:szCs w:val="22"/>
                <w:lang w:val="et-EE"/>
              </w:rPr>
              <w:t>Induktsioonravi</w:t>
            </w:r>
          </w:p>
        </w:tc>
        <w:tc>
          <w:tcPr>
            <w:tcW w:w="6732" w:type="dxa"/>
            <w:gridSpan w:val="4"/>
            <w:tcBorders>
              <w:top w:val="nil"/>
              <w:bottom w:val="single" w:sz="4" w:space="0" w:color="auto"/>
            </w:tcBorders>
          </w:tcPr>
          <w:p w14:paraId="3D5301CB" w14:textId="77777777" w:rsidR="00021198" w:rsidRPr="00EC3BD7" w:rsidRDefault="00136210" w:rsidP="00B9089D">
            <w:pPr>
              <w:pStyle w:val="Table"/>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CP 1,2 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(3 h), päev 1;</w:t>
            </w:r>
          </w:p>
          <w:p w14:paraId="347899E5" w14:textId="77777777" w:rsidR="00021198" w:rsidRPr="00EC3BD7" w:rsidRDefault="00021198" w:rsidP="00B9089D">
            <w:pPr>
              <w:pStyle w:val="Table"/>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D</w:t>
            </w:r>
            <w:r w:rsidR="00136210" w:rsidRPr="00EC3BD7">
              <w:rPr>
                <w:rFonts w:ascii="Times New Roman" w:hAnsi="Times New Roman"/>
                <w:color w:val="000000"/>
                <w:sz w:val="22"/>
                <w:szCs w:val="22"/>
                <w:lang w:val="et-EE"/>
              </w:rPr>
              <w:t>aunorubitsiin 60 mg/m</w:t>
            </w:r>
            <w:r w:rsidR="00136210" w:rsidRPr="00EC3BD7">
              <w:rPr>
                <w:rFonts w:ascii="Times New Roman" w:hAnsi="Times New Roman"/>
                <w:color w:val="000000"/>
                <w:sz w:val="22"/>
                <w:szCs w:val="22"/>
                <w:vertAlign w:val="superscript"/>
                <w:lang w:val="et-EE"/>
              </w:rPr>
              <w:t>2</w:t>
            </w:r>
            <w:r w:rsidR="00136210" w:rsidRPr="00EC3BD7">
              <w:rPr>
                <w:rFonts w:ascii="Times New Roman" w:hAnsi="Times New Roman"/>
                <w:color w:val="000000"/>
                <w:sz w:val="22"/>
                <w:szCs w:val="22"/>
                <w:lang w:val="et-EE"/>
              </w:rPr>
              <w:t xml:space="preserve"> i.v. (1 h), päevadel 1</w:t>
            </w:r>
            <w:r w:rsidR="00C10CCB" w:rsidRPr="00EC3BD7">
              <w:rPr>
                <w:rFonts w:ascii="Times New Roman" w:hAnsi="Times New Roman"/>
                <w:color w:val="000000"/>
                <w:sz w:val="22"/>
                <w:szCs w:val="22"/>
                <w:lang w:val="et-EE"/>
              </w:rPr>
              <w:t>...</w:t>
            </w:r>
            <w:r w:rsidR="00136210" w:rsidRPr="00EC3BD7">
              <w:rPr>
                <w:rFonts w:ascii="Times New Roman" w:hAnsi="Times New Roman"/>
                <w:color w:val="000000"/>
                <w:sz w:val="22"/>
                <w:szCs w:val="22"/>
                <w:lang w:val="et-EE"/>
              </w:rPr>
              <w:t>3;</w:t>
            </w:r>
          </w:p>
          <w:p w14:paraId="11B4B52B" w14:textId="77777777" w:rsidR="00021198" w:rsidRPr="00EC3BD7" w:rsidRDefault="00021198" w:rsidP="00B9089D">
            <w:pPr>
              <w:pStyle w:val="Table"/>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V</w:t>
            </w:r>
            <w:r w:rsidR="00136210" w:rsidRPr="00EC3BD7">
              <w:rPr>
                <w:rFonts w:ascii="Times New Roman" w:hAnsi="Times New Roman"/>
                <w:color w:val="000000"/>
                <w:sz w:val="22"/>
                <w:szCs w:val="22"/>
                <w:lang w:val="et-EE"/>
              </w:rPr>
              <w:t>inkristiin 1,3 mg/m</w:t>
            </w:r>
            <w:r w:rsidR="00136210" w:rsidRPr="00EC3BD7">
              <w:rPr>
                <w:rFonts w:ascii="Times New Roman" w:hAnsi="Times New Roman"/>
                <w:color w:val="000000"/>
                <w:sz w:val="22"/>
                <w:szCs w:val="22"/>
                <w:vertAlign w:val="superscript"/>
                <w:lang w:val="et-EE"/>
              </w:rPr>
              <w:t>2</w:t>
            </w:r>
            <w:r w:rsidR="00136210" w:rsidRPr="00EC3BD7">
              <w:rPr>
                <w:rFonts w:ascii="Times New Roman" w:hAnsi="Times New Roman"/>
                <w:color w:val="000000"/>
                <w:sz w:val="22"/>
                <w:szCs w:val="22"/>
                <w:lang w:val="et-EE"/>
              </w:rPr>
              <w:t xml:space="preserve"> i.v., päevadel 1, 8, 15, 21;</w:t>
            </w:r>
          </w:p>
          <w:p w14:paraId="5C96F754" w14:textId="77777777" w:rsidR="00136210" w:rsidRPr="00EC3BD7" w:rsidRDefault="00021198" w:rsidP="00B9089D">
            <w:pPr>
              <w:pStyle w:val="Table"/>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P</w:t>
            </w:r>
            <w:r w:rsidR="00136210" w:rsidRPr="00EC3BD7">
              <w:rPr>
                <w:rFonts w:ascii="Times New Roman" w:hAnsi="Times New Roman"/>
                <w:color w:val="000000"/>
                <w:sz w:val="22"/>
                <w:szCs w:val="22"/>
                <w:lang w:val="et-EE"/>
              </w:rPr>
              <w:t>rednisoloon 60 mg/m</w:t>
            </w:r>
            <w:r w:rsidR="00136210" w:rsidRPr="00EC3BD7">
              <w:rPr>
                <w:rFonts w:ascii="Times New Roman" w:hAnsi="Times New Roman"/>
                <w:color w:val="000000"/>
                <w:sz w:val="22"/>
                <w:szCs w:val="22"/>
                <w:vertAlign w:val="superscript"/>
                <w:lang w:val="et-EE"/>
              </w:rPr>
              <w:t>2</w:t>
            </w:r>
            <w:r w:rsidR="00136210" w:rsidRPr="00EC3BD7">
              <w:rPr>
                <w:rFonts w:ascii="Times New Roman" w:hAnsi="Times New Roman"/>
                <w:color w:val="000000"/>
                <w:sz w:val="22"/>
                <w:szCs w:val="22"/>
                <w:lang w:val="et-EE"/>
              </w:rPr>
              <w:t>/päevas suukaudselt</w:t>
            </w:r>
          </w:p>
        </w:tc>
      </w:tr>
      <w:tr w:rsidR="00136210" w:rsidRPr="005D29F8" w14:paraId="0A3BB6FB" w14:textId="77777777" w:rsidTr="008B1609">
        <w:trPr>
          <w:cantSplit/>
        </w:trPr>
        <w:tc>
          <w:tcPr>
            <w:tcW w:w="2148" w:type="dxa"/>
            <w:tcBorders>
              <w:top w:val="single" w:sz="4" w:space="0" w:color="auto"/>
              <w:bottom w:val="single" w:sz="4" w:space="0" w:color="auto"/>
            </w:tcBorders>
          </w:tcPr>
          <w:p w14:paraId="2D19CE5B" w14:textId="77777777" w:rsidR="00136210" w:rsidRPr="00EC3BD7" w:rsidRDefault="00136210" w:rsidP="00B9089D">
            <w:pPr>
              <w:pStyle w:val="Table"/>
              <w:widowControl w:val="0"/>
              <w:tabs>
                <w:tab w:val="left" w:pos="0"/>
              </w:tabs>
              <w:rPr>
                <w:rFonts w:ascii="Times New Roman" w:hAnsi="Times New Roman"/>
                <w:color w:val="000000"/>
                <w:sz w:val="22"/>
                <w:szCs w:val="22"/>
                <w:lang w:val="et-EE"/>
              </w:rPr>
            </w:pPr>
            <w:r w:rsidRPr="00EC3BD7">
              <w:rPr>
                <w:rFonts w:ascii="Times New Roman" w:hAnsi="Times New Roman"/>
                <w:color w:val="000000"/>
                <w:sz w:val="22"/>
                <w:szCs w:val="22"/>
                <w:lang w:val="et-EE"/>
              </w:rPr>
              <w:t>Konsolidatsioonravi</w:t>
            </w:r>
          </w:p>
        </w:tc>
        <w:tc>
          <w:tcPr>
            <w:tcW w:w="6732" w:type="dxa"/>
            <w:gridSpan w:val="4"/>
            <w:tcBorders>
              <w:top w:val="single" w:sz="4" w:space="0" w:color="auto"/>
              <w:bottom w:val="single" w:sz="4" w:space="0" w:color="auto"/>
            </w:tcBorders>
          </w:tcPr>
          <w:p w14:paraId="520E50B9" w14:textId="77777777" w:rsidR="00136210" w:rsidRPr="00EC3BD7" w:rsidRDefault="00136210" w:rsidP="00B9089D">
            <w:pPr>
              <w:pStyle w:val="Table"/>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 xml:space="preserve">Vahelduva skeemiga kemoteraapia: kemoteraapia suurtes annustes koos </w:t>
            </w:r>
            <w:smartTag w:uri="urn:schemas-microsoft-com:office:smarttags" w:element="stockticker">
              <w:r w:rsidRPr="00EC3BD7">
                <w:rPr>
                  <w:rFonts w:ascii="Times New Roman" w:hAnsi="Times New Roman"/>
                  <w:color w:val="000000"/>
                  <w:sz w:val="22"/>
                  <w:szCs w:val="22"/>
                  <w:lang w:val="et-EE"/>
                </w:rPr>
                <w:t>MTX</w:t>
              </w:r>
            </w:smartTag>
            <w:r w:rsidRPr="00EC3BD7">
              <w:rPr>
                <w:rFonts w:ascii="Times New Roman" w:hAnsi="Times New Roman"/>
                <w:color w:val="000000"/>
                <w:sz w:val="22"/>
                <w:szCs w:val="22"/>
                <w:lang w:val="et-EE"/>
              </w:rPr>
              <w:t xml:space="preserve"> 1 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(24 h), päev 1, ja Ara-C 2 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(q 12 h), päevadel 2</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3, kasutatakse 4 tsüklit</w:t>
            </w:r>
          </w:p>
        </w:tc>
      </w:tr>
      <w:tr w:rsidR="00136210" w:rsidRPr="00EC3BD7" w14:paraId="643E07A5" w14:textId="77777777" w:rsidTr="008B1609">
        <w:trPr>
          <w:cantSplit/>
        </w:trPr>
        <w:tc>
          <w:tcPr>
            <w:tcW w:w="2148" w:type="dxa"/>
            <w:tcBorders>
              <w:top w:val="single" w:sz="4" w:space="0" w:color="auto"/>
              <w:bottom w:val="single" w:sz="4" w:space="0" w:color="auto"/>
            </w:tcBorders>
          </w:tcPr>
          <w:p w14:paraId="2FE772A2" w14:textId="77777777" w:rsidR="00136210" w:rsidRPr="00EC3BD7" w:rsidRDefault="00136210" w:rsidP="00B9089D">
            <w:pPr>
              <w:pStyle w:val="Table"/>
              <w:keepNext w:val="0"/>
              <w:keepLines w:val="0"/>
              <w:widowControl w:val="0"/>
              <w:tabs>
                <w:tab w:val="left" w:pos="0"/>
              </w:tabs>
              <w:rPr>
                <w:rFonts w:ascii="Times New Roman" w:hAnsi="Times New Roman"/>
                <w:color w:val="000000"/>
                <w:sz w:val="22"/>
                <w:szCs w:val="22"/>
                <w:lang w:val="et-EE"/>
              </w:rPr>
            </w:pPr>
            <w:r w:rsidRPr="00EC3BD7">
              <w:rPr>
                <w:rFonts w:ascii="Times New Roman" w:hAnsi="Times New Roman"/>
                <w:color w:val="000000"/>
                <w:sz w:val="22"/>
                <w:szCs w:val="22"/>
                <w:lang w:val="et-EE"/>
              </w:rPr>
              <w:t>Säilitusravi</w:t>
            </w:r>
          </w:p>
        </w:tc>
        <w:tc>
          <w:tcPr>
            <w:tcW w:w="6732" w:type="dxa"/>
            <w:gridSpan w:val="4"/>
            <w:tcBorders>
              <w:top w:val="single" w:sz="4" w:space="0" w:color="auto"/>
              <w:bottom w:val="single" w:sz="4" w:space="0" w:color="auto"/>
            </w:tcBorders>
          </w:tcPr>
          <w:p w14:paraId="5D257436" w14:textId="77777777" w:rsidR="00021198" w:rsidRPr="00EC3BD7" w:rsidRDefault="00136210" w:rsidP="00B9089D">
            <w:pPr>
              <w:pStyle w:val="Table"/>
              <w:keepNext w:val="0"/>
              <w:keepLines w:val="0"/>
              <w:widowControl w:val="0"/>
              <w:rPr>
                <w:rFonts w:ascii="Times New Roman" w:hAnsi="Times New Roman"/>
                <w:color w:val="000000"/>
                <w:sz w:val="22"/>
                <w:szCs w:val="22"/>
                <w:lang w:val="et-EE"/>
              </w:rPr>
            </w:pPr>
            <w:smartTag w:uri="urn:schemas-microsoft-com:office:smarttags" w:element="stockticker">
              <w:r w:rsidRPr="00EC3BD7">
                <w:rPr>
                  <w:rFonts w:ascii="Times New Roman" w:hAnsi="Times New Roman"/>
                  <w:color w:val="000000"/>
                  <w:sz w:val="22"/>
                  <w:szCs w:val="22"/>
                  <w:lang w:val="et-EE"/>
                </w:rPr>
                <w:t>VCR</w:t>
              </w:r>
            </w:smartTag>
            <w:r w:rsidRPr="00EC3BD7">
              <w:rPr>
                <w:rFonts w:ascii="Times New Roman" w:hAnsi="Times New Roman"/>
                <w:color w:val="000000"/>
                <w:sz w:val="22"/>
                <w:szCs w:val="22"/>
                <w:lang w:val="et-EE"/>
              </w:rPr>
              <w:t xml:space="preserve"> 1,3 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päev 1;</w:t>
            </w:r>
          </w:p>
          <w:p w14:paraId="00E820C6" w14:textId="77777777" w:rsidR="00136210" w:rsidRPr="00EC3BD7" w:rsidRDefault="00021198"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P</w:t>
            </w:r>
            <w:r w:rsidR="00136210" w:rsidRPr="00EC3BD7">
              <w:rPr>
                <w:rFonts w:ascii="Times New Roman" w:hAnsi="Times New Roman"/>
                <w:color w:val="000000"/>
                <w:sz w:val="22"/>
                <w:szCs w:val="22"/>
                <w:lang w:val="et-EE"/>
              </w:rPr>
              <w:t>rednisoloon 60 mg/m</w:t>
            </w:r>
            <w:r w:rsidR="00136210" w:rsidRPr="00EC3BD7">
              <w:rPr>
                <w:rFonts w:ascii="Times New Roman" w:hAnsi="Times New Roman"/>
                <w:color w:val="000000"/>
                <w:sz w:val="22"/>
                <w:szCs w:val="22"/>
                <w:vertAlign w:val="superscript"/>
                <w:lang w:val="et-EE"/>
              </w:rPr>
              <w:t>2</w:t>
            </w:r>
            <w:r w:rsidR="00136210" w:rsidRPr="00EC3BD7">
              <w:rPr>
                <w:rFonts w:ascii="Times New Roman" w:hAnsi="Times New Roman"/>
                <w:color w:val="000000"/>
                <w:sz w:val="22"/>
                <w:szCs w:val="22"/>
                <w:lang w:val="et-EE"/>
              </w:rPr>
              <w:t xml:space="preserve"> suukaudselt, päevadel 1</w:t>
            </w:r>
            <w:r w:rsidR="00C10CCB" w:rsidRPr="00EC3BD7">
              <w:rPr>
                <w:rFonts w:ascii="Times New Roman" w:hAnsi="Times New Roman"/>
                <w:color w:val="000000"/>
                <w:sz w:val="22"/>
                <w:szCs w:val="22"/>
                <w:lang w:val="et-EE"/>
              </w:rPr>
              <w:t>...</w:t>
            </w:r>
            <w:r w:rsidR="00136210" w:rsidRPr="00EC3BD7">
              <w:rPr>
                <w:rFonts w:ascii="Times New Roman" w:hAnsi="Times New Roman"/>
                <w:color w:val="000000"/>
                <w:sz w:val="22"/>
                <w:szCs w:val="22"/>
                <w:lang w:val="et-EE"/>
              </w:rPr>
              <w:t>5</w:t>
            </w:r>
          </w:p>
        </w:tc>
      </w:tr>
      <w:tr w:rsidR="00136210" w:rsidRPr="00EC3BD7" w14:paraId="478E7704" w14:textId="77777777" w:rsidTr="008B1609">
        <w:trPr>
          <w:cantSplit/>
        </w:trPr>
        <w:tc>
          <w:tcPr>
            <w:tcW w:w="4800" w:type="dxa"/>
            <w:gridSpan w:val="2"/>
            <w:tcBorders>
              <w:top w:val="single" w:sz="4" w:space="0" w:color="auto"/>
              <w:bottom w:val="single" w:sz="4" w:space="0" w:color="auto"/>
            </w:tcBorders>
          </w:tcPr>
          <w:p w14:paraId="3AB83C3B" w14:textId="77777777" w:rsidR="00136210" w:rsidRPr="00EC3BD7" w:rsidRDefault="00136210" w:rsidP="00B9089D">
            <w:pPr>
              <w:pStyle w:val="Table"/>
              <w:widowControl w:val="0"/>
              <w:rPr>
                <w:rFonts w:ascii="Times New Roman" w:hAnsi="Times New Roman"/>
                <w:color w:val="000000"/>
                <w:sz w:val="22"/>
                <w:szCs w:val="22"/>
                <w:lang w:val="et-EE"/>
              </w:rPr>
            </w:pPr>
            <w:r w:rsidRPr="00EC3BD7">
              <w:rPr>
                <w:rFonts w:ascii="Times New Roman" w:hAnsi="Times New Roman"/>
                <w:b/>
                <w:color w:val="000000"/>
                <w:sz w:val="22"/>
                <w:szCs w:val="22"/>
                <w:lang w:val="et-EE"/>
              </w:rPr>
              <w:lastRenderedPageBreak/>
              <w:t>Uuring AUS01</w:t>
            </w:r>
          </w:p>
        </w:tc>
        <w:tc>
          <w:tcPr>
            <w:tcW w:w="1080" w:type="dxa"/>
            <w:tcBorders>
              <w:top w:val="single" w:sz="4" w:space="0" w:color="auto"/>
              <w:bottom w:val="single" w:sz="4" w:space="0" w:color="auto"/>
            </w:tcBorders>
          </w:tcPr>
          <w:p w14:paraId="48EB68F8" w14:textId="77777777" w:rsidR="00136210" w:rsidRPr="00EC3BD7" w:rsidRDefault="00136210" w:rsidP="00B9089D">
            <w:pPr>
              <w:pStyle w:val="Table"/>
              <w:widowControl w:val="0"/>
              <w:rPr>
                <w:rFonts w:ascii="Times New Roman" w:hAnsi="Times New Roman"/>
                <w:color w:val="000000"/>
                <w:sz w:val="22"/>
                <w:szCs w:val="22"/>
                <w:lang w:val="et-EE"/>
              </w:rPr>
            </w:pPr>
          </w:p>
        </w:tc>
        <w:tc>
          <w:tcPr>
            <w:tcW w:w="1380" w:type="dxa"/>
            <w:tcBorders>
              <w:top w:val="single" w:sz="4" w:space="0" w:color="auto"/>
              <w:bottom w:val="single" w:sz="4" w:space="0" w:color="auto"/>
            </w:tcBorders>
          </w:tcPr>
          <w:p w14:paraId="0A26BB27" w14:textId="77777777" w:rsidR="00136210" w:rsidRPr="00EC3BD7" w:rsidRDefault="00136210" w:rsidP="00B9089D">
            <w:pPr>
              <w:pStyle w:val="Table"/>
              <w:widowControl w:val="0"/>
              <w:rPr>
                <w:rFonts w:ascii="Times New Roman" w:hAnsi="Times New Roman"/>
                <w:color w:val="000000"/>
                <w:sz w:val="22"/>
                <w:szCs w:val="22"/>
                <w:lang w:val="et-EE"/>
              </w:rPr>
            </w:pPr>
          </w:p>
        </w:tc>
        <w:tc>
          <w:tcPr>
            <w:tcW w:w="1620" w:type="dxa"/>
            <w:tcBorders>
              <w:top w:val="single" w:sz="4" w:space="0" w:color="auto"/>
              <w:bottom w:val="single" w:sz="4" w:space="0" w:color="auto"/>
            </w:tcBorders>
          </w:tcPr>
          <w:p w14:paraId="0AE67E78" w14:textId="77777777" w:rsidR="00136210" w:rsidRPr="00EC3BD7" w:rsidRDefault="00136210" w:rsidP="00B9089D">
            <w:pPr>
              <w:pStyle w:val="Table"/>
              <w:widowControl w:val="0"/>
              <w:rPr>
                <w:rFonts w:ascii="Times New Roman" w:hAnsi="Times New Roman"/>
                <w:color w:val="000000"/>
                <w:sz w:val="22"/>
                <w:szCs w:val="22"/>
                <w:lang w:val="et-EE"/>
              </w:rPr>
            </w:pPr>
          </w:p>
        </w:tc>
      </w:tr>
      <w:tr w:rsidR="00136210" w:rsidRPr="005D29F8" w14:paraId="12509B06" w14:textId="77777777" w:rsidTr="008B1609">
        <w:trPr>
          <w:cantSplit/>
        </w:trPr>
        <w:tc>
          <w:tcPr>
            <w:tcW w:w="2148" w:type="dxa"/>
            <w:tcBorders>
              <w:top w:val="single" w:sz="4" w:space="0" w:color="auto"/>
              <w:bottom w:val="single" w:sz="4" w:space="0" w:color="auto"/>
            </w:tcBorders>
          </w:tcPr>
          <w:p w14:paraId="3F78C1D9" w14:textId="77777777" w:rsidR="00136210" w:rsidRPr="00EC3BD7" w:rsidRDefault="00136210" w:rsidP="00B9089D">
            <w:pPr>
              <w:pStyle w:val="Table"/>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Induktsioon-konsolidatsioonravi</w:t>
            </w:r>
          </w:p>
        </w:tc>
        <w:tc>
          <w:tcPr>
            <w:tcW w:w="6732" w:type="dxa"/>
            <w:gridSpan w:val="4"/>
            <w:tcBorders>
              <w:top w:val="single" w:sz="4" w:space="0" w:color="auto"/>
              <w:bottom w:val="single" w:sz="4" w:space="0" w:color="auto"/>
            </w:tcBorders>
          </w:tcPr>
          <w:p w14:paraId="16B1832B" w14:textId="77777777" w:rsidR="00021198" w:rsidRPr="00EC3BD7" w:rsidRDefault="00136210" w:rsidP="00B9089D">
            <w:pPr>
              <w:pStyle w:val="Table"/>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Hüper-CVAD skeem: CP 300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(3 h, q 12 h), päevadel 1</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3;</w:t>
            </w:r>
          </w:p>
          <w:p w14:paraId="3301BA3A" w14:textId="77777777" w:rsidR="00021198" w:rsidRPr="00EC3BD7" w:rsidRDefault="00021198" w:rsidP="00B9089D">
            <w:pPr>
              <w:pStyle w:val="Table"/>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V</w:t>
            </w:r>
            <w:r w:rsidR="00136210" w:rsidRPr="00EC3BD7">
              <w:rPr>
                <w:rFonts w:ascii="Times New Roman" w:hAnsi="Times New Roman"/>
                <w:color w:val="000000"/>
                <w:sz w:val="22"/>
                <w:szCs w:val="22"/>
                <w:lang w:val="et-EE"/>
              </w:rPr>
              <w:t>inkristiin 2 mg i.v., päevadel 4, 11;</w:t>
            </w:r>
          </w:p>
          <w:p w14:paraId="6451FFFC" w14:textId="77777777" w:rsidR="00021198" w:rsidRPr="00EC3BD7" w:rsidRDefault="00021198" w:rsidP="00B9089D">
            <w:pPr>
              <w:pStyle w:val="Table"/>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D</w:t>
            </w:r>
            <w:r w:rsidR="00136210" w:rsidRPr="00EC3BD7">
              <w:rPr>
                <w:rFonts w:ascii="Times New Roman" w:hAnsi="Times New Roman"/>
                <w:color w:val="000000"/>
                <w:sz w:val="22"/>
                <w:szCs w:val="22"/>
                <w:lang w:val="et-EE"/>
              </w:rPr>
              <w:t>oksorubitsiin 50 mg/m</w:t>
            </w:r>
            <w:r w:rsidR="00136210" w:rsidRPr="00EC3BD7">
              <w:rPr>
                <w:rFonts w:ascii="Times New Roman" w:hAnsi="Times New Roman"/>
                <w:color w:val="000000"/>
                <w:sz w:val="22"/>
                <w:szCs w:val="22"/>
                <w:vertAlign w:val="superscript"/>
                <w:lang w:val="et-EE"/>
              </w:rPr>
              <w:t>2</w:t>
            </w:r>
            <w:r w:rsidR="00136210" w:rsidRPr="00EC3BD7">
              <w:rPr>
                <w:rFonts w:ascii="Times New Roman" w:hAnsi="Times New Roman"/>
                <w:color w:val="000000"/>
                <w:sz w:val="22"/>
                <w:szCs w:val="22"/>
                <w:lang w:val="et-EE"/>
              </w:rPr>
              <w:t xml:space="preserve"> i.v. (24 h), päev 4;</w:t>
            </w:r>
          </w:p>
          <w:p w14:paraId="38D65A3D" w14:textId="77777777" w:rsidR="00136210" w:rsidRPr="00EC3BD7" w:rsidRDefault="00136210" w:rsidP="00B9089D">
            <w:pPr>
              <w:pStyle w:val="Table"/>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DEX 40 mg/päevas päevadel 1</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4 ja 11</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 xml:space="preserve">14, vaheldumisi koos </w:t>
            </w:r>
            <w:smartTag w:uri="urn:schemas-microsoft-com:office:smarttags" w:element="stockticker">
              <w:r w:rsidRPr="00EC3BD7">
                <w:rPr>
                  <w:rFonts w:ascii="Times New Roman" w:hAnsi="Times New Roman"/>
                  <w:color w:val="000000"/>
                  <w:sz w:val="22"/>
                  <w:szCs w:val="22"/>
                  <w:lang w:val="et-EE"/>
                </w:rPr>
                <w:t>MTX</w:t>
              </w:r>
            </w:smartTag>
            <w:r w:rsidRPr="00EC3BD7">
              <w:rPr>
                <w:rFonts w:ascii="Times New Roman" w:hAnsi="Times New Roman"/>
                <w:color w:val="000000"/>
                <w:sz w:val="22"/>
                <w:szCs w:val="22"/>
                <w:lang w:val="et-EE"/>
              </w:rPr>
              <w:t xml:space="preserve"> 1 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(24 h), päev 1, Ara-C 1 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(2 h, q 12 h), päevadel 2</w:t>
            </w:r>
            <w:r w:rsidR="00C10CCB"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3 (kokku 8 tsüklit)</w:t>
            </w:r>
          </w:p>
        </w:tc>
      </w:tr>
      <w:tr w:rsidR="00136210" w:rsidRPr="005D29F8" w14:paraId="4B186F61" w14:textId="77777777" w:rsidTr="008B1609">
        <w:trPr>
          <w:cantSplit/>
        </w:trPr>
        <w:tc>
          <w:tcPr>
            <w:tcW w:w="2148" w:type="dxa"/>
            <w:tcBorders>
              <w:top w:val="single" w:sz="4" w:space="0" w:color="auto"/>
              <w:bottom w:val="single" w:sz="4" w:space="0" w:color="auto"/>
            </w:tcBorders>
          </w:tcPr>
          <w:p w14:paraId="3957E5E2" w14:textId="77777777" w:rsidR="00136210" w:rsidRPr="00EC3BD7" w:rsidRDefault="00136210">
            <w:pPr>
              <w:pStyle w:val="Table"/>
              <w:keepNext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Säilitusravi</w:t>
            </w:r>
          </w:p>
        </w:tc>
        <w:tc>
          <w:tcPr>
            <w:tcW w:w="6732" w:type="dxa"/>
            <w:gridSpan w:val="4"/>
            <w:tcBorders>
              <w:top w:val="single" w:sz="4" w:space="0" w:color="auto"/>
              <w:bottom w:val="single" w:sz="4" w:space="0" w:color="auto"/>
            </w:tcBorders>
          </w:tcPr>
          <w:p w14:paraId="7C1AEB7C" w14:textId="77777777" w:rsidR="00021198" w:rsidRPr="00EC3BD7" w:rsidRDefault="00136210">
            <w:pPr>
              <w:pStyle w:val="Table"/>
              <w:keepNext w:val="0"/>
              <w:widowControl w:val="0"/>
              <w:rPr>
                <w:rFonts w:ascii="Times New Roman" w:hAnsi="Times New Roman"/>
                <w:color w:val="000000"/>
                <w:sz w:val="22"/>
                <w:szCs w:val="22"/>
                <w:lang w:val="et-EE"/>
              </w:rPr>
            </w:pPr>
            <w:smartTag w:uri="urn:schemas-microsoft-com:office:smarttags" w:element="stockticker">
              <w:r w:rsidRPr="00EC3BD7">
                <w:rPr>
                  <w:rFonts w:ascii="Times New Roman" w:hAnsi="Times New Roman"/>
                  <w:color w:val="000000"/>
                  <w:sz w:val="22"/>
                  <w:szCs w:val="22"/>
                  <w:lang w:val="et-EE"/>
                </w:rPr>
                <w:t>VCR</w:t>
              </w:r>
            </w:smartTag>
            <w:r w:rsidRPr="00EC3BD7">
              <w:rPr>
                <w:rFonts w:ascii="Times New Roman" w:hAnsi="Times New Roman"/>
                <w:color w:val="000000"/>
                <w:sz w:val="22"/>
                <w:szCs w:val="22"/>
                <w:lang w:val="et-EE"/>
              </w:rPr>
              <w:t xml:space="preserve"> 2 mg i.v. igakuiselt 13 kuu jooksul;</w:t>
            </w:r>
          </w:p>
          <w:p w14:paraId="2FC8F2D4" w14:textId="77777777" w:rsidR="00136210" w:rsidRPr="00EC3BD7" w:rsidRDefault="00021198" w:rsidP="00021198">
            <w:pPr>
              <w:pStyle w:val="Table"/>
              <w:keepNext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P</w:t>
            </w:r>
            <w:r w:rsidR="00136210" w:rsidRPr="00EC3BD7">
              <w:rPr>
                <w:rFonts w:ascii="Times New Roman" w:hAnsi="Times New Roman"/>
                <w:color w:val="000000"/>
                <w:sz w:val="22"/>
                <w:szCs w:val="22"/>
                <w:lang w:val="et-EE"/>
              </w:rPr>
              <w:t>rednisoloon 200 mg suukaudselt, 5 päeva kuus 13 kuu jooksul</w:t>
            </w:r>
          </w:p>
        </w:tc>
      </w:tr>
      <w:tr w:rsidR="00136210" w:rsidRPr="00EC3BD7" w14:paraId="56020CFF" w14:textId="77777777" w:rsidTr="008B1609">
        <w:trPr>
          <w:cantSplit/>
        </w:trPr>
        <w:tc>
          <w:tcPr>
            <w:tcW w:w="8880" w:type="dxa"/>
            <w:gridSpan w:val="5"/>
            <w:tcBorders>
              <w:top w:val="single" w:sz="4" w:space="0" w:color="auto"/>
              <w:bottom w:val="single" w:sz="4" w:space="0" w:color="auto"/>
            </w:tcBorders>
          </w:tcPr>
          <w:p w14:paraId="0375B735" w14:textId="77777777" w:rsidR="00136210" w:rsidRPr="00EC3BD7" w:rsidRDefault="00136210">
            <w:pPr>
              <w:pStyle w:val="Table"/>
              <w:keepNext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 xml:space="preserve">Kõikides raviskeemides on kasutusel steroidid </w:t>
            </w:r>
            <w:smartTag w:uri="urn:schemas-microsoft-com:office:smarttags" w:element="stockticker">
              <w:r w:rsidRPr="00EC3BD7">
                <w:rPr>
                  <w:rFonts w:ascii="Times New Roman" w:hAnsi="Times New Roman"/>
                  <w:color w:val="000000"/>
                  <w:sz w:val="22"/>
                  <w:szCs w:val="22"/>
                  <w:lang w:val="et-EE"/>
                </w:rPr>
                <w:t>CNS</w:t>
              </w:r>
            </w:smartTag>
            <w:r w:rsidRPr="00EC3BD7">
              <w:rPr>
                <w:rFonts w:ascii="Times New Roman" w:hAnsi="Times New Roman"/>
                <w:color w:val="000000"/>
                <w:sz w:val="22"/>
                <w:szCs w:val="22"/>
                <w:lang w:val="et-EE"/>
              </w:rPr>
              <w:t xml:space="preserve"> profülaktikaks.</w:t>
            </w:r>
          </w:p>
        </w:tc>
      </w:tr>
      <w:tr w:rsidR="00136210" w:rsidRPr="00EC3BD7" w14:paraId="11AE1D09" w14:textId="77777777" w:rsidTr="008B1609">
        <w:trPr>
          <w:cantSplit/>
        </w:trPr>
        <w:tc>
          <w:tcPr>
            <w:tcW w:w="8880" w:type="dxa"/>
            <w:gridSpan w:val="5"/>
            <w:tcBorders>
              <w:top w:val="single" w:sz="4" w:space="0" w:color="auto"/>
              <w:bottom w:val="single" w:sz="4" w:space="0" w:color="auto"/>
            </w:tcBorders>
          </w:tcPr>
          <w:p w14:paraId="27B97AF0" w14:textId="77777777" w:rsidR="00136210" w:rsidRPr="00EC3BD7" w:rsidRDefault="00136210"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 xml:space="preserve">Ara-C: tsütosiinarabinosiid; CP: tsüklofosfamiid; DEX: deksametasoon; </w:t>
            </w:r>
            <w:smartTag w:uri="urn:schemas-microsoft-com:office:smarttags" w:element="stockticker">
              <w:r w:rsidRPr="00EC3BD7">
                <w:rPr>
                  <w:rFonts w:ascii="Times New Roman" w:hAnsi="Times New Roman"/>
                  <w:color w:val="000000"/>
                  <w:sz w:val="22"/>
                  <w:szCs w:val="22"/>
                  <w:lang w:val="et-EE"/>
                </w:rPr>
                <w:t>MTX</w:t>
              </w:r>
            </w:smartTag>
            <w:r w:rsidRPr="00EC3BD7">
              <w:rPr>
                <w:rFonts w:ascii="Times New Roman" w:hAnsi="Times New Roman"/>
                <w:color w:val="000000"/>
                <w:sz w:val="22"/>
                <w:szCs w:val="22"/>
                <w:lang w:val="et-EE"/>
              </w:rPr>
              <w:t xml:space="preserve">: metotreksaat; 6-MP: 6-merkaptopuriin; VM26: teniposiid; </w:t>
            </w:r>
            <w:smartTag w:uri="urn:schemas-microsoft-com:office:smarttags" w:element="stockticker">
              <w:r w:rsidRPr="00EC3BD7">
                <w:rPr>
                  <w:rFonts w:ascii="Times New Roman" w:hAnsi="Times New Roman"/>
                  <w:color w:val="000000"/>
                  <w:sz w:val="22"/>
                  <w:szCs w:val="22"/>
                  <w:lang w:val="et-EE"/>
                </w:rPr>
                <w:t>VCR</w:t>
              </w:r>
            </w:smartTag>
            <w:r w:rsidRPr="00EC3BD7">
              <w:rPr>
                <w:rFonts w:ascii="Times New Roman" w:hAnsi="Times New Roman"/>
                <w:color w:val="000000"/>
                <w:sz w:val="22"/>
                <w:szCs w:val="22"/>
                <w:lang w:val="et-EE"/>
              </w:rPr>
              <w:t xml:space="preserve">: vinkristiin; </w:t>
            </w:r>
            <w:smartTag w:uri="urn:schemas-microsoft-com:office:smarttags" w:element="stockticker">
              <w:r w:rsidRPr="00EC3BD7">
                <w:rPr>
                  <w:rFonts w:ascii="Times New Roman" w:hAnsi="Times New Roman"/>
                  <w:color w:val="000000"/>
                  <w:sz w:val="22"/>
                  <w:szCs w:val="22"/>
                  <w:lang w:val="et-EE"/>
                </w:rPr>
                <w:t>IDA</w:t>
              </w:r>
            </w:smartTag>
            <w:r w:rsidRPr="00EC3BD7">
              <w:rPr>
                <w:rFonts w:ascii="Times New Roman" w:hAnsi="Times New Roman"/>
                <w:color w:val="000000"/>
                <w:sz w:val="22"/>
                <w:szCs w:val="22"/>
                <w:lang w:val="et-EE"/>
              </w:rPr>
              <w:t>: idarubitsiin; i.v.: intravenoosne</w:t>
            </w:r>
          </w:p>
        </w:tc>
      </w:tr>
    </w:tbl>
    <w:p w14:paraId="5F9C9F8F" w14:textId="77777777" w:rsidR="008248B4" w:rsidRPr="00EC3BD7" w:rsidRDefault="008248B4" w:rsidP="008248B4">
      <w:pPr>
        <w:pStyle w:val="EndnoteText"/>
        <w:widowControl w:val="0"/>
        <w:rPr>
          <w:color w:val="000000"/>
          <w:szCs w:val="22"/>
          <w:lang w:val="et-EE"/>
        </w:rPr>
      </w:pPr>
    </w:p>
    <w:p w14:paraId="16A2211F" w14:textId="1A416AF0" w:rsidR="008248B4" w:rsidRPr="00EC3BD7" w:rsidRDefault="0039488C" w:rsidP="008248B4">
      <w:pPr>
        <w:pStyle w:val="EndnoteText"/>
        <w:widowControl w:val="0"/>
        <w:rPr>
          <w:color w:val="000000"/>
          <w:lang w:val="et-EE"/>
        </w:rPr>
      </w:pPr>
      <w:r w:rsidRPr="00EC3BD7">
        <w:rPr>
          <w:i/>
          <w:color w:val="000000"/>
          <w:lang w:val="et-EE"/>
        </w:rPr>
        <w:t>Laps</w:t>
      </w:r>
      <w:r w:rsidR="008248B4" w:rsidRPr="00EC3BD7">
        <w:rPr>
          <w:i/>
          <w:color w:val="000000"/>
          <w:lang w:val="et-EE"/>
        </w:rPr>
        <w:t>pat</w:t>
      </w:r>
      <w:r w:rsidR="00283DD6" w:rsidRPr="00EC3BD7">
        <w:rPr>
          <w:i/>
          <w:color w:val="000000"/>
          <w:lang w:val="et-EE"/>
        </w:rPr>
        <w:t>s</w:t>
      </w:r>
      <w:r w:rsidR="008248B4" w:rsidRPr="00EC3BD7">
        <w:rPr>
          <w:i/>
          <w:color w:val="000000"/>
          <w:lang w:val="et-EE"/>
        </w:rPr>
        <w:t>ien</w:t>
      </w:r>
      <w:r w:rsidR="00283DD6" w:rsidRPr="00EC3BD7">
        <w:rPr>
          <w:i/>
          <w:color w:val="000000"/>
          <w:lang w:val="et-EE"/>
        </w:rPr>
        <w:t>did</w:t>
      </w:r>
      <w:r w:rsidR="008248B4" w:rsidRPr="00EC3BD7">
        <w:rPr>
          <w:color w:val="000000"/>
          <w:lang w:val="et-EE"/>
        </w:rPr>
        <w:t>:</w:t>
      </w:r>
      <w:r w:rsidR="008248B4" w:rsidRPr="00EC3BD7">
        <w:rPr>
          <w:lang w:val="et-EE"/>
        </w:rPr>
        <w:t xml:space="preserve"> </w:t>
      </w:r>
      <w:r w:rsidR="005C0AA8" w:rsidRPr="00EC3BD7">
        <w:rPr>
          <w:lang w:val="et-EE"/>
        </w:rPr>
        <w:t>Uuringus I2301 (a</w:t>
      </w:r>
      <w:r w:rsidR="00283DD6" w:rsidRPr="00EC3BD7">
        <w:rPr>
          <w:lang w:val="et-EE"/>
        </w:rPr>
        <w:t>vatud mitmekeskuseli</w:t>
      </w:r>
      <w:r w:rsidR="005C0AA8" w:rsidRPr="00EC3BD7">
        <w:rPr>
          <w:lang w:val="et-EE"/>
        </w:rPr>
        <w:t>n</w:t>
      </w:r>
      <w:r w:rsidR="00283DD6" w:rsidRPr="00EC3BD7">
        <w:rPr>
          <w:lang w:val="et-EE"/>
        </w:rPr>
        <w:t>e järjestiku</w:t>
      </w:r>
      <w:r w:rsidR="005C0AA8" w:rsidRPr="00EC3BD7">
        <w:rPr>
          <w:lang w:val="et-EE"/>
        </w:rPr>
        <w:t>ste</w:t>
      </w:r>
      <w:r w:rsidR="00283DD6" w:rsidRPr="00EC3BD7">
        <w:rPr>
          <w:lang w:val="et-EE"/>
        </w:rPr>
        <w:t xml:space="preserve"> kohort</w:t>
      </w:r>
      <w:r w:rsidR="005C0AA8" w:rsidRPr="00EC3BD7">
        <w:rPr>
          <w:lang w:val="et-EE"/>
        </w:rPr>
        <w:t>idega mitterandomiseeritud III faasi uuring) osales kokku 93 </w:t>
      </w:r>
      <w:r w:rsidR="000E390B" w:rsidRPr="00EC3BD7">
        <w:rPr>
          <w:lang w:val="et-EE"/>
        </w:rPr>
        <w:t xml:space="preserve">Ph+ ALL–ga </w:t>
      </w:r>
      <w:r w:rsidR="00A40D12" w:rsidRPr="00EC3BD7">
        <w:rPr>
          <w:lang w:val="et-EE"/>
        </w:rPr>
        <w:t>last</w:t>
      </w:r>
      <w:r w:rsidR="005C0AA8" w:rsidRPr="00EC3BD7">
        <w:rPr>
          <w:lang w:val="et-EE"/>
        </w:rPr>
        <w:t>, noorukit ja noort täiskasvanut (vanuses 1 kuni 22 aastat), kes said Glivecit (340 mg/m</w:t>
      </w:r>
      <w:r w:rsidR="005C0AA8" w:rsidRPr="00EC3BD7">
        <w:rPr>
          <w:vertAlign w:val="superscript"/>
          <w:lang w:val="et-EE"/>
        </w:rPr>
        <w:t>2</w:t>
      </w:r>
      <w:r w:rsidR="005C0AA8" w:rsidRPr="00EC3BD7">
        <w:rPr>
          <w:lang w:val="et-EE"/>
        </w:rPr>
        <w:t>/ööpäev) kombinatsioonis intensiivse kemoteraapiaga pärast induktsioonravi. Glivecit manustati kohortides 1</w:t>
      </w:r>
      <w:r w:rsidR="00D0680E" w:rsidRPr="00EC3BD7">
        <w:rPr>
          <w:lang w:val="et-EE"/>
        </w:rPr>
        <w:t>...</w:t>
      </w:r>
      <w:r w:rsidR="005C0AA8" w:rsidRPr="00EC3BD7">
        <w:rPr>
          <w:lang w:val="et-EE"/>
        </w:rPr>
        <w:t>5</w:t>
      </w:r>
      <w:r w:rsidR="00117362" w:rsidRPr="00EC3BD7">
        <w:rPr>
          <w:lang w:val="et-EE"/>
        </w:rPr>
        <w:t xml:space="preserve"> </w:t>
      </w:r>
      <w:r w:rsidR="0018121F" w:rsidRPr="00EC3BD7">
        <w:rPr>
          <w:lang w:val="et-EE"/>
        </w:rPr>
        <w:t xml:space="preserve">vahelduvalt, </w:t>
      </w:r>
      <w:r w:rsidR="00117362" w:rsidRPr="00EC3BD7">
        <w:rPr>
          <w:lang w:val="et-EE"/>
        </w:rPr>
        <w:t>kusjuures</w:t>
      </w:r>
      <w:r w:rsidR="009D1F18" w:rsidRPr="00EC3BD7">
        <w:rPr>
          <w:lang w:val="et-EE"/>
        </w:rPr>
        <w:t xml:space="preserve"> </w:t>
      </w:r>
      <w:r w:rsidR="0018121F" w:rsidRPr="00EC3BD7">
        <w:rPr>
          <w:lang w:val="et-EE"/>
        </w:rPr>
        <w:t>Gliveci</w:t>
      </w:r>
      <w:r w:rsidR="00E05D73" w:rsidRPr="00EC3BD7">
        <w:rPr>
          <w:lang w:val="et-EE"/>
        </w:rPr>
        <w:t>ga</w:t>
      </w:r>
      <w:r w:rsidR="0018121F" w:rsidRPr="00EC3BD7">
        <w:rPr>
          <w:lang w:val="et-EE"/>
        </w:rPr>
        <w:t xml:space="preserve"> ravi kestus </w:t>
      </w:r>
      <w:r w:rsidR="009D1F18" w:rsidRPr="00EC3BD7">
        <w:rPr>
          <w:lang w:val="et-EE"/>
        </w:rPr>
        <w:t xml:space="preserve">oli </w:t>
      </w:r>
      <w:r w:rsidR="00D11475" w:rsidRPr="00EC3BD7">
        <w:rPr>
          <w:lang w:val="et-EE"/>
        </w:rPr>
        <w:t xml:space="preserve">kohortides </w:t>
      </w:r>
      <w:r w:rsidR="009D1F18" w:rsidRPr="00EC3BD7">
        <w:rPr>
          <w:lang w:val="et-EE"/>
        </w:rPr>
        <w:t xml:space="preserve">järjest </w:t>
      </w:r>
      <w:r w:rsidR="0018121F" w:rsidRPr="00EC3BD7">
        <w:rPr>
          <w:lang w:val="et-EE"/>
        </w:rPr>
        <w:t>pikem ja ravi algus varajasem; kohort 1 sai kõige väiksema ja kohort 5 kõige suurema intensiivsusega Glivec</w:t>
      </w:r>
      <w:r w:rsidR="00E05D73" w:rsidRPr="00EC3BD7">
        <w:rPr>
          <w:lang w:val="et-EE"/>
        </w:rPr>
        <w:t>-</w:t>
      </w:r>
      <w:r w:rsidR="0018121F" w:rsidRPr="00EC3BD7">
        <w:rPr>
          <w:lang w:val="et-EE"/>
        </w:rPr>
        <w:t>ravi (</w:t>
      </w:r>
      <w:r w:rsidR="009D1F18" w:rsidRPr="00EC3BD7">
        <w:rPr>
          <w:lang w:val="et-EE"/>
        </w:rPr>
        <w:t>kõige pikem pideva ööpäevase annusega Glivec</w:t>
      </w:r>
      <w:r w:rsidR="00E05D73" w:rsidRPr="00EC3BD7">
        <w:rPr>
          <w:lang w:val="et-EE"/>
        </w:rPr>
        <w:t>-</w:t>
      </w:r>
      <w:r w:rsidR="009D1F18" w:rsidRPr="00EC3BD7">
        <w:rPr>
          <w:lang w:val="et-EE"/>
        </w:rPr>
        <w:t>ravi kestus päevades esimese kemoteraapiakuuri ajal</w:t>
      </w:r>
      <w:r w:rsidR="0018121F" w:rsidRPr="00EC3BD7">
        <w:rPr>
          <w:lang w:val="et-EE"/>
        </w:rPr>
        <w:t>)</w:t>
      </w:r>
      <w:r w:rsidR="000060FD" w:rsidRPr="00EC3BD7">
        <w:rPr>
          <w:lang w:val="et-EE"/>
        </w:rPr>
        <w:t>. Pidev ööpäevane Gliveci ek</w:t>
      </w:r>
      <w:r w:rsidR="002D7FE2" w:rsidRPr="00EC3BD7">
        <w:rPr>
          <w:lang w:val="et-EE"/>
        </w:rPr>
        <w:t>s</w:t>
      </w:r>
      <w:r w:rsidR="000060FD" w:rsidRPr="00EC3BD7">
        <w:rPr>
          <w:lang w:val="et-EE"/>
        </w:rPr>
        <w:t>positsioon koos kemoteraapiaga ravi algfaasis parandas kohort 5 patsientidel (n=</w:t>
      </w:r>
      <w:r w:rsidR="00CF5A58" w:rsidRPr="00EC3BD7">
        <w:rPr>
          <w:lang w:val="et-EE"/>
        </w:rPr>
        <w:t>5</w:t>
      </w:r>
      <w:r w:rsidR="000060FD" w:rsidRPr="00EC3BD7">
        <w:rPr>
          <w:lang w:val="et-EE"/>
        </w:rPr>
        <w:t xml:space="preserve">0) </w:t>
      </w:r>
      <w:r w:rsidR="008516CE" w:rsidRPr="00EC3BD7">
        <w:rPr>
          <w:lang w:val="et-EE"/>
        </w:rPr>
        <w:t xml:space="preserve">4-aastast </w:t>
      </w:r>
      <w:r w:rsidR="00E05D73" w:rsidRPr="00EC3BD7">
        <w:rPr>
          <w:lang w:val="et-EE"/>
        </w:rPr>
        <w:t>tüsist</w:t>
      </w:r>
      <w:r w:rsidR="008516CE" w:rsidRPr="00EC3BD7">
        <w:rPr>
          <w:lang w:val="et-EE"/>
        </w:rPr>
        <w:t xml:space="preserve">ustevaba elulemust </w:t>
      </w:r>
      <w:r w:rsidR="00CF5A58" w:rsidRPr="00EC3BD7">
        <w:rPr>
          <w:lang w:val="et-EE"/>
        </w:rPr>
        <w:t xml:space="preserve">võrreldes </w:t>
      </w:r>
      <w:r w:rsidR="00E05D73" w:rsidRPr="00EC3BD7">
        <w:rPr>
          <w:lang w:val="et-EE"/>
        </w:rPr>
        <w:t>varasema</w:t>
      </w:r>
      <w:r w:rsidR="00CF5A58" w:rsidRPr="00EC3BD7">
        <w:rPr>
          <w:lang w:val="et-EE"/>
        </w:rPr>
        <w:t xml:space="preserve"> kontrollrühmaga (n=120), kes said standardset kemoteraapiat ilma Glivecita (vastavalt 69,9% </w:t>
      </w:r>
      <w:r w:rsidR="00CF5A58" w:rsidRPr="00EC3BD7">
        <w:rPr>
          <w:i/>
          <w:lang w:val="et-EE"/>
        </w:rPr>
        <w:t>vs.</w:t>
      </w:r>
      <w:r w:rsidR="00CF5A58" w:rsidRPr="00EC3BD7">
        <w:rPr>
          <w:lang w:val="et-EE"/>
        </w:rPr>
        <w:t xml:space="preserve"> 31,6%). 4 aasta eeldatav üldine elulemus kohort 5 patsientide hulgas oli 83,6% võrreldes 44,8%-ga </w:t>
      </w:r>
      <w:r w:rsidR="00E05D73" w:rsidRPr="00EC3BD7">
        <w:rPr>
          <w:lang w:val="et-EE"/>
        </w:rPr>
        <w:t>varasemas</w:t>
      </w:r>
      <w:r w:rsidR="00CF5A58" w:rsidRPr="00EC3BD7">
        <w:rPr>
          <w:lang w:val="et-EE"/>
        </w:rPr>
        <w:t xml:space="preserve"> kontrollrühmas. Kohort 5-s said 20 patsienti 50-st (40%) hematopoeetiliste tüvirakkude </w:t>
      </w:r>
      <w:r w:rsidR="00E05D73" w:rsidRPr="00EC3BD7">
        <w:rPr>
          <w:lang w:val="et-EE"/>
        </w:rPr>
        <w:t>siirdamist</w:t>
      </w:r>
      <w:r w:rsidR="00CF5A58" w:rsidRPr="00EC3BD7">
        <w:rPr>
          <w:lang w:val="et-EE"/>
        </w:rPr>
        <w:t>.</w:t>
      </w:r>
    </w:p>
    <w:p w14:paraId="64DD5283" w14:textId="77777777" w:rsidR="008248B4" w:rsidRPr="00EC3BD7" w:rsidRDefault="008248B4" w:rsidP="008248B4">
      <w:pPr>
        <w:pStyle w:val="EndnoteText"/>
        <w:widowControl w:val="0"/>
        <w:rPr>
          <w:color w:val="000000"/>
          <w:lang w:val="et-EE"/>
        </w:rPr>
      </w:pPr>
    </w:p>
    <w:p w14:paraId="19B36AE5" w14:textId="77777777" w:rsidR="008248B4" w:rsidRPr="00EC3BD7" w:rsidRDefault="008248B4" w:rsidP="00B9089D">
      <w:pPr>
        <w:pStyle w:val="EndnoteText"/>
        <w:keepNext/>
        <w:widowControl w:val="0"/>
        <w:tabs>
          <w:tab w:val="clear" w:pos="567"/>
        </w:tabs>
        <w:ind w:left="1134" w:hanging="1134"/>
        <w:rPr>
          <w:b/>
          <w:color w:val="000000"/>
          <w:lang w:val="et-EE"/>
        </w:rPr>
      </w:pPr>
      <w:r w:rsidRPr="00EC3BD7">
        <w:rPr>
          <w:b/>
          <w:color w:val="000000"/>
          <w:lang w:val="et-EE"/>
        </w:rPr>
        <w:t>Tab</w:t>
      </w:r>
      <w:r w:rsidR="00283DD6" w:rsidRPr="00EC3BD7">
        <w:rPr>
          <w:b/>
          <w:color w:val="000000"/>
          <w:lang w:val="et-EE"/>
        </w:rPr>
        <w:t>e</w:t>
      </w:r>
      <w:r w:rsidRPr="00EC3BD7">
        <w:rPr>
          <w:b/>
          <w:color w:val="000000"/>
          <w:lang w:val="et-EE"/>
        </w:rPr>
        <w:t>l </w:t>
      </w:r>
      <w:r w:rsidR="00A2060F" w:rsidRPr="00EC3BD7">
        <w:rPr>
          <w:b/>
          <w:color w:val="000000"/>
          <w:lang w:val="et-EE"/>
        </w:rPr>
        <w:t>5</w:t>
      </w:r>
      <w:r w:rsidRPr="00EC3BD7">
        <w:rPr>
          <w:b/>
          <w:color w:val="000000"/>
          <w:lang w:val="et-EE"/>
        </w:rPr>
        <w:tab/>
      </w:r>
      <w:r w:rsidR="00283DD6" w:rsidRPr="00EC3BD7">
        <w:rPr>
          <w:b/>
          <w:color w:val="000000"/>
          <w:lang w:val="et-EE"/>
        </w:rPr>
        <w:t>Ke</w:t>
      </w:r>
      <w:r w:rsidRPr="00EC3BD7">
        <w:rPr>
          <w:b/>
          <w:color w:val="000000"/>
          <w:lang w:val="et-EE"/>
        </w:rPr>
        <w:t>moter</w:t>
      </w:r>
      <w:r w:rsidR="00283DD6" w:rsidRPr="00EC3BD7">
        <w:rPr>
          <w:b/>
          <w:color w:val="000000"/>
          <w:lang w:val="et-EE"/>
        </w:rPr>
        <w:t>a</w:t>
      </w:r>
      <w:r w:rsidRPr="00EC3BD7">
        <w:rPr>
          <w:b/>
          <w:color w:val="000000"/>
          <w:lang w:val="et-EE"/>
        </w:rPr>
        <w:t>ap</w:t>
      </w:r>
      <w:r w:rsidR="00283DD6" w:rsidRPr="00EC3BD7">
        <w:rPr>
          <w:b/>
          <w:color w:val="000000"/>
          <w:lang w:val="et-EE"/>
        </w:rPr>
        <w:t>ia</w:t>
      </w:r>
      <w:r w:rsidRPr="00EC3BD7">
        <w:rPr>
          <w:b/>
          <w:color w:val="000000"/>
          <w:lang w:val="et-EE"/>
        </w:rPr>
        <w:t xml:space="preserve"> r</w:t>
      </w:r>
      <w:r w:rsidR="00283DD6" w:rsidRPr="00EC3BD7">
        <w:rPr>
          <w:b/>
          <w:color w:val="000000"/>
          <w:lang w:val="et-EE"/>
        </w:rPr>
        <w:t xml:space="preserve">aviskeem kasutamisel koos </w:t>
      </w:r>
      <w:r w:rsidRPr="00EC3BD7">
        <w:rPr>
          <w:b/>
          <w:color w:val="000000"/>
          <w:lang w:val="et-EE"/>
        </w:rPr>
        <w:t>imatin</w:t>
      </w:r>
      <w:r w:rsidR="00283DD6" w:rsidRPr="00EC3BD7">
        <w:rPr>
          <w:b/>
          <w:color w:val="000000"/>
          <w:lang w:val="et-EE"/>
        </w:rPr>
        <w:t>i</w:t>
      </w:r>
      <w:r w:rsidRPr="00EC3BD7">
        <w:rPr>
          <w:b/>
          <w:color w:val="000000"/>
          <w:lang w:val="et-EE"/>
        </w:rPr>
        <w:t>ib</w:t>
      </w:r>
      <w:r w:rsidR="00283DD6" w:rsidRPr="00EC3BD7">
        <w:rPr>
          <w:b/>
          <w:color w:val="000000"/>
          <w:lang w:val="et-EE"/>
        </w:rPr>
        <w:t>iga uuringus</w:t>
      </w:r>
      <w:r w:rsidRPr="00EC3BD7">
        <w:rPr>
          <w:b/>
          <w:color w:val="000000"/>
          <w:lang w:val="et-EE"/>
        </w:rPr>
        <w:t xml:space="preserve"> I2301</w:t>
      </w:r>
    </w:p>
    <w:p w14:paraId="13189DF9" w14:textId="77777777" w:rsidR="008248B4" w:rsidRPr="00EC3BD7" w:rsidRDefault="008248B4" w:rsidP="00B9089D">
      <w:pPr>
        <w:pStyle w:val="EndnoteText"/>
        <w:keepNext/>
        <w:widowControl w:val="0"/>
        <w:rPr>
          <w:color w:val="000000"/>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703"/>
      </w:tblGrid>
      <w:tr w:rsidR="008248B4" w:rsidRPr="005D29F8" w14:paraId="7DAC0605" w14:textId="77777777" w:rsidTr="00F8356E">
        <w:trPr>
          <w:cantSplit/>
        </w:trPr>
        <w:tc>
          <w:tcPr>
            <w:tcW w:w="2358" w:type="dxa"/>
            <w:shd w:val="clear" w:color="auto" w:fill="auto"/>
          </w:tcPr>
          <w:p w14:paraId="32711793" w14:textId="77777777" w:rsidR="008248B4" w:rsidRPr="00EC3BD7" w:rsidRDefault="00283DD6" w:rsidP="005C0AA8">
            <w:pPr>
              <w:pStyle w:val="EndnoteText"/>
              <w:widowControl w:val="0"/>
              <w:rPr>
                <w:color w:val="000000"/>
                <w:lang w:val="et-EE"/>
              </w:rPr>
            </w:pPr>
            <w:r w:rsidRPr="00EC3BD7">
              <w:rPr>
                <w:color w:val="000000"/>
                <w:lang w:val="et-EE"/>
              </w:rPr>
              <w:t>K</w:t>
            </w:r>
            <w:r w:rsidR="008248B4" w:rsidRPr="00EC3BD7">
              <w:rPr>
                <w:color w:val="000000"/>
                <w:lang w:val="et-EE"/>
              </w:rPr>
              <w:t>onsolidat</w:t>
            </w:r>
            <w:r w:rsidRPr="00EC3BD7">
              <w:rPr>
                <w:color w:val="000000"/>
                <w:lang w:val="et-EE"/>
              </w:rPr>
              <w:t>s</w:t>
            </w:r>
            <w:r w:rsidR="008248B4" w:rsidRPr="00EC3BD7">
              <w:rPr>
                <w:color w:val="000000"/>
                <w:lang w:val="et-EE"/>
              </w:rPr>
              <w:t>i</w:t>
            </w:r>
            <w:r w:rsidRPr="00EC3BD7">
              <w:rPr>
                <w:color w:val="000000"/>
                <w:lang w:val="et-EE"/>
              </w:rPr>
              <w:t>o</w:t>
            </w:r>
            <w:r w:rsidR="008248B4" w:rsidRPr="00EC3BD7">
              <w:rPr>
                <w:color w:val="000000"/>
                <w:lang w:val="et-EE"/>
              </w:rPr>
              <w:t>on</w:t>
            </w:r>
            <w:r w:rsidRPr="00EC3BD7">
              <w:rPr>
                <w:color w:val="000000"/>
                <w:lang w:val="et-EE"/>
              </w:rPr>
              <w:t>irühm</w:t>
            </w:r>
            <w:r w:rsidR="008248B4" w:rsidRPr="00EC3BD7">
              <w:rPr>
                <w:color w:val="000000"/>
                <w:lang w:val="et-EE"/>
              </w:rPr>
              <w:t> 1</w:t>
            </w:r>
          </w:p>
          <w:p w14:paraId="37A22C22" w14:textId="77777777" w:rsidR="008248B4" w:rsidRPr="00EC3BD7" w:rsidRDefault="008248B4" w:rsidP="00283DD6">
            <w:pPr>
              <w:pStyle w:val="EndnoteText"/>
              <w:widowControl w:val="0"/>
              <w:rPr>
                <w:color w:val="000000"/>
                <w:lang w:val="et-EE"/>
              </w:rPr>
            </w:pPr>
            <w:r w:rsidRPr="00EC3BD7">
              <w:rPr>
                <w:color w:val="000000"/>
                <w:lang w:val="et-EE"/>
              </w:rPr>
              <w:t>(3 </w:t>
            </w:r>
            <w:r w:rsidR="00283DD6" w:rsidRPr="00EC3BD7">
              <w:rPr>
                <w:color w:val="000000"/>
                <w:lang w:val="et-EE"/>
              </w:rPr>
              <w:t>nädalat</w:t>
            </w:r>
            <w:r w:rsidRPr="00EC3BD7">
              <w:rPr>
                <w:color w:val="000000"/>
                <w:lang w:val="et-EE"/>
              </w:rPr>
              <w:t>)</w:t>
            </w:r>
          </w:p>
        </w:tc>
        <w:tc>
          <w:tcPr>
            <w:tcW w:w="6929" w:type="dxa"/>
            <w:shd w:val="clear" w:color="auto" w:fill="auto"/>
          </w:tcPr>
          <w:p w14:paraId="6383E400" w14:textId="77777777" w:rsidR="008248B4" w:rsidRPr="00EC3BD7" w:rsidRDefault="008248B4" w:rsidP="005C0AA8">
            <w:pPr>
              <w:pStyle w:val="EndnoteText"/>
              <w:widowControl w:val="0"/>
              <w:rPr>
                <w:color w:val="000000"/>
                <w:lang w:val="et-EE"/>
              </w:rPr>
            </w:pPr>
            <w:r w:rsidRPr="00EC3BD7">
              <w:rPr>
                <w:color w:val="000000"/>
                <w:lang w:val="et-EE"/>
              </w:rPr>
              <w:t>VP-16 (100 mg/m</w:t>
            </w:r>
            <w:r w:rsidRPr="00EC3BD7">
              <w:rPr>
                <w:color w:val="000000"/>
                <w:vertAlign w:val="superscript"/>
                <w:lang w:val="et-EE"/>
              </w:rPr>
              <w:t>2</w:t>
            </w:r>
            <w:r w:rsidRPr="00EC3BD7">
              <w:rPr>
                <w:color w:val="000000"/>
                <w:lang w:val="et-EE"/>
              </w:rPr>
              <w:t>/</w:t>
            </w:r>
            <w:r w:rsidR="00235A9D" w:rsidRPr="00EC3BD7">
              <w:rPr>
                <w:color w:val="000000"/>
                <w:lang w:val="et-EE"/>
              </w:rPr>
              <w:t>ööpäev</w:t>
            </w:r>
            <w:r w:rsidRPr="00EC3BD7">
              <w:rPr>
                <w:color w:val="000000"/>
                <w:lang w:val="et-EE"/>
              </w:rPr>
              <w:t xml:space="preserve">, IV): </w:t>
            </w:r>
            <w:r w:rsidR="00235A9D" w:rsidRPr="00EC3BD7">
              <w:rPr>
                <w:color w:val="000000"/>
                <w:lang w:val="et-EE"/>
              </w:rPr>
              <w:t>päevadel</w:t>
            </w:r>
            <w:r w:rsidRPr="00EC3BD7">
              <w:rPr>
                <w:color w:val="000000"/>
                <w:lang w:val="et-EE"/>
              </w:rPr>
              <w:t> 1</w:t>
            </w:r>
            <w:r w:rsidR="00C10CCB" w:rsidRPr="00EC3BD7">
              <w:rPr>
                <w:color w:val="000000"/>
                <w:lang w:val="et-EE"/>
              </w:rPr>
              <w:t>…</w:t>
            </w:r>
            <w:r w:rsidRPr="00EC3BD7">
              <w:rPr>
                <w:color w:val="000000"/>
                <w:lang w:val="et-EE"/>
              </w:rPr>
              <w:t>5</w:t>
            </w:r>
          </w:p>
          <w:p w14:paraId="55CEB10F" w14:textId="77777777" w:rsidR="008248B4" w:rsidRPr="00EC3BD7" w:rsidRDefault="008248B4" w:rsidP="005C0AA8">
            <w:pPr>
              <w:pStyle w:val="EndnoteText"/>
              <w:widowControl w:val="0"/>
              <w:rPr>
                <w:color w:val="000000"/>
                <w:lang w:val="et-EE"/>
              </w:rPr>
            </w:pPr>
            <w:r w:rsidRPr="00EC3BD7">
              <w:rPr>
                <w:color w:val="000000"/>
                <w:lang w:val="et-EE"/>
              </w:rPr>
              <w:t>Ifosfami</w:t>
            </w:r>
            <w:r w:rsidR="00235A9D" w:rsidRPr="00EC3BD7">
              <w:rPr>
                <w:color w:val="000000"/>
                <w:lang w:val="et-EE"/>
              </w:rPr>
              <w:t>i</w:t>
            </w:r>
            <w:r w:rsidRPr="00EC3BD7">
              <w:rPr>
                <w:color w:val="000000"/>
                <w:lang w:val="et-EE"/>
              </w:rPr>
              <w:t>d (1</w:t>
            </w:r>
            <w:r w:rsidR="00235A9D" w:rsidRPr="00EC3BD7">
              <w:rPr>
                <w:color w:val="000000"/>
                <w:lang w:val="et-EE"/>
              </w:rPr>
              <w:t>,</w:t>
            </w:r>
            <w:r w:rsidRPr="00EC3BD7">
              <w:rPr>
                <w:color w:val="000000"/>
                <w:lang w:val="et-EE"/>
              </w:rPr>
              <w:t>8 g/m</w:t>
            </w:r>
            <w:r w:rsidRPr="00EC3BD7">
              <w:rPr>
                <w:color w:val="000000"/>
                <w:vertAlign w:val="superscript"/>
                <w:lang w:val="et-EE"/>
              </w:rPr>
              <w:t>2</w:t>
            </w:r>
            <w:r w:rsidRPr="00EC3BD7">
              <w:rPr>
                <w:color w:val="000000"/>
                <w:lang w:val="et-EE"/>
              </w:rPr>
              <w:t>/</w:t>
            </w:r>
            <w:r w:rsidR="00235A9D" w:rsidRPr="00EC3BD7">
              <w:rPr>
                <w:color w:val="000000"/>
                <w:lang w:val="et-EE"/>
              </w:rPr>
              <w:t>ööpäev</w:t>
            </w:r>
            <w:r w:rsidRPr="00EC3BD7">
              <w:rPr>
                <w:color w:val="000000"/>
                <w:lang w:val="et-EE"/>
              </w:rPr>
              <w:t xml:space="preserve">, IV): </w:t>
            </w:r>
            <w:r w:rsidR="00235A9D" w:rsidRPr="00EC3BD7">
              <w:rPr>
                <w:color w:val="000000"/>
                <w:lang w:val="et-EE"/>
              </w:rPr>
              <w:t>päevadel</w:t>
            </w:r>
            <w:r w:rsidRPr="00EC3BD7">
              <w:rPr>
                <w:color w:val="000000"/>
                <w:lang w:val="et-EE"/>
              </w:rPr>
              <w:t> 1</w:t>
            </w:r>
            <w:r w:rsidR="00C10CCB" w:rsidRPr="00EC3BD7">
              <w:rPr>
                <w:color w:val="000000"/>
                <w:lang w:val="et-EE"/>
              </w:rPr>
              <w:t>…</w:t>
            </w:r>
            <w:r w:rsidRPr="00EC3BD7">
              <w:rPr>
                <w:color w:val="000000"/>
                <w:lang w:val="et-EE"/>
              </w:rPr>
              <w:t>5</w:t>
            </w:r>
          </w:p>
          <w:p w14:paraId="756B7D37" w14:textId="77777777" w:rsidR="008248B4" w:rsidRPr="00EC3BD7" w:rsidRDefault="008248B4" w:rsidP="005C0AA8">
            <w:pPr>
              <w:pStyle w:val="EndnoteText"/>
              <w:widowControl w:val="0"/>
              <w:rPr>
                <w:color w:val="000000"/>
                <w:lang w:val="et-EE"/>
              </w:rPr>
            </w:pPr>
            <w:r w:rsidRPr="00EC3BD7">
              <w:rPr>
                <w:color w:val="000000"/>
                <w:lang w:val="et-EE"/>
              </w:rPr>
              <w:t>MESNA (360 mg/m</w:t>
            </w:r>
            <w:r w:rsidRPr="00EC3BD7">
              <w:rPr>
                <w:color w:val="000000"/>
                <w:vertAlign w:val="superscript"/>
                <w:lang w:val="et-EE"/>
              </w:rPr>
              <w:t>2</w:t>
            </w:r>
            <w:r w:rsidRPr="00EC3BD7">
              <w:rPr>
                <w:color w:val="000000"/>
                <w:lang w:val="et-EE"/>
              </w:rPr>
              <w:t>/</w:t>
            </w:r>
            <w:r w:rsidR="00235A9D" w:rsidRPr="00EC3BD7">
              <w:rPr>
                <w:color w:val="000000"/>
                <w:lang w:val="et-EE"/>
              </w:rPr>
              <w:t>annus</w:t>
            </w:r>
            <w:r w:rsidRPr="00EC3BD7">
              <w:rPr>
                <w:color w:val="000000"/>
                <w:lang w:val="et-EE"/>
              </w:rPr>
              <w:t xml:space="preserve"> q3h, x 8 </w:t>
            </w:r>
            <w:r w:rsidR="00235A9D" w:rsidRPr="00EC3BD7">
              <w:rPr>
                <w:color w:val="000000"/>
                <w:lang w:val="et-EE"/>
              </w:rPr>
              <w:t>annust</w:t>
            </w:r>
            <w:r w:rsidRPr="00EC3BD7">
              <w:rPr>
                <w:color w:val="000000"/>
                <w:lang w:val="et-EE"/>
              </w:rPr>
              <w:t>/</w:t>
            </w:r>
            <w:r w:rsidR="00235A9D" w:rsidRPr="00EC3BD7">
              <w:rPr>
                <w:color w:val="000000"/>
                <w:lang w:val="et-EE"/>
              </w:rPr>
              <w:t>ööpäevas</w:t>
            </w:r>
            <w:r w:rsidRPr="00EC3BD7">
              <w:rPr>
                <w:color w:val="000000"/>
                <w:lang w:val="et-EE"/>
              </w:rPr>
              <w:t xml:space="preserve">, IV): </w:t>
            </w:r>
            <w:r w:rsidR="00235A9D" w:rsidRPr="00EC3BD7">
              <w:rPr>
                <w:color w:val="000000"/>
                <w:lang w:val="et-EE"/>
              </w:rPr>
              <w:t>päevadel</w:t>
            </w:r>
            <w:r w:rsidRPr="00EC3BD7">
              <w:rPr>
                <w:color w:val="000000"/>
                <w:lang w:val="et-EE"/>
              </w:rPr>
              <w:t> 1</w:t>
            </w:r>
            <w:r w:rsidR="00C10CCB" w:rsidRPr="00EC3BD7">
              <w:rPr>
                <w:color w:val="000000"/>
                <w:lang w:val="et-EE"/>
              </w:rPr>
              <w:t>…</w:t>
            </w:r>
            <w:r w:rsidRPr="00EC3BD7">
              <w:rPr>
                <w:color w:val="000000"/>
                <w:lang w:val="et-EE"/>
              </w:rPr>
              <w:t>5</w:t>
            </w:r>
          </w:p>
          <w:p w14:paraId="37AF8EFB" w14:textId="77777777" w:rsidR="008248B4" w:rsidRPr="00EC3BD7" w:rsidRDefault="008248B4" w:rsidP="005C0AA8">
            <w:pPr>
              <w:pStyle w:val="EndnoteText"/>
              <w:widowControl w:val="0"/>
              <w:rPr>
                <w:color w:val="000000"/>
                <w:lang w:val="et-EE"/>
              </w:rPr>
            </w:pPr>
            <w:r w:rsidRPr="00EC3BD7">
              <w:rPr>
                <w:color w:val="000000"/>
                <w:lang w:val="et-EE"/>
              </w:rPr>
              <w:t xml:space="preserve">G-CSF (5 μg/kg, SC): </w:t>
            </w:r>
            <w:r w:rsidR="00235A9D" w:rsidRPr="00EC3BD7">
              <w:rPr>
                <w:color w:val="000000"/>
                <w:lang w:val="et-EE"/>
              </w:rPr>
              <w:t>päevadel</w:t>
            </w:r>
            <w:r w:rsidRPr="00EC3BD7">
              <w:rPr>
                <w:color w:val="000000"/>
                <w:lang w:val="et-EE"/>
              </w:rPr>
              <w:t> 6</w:t>
            </w:r>
            <w:r w:rsidR="00D0680E" w:rsidRPr="00EC3BD7">
              <w:rPr>
                <w:color w:val="000000"/>
                <w:lang w:val="et-EE"/>
              </w:rPr>
              <w:t>…</w:t>
            </w:r>
            <w:r w:rsidRPr="00EC3BD7">
              <w:rPr>
                <w:color w:val="000000"/>
                <w:lang w:val="et-EE"/>
              </w:rPr>
              <w:t xml:space="preserve">15 </w:t>
            </w:r>
            <w:r w:rsidR="00235A9D" w:rsidRPr="00EC3BD7">
              <w:rPr>
                <w:color w:val="000000"/>
                <w:lang w:val="et-EE"/>
              </w:rPr>
              <w:t>või kuni</w:t>
            </w:r>
            <w:r w:rsidRPr="00EC3BD7">
              <w:rPr>
                <w:color w:val="000000"/>
                <w:lang w:val="et-EE"/>
              </w:rPr>
              <w:t xml:space="preserve"> </w:t>
            </w:r>
            <w:r w:rsidR="002D7FE2" w:rsidRPr="00EC3BD7">
              <w:rPr>
                <w:color w:val="000000"/>
                <w:lang w:val="et-EE"/>
              </w:rPr>
              <w:t>neutrofiilide absoluutarv</w:t>
            </w:r>
            <w:r w:rsidRPr="00EC3BD7">
              <w:rPr>
                <w:color w:val="000000"/>
                <w:lang w:val="et-EE"/>
              </w:rPr>
              <w:t xml:space="preserve"> &gt;1500 </w:t>
            </w:r>
            <w:r w:rsidR="00D35B0D" w:rsidRPr="00EC3BD7">
              <w:rPr>
                <w:color w:val="000000"/>
                <w:lang w:val="et-EE"/>
              </w:rPr>
              <w:t xml:space="preserve">üle </w:t>
            </w:r>
            <w:r w:rsidR="00176773" w:rsidRPr="00EC3BD7">
              <w:rPr>
                <w:color w:val="000000"/>
                <w:lang w:val="et-EE"/>
              </w:rPr>
              <w:t xml:space="preserve">minimaalse </w:t>
            </w:r>
            <w:r w:rsidR="00D35B0D" w:rsidRPr="00EC3BD7">
              <w:rPr>
                <w:color w:val="000000"/>
                <w:lang w:val="et-EE"/>
              </w:rPr>
              <w:t>väärtuse</w:t>
            </w:r>
          </w:p>
          <w:p w14:paraId="650D1184" w14:textId="77777777" w:rsidR="008248B4" w:rsidRPr="00EC3BD7" w:rsidRDefault="008248B4" w:rsidP="005C0AA8">
            <w:pPr>
              <w:pStyle w:val="EndnoteText"/>
              <w:widowControl w:val="0"/>
              <w:rPr>
                <w:color w:val="000000"/>
                <w:lang w:val="et-EE"/>
              </w:rPr>
            </w:pPr>
            <w:r w:rsidRPr="00EC3BD7">
              <w:rPr>
                <w:color w:val="000000"/>
                <w:lang w:val="et-EE"/>
              </w:rPr>
              <w:t xml:space="preserve">IT </w:t>
            </w:r>
            <w:r w:rsidR="008C0818" w:rsidRPr="00EC3BD7">
              <w:rPr>
                <w:color w:val="000000"/>
                <w:lang w:val="et-EE"/>
              </w:rPr>
              <w:t>m</w:t>
            </w:r>
            <w:r w:rsidRPr="00EC3BD7">
              <w:rPr>
                <w:color w:val="000000"/>
                <w:lang w:val="et-EE"/>
              </w:rPr>
              <w:t>etotre</w:t>
            </w:r>
            <w:r w:rsidR="00235A9D" w:rsidRPr="00EC3BD7">
              <w:rPr>
                <w:color w:val="000000"/>
                <w:lang w:val="et-EE"/>
              </w:rPr>
              <w:t>ksa</w:t>
            </w:r>
            <w:r w:rsidRPr="00EC3BD7">
              <w:rPr>
                <w:color w:val="000000"/>
                <w:lang w:val="et-EE"/>
              </w:rPr>
              <w:t>at (</w:t>
            </w:r>
            <w:r w:rsidR="00235A9D" w:rsidRPr="00EC3BD7">
              <w:rPr>
                <w:color w:val="000000"/>
                <w:lang w:val="et-EE"/>
              </w:rPr>
              <w:t>vanusele kohandatud</w:t>
            </w:r>
            <w:r w:rsidRPr="00EC3BD7">
              <w:rPr>
                <w:color w:val="000000"/>
                <w:lang w:val="et-EE"/>
              </w:rPr>
              <w:t xml:space="preserve">): </w:t>
            </w:r>
            <w:r w:rsidR="00235A9D" w:rsidRPr="00EC3BD7">
              <w:rPr>
                <w:color w:val="000000"/>
                <w:lang w:val="et-EE"/>
              </w:rPr>
              <w:t xml:space="preserve">AINULT </w:t>
            </w:r>
            <w:r w:rsidRPr="00EC3BD7">
              <w:rPr>
                <w:color w:val="000000"/>
                <w:lang w:val="et-EE"/>
              </w:rPr>
              <w:t>1</w:t>
            </w:r>
            <w:r w:rsidR="00235A9D" w:rsidRPr="00EC3BD7">
              <w:rPr>
                <w:color w:val="000000"/>
                <w:lang w:val="et-EE"/>
              </w:rPr>
              <w:t>. päeval</w:t>
            </w:r>
          </w:p>
          <w:p w14:paraId="4165E918" w14:textId="77777777" w:rsidR="008248B4" w:rsidRPr="00EC3BD7" w:rsidRDefault="00235A9D" w:rsidP="00B632A6">
            <w:pPr>
              <w:pStyle w:val="EndnoteText"/>
              <w:widowControl w:val="0"/>
              <w:rPr>
                <w:color w:val="000000"/>
                <w:lang w:val="et-EE"/>
              </w:rPr>
            </w:pPr>
            <w:r w:rsidRPr="00EC3BD7">
              <w:rPr>
                <w:color w:val="000000"/>
                <w:lang w:val="et-EE"/>
              </w:rPr>
              <w:t xml:space="preserve">Kolmekordne </w:t>
            </w:r>
            <w:r w:rsidR="008248B4" w:rsidRPr="00EC3BD7">
              <w:rPr>
                <w:color w:val="000000"/>
                <w:lang w:val="et-EE"/>
              </w:rPr>
              <w:t xml:space="preserve">IT </w:t>
            </w:r>
            <w:r w:rsidRPr="00EC3BD7">
              <w:rPr>
                <w:color w:val="000000"/>
                <w:lang w:val="et-EE"/>
              </w:rPr>
              <w:t>ravi</w:t>
            </w:r>
            <w:r w:rsidR="008248B4" w:rsidRPr="00EC3BD7">
              <w:rPr>
                <w:color w:val="000000"/>
                <w:lang w:val="et-EE"/>
              </w:rPr>
              <w:t xml:space="preserve"> (</w:t>
            </w:r>
            <w:r w:rsidRPr="00EC3BD7">
              <w:rPr>
                <w:color w:val="000000"/>
                <w:lang w:val="et-EE"/>
              </w:rPr>
              <w:t>vanusele kohandatud</w:t>
            </w:r>
            <w:r w:rsidR="008248B4" w:rsidRPr="00EC3BD7">
              <w:rPr>
                <w:color w:val="000000"/>
                <w:lang w:val="et-EE"/>
              </w:rPr>
              <w:t xml:space="preserve">): </w:t>
            </w:r>
            <w:r w:rsidR="00B632A6" w:rsidRPr="00EC3BD7">
              <w:rPr>
                <w:color w:val="000000"/>
                <w:lang w:val="et-EE"/>
              </w:rPr>
              <w:t>päevadel</w:t>
            </w:r>
            <w:r w:rsidR="008248B4" w:rsidRPr="00EC3BD7">
              <w:rPr>
                <w:color w:val="000000"/>
                <w:lang w:val="et-EE"/>
              </w:rPr>
              <w:t> 8, 15</w:t>
            </w:r>
          </w:p>
        </w:tc>
      </w:tr>
      <w:tr w:rsidR="008248B4" w:rsidRPr="005D29F8" w14:paraId="67F330D0" w14:textId="77777777" w:rsidTr="00F8356E">
        <w:trPr>
          <w:cantSplit/>
        </w:trPr>
        <w:tc>
          <w:tcPr>
            <w:tcW w:w="2358" w:type="dxa"/>
            <w:shd w:val="clear" w:color="auto" w:fill="auto"/>
          </w:tcPr>
          <w:p w14:paraId="4B6FF8E2" w14:textId="77777777" w:rsidR="008248B4" w:rsidRPr="00EC3BD7" w:rsidRDefault="00B632A6" w:rsidP="005C0AA8">
            <w:pPr>
              <w:pStyle w:val="EndnoteText"/>
              <w:widowControl w:val="0"/>
              <w:rPr>
                <w:color w:val="000000"/>
                <w:lang w:val="et-EE"/>
              </w:rPr>
            </w:pPr>
            <w:r w:rsidRPr="00EC3BD7">
              <w:rPr>
                <w:color w:val="000000"/>
                <w:lang w:val="et-EE"/>
              </w:rPr>
              <w:t>K</w:t>
            </w:r>
            <w:r w:rsidR="008248B4" w:rsidRPr="00EC3BD7">
              <w:rPr>
                <w:color w:val="000000"/>
                <w:lang w:val="et-EE"/>
              </w:rPr>
              <w:t>onsolidat</w:t>
            </w:r>
            <w:r w:rsidRPr="00EC3BD7">
              <w:rPr>
                <w:color w:val="000000"/>
                <w:lang w:val="et-EE"/>
              </w:rPr>
              <w:t>s</w:t>
            </w:r>
            <w:r w:rsidR="008248B4" w:rsidRPr="00EC3BD7">
              <w:rPr>
                <w:color w:val="000000"/>
                <w:lang w:val="et-EE"/>
              </w:rPr>
              <w:t>i</w:t>
            </w:r>
            <w:r w:rsidRPr="00EC3BD7">
              <w:rPr>
                <w:color w:val="000000"/>
                <w:lang w:val="et-EE"/>
              </w:rPr>
              <w:t>o</w:t>
            </w:r>
            <w:r w:rsidR="008248B4" w:rsidRPr="00EC3BD7">
              <w:rPr>
                <w:color w:val="000000"/>
                <w:lang w:val="et-EE"/>
              </w:rPr>
              <w:t>on</w:t>
            </w:r>
            <w:r w:rsidRPr="00EC3BD7">
              <w:rPr>
                <w:color w:val="000000"/>
                <w:lang w:val="et-EE"/>
              </w:rPr>
              <w:t>irühm</w:t>
            </w:r>
            <w:r w:rsidR="008248B4" w:rsidRPr="00EC3BD7">
              <w:rPr>
                <w:color w:val="000000"/>
                <w:lang w:val="et-EE"/>
              </w:rPr>
              <w:t> 2</w:t>
            </w:r>
          </w:p>
          <w:p w14:paraId="21ABD4BD" w14:textId="77777777" w:rsidR="008248B4" w:rsidRPr="00EC3BD7" w:rsidRDefault="008248B4" w:rsidP="00B632A6">
            <w:pPr>
              <w:pStyle w:val="EndnoteText"/>
              <w:widowControl w:val="0"/>
              <w:rPr>
                <w:color w:val="000000"/>
                <w:lang w:val="et-EE"/>
              </w:rPr>
            </w:pPr>
            <w:r w:rsidRPr="00EC3BD7">
              <w:rPr>
                <w:color w:val="000000"/>
                <w:lang w:val="et-EE"/>
              </w:rPr>
              <w:t>(3 </w:t>
            </w:r>
            <w:r w:rsidR="00B632A6" w:rsidRPr="00EC3BD7">
              <w:rPr>
                <w:color w:val="000000"/>
                <w:lang w:val="et-EE"/>
              </w:rPr>
              <w:t>nädalat</w:t>
            </w:r>
            <w:r w:rsidRPr="00EC3BD7">
              <w:rPr>
                <w:color w:val="000000"/>
                <w:lang w:val="et-EE"/>
              </w:rPr>
              <w:t>)</w:t>
            </w:r>
          </w:p>
        </w:tc>
        <w:tc>
          <w:tcPr>
            <w:tcW w:w="6929" w:type="dxa"/>
            <w:shd w:val="clear" w:color="auto" w:fill="auto"/>
          </w:tcPr>
          <w:p w14:paraId="580D19F2" w14:textId="77777777" w:rsidR="008248B4" w:rsidRPr="00EC3BD7" w:rsidRDefault="008248B4" w:rsidP="005C0AA8">
            <w:pPr>
              <w:pStyle w:val="EndnoteText"/>
              <w:widowControl w:val="0"/>
              <w:rPr>
                <w:color w:val="000000"/>
                <w:lang w:val="et-EE"/>
              </w:rPr>
            </w:pPr>
            <w:r w:rsidRPr="00EC3BD7">
              <w:rPr>
                <w:color w:val="000000"/>
                <w:lang w:val="et-EE"/>
              </w:rPr>
              <w:t>Metotre</w:t>
            </w:r>
            <w:r w:rsidR="00B632A6" w:rsidRPr="00EC3BD7">
              <w:rPr>
                <w:color w:val="000000"/>
                <w:lang w:val="et-EE"/>
              </w:rPr>
              <w:t>ksa</w:t>
            </w:r>
            <w:r w:rsidRPr="00EC3BD7">
              <w:rPr>
                <w:color w:val="000000"/>
                <w:lang w:val="et-EE"/>
              </w:rPr>
              <w:t>at (5 g/m</w:t>
            </w:r>
            <w:r w:rsidRPr="00EC3BD7">
              <w:rPr>
                <w:color w:val="000000"/>
                <w:vertAlign w:val="superscript"/>
                <w:lang w:val="et-EE"/>
              </w:rPr>
              <w:t>2</w:t>
            </w:r>
            <w:r w:rsidRPr="00EC3BD7">
              <w:rPr>
                <w:color w:val="000000"/>
                <w:lang w:val="et-EE"/>
              </w:rPr>
              <w:t xml:space="preserve"> 24 </w:t>
            </w:r>
            <w:r w:rsidR="00B632A6" w:rsidRPr="00EC3BD7">
              <w:rPr>
                <w:color w:val="000000"/>
                <w:lang w:val="et-EE"/>
              </w:rPr>
              <w:t>tunni jooksul</w:t>
            </w:r>
            <w:r w:rsidRPr="00EC3BD7">
              <w:rPr>
                <w:color w:val="000000"/>
                <w:lang w:val="et-EE"/>
              </w:rPr>
              <w:t>, IV): 1</w:t>
            </w:r>
            <w:r w:rsidR="00B632A6" w:rsidRPr="00EC3BD7">
              <w:rPr>
                <w:color w:val="000000"/>
                <w:lang w:val="et-EE"/>
              </w:rPr>
              <w:t>. päeval</w:t>
            </w:r>
          </w:p>
          <w:p w14:paraId="09A9371A" w14:textId="77777777" w:rsidR="008248B4" w:rsidRPr="00EC3BD7" w:rsidRDefault="008248B4" w:rsidP="005C0AA8">
            <w:pPr>
              <w:pStyle w:val="EndnoteText"/>
              <w:widowControl w:val="0"/>
              <w:rPr>
                <w:color w:val="000000"/>
                <w:lang w:val="et-EE"/>
              </w:rPr>
            </w:pPr>
            <w:r w:rsidRPr="00EC3BD7">
              <w:rPr>
                <w:color w:val="000000"/>
                <w:lang w:val="et-EE"/>
              </w:rPr>
              <w:t>Leu</w:t>
            </w:r>
            <w:r w:rsidR="00B632A6" w:rsidRPr="00EC3BD7">
              <w:rPr>
                <w:color w:val="000000"/>
                <w:lang w:val="et-EE"/>
              </w:rPr>
              <w:t>k</w:t>
            </w:r>
            <w:r w:rsidRPr="00EC3BD7">
              <w:rPr>
                <w:color w:val="000000"/>
                <w:lang w:val="et-EE"/>
              </w:rPr>
              <w:t>ovor</w:t>
            </w:r>
            <w:r w:rsidR="00B632A6" w:rsidRPr="00EC3BD7">
              <w:rPr>
                <w:color w:val="000000"/>
                <w:lang w:val="et-EE"/>
              </w:rPr>
              <w:t>i</w:t>
            </w:r>
            <w:r w:rsidRPr="00EC3BD7">
              <w:rPr>
                <w:color w:val="000000"/>
                <w:lang w:val="et-EE"/>
              </w:rPr>
              <w:t>in (75 mg/m</w:t>
            </w:r>
            <w:r w:rsidRPr="00EC3BD7">
              <w:rPr>
                <w:color w:val="000000"/>
                <w:vertAlign w:val="superscript"/>
                <w:lang w:val="et-EE"/>
              </w:rPr>
              <w:t>2</w:t>
            </w:r>
            <w:r w:rsidRPr="00EC3BD7">
              <w:rPr>
                <w:color w:val="000000"/>
                <w:lang w:val="et-EE"/>
              </w:rPr>
              <w:t xml:space="preserve"> 36</w:t>
            </w:r>
            <w:r w:rsidR="00B632A6" w:rsidRPr="00EC3BD7">
              <w:rPr>
                <w:color w:val="000000"/>
                <w:lang w:val="et-EE"/>
              </w:rPr>
              <w:t>. tunnil</w:t>
            </w:r>
            <w:r w:rsidRPr="00EC3BD7">
              <w:rPr>
                <w:color w:val="000000"/>
                <w:lang w:val="et-EE"/>
              </w:rPr>
              <w:t>, IV; 15 mg/m</w:t>
            </w:r>
            <w:r w:rsidRPr="00EC3BD7">
              <w:rPr>
                <w:color w:val="000000"/>
                <w:vertAlign w:val="superscript"/>
                <w:lang w:val="et-EE"/>
              </w:rPr>
              <w:t>2</w:t>
            </w:r>
            <w:r w:rsidRPr="00EC3BD7">
              <w:rPr>
                <w:color w:val="000000"/>
                <w:lang w:val="et-EE"/>
              </w:rPr>
              <w:t xml:space="preserve"> IV </w:t>
            </w:r>
            <w:r w:rsidR="00B632A6" w:rsidRPr="00EC3BD7">
              <w:rPr>
                <w:color w:val="000000"/>
                <w:lang w:val="et-EE"/>
              </w:rPr>
              <w:t>või</w:t>
            </w:r>
            <w:r w:rsidRPr="00EC3BD7">
              <w:rPr>
                <w:color w:val="000000"/>
                <w:lang w:val="et-EE"/>
              </w:rPr>
              <w:t xml:space="preserve"> PO q6h x 6 </w:t>
            </w:r>
            <w:r w:rsidR="00B632A6" w:rsidRPr="00EC3BD7">
              <w:rPr>
                <w:color w:val="000000"/>
                <w:lang w:val="et-EE"/>
              </w:rPr>
              <w:t>annust</w:t>
            </w:r>
            <w:r w:rsidRPr="00EC3BD7">
              <w:rPr>
                <w:color w:val="000000"/>
                <w:lang w:val="et-EE"/>
              </w:rPr>
              <w:t xml:space="preserve">)iii: </w:t>
            </w:r>
            <w:r w:rsidR="00B632A6" w:rsidRPr="00EC3BD7">
              <w:rPr>
                <w:color w:val="000000"/>
                <w:lang w:val="et-EE"/>
              </w:rPr>
              <w:t>päevadel </w:t>
            </w:r>
            <w:r w:rsidRPr="00EC3BD7">
              <w:rPr>
                <w:color w:val="000000"/>
                <w:lang w:val="et-EE"/>
              </w:rPr>
              <w:t>2</w:t>
            </w:r>
            <w:r w:rsidR="00B632A6" w:rsidRPr="00EC3BD7">
              <w:rPr>
                <w:color w:val="000000"/>
                <w:lang w:val="et-EE"/>
              </w:rPr>
              <w:t xml:space="preserve"> j</w:t>
            </w:r>
            <w:r w:rsidRPr="00EC3BD7">
              <w:rPr>
                <w:color w:val="000000"/>
                <w:lang w:val="et-EE"/>
              </w:rPr>
              <w:t>a 3</w:t>
            </w:r>
          </w:p>
          <w:p w14:paraId="3BB3A049" w14:textId="77777777" w:rsidR="008248B4" w:rsidRPr="00EC3BD7" w:rsidRDefault="00B632A6" w:rsidP="005C0AA8">
            <w:pPr>
              <w:pStyle w:val="EndnoteText"/>
              <w:widowControl w:val="0"/>
              <w:rPr>
                <w:color w:val="000000"/>
                <w:lang w:val="et-EE"/>
              </w:rPr>
            </w:pPr>
            <w:r w:rsidRPr="00EC3BD7">
              <w:rPr>
                <w:color w:val="000000"/>
                <w:lang w:val="et-EE"/>
              </w:rPr>
              <w:t xml:space="preserve">Kolmekordne </w:t>
            </w:r>
            <w:r w:rsidR="008248B4" w:rsidRPr="00EC3BD7">
              <w:rPr>
                <w:color w:val="000000"/>
                <w:lang w:val="et-EE"/>
              </w:rPr>
              <w:t xml:space="preserve">IT </w:t>
            </w:r>
            <w:r w:rsidRPr="00EC3BD7">
              <w:rPr>
                <w:color w:val="000000"/>
                <w:lang w:val="et-EE"/>
              </w:rPr>
              <w:t xml:space="preserve">ravi </w:t>
            </w:r>
            <w:r w:rsidR="008248B4" w:rsidRPr="00EC3BD7">
              <w:rPr>
                <w:color w:val="000000"/>
                <w:lang w:val="et-EE"/>
              </w:rPr>
              <w:t>(</w:t>
            </w:r>
            <w:r w:rsidRPr="00EC3BD7">
              <w:rPr>
                <w:color w:val="000000"/>
                <w:lang w:val="et-EE"/>
              </w:rPr>
              <w:t>vanusele kohandatud</w:t>
            </w:r>
            <w:r w:rsidR="008248B4" w:rsidRPr="00EC3BD7">
              <w:rPr>
                <w:color w:val="000000"/>
                <w:lang w:val="et-EE"/>
              </w:rPr>
              <w:t>): 1</w:t>
            </w:r>
            <w:r w:rsidRPr="00EC3BD7">
              <w:rPr>
                <w:color w:val="000000"/>
                <w:lang w:val="et-EE"/>
              </w:rPr>
              <w:t>. päeval</w:t>
            </w:r>
          </w:p>
          <w:p w14:paraId="7518E111" w14:textId="77777777" w:rsidR="008248B4" w:rsidRPr="00EC3BD7" w:rsidRDefault="008248B4" w:rsidP="005C0AA8">
            <w:pPr>
              <w:pStyle w:val="EndnoteText"/>
              <w:widowControl w:val="0"/>
              <w:rPr>
                <w:color w:val="000000"/>
                <w:lang w:val="et-EE"/>
              </w:rPr>
            </w:pPr>
            <w:r w:rsidRPr="00EC3BD7">
              <w:rPr>
                <w:color w:val="000000"/>
                <w:lang w:val="et-EE"/>
              </w:rPr>
              <w:t>ARA-C (3 g/m</w:t>
            </w:r>
            <w:r w:rsidRPr="00EC3BD7">
              <w:rPr>
                <w:color w:val="000000"/>
                <w:vertAlign w:val="superscript"/>
                <w:lang w:val="et-EE"/>
              </w:rPr>
              <w:t>2</w:t>
            </w:r>
            <w:r w:rsidRPr="00EC3BD7">
              <w:rPr>
                <w:color w:val="000000"/>
                <w:lang w:val="et-EE"/>
              </w:rPr>
              <w:t>/</w:t>
            </w:r>
            <w:r w:rsidR="00B632A6" w:rsidRPr="00EC3BD7">
              <w:rPr>
                <w:color w:val="000000"/>
                <w:lang w:val="et-EE"/>
              </w:rPr>
              <w:t>annus</w:t>
            </w:r>
            <w:r w:rsidRPr="00EC3BD7">
              <w:rPr>
                <w:color w:val="000000"/>
                <w:lang w:val="et-EE"/>
              </w:rPr>
              <w:t xml:space="preserve"> q 12 h x 4, IV): </w:t>
            </w:r>
            <w:r w:rsidR="00B632A6" w:rsidRPr="00EC3BD7">
              <w:rPr>
                <w:color w:val="000000"/>
                <w:lang w:val="et-EE"/>
              </w:rPr>
              <w:t>päevadel </w:t>
            </w:r>
            <w:r w:rsidRPr="00EC3BD7">
              <w:rPr>
                <w:color w:val="000000"/>
                <w:lang w:val="et-EE"/>
              </w:rPr>
              <w:t>2</w:t>
            </w:r>
            <w:r w:rsidR="00B632A6" w:rsidRPr="00EC3BD7">
              <w:rPr>
                <w:color w:val="000000"/>
                <w:lang w:val="et-EE"/>
              </w:rPr>
              <w:t xml:space="preserve"> ja 3</w:t>
            </w:r>
          </w:p>
          <w:p w14:paraId="567F2D21" w14:textId="77777777" w:rsidR="008248B4" w:rsidRPr="00EC3BD7" w:rsidRDefault="008248B4" w:rsidP="000B2E8D">
            <w:pPr>
              <w:pStyle w:val="EndnoteText"/>
              <w:widowControl w:val="0"/>
              <w:rPr>
                <w:color w:val="000000"/>
                <w:lang w:val="et-EE"/>
              </w:rPr>
            </w:pPr>
            <w:r w:rsidRPr="00EC3BD7">
              <w:rPr>
                <w:color w:val="000000"/>
                <w:lang w:val="et-EE"/>
              </w:rPr>
              <w:t xml:space="preserve">G-CSF (5 μg/kg, SC): </w:t>
            </w:r>
            <w:r w:rsidR="00B632A6" w:rsidRPr="00EC3BD7">
              <w:rPr>
                <w:color w:val="000000"/>
                <w:lang w:val="et-EE"/>
              </w:rPr>
              <w:t>päevadel</w:t>
            </w:r>
            <w:r w:rsidRPr="00EC3BD7">
              <w:rPr>
                <w:color w:val="000000"/>
                <w:lang w:val="et-EE"/>
              </w:rPr>
              <w:t> 4</w:t>
            </w:r>
            <w:r w:rsidR="000B2E8D" w:rsidRPr="00EC3BD7">
              <w:rPr>
                <w:color w:val="000000"/>
                <w:lang w:val="et-EE"/>
              </w:rPr>
              <w:t>…</w:t>
            </w:r>
            <w:r w:rsidRPr="00EC3BD7">
              <w:rPr>
                <w:color w:val="000000"/>
                <w:lang w:val="et-EE"/>
              </w:rPr>
              <w:t xml:space="preserve">13 </w:t>
            </w:r>
            <w:r w:rsidR="00B632A6" w:rsidRPr="00EC3BD7">
              <w:rPr>
                <w:color w:val="000000"/>
                <w:lang w:val="et-EE"/>
              </w:rPr>
              <w:t>või kuni</w:t>
            </w:r>
            <w:r w:rsidRPr="00EC3BD7">
              <w:rPr>
                <w:color w:val="000000"/>
                <w:lang w:val="et-EE"/>
              </w:rPr>
              <w:t xml:space="preserve"> </w:t>
            </w:r>
            <w:r w:rsidR="002D7FE2" w:rsidRPr="00EC3BD7">
              <w:rPr>
                <w:color w:val="000000"/>
                <w:lang w:val="et-EE"/>
              </w:rPr>
              <w:t>neutrofiilide absoluutarv</w:t>
            </w:r>
            <w:r w:rsidRPr="00EC3BD7">
              <w:rPr>
                <w:color w:val="000000"/>
                <w:lang w:val="et-EE"/>
              </w:rPr>
              <w:t xml:space="preserve"> &gt;1500 </w:t>
            </w:r>
            <w:r w:rsidR="00D35B0D" w:rsidRPr="00EC3BD7">
              <w:rPr>
                <w:color w:val="000000"/>
                <w:lang w:val="et-EE"/>
              </w:rPr>
              <w:t xml:space="preserve">üle </w:t>
            </w:r>
            <w:r w:rsidR="008C0818" w:rsidRPr="00EC3BD7">
              <w:rPr>
                <w:color w:val="000000"/>
                <w:lang w:val="et-EE"/>
              </w:rPr>
              <w:t>n</w:t>
            </w:r>
            <w:r w:rsidR="00D35B0D" w:rsidRPr="00EC3BD7">
              <w:rPr>
                <w:color w:val="000000"/>
                <w:lang w:val="et-EE"/>
              </w:rPr>
              <w:t>adiirväärtuse</w:t>
            </w:r>
          </w:p>
        </w:tc>
      </w:tr>
      <w:tr w:rsidR="008248B4" w:rsidRPr="005D29F8" w14:paraId="4D0C1DBB" w14:textId="77777777" w:rsidTr="00F8356E">
        <w:trPr>
          <w:cantSplit/>
        </w:trPr>
        <w:tc>
          <w:tcPr>
            <w:tcW w:w="2358" w:type="dxa"/>
            <w:shd w:val="clear" w:color="auto" w:fill="auto"/>
          </w:tcPr>
          <w:p w14:paraId="77A495FE" w14:textId="77777777" w:rsidR="008248B4" w:rsidRPr="00EC3BD7" w:rsidRDefault="008248B4" w:rsidP="005C0AA8">
            <w:pPr>
              <w:pStyle w:val="EndnoteText"/>
              <w:widowControl w:val="0"/>
              <w:rPr>
                <w:color w:val="000000"/>
                <w:lang w:val="et-EE"/>
              </w:rPr>
            </w:pPr>
            <w:r w:rsidRPr="00EC3BD7">
              <w:rPr>
                <w:color w:val="000000"/>
                <w:lang w:val="et-EE"/>
              </w:rPr>
              <w:t>Reindu</w:t>
            </w:r>
            <w:r w:rsidR="00B632A6" w:rsidRPr="00EC3BD7">
              <w:rPr>
                <w:color w:val="000000"/>
                <w:lang w:val="et-EE"/>
              </w:rPr>
              <w:t>k</w:t>
            </w:r>
            <w:r w:rsidRPr="00EC3BD7">
              <w:rPr>
                <w:color w:val="000000"/>
                <w:lang w:val="et-EE"/>
              </w:rPr>
              <w:t>t</w:t>
            </w:r>
            <w:r w:rsidR="00B632A6" w:rsidRPr="00EC3BD7">
              <w:rPr>
                <w:color w:val="000000"/>
                <w:lang w:val="et-EE"/>
              </w:rPr>
              <w:t>s</w:t>
            </w:r>
            <w:r w:rsidRPr="00EC3BD7">
              <w:rPr>
                <w:color w:val="000000"/>
                <w:lang w:val="et-EE"/>
              </w:rPr>
              <w:t>i</w:t>
            </w:r>
            <w:r w:rsidR="00B632A6" w:rsidRPr="00EC3BD7">
              <w:rPr>
                <w:color w:val="000000"/>
                <w:lang w:val="et-EE"/>
              </w:rPr>
              <w:t>o</w:t>
            </w:r>
            <w:r w:rsidRPr="00EC3BD7">
              <w:rPr>
                <w:color w:val="000000"/>
                <w:lang w:val="et-EE"/>
              </w:rPr>
              <w:t>on</w:t>
            </w:r>
            <w:r w:rsidR="00B632A6" w:rsidRPr="00EC3BD7">
              <w:rPr>
                <w:color w:val="000000"/>
                <w:lang w:val="et-EE"/>
              </w:rPr>
              <w:t>irühm</w:t>
            </w:r>
            <w:r w:rsidRPr="00EC3BD7">
              <w:rPr>
                <w:color w:val="000000"/>
                <w:lang w:val="et-EE"/>
              </w:rPr>
              <w:t> 1</w:t>
            </w:r>
          </w:p>
          <w:p w14:paraId="001B29D6" w14:textId="77777777" w:rsidR="008248B4" w:rsidRPr="00EC3BD7" w:rsidRDefault="008248B4" w:rsidP="00B632A6">
            <w:pPr>
              <w:pStyle w:val="EndnoteText"/>
              <w:widowControl w:val="0"/>
              <w:rPr>
                <w:color w:val="000000"/>
                <w:lang w:val="et-EE"/>
              </w:rPr>
            </w:pPr>
            <w:r w:rsidRPr="00EC3BD7">
              <w:rPr>
                <w:color w:val="000000"/>
                <w:lang w:val="et-EE"/>
              </w:rPr>
              <w:t>(3 </w:t>
            </w:r>
            <w:r w:rsidR="00B632A6" w:rsidRPr="00EC3BD7">
              <w:rPr>
                <w:color w:val="000000"/>
                <w:lang w:val="et-EE"/>
              </w:rPr>
              <w:t>nädalat</w:t>
            </w:r>
            <w:r w:rsidRPr="00EC3BD7">
              <w:rPr>
                <w:color w:val="000000"/>
                <w:lang w:val="et-EE"/>
              </w:rPr>
              <w:t>)</w:t>
            </w:r>
          </w:p>
        </w:tc>
        <w:tc>
          <w:tcPr>
            <w:tcW w:w="6929" w:type="dxa"/>
            <w:shd w:val="clear" w:color="auto" w:fill="auto"/>
          </w:tcPr>
          <w:p w14:paraId="2D20B443" w14:textId="77777777" w:rsidR="008248B4" w:rsidRPr="00EC3BD7" w:rsidRDefault="008248B4" w:rsidP="005C0AA8">
            <w:pPr>
              <w:pStyle w:val="EndnoteText"/>
              <w:widowControl w:val="0"/>
              <w:rPr>
                <w:color w:val="000000"/>
                <w:lang w:val="et-EE"/>
              </w:rPr>
            </w:pPr>
            <w:r w:rsidRPr="00EC3BD7">
              <w:rPr>
                <w:color w:val="000000"/>
                <w:lang w:val="et-EE"/>
              </w:rPr>
              <w:t>VCR (1</w:t>
            </w:r>
            <w:r w:rsidR="00B632A6" w:rsidRPr="00EC3BD7">
              <w:rPr>
                <w:color w:val="000000"/>
                <w:lang w:val="et-EE"/>
              </w:rPr>
              <w:t>,</w:t>
            </w:r>
            <w:r w:rsidRPr="00EC3BD7">
              <w:rPr>
                <w:color w:val="000000"/>
                <w:lang w:val="et-EE"/>
              </w:rPr>
              <w:t>5 mg/m</w:t>
            </w:r>
            <w:r w:rsidRPr="00EC3BD7">
              <w:rPr>
                <w:color w:val="000000"/>
                <w:vertAlign w:val="superscript"/>
                <w:lang w:val="et-EE"/>
              </w:rPr>
              <w:t>2</w:t>
            </w:r>
            <w:r w:rsidRPr="00EC3BD7">
              <w:rPr>
                <w:color w:val="000000"/>
                <w:lang w:val="et-EE"/>
              </w:rPr>
              <w:t>/</w:t>
            </w:r>
            <w:r w:rsidR="00B632A6" w:rsidRPr="00EC3BD7">
              <w:rPr>
                <w:color w:val="000000"/>
                <w:lang w:val="et-EE"/>
              </w:rPr>
              <w:t>ööpäe</w:t>
            </w:r>
            <w:r w:rsidR="008C0818" w:rsidRPr="00EC3BD7">
              <w:rPr>
                <w:color w:val="000000"/>
                <w:lang w:val="et-EE"/>
              </w:rPr>
              <w:t>v</w:t>
            </w:r>
            <w:r w:rsidRPr="00EC3BD7">
              <w:rPr>
                <w:color w:val="000000"/>
                <w:lang w:val="et-EE"/>
              </w:rPr>
              <w:t xml:space="preserve">, IV): </w:t>
            </w:r>
            <w:r w:rsidR="00B632A6" w:rsidRPr="00EC3BD7">
              <w:rPr>
                <w:color w:val="000000"/>
                <w:lang w:val="et-EE"/>
              </w:rPr>
              <w:t>päevadel</w:t>
            </w:r>
            <w:r w:rsidRPr="00EC3BD7">
              <w:rPr>
                <w:color w:val="000000"/>
                <w:lang w:val="et-EE"/>
              </w:rPr>
              <w:t> 1, 8</w:t>
            </w:r>
            <w:r w:rsidR="00B632A6" w:rsidRPr="00EC3BD7">
              <w:rPr>
                <w:color w:val="000000"/>
                <w:lang w:val="et-EE"/>
              </w:rPr>
              <w:t xml:space="preserve"> j</w:t>
            </w:r>
            <w:r w:rsidRPr="00EC3BD7">
              <w:rPr>
                <w:color w:val="000000"/>
                <w:lang w:val="et-EE"/>
              </w:rPr>
              <w:t>a 15</w:t>
            </w:r>
          </w:p>
          <w:p w14:paraId="5AB026B0" w14:textId="77777777" w:rsidR="008248B4" w:rsidRPr="00EC3BD7" w:rsidRDefault="008248B4" w:rsidP="005C0AA8">
            <w:pPr>
              <w:pStyle w:val="EndnoteText"/>
              <w:widowControl w:val="0"/>
              <w:rPr>
                <w:color w:val="000000"/>
                <w:lang w:val="et-EE"/>
              </w:rPr>
            </w:pPr>
            <w:r w:rsidRPr="00EC3BD7">
              <w:rPr>
                <w:color w:val="000000"/>
                <w:lang w:val="et-EE"/>
              </w:rPr>
              <w:t>DAUN (45 mg/m</w:t>
            </w:r>
            <w:r w:rsidRPr="00EC3BD7">
              <w:rPr>
                <w:color w:val="000000"/>
                <w:vertAlign w:val="superscript"/>
                <w:lang w:val="et-EE"/>
              </w:rPr>
              <w:t>2</w:t>
            </w:r>
            <w:r w:rsidRPr="00EC3BD7">
              <w:rPr>
                <w:color w:val="000000"/>
                <w:lang w:val="et-EE"/>
              </w:rPr>
              <w:t>/</w:t>
            </w:r>
            <w:r w:rsidR="00B632A6" w:rsidRPr="00EC3BD7">
              <w:rPr>
                <w:color w:val="000000"/>
                <w:lang w:val="et-EE"/>
              </w:rPr>
              <w:t>ööpäev boolusena</w:t>
            </w:r>
            <w:r w:rsidRPr="00EC3BD7">
              <w:rPr>
                <w:color w:val="000000"/>
                <w:lang w:val="et-EE"/>
              </w:rPr>
              <w:t xml:space="preserve">, IV): </w:t>
            </w:r>
            <w:r w:rsidR="00B632A6" w:rsidRPr="00EC3BD7">
              <w:rPr>
                <w:color w:val="000000"/>
                <w:lang w:val="et-EE"/>
              </w:rPr>
              <w:t>päevadel </w:t>
            </w:r>
            <w:r w:rsidRPr="00EC3BD7">
              <w:rPr>
                <w:color w:val="000000"/>
                <w:lang w:val="et-EE"/>
              </w:rPr>
              <w:t xml:space="preserve">1 </w:t>
            </w:r>
            <w:r w:rsidR="00B632A6" w:rsidRPr="00EC3BD7">
              <w:rPr>
                <w:color w:val="000000"/>
                <w:lang w:val="et-EE"/>
              </w:rPr>
              <w:t>ja</w:t>
            </w:r>
            <w:r w:rsidRPr="00EC3BD7">
              <w:rPr>
                <w:color w:val="000000"/>
                <w:lang w:val="et-EE"/>
              </w:rPr>
              <w:t xml:space="preserve"> 2</w:t>
            </w:r>
          </w:p>
          <w:p w14:paraId="32C90694" w14:textId="77777777" w:rsidR="008248B4" w:rsidRPr="00EC3BD7" w:rsidRDefault="008248B4" w:rsidP="005C0AA8">
            <w:pPr>
              <w:pStyle w:val="EndnoteText"/>
              <w:widowControl w:val="0"/>
              <w:rPr>
                <w:color w:val="000000"/>
                <w:lang w:val="et-EE"/>
              </w:rPr>
            </w:pPr>
            <w:r w:rsidRPr="00EC3BD7">
              <w:rPr>
                <w:color w:val="000000"/>
                <w:lang w:val="et-EE"/>
              </w:rPr>
              <w:t>CPM (250 mg/m</w:t>
            </w:r>
            <w:r w:rsidRPr="00EC3BD7">
              <w:rPr>
                <w:color w:val="000000"/>
                <w:vertAlign w:val="superscript"/>
                <w:lang w:val="et-EE"/>
              </w:rPr>
              <w:t>2</w:t>
            </w:r>
            <w:r w:rsidRPr="00EC3BD7">
              <w:rPr>
                <w:color w:val="000000"/>
                <w:lang w:val="et-EE"/>
              </w:rPr>
              <w:t>/</w:t>
            </w:r>
            <w:r w:rsidR="00B632A6" w:rsidRPr="00EC3BD7">
              <w:rPr>
                <w:color w:val="000000"/>
                <w:lang w:val="et-EE"/>
              </w:rPr>
              <w:t>annus</w:t>
            </w:r>
            <w:r w:rsidRPr="00EC3BD7">
              <w:rPr>
                <w:color w:val="000000"/>
                <w:lang w:val="et-EE"/>
              </w:rPr>
              <w:t xml:space="preserve"> q12h x 4 </w:t>
            </w:r>
            <w:r w:rsidR="00B632A6" w:rsidRPr="00EC3BD7">
              <w:rPr>
                <w:color w:val="000000"/>
                <w:lang w:val="et-EE"/>
              </w:rPr>
              <w:t>annust</w:t>
            </w:r>
            <w:r w:rsidRPr="00EC3BD7">
              <w:rPr>
                <w:color w:val="000000"/>
                <w:lang w:val="et-EE"/>
              </w:rPr>
              <w:t xml:space="preserve">, IV): </w:t>
            </w:r>
            <w:r w:rsidR="00B632A6" w:rsidRPr="00EC3BD7">
              <w:rPr>
                <w:color w:val="000000"/>
                <w:lang w:val="et-EE"/>
              </w:rPr>
              <w:t>päevadel</w:t>
            </w:r>
            <w:r w:rsidRPr="00EC3BD7">
              <w:rPr>
                <w:color w:val="000000"/>
                <w:lang w:val="et-EE"/>
              </w:rPr>
              <w:t xml:space="preserve"> 3 </w:t>
            </w:r>
            <w:r w:rsidR="00B632A6" w:rsidRPr="00EC3BD7">
              <w:rPr>
                <w:color w:val="000000"/>
                <w:lang w:val="et-EE"/>
              </w:rPr>
              <w:t>j</w:t>
            </w:r>
            <w:r w:rsidRPr="00EC3BD7">
              <w:rPr>
                <w:color w:val="000000"/>
                <w:lang w:val="et-EE"/>
              </w:rPr>
              <w:t>a 4</w:t>
            </w:r>
          </w:p>
          <w:p w14:paraId="650E3108" w14:textId="77777777" w:rsidR="008248B4" w:rsidRPr="00EC3BD7" w:rsidRDefault="008248B4" w:rsidP="005C0AA8">
            <w:pPr>
              <w:pStyle w:val="EndnoteText"/>
              <w:widowControl w:val="0"/>
              <w:rPr>
                <w:color w:val="000000"/>
                <w:lang w:val="et-EE"/>
              </w:rPr>
            </w:pPr>
            <w:r w:rsidRPr="00EC3BD7">
              <w:rPr>
                <w:color w:val="000000"/>
                <w:lang w:val="et-EE"/>
              </w:rPr>
              <w:t>PEG-ASP (2500 </w:t>
            </w:r>
            <w:r w:rsidR="00100911" w:rsidRPr="00EC3BD7">
              <w:rPr>
                <w:color w:val="000000"/>
                <w:lang w:val="et-EE"/>
              </w:rPr>
              <w:t>RÜ</w:t>
            </w:r>
            <w:r w:rsidRPr="00EC3BD7">
              <w:rPr>
                <w:color w:val="000000"/>
                <w:lang w:val="et-EE"/>
              </w:rPr>
              <w:t>/m</w:t>
            </w:r>
            <w:r w:rsidRPr="00EC3BD7">
              <w:rPr>
                <w:color w:val="000000"/>
                <w:vertAlign w:val="superscript"/>
                <w:lang w:val="et-EE"/>
              </w:rPr>
              <w:t>2</w:t>
            </w:r>
            <w:r w:rsidRPr="00EC3BD7">
              <w:rPr>
                <w:color w:val="000000"/>
                <w:lang w:val="et-EE"/>
              </w:rPr>
              <w:t>, IM): 4</w:t>
            </w:r>
            <w:r w:rsidR="00B632A6" w:rsidRPr="00EC3BD7">
              <w:rPr>
                <w:color w:val="000000"/>
                <w:lang w:val="et-EE"/>
              </w:rPr>
              <w:t>. päeval</w:t>
            </w:r>
          </w:p>
          <w:p w14:paraId="6C7BF4DE" w14:textId="77777777" w:rsidR="008248B4" w:rsidRPr="00EC3BD7" w:rsidRDefault="008248B4" w:rsidP="005C0AA8">
            <w:pPr>
              <w:pStyle w:val="EndnoteText"/>
              <w:widowControl w:val="0"/>
              <w:rPr>
                <w:color w:val="000000"/>
                <w:lang w:val="et-EE"/>
              </w:rPr>
            </w:pPr>
            <w:r w:rsidRPr="00EC3BD7">
              <w:rPr>
                <w:color w:val="000000"/>
                <w:lang w:val="et-EE"/>
              </w:rPr>
              <w:t xml:space="preserve">G-CSF (5 μg/kg, SC): </w:t>
            </w:r>
            <w:r w:rsidR="00B632A6" w:rsidRPr="00EC3BD7">
              <w:rPr>
                <w:color w:val="000000"/>
                <w:lang w:val="et-EE"/>
              </w:rPr>
              <w:t>päevadel</w:t>
            </w:r>
            <w:r w:rsidRPr="00EC3BD7">
              <w:rPr>
                <w:color w:val="000000"/>
                <w:lang w:val="et-EE"/>
              </w:rPr>
              <w:t> 5</w:t>
            </w:r>
            <w:r w:rsidR="00C10CCB" w:rsidRPr="00EC3BD7">
              <w:rPr>
                <w:color w:val="000000"/>
                <w:lang w:val="et-EE"/>
              </w:rPr>
              <w:t>...</w:t>
            </w:r>
            <w:r w:rsidRPr="00EC3BD7">
              <w:rPr>
                <w:color w:val="000000"/>
                <w:lang w:val="et-EE"/>
              </w:rPr>
              <w:t xml:space="preserve">14 </w:t>
            </w:r>
            <w:r w:rsidR="00B632A6" w:rsidRPr="00EC3BD7">
              <w:rPr>
                <w:color w:val="000000"/>
                <w:lang w:val="et-EE"/>
              </w:rPr>
              <w:t>või kuni</w:t>
            </w:r>
            <w:r w:rsidRPr="00EC3BD7">
              <w:rPr>
                <w:color w:val="000000"/>
                <w:lang w:val="et-EE"/>
              </w:rPr>
              <w:t xml:space="preserve"> </w:t>
            </w:r>
            <w:r w:rsidR="002D7FE2" w:rsidRPr="00EC3BD7">
              <w:rPr>
                <w:color w:val="000000"/>
                <w:lang w:val="et-EE"/>
              </w:rPr>
              <w:t>neutrofiilide absoluutarv</w:t>
            </w:r>
            <w:r w:rsidRPr="00EC3BD7">
              <w:rPr>
                <w:color w:val="000000"/>
                <w:lang w:val="et-EE"/>
              </w:rPr>
              <w:t xml:space="preserve"> &gt;1500 </w:t>
            </w:r>
            <w:r w:rsidR="00D35B0D" w:rsidRPr="00EC3BD7">
              <w:rPr>
                <w:color w:val="000000"/>
                <w:lang w:val="et-EE"/>
              </w:rPr>
              <w:t xml:space="preserve">üle </w:t>
            </w:r>
            <w:r w:rsidR="00176773" w:rsidRPr="00EC3BD7">
              <w:rPr>
                <w:color w:val="000000"/>
                <w:lang w:val="et-EE"/>
              </w:rPr>
              <w:t xml:space="preserve">minimaalse </w:t>
            </w:r>
            <w:r w:rsidR="00D35B0D" w:rsidRPr="00EC3BD7">
              <w:rPr>
                <w:color w:val="000000"/>
                <w:lang w:val="et-EE"/>
              </w:rPr>
              <w:t>väärtuse</w:t>
            </w:r>
          </w:p>
          <w:p w14:paraId="6A6DD73E" w14:textId="77777777" w:rsidR="008248B4" w:rsidRPr="00EC3BD7" w:rsidRDefault="00B632A6" w:rsidP="005C0AA8">
            <w:pPr>
              <w:pStyle w:val="EndnoteText"/>
              <w:widowControl w:val="0"/>
              <w:rPr>
                <w:color w:val="000000"/>
                <w:lang w:val="et-EE"/>
              </w:rPr>
            </w:pPr>
            <w:r w:rsidRPr="00EC3BD7">
              <w:rPr>
                <w:color w:val="000000"/>
                <w:lang w:val="et-EE"/>
              </w:rPr>
              <w:t xml:space="preserve">Kolmekordne </w:t>
            </w:r>
            <w:r w:rsidR="008248B4" w:rsidRPr="00EC3BD7">
              <w:rPr>
                <w:color w:val="000000"/>
                <w:lang w:val="et-EE"/>
              </w:rPr>
              <w:t xml:space="preserve">IT </w:t>
            </w:r>
            <w:r w:rsidRPr="00EC3BD7">
              <w:rPr>
                <w:color w:val="000000"/>
                <w:lang w:val="et-EE"/>
              </w:rPr>
              <w:t xml:space="preserve">ravi </w:t>
            </w:r>
            <w:r w:rsidR="008248B4" w:rsidRPr="00EC3BD7">
              <w:rPr>
                <w:color w:val="000000"/>
                <w:lang w:val="et-EE"/>
              </w:rPr>
              <w:t>(</w:t>
            </w:r>
            <w:r w:rsidRPr="00EC3BD7">
              <w:rPr>
                <w:color w:val="000000"/>
                <w:lang w:val="et-EE"/>
              </w:rPr>
              <w:t>vanusele kohandatud</w:t>
            </w:r>
            <w:r w:rsidR="008248B4" w:rsidRPr="00EC3BD7">
              <w:rPr>
                <w:color w:val="000000"/>
                <w:lang w:val="et-EE"/>
              </w:rPr>
              <w:t xml:space="preserve">): </w:t>
            </w:r>
            <w:r w:rsidRPr="00EC3BD7">
              <w:rPr>
                <w:color w:val="000000"/>
                <w:lang w:val="et-EE"/>
              </w:rPr>
              <w:t>päevadel</w:t>
            </w:r>
            <w:r w:rsidR="008248B4" w:rsidRPr="00EC3BD7">
              <w:rPr>
                <w:color w:val="000000"/>
                <w:lang w:val="et-EE"/>
              </w:rPr>
              <w:t xml:space="preserve"> 1 </w:t>
            </w:r>
            <w:r w:rsidRPr="00EC3BD7">
              <w:rPr>
                <w:color w:val="000000"/>
                <w:lang w:val="et-EE"/>
              </w:rPr>
              <w:t>j</w:t>
            </w:r>
            <w:r w:rsidR="008248B4" w:rsidRPr="00EC3BD7">
              <w:rPr>
                <w:color w:val="000000"/>
                <w:lang w:val="et-EE"/>
              </w:rPr>
              <w:t>a 15</w:t>
            </w:r>
          </w:p>
          <w:p w14:paraId="12E74343" w14:textId="77777777" w:rsidR="008248B4" w:rsidRPr="00EC3BD7" w:rsidRDefault="008248B4" w:rsidP="00B632A6">
            <w:pPr>
              <w:pStyle w:val="EndnoteText"/>
              <w:widowControl w:val="0"/>
              <w:rPr>
                <w:color w:val="000000"/>
                <w:lang w:val="et-EE"/>
              </w:rPr>
            </w:pPr>
            <w:r w:rsidRPr="00EC3BD7">
              <w:rPr>
                <w:color w:val="000000"/>
                <w:lang w:val="et-EE"/>
              </w:rPr>
              <w:t>DEX (6 mg/m</w:t>
            </w:r>
            <w:r w:rsidRPr="00EC3BD7">
              <w:rPr>
                <w:color w:val="000000"/>
                <w:vertAlign w:val="superscript"/>
                <w:lang w:val="et-EE"/>
              </w:rPr>
              <w:t>2</w:t>
            </w:r>
            <w:r w:rsidRPr="00EC3BD7">
              <w:rPr>
                <w:color w:val="000000"/>
                <w:lang w:val="et-EE"/>
              </w:rPr>
              <w:t>/</w:t>
            </w:r>
            <w:r w:rsidR="00B632A6" w:rsidRPr="00EC3BD7">
              <w:rPr>
                <w:color w:val="000000"/>
                <w:lang w:val="et-EE"/>
              </w:rPr>
              <w:t>ööpäev</w:t>
            </w:r>
            <w:r w:rsidRPr="00EC3BD7">
              <w:rPr>
                <w:color w:val="000000"/>
                <w:lang w:val="et-EE"/>
              </w:rPr>
              <w:t xml:space="preserve">, PO): </w:t>
            </w:r>
            <w:r w:rsidR="00B632A6" w:rsidRPr="00EC3BD7">
              <w:rPr>
                <w:color w:val="000000"/>
                <w:lang w:val="et-EE"/>
              </w:rPr>
              <w:t>päevadel</w:t>
            </w:r>
            <w:r w:rsidRPr="00EC3BD7">
              <w:rPr>
                <w:color w:val="000000"/>
                <w:lang w:val="et-EE"/>
              </w:rPr>
              <w:t> 1</w:t>
            </w:r>
            <w:r w:rsidR="00C10CCB" w:rsidRPr="00EC3BD7">
              <w:rPr>
                <w:color w:val="000000"/>
                <w:lang w:val="et-EE"/>
              </w:rPr>
              <w:t>...</w:t>
            </w:r>
            <w:r w:rsidRPr="00EC3BD7">
              <w:rPr>
                <w:color w:val="000000"/>
                <w:lang w:val="et-EE"/>
              </w:rPr>
              <w:t xml:space="preserve">7 </w:t>
            </w:r>
            <w:r w:rsidR="00B632A6" w:rsidRPr="00EC3BD7">
              <w:rPr>
                <w:color w:val="000000"/>
                <w:lang w:val="et-EE"/>
              </w:rPr>
              <w:t>j</w:t>
            </w:r>
            <w:r w:rsidRPr="00EC3BD7">
              <w:rPr>
                <w:color w:val="000000"/>
                <w:lang w:val="et-EE"/>
              </w:rPr>
              <w:t>a 15</w:t>
            </w:r>
            <w:r w:rsidR="00C10CCB" w:rsidRPr="00EC3BD7">
              <w:rPr>
                <w:color w:val="000000"/>
                <w:lang w:val="et-EE"/>
              </w:rPr>
              <w:t>...</w:t>
            </w:r>
            <w:r w:rsidRPr="00EC3BD7">
              <w:rPr>
                <w:color w:val="000000"/>
                <w:lang w:val="et-EE"/>
              </w:rPr>
              <w:t>21</w:t>
            </w:r>
          </w:p>
        </w:tc>
      </w:tr>
      <w:tr w:rsidR="008248B4" w:rsidRPr="005D29F8" w14:paraId="11F2A338" w14:textId="77777777" w:rsidTr="00F8356E">
        <w:trPr>
          <w:cantSplit/>
        </w:trPr>
        <w:tc>
          <w:tcPr>
            <w:tcW w:w="2358" w:type="dxa"/>
            <w:shd w:val="clear" w:color="auto" w:fill="auto"/>
          </w:tcPr>
          <w:p w14:paraId="64DD7835" w14:textId="77777777" w:rsidR="008248B4" w:rsidRPr="00EC3BD7" w:rsidRDefault="008248B4" w:rsidP="005C0AA8">
            <w:pPr>
              <w:pStyle w:val="EndnoteText"/>
              <w:widowControl w:val="0"/>
              <w:rPr>
                <w:color w:val="000000"/>
                <w:lang w:val="et-EE"/>
              </w:rPr>
            </w:pPr>
            <w:r w:rsidRPr="00EC3BD7">
              <w:rPr>
                <w:color w:val="000000"/>
                <w:lang w:val="et-EE"/>
              </w:rPr>
              <w:lastRenderedPageBreak/>
              <w:t>Intens</w:t>
            </w:r>
            <w:r w:rsidR="00B632A6" w:rsidRPr="00EC3BD7">
              <w:rPr>
                <w:color w:val="000000"/>
                <w:lang w:val="et-EE"/>
              </w:rPr>
              <w:t>i</w:t>
            </w:r>
            <w:r w:rsidRPr="00EC3BD7">
              <w:rPr>
                <w:color w:val="000000"/>
                <w:lang w:val="et-EE"/>
              </w:rPr>
              <w:t>i</w:t>
            </w:r>
            <w:r w:rsidR="00B632A6" w:rsidRPr="00EC3BD7">
              <w:rPr>
                <w:color w:val="000000"/>
                <w:lang w:val="et-EE"/>
              </w:rPr>
              <w:t>v</w:t>
            </w:r>
            <w:r w:rsidR="00713FA4" w:rsidRPr="00EC3BD7">
              <w:rPr>
                <w:color w:val="000000"/>
                <w:lang w:val="et-EE"/>
              </w:rPr>
              <w:t>rühm</w:t>
            </w:r>
            <w:r w:rsidRPr="00EC3BD7">
              <w:rPr>
                <w:color w:val="000000"/>
                <w:lang w:val="et-EE"/>
              </w:rPr>
              <w:t> 1</w:t>
            </w:r>
          </w:p>
          <w:p w14:paraId="1F596AF6" w14:textId="77777777" w:rsidR="008248B4" w:rsidRPr="00EC3BD7" w:rsidRDefault="008248B4" w:rsidP="00713FA4">
            <w:pPr>
              <w:pStyle w:val="EndnoteText"/>
              <w:widowControl w:val="0"/>
              <w:rPr>
                <w:color w:val="000000"/>
                <w:lang w:val="et-EE"/>
              </w:rPr>
            </w:pPr>
            <w:r w:rsidRPr="00EC3BD7">
              <w:rPr>
                <w:color w:val="000000"/>
                <w:lang w:val="et-EE"/>
              </w:rPr>
              <w:t>(9 </w:t>
            </w:r>
            <w:r w:rsidR="00713FA4" w:rsidRPr="00EC3BD7">
              <w:rPr>
                <w:color w:val="000000"/>
                <w:lang w:val="et-EE"/>
              </w:rPr>
              <w:t>nädalat</w:t>
            </w:r>
            <w:r w:rsidRPr="00EC3BD7">
              <w:rPr>
                <w:color w:val="000000"/>
                <w:lang w:val="et-EE"/>
              </w:rPr>
              <w:t>)</w:t>
            </w:r>
          </w:p>
        </w:tc>
        <w:tc>
          <w:tcPr>
            <w:tcW w:w="6929" w:type="dxa"/>
            <w:shd w:val="clear" w:color="auto" w:fill="auto"/>
          </w:tcPr>
          <w:p w14:paraId="446933D0" w14:textId="77777777" w:rsidR="008248B4" w:rsidRPr="00EC3BD7" w:rsidRDefault="008248B4" w:rsidP="005C0AA8">
            <w:pPr>
              <w:pStyle w:val="EndnoteText"/>
              <w:widowControl w:val="0"/>
              <w:rPr>
                <w:color w:val="000000"/>
                <w:lang w:val="et-EE"/>
              </w:rPr>
            </w:pPr>
            <w:r w:rsidRPr="00EC3BD7">
              <w:rPr>
                <w:color w:val="000000"/>
                <w:lang w:val="et-EE"/>
              </w:rPr>
              <w:t>Metotre</w:t>
            </w:r>
            <w:r w:rsidR="00713FA4" w:rsidRPr="00EC3BD7">
              <w:rPr>
                <w:color w:val="000000"/>
                <w:lang w:val="et-EE"/>
              </w:rPr>
              <w:t>ksa</w:t>
            </w:r>
            <w:r w:rsidRPr="00EC3BD7">
              <w:rPr>
                <w:color w:val="000000"/>
                <w:lang w:val="et-EE"/>
              </w:rPr>
              <w:t>at (5 g/m</w:t>
            </w:r>
            <w:r w:rsidRPr="00EC3BD7">
              <w:rPr>
                <w:color w:val="000000"/>
                <w:vertAlign w:val="superscript"/>
                <w:lang w:val="et-EE"/>
              </w:rPr>
              <w:t>2</w:t>
            </w:r>
            <w:r w:rsidRPr="00EC3BD7">
              <w:rPr>
                <w:color w:val="000000"/>
                <w:lang w:val="et-EE"/>
              </w:rPr>
              <w:t xml:space="preserve"> 24 </w:t>
            </w:r>
            <w:r w:rsidR="00713FA4" w:rsidRPr="00EC3BD7">
              <w:rPr>
                <w:color w:val="000000"/>
                <w:lang w:val="et-EE"/>
              </w:rPr>
              <w:t>tunni jooksul</w:t>
            </w:r>
            <w:r w:rsidRPr="00EC3BD7">
              <w:rPr>
                <w:color w:val="000000"/>
                <w:lang w:val="et-EE"/>
              </w:rPr>
              <w:t xml:space="preserve">, IV): </w:t>
            </w:r>
            <w:r w:rsidR="00713FA4" w:rsidRPr="00EC3BD7">
              <w:rPr>
                <w:color w:val="000000"/>
                <w:lang w:val="et-EE"/>
              </w:rPr>
              <w:t>päevadel</w:t>
            </w:r>
            <w:r w:rsidRPr="00EC3BD7">
              <w:rPr>
                <w:color w:val="000000"/>
                <w:lang w:val="et-EE"/>
              </w:rPr>
              <w:t xml:space="preserve"> 1 </w:t>
            </w:r>
            <w:r w:rsidR="00713FA4" w:rsidRPr="00EC3BD7">
              <w:rPr>
                <w:color w:val="000000"/>
                <w:lang w:val="et-EE"/>
              </w:rPr>
              <w:t>j</w:t>
            </w:r>
            <w:r w:rsidRPr="00EC3BD7">
              <w:rPr>
                <w:color w:val="000000"/>
                <w:lang w:val="et-EE"/>
              </w:rPr>
              <w:t>a 15</w:t>
            </w:r>
          </w:p>
          <w:p w14:paraId="12F5813E" w14:textId="77777777" w:rsidR="008248B4" w:rsidRPr="00EC3BD7" w:rsidRDefault="008248B4" w:rsidP="005C0AA8">
            <w:pPr>
              <w:pStyle w:val="EndnoteText"/>
              <w:widowControl w:val="0"/>
              <w:rPr>
                <w:color w:val="000000"/>
                <w:lang w:val="et-EE"/>
              </w:rPr>
            </w:pPr>
            <w:r w:rsidRPr="00EC3BD7">
              <w:rPr>
                <w:color w:val="000000"/>
                <w:lang w:val="et-EE"/>
              </w:rPr>
              <w:t>Leu</w:t>
            </w:r>
            <w:r w:rsidR="00713FA4" w:rsidRPr="00EC3BD7">
              <w:rPr>
                <w:color w:val="000000"/>
                <w:lang w:val="et-EE"/>
              </w:rPr>
              <w:t>k</w:t>
            </w:r>
            <w:r w:rsidRPr="00EC3BD7">
              <w:rPr>
                <w:color w:val="000000"/>
                <w:lang w:val="et-EE"/>
              </w:rPr>
              <w:t>ovor</w:t>
            </w:r>
            <w:r w:rsidR="00713FA4" w:rsidRPr="00EC3BD7">
              <w:rPr>
                <w:color w:val="000000"/>
                <w:lang w:val="et-EE"/>
              </w:rPr>
              <w:t>i</w:t>
            </w:r>
            <w:r w:rsidRPr="00EC3BD7">
              <w:rPr>
                <w:color w:val="000000"/>
                <w:lang w:val="et-EE"/>
              </w:rPr>
              <w:t>in (75 mg/m</w:t>
            </w:r>
            <w:r w:rsidRPr="00EC3BD7">
              <w:rPr>
                <w:color w:val="000000"/>
                <w:vertAlign w:val="superscript"/>
                <w:lang w:val="et-EE"/>
              </w:rPr>
              <w:t>2</w:t>
            </w:r>
            <w:r w:rsidRPr="00EC3BD7">
              <w:rPr>
                <w:color w:val="000000"/>
                <w:lang w:val="et-EE"/>
              </w:rPr>
              <w:t xml:space="preserve"> 36</w:t>
            </w:r>
            <w:r w:rsidR="00713FA4" w:rsidRPr="00EC3BD7">
              <w:rPr>
                <w:color w:val="000000"/>
                <w:lang w:val="et-EE"/>
              </w:rPr>
              <w:t>. tunnil</w:t>
            </w:r>
            <w:r w:rsidRPr="00EC3BD7">
              <w:rPr>
                <w:color w:val="000000"/>
                <w:lang w:val="et-EE"/>
              </w:rPr>
              <w:t>, IV; 15 mg/m</w:t>
            </w:r>
            <w:r w:rsidRPr="00EC3BD7">
              <w:rPr>
                <w:color w:val="000000"/>
                <w:vertAlign w:val="superscript"/>
                <w:lang w:val="et-EE"/>
              </w:rPr>
              <w:t>2</w:t>
            </w:r>
            <w:r w:rsidRPr="00EC3BD7">
              <w:rPr>
                <w:color w:val="000000"/>
                <w:lang w:val="et-EE"/>
              </w:rPr>
              <w:t xml:space="preserve"> IV </w:t>
            </w:r>
            <w:r w:rsidR="00713FA4" w:rsidRPr="00EC3BD7">
              <w:rPr>
                <w:color w:val="000000"/>
                <w:lang w:val="et-EE"/>
              </w:rPr>
              <w:t>või</w:t>
            </w:r>
            <w:r w:rsidRPr="00EC3BD7">
              <w:rPr>
                <w:color w:val="000000"/>
                <w:lang w:val="et-EE"/>
              </w:rPr>
              <w:t xml:space="preserve"> PO q6h x 6 </w:t>
            </w:r>
            <w:r w:rsidR="00713FA4" w:rsidRPr="00EC3BD7">
              <w:rPr>
                <w:color w:val="000000"/>
                <w:lang w:val="et-EE"/>
              </w:rPr>
              <w:t>annust</w:t>
            </w:r>
            <w:r w:rsidRPr="00EC3BD7">
              <w:rPr>
                <w:color w:val="000000"/>
                <w:lang w:val="et-EE"/>
              </w:rPr>
              <w:t xml:space="preserve">)iii: </w:t>
            </w:r>
            <w:r w:rsidR="00713FA4" w:rsidRPr="00EC3BD7">
              <w:rPr>
                <w:color w:val="000000"/>
                <w:lang w:val="et-EE"/>
              </w:rPr>
              <w:t>päevadel</w:t>
            </w:r>
            <w:r w:rsidRPr="00EC3BD7">
              <w:rPr>
                <w:color w:val="000000"/>
                <w:lang w:val="et-EE"/>
              </w:rPr>
              <w:t> 2, 3, 16</w:t>
            </w:r>
            <w:r w:rsidR="00713FA4" w:rsidRPr="00EC3BD7">
              <w:rPr>
                <w:color w:val="000000"/>
                <w:lang w:val="et-EE"/>
              </w:rPr>
              <w:t xml:space="preserve"> j</w:t>
            </w:r>
            <w:r w:rsidRPr="00EC3BD7">
              <w:rPr>
                <w:color w:val="000000"/>
                <w:lang w:val="et-EE"/>
              </w:rPr>
              <w:t>a 17</w:t>
            </w:r>
          </w:p>
          <w:p w14:paraId="6F6BD05B" w14:textId="77777777" w:rsidR="008248B4" w:rsidRPr="00EC3BD7" w:rsidRDefault="00713FA4" w:rsidP="005C0AA8">
            <w:pPr>
              <w:pStyle w:val="EndnoteText"/>
              <w:widowControl w:val="0"/>
              <w:rPr>
                <w:color w:val="000000"/>
                <w:lang w:val="et-EE"/>
              </w:rPr>
            </w:pPr>
            <w:r w:rsidRPr="00EC3BD7">
              <w:rPr>
                <w:color w:val="000000"/>
                <w:lang w:val="et-EE"/>
              </w:rPr>
              <w:t>Kolmekordne</w:t>
            </w:r>
            <w:r w:rsidR="008248B4" w:rsidRPr="00EC3BD7">
              <w:rPr>
                <w:color w:val="000000"/>
                <w:lang w:val="et-EE"/>
              </w:rPr>
              <w:t xml:space="preserve"> IT </w:t>
            </w:r>
            <w:r w:rsidRPr="00EC3BD7">
              <w:rPr>
                <w:color w:val="000000"/>
                <w:lang w:val="et-EE"/>
              </w:rPr>
              <w:t>ravi</w:t>
            </w:r>
            <w:r w:rsidR="008248B4" w:rsidRPr="00EC3BD7">
              <w:rPr>
                <w:color w:val="000000"/>
                <w:lang w:val="et-EE"/>
              </w:rPr>
              <w:t xml:space="preserve"> (</w:t>
            </w:r>
            <w:r w:rsidRPr="00EC3BD7">
              <w:rPr>
                <w:color w:val="000000"/>
                <w:lang w:val="et-EE"/>
              </w:rPr>
              <w:t>vanusele kohandatud</w:t>
            </w:r>
            <w:r w:rsidR="008248B4" w:rsidRPr="00EC3BD7">
              <w:rPr>
                <w:color w:val="000000"/>
                <w:lang w:val="et-EE"/>
              </w:rPr>
              <w:t xml:space="preserve">): </w:t>
            </w:r>
            <w:r w:rsidRPr="00EC3BD7">
              <w:rPr>
                <w:color w:val="000000"/>
                <w:lang w:val="et-EE"/>
              </w:rPr>
              <w:t>päevadel</w:t>
            </w:r>
            <w:r w:rsidR="008248B4" w:rsidRPr="00EC3BD7">
              <w:rPr>
                <w:color w:val="000000"/>
                <w:lang w:val="et-EE"/>
              </w:rPr>
              <w:t xml:space="preserve"> 1 </w:t>
            </w:r>
            <w:r w:rsidRPr="00EC3BD7">
              <w:rPr>
                <w:color w:val="000000"/>
                <w:lang w:val="et-EE"/>
              </w:rPr>
              <w:t>j</w:t>
            </w:r>
            <w:r w:rsidR="008248B4" w:rsidRPr="00EC3BD7">
              <w:rPr>
                <w:color w:val="000000"/>
                <w:lang w:val="et-EE"/>
              </w:rPr>
              <w:t>a 22</w:t>
            </w:r>
          </w:p>
          <w:p w14:paraId="1625330A" w14:textId="77777777" w:rsidR="008248B4" w:rsidRPr="00EC3BD7" w:rsidRDefault="008248B4" w:rsidP="005C0AA8">
            <w:pPr>
              <w:pStyle w:val="EndnoteText"/>
              <w:widowControl w:val="0"/>
              <w:rPr>
                <w:color w:val="000000"/>
                <w:lang w:val="et-EE"/>
              </w:rPr>
            </w:pPr>
            <w:r w:rsidRPr="00EC3BD7">
              <w:rPr>
                <w:color w:val="000000"/>
                <w:lang w:val="et-EE"/>
              </w:rPr>
              <w:t>VP-16 (100 mg/m</w:t>
            </w:r>
            <w:r w:rsidRPr="00EC3BD7">
              <w:rPr>
                <w:color w:val="000000"/>
                <w:vertAlign w:val="superscript"/>
                <w:lang w:val="et-EE"/>
              </w:rPr>
              <w:t>2</w:t>
            </w:r>
            <w:r w:rsidRPr="00EC3BD7">
              <w:rPr>
                <w:color w:val="000000"/>
                <w:lang w:val="et-EE"/>
              </w:rPr>
              <w:t>/</w:t>
            </w:r>
            <w:r w:rsidR="00713FA4" w:rsidRPr="00EC3BD7">
              <w:rPr>
                <w:color w:val="000000"/>
                <w:lang w:val="et-EE"/>
              </w:rPr>
              <w:t>ööpäev</w:t>
            </w:r>
            <w:r w:rsidRPr="00EC3BD7">
              <w:rPr>
                <w:color w:val="000000"/>
                <w:lang w:val="et-EE"/>
              </w:rPr>
              <w:t xml:space="preserve">, IV): </w:t>
            </w:r>
            <w:r w:rsidR="00713FA4" w:rsidRPr="00EC3BD7">
              <w:rPr>
                <w:color w:val="000000"/>
                <w:lang w:val="et-EE"/>
              </w:rPr>
              <w:t>päevadel</w:t>
            </w:r>
            <w:r w:rsidRPr="00EC3BD7">
              <w:rPr>
                <w:color w:val="000000"/>
                <w:lang w:val="et-EE"/>
              </w:rPr>
              <w:t> 22</w:t>
            </w:r>
            <w:r w:rsidR="00C10CCB" w:rsidRPr="00EC3BD7">
              <w:rPr>
                <w:color w:val="000000"/>
                <w:lang w:val="et-EE"/>
              </w:rPr>
              <w:t>…</w:t>
            </w:r>
            <w:r w:rsidRPr="00EC3BD7">
              <w:rPr>
                <w:color w:val="000000"/>
                <w:lang w:val="et-EE"/>
              </w:rPr>
              <w:t>26</w:t>
            </w:r>
          </w:p>
          <w:p w14:paraId="2C23C367" w14:textId="77777777" w:rsidR="008248B4" w:rsidRPr="00EC3BD7" w:rsidRDefault="008248B4" w:rsidP="005C0AA8">
            <w:pPr>
              <w:pStyle w:val="EndnoteText"/>
              <w:widowControl w:val="0"/>
              <w:rPr>
                <w:color w:val="000000"/>
                <w:lang w:val="et-EE"/>
              </w:rPr>
            </w:pPr>
            <w:r w:rsidRPr="00EC3BD7">
              <w:rPr>
                <w:color w:val="000000"/>
                <w:lang w:val="et-EE"/>
              </w:rPr>
              <w:t>CPM (300 mg/m</w:t>
            </w:r>
            <w:r w:rsidRPr="00EC3BD7">
              <w:rPr>
                <w:color w:val="000000"/>
                <w:vertAlign w:val="superscript"/>
                <w:lang w:val="et-EE"/>
              </w:rPr>
              <w:t>2</w:t>
            </w:r>
            <w:r w:rsidRPr="00EC3BD7">
              <w:rPr>
                <w:color w:val="000000"/>
                <w:lang w:val="et-EE"/>
              </w:rPr>
              <w:t>/</w:t>
            </w:r>
            <w:r w:rsidR="00713FA4" w:rsidRPr="00EC3BD7">
              <w:rPr>
                <w:color w:val="000000"/>
                <w:lang w:val="et-EE"/>
              </w:rPr>
              <w:t>ööpäev</w:t>
            </w:r>
            <w:r w:rsidRPr="00EC3BD7">
              <w:rPr>
                <w:color w:val="000000"/>
                <w:lang w:val="et-EE"/>
              </w:rPr>
              <w:t xml:space="preserve">, IV): </w:t>
            </w:r>
            <w:r w:rsidR="00713FA4" w:rsidRPr="00EC3BD7">
              <w:rPr>
                <w:color w:val="000000"/>
                <w:lang w:val="et-EE"/>
              </w:rPr>
              <w:t>päevadel</w:t>
            </w:r>
            <w:r w:rsidRPr="00EC3BD7">
              <w:rPr>
                <w:color w:val="000000"/>
                <w:lang w:val="et-EE"/>
              </w:rPr>
              <w:t> 22</w:t>
            </w:r>
            <w:r w:rsidR="00C10CCB" w:rsidRPr="00EC3BD7">
              <w:rPr>
                <w:color w:val="000000"/>
                <w:lang w:val="et-EE"/>
              </w:rPr>
              <w:t>…</w:t>
            </w:r>
            <w:r w:rsidRPr="00EC3BD7">
              <w:rPr>
                <w:color w:val="000000"/>
                <w:lang w:val="et-EE"/>
              </w:rPr>
              <w:t>26</w:t>
            </w:r>
          </w:p>
          <w:p w14:paraId="730C05CE" w14:textId="77777777" w:rsidR="008248B4" w:rsidRPr="00EC3BD7" w:rsidRDefault="008248B4" w:rsidP="005C0AA8">
            <w:pPr>
              <w:pStyle w:val="EndnoteText"/>
              <w:widowControl w:val="0"/>
              <w:rPr>
                <w:color w:val="000000"/>
                <w:lang w:val="et-EE"/>
              </w:rPr>
            </w:pPr>
            <w:r w:rsidRPr="00EC3BD7">
              <w:rPr>
                <w:color w:val="000000"/>
                <w:lang w:val="et-EE"/>
              </w:rPr>
              <w:t>MESNA (150 mg/m</w:t>
            </w:r>
            <w:r w:rsidRPr="00EC3BD7">
              <w:rPr>
                <w:color w:val="000000"/>
                <w:vertAlign w:val="superscript"/>
                <w:lang w:val="et-EE"/>
              </w:rPr>
              <w:t>2</w:t>
            </w:r>
            <w:r w:rsidRPr="00EC3BD7">
              <w:rPr>
                <w:color w:val="000000"/>
                <w:lang w:val="et-EE"/>
              </w:rPr>
              <w:t>/</w:t>
            </w:r>
            <w:r w:rsidR="00713FA4" w:rsidRPr="00EC3BD7">
              <w:rPr>
                <w:color w:val="000000"/>
                <w:lang w:val="et-EE"/>
              </w:rPr>
              <w:t>ööpäev</w:t>
            </w:r>
            <w:r w:rsidRPr="00EC3BD7">
              <w:rPr>
                <w:color w:val="000000"/>
                <w:lang w:val="et-EE"/>
              </w:rPr>
              <w:t xml:space="preserve">, IV): </w:t>
            </w:r>
            <w:r w:rsidR="00713FA4" w:rsidRPr="00EC3BD7">
              <w:rPr>
                <w:color w:val="000000"/>
                <w:lang w:val="et-EE"/>
              </w:rPr>
              <w:t>päevadel</w:t>
            </w:r>
            <w:r w:rsidRPr="00EC3BD7">
              <w:rPr>
                <w:color w:val="000000"/>
                <w:lang w:val="et-EE"/>
              </w:rPr>
              <w:t> 22</w:t>
            </w:r>
            <w:r w:rsidR="00C10CCB" w:rsidRPr="00EC3BD7">
              <w:rPr>
                <w:color w:val="000000"/>
                <w:lang w:val="et-EE"/>
              </w:rPr>
              <w:t>…</w:t>
            </w:r>
            <w:r w:rsidRPr="00EC3BD7">
              <w:rPr>
                <w:color w:val="000000"/>
                <w:lang w:val="et-EE"/>
              </w:rPr>
              <w:t>26</w:t>
            </w:r>
          </w:p>
          <w:p w14:paraId="2F47A34D" w14:textId="77777777" w:rsidR="008248B4" w:rsidRPr="00EC3BD7" w:rsidRDefault="008248B4" w:rsidP="005C0AA8">
            <w:pPr>
              <w:pStyle w:val="EndnoteText"/>
              <w:widowControl w:val="0"/>
              <w:rPr>
                <w:color w:val="000000"/>
                <w:lang w:val="et-EE"/>
              </w:rPr>
            </w:pPr>
            <w:r w:rsidRPr="00EC3BD7">
              <w:rPr>
                <w:color w:val="000000"/>
                <w:lang w:val="et-EE"/>
              </w:rPr>
              <w:t xml:space="preserve">G-CSF (5 μg/kg, SC): </w:t>
            </w:r>
            <w:r w:rsidR="00713FA4" w:rsidRPr="00EC3BD7">
              <w:rPr>
                <w:color w:val="000000"/>
                <w:lang w:val="et-EE"/>
              </w:rPr>
              <w:t>päevadel</w:t>
            </w:r>
            <w:r w:rsidRPr="00EC3BD7">
              <w:rPr>
                <w:color w:val="000000"/>
                <w:lang w:val="et-EE"/>
              </w:rPr>
              <w:t> 27</w:t>
            </w:r>
            <w:r w:rsidR="00C10CCB" w:rsidRPr="00EC3BD7">
              <w:rPr>
                <w:color w:val="000000"/>
                <w:lang w:val="et-EE"/>
              </w:rPr>
              <w:t>…</w:t>
            </w:r>
            <w:r w:rsidRPr="00EC3BD7">
              <w:rPr>
                <w:color w:val="000000"/>
                <w:lang w:val="et-EE"/>
              </w:rPr>
              <w:t xml:space="preserve">36 </w:t>
            </w:r>
            <w:r w:rsidR="00713FA4" w:rsidRPr="00EC3BD7">
              <w:rPr>
                <w:color w:val="000000"/>
                <w:lang w:val="et-EE"/>
              </w:rPr>
              <w:t>või kuni</w:t>
            </w:r>
            <w:r w:rsidRPr="00EC3BD7">
              <w:rPr>
                <w:color w:val="000000"/>
                <w:lang w:val="et-EE"/>
              </w:rPr>
              <w:t xml:space="preserve"> </w:t>
            </w:r>
            <w:r w:rsidR="002D7FE2" w:rsidRPr="00EC3BD7">
              <w:rPr>
                <w:color w:val="000000"/>
                <w:lang w:val="et-EE"/>
              </w:rPr>
              <w:t>neutrofiilide absoluutarv</w:t>
            </w:r>
            <w:r w:rsidRPr="00EC3BD7">
              <w:rPr>
                <w:color w:val="000000"/>
                <w:lang w:val="et-EE"/>
              </w:rPr>
              <w:t xml:space="preserve"> &gt;1500 </w:t>
            </w:r>
            <w:r w:rsidR="00D35B0D" w:rsidRPr="00EC3BD7">
              <w:rPr>
                <w:color w:val="000000"/>
                <w:lang w:val="et-EE"/>
              </w:rPr>
              <w:t xml:space="preserve">üle </w:t>
            </w:r>
            <w:r w:rsidR="00176773" w:rsidRPr="00EC3BD7">
              <w:rPr>
                <w:color w:val="000000"/>
                <w:lang w:val="et-EE"/>
              </w:rPr>
              <w:t xml:space="preserve">minimaalse </w:t>
            </w:r>
            <w:r w:rsidR="00D35B0D" w:rsidRPr="00EC3BD7">
              <w:rPr>
                <w:color w:val="000000"/>
                <w:lang w:val="et-EE"/>
              </w:rPr>
              <w:t>väärtuse</w:t>
            </w:r>
          </w:p>
          <w:p w14:paraId="6A50975D" w14:textId="77777777" w:rsidR="008248B4" w:rsidRPr="00EC3BD7" w:rsidRDefault="008248B4" w:rsidP="005C0AA8">
            <w:pPr>
              <w:pStyle w:val="EndnoteText"/>
              <w:widowControl w:val="0"/>
              <w:rPr>
                <w:color w:val="000000"/>
                <w:lang w:val="et-EE"/>
              </w:rPr>
            </w:pPr>
            <w:r w:rsidRPr="00EC3BD7">
              <w:rPr>
                <w:color w:val="000000"/>
                <w:lang w:val="et-EE"/>
              </w:rPr>
              <w:t>ARA-C (3 g/m</w:t>
            </w:r>
            <w:r w:rsidRPr="00EC3BD7">
              <w:rPr>
                <w:color w:val="000000"/>
                <w:vertAlign w:val="superscript"/>
                <w:lang w:val="et-EE"/>
              </w:rPr>
              <w:t>2</w:t>
            </w:r>
            <w:r w:rsidRPr="00EC3BD7">
              <w:rPr>
                <w:color w:val="000000"/>
                <w:lang w:val="et-EE"/>
              </w:rPr>
              <w:t xml:space="preserve">, q12h, IV): </w:t>
            </w:r>
            <w:r w:rsidR="00713FA4" w:rsidRPr="00EC3BD7">
              <w:rPr>
                <w:color w:val="000000"/>
                <w:lang w:val="et-EE"/>
              </w:rPr>
              <w:t>päevadel</w:t>
            </w:r>
            <w:r w:rsidRPr="00EC3BD7">
              <w:rPr>
                <w:color w:val="000000"/>
                <w:lang w:val="et-EE"/>
              </w:rPr>
              <w:t> 43, 44</w:t>
            </w:r>
          </w:p>
          <w:p w14:paraId="30CBB52F" w14:textId="77777777" w:rsidR="008248B4" w:rsidRPr="00EC3BD7" w:rsidRDefault="008248B4" w:rsidP="00713FA4">
            <w:pPr>
              <w:pStyle w:val="EndnoteText"/>
              <w:widowControl w:val="0"/>
              <w:rPr>
                <w:color w:val="000000"/>
                <w:lang w:val="et-EE"/>
              </w:rPr>
            </w:pPr>
            <w:r w:rsidRPr="00EC3BD7">
              <w:rPr>
                <w:color w:val="000000"/>
                <w:lang w:val="et-EE"/>
              </w:rPr>
              <w:t>L-ASP (6000 </w:t>
            </w:r>
            <w:r w:rsidR="00100911" w:rsidRPr="00EC3BD7">
              <w:rPr>
                <w:color w:val="000000"/>
                <w:lang w:val="et-EE"/>
              </w:rPr>
              <w:t>RÜ</w:t>
            </w:r>
            <w:r w:rsidRPr="00EC3BD7">
              <w:rPr>
                <w:color w:val="000000"/>
                <w:lang w:val="et-EE"/>
              </w:rPr>
              <w:t>/m</w:t>
            </w:r>
            <w:r w:rsidRPr="00EC3BD7">
              <w:rPr>
                <w:color w:val="000000"/>
                <w:vertAlign w:val="superscript"/>
                <w:lang w:val="et-EE"/>
              </w:rPr>
              <w:t>2</w:t>
            </w:r>
            <w:r w:rsidR="00713FA4" w:rsidRPr="00EC3BD7">
              <w:rPr>
                <w:color w:val="000000"/>
                <w:lang w:val="et-EE"/>
              </w:rPr>
              <w:t xml:space="preserve">, IM): </w:t>
            </w:r>
            <w:r w:rsidRPr="00EC3BD7">
              <w:rPr>
                <w:color w:val="000000"/>
                <w:lang w:val="et-EE"/>
              </w:rPr>
              <w:t>44</w:t>
            </w:r>
            <w:r w:rsidR="00713FA4" w:rsidRPr="00EC3BD7">
              <w:rPr>
                <w:color w:val="000000"/>
                <w:lang w:val="et-EE"/>
              </w:rPr>
              <w:t>. päeval</w:t>
            </w:r>
          </w:p>
        </w:tc>
      </w:tr>
      <w:tr w:rsidR="008248B4" w:rsidRPr="005D29F8" w14:paraId="3386A1C4" w14:textId="77777777" w:rsidTr="00F8356E">
        <w:trPr>
          <w:cantSplit/>
        </w:trPr>
        <w:tc>
          <w:tcPr>
            <w:tcW w:w="2358" w:type="dxa"/>
            <w:shd w:val="clear" w:color="auto" w:fill="auto"/>
          </w:tcPr>
          <w:p w14:paraId="246C5856" w14:textId="77777777" w:rsidR="008248B4" w:rsidRPr="00EC3BD7" w:rsidRDefault="008248B4" w:rsidP="005C0AA8">
            <w:pPr>
              <w:pStyle w:val="EndnoteText"/>
              <w:widowControl w:val="0"/>
              <w:rPr>
                <w:color w:val="000000"/>
                <w:lang w:val="et-EE"/>
              </w:rPr>
            </w:pPr>
            <w:r w:rsidRPr="00EC3BD7">
              <w:rPr>
                <w:color w:val="000000"/>
                <w:lang w:val="et-EE"/>
              </w:rPr>
              <w:t>Reindu</w:t>
            </w:r>
            <w:r w:rsidR="00713FA4" w:rsidRPr="00EC3BD7">
              <w:rPr>
                <w:color w:val="000000"/>
                <w:lang w:val="et-EE"/>
              </w:rPr>
              <w:t>kts</w:t>
            </w:r>
            <w:r w:rsidRPr="00EC3BD7">
              <w:rPr>
                <w:color w:val="000000"/>
                <w:lang w:val="et-EE"/>
              </w:rPr>
              <w:t>i</w:t>
            </w:r>
            <w:r w:rsidR="00713FA4" w:rsidRPr="00EC3BD7">
              <w:rPr>
                <w:color w:val="000000"/>
                <w:lang w:val="et-EE"/>
              </w:rPr>
              <w:t>o</w:t>
            </w:r>
            <w:r w:rsidRPr="00EC3BD7">
              <w:rPr>
                <w:color w:val="000000"/>
                <w:lang w:val="et-EE"/>
              </w:rPr>
              <w:t>on</w:t>
            </w:r>
            <w:r w:rsidR="00713FA4" w:rsidRPr="00EC3BD7">
              <w:rPr>
                <w:color w:val="000000"/>
                <w:lang w:val="et-EE"/>
              </w:rPr>
              <w:t>irühm</w:t>
            </w:r>
            <w:r w:rsidRPr="00EC3BD7">
              <w:rPr>
                <w:color w:val="000000"/>
                <w:lang w:val="et-EE"/>
              </w:rPr>
              <w:t> 2</w:t>
            </w:r>
          </w:p>
          <w:p w14:paraId="6B85AF89" w14:textId="77777777" w:rsidR="008248B4" w:rsidRPr="00EC3BD7" w:rsidRDefault="008248B4" w:rsidP="00713FA4">
            <w:pPr>
              <w:pStyle w:val="EndnoteText"/>
              <w:widowControl w:val="0"/>
              <w:rPr>
                <w:color w:val="000000"/>
                <w:lang w:val="et-EE"/>
              </w:rPr>
            </w:pPr>
            <w:r w:rsidRPr="00EC3BD7">
              <w:rPr>
                <w:color w:val="000000"/>
                <w:lang w:val="et-EE"/>
              </w:rPr>
              <w:t>(3 </w:t>
            </w:r>
            <w:r w:rsidR="00713FA4" w:rsidRPr="00EC3BD7">
              <w:rPr>
                <w:color w:val="000000"/>
                <w:lang w:val="et-EE"/>
              </w:rPr>
              <w:t>nädalat</w:t>
            </w:r>
            <w:r w:rsidRPr="00EC3BD7">
              <w:rPr>
                <w:color w:val="000000"/>
                <w:lang w:val="et-EE"/>
              </w:rPr>
              <w:t>)</w:t>
            </w:r>
          </w:p>
        </w:tc>
        <w:tc>
          <w:tcPr>
            <w:tcW w:w="6929" w:type="dxa"/>
            <w:shd w:val="clear" w:color="auto" w:fill="auto"/>
          </w:tcPr>
          <w:p w14:paraId="02AC01E0" w14:textId="77777777" w:rsidR="008248B4" w:rsidRPr="00EC3BD7" w:rsidRDefault="008248B4" w:rsidP="005C0AA8">
            <w:pPr>
              <w:pStyle w:val="EndnoteText"/>
              <w:widowControl w:val="0"/>
              <w:rPr>
                <w:color w:val="000000"/>
                <w:lang w:val="et-EE"/>
              </w:rPr>
            </w:pPr>
            <w:r w:rsidRPr="00EC3BD7">
              <w:rPr>
                <w:color w:val="000000"/>
                <w:lang w:val="et-EE"/>
              </w:rPr>
              <w:t>VCR (1</w:t>
            </w:r>
            <w:r w:rsidR="00713FA4" w:rsidRPr="00EC3BD7">
              <w:rPr>
                <w:color w:val="000000"/>
                <w:lang w:val="et-EE"/>
              </w:rPr>
              <w:t>,</w:t>
            </w:r>
            <w:r w:rsidRPr="00EC3BD7">
              <w:rPr>
                <w:color w:val="000000"/>
                <w:lang w:val="et-EE"/>
              </w:rPr>
              <w:t>5 mg/m</w:t>
            </w:r>
            <w:r w:rsidRPr="00EC3BD7">
              <w:rPr>
                <w:color w:val="000000"/>
                <w:vertAlign w:val="superscript"/>
                <w:lang w:val="et-EE"/>
              </w:rPr>
              <w:t>2</w:t>
            </w:r>
            <w:r w:rsidRPr="00EC3BD7">
              <w:rPr>
                <w:color w:val="000000"/>
                <w:lang w:val="et-EE"/>
              </w:rPr>
              <w:t>/</w:t>
            </w:r>
            <w:r w:rsidR="00713FA4" w:rsidRPr="00EC3BD7">
              <w:rPr>
                <w:color w:val="000000"/>
                <w:lang w:val="et-EE"/>
              </w:rPr>
              <w:t>ööpäev</w:t>
            </w:r>
            <w:r w:rsidRPr="00EC3BD7">
              <w:rPr>
                <w:color w:val="000000"/>
                <w:lang w:val="et-EE"/>
              </w:rPr>
              <w:t xml:space="preserve">, IV): </w:t>
            </w:r>
            <w:r w:rsidR="00713FA4" w:rsidRPr="00EC3BD7">
              <w:rPr>
                <w:color w:val="000000"/>
                <w:lang w:val="et-EE"/>
              </w:rPr>
              <w:t>päevadel</w:t>
            </w:r>
            <w:r w:rsidRPr="00EC3BD7">
              <w:rPr>
                <w:color w:val="000000"/>
                <w:lang w:val="et-EE"/>
              </w:rPr>
              <w:t xml:space="preserve"> 1, 8 </w:t>
            </w:r>
            <w:r w:rsidR="00713FA4" w:rsidRPr="00EC3BD7">
              <w:rPr>
                <w:color w:val="000000"/>
                <w:lang w:val="et-EE"/>
              </w:rPr>
              <w:t>j</w:t>
            </w:r>
            <w:r w:rsidRPr="00EC3BD7">
              <w:rPr>
                <w:color w:val="000000"/>
                <w:lang w:val="et-EE"/>
              </w:rPr>
              <w:t>a 15</w:t>
            </w:r>
          </w:p>
          <w:p w14:paraId="1BD09F75" w14:textId="77777777" w:rsidR="008248B4" w:rsidRPr="00EC3BD7" w:rsidRDefault="008248B4" w:rsidP="005C0AA8">
            <w:pPr>
              <w:pStyle w:val="EndnoteText"/>
              <w:widowControl w:val="0"/>
              <w:rPr>
                <w:color w:val="000000"/>
                <w:lang w:val="et-EE"/>
              </w:rPr>
            </w:pPr>
            <w:r w:rsidRPr="00EC3BD7">
              <w:rPr>
                <w:color w:val="000000"/>
                <w:lang w:val="et-EE"/>
              </w:rPr>
              <w:t>DAUN (45 mg/m</w:t>
            </w:r>
            <w:r w:rsidRPr="00EC3BD7">
              <w:rPr>
                <w:color w:val="000000"/>
                <w:vertAlign w:val="superscript"/>
                <w:lang w:val="et-EE"/>
              </w:rPr>
              <w:t>2</w:t>
            </w:r>
            <w:r w:rsidRPr="00EC3BD7">
              <w:rPr>
                <w:color w:val="000000"/>
                <w:lang w:val="et-EE"/>
              </w:rPr>
              <w:t>/</w:t>
            </w:r>
            <w:r w:rsidR="00713FA4" w:rsidRPr="00EC3BD7">
              <w:rPr>
                <w:color w:val="000000"/>
                <w:lang w:val="et-EE"/>
              </w:rPr>
              <w:t>ööpäev</w:t>
            </w:r>
            <w:r w:rsidRPr="00EC3BD7">
              <w:rPr>
                <w:color w:val="000000"/>
                <w:lang w:val="et-EE"/>
              </w:rPr>
              <w:t xml:space="preserve"> b</w:t>
            </w:r>
            <w:r w:rsidR="00713FA4" w:rsidRPr="00EC3BD7">
              <w:rPr>
                <w:color w:val="000000"/>
                <w:lang w:val="et-EE"/>
              </w:rPr>
              <w:t>o</w:t>
            </w:r>
            <w:r w:rsidRPr="00EC3BD7">
              <w:rPr>
                <w:color w:val="000000"/>
                <w:lang w:val="et-EE"/>
              </w:rPr>
              <w:t>olus</w:t>
            </w:r>
            <w:r w:rsidR="00713FA4" w:rsidRPr="00EC3BD7">
              <w:rPr>
                <w:color w:val="000000"/>
                <w:lang w:val="et-EE"/>
              </w:rPr>
              <w:t>ena</w:t>
            </w:r>
            <w:r w:rsidRPr="00EC3BD7">
              <w:rPr>
                <w:color w:val="000000"/>
                <w:lang w:val="et-EE"/>
              </w:rPr>
              <w:t xml:space="preserve">, IV): </w:t>
            </w:r>
            <w:r w:rsidR="00713FA4" w:rsidRPr="00EC3BD7">
              <w:rPr>
                <w:color w:val="000000"/>
                <w:lang w:val="et-EE"/>
              </w:rPr>
              <w:t>päevadel</w:t>
            </w:r>
            <w:r w:rsidRPr="00EC3BD7">
              <w:rPr>
                <w:color w:val="000000"/>
                <w:lang w:val="et-EE"/>
              </w:rPr>
              <w:t xml:space="preserve"> 1 </w:t>
            </w:r>
            <w:r w:rsidR="00713FA4" w:rsidRPr="00EC3BD7">
              <w:rPr>
                <w:color w:val="000000"/>
                <w:lang w:val="et-EE"/>
              </w:rPr>
              <w:t>j</w:t>
            </w:r>
            <w:r w:rsidRPr="00EC3BD7">
              <w:rPr>
                <w:color w:val="000000"/>
                <w:lang w:val="et-EE"/>
              </w:rPr>
              <w:t>a 2</w:t>
            </w:r>
          </w:p>
          <w:p w14:paraId="2D81FE02" w14:textId="77777777" w:rsidR="008248B4" w:rsidRPr="00EC3BD7" w:rsidRDefault="008248B4" w:rsidP="005C0AA8">
            <w:pPr>
              <w:pStyle w:val="EndnoteText"/>
              <w:widowControl w:val="0"/>
              <w:rPr>
                <w:color w:val="000000"/>
                <w:lang w:val="et-EE"/>
              </w:rPr>
            </w:pPr>
            <w:r w:rsidRPr="00EC3BD7">
              <w:rPr>
                <w:color w:val="000000"/>
                <w:lang w:val="et-EE"/>
              </w:rPr>
              <w:t>CPM (250 mg/m</w:t>
            </w:r>
            <w:r w:rsidRPr="00EC3BD7">
              <w:rPr>
                <w:color w:val="000000"/>
                <w:vertAlign w:val="superscript"/>
                <w:lang w:val="et-EE"/>
              </w:rPr>
              <w:t>2</w:t>
            </w:r>
            <w:r w:rsidRPr="00EC3BD7">
              <w:rPr>
                <w:color w:val="000000"/>
                <w:lang w:val="et-EE"/>
              </w:rPr>
              <w:t>/</w:t>
            </w:r>
            <w:r w:rsidR="00713FA4" w:rsidRPr="00EC3BD7">
              <w:rPr>
                <w:color w:val="000000"/>
                <w:lang w:val="et-EE"/>
              </w:rPr>
              <w:t>anus</w:t>
            </w:r>
            <w:r w:rsidRPr="00EC3BD7">
              <w:rPr>
                <w:color w:val="000000"/>
                <w:lang w:val="et-EE"/>
              </w:rPr>
              <w:t xml:space="preserve"> q12h x 4 </w:t>
            </w:r>
            <w:r w:rsidR="00713FA4" w:rsidRPr="00EC3BD7">
              <w:rPr>
                <w:color w:val="000000"/>
                <w:lang w:val="et-EE"/>
              </w:rPr>
              <w:t>annust</w:t>
            </w:r>
            <w:r w:rsidRPr="00EC3BD7">
              <w:rPr>
                <w:color w:val="000000"/>
                <w:lang w:val="et-EE"/>
              </w:rPr>
              <w:t xml:space="preserve">, iv): </w:t>
            </w:r>
            <w:r w:rsidR="00713FA4" w:rsidRPr="00EC3BD7">
              <w:rPr>
                <w:color w:val="000000"/>
                <w:lang w:val="et-EE"/>
              </w:rPr>
              <w:t>päevadel</w:t>
            </w:r>
            <w:r w:rsidRPr="00EC3BD7">
              <w:rPr>
                <w:color w:val="000000"/>
                <w:lang w:val="et-EE"/>
              </w:rPr>
              <w:t xml:space="preserve"> 3 </w:t>
            </w:r>
            <w:r w:rsidR="00713FA4" w:rsidRPr="00EC3BD7">
              <w:rPr>
                <w:color w:val="000000"/>
                <w:lang w:val="et-EE"/>
              </w:rPr>
              <w:t>j</w:t>
            </w:r>
            <w:r w:rsidRPr="00EC3BD7">
              <w:rPr>
                <w:color w:val="000000"/>
                <w:lang w:val="et-EE"/>
              </w:rPr>
              <w:t>a 4</w:t>
            </w:r>
          </w:p>
          <w:p w14:paraId="6EFA6D8A" w14:textId="77777777" w:rsidR="008248B4" w:rsidRPr="00EC3BD7" w:rsidRDefault="008248B4" w:rsidP="005C0AA8">
            <w:pPr>
              <w:pStyle w:val="EndnoteText"/>
              <w:widowControl w:val="0"/>
              <w:rPr>
                <w:color w:val="000000"/>
                <w:lang w:val="et-EE"/>
              </w:rPr>
            </w:pPr>
            <w:r w:rsidRPr="00EC3BD7">
              <w:rPr>
                <w:color w:val="000000"/>
                <w:lang w:val="et-EE"/>
              </w:rPr>
              <w:t>PEG-ASP (2500 </w:t>
            </w:r>
            <w:r w:rsidR="00100911" w:rsidRPr="00EC3BD7">
              <w:rPr>
                <w:color w:val="000000"/>
                <w:lang w:val="et-EE"/>
              </w:rPr>
              <w:t>RÜ</w:t>
            </w:r>
            <w:r w:rsidRPr="00EC3BD7">
              <w:rPr>
                <w:color w:val="000000"/>
                <w:lang w:val="et-EE"/>
              </w:rPr>
              <w:t>/m</w:t>
            </w:r>
            <w:r w:rsidRPr="00EC3BD7">
              <w:rPr>
                <w:color w:val="000000"/>
                <w:vertAlign w:val="superscript"/>
                <w:lang w:val="et-EE"/>
              </w:rPr>
              <w:t>2</w:t>
            </w:r>
            <w:r w:rsidRPr="00EC3BD7">
              <w:rPr>
                <w:color w:val="000000"/>
                <w:lang w:val="et-EE"/>
              </w:rPr>
              <w:t>, IM): 4</w:t>
            </w:r>
            <w:r w:rsidR="00713FA4" w:rsidRPr="00EC3BD7">
              <w:rPr>
                <w:color w:val="000000"/>
                <w:lang w:val="et-EE"/>
              </w:rPr>
              <w:t>. päev</w:t>
            </w:r>
          </w:p>
          <w:p w14:paraId="184926AB" w14:textId="77777777" w:rsidR="008248B4" w:rsidRPr="00EC3BD7" w:rsidRDefault="008248B4" w:rsidP="005C0AA8">
            <w:pPr>
              <w:pStyle w:val="EndnoteText"/>
              <w:widowControl w:val="0"/>
              <w:rPr>
                <w:color w:val="000000"/>
                <w:lang w:val="et-EE"/>
              </w:rPr>
            </w:pPr>
            <w:r w:rsidRPr="00EC3BD7">
              <w:rPr>
                <w:color w:val="000000"/>
                <w:lang w:val="et-EE"/>
              </w:rPr>
              <w:t xml:space="preserve">G-CSF (5 μg/kg, SC): </w:t>
            </w:r>
            <w:r w:rsidR="00713FA4" w:rsidRPr="00EC3BD7">
              <w:rPr>
                <w:color w:val="000000"/>
                <w:lang w:val="et-EE"/>
              </w:rPr>
              <w:t>päevadel</w:t>
            </w:r>
            <w:r w:rsidRPr="00EC3BD7">
              <w:rPr>
                <w:color w:val="000000"/>
                <w:lang w:val="et-EE"/>
              </w:rPr>
              <w:t> 5</w:t>
            </w:r>
            <w:r w:rsidR="00C10CCB" w:rsidRPr="00EC3BD7">
              <w:rPr>
                <w:color w:val="000000"/>
                <w:lang w:val="et-EE"/>
              </w:rPr>
              <w:t>...</w:t>
            </w:r>
            <w:r w:rsidRPr="00EC3BD7">
              <w:rPr>
                <w:color w:val="000000"/>
                <w:lang w:val="et-EE"/>
              </w:rPr>
              <w:t xml:space="preserve">14 </w:t>
            </w:r>
            <w:r w:rsidR="00713FA4" w:rsidRPr="00EC3BD7">
              <w:rPr>
                <w:color w:val="000000"/>
                <w:lang w:val="et-EE"/>
              </w:rPr>
              <w:t xml:space="preserve">või kuni </w:t>
            </w:r>
            <w:r w:rsidR="002D7FE2" w:rsidRPr="00EC3BD7">
              <w:rPr>
                <w:color w:val="000000"/>
                <w:lang w:val="et-EE"/>
              </w:rPr>
              <w:t>neutrofiilide absoluutarv</w:t>
            </w:r>
            <w:r w:rsidRPr="00EC3BD7">
              <w:rPr>
                <w:color w:val="000000"/>
                <w:lang w:val="et-EE"/>
              </w:rPr>
              <w:t xml:space="preserve"> &gt;1500 </w:t>
            </w:r>
            <w:r w:rsidR="00D35B0D" w:rsidRPr="00EC3BD7">
              <w:rPr>
                <w:color w:val="000000"/>
                <w:lang w:val="et-EE"/>
              </w:rPr>
              <w:t xml:space="preserve">üle </w:t>
            </w:r>
            <w:r w:rsidR="00176773" w:rsidRPr="00EC3BD7">
              <w:rPr>
                <w:color w:val="000000"/>
                <w:lang w:val="et-EE"/>
              </w:rPr>
              <w:t xml:space="preserve">minimaalse </w:t>
            </w:r>
            <w:r w:rsidR="00D35B0D" w:rsidRPr="00EC3BD7">
              <w:rPr>
                <w:color w:val="000000"/>
                <w:lang w:val="et-EE"/>
              </w:rPr>
              <w:t>väärtuse</w:t>
            </w:r>
          </w:p>
          <w:p w14:paraId="495D3860" w14:textId="77777777" w:rsidR="008248B4" w:rsidRPr="00EC3BD7" w:rsidRDefault="00713FA4" w:rsidP="005C0AA8">
            <w:pPr>
              <w:pStyle w:val="EndnoteText"/>
              <w:widowControl w:val="0"/>
              <w:rPr>
                <w:color w:val="000000"/>
                <w:lang w:val="et-EE"/>
              </w:rPr>
            </w:pPr>
            <w:r w:rsidRPr="00EC3BD7">
              <w:rPr>
                <w:color w:val="000000"/>
                <w:lang w:val="et-EE"/>
              </w:rPr>
              <w:t>Kolmekordne</w:t>
            </w:r>
            <w:r w:rsidR="008248B4" w:rsidRPr="00EC3BD7">
              <w:rPr>
                <w:color w:val="000000"/>
                <w:lang w:val="et-EE"/>
              </w:rPr>
              <w:t xml:space="preserve"> IT </w:t>
            </w:r>
            <w:r w:rsidRPr="00EC3BD7">
              <w:rPr>
                <w:color w:val="000000"/>
                <w:lang w:val="et-EE"/>
              </w:rPr>
              <w:t>ravi</w:t>
            </w:r>
            <w:r w:rsidR="008248B4" w:rsidRPr="00EC3BD7">
              <w:rPr>
                <w:color w:val="000000"/>
                <w:lang w:val="et-EE"/>
              </w:rPr>
              <w:t xml:space="preserve"> (</w:t>
            </w:r>
            <w:r w:rsidRPr="00EC3BD7">
              <w:rPr>
                <w:color w:val="000000"/>
                <w:lang w:val="et-EE"/>
              </w:rPr>
              <w:t>vanusele kohandatud</w:t>
            </w:r>
            <w:r w:rsidR="008248B4" w:rsidRPr="00EC3BD7">
              <w:rPr>
                <w:color w:val="000000"/>
                <w:lang w:val="et-EE"/>
              </w:rPr>
              <w:t xml:space="preserve">): </w:t>
            </w:r>
            <w:r w:rsidRPr="00EC3BD7">
              <w:rPr>
                <w:color w:val="000000"/>
                <w:lang w:val="et-EE"/>
              </w:rPr>
              <w:t>päevadel</w:t>
            </w:r>
            <w:r w:rsidR="008248B4" w:rsidRPr="00EC3BD7">
              <w:rPr>
                <w:color w:val="000000"/>
                <w:lang w:val="et-EE"/>
              </w:rPr>
              <w:t xml:space="preserve"> 1 </w:t>
            </w:r>
            <w:r w:rsidRPr="00EC3BD7">
              <w:rPr>
                <w:color w:val="000000"/>
                <w:lang w:val="et-EE"/>
              </w:rPr>
              <w:t>j</w:t>
            </w:r>
            <w:r w:rsidR="008248B4" w:rsidRPr="00EC3BD7">
              <w:rPr>
                <w:color w:val="000000"/>
                <w:lang w:val="et-EE"/>
              </w:rPr>
              <w:t>a 15</w:t>
            </w:r>
          </w:p>
          <w:p w14:paraId="184894F1" w14:textId="77777777" w:rsidR="008248B4" w:rsidRPr="00EC3BD7" w:rsidRDefault="008248B4" w:rsidP="00C10CCB">
            <w:pPr>
              <w:pStyle w:val="EndnoteText"/>
              <w:widowControl w:val="0"/>
              <w:rPr>
                <w:color w:val="000000"/>
                <w:lang w:val="et-EE"/>
              </w:rPr>
            </w:pPr>
            <w:r w:rsidRPr="00EC3BD7">
              <w:rPr>
                <w:color w:val="000000"/>
                <w:lang w:val="et-EE"/>
              </w:rPr>
              <w:t>DEX (6 mg/m</w:t>
            </w:r>
            <w:r w:rsidRPr="00EC3BD7">
              <w:rPr>
                <w:color w:val="000000"/>
                <w:vertAlign w:val="superscript"/>
                <w:lang w:val="et-EE"/>
              </w:rPr>
              <w:t>2</w:t>
            </w:r>
            <w:r w:rsidRPr="00EC3BD7">
              <w:rPr>
                <w:color w:val="000000"/>
                <w:lang w:val="et-EE"/>
              </w:rPr>
              <w:t>/</w:t>
            </w:r>
            <w:r w:rsidR="00713FA4" w:rsidRPr="00EC3BD7">
              <w:rPr>
                <w:color w:val="000000"/>
                <w:lang w:val="et-EE"/>
              </w:rPr>
              <w:t>ööpäev</w:t>
            </w:r>
            <w:r w:rsidRPr="00EC3BD7">
              <w:rPr>
                <w:color w:val="000000"/>
                <w:lang w:val="et-EE"/>
              </w:rPr>
              <w:t xml:space="preserve">, PO): </w:t>
            </w:r>
            <w:r w:rsidR="00713FA4" w:rsidRPr="00EC3BD7">
              <w:rPr>
                <w:color w:val="000000"/>
                <w:lang w:val="et-EE"/>
              </w:rPr>
              <w:t>päevadel</w:t>
            </w:r>
            <w:r w:rsidRPr="00EC3BD7">
              <w:rPr>
                <w:color w:val="000000"/>
                <w:lang w:val="et-EE"/>
              </w:rPr>
              <w:t> 1</w:t>
            </w:r>
            <w:r w:rsidR="00C10CCB" w:rsidRPr="00EC3BD7">
              <w:rPr>
                <w:color w:val="000000"/>
                <w:lang w:val="et-EE"/>
              </w:rPr>
              <w:t>...</w:t>
            </w:r>
            <w:r w:rsidRPr="00EC3BD7">
              <w:rPr>
                <w:color w:val="000000"/>
                <w:lang w:val="et-EE"/>
              </w:rPr>
              <w:t xml:space="preserve">7 </w:t>
            </w:r>
            <w:r w:rsidR="00713FA4" w:rsidRPr="00EC3BD7">
              <w:rPr>
                <w:color w:val="000000"/>
                <w:lang w:val="et-EE"/>
              </w:rPr>
              <w:t>j</w:t>
            </w:r>
            <w:r w:rsidRPr="00EC3BD7">
              <w:rPr>
                <w:color w:val="000000"/>
                <w:lang w:val="et-EE"/>
              </w:rPr>
              <w:t>a 15</w:t>
            </w:r>
            <w:r w:rsidR="00C10CCB" w:rsidRPr="00EC3BD7">
              <w:rPr>
                <w:color w:val="000000"/>
                <w:lang w:val="et-EE"/>
              </w:rPr>
              <w:t>...</w:t>
            </w:r>
            <w:r w:rsidRPr="00EC3BD7">
              <w:rPr>
                <w:color w:val="000000"/>
                <w:lang w:val="et-EE"/>
              </w:rPr>
              <w:t>21</w:t>
            </w:r>
          </w:p>
        </w:tc>
      </w:tr>
      <w:tr w:rsidR="008248B4" w:rsidRPr="005D29F8" w14:paraId="413532B0" w14:textId="77777777" w:rsidTr="00F8356E">
        <w:trPr>
          <w:cantSplit/>
        </w:trPr>
        <w:tc>
          <w:tcPr>
            <w:tcW w:w="2358" w:type="dxa"/>
            <w:shd w:val="clear" w:color="auto" w:fill="auto"/>
          </w:tcPr>
          <w:p w14:paraId="4EF8A93B" w14:textId="77777777" w:rsidR="008248B4" w:rsidRPr="00EC3BD7" w:rsidRDefault="008248B4" w:rsidP="005C0AA8">
            <w:pPr>
              <w:pStyle w:val="EndnoteText"/>
              <w:widowControl w:val="0"/>
              <w:rPr>
                <w:color w:val="000000"/>
                <w:lang w:val="et-EE"/>
              </w:rPr>
            </w:pPr>
            <w:r w:rsidRPr="00EC3BD7">
              <w:rPr>
                <w:color w:val="000000"/>
                <w:lang w:val="et-EE"/>
              </w:rPr>
              <w:t>Intens</w:t>
            </w:r>
            <w:r w:rsidR="00713FA4" w:rsidRPr="00EC3BD7">
              <w:rPr>
                <w:color w:val="000000"/>
                <w:lang w:val="et-EE"/>
              </w:rPr>
              <w:t>i</w:t>
            </w:r>
            <w:r w:rsidRPr="00EC3BD7">
              <w:rPr>
                <w:color w:val="000000"/>
                <w:lang w:val="et-EE"/>
              </w:rPr>
              <w:t>i</w:t>
            </w:r>
            <w:r w:rsidR="00713FA4" w:rsidRPr="00EC3BD7">
              <w:rPr>
                <w:color w:val="000000"/>
                <w:lang w:val="et-EE"/>
              </w:rPr>
              <w:t>vrühm</w:t>
            </w:r>
            <w:r w:rsidRPr="00EC3BD7">
              <w:rPr>
                <w:color w:val="000000"/>
                <w:lang w:val="et-EE"/>
              </w:rPr>
              <w:t> 2</w:t>
            </w:r>
          </w:p>
          <w:p w14:paraId="34810BC9" w14:textId="77777777" w:rsidR="008248B4" w:rsidRPr="00EC3BD7" w:rsidRDefault="008248B4" w:rsidP="00713FA4">
            <w:pPr>
              <w:pStyle w:val="EndnoteText"/>
              <w:widowControl w:val="0"/>
              <w:rPr>
                <w:color w:val="000000"/>
                <w:lang w:val="et-EE"/>
              </w:rPr>
            </w:pPr>
            <w:r w:rsidRPr="00EC3BD7">
              <w:rPr>
                <w:color w:val="000000"/>
                <w:lang w:val="et-EE"/>
              </w:rPr>
              <w:t>(9 </w:t>
            </w:r>
            <w:r w:rsidR="00713FA4" w:rsidRPr="00EC3BD7">
              <w:rPr>
                <w:color w:val="000000"/>
                <w:lang w:val="et-EE"/>
              </w:rPr>
              <w:t>nädalat</w:t>
            </w:r>
            <w:r w:rsidRPr="00EC3BD7">
              <w:rPr>
                <w:color w:val="000000"/>
                <w:lang w:val="et-EE"/>
              </w:rPr>
              <w:t>)</w:t>
            </w:r>
          </w:p>
        </w:tc>
        <w:tc>
          <w:tcPr>
            <w:tcW w:w="6929" w:type="dxa"/>
            <w:shd w:val="clear" w:color="auto" w:fill="auto"/>
          </w:tcPr>
          <w:p w14:paraId="55ADDF35" w14:textId="77777777" w:rsidR="008248B4" w:rsidRPr="00EC3BD7" w:rsidRDefault="008248B4" w:rsidP="005C0AA8">
            <w:pPr>
              <w:pStyle w:val="EndnoteText"/>
              <w:widowControl w:val="0"/>
              <w:rPr>
                <w:color w:val="000000"/>
                <w:lang w:val="et-EE"/>
              </w:rPr>
            </w:pPr>
            <w:r w:rsidRPr="00EC3BD7">
              <w:rPr>
                <w:color w:val="000000"/>
                <w:lang w:val="et-EE"/>
              </w:rPr>
              <w:t>Metotre</w:t>
            </w:r>
            <w:r w:rsidR="00713FA4" w:rsidRPr="00EC3BD7">
              <w:rPr>
                <w:color w:val="000000"/>
                <w:lang w:val="et-EE"/>
              </w:rPr>
              <w:t>ksa</w:t>
            </w:r>
            <w:r w:rsidRPr="00EC3BD7">
              <w:rPr>
                <w:color w:val="000000"/>
                <w:lang w:val="et-EE"/>
              </w:rPr>
              <w:t>at (5 g/m</w:t>
            </w:r>
            <w:r w:rsidRPr="00EC3BD7">
              <w:rPr>
                <w:color w:val="000000"/>
                <w:vertAlign w:val="superscript"/>
                <w:lang w:val="et-EE"/>
              </w:rPr>
              <w:t>2</w:t>
            </w:r>
            <w:r w:rsidRPr="00EC3BD7">
              <w:rPr>
                <w:color w:val="000000"/>
                <w:lang w:val="et-EE"/>
              </w:rPr>
              <w:t xml:space="preserve"> 24 </w:t>
            </w:r>
            <w:r w:rsidR="00713FA4" w:rsidRPr="00EC3BD7">
              <w:rPr>
                <w:color w:val="000000"/>
                <w:lang w:val="et-EE"/>
              </w:rPr>
              <w:t>tunni jooksul</w:t>
            </w:r>
            <w:r w:rsidRPr="00EC3BD7">
              <w:rPr>
                <w:color w:val="000000"/>
                <w:lang w:val="et-EE"/>
              </w:rPr>
              <w:t xml:space="preserve">, IV): </w:t>
            </w:r>
            <w:r w:rsidR="00713FA4" w:rsidRPr="00EC3BD7">
              <w:rPr>
                <w:color w:val="000000"/>
                <w:lang w:val="et-EE"/>
              </w:rPr>
              <w:t>päevadel</w:t>
            </w:r>
            <w:r w:rsidRPr="00EC3BD7">
              <w:rPr>
                <w:color w:val="000000"/>
                <w:lang w:val="et-EE"/>
              </w:rPr>
              <w:t xml:space="preserve"> 1 </w:t>
            </w:r>
            <w:r w:rsidR="00713FA4" w:rsidRPr="00EC3BD7">
              <w:rPr>
                <w:color w:val="000000"/>
                <w:lang w:val="et-EE"/>
              </w:rPr>
              <w:t>j</w:t>
            </w:r>
            <w:r w:rsidRPr="00EC3BD7">
              <w:rPr>
                <w:color w:val="000000"/>
                <w:lang w:val="et-EE"/>
              </w:rPr>
              <w:t>a 15</w:t>
            </w:r>
          </w:p>
          <w:p w14:paraId="0A58CF25" w14:textId="77777777" w:rsidR="008248B4" w:rsidRPr="00EC3BD7" w:rsidRDefault="008248B4" w:rsidP="005C0AA8">
            <w:pPr>
              <w:pStyle w:val="EndnoteText"/>
              <w:widowControl w:val="0"/>
              <w:rPr>
                <w:color w:val="000000"/>
                <w:lang w:val="et-EE"/>
              </w:rPr>
            </w:pPr>
            <w:r w:rsidRPr="00EC3BD7">
              <w:rPr>
                <w:color w:val="000000"/>
                <w:lang w:val="et-EE"/>
              </w:rPr>
              <w:t>Leu</w:t>
            </w:r>
            <w:r w:rsidR="00713FA4" w:rsidRPr="00EC3BD7">
              <w:rPr>
                <w:color w:val="000000"/>
                <w:lang w:val="et-EE"/>
              </w:rPr>
              <w:t>k</w:t>
            </w:r>
            <w:r w:rsidRPr="00EC3BD7">
              <w:rPr>
                <w:color w:val="000000"/>
                <w:lang w:val="et-EE"/>
              </w:rPr>
              <w:t>ovor</w:t>
            </w:r>
            <w:r w:rsidR="00713FA4" w:rsidRPr="00EC3BD7">
              <w:rPr>
                <w:color w:val="000000"/>
                <w:lang w:val="et-EE"/>
              </w:rPr>
              <w:t>i</w:t>
            </w:r>
            <w:r w:rsidRPr="00EC3BD7">
              <w:rPr>
                <w:color w:val="000000"/>
                <w:lang w:val="et-EE"/>
              </w:rPr>
              <w:t>in (75 mg/m</w:t>
            </w:r>
            <w:r w:rsidRPr="00EC3BD7">
              <w:rPr>
                <w:color w:val="000000"/>
                <w:vertAlign w:val="superscript"/>
                <w:lang w:val="et-EE"/>
              </w:rPr>
              <w:t>2</w:t>
            </w:r>
            <w:r w:rsidRPr="00EC3BD7">
              <w:rPr>
                <w:color w:val="000000"/>
                <w:lang w:val="et-EE"/>
              </w:rPr>
              <w:t xml:space="preserve"> 36</w:t>
            </w:r>
            <w:r w:rsidR="00713FA4" w:rsidRPr="00EC3BD7">
              <w:rPr>
                <w:color w:val="000000"/>
                <w:lang w:val="et-EE"/>
              </w:rPr>
              <w:t>. tunnil</w:t>
            </w:r>
            <w:r w:rsidRPr="00EC3BD7">
              <w:rPr>
                <w:color w:val="000000"/>
                <w:lang w:val="et-EE"/>
              </w:rPr>
              <w:t>, IV; 15 mg/m</w:t>
            </w:r>
            <w:r w:rsidRPr="00EC3BD7">
              <w:rPr>
                <w:color w:val="000000"/>
                <w:vertAlign w:val="superscript"/>
                <w:lang w:val="et-EE"/>
              </w:rPr>
              <w:t>2</w:t>
            </w:r>
            <w:r w:rsidRPr="00EC3BD7">
              <w:rPr>
                <w:color w:val="000000"/>
                <w:lang w:val="et-EE"/>
              </w:rPr>
              <w:t xml:space="preserve"> IV </w:t>
            </w:r>
            <w:r w:rsidR="00713FA4" w:rsidRPr="00EC3BD7">
              <w:rPr>
                <w:color w:val="000000"/>
                <w:lang w:val="et-EE"/>
              </w:rPr>
              <w:t>või</w:t>
            </w:r>
            <w:r w:rsidRPr="00EC3BD7">
              <w:rPr>
                <w:color w:val="000000"/>
                <w:lang w:val="et-EE"/>
              </w:rPr>
              <w:t xml:space="preserve"> PO q6h x 6 </w:t>
            </w:r>
            <w:r w:rsidR="00713FA4" w:rsidRPr="00EC3BD7">
              <w:rPr>
                <w:color w:val="000000"/>
                <w:lang w:val="et-EE"/>
              </w:rPr>
              <w:t>annust</w:t>
            </w:r>
            <w:r w:rsidRPr="00EC3BD7">
              <w:rPr>
                <w:color w:val="000000"/>
                <w:lang w:val="et-EE"/>
              </w:rPr>
              <w:t xml:space="preserve">)iii: </w:t>
            </w:r>
            <w:r w:rsidR="00713FA4" w:rsidRPr="00EC3BD7">
              <w:rPr>
                <w:color w:val="000000"/>
                <w:lang w:val="et-EE"/>
              </w:rPr>
              <w:t>päevadel</w:t>
            </w:r>
            <w:r w:rsidRPr="00EC3BD7">
              <w:rPr>
                <w:color w:val="000000"/>
                <w:lang w:val="et-EE"/>
              </w:rPr>
              <w:t> 2, 3, 16</w:t>
            </w:r>
            <w:r w:rsidR="00713FA4" w:rsidRPr="00EC3BD7">
              <w:rPr>
                <w:color w:val="000000"/>
                <w:lang w:val="et-EE"/>
              </w:rPr>
              <w:t xml:space="preserve"> j</w:t>
            </w:r>
            <w:r w:rsidRPr="00EC3BD7">
              <w:rPr>
                <w:color w:val="000000"/>
                <w:lang w:val="et-EE"/>
              </w:rPr>
              <w:t>a 17</w:t>
            </w:r>
          </w:p>
          <w:p w14:paraId="0C0F7E95" w14:textId="77777777" w:rsidR="008248B4" w:rsidRPr="00EC3BD7" w:rsidRDefault="00713FA4" w:rsidP="005C0AA8">
            <w:pPr>
              <w:pStyle w:val="EndnoteText"/>
              <w:widowControl w:val="0"/>
              <w:rPr>
                <w:color w:val="000000"/>
                <w:lang w:val="et-EE"/>
              </w:rPr>
            </w:pPr>
            <w:r w:rsidRPr="00EC3BD7">
              <w:rPr>
                <w:color w:val="000000"/>
                <w:lang w:val="et-EE"/>
              </w:rPr>
              <w:t>Kolmekordne</w:t>
            </w:r>
            <w:r w:rsidR="008248B4" w:rsidRPr="00EC3BD7">
              <w:rPr>
                <w:color w:val="000000"/>
                <w:lang w:val="et-EE"/>
              </w:rPr>
              <w:t xml:space="preserve"> IT </w:t>
            </w:r>
            <w:r w:rsidRPr="00EC3BD7">
              <w:rPr>
                <w:color w:val="000000"/>
                <w:lang w:val="et-EE"/>
              </w:rPr>
              <w:t>ravi</w:t>
            </w:r>
            <w:r w:rsidR="008248B4" w:rsidRPr="00EC3BD7">
              <w:rPr>
                <w:color w:val="000000"/>
                <w:lang w:val="et-EE"/>
              </w:rPr>
              <w:t xml:space="preserve"> (</w:t>
            </w:r>
            <w:r w:rsidRPr="00EC3BD7">
              <w:rPr>
                <w:color w:val="000000"/>
                <w:lang w:val="et-EE"/>
              </w:rPr>
              <w:t>vanusele kohandatud</w:t>
            </w:r>
            <w:r w:rsidR="008248B4" w:rsidRPr="00EC3BD7">
              <w:rPr>
                <w:color w:val="000000"/>
                <w:lang w:val="et-EE"/>
              </w:rPr>
              <w:t xml:space="preserve">): </w:t>
            </w:r>
            <w:r w:rsidRPr="00EC3BD7">
              <w:rPr>
                <w:color w:val="000000"/>
                <w:lang w:val="et-EE"/>
              </w:rPr>
              <w:t>päevadel</w:t>
            </w:r>
            <w:r w:rsidR="008248B4" w:rsidRPr="00EC3BD7">
              <w:rPr>
                <w:color w:val="000000"/>
                <w:lang w:val="et-EE"/>
              </w:rPr>
              <w:t xml:space="preserve"> 1 </w:t>
            </w:r>
            <w:r w:rsidRPr="00EC3BD7">
              <w:rPr>
                <w:color w:val="000000"/>
                <w:lang w:val="et-EE"/>
              </w:rPr>
              <w:t>j</w:t>
            </w:r>
            <w:r w:rsidR="008248B4" w:rsidRPr="00EC3BD7">
              <w:rPr>
                <w:color w:val="000000"/>
                <w:lang w:val="et-EE"/>
              </w:rPr>
              <w:t>a 22</w:t>
            </w:r>
          </w:p>
          <w:p w14:paraId="4977E030" w14:textId="77777777" w:rsidR="008248B4" w:rsidRPr="00EC3BD7" w:rsidRDefault="008248B4" w:rsidP="005C0AA8">
            <w:pPr>
              <w:pStyle w:val="EndnoteText"/>
              <w:widowControl w:val="0"/>
              <w:rPr>
                <w:color w:val="000000"/>
                <w:lang w:val="et-EE"/>
              </w:rPr>
            </w:pPr>
            <w:r w:rsidRPr="00EC3BD7">
              <w:rPr>
                <w:color w:val="000000"/>
                <w:lang w:val="et-EE"/>
              </w:rPr>
              <w:t>VP-16 (100 mg/m</w:t>
            </w:r>
            <w:r w:rsidRPr="00EC3BD7">
              <w:rPr>
                <w:color w:val="000000"/>
                <w:vertAlign w:val="superscript"/>
                <w:lang w:val="et-EE"/>
              </w:rPr>
              <w:t>2</w:t>
            </w:r>
            <w:r w:rsidRPr="00EC3BD7">
              <w:rPr>
                <w:color w:val="000000"/>
                <w:lang w:val="et-EE"/>
              </w:rPr>
              <w:t>/</w:t>
            </w:r>
            <w:r w:rsidR="00713FA4" w:rsidRPr="00EC3BD7">
              <w:rPr>
                <w:color w:val="000000"/>
                <w:lang w:val="et-EE"/>
              </w:rPr>
              <w:t>ööpäev</w:t>
            </w:r>
            <w:r w:rsidRPr="00EC3BD7">
              <w:rPr>
                <w:color w:val="000000"/>
                <w:lang w:val="et-EE"/>
              </w:rPr>
              <w:t xml:space="preserve">, IV): </w:t>
            </w:r>
            <w:r w:rsidR="00713FA4" w:rsidRPr="00EC3BD7">
              <w:rPr>
                <w:color w:val="000000"/>
                <w:lang w:val="et-EE"/>
              </w:rPr>
              <w:t>päevadel</w:t>
            </w:r>
            <w:r w:rsidRPr="00EC3BD7">
              <w:rPr>
                <w:color w:val="000000"/>
                <w:lang w:val="et-EE"/>
              </w:rPr>
              <w:t> 22</w:t>
            </w:r>
            <w:r w:rsidR="00A166A1" w:rsidRPr="00EC3BD7">
              <w:rPr>
                <w:color w:val="000000"/>
                <w:lang w:val="et-EE"/>
              </w:rPr>
              <w:t>…</w:t>
            </w:r>
            <w:r w:rsidRPr="00EC3BD7">
              <w:rPr>
                <w:color w:val="000000"/>
                <w:lang w:val="et-EE"/>
              </w:rPr>
              <w:t>26</w:t>
            </w:r>
          </w:p>
          <w:p w14:paraId="16E064E9" w14:textId="77777777" w:rsidR="008248B4" w:rsidRPr="00EC3BD7" w:rsidRDefault="008248B4" w:rsidP="005C0AA8">
            <w:pPr>
              <w:pStyle w:val="EndnoteText"/>
              <w:widowControl w:val="0"/>
              <w:rPr>
                <w:color w:val="000000"/>
                <w:lang w:val="et-EE"/>
              </w:rPr>
            </w:pPr>
            <w:r w:rsidRPr="00EC3BD7">
              <w:rPr>
                <w:color w:val="000000"/>
                <w:lang w:val="et-EE"/>
              </w:rPr>
              <w:t>CPM (300 mg/m</w:t>
            </w:r>
            <w:r w:rsidRPr="00EC3BD7">
              <w:rPr>
                <w:color w:val="000000"/>
                <w:vertAlign w:val="superscript"/>
                <w:lang w:val="et-EE"/>
              </w:rPr>
              <w:t>2</w:t>
            </w:r>
            <w:r w:rsidRPr="00EC3BD7">
              <w:rPr>
                <w:color w:val="000000"/>
                <w:lang w:val="et-EE"/>
              </w:rPr>
              <w:t>/</w:t>
            </w:r>
            <w:r w:rsidR="00713FA4" w:rsidRPr="00EC3BD7">
              <w:rPr>
                <w:color w:val="000000"/>
                <w:lang w:val="et-EE"/>
              </w:rPr>
              <w:t>ööpäev</w:t>
            </w:r>
            <w:r w:rsidRPr="00EC3BD7">
              <w:rPr>
                <w:color w:val="000000"/>
                <w:lang w:val="et-EE"/>
              </w:rPr>
              <w:t xml:space="preserve">, IV): </w:t>
            </w:r>
            <w:r w:rsidR="00713FA4" w:rsidRPr="00EC3BD7">
              <w:rPr>
                <w:color w:val="000000"/>
                <w:lang w:val="et-EE"/>
              </w:rPr>
              <w:t>päevadel</w:t>
            </w:r>
            <w:r w:rsidRPr="00EC3BD7">
              <w:rPr>
                <w:color w:val="000000"/>
                <w:lang w:val="et-EE"/>
              </w:rPr>
              <w:t> 22</w:t>
            </w:r>
            <w:r w:rsidR="00A166A1" w:rsidRPr="00EC3BD7">
              <w:rPr>
                <w:color w:val="000000"/>
                <w:lang w:val="et-EE"/>
              </w:rPr>
              <w:t>…</w:t>
            </w:r>
            <w:r w:rsidRPr="00EC3BD7">
              <w:rPr>
                <w:color w:val="000000"/>
                <w:lang w:val="et-EE"/>
              </w:rPr>
              <w:t>26</w:t>
            </w:r>
          </w:p>
          <w:p w14:paraId="398BFF75" w14:textId="77777777" w:rsidR="008248B4" w:rsidRPr="00EC3BD7" w:rsidRDefault="008248B4" w:rsidP="005C0AA8">
            <w:pPr>
              <w:pStyle w:val="EndnoteText"/>
              <w:widowControl w:val="0"/>
              <w:rPr>
                <w:color w:val="000000"/>
                <w:lang w:val="et-EE"/>
              </w:rPr>
            </w:pPr>
            <w:r w:rsidRPr="00EC3BD7">
              <w:rPr>
                <w:color w:val="000000"/>
                <w:lang w:val="et-EE"/>
              </w:rPr>
              <w:t>MESNA (150 mg/m</w:t>
            </w:r>
            <w:r w:rsidRPr="00EC3BD7">
              <w:rPr>
                <w:color w:val="000000"/>
                <w:vertAlign w:val="superscript"/>
                <w:lang w:val="et-EE"/>
              </w:rPr>
              <w:t>2</w:t>
            </w:r>
            <w:r w:rsidRPr="00EC3BD7">
              <w:rPr>
                <w:color w:val="000000"/>
                <w:lang w:val="et-EE"/>
              </w:rPr>
              <w:t>/</w:t>
            </w:r>
            <w:r w:rsidR="00713FA4" w:rsidRPr="00EC3BD7">
              <w:rPr>
                <w:color w:val="000000"/>
                <w:lang w:val="et-EE"/>
              </w:rPr>
              <w:t>ööpäev,</w:t>
            </w:r>
            <w:r w:rsidRPr="00EC3BD7">
              <w:rPr>
                <w:color w:val="000000"/>
                <w:lang w:val="et-EE"/>
              </w:rPr>
              <w:t xml:space="preserve"> IV): </w:t>
            </w:r>
            <w:r w:rsidR="00713FA4" w:rsidRPr="00EC3BD7">
              <w:rPr>
                <w:color w:val="000000"/>
                <w:lang w:val="et-EE"/>
              </w:rPr>
              <w:t>päevadel</w:t>
            </w:r>
            <w:r w:rsidRPr="00EC3BD7">
              <w:rPr>
                <w:color w:val="000000"/>
                <w:lang w:val="et-EE"/>
              </w:rPr>
              <w:t> 22</w:t>
            </w:r>
            <w:r w:rsidR="00A166A1" w:rsidRPr="00EC3BD7">
              <w:rPr>
                <w:color w:val="000000"/>
                <w:lang w:val="et-EE"/>
              </w:rPr>
              <w:t>…</w:t>
            </w:r>
            <w:r w:rsidRPr="00EC3BD7">
              <w:rPr>
                <w:color w:val="000000"/>
                <w:lang w:val="et-EE"/>
              </w:rPr>
              <w:t>26</w:t>
            </w:r>
          </w:p>
          <w:p w14:paraId="4AD409EA" w14:textId="77777777" w:rsidR="008248B4" w:rsidRPr="00EC3BD7" w:rsidRDefault="008248B4" w:rsidP="005C0AA8">
            <w:pPr>
              <w:pStyle w:val="EndnoteText"/>
              <w:widowControl w:val="0"/>
              <w:rPr>
                <w:color w:val="000000"/>
                <w:lang w:val="et-EE"/>
              </w:rPr>
            </w:pPr>
            <w:r w:rsidRPr="00EC3BD7">
              <w:rPr>
                <w:color w:val="000000"/>
                <w:lang w:val="et-EE"/>
              </w:rPr>
              <w:t xml:space="preserve">G-CSF (5 μg/kg, SC): </w:t>
            </w:r>
            <w:r w:rsidR="00713FA4" w:rsidRPr="00EC3BD7">
              <w:rPr>
                <w:color w:val="000000"/>
                <w:lang w:val="et-EE"/>
              </w:rPr>
              <w:t>päevadel</w:t>
            </w:r>
            <w:r w:rsidRPr="00EC3BD7">
              <w:rPr>
                <w:color w:val="000000"/>
                <w:lang w:val="et-EE"/>
              </w:rPr>
              <w:t> 27</w:t>
            </w:r>
            <w:r w:rsidR="00A166A1" w:rsidRPr="00EC3BD7">
              <w:rPr>
                <w:color w:val="000000"/>
                <w:lang w:val="et-EE"/>
              </w:rPr>
              <w:t>…</w:t>
            </w:r>
            <w:r w:rsidRPr="00EC3BD7">
              <w:rPr>
                <w:color w:val="000000"/>
                <w:lang w:val="et-EE"/>
              </w:rPr>
              <w:t xml:space="preserve">36 </w:t>
            </w:r>
            <w:r w:rsidR="00713FA4" w:rsidRPr="00EC3BD7">
              <w:rPr>
                <w:color w:val="000000"/>
                <w:lang w:val="et-EE"/>
              </w:rPr>
              <w:t xml:space="preserve">või kuni </w:t>
            </w:r>
            <w:r w:rsidR="002D7FE2" w:rsidRPr="00EC3BD7">
              <w:rPr>
                <w:color w:val="000000"/>
                <w:lang w:val="et-EE"/>
              </w:rPr>
              <w:t>neutrofiilide absoluutarv</w:t>
            </w:r>
            <w:r w:rsidRPr="00EC3BD7">
              <w:rPr>
                <w:color w:val="000000"/>
                <w:lang w:val="et-EE"/>
              </w:rPr>
              <w:t xml:space="preserve"> &gt;1500 </w:t>
            </w:r>
            <w:r w:rsidR="00D35B0D" w:rsidRPr="00EC3BD7">
              <w:rPr>
                <w:color w:val="000000"/>
                <w:lang w:val="et-EE"/>
              </w:rPr>
              <w:t xml:space="preserve">üle </w:t>
            </w:r>
            <w:r w:rsidR="00176773" w:rsidRPr="00EC3BD7">
              <w:rPr>
                <w:color w:val="000000"/>
                <w:lang w:val="et-EE"/>
              </w:rPr>
              <w:t xml:space="preserve">minimaalse </w:t>
            </w:r>
            <w:r w:rsidR="00D35B0D" w:rsidRPr="00EC3BD7">
              <w:rPr>
                <w:color w:val="000000"/>
                <w:lang w:val="et-EE"/>
              </w:rPr>
              <w:t>väärtuse</w:t>
            </w:r>
          </w:p>
          <w:p w14:paraId="438D2AC0" w14:textId="77777777" w:rsidR="008248B4" w:rsidRPr="00EC3BD7" w:rsidRDefault="008248B4" w:rsidP="005C0AA8">
            <w:pPr>
              <w:pStyle w:val="EndnoteText"/>
              <w:widowControl w:val="0"/>
              <w:rPr>
                <w:color w:val="000000"/>
                <w:lang w:val="et-EE"/>
              </w:rPr>
            </w:pPr>
            <w:r w:rsidRPr="00EC3BD7">
              <w:rPr>
                <w:color w:val="000000"/>
                <w:lang w:val="et-EE"/>
              </w:rPr>
              <w:t>ARA-C (3 g/m</w:t>
            </w:r>
            <w:r w:rsidRPr="00EC3BD7">
              <w:rPr>
                <w:color w:val="000000"/>
                <w:vertAlign w:val="superscript"/>
                <w:lang w:val="et-EE"/>
              </w:rPr>
              <w:t>2</w:t>
            </w:r>
            <w:r w:rsidRPr="00EC3BD7">
              <w:rPr>
                <w:color w:val="000000"/>
                <w:lang w:val="et-EE"/>
              </w:rPr>
              <w:t xml:space="preserve">, q12h, IV): </w:t>
            </w:r>
            <w:r w:rsidR="00713FA4" w:rsidRPr="00EC3BD7">
              <w:rPr>
                <w:color w:val="000000"/>
                <w:lang w:val="et-EE"/>
              </w:rPr>
              <w:t>päevadel</w:t>
            </w:r>
            <w:r w:rsidRPr="00EC3BD7">
              <w:rPr>
                <w:color w:val="000000"/>
                <w:lang w:val="et-EE"/>
              </w:rPr>
              <w:t> 43, 44</w:t>
            </w:r>
          </w:p>
          <w:p w14:paraId="19ADF24D" w14:textId="77777777" w:rsidR="008248B4" w:rsidRPr="00EC3BD7" w:rsidRDefault="008248B4" w:rsidP="00713FA4">
            <w:pPr>
              <w:pStyle w:val="EndnoteText"/>
              <w:widowControl w:val="0"/>
              <w:rPr>
                <w:color w:val="000000"/>
                <w:lang w:val="et-EE"/>
              </w:rPr>
            </w:pPr>
            <w:r w:rsidRPr="00EC3BD7">
              <w:rPr>
                <w:color w:val="000000"/>
                <w:lang w:val="et-EE"/>
              </w:rPr>
              <w:t>L-ASP (6000 </w:t>
            </w:r>
            <w:r w:rsidR="00100911" w:rsidRPr="00EC3BD7">
              <w:rPr>
                <w:color w:val="000000"/>
                <w:lang w:val="et-EE"/>
              </w:rPr>
              <w:t>RÜ</w:t>
            </w:r>
            <w:r w:rsidRPr="00EC3BD7">
              <w:rPr>
                <w:color w:val="000000"/>
                <w:lang w:val="et-EE"/>
              </w:rPr>
              <w:t>/m</w:t>
            </w:r>
            <w:r w:rsidRPr="00EC3BD7">
              <w:rPr>
                <w:color w:val="000000"/>
                <w:vertAlign w:val="superscript"/>
                <w:lang w:val="et-EE"/>
              </w:rPr>
              <w:t>2</w:t>
            </w:r>
            <w:r w:rsidRPr="00EC3BD7">
              <w:rPr>
                <w:color w:val="000000"/>
                <w:lang w:val="et-EE"/>
              </w:rPr>
              <w:t>, IM): 44</w:t>
            </w:r>
            <w:r w:rsidR="00713FA4" w:rsidRPr="00EC3BD7">
              <w:rPr>
                <w:color w:val="000000"/>
                <w:lang w:val="et-EE"/>
              </w:rPr>
              <w:t>. päeval</w:t>
            </w:r>
          </w:p>
        </w:tc>
      </w:tr>
      <w:tr w:rsidR="008248B4" w:rsidRPr="005D29F8" w14:paraId="7C3077BD" w14:textId="77777777" w:rsidTr="00F8356E">
        <w:trPr>
          <w:cantSplit/>
        </w:trPr>
        <w:tc>
          <w:tcPr>
            <w:tcW w:w="2358" w:type="dxa"/>
            <w:shd w:val="clear" w:color="auto" w:fill="auto"/>
          </w:tcPr>
          <w:p w14:paraId="30E6650D" w14:textId="77777777" w:rsidR="008248B4" w:rsidRPr="00EC3BD7" w:rsidRDefault="00713FA4" w:rsidP="005C0AA8">
            <w:pPr>
              <w:pStyle w:val="EndnoteText"/>
              <w:widowControl w:val="0"/>
              <w:rPr>
                <w:color w:val="000000"/>
                <w:lang w:val="et-EE"/>
              </w:rPr>
            </w:pPr>
            <w:r w:rsidRPr="00EC3BD7">
              <w:rPr>
                <w:color w:val="000000"/>
                <w:lang w:val="et-EE"/>
              </w:rPr>
              <w:t>Säilitusravi</w:t>
            </w:r>
          </w:p>
          <w:p w14:paraId="11BF78C5" w14:textId="77777777" w:rsidR="008248B4" w:rsidRPr="00EC3BD7" w:rsidRDefault="008248B4" w:rsidP="005C0AA8">
            <w:pPr>
              <w:pStyle w:val="EndnoteText"/>
              <w:widowControl w:val="0"/>
              <w:rPr>
                <w:color w:val="000000"/>
                <w:lang w:val="et-EE"/>
              </w:rPr>
            </w:pPr>
            <w:r w:rsidRPr="00EC3BD7">
              <w:rPr>
                <w:color w:val="000000"/>
                <w:lang w:val="et-EE"/>
              </w:rPr>
              <w:t>(8-</w:t>
            </w:r>
            <w:r w:rsidR="00713FA4" w:rsidRPr="00EC3BD7">
              <w:rPr>
                <w:color w:val="000000"/>
                <w:lang w:val="et-EE"/>
              </w:rPr>
              <w:t>nädalased tsüklid</w:t>
            </w:r>
            <w:r w:rsidRPr="00EC3BD7">
              <w:rPr>
                <w:color w:val="000000"/>
                <w:lang w:val="et-EE"/>
              </w:rPr>
              <w:t>)</w:t>
            </w:r>
          </w:p>
          <w:p w14:paraId="7988D742" w14:textId="77777777" w:rsidR="008248B4" w:rsidRPr="00EC3BD7" w:rsidRDefault="00713FA4" w:rsidP="00C10CCB">
            <w:pPr>
              <w:pStyle w:val="EndnoteText"/>
              <w:widowControl w:val="0"/>
              <w:rPr>
                <w:color w:val="000000"/>
                <w:lang w:val="et-EE"/>
              </w:rPr>
            </w:pPr>
            <w:r w:rsidRPr="00EC3BD7">
              <w:rPr>
                <w:color w:val="000000"/>
                <w:lang w:val="et-EE"/>
              </w:rPr>
              <w:t>Tsüklid</w:t>
            </w:r>
            <w:r w:rsidR="008248B4" w:rsidRPr="00EC3BD7">
              <w:rPr>
                <w:color w:val="000000"/>
                <w:lang w:val="et-EE"/>
              </w:rPr>
              <w:t> 1</w:t>
            </w:r>
            <w:r w:rsidR="00C10CCB" w:rsidRPr="00EC3BD7">
              <w:rPr>
                <w:color w:val="000000"/>
                <w:lang w:val="et-EE"/>
              </w:rPr>
              <w:t>...</w:t>
            </w:r>
            <w:r w:rsidR="008248B4" w:rsidRPr="00EC3BD7">
              <w:rPr>
                <w:color w:val="000000"/>
                <w:lang w:val="et-EE"/>
              </w:rPr>
              <w:t>4</w:t>
            </w:r>
          </w:p>
        </w:tc>
        <w:tc>
          <w:tcPr>
            <w:tcW w:w="6929" w:type="dxa"/>
            <w:shd w:val="clear" w:color="auto" w:fill="auto"/>
          </w:tcPr>
          <w:p w14:paraId="11B6F9F0" w14:textId="77777777" w:rsidR="008248B4" w:rsidRPr="00EC3BD7" w:rsidRDefault="008248B4" w:rsidP="005C0AA8">
            <w:pPr>
              <w:pStyle w:val="EndnoteText"/>
              <w:widowControl w:val="0"/>
              <w:rPr>
                <w:color w:val="000000"/>
                <w:lang w:val="et-EE"/>
              </w:rPr>
            </w:pPr>
            <w:r w:rsidRPr="00EC3BD7">
              <w:rPr>
                <w:color w:val="000000"/>
                <w:lang w:val="et-EE"/>
              </w:rPr>
              <w:t>MTX (5 g/m</w:t>
            </w:r>
            <w:r w:rsidRPr="00EC3BD7">
              <w:rPr>
                <w:color w:val="000000"/>
                <w:vertAlign w:val="superscript"/>
                <w:lang w:val="et-EE"/>
              </w:rPr>
              <w:t>2</w:t>
            </w:r>
            <w:r w:rsidRPr="00EC3BD7">
              <w:rPr>
                <w:color w:val="000000"/>
                <w:lang w:val="et-EE"/>
              </w:rPr>
              <w:t xml:space="preserve"> 24 </w:t>
            </w:r>
            <w:r w:rsidR="00713FA4" w:rsidRPr="00EC3BD7">
              <w:rPr>
                <w:color w:val="000000"/>
                <w:lang w:val="et-EE"/>
              </w:rPr>
              <w:t>tunni jooksul</w:t>
            </w:r>
            <w:r w:rsidRPr="00EC3BD7">
              <w:rPr>
                <w:color w:val="000000"/>
                <w:lang w:val="et-EE"/>
              </w:rPr>
              <w:t>, IV): 1</w:t>
            </w:r>
            <w:r w:rsidR="00713FA4" w:rsidRPr="00EC3BD7">
              <w:rPr>
                <w:color w:val="000000"/>
                <w:lang w:val="et-EE"/>
              </w:rPr>
              <w:t>. päeval</w:t>
            </w:r>
          </w:p>
          <w:p w14:paraId="339F2283" w14:textId="77777777" w:rsidR="008248B4" w:rsidRPr="00EC3BD7" w:rsidRDefault="008248B4" w:rsidP="005C0AA8">
            <w:pPr>
              <w:pStyle w:val="EndnoteText"/>
              <w:widowControl w:val="0"/>
              <w:rPr>
                <w:color w:val="000000"/>
                <w:lang w:val="et-EE"/>
              </w:rPr>
            </w:pPr>
            <w:r w:rsidRPr="00EC3BD7">
              <w:rPr>
                <w:color w:val="000000"/>
                <w:lang w:val="et-EE"/>
              </w:rPr>
              <w:t>Leu</w:t>
            </w:r>
            <w:r w:rsidR="00713FA4" w:rsidRPr="00EC3BD7">
              <w:rPr>
                <w:color w:val="000000"/>
                <w:lang w:val="et-EE"/>
              </w:rPr>
              <w:t>k</w:t>
            </w:r>
            <w:r w:rsidRPr="00EC3BD7">
              <w:rPr>
                <w:color w:val="000000"/>
                <w:lang w:val="et-EE"/>
              </w:rPr>
              <w:t>ovor</w:t>
            </w:r>
            <w:r w:rsidR="00713FA4" w:rsidRPr="00EC3BD7">
              <w:rPr>
                <w:color w:val="000000"/>
                <w:lang w:val="et-EE"/>
              </w:rPr>
              <w:t>i</w:t>
            </w:r>
            <w:r w:rsidRPr="00EC3BD7">
              <w:rPr>
                <w:color w:val="000000"/>
                <w:lang w:val="et-EE"/>
              </w:rPr>
              <w:t>in (75 mg/m</w:t>
            </w:r>
            <w:r w:rsidRPr="00EC3BD7">
              <w:rPr>
                <w:color w:val="000000"/>
                <w:vertAlign w:val="superscript"/>
                <w:lang w:val="et-EE"/>
              </w:rPr>
              <w:t>2</w:t>
            </w:r>
            <w:r w:rsidRPr="00EC3BD7">
              <w:rPr>
                <w:color w:val="000000"/>
                <w:lang w:val="et-EE"/>
              </w:rPr>
              <w:t xml:space="preserve"> 36</w:t>
            </w:r>
            <w:r w:rsidR="00713FA4" w:rsidRPr="00EC3BD7">
              <w:rPr>
                <w:color w:val="000000"/>
                <w:lang w:val="et-EE"/>
              </w:rPr>
              <w:t>. tunnil</w:t>
            </w:r>
            <w:r w:rsidRPr="00EC3BD7">
              <w:rPr>
                <w:color w:val="000000"/>
                <w:lang w:val="et-EE"/>
              </w:rPr>
              <w:t>, IV; 15 mg/m</w:t>
            </w:r>
            <w:r w:rsidRPr="00EC3BD7">
              <w:rPr>
                <w:color w:val="000000"/>
                <w:vertAlign w:val="superscript"/>
                <w:lang w:val="et-EE"/>
              </w:rPr>
              <w:t>2</w:t>
            </w:r>
            <w:r w:rsidRPr="00EC3BD7">
              <w:rPr>
                <w:color w:val="000000"/>
                <w:lang w:val="et-EE"/>
              </w:rPr>
              <w:t xml:space="preserve"> IV </w:t>
            </w:r>
            <w:r w:rsidR="00713FA4" w:rsidRPr="00EC3BD7">
              <w:rPr>
                <w:color w:val="000000"/>
                <w:lang w:val="et-EE"/>
              </w:rPr>
              <w:t>või</w:t>
            </w:r>
            <w:r w:rsidRPr="00EC3BD7">
              <w:rPr>
                <w:color w:val="000000"/>
                <w:lang w:val="et-EE"/>
              </w:rPr>
              <w:t xml:space="preserve"> PO q6h x 6</w:t>
            </w:r>
            <w:r w:rsidR="00713FA4" w:rsidRPr="00EC3BD7">
              <w:rPr>
                <w:color w:val="000000"/>
                <w:lang w:val="et-EE"/>
              </w:rPr>
              <w:t> annust</w:t>
            </w:r>
            <w:r w:rsidRPr="00EC3BD7">
              <w:rPr>
                <w:color w:val="000000"/>
                <w:lang w:val="et-EE"/>
              </w:rPr>
              <w:t xml:space="preserve">)iii: </w:t>
            </w:r>
            <w:r w:rsidR="00713FA4" w:rsidRPr="00EC3BD7">
              <w:rPr>
                <w:color w:val="000000"/>
                <w:lang w:val="et-EE"/>
              </w:rPr>
              <w:t>päevadel</w:t>
            </w:r>
            <w:r w:rsidRPr="00EC3BD7">
              <w:rPr>
                <w:color w:val="000000"/>
                <w:lang w:val="et-EE"/>
              </w:rPr>
              <w:t xml:space="preserve"> 2 </w:t>
            </w:r>
            <w:r w:rsidR="00713FA4" w:rsidRPr="00EC3BD7">
              <w:rPr>
                <w:color w:val="000000"/>
                <w:lang w:val="et-EE"/>
              </w:rPr>
              <w:t>j</w:t>
            </w:r>
            <w:r w:rsidRPr="00EC3BD7">
              <w:rPr>
                <w:color w:val="000000"/>
                <w:lang w:val="et-EE"/>
              </w:rPr>
              <w:t>a 3</w:t>
            </w:r>
          </w:p>
          <w:p w14:paraId="7AFBC983" w14:textId="77777777" w:rsidR="008248B4" w:rsidRPr="00EC3BD7" w:rsidRDefault="00713FA4" w:rsidP="005C0AA8">
            <w:pPr>
              <w:pStyle w:val="EndnoteText"/>
              <w:widowControl w:val="0"/>
              <w:rPr>
                <w:color w:val="000000"/>
                <w:lang w:val="et-EE"/>
              </w:rPr>
            </w:pPr>
            <w:r w:rsidRPr="00EC3BD7">
              <w:rPr>
                <w:color w:val="000000"/>
                <w:lang w:val="et-EE"/>
              </w:rPr>
              <w:t>Kolmekordne</w:t>
            </w:r>
            <w:r w:rsidR="008248B4" w:rsidRPr="00EC3BD7">
              <w:rPr>
                <w:color w:val="000000"/>
                <w:lang w:val="et-EE"/>
              </w:rPr>
              <w:t xml:space="preserve"> IT </w:t>
            </w:r>
            <w:r w:rsidRPr="00EC3BD7">
              <w:rPr>
                <w:color w:val="000000"/>
                <w:lang w:val="et-EE"/>
              </w:rPr>
              <w:t>ravi</w:t>
            </w:r>
            <w:r w:rsidR="008248B4" w:rsidRPr="00EC3BD7">
              <w:rPr>
                <w:color w:val="000000"/>
                <w:lang w:val="et-EE"/>
              </w:rPr>
              <w:t xml:space="preserve"> (</w:t>
            </w:r>
            <w:r w:rsidRPr="00EC3BD7">
              <w:rPr>
                <w:color w:val="000000"/>
                <w:lang w:val="et-EE"/>
              </w:rPr>
              <w:t>vanusele kohandatud</w:t>
            </w:r>
            <w:r w:rsidR="008248B4" w:rsidRPr="00EC3BD7">
              <w:rPr>
                <w:color w:val="000000"/>
                <w:lang w:val="et-EE"/>
              </w:rPr>
              <w:t xml:space="preserve">): </w:t>
            </w:r>
            <w:r w:rsidRPr="00EC3BD7">
              <w:rPr>
                <w:color w:val="000000"/>
                <w:lang w:val="et-EE"/>
              </w:rPr>
              <w:t>päevadel</w:t>
            </w:r>
            <w:r w:rsidR="008248B4" w:rsidRPr="00EC3BD7">
              <w:rPr>
                <w:color w:val="000000"/>
                <w:lang w:val="et-EE"/>
              </w:rPr>
              <w:t> 1, 29</w:t>
            </w:r>
          </w:p>
          <w:p w14:paraId="286EA333" w14:textId="77777777" w:rsidR="008248B4" w:rsidRPr="00EC3BD7" w:rsidRDefault="008248B4" w:rsidP="005C0AA8">
            <w:pPr>
              <w:pStyle w:val="EndnoteText"/>
              <w:widowControl w:val="0"/>
              <w:rPr>
                <w:color w:val="000000"/>
                <w:lang w:val="et-EE"/>
              </w:rPr>
            </w:pPr>
            <w:r w:rsidRPr="00EC3BD7">
              <w:rPr>
                <w:color w:val="000000"/>
                <w:lang w:val="et-EE"/>
              </w:rPr>
              <w:t>VCR (1</w:t>
            </w:r>
            <w:r w:rsidR="00713FA4" w:rsidRPr="00EC3BD7">
              <w:rPr>
                <w:color w:val="000000"/>
                <w:lang w:val="et-EE"/>
              </w:rPr>
              <w:t>,</w:t>
            </w:r>
            <w:r w:rsidRPr="00EC3BD7">
              <w:rPr>
                <w:color w:val="000000"/>
                <w:lang w:val="et-EE"/>
              </w:rPr>
              <w:t>5 mg/m</w:t>
            </w:r>
            <w:r w:rsidRPr="00EC3BD7">
              <w:rPr>
                <w:color w:val="000000"/>
                <w:vertAlign w:val="superscript"/>
                <w:lang w:val="et-EE"/>
              </w:rPr>
              <w:t>2</w:t>
            </w:r>
            <w:r w:rsidRPr="00EC3BD7">
              <w:rPr>
                <w:color w:val="000000"/>
                <w:lang w:val="et-EE"/>
              </w:rPr>
              <w:t xml:space="preserve">, IV): </w:t>
            </w:r>
            <w:r w:rsidR="00713FA4" w:rsidRPr="00EC3BD7">
              <w:rPr>
                <w:color w:val="000000"/>
                <w:lang w:val="et-EE"/>
              </w:rPr>
              <w:t>päevadel</w:t>
            </w:r>
            <w:r w:rsidRPr="00EC3BD7">
              <w:rPr>
                <w:color w:val="000000"/>
                <w:lang w:val="et-EE"/>
              </w:rPr>
              <w:t> 1, 29</w:t>
            </w:r>
          </w:p>
          <w:p w14:paraId="377791B4" w14:textId="77777777" w:rsidR="008248B4" w:rsidRPr="00EC3BD7" w:rsidRDefault="008248B4" w:rsidP="005C0AA8">
            <w:pPr>
              <w:pStyle w:val="EndnoteText"/>
              <w:widowControl w:val="0"/>
              <w:rPr>
                <w:color w:val="000000"/>
                <w:lang w:val="et-EE"/>
              </w:rPr>
            </w:pPr>
            <w:r w:rsidRPr="00EC3BD7">
              <w:rPr>
                <w:color w:val="000000"/>
                <w:lang w:val="et-EE"/>
              </w:rPr>
              <w:t>DEX (6 mg/m</w:t>
            </w:r>
            <w:r w:rsidRPr="00EC3BD7">
              <w:rPr>
                <w:color w:val="000000"/>
                <w:vertAlign w:val="superscript"/>
                <w:lang w:val="et-EE"/>
              </w:rPr>
              <w:t>2</w:t>
            </w:r>
            <w:r w:rsidRPr="00EC3BD7">
              <w:rPr>
                <w:color w:val="000000"/>
                <w:lang w:val="et-EE"/>
              </w:rPr>
              <w:t>/</w:t>
            </w:r>
            <w:r w:rsidR="00713FA4" w:rsidRPr="00EC3BD7">
              <w:rPr>
                <w:color w:val="000000"/>
                <w:lang w:val="et-EE"/>
              </w:rPr>
              <w:t>ööpäev</w:t>
            </w:r>
            <w:r w:rsidRPr="00EC3BD7">
              <w:rPr>
                <w:color w:val="000000"/>
                <w:lang w:val="et-EE"/>
              </w:rPr>
              <w:t xml:space="preserve"> PO): </w:t>
            </w:r>
            <w:r w:rsidR="00713FA4" w:rsidRPr="00EC3BD7">
              <w:rPr>
                <w:color w:val="000000"/>
                <w:lang w:val="et-EE"/>
              </w:rPr>
              <w:t>päevadel</w:t>
            </w:r>
            <w:r w:rsidRPr="00EC3BD7">
              <w:rPr>
                <w:color w:val="000000"/>
                <w:lang w:val="et-EE"/>
              </w:rPr>
              <w:t> 1</w:t>
            </w:r>
            <w:r w:rsidR="00C10CCB" w:rsidRPr="00EC3BD7">
              <w:rPr>
                <w:color w:val="000000"/>
                <w:lang w:val="et-EE"/>
              </w:rPr>
              <w:t>…</w:t>
            </w:r>
            <w:r w:rsidRPr="00EC3BD7">
              <w:rPr>
                <w:color w:val="000000"/>
                <w:lang w:val="et-EE"/>
              </w:rPr>
              <w:t>5; 29</w:t>
            </w:r>
            <w:r w:rsidR="00C10CCB" w:rsidRPr="00EC3BD7">
              <w:rPr>
                <w:color w:val="000000"/>
                <w:lang w:val="et-EE"/>
              </w:rPr>
              <w:t>…</w:t>
            </w:r>
            <w:r w:rsidRPr="00EC3BD7">
              <w:rPr>
                <w:color w:val="000000"/>
                <w:lang w:val="et-EE"/>
              </w:rPr>
              <w:t>33</w:t>
            </w:r>
          </w:p>
          <w:p w14:paraId="011D6662" w14:textId="77777777" w:rsidR="008248B4" w:rsidRPr="00EC3BD7" w:rsidRDefault="008248B4" w:rsidP="005C0AA8">
            <w:pPr>
              <w:pStyle w:val="EndnoteText"/>
              <w:widowControl w:val="0"/>
              <w:rPr>
                <w:color w:val="000000"/>
                <w:lang w:val="et-EE"/>
              </w:rPr>
            </w:pPr>
            <w:r w:rsidRPr="00EC3BD7">
              <w:rPr>
                <w:color w:val="000000"/>
                <w:lang w:val="et-EE"/>
              </w:rPr>
              <w:t>6-MP (75 mg/m</w:t>
            </w:r>
            <w:r w:rsidRPr="00EC3BD7">
              <w:rPr>
                <w:color w:val="000000"/>
                <w:vertAlign w:val="superscript"/>
                <w:lang w:val="et-EE"/>
              </w:rPr>
              <w:t>2</w:t>
            </w:r>
            <w:r w:rsidRPr="00EC3BD7">
              <w:rPr>
                <w:color w:val="000000"/>
                <w:lang w:val="et-EE"/>
              </w:rPr>
              <w:t>/</w:t>
            </w:r>
            <w:r w:rsidR="00713FA4" w:rsidRPr="00EC3BD7">
              <w:rPr>
                <w:color w:val="000000"/>
                <w:lang w:val="et-EE"/>
              </w:rPr>
              <w:t>ööpäev</w:t>
            </w:r>
            <w:r w:rsidRPr="00EC3BD7">
              <w:rPr>
                <w:color w:val="000000"/>
                <w:lang w:val="et-EE"/>
              </w:rPr>
              <w:t xml:space="preserve">, PO): </w:t>
            </w:r>
            <w:r w:rsidR="00713FA4" w:rsidRPr="00EC3BD7">
              <w:rPr>
                <w:color w:val="000000"/>
                <w:lang w:val="et-EE"/>
              </w:rPr>
              <w:t>päevadel</w:t>
            </w:r>
            <w:r w:rsidRPr="00EC3BD7">
              <w:rPr>
                <w:color w:val="000000"/>
                <w:lang w:val="et-EE"/>
              </w:rPr>
              <w:t> 8</w:t>
            </w:r>
            <w:r w:rsidR="00C10CCB" w:rsidRPr="00EC3BD7">
              <w:rPr>
                <w:color w:val="000000"/>
                <w:lang w:val="et-EE"/>
              </w:rPr>
              <w:t>…</w:t>
            </w:r>
            <w:r w:rsidRPr="00EC3BD7">
              <w:rPr>
                <w:color w:val="000000"/>
                <w:lang w:val="et-EE"/>
              </w:rPr>
              <w:t>28</w:t>
            </w:r>
          </w:p>
          <w:p w14:paraId="5FED75B9" w14:textId="77777777" w:rsidR="008248B4" w:rsidRPr="00EC3BD7" w:rsidRDefault="008248B4" w:rsidP="005C0AA8">
            <w:pPr>
              <w:pStyle w:val="EndnoteText"/>
              <w:widowControl w:val="0"/>
              <w:rPr>
                <w:color w:val="000000"/>
                <w:lang w:val="et-EE"/>
              </w:rPr>
            </w:pPr>
            <w:r w:rsidRPr="00EC3BD7">
              <w:rPr>
                <w:color w:val="000000"/>
                <w:lang w:val="et-EE"/>
              </w:rPr>
              <w:t>Metotre</w:t>
            </w:r>
            <w:r w:rsidR="00713FA4" w:rsidRPr="00EC3BD7">
              <w:rPr>
                <w:color w:val="000000"/>
                <w:lang w:val="et-EE"/>
              </w:rPr>
              <w:t>ksa</w:t>
            </w:r>
            <w:r w:rsidRPr="00EC3BD7">
              <w:rPr>
                <w:color w:val="000000"/>
                <w:lang w:val="et-EE"/>
              </w:rPr>
              <w:t>at (20 mg/m</w:t>
            </w:r>
            <w:r w:rsidRPr="00EC3BD7">
              <w:rPr>
                <w:color w:val="000000"/>
                <w:vertAlign w:val="superscript"/>
                <w:lang w:val="et-EE"/>
              </w:rPr>
              <w:t>2</w:t>
            </w:r>
            <w:r w:rsidRPr="00EC3BD7">
              <w:rPr>
                <w:color w:val="000000"/>
                <w:lang w:val="et-EE"/>
              </w:rPr>
              <w:t>/</w:t>
            </w:r>
            <w:r w:rsidR="00713FA4" w:rsidRPr="00EC3BD7">
              <w:rPr>
                <w:color w:val="000000"/>
                <w:lang w:val="et-EE"/>
              </w:rPr>
              <w:t>nädal</w:t>
            </w:r>
            <w:r w:rsidRPr="00EC3BD7">
              <w:rPr>
                <w:color w:val="000000"/>
                <w:lang w:val="et-EE"/>
              </w:rPr>
              <w:t xml:space="preserve">, PO): </w:t>
            </w:r>
            <w:r w:rsidR="00713FA4" w:rsidRPr="00EC3BD7">
              <w:rPr>
                <w:color w:val="000000"/>
                <w:lang w:val="et-EE"/>
              </w:rPr>
              <w:t>päevadel</w:t>
            </w:r>
            <w:r w:rsidRPr="00EC3BD7">
              <w:rPr>
                <w:color w:val="000000"/>
                <w:lang w:val="et-EE"/>
              </w:rPr>
              <w:t> 8, 15, 22</w:t>
            </w:r>
          </w:p>
          <w:p w14:paraId="33CA15EC" w14:textId="77777777" w:rsidR="008248B4" w:rsidRPr="00EC3BD7" w:rsidRDefault="008248B4" w:rsidP="005C0AA8">
            <w:pPr>
              <w:pStyle w:val="EndnoteText"/>
              <w:widowControl w:val="0"/>
              <w:rPr>
                <w:color w:val="000000"/>
                <w:lang w:val="et-EE"/>
              </w:rPr>
            </w:pPr>
            <w:r w:rsidRPr="00EC3BD7">
              <w:rPr>
                <w:color w:val="000000"/>
                <w:lang w:val="et-EE"/>
              </w:rPr>
              <w:t>VP-16 (100 mg/m</w:t>
            </w:r>
            <w:r w:rsidRPr="00EC3BD7">
              <w:rPr>
                <w:color w:val="000000"/>
                <w:vertAlign w:val="superscript"/>
                <w:lang w:val="et-EE"/>
              </w:rPr>
              <w:t>2</w:t>
            </w:r>
            <w:r w:rsidRPr="00EC3BD7">
              <w:rPr>
                <w:color w:val="000000"/>
                <w:lang w:val="et-EE"/>
              </w:rPr>
              <w:t xml:space="preserve">, IV): </w:t>
            </w:r>
            <w:r w:rsidR="00713FA4" w:rsidRPr="00EC3BD7">
              <w:rPr>
                <w:color w:val="000000"/>
                <w:lang w:val="et-EE"/>
              </w:rPr>
              <w:t>päevadel </w:t>
            </w:r>
            <w:r w:rsidRPr="00EC3BD7">
              <w:rPr>
                <w:color w:val="000000"/>
                <w:lang w:val="et-EE"/>
              </w:rPr>
              <w:t>29</w:t>
            </w:r>
            <w:r w:rsidR="00C10CCB" w:rsidRPr="00EC3BD7">
              <w:rPr>
                <w:color w:val="000000"/>
                <w:lang w:val="et-EE"/>
              </w:rPr>
              <w:t>…</w:t>
            </w:r>
            <w:r w:rsidRPr="00EC3BD7">
              <w:rPr>
                <w:color w:val="000000"/>
                <w:lang w:val="et-EE"/>
              </w:rPr>
              <w:t>33</w:t>
            </w:r>
          </w:p>
          <w:p w14:paraId="6AB7CA43" w14:textId="77777777" w:rsidR="008248B4" w:rsidRPr="00EC3BD7" w:rsidRDefault="008248B4" w:rsidP="005C0AA8">
            <w:pPr>
              <w:pStyle w:val="EndnoteText"/>
              <w:widowControl w:val="0"/>
              <w:rPr>
                <w:color w:val="000000"/>
                <w:lang w:val="et-EE"/>
              </w:rPr>
            </w:pPr>
            <w:r w:rsidRPr="00EC3BD7">
              <w:rPr>
                <w:color w:val="000000"/>
                <w:lang w:val="et-EE"/>
              </w:rPr>
              <w:t>CPM (300 mg/m</w:t>
            </w:r>
            <w:r w:rsidRPr="00EC3BD7">
              <w:rPr>
                <w:color w:val="000000"/>
                <w:vertAlign w:val="superscript"/>
                <w:lang w:val="et-EE"/>
              </w:rPr>
              <w:t>2</w:t>
            </w:r>
            <w:r w:rsidRPr="00EC3BD7">
              <w:rPr>
                <w:color w:val="000000"/>
                <w:lang w:val="et-EE"/>
              </w:rPr>
              <w:t xml:space="preserve">, IV): </w:t>
            </w:r>
            <w:r w:rsidR="00713FA4" w:rsidRPr="00EC3BD7">
              <w:rPr>
                <w:color w:val="000000"/>
                <w:lang w:val="et-EE"/>
              </w:rPr>
              <w:t>päevadel</w:t>
            </w:r>
            <w:r w:rsidRPr="00EC3BD7">
              <w:rPr>
                <w:color w:val="000000"/>
                <w:lang w:val="et-EE"/>
              </w:rPr>
              <w:t> 29</w:t>
            </w:r>
            <w:r w:rsidR="00C10CCB" w:rsidRPr="00EC3BD7">
              <w:rPr>
                <w:color w:val="000000"/>
                <w:lang w:val="et-EE"/>
              </w:rPr>
              <w:t>…</w:t>
            </w:r>
            <w:r w:rsidRPr="00EC3BD7">
              <w:rPr>
                <w:color w:val="000000"/>
                <w:lang w:val="et-EE"/>
              </w:rPr>
              <w:t>33</w:t>
            </w:r>
          </w:p>
          <w:p w14:paraId="27D749C7" w14:textId="77777777" w:rsidR="008248B4" w:rsidRPr="00EC3BD7" w:rsidRDefault="008248B4" w:rsidP="005C0AA8">
            <w:pPr>
              <w:pStyle w:val="EndnoteText"/>
              <w:widowControl w:val="0"/>
              <w:rPr>
                <w:color w:val="000000"/>
                <w:lang w:val="et-EE"/>
              </w:rPr>
            </w:pPr>
            <w:r w:rsidRPr="00EC3BD7">
              <w:rPr>
                <w:color w:val="000000"/>
                <w:lang w:val="et-EE"/>
              </w:rPr>
              <w:t>M</w:t>
            </w:r>
            <w:r w:rsidR="006845C4" w:rsidRPr="00EC3BD7">
              <w:rPr>
                <w:color w:val="000000"/>
                <w:lang w:val="et-EE"/>
              </w:rPr>
              <w:t>ESNA</w:t>
            </w:r>
            <w:r w:rsidRPr="00EC3BD7">
              <w:rPr>
                <w:color w:val="000000"/>
                <w:lang w:val="et-EE"/>
              </w:rPr>
              <w:t xml:space="preserve"> IV </w:t>
            </w:r>
            <w:r w:rsidR="00713FA4" w:rsidRPr="00EC3BD7">
              <w:rPr>
                <w:color w:val="000000"/>
                <w:lang w:val="et-EE"/>
              </w:rPr>
              <w:t>päevadel</w:t>
            </w:r>
            <w:r w:rsidRPr="00EC3BD7">
              <w:rPr>
                <w:color w:val="000000"/>
                <w:lang w:val="et-EE"/>
              </w:rPr>
              <w:t> 29</w:t>
            </w:r>
            <w:r w:rsidR="00C10CCB" w:rsidRPr="00EC3BD7">
              <w:rPr>
                <w:color w:val="000000"/>
                <w:lang w:val="et-EE"/>
              </w:rPr>
              <w:t>…</w:t>
            </w:r>
            <w:r w:rsidRPr="00EC3BD7">
              <w:rPr>
                <w:color w:val="000000"/>
                <w:lang w:val="et-EE"/>
              </w:rPr>
              <w:t>33</w:t>
            </w:r>
          </w:p>
          <w:p w14:paraId="09361E2E" w14:textId="77777777" w:rsidR="008248B4" w:rsidRPr="00EC3BD7" w:rsidRDefault="008248B4" w:rsidP="00C10CCB">
            <w:pPr>
              <w:pStyle w:val="EndnoteText"/>
              <w:widowControl w:val="0"/>
              <w:rPr>
                <w:color w:val="000000"/>
                <w:lang w:val="et-EE"/>
              </w:rPr>
            </w:pPr>
            <w:r w:rsidRPr="00EC3BD7">
              <w:rPr>
                <w:color w:val="000000"/>
                <w:lang w:val="et-EE"/>
              </w:rPr>
              <w:t xml:space="preserve">G-CSF (5 μg/kg, SC): </w:t>
            </w:r>
            <w:r w:rsidR="00713FA4" w:rsidRPr="00EC3BD7">
              <w:rPr>
                <w:color w:val="000000"/>
                <w:lang w:val="et-EE"/>
              </w:rPr>
              <w:t>päevadel</w:t>
            </w:r>
            <w:r w:rsidRPr="00EC3BD7">
              <w:rPr>
                <w:color w:val="000000"/>
                <w:lang w:val="et-EE"/>
              </w:rPr>
              <w:t> 34</w:t>
            </w:r>
            <w:r w:rsidR="00C10CCB" w:rsidRPr="00EC3BD7">
              <w:rPr>
                <w:color w:val="000000"/>
                <w:lang w:val="et-EE"/>
              </w:rPr>
              <w:t>…</w:t>
            </w:r>
            <w:r w:rsidRPr="00EC3BD7">
              <w:rPr>
                <w:color w:val="000000"/>
                <w:lang w:val="et-EE"/>
              </w:rPr>
              <w:t>43</w:t>
            </w:r>
          </w:p>
        </w:tc>
      </w:tr>
      <w:tr w:rsidR="008248B4" w:rsidRPr="005D29F8" w14:paraId="2EE8CF01" w14:textId="77777777" w:rsidTr="00F8356E">
        <w:trPr>
          <w:cantSplit/>
        </w:trPr>
        <w:tc>
          <w:tcPr>
            <w:tcW w:w="2358" w:type="dxa"/>
            <w:shd w:val="clear" w:color="auto" w:fill="auto"/>
          </w:tcPr>
          <w:p w14:paraId="6A6E943B" w14:textId="77777777" w:rsidR="008248B4" w:rsidRPr="00EC3BD7" w:rsidRDefault="006845C4" w:rsidP="005C0AA8">
            <w:pPr>
              <w:pStyle w:val="EndnoteText"/>
              <w:widowControl w:val="0"/>
              <w:rPr>
                <w:color w:val="000000"/>
                <w:lang w:val="et-EE"/>
              </w:rPr>
            </w:pPr>
            <w:r w:rsidRPr="00EC3BD7">
              <w:rPr>
                <w:color w:val="000000"/>
                <w:lang w:val="et-EE"/>
              </w:rPr>
              <w:t>Säilitusravi</w:t>
            </w:r>
          </w:p>
          <w:p w14:paraId="2F397DF7" w14:textId="77777777" w:rsidR="008248B4" w:rsidRPr="00EC3BD7" w:rsidRDefault="008248B4" w:rsidP="005C0AA8">
            <w:pPr>
              <w:pStyle w:val="EndnoteText"/>
              <w:widowControl w:val="0"/>
              <w:rPr>
                <w:color w:val="000000"/>
                <w:lang w:val="et-EE"/>
              </w:rPr>
            </w:pPr>
            <w:r w:rsidRPr="00EC3BD7">
              <w:rPr>
                <w:color w:val="000000"/>
                <w:lang w:val="et-EE"/>
              </w:rPr>
              <w:t>(8-</w:t>
            </w:r>
            <w:r w:rsidR="006845C4" w:rsidRPr="00EC3BD7">
              <w:rPr>
                <w:color w:val="000000"/>
                <w:lang w:val="et-EE"/>
              </w:rPr>
              <w:t>nädalased tsüklid</w:t>
            </w:r>
            <w:r w:rsidRPr="00EC3BD7">
              <w:rPr>
                <w:color w:val="000000"/>
                <w:lang w:val="et-EE"/>
              </w:rPr>
              <w:t>)</w:t>
            </w:r>
          </w:p>
          <w:p w14:paraId="4BA24119" w14:textId="77777777" w:rsidR="008248B4" w:rsidRPr="00EC3BD7" w:rsidRDefault="006845C4" w:rsidP="006845C4">
            <w:pPr>
              <w:pStyle w:val="EndnoteText"/>
              <w:widowControl w:val="0"/>
              <w:rPr>
                <w:color w:val="000000"/>
                <w:lang w:val="et-EE"/>
              </w:rPr>
            </w:pPr>
            <w:r w:rsidRPr="00EC3BD7">
              <w:rPr>
                <w:color w:val="000000"/>
                <w:lang w:val="et-EE"/>
              </w:rPr>
              <w:t>Tsükkel</w:t>
            </w:r>
            <w:r w:rsidR="008248B4" w:rsidRPr="00EC3BD7">
              <w:rPr>
                <w:color w:val="000000"/>
                <w:lang w:val="et-EE"/>
              </w:rPr>
              <w:t> 5</w:t>
            </w:r>
          </w:p>
        </w:tc>
        <w:tc>
          <w:tcPr>
            <w:tcW w:w="6929" w:type="dxa"/>
            <w:shd w:val="clear" w:color="auto" w:fill="auto"/>
          </w:tcPr>
          <w:p w14:paraId="2AA84A27" w14:textId="77777777" w:rsidR="008248B4" w:rsidRPr="00EC3BD7" w:rsidRDefault="006845C4" w:rsidP="005C0AA8">
            <w:pPr>
              <w:pStyle w:val="EndnoteText"/>
              <w:widowControl w:val="0"/>
              <w:rPr>
                <w:color w:val="000000"/>
                <w:lang w:val="et-EE"/>
              </w:rPr>
            </w:pPr>
            <w:r w:rsidRPr="00EC3BD7">
              <w:rPr>
                <w:color w:val="000000"/>
                <w:lang w:val="et-EE"/>
              </w:rPr>
              <w:t>Kraniaalkiiritus</w:t>
            </w:r>
            <w:r w:rsidR="008248B4" w:rsidRPr="00EC3BD7">
              <w:rPr>
                <w:color w:val="000000"/>
                <w:lang w:val="et-EE"/>
              </w:rPr>
              <w:t xml:space="preserve"> (</w:t>
            </w:r>
            <w:r w:rsidRPr="00EC3BD7">
              <w:rPr>
                <w:color w:val="000000"/>
                <w:lang w:val="et-EE"/>
              </w:rPr>
              <w:t>ainult rühm</w:t>
            </w:r>
            <w:r w:rsidR="008248B4" w:rsidRPr="00EC3BD7">
              <w:rPr>
                <w:color w:val="000000"/>
                <w:lang w:val="et-EE"/>
              </w:rPr>
              <w:t> 5)</w:t>
            </w:r>
          </w:p>
          <w:p w14:paraId="15318D7E" w14:textId="77777777" w:rsidR="008248B4" w:rsidRPr="00EC3BD7" w:rsidRDefault="008248B4" w:rsidP="005C0AA8">
            <w:pPr>
              <w:pStyle w:val="EndnoteText"/>
              <w:widowControl w:val="0"/>
              <w:rPr>
                <w:color w:val="000000"/>
                <w:lang w:val="et-EE"/>
              </w:rPr>
            </w:pPr>
            <w:r w:rsidRPr="00EC3BD7">
              <w:rPr>
                <w:color w:val="000000"/>
                <w:lang w:val="et-EE"/>
              </w:rPr>
              <w:t>12 Gy 8 fra</w:t>
            </w:r>
            <w:r w:rsidR="00D35B0D" w:rsidRPr="00EC3BD7">
              <w:rPr>
                <w:color w:val="000000"/>
                <w:lang w:val="et-EE"/>
              </w:rPr>
              <w:t>kts</w:t>
            </w:r>
            <w:r w:rsidRPr="00EC3BD7">
              <w:rPr>
                <w:color w:val="000000"/>
                <w:lang w:val="et-EE"/>
              </w:rPr>
              <w:t>i</w:t>
            </w:r>
            <w:r w:rsidR="00D35B0D" w:rsidRPr="00EC3BD7">
              <w:rPr>
                <w:color w:val="000000"/>
                <w:lang w:val="et-EE"/>
              </w:rPr>
              <w:t>o</w:t>
            </w:r>
            <w:r w:rsidRPr="00EC3BD7">
              <w:rPr>
                <w:color w:val="000000"/>
                <w:lang w:val="et-EE"/>
              </w:rPr>
              <w:t>on</w:t>
            </w:r>
            <w:r w:rsidR="00D35B0D" w:rsidRPr="00EC3BD7">
              <w:rPr>
                <w:color w:val="000000"/>
                <w:lang w:val="et-EE"/>
              </w:rPr>
              <w:t>ina kõigil patsientidel, ke</w:t>
            </w:r>
            <w:r w:rsidR="00B179F5" w:rsidRPr="00EC3BD7">
              <w:rPr>
                <w:color w:val="000000"/>
                <w:lang w:val="et-EE"/>
              </w:rPr>
              <w:t>llel</w:t>
            </w:r>
            <w:r w:rsidR="00D35B0D" w:rsidRPr="00EC3BD7">
              <w:rPr>
                <w:color w:val="000000"/>
                <w:lang w:val="et-EE"/>
              </w:rPr>
              <w:t xml:space="preserve"> o</w:t>
            </w:r>
            <w:r w:rsidR="009E05E9" w:rsidRPr="00EC3BD7">
              <w:rPr>
                <w:color w:val="000000"/>
                <w:lang w:val="et-EE"/>
              </w:rPr>
              <w:t xml:space="preserve">li </w:t>
            </w:r>
            <w:r w:rsidR="00D35B0D" w:rsidRPr="00EC3BD7">
              <w:rPr>
                <w:color w:val="000000"/>
                <w:lang w:val="et-EE"/>
              </w:rPr>
              <w:t xml:space="preserve">diagnoosimisel </w:t>
            </w:r>
            <w:r w:rsidRPr="00EC3BD7">
              <w:rPr>
                <w:color w:val="000000"/>
                <w:lang w:val="et-EE"/>
              </w:rPr>
              <w:t xml:space="preserve">CNS1 </w:t>
            </w:r>
            <w:r w:rsidR="00D35B0D" w:rsidRPr="00EC3BD7">
              <w:rPr>
                <w:color w:val="000000"/>
                <w:lang w:val="et-EE"/>
              </w:rPr>
              <w:t>j</w:t>
            </w:r>
            <w:r w:rsidRPr="00EC3BD7">
              <w:rPr>
                <w:color w:val="000000"/>
                <w:lang w:val="et-EE"/>
              </w:rPr>
              <w:t>a CNS2</w:t>
            </w:r>
          </w:p>
          <w:p w14:paraId="290DCDA7" w14:textId="77777777" w:rsidR="008248B4" w:rsidRPr="00EC3BD7" w:rsidRDefault="008248B4" w:rsidP="005C0AA8">
            <w:pPr>
              <w:pStyle w:val="EndnoteText"/>
              <w:widowControl w:val="0"/>
              <w:rPr>
                <w:color w:val="000000"/>
                <w:lang w:val="et-EE"/>
              </w:rPr>
            </w:pPr>
            <w:r w:rsidRPr="00EC3BD7">
              <w:rPr>
                <w:color w:val="000000"/>
                <w:lang w:val="et-EE"/>
              </w:rPr>
              <w:t>18 Gy 10 fra</w:t>
            </w:r>
            <w:r w:rsidR="00D35B0D" w:rsidRPr="00EC3BD7">
              <w:rPr>
                <w:color w:val="000000"/>
                <w:lang w:val="et-EE"/>
              </w:rPr>
              <w:t>k</w:t>
            </w:r>
            <w:r w:rsidRPr="00EC3BD7">
              <w:rPr>
                <w:color w:val="000000"/>
                <w:lang w:val="et-EE"/>
              </w:rPr>
              <w:t>t</w:t>
            </w:r>
            <w:r w:rsidR="00D35B0D" w:rsidRPr="00EC3BD7">
              <w:rPr>
                <w:color w:val="000000"/>
                <w:lang w:val="et-EE"/>
              </w:rPr>
              <w:t>s</w:t>
            </w:r>
            <w:r w:rsidRPr="00EC3BD7">
              <w:rPr>
                <w:color w:val="000000"/>
                <w:lang w:val="et-EE"/>
              </w:rPr>
              <w:t>io</w:t>
            </w:r>
            <w:r w:rsidR="00D35B0D" w:rsidRPr="00EC3BD7">
              <w:rPr>
                <w:color w:val="000000"/>
                <w:lang w:val="et-EE"/>
              </w:rPr>
              <w:t>o</w:t>
            </w:r>
            <w:r w:rsidRPr="00EC3BD7">
              <w:rPr>
                <w:color w:val="000000"/>
                <w:lang w:val="et-EE"/>
              </w:rPr>
              <w:t>n</w:t>
            </w:r>
            <w:r w:rsidR="00D35B0D" w:rsidRPr="00EC3BD7">
              <w:rPr>
                <w:color w:val="000000"/>
                <w:lang w:val="et-EE"/>
              </w:rPr>
              <w:t>ina patsientidel, ke</w:t>
            </w:r>
            <w:r w:rsidR="00B179F5" w:rsidRPr="00EC3BD7">
              <w:rPr>
                <w:color w:val="000000"/>
                <w:lang w:val="et-EE"/>
              </w:rPr>
              <w:t>llel</w:t>
            </w:r>
            <w:r w:rsidR="00D35B0D" w:rsidRPr="00EC3BD7">
              <w:rPr>
                <w:color w:val="000000"/>
                <w:lang w:val="et-EE"/>
              </w:rPr>
              <w:t xml:space="preserve"> o</w:t>
            </w:r>
            <w:r w:rsidR="009E05E9" w:rsidRPr="00EC3BD7">
              <w:rPr>
                <w:color w:val="000000"/>
                <w:lang w:val="et-EE"/>
              </w:rPr>
              <w:t>li</w:t>
            </w:r>
            <w:r w:rsidR="00D35B0D" w:rsidRPr="00EC3BD7">
              <w:rPr>
                <w:color w:val="000000"/>
                <w:lang w:val="et-EE"/>
              </w:rPr>
              <w:t xml:space="preserve"> diagnoosimisel </w:t>
            </w:r>
            <w:r w:rsidRPr="00EC3BD7">
              <w:rPr>
                <w:color w:val="000000"/>
                <w:lang w:val="et-EE"/>
              </w:rPr>
              <w:t>CNS3</w:t>
            </w:r>
          </w:p>
          <w:p w14:paraId="11973FF6" w14:textId="77777777" w:rsidR="008248B4" w:rsidRPr="00EC3BD7" w:rsidRDefault="008248B4" w:rsidP="005C0AA8">
            <w:pPr>
              <w:pStyle w:val="EndnoteText"/>
              <w:widowControl w:val="0"/>
              <w:rPr>
                <w:color w:val="000000"/>
                <w:lang w:val="et-EE"/>
              </w:rPr>
            </w:pPr>
            <w:r w:rsidRPr="00EC3BD7">
              <w:rPr>
                <w:color w:val="000000"/>
                <w:lang w:val="et-EE"/>
              </w:rPr>
              <w:t>VCR (1</w:t>
            </w:r>
            <w:r w:rsidR="006845C4" w:rsidRPr="00EC3BD7">
              <w:rPr>
                <w:color w:val="000000"/>
                <w:lang w:val="et-EE"/>
              </w:rPr>
              <w:t>,</w:t>
            </w:r>
            <w:r w:rsidRPr="00EC3BD7">
              <w:rPr>
                <w:color w:val="000000"/>
                <w:lang w:val="et-EE"/>
              </w:rPr>
              <w:t>5 mg/m</w:t>
            </w:r>
            <w:r w:rsidRPr="00EC3BD7">
              <w:rPr>
                <w:color w:val="000000"/>
                <w:vertAlign w:val="superscript"/>
                <w:lang w:val="et-EE"/>
              </w:rPr>
              <w:t>2</w:t>
            </w:r>
            <w:r w:rsidRPr="00EC3BD7">
              <w:rPr>
                <w:color w:val="000000"/>
                <w:lang w:val="et-EE"/>
              </w:rPr>
              <w:t>/</w:t>
            </w:r>
            <w:r w:rsidR="006845C4" w:rsidRPr="00EC3BD7">
              <w:rPr>
                <w:color w:val="000000"/>
                <w:lang w:val="et-EE"/>
              </w:rPr>
              <w:t>ööpäev</w:t>
            </w:r>
            <w:r w:rsidRPr="00EC3BD7">
              <w:rPr>
                <w:color w:val="000000"/>
                <w:lang w:val="et-EE"/>
              </w:rPr>
              <w:t xml:space="preserve">, IV): </w:t>
            </w:r>
            <w:r w:rsidR="006845C4" w:rsidRPr="00EC3BD7">
              <w:rPr>
                <w:color w:val="000000"/>
                <w:lang w:val="et-EE"/>
              </w:rPr>
              <w:t>päevadel</w:t>
            </w:r>
            <w:r w:rsidRPr="00EC3BD7">
              <w:rPr>
                <w:color w:val="000000"/>
                <w:lang w:val="et-EE"/>
              </w:rPr>
              <w:t> 1, 29</w:t>
            </w:r>
          </w:p>
          <w:p w14:paraId="727D6DFF" w14:textId="77777777" w:rsidR="008248B4" w:rsidRPr="00EC3BD7" w:rsidRDefault="008248B4" w:rsidP="005C0AA8">
            <w:pPr>
              <w:pStyle w:val="EndnoteText"/>
              <w:widowControl w:val="0"/>
              <w:rPr>
                <w:color w:val="000000"/>
                <w:lang w:val="et-EE"/>
              </w:rPr>
            </w:pPr>
            <w:r w:rsidRPr="00EC3BD7">
              <w:rPr>
                <w:color w:val="000000"/>
                <w:lang w:val="et-EE"/>
              </w:rPr>
              <w:t>DEX (6 mg/m</w:t>
            </w:r>
            <w:r w:rsidRPr="00EC3BD7">
              <w:rPr>
                <w:color w:val="000000"/>
                <w:vertAlign w:val="superscript"/>
                <w:lang w:val="et-EE"/>
              </w:rPr>
              <w:t>2</w:t>
            </w:r>
            <w:r w:rsidRPr="00EC3BD7">
              <w:rPr>
                <w:color w:val="000000"/>
                <w:lang w:val="et-EE"/>
              </w:rPr>
              <w:t>/</w:t>
            </w:r>
            <w:r w:rsidR="006845C4" w:rsidRPr="00EC3BD7">
              <w:rPr>
                <w:color w:val="000000"/>
                <w:lang w:val="et-EE"/>
              </w:rPr>
              <w:t>ööpäev</w:t>
            </w:r>
            <w:r w:rsidRPr="00EC3BD7">
              <w:rPr>
                <w:color w:val="000000"/>
                <w:lang w:val="et-EE"/>
              </w:rPr>
              <w:t xml:space="preserve">, PO): </w:t>
            </w:r>
            <w:r w:rsidR="006845C4" w:rsidRPr="00EC3BD7">
              <w:rPr>
                <w:color w:val="000000"/>
                <w:lang w:val="et-EE"/>
              </w:rPr>
              <w:t>päevadel</w:t>
            </w:r>
            <w:r w:rsidRPr="00EC3BD7">
              <w:rPr>
                <w:color w:val="000000"/>
                <w:lang w:val="et-EE"/>
              </w:rPr>
              <w:t> 1</w:t>
            </w:r>
            <w:r w:rsidR="00C10CCB" w:rsidRPr="00EC3BD7">
              <w:rPr>
                <w:color w:val="000000"/>
                <w:lang w:val="et-EE"/>
              </w:rPr>
              <w:t>…</w:t>
            </w:r>
            <w:r w:rsidRPr="00EC3BD7">
              <w:rPr>
                <w:color w:val="000000"/>
                <w:lang w:val="et-EE"/>
              </w:rPr>
              <w:t>5; 29</w:t>
            </w:r>
            <w:r w:rsidR="00C10CCB" w:rsidRPr="00EC3BD7">
              <w:rPr>
                <w:color w:val="000000"/>
                <w:lang w:val="et-EE"/>
              </w:rPr>
              <w:t>…</w:t>
            </w:r>
            <w:r w:rsidRPr="00EC3BD7">
              <w:rPr>
                <w:color w:val="000000"/>
                <w:lang w:val="et-EE"/>
              </w:rPr>
              <w:t>33</w:t>
            </w:r>
          </w:p>
          <w:p w14:paraId="50F1C13A" w14:textId="77777777" w:rsidR="008248B4" w:rsidRPr="00EC3BD7" w:rsidRDefault="008248B4" w:rsidP="005C0AA8">
            <w:pPr>
              <w:pStyle w:val="EndnoteText"/>
              <w:widowControl w:val="0"/>
              <w:rPr>
                <w:color w:val="000000"/>
                <w:lang w:val="et-EE"/>
              </w:rPr>
            </w:pPr>
            <w:r w:rsidRPr="00EC3BD7">
              <w:rPr>
                <w:color w:val="000000"/>
                <w:lang w:val="et-EE"/>
              </w:rPr>
              <w:t>6-MP (75 mg/m</w:t>
            </w:r>
            <w:r w:rsidRPr="00EC3BD7">
              <w:rPr>
                <w:color w:val="000000"/>
                <w:vertAlign w:val="superscript"/>
                <w:lang w:val="et-EE"/>
              </w:rPr>
              <w:t>2</w:t>
            </w:r>
            <w:r w:rsidRPr="00EC3BD7">
              <w:rPr>
                <w:color w:val="000000"/>
                <w:lang w:val="et-EE"/>
              </w:rPr>
              <w:t>/</w:t>
            </w:r>
            <w:r w:rsidR="006845C4" w:rsidRPr="00EC3BD7">
              <w:rPr>
                <w:color w:val="000000"/>
                <w:lang w:val="et-EE"/>
              </w:rPr>
              <w:t>ööpäev</w:t>
            </w:r>
            <w:r w:rsidRPr="00EC3BD7">
              <w:rPr>
                <w:color w:val="000000"/>
                <w:lang w:val="et-EE"/>
              </w:rPr>
              <w:t xml:space="preserve">, PO): </w:t>
            </w:r>
            <w:r w:rsidR="006845C4" w:rsidRPr="00EC3BD7">
              <w:rPr>
                <w:color w:val="000000"/>
                <w:lang w:val="et-EE"/>
              </w:rPr>
              <w:t>päevadel</w:t>
            </w:r>
            <w:r w:rsidRPr="00EC3BD7">
              <w:rPr>
                <w:color w:val="000000"/>
                <w:lang w:val="et-EE"/>
              </w:rPr>
              <w:t> 11</w:t>
            </w:r>
            <w:r w:rsidR="00C10CCB" w:rsidRPr="00EC3BD7">
              <w:rPr>
                <w:color w:val="000000"/>
                <w:lang w:val="et-EE"/>
              </w:rPr>
              <w:t>…</w:t>
            </w:r>
            <w:r w:rsidRPr="00EC3BD7">
              <w:rPr>
                <w:color w:val="000000"/>
                <w:lang w:val="et-EE"/>
              </w:rPr>
              <w:t xml:space="preserve">56 (6-MP </w:t>
            </w:r>
            <w:r w:rsidR="006845C4" w:rsidRPr="00EC3BD7">
              <w:rPr>
                <w:color w:val="000000"/>
                <w:lang w:val="et-EE"/>
              </w:rPr>
              <w:t xml:space="preserve">ei manustata </w:t>
            </w:r>
            <w:r w:rsidR="006B3AA9" w:rsidRPr="00EC3BD7">
              <w:rPr>
                <w:color w:val="000000"/>
                <w:lang w:val="et-EE"/>
              </w:rPr>
              <w:t xml:space="preserve">kraniaalse kiiritusravi </w:t>
            </w:r>
            <w:r w:rsidR="006845C4" w:rsidRPr="00EC3BD7">
              <w:rPr>
                <w:color w:val="000000"/>
                <w:lang w:val="et-EE"/>
              </w:rPr>
              <w:t>päevadel </w:t>
            </w:r>
            <w:r w:rsidRPr="00EC3BD7">
              <w:rPr>
                <w:color w:val="000000"/>
                <w:lang w:val="et-EE"/>
              </w:rPr>
              <w:t>6</w:t>
            </w:r>
            <w:r w:rsidR="00C10CCB" w:rsidRPr="00EC3BD7">
              <w:rPr>
                <w:color w:val="000000"/>
                <w:lang w:val="et-EE"/>
              </w:rPr>
              <w:t>…</w:t>
            </w:r>
            <w:r w:rsidRPr="00EC3BD7">
              <w:rPr>
                <w:color w:val="000000"/>
                <w:lang w:val="et-EE"/>
              </w:rPr>
              <w:t xml:space="preserve">10 </w:t>
            </w:r>
            <w:r w:rsidR="006B3AA9" w:rsidRPr="00EC3BD7">
              <w:rPr>
                <w:color w:val="000000"/>
                <w:lang w:val="et-EE"/>
              </w:rPr>
              <w:t xml:space="preserve">alates 5. tsükli </w:t>
            </w:r>
            <w:r w:rsidRPr="00EC3BD7">
              <w:rPr>
                <w:color w:val="000000"/>
                <w:lang w:val="et-EE"/>
              </w:rPr>
              <w:t>1</w:t>
            </w:r>
            <w:r w:rsidR="006B3AA9" w:rsidRPr="00EC3BD7">
              <w:rPr>
                <w:color w:val="000000"/>
                <w:lang w:val="et-EE"/>
              </w:rPr>
              <w:t>. päevast</w:t>
            </w:r>
            <w:r w:rsidRPr="00EC3BD7">
              <w:rPr>
                <w:color w:val="000000"/>
                <w:lang w:val="et-EE"/>
              </w:rPr>
              <w:t xml:space="preserve">. </w:t>
            </w:r>
            <w:r w:rsidR="006B3AA9" w:rsidRPr="00EC3BD7">
              <w:rPr>
                <w:color w:val="000000"/>
                <w:lang w:val="et-EE"/>
              </w:rPr>
              <w:t xml:space="preserve">Alustada </w:t>
            </w:r>
            <w:r w:rsidRPr="00EC3BD7">
              <w:rPr>
                <w:color w:val="000000"/>
                <w:lang w:val="et-EE"/>
              </w:rPr>
              <w:t>6-MP</w:t>
            </w:r>
            <w:r w:rsidR="006B3AA9" w:rsidRPr="00EC3BD7">
              <w:rPr>
                <w:color w:val="000000"/>
                <w:lang w:val="et-EE"/>
              </w:rPr>
              <w:t xml:space="preserve"> manustamist </w:t>
            </w:r>
            <w:r w:rsidRPr="00EC3BD7">
              <w:rPr>
                <w:color w:val="000000"/>
                <w:lang w:val="et-EE"/>
              </w:rPr>
              <w:t>1</w:t>
            </w:r>
            <w:r w:rsidR="006B3AA9" w:rsidRPr="00EC3BD7">
              <w:rPr>
                <w:color w:val="000000"/>
                <w:lang w:val="et-EE"/>
              </w:rPr>
              <w:t>. päeval pärast kraniaalse kiiritusravi lõpetamist</w:t>
            </w:r>
            <w:r w:rsidRPr="00EC3BD7">
              <w:rPr>
                <w:color w:val="000000"/>
                <w:lang w:val="et-EE"/>
              </w:rPr>
              <w:t>.)</w:t>
            </w:r>
          </w:p>
          <w:p w14:paraId="658EB5FE" w14:textId="77777777" w:rsidR="008248B4" w:rsidRPr="00EC3BD7" w:rsidRDefault="008248B4" w:rsidP="006B3AA9">
            <w:pPr>
              <w:pStyle w:val="EndnoteText"/>
              <w:widowControl w:val="0"/>
              <w:rPr>
                <w:color w:val="000000"/>
                <w:lang w:val="et-EE"/>
              </w:rPr>
            </w:pPr>
            <w:r w:rsidRPr="00EC3BD7">
              <w:rPr>
                <w:color w:val="000000"/>
                <w:lang w:val="et-EE"/>
              </w:rPr>
              <w:t>Metotre</w:t>
            </w:r>
            <w:r w:rsidR="006B3AA9" w:rsidRPr="00EC3BD7">
              <w:rPr>
                <w:color w:val="000000"/>
                <w:lang w:val="et-EE"/>
              </w:rPr>
              <w:t>ksa</w:t>
            </w:r>
            <w:r w:rsidRPr="00EC3BD7">
              <w:rPr>
                <w:color w:val="000000"/>
                <w:lang w:val="et-EE"/>
              </w:rPr>
              <w:t>at (20 mg/m</w:t>
            </w:r>
            <w:r w:rsidRPr="00EC3BD7">
              <w:rPr>
                <w:color w:val="000000"/>
                <w:vertAlign w:val="superscript"/>
                <w:lang w:val="et-EE"/>
              </w:rPr>
              <w:t>2</w:t>
            </w:r>
            <w:r w:rsidRPr="00EC3BD7">
              <w:rPr>
                <w:color w:val="000000"/>
                <w:lang w:val="et-EE"/>
              </w:rPr>
              <w:t>/</w:t>
            </w:r>
            <w:r w:rsidR="006B3AA9" w:rsidRPr="00EC3BD7">
              <w:rPr>
                <w:color w:val="000000"/>
                <w:lang w:val="et-EE"/>
              </w:rPr>
              <w:t>nädal</w:t>
            </w:r>
            <w:r w:rsidRPr="00EC3BD7">
              <w:rPr>
                <w:color w:val="000000"/>
                <w:lang w:val="et-EE"/>
              </w:rPr>
              <w:t xml:space="preserve">, PO): </w:t>
            </w:r>
            <w:r w:rsidR="006B3AA9" w:rsidRPr="00EC3BD7">
              <w:rPr>
                <w:color w:val="000000"/>
                <w:lang w:val="et-EE"/>
              </w:rPr>
              <w:t>päevadel</w:t>
            </w:r>
            <w:r w:rsidRPr="00EC3BD7">
              <w:rPr>
                <w:color w:val="000000"/>
                <w:lang w:val="et-EE"/>
              </w:rPr>
              <w:t> 8, 15, 22, 29, 36, 43, 50</w:t>
            </w:r>
          </w:p>
        </w:tc>
      </w:tr>
      <w:tr w:rsidR="008248B4" w:rsidRPr="005D29F8" w14:paraId="492A0112" w14:textId="77777777" w:rsidTr="00F8356E">
        <w:trPr>
          <w:cantSplit/>
        </w:trPr>
        <w:tc>
          <w:tcPr>
            <w:tcW w:w="2358" w:type="dxa"/>
            <w:shd w:val="clear" w:color="auto" w:fill="auto"/>
          </w:tcPr>
          <w:p w14:paraId="345A2B43" w14:textId="77777777" w:rsidR="008248B4" w:rsidRPr="00EC3BD7" w:rsidRDefault="006B3AA9" w:rsidP="008B1609">
            <w:pPr>
              <w:pStyle w:val="EndnoteText"/>
              <w:keepNext/>
              <w:widowControl w:val="0"/>
              <w:rPr>
                <w:color w:val="000000"/>
                <w:lang w:val="et-EE"/>
              </w:rPr>
            </w:pPr>
            <w:r w:rsidRPr="00EC3BD7">
              <w:rPr>
                <w:color w:val="000000"/>
                <w:lang w:val="et-EE"/>
              </w:rPr>
              <w:lastRenderedPageBreak/>
              <w:t>Säilitusravi</w:t>
            </w:r>
          </w:p>
          <w:p w14:paraId="023A7146" w14:textId="77777777" w:rsidR="008248B4" w:rsidRPr="00EC3BD7" w:rsidRDefault="008248B4" w:rsidP="008B1609">
            <w:pPr>
              <w:pStyle w:val="EndnoteText"/>
              <w:keepNext/>
              <w:widowControl w:val="0"/>
              <w:rPr>
                <w:color w:val="000000"/>
                <w:lang w:val="et-EE"/>
              </w:rPr>
            </w:pPr>
            <w:r w:rsidRPr="00EC3BD7">
              <w:rPr>
                <w:color w:val="000000"/>
                <w:lang w:val="et-EE"/>
              </w:rPr>
              <w:t>(8-</w:t>
            </w:r>
            <w:r w:rsidR="006B3AA9" w:rsidRPr="00EC3BD7">
              <w:rPr>
                <w:color w:val="000000"/>
                <w:lang w:val="et-EE"/>
              </w:rPr>
              <w:t>nädalased tsüklid</w:t>
            </w:r>
            <w:r w:rsidRPr="00EC3BD7">
              <w:rPr>
                <w:color w:val="000000"/>
                <w:lang w:val="et-EE"/>
              </w:rPr>
              <w:t>)</w:t>
            </w:r>
          </w:p>
          <w:p w14:paraId="17184C4B" w14:textId="77777777" w:rsidR="008248B4" w:rsidRPr="00EC3BD7" w:rsidRDefault="006B3AA9" w:rsidP="008B1609">
            <w:pPr>
              <w:pStyle w:val="EndnoteText"/>
              <w:keepNext/>
              <w:widowControl w:val="0"/>
              <w:rPr>
                <w:color w:val="000000"/>
                <w:lang w:val="et-EE"/>
              </w:rPr>
            </w:pPr>
            <w:r w:rsidRPr="00EC3BD7">
              <w:rPr>
                <w:color w:val="000000"/>
                <w:lang w:val="et-EE"/>
              </w:rPr>
              <w:t>Tsüklid</w:t>
            </w:r>
            <w:r w:rsidR="008248B4" w:rsidRPr="00EC3BD7">
              <w:rPr>
                <w:color w:val="000000"/>
                <w:lang w:val="et-EE"/>
              </w:rPr>
              <w:t> 6</w:t>
            </w:r>
            <w:r w:rsidR="00C10CCB" w:rsidRPr="00EC3BD7">
              <w:rPr>
                <w:color w:val="000000"/>
                <w:lang w:val="et-EE"/>
              </w:rPr>
              <w:t>…</w:t>
            </w:r>
            <w:r w:rsidR="008248B4" w:rsidRPr="00EC3BD7">
              <w:rPr>
                <w:color w:val="000000"/>
                <w:lang w:val="et-EE"/>
              </w:rPr>
              <w:t>12</w:t>
            </w:r>
          </w:p>
        </w:tc>
        <w:tc>
          <w:tcPr>
            <w:tcW w:w="6929" w:type="dxa"/>
            <w:shd w:val="clear" w:color="auto" w:fill="auto"/>
          </w:tcPr>
          <w:p w14:paraId="1A33A621" w14:textId="77777777" w:rsidR="008248B4" w:rsidRPr="00EC3BD7" w:rsidRDefault="008248B4" w:rsidP="008B1609">
            <w:pPr>
              <w:pStyle w:val="EndnoteText"/>
              <w:keepNext/>
              <w:widowControl w:val="0"/>
              <w:rPr>
                <w:color w:val="000000"/>
                <w:lang w:val="et-EE"/>
              </w:rPr>
            </w:pPr>
            <w:r w:rsidRPr="00EC3BD7">
              <w:rPr>
                <w:color w:val="000000"/>
                <w:lang w:val="et-EE"/>
              </w:rPr>
              <w:t>VCR (1</w:t>
            </w:r>
            <w:r w:rsidR="006B3AA9" w:rsidRPr="00EC3BD7">
              <w:rPr>
                <w:color w:val="000000"/>
                <w:lang w:val="et-EE"/>
              </w:rPr>
              <w:t>,</w:t>
            </w:r>
            <w:r w:rsidRPr="00EC3BD7">
              <w:rPr>
                <w:color w:val="000000"/>
                <w:lang w:val="et-EE"/>
              </w:rPr>
              <w:t>5 mg/m</w:t>
            </w:r>
            <w:r w:rsidRPr="00EC3BD7">
              <w:rPr>
                <w:color w:val="000000"/>
                <w:vertAlign w:val="superscript"/>
                <w:lang w:val="et-EE"/>
              </w:rPr>
              <w:t>2</w:t>
            </w:r>
            <w:r w:rsidRPr="00EC3BD7">
              <w:rPr>
                <w:color w:val="000000"/>
                <w:lang w:val="et-EE"/>
              </w:rPr>
              <w:t>/</w:t>
            </w:r>
            <w:r w:rsidR="006B3AA9" w:rsidRPr="00EC3BD7">
              <w:rPr>
                <w:color w:val="000000"/>
                <w:lang w:val="et-EE"/>
              </w:rPr>
              <w:t>ööpäev</w:t>
            </w:r>
            <w:r w:rsidRPr="00EC3BD7">
              <w:rPr>
                <w:color w:val="000000"/>
                <w:lang w:val="et-EE"/>
              </w:rPr>
              <w:t xml:space="preserve">, IV): </w:t>
            </w:r>
            <w:r w:rsidR="006B3AA9" w:rsidRPr="00EC3BD7">
              <w:rPr>
                <w:color w:val="000000"/>
                <w:lang w:val="et-EE"/>
              </w:rPr>
              <w:t>päevadel</w:t>
            </w:r>
            <w:r w:rsidRPr="00EC3BD7">
              <w:rPr>
                <w:color w:val="000000"/>
                <w:lang w:val="et-EE"/>
              </w:rPr>
              <w:t> 1, 29</w:t>
            </w:r>
          </w:p>
          <w:p w14:paraId="4A78F20A" w14:textId="77777777" w:rsidR="008248B4" w:rsidRPr="00EC3BD7" w:rsidRDefault="008248B4" w:rsidP="008B1609">
            <w:pPr>
              <w:pStyle w:val="EndnoteText"/>
              <w:keepNext/>
              <w:widowControl w:val="0"/>
              <w:rPr>
                <w:color w:val="000000"/>
                <w:lang w:val="et-EE"/>
              </w:rPr>
            </w:pPr>
            <w:r w:rsidRPr="00EC3BD7">
              <w:rPr>
                <w:color w:val="000000"/>
                <w:lang w:val="et-EE"/>
              </w:rPr>
              <w:t>DEX (6 mg/m</w:t>
            </w:r>
            <w:r w:rsidRPr="00EC3BD7">
              <w:rPr>
                <w:color w:val="000000"/>
                <w:vertAlign w:val="superscript"/>
                <w:lang w:val="et-EE"/>
              </w:rPr>
              <w:t>2</w:t>
            </w:r>
            <w:r w:rsidRPr="00EC3BD7">
              <w:rPr>
                <w:color w:val="000000"/>
                <w:lang w:val="et-EE"/>
              </w:rPr>
              <w:t>/</w:t>
            </w:r>
            <w:r w:rsidR="006B3AA9" w:rsidRPr="00EC3BD7">
              <w:rPr>
                <w:color w:val="000000"/>
                <w:lang w:val="et-EE"/>
              </w:rPr>
              <w:t>ööpäev</w:t>
            </w:r>
            <w:r w:rsidRPr="00EC3BD7">
              <w:rPr>
                <w:color w:val="000000"/>
                <w:lang w:val="et-EE"/>
              </w:rPr>
              <w:t xml:space="preserve">, PO): </w:t>
            </w:r>
            <w:r w:rsidR="006B3AA9" w:rsidRPr="00EC3BD7">
              <w:rPr>
                <w:color w:val="000000"/>
                <w:lang w:val="et-EE"/>
              </w:rPr>
              <w:t>päevadel</w:t>
            </w:r>
            <w:r w:rsidRPr="00EC3BD7">
              <w:rPr>
                <w:color w:val="000000"/>
                <w:lang w:val="et-EE"/>
              </w:rPr>
              <w:t> 1</w:t>
            </w:r>
            <w:r w:rsidR="00C10CCB" w:rsidRPr="00EC3BD7">
              <w:rPr>
                <w:color w:val="000000"/>
                <w:lang w:val="et-EE"/>
              </w:rPr>
              <w:t>…</w:t>
            </w:r>
            <w:r w:rsidRPr="00EC3BD7">
              <w:rPr>
                <w:color w:val="000000"/>
                <w:lang w:val="et-EE"/>
              </w:rPr>
              <w:t>5; 29</w:t>
            </w:r>
            <w:r w:rsidR="007F56F0" w:rsidRPr="00EC3BD7">
              <w:rPr>
                <w:color w:val="000000"/>
                <w:lang w:val="et-EE"/>
              </w:rPr>
              <w:t>…</w:t>
            </w:r>
            <w:r w:rsidRPr="00EC3BD7">
              <w:rPr>
                <w:color w:val="000000"/>
                <w:lang w:val="et-EE"/>
              </w:rPr>
              <w:t>33</w:t>
            </w:r>
          </w:p>
          <w:p w14:paraId="1CEA505D" w14:textId="77777777" w:rsidR="008248B4" w:rsidRPr="00EC3BD7" w:rsidRDefault="008248B4" w:rsidP="008B1609">
            <w:pPr>
              <w:pStyle w:val="EndnoteText"/>
              <w:keepNext/>
              <w:widowControl w:val="0"/>
              <w:rPr>
                <w:color w:val="000000"/>
                <w:lang w:val="et-EE"/>
              </w:rPr>
            </w:pPr>
            <w:r w:rsidRPr="00EC3BD7">
              <w:rPr>
                <w:color w:val="000000"/>
                <w:lang w:val="et-EE"/>
              </w:rPr>
              <w:t>6-MP (75 mg/m</w:t>
            </w:r>
            <w:r w:rsidRPr="00EC3BD7">
              <w:rPr>
                <w:color w:val="000000"/>
                <w:vertAlign w:val="superscript"/>
                <w:lang w:val="et-EE"/>
              </w:rPr>
              <w:t>2</w:t>
            </w:r>
            <w:r w:rsidRPr="00EC3BD7">
              <w:rPr>
                <w:color w:val="000000"/>
                <w:lang w:val="et-EE"/>
              </w:rPr>
              <w:t>/</w:t>
            </w:r>
            <w:r w:rsidR="006B3AA9" w:rsidRPr="00EC3BD7">
              <w:rPr>
                <w:color w:val="000000"/>
                <w:lang w:val="et-EE"/>
              </w:rPr>
              <w:t>ööpäev</w:t>
            </w:r>
            <w:r w:rsidRPr="00EC3BD7">
              <w:rPr>
                <w:color w:val="000000"/>
                <w:lang w:val="et-EE"/>
              </w:rPr>
              <w:t xml:space="preserve">, PO): </w:t>
            </w:r>
            <w:r w:rsidR="006B3AA9" w:rsidRPr="00EC3BD7">
              <w:rPr>
                <w:color w:val="000000"/>
                <w:lang w:val="et-EE"/>
              </w:rPr>
              <w:t>päevadel</w:t>
            </w:r>
            <w:r w:rsidRPr="00EC3BD7">
              <w:rPr>
                <w:color w:val="000000"/>
                <w:lang w:val="et-EE"/>
              </w:rPr>
              <w:t> 1</w:t>
            </w:r>
            <w:r w:rsidR="00C10CCB" w:rsidRPr="00EC3BD7">
              <w:rPr>
                <w:color w:val="000000"/>
                <w:lang w:val="et-EE"/>
              </w:rPr>
              <w:t>…</w:t>
            </w:r>
            <w:r w:rsidRPr="00EC3BD7">
              <w:rPr>
                <w:color w:val="000000"/>
                <w:lang w:val="et-EE"/>
              </w:rPr>
              <w:t>56</w:t>
            </w:r>
          </w:p>
          <w:p w14:paraId="6419B462" w14:textId="77777777" w:rsidR="008248B4" w:rsidRPr="00EC3BD7" w:rsidRDefault="008248B4" w:rsidP="008B1609">
            <w:pPr>
              <w:pStyle w:val="EndnoteText"/>
              <w:keepNext/>
              <w:widowControl w:val="0"/>
              <w:rPr>
                <w:color w:val="000000"/>
                <w:lang w:val="et-EE"/>
              </w:rPr>
            </w:pPr>
            <w:r w:rsidRPr="00EC3BD7">
              <w:rPr>
                <w:color w:val="000000"/>
                <w:lang w:val="et-EE"/>
              </w:rPr>
              <w:t>Metotre</w:t>
            </w:r>
            <w:r w:rsidR="006B3AA9" w:rsidRPr="00EC3BD7">
              <w:rPr>
                <w:color w:val="000000"/>
                <w:lang w:val="et-EE"/>
              </w:rPr>
              <w:t>ksa</w:t>
            </w:r>
            <w:r w:rsidRPr="00EC3BD7">
              <w:rPr>
                <w:color w:val="000000"/>
                <w:lang w:val="et-EE"/>
              </w:rPr>
              <w:t>at (20 mg/m</w:t>
            </w:r>
            <w:r w:rsidRPr="00EC3BD7">
              <w:rPr>
                <w:color w:val="000000"/>
                <w:vertAlign w:val="superscript"/>
                <w:lang w:val="et-EE"/>
              </w:rPr>
              <w:t>2</w:t>
            </w:r>
            <w:r w:rsidRPr="00EC3BD7">
              <w:rPr>
                <w:color w:val="000000"/>
                <w:lang w:val="et-EE"/>
              </w:rPr>
              <w:t>/</w:t>
            </w:r>
            <w:r w:rsidR="006B3AA9" w:rsidRPr="00EC3BD7">
              <w:rPr>
                <w:color w:val="000000"/>
                <w:lang w:val="et-EE"/>
              </w:rPr>
              <w:t>nädal</w:t>
            </w:r>
            <w:r w:rsidRPr="00EC3BD7">
              <w:rPr>
                <w:color w:val="000000"/>
                <w:lang w:val="et-EE"/>
              </w:rPr>
              <w:t xml:space="preserve">, PO): </w:t>
            </w:r>
            <w:r w:rsidR="006B3AA9" w:rsidRPr="00EC3BD7">
              <w:rPr>
                <w:color w:val="000000"/>
                <w:lang w:val="et-EE"/>
              </w:rPr>
              <w:t>päevadel</w:t>
            </w:r>
            <w:r w:rsidRPr="00EC3BD7">
              <w:rPr>
                <w:color w:val="000000"/>
                <w:lang w:val="et-EE"/>
              </w:rPr>
              <w:t> 1, 8, 15, 22, 29, 36, 43, 50</w:t>
            </w:r>
          </w:p>
        </w:tc>
      </w:tr>
    </w:tbl>
    <w:p w14:paraId="6B77F7D6" w14:textId="77777777" w:rsidR="008248B4" w:rsidRPr="00EC3BD7" w:rsidRDefault="008248B4" w:rsidP="008B1609">
      <w:pPr>
        <w:pStyle w:val="EndnoteText"/>
        <w:keepLines/>
        <w:widowControl w:val="0"/>
        <w:rPr>
          <w:color w:val="000000"/>
          <w:szCs w:val="22"/>
          <w:lang w:val="et-EE"/>
        </w:rPr>
      </w:pPr>
      <w:r w:rsidRPr="00EC3BD7">
        <w:rPr>
          <w:color w:val="000000"/>
          <w:szCs w:val="22"/>
          <w:lang w:val="et-EE"/>
        </w:rPr>
        <w:t>G-CSF = granulo</w:t>
      </w:r>
      <w:r w:rsidR="00342208" w:rsidRPr="00EC3BD7">
        <w:rPr>
          <w:color w:val="000000"/>
          <w:szCs w:val="22"/>
          <w:lang w:val="et-EE"/>
        </w:rPr>
        <w:t>tsüütide kolooniaid</w:t>
      </w:r>
      <w:r w:rsidRPr="00EC3BD7">
        <w:rPr>
          <w:color w:val="000000"/>
          <w:szCs w:val="22"/>
          <w:lang w:val="et-EE"/>
        </w:rPr>
        <w:t xml:space="preserve"> stimul</w:t>
      </w:r>
      <w:r w:rsidR="00342208" w:rsidRPr="00EC3BD7">
        <w:rPr>
          <w:color w:val="000000"/>
          <w:szCs w:val="22"/>
          <w:lang w:val="et-EE"/>
        </w:rPr>
        <w:t>eeriv</w:t>
      </w:r>
      <w:r w:rsidRPr="00EC3BD7">
        <w:rPr>
          <w:color w:val="000000"/>
          <w:szCs w:val="22"/>
          <w:lang w:val="et-EE"/>
        </w:rPr>
        <w:t xml:space="preserve"> fa</w:t>
      </w:r>
      <w:r w:rsidR="00342208" w:rsidRPr="00EC3BD7">
        <w:rPr>
          <w:color w:val="000000"/>
          <w:szCs w:val="22"/>
          <w:lang w:val="et-EE"/>
        </w:rPr>
        <w:t>k</w:t>
      </w:r>
      <w:r w:rsidRPr="00EC3BD7">
        <w:rPr>
          <w:color w:val="000000"/>
          <w:szCs w:val="22"/>
          <w:lang w:val="et-EE"/>
        </w:rPr>
        <w:t>tor, VP-16 = etoposi</w:t>
      </w:r>
      <w:r w:rsidR="00342208" w:rsidRPr="00EC3BD7">
        <w:rPr>
          <w:color w:val="000000"/>
          <w:szCs w:val="22"/>
          <w:lang w:val="et-EE"/>
        </w:rPr>
        <w:t>i</w:t>
      </w:r>
      <w:r w:rsidRPr="00EC3BD7">
        <w:rPr>
          <w:color w:val="000000"/>
          <w:szCs w:val="22"/>
          <w:lang w:val="et-EE"/>
        </w:rPr>
        <w:t>d, MTX = metotre</w:t>
      </w:r>
      <w:r w:rsidR="00342208" w:rsidRPr="00EC3BD7">
        <w:rPr>
          <w:color w:val="000000"/>
          <w:szCs w:val="22"/>
          <w:lang w:val="et-EE"/>
        </w:rPr>
        <w:t>ksa</w:t>
      </w:r>
      <w:r w:rsidRPr="00EC3BD7">
        <w:rPr>
          <w:color w:val="000000"/>
          <w:szCs w:val="22"/>
          <w:lang w:val="et-EE"/>
        </w:rPr>
        <w:t>at, IV = intraven</w:t>
      </w:r>
      <w:r w:rsidR="00342208" w:rsidRPr="00EC3BD7">
        <w:rPr>
          <w:color w:val="000000"/>
          <w:szCs w:val="22"/>
          <w:lang w:val="et-EE"/>
        </w:rPr>
        <w:t>o</w:t>
      </w:r>
      <w:r w:rsidRPr="00EC3BD7">
        <w:rPr>
          <w:color w:val="000000"/>
          <w:szCs w:val="22"/>
          <w:lang w:val="et-EE"/>
        </w:rPr>
        <w:t>os</w:t>
      </w:r>
      <w:r w:rsidR="00342208" w:rsidRPr="00EC3BD7">
        <w:rPr>
          <w:color w:val="000000"/>
          <w:szCs w:val="22"/>
          <w:lang w:val="et-EE"/>
        </w:rPr>
        <w:t>ne</w:t>
      </w:r>
      <w:r w:rsidRPr="00EC3BD7">
        <w:rPr>
          <w:color w:val="000000"/>
          <w:szCs w:val="22"/>
          <w:lang w:val="et-EE"/>
        </w:rPr>
        <w:t>, SC = sub</w:t>
      </w:r>
      <w:r w:rsidR="00342208" w:rsidRPr="00EC3BD7">
        <w:rPr>
          <w:color w:val="000000"/>
          <w:szCs w:val="22"/>
          <w:lang w:val="et-EE"/>
        </w:rPr>
        <w:t>k</w:t>
      </w:r>
      <w:r w:rsidRPr="00EC3BD7">
        <w:rPr>
          <w:color w:val="000000"/>
          <w:szCs w:val="22"/>
          <w:lang w:val="et-EE"/>
        </w:rPr>
        <w:t>uta</w:t>
      </w:r>
      <w:r w:rsidR="00342208" w:rsidRPr="00EC3BD7">
        <w:rPr>
          <w:color w:val="000000"/>
          <w:szCs w:val="22"/>
          <w:lang w:val="et-EE"/>
        </w:rPr>
        <w:t>a</w:t>
      </w:r>
      <w:r w:rsidRPr="00EC3BD7">
        <w:rPr>
          <w:color w:val="000000"/>
          <w:szCs w:val="22"/>
          <w:lang w:val="et-EE"/>
        </w:rPr>
        <w:t>n</w:t>
      </w:r>
      <w:r w:rsidR="00342208" w:rsidRPr="00EC3BD7">
        <w:rPr>
          <w:color w:val="000000"/>
          <w:szCs w:val="22"/>
          <w:lang w:val="et-EE"/>
        </w:rPr>
        <w:t>n</w:t>
      </w:r>
      <w:r w:rsidRPr="00EC3BD7">
        <w:rPr>
          <w:color w:val="000000"/>
          <w:szCs w:val="22"/>
          <w:lang w:val="et-EE"/>
        </w:rPr>
        <w:t>e, IT = intrate</w:t>
      </w:r>
      <w:r w:rsidR="00342208" w:rsidRPr="00EC3BD7">
        <w:rPr>
          <w:color w:val="000000"/>
          <w:szCs w:val="22"/>
          <w:lang w:val="et-EE"/>
        </w:rPr>
        <w:t>ka</w:t>
      </w:r>
      <w:r w:rsidRPr="00EC3BD7">
        <w:rPr>
          <w:color w:val="000000"/>
          <w:szCs w:val="22"/>
          <w:lang w:val="et-EE"/>
        </w:rPr>
        <w:t>al</w:t>
      </w:r>
      <w:r w:rsidR="00342208" w:rsidRPr="00EC3BD7">
        <w:rPr>
          <w:color w:val="000000"/>
          <w:szCs w:val="22"/>
          <w:lang w:val="et-EE"/>
        </w:rPr>
        <w:t>ne</w:t>
      </w:r>
      <w:r w:rsidRPr="00EC3BD7">
        <w:rPr>
          <w:color w:val="000000"/>
          <w:szCs w:val="22"/>
          <w:lang w:val="et-EE"/>
        </w:rPr>
        <w:t xml:space="preserve">, PO = </w:t>
      </w:r>
      <w:r w:rsidR="00342208" w:rsidRPr="00EC3BD7">
        <w:rPr>
          <w:color w:val="000000"/>
          <w:szCs w:val="22"/>
          <w:lang w:val="et-EE"/>
        </w:rPr>
        <w:t>suukaudne</w:t>
      </w:r>
      <w:r w:rsidRPr="00EC3BD7">
        <w:rPr>
          <w:color w:val="000000"/>
          <w:szCs w:val="22"/>
          <w:lang w:val="et-EE"/>
        </w:rPr>
        <w:t>, IM = intramus</w:t>
      </w:r>
      <w:r w:rsidR="00342208" w:rsidRPr="00EC3BD7">
        <w:rPr>
          <w:color w:val="000000"/>
          <w:szCs w:val="22"/>
          <w:lang w:val="et-EE"/>
        </w:rPr>
        <w:t>k</w:t>
      </w:r>
      <w:r w:rsidRPr="00EC3BD7">
        <w:rPr>
          <w:color w:val="000000"/>
          <w:szCs w:val="22"/>
          <w:lang w:val="et-EE"/>
        </w:rPr>
        <w:t>ul</w:t>
      </w:r>
      <w:r w:rsidR="00342208" w:rsidRPr="00EC3BD7">
        <w:rPr>
          <w:color w:val="000000"/>
          <w:szCs w:val="22"/>
          <w:lang w:val="et-EE"/>
        </w:rPr>
        <w:t>a</w:t>
      </w:r>
      <w:r w:rsidRPr="00EC3BD7">
        <w:rPr>
          <w:color w:val="000000"/>
          <w:szCs w:val="22"/>
          <w:lang w:val="et-EE"/>
        </w:rPr>
        <w:t>ar</w:t>
      </w:r>
      <w:r w:rsidR="00342208" w:rsidRPr="00EC3BD7">
        <w:rPr>
          <w:color w:val="000000"/>
          <w:szCs w:val="22"/>
          <w:lang w:val="et-EE"/>
        </w:rPr>
        <w:t>ne</w:t>
      </w:r>
      <w:r w:rsidRPr="00EC3BD7">
        <w:rPr>
          <w:color w:val="000000"/>
          <w:szCs w:val="22"/>
          <w:lang w:val="et-EE"/>
        </w:rPr>
        <w:t xml:space="preserve">, ARA-C = </w:t>
      </w:r>
      <w:r w:rsidR="00342208" w:rsidRPr="00EC3BD7">
        <w:rPr>
          <w:color w:val="000000"/>
          <w:szCs w:val="22"/>
          <w:lang w:val="et-EE"/>
        </w:rPr>
        <w:t>tsü</w:t>
      </w:r>
      <w:r w:rsidRPr="00EC3BD7">
        <w:rPr>
          <w:color w:val="000000"/>
          <w:szCs w:val="22"/>
          <w:lang w:val="et-EE"/>
        </w:rPr>
        <w:t>tarab</w:t>
      </w:r>
      <w:r w:rsidR="00342208" w:rsidRPr="00EC3BD7">
        <w:rPr>
          <w:color w:val="000000"/>
          <w:szCs w:val="22"/>
          <w:lang w:val="et-EE"/>
        </w:rPr>
        <w:t>i</w:t>
      </w:r>
      <w:r w:rsidRPr="00EC3BD7">
        <w:rPr>
          <w:color w:val="000000"/>
          <w:szCs w:val="22"/>
          <w:lang w:val="et-EE"/>
        </w:rPr>
        <w:t xml:space="preserve">in, CPM = </w:t>
      </w:r>
      <w:r w:rsidR="00342208" w:rsidRPr="00EC3BD7">
        <w:rPr>
          <w:color w:val="000000"/>
          <w:szCs w:val="22"/>
          <w:lang w:val="et-EE"/>
        </w:rPr>
        <w:t>tsüklof</w:t>
      </w:r>
      <w:r w:rsidRPr="00EC3BD7">
        <w:rPr>
          <w:color w:val="000000"/>
          <w:szCs w:val="22"/>
          <w:lang w:val="et-EE"/>
        </w:rPr>
        <w:t>os</w:t>
      </w:r>
      <w:r w:rsidR="00342208" w:rsidRPr="00EC3BD7">
        <w:rPr>
          <w:color w:val="000000"/>
          <w:szCs w:val="22"/>
          <w:lang w:val="et-EE"/>
        </w:rPr>
        <w:t>f</w:t>
      </w:r>
      <w:r w:rsidRPr="00EC3BD7">
        <w:rPr>
          <w:color w:val="000000"/>
          <w:szCs w:val="22"/>
          <w:lang w:val="et-EE"/>
        </w:rPr>
        <w:t>ami</w:t>
      </w:r>
      <w:r w:rsidR="00342208" w:rsidRPr="00EC3BD7">
        <w:rPr>
          <w:color w:val="000000"/>
          <w:szCs w:val="22"/>
          <w:lang w:val="et-EE"/>
        </w:rPr>
        <w:t>i</w:t>
      </w:r>
      <w:r w:rsidRPr="00EC3BD7">
        <w:rPr>
          <w:color w:val="000000"/>
          <w:szCs w:val="22"/>
          <w:lang w:val="et-EE"/>
        </w:rPr>
        <w:t>d, VCR = vin</w:t>
      </w:r>
      <w:r w:rsidR="00342208" w:rsidRPr="00EC3BD7">
        <w:rPr>
          <w:color w:val="000000"/>
          <w:szCs w:val="22"/>
          <w:lang w:val="et-EE"/>
        </w:rPr>
        <w:t>k</w:t>
      </w:r>
      <w:r w:rsidRPr="00EC3BD7">
        <w:rPr>
          <w:color w:val="000000"/>
          <w:szCs w:val="22"/>
          <w:lang w:val="et-EE"/>
        </w:rPr>
        <w:t>risti</w:t>
      </w:r>
      <w:r w:rsidR="00342208" w:rsidRPr="00EC3BD7">
        <w:rPr>
          <w:color w:val="000000"/>
          <w:szCs w:val="22"/>
          <w:lang w:val="et-EE"/>
        </w:rPr>
        <w:t>i</w:t>
      </w:r>
      <w:r w:rsidRPr="00EC3BD7">
        <w:rPr>
          <w:color w:val="000000"/>
          <w:szCs w:val="22"/>
          <w:lang w:val="et-EE"/>
        </w:rPr>
        <w:t>n, DEX = de</w:t>
      </w:r>
      <w:r w:rsidR="00342208" w:rsidRPr="00EC3BD7">
        <w:rPr>
          <w:color w:val="000000"/>
          <w:szCs w:val="22"/>
          <w:lang w:val="et-EE"/>
        </w:rPr>
        <w:t>ks</w:t>
      </w:r>
      <w:r w:rsidRPr="00EC3BD7">
        <w:rPr>
          <w:color w:val="000000"/>
          <w:szCs w:val="22"/>
          <w:lang w:val="et-EE"/>
        </w:rPr>
        <w:t>ametaso</w:t>
      </w:r>
      <w:r w:rsidR="00342208" w:rsidRPr="00EC3BD7">
        <w:rPr>
          <w:color w:val="000000"/>
          <w:szCs w:val="22"/>
          <w:lang w:val="et-EE"/>
        </w:rPr>
        <w:t>o</w:t>
      </w:r>
      <w:r w:rsidRPr="00EC3BD7">
        <w:rPr>
          <w:color w:val="000000"/>
          <w:szCs w:val="22"/>
          <w:lang w:val="et-EE"/>
        </w:rPr>
        <w:t>n, DAUN = daunorubi</w:t>
      </w:r>
      <w:r w:rsidR="00342208" w:rsidRPr="00EC3BD7">
        <w:rPr>
          <w:color w:val="000000"/>
          <w:szCs w:val="22"/>
          <w:lang w:val="et-EE"/>
        </w:rPr>
        <w:t>tsi</w:t>
      </w:r>
      <w:r w:rsidRPr="00EC3BD7">
        <w:rPr>
          <w:color w:val="000000"/>
          <w:szCs w:val="22"/>
          <w:lang w:val="et-EE"/>
        </w:rPr>
        <w:t>in, 6-MP = 6-mer</w:t>
      </w:r>
      <w:r w:rsidR="00342208" w:rsidRPr="00EC3BD7">
        <w:rPr>
          <w:color w:val="000000"/>
          <w:szCs w:val="22"/>
          <w:lang w:val="et-EE"/>
        </w:rPr>
        <w:t>k</w:t>
      </w:r>
      <w:r w:rsidRPr="00EC3BD7">
        <w:rPr>
          <w:color w:val="000000"/>
          <w:szCs w:val="22"/>
          <w:lang w:val="et-EE"/>
        </w:rPr>
        <w:t>aptopur</w:t>
      </w:r>
      <w:r w:rsidR="00342208" w:rsidRPr="00EC3BD7">
        <w:rPr>
          <w:color w:val="000000"/>
          <w:szCs w:val="22"/>
          <w:lang w:val="et-EE"/>
        </w:rPr>
        <w:t>i</w:t>
      </w:r>
      <w:r w:rsidRPr="00EC3BD7">
        <w:rPr>
          <w:color w:val="000000"/>
          <w:szCs w:val="22"/>
          <w:lang w:val="et-EE"/>
        </w:rPr>
        <w:t>in, E.Coli L-ASP = L-asparagina</w:t>
      </w:r>
      <w:r w:rsidR="00342208" w:rsidRPr="00EC3BD7">
        <w:rPr>
          <w:color w:val="000000"/>
          <w:szCs w:val="22"/>
          <w:lang w:val="et-EE"/>
        </w:rPr>
        <w:t>a</w:t>
      </w:r>
      <w:r w:rsidRPr="00EC3BD7">
        <w:rPr>
          <w:color w:val="000000"/>
          <w:szCs w:val="22"/>
          <w:lang w:val="et-EE"/>
        </w:rPr>
        <w:t>s, PEG-ASP = PEG asparagina</w:t>
      </w:r>
      <w:r w:rsidR="00342208" w:rsidRPr="00EC3BD7">
        <w:rPr>
          <w:color w:val="000000"/>
          <w:szCs w:val="22"/>
          <w:lang w:val="et-EE"/>
        </w:rPr>
        <w:t>a</w:t>
      </w:r>
      <w:r w:rsidRPr="00EC3BD7">
        <w:rPr>
          <w:color w:val="000000"/>
          <w:szCs w:val="22"/>
          <w:lang w:val="et-EE"/>
        </w:rPr>
        <w:t>s, MESNA= 2-mer</w:t>
      </w:r>
      <w:r w:rsidR="00342208" w:rsidRPr="00EC3BD7">
        <w:rPr>
          <w:color w:val="000000"/>
          <w:szCs w:val="22"/>
          <w:lang w:val="et-EE"/>
        </w:rPr>
        <w:t>k</w:t>
      </w:r>
      <w:r w:rsidRPr="00EC3BD7">
        <w:rPr>
          <w:color w:val="000000"/>
          <w:szCs w:val="22"/>
          <w:lang w:val="et-EE"/>
        </w:rPr>
        <w:t>aptoet</w:t>
      </w:r>
      <w:r w:rsidR="00342208" w:rsidRPr="00EC3BD7">
        <w:rPr>
          <w:color w:val="000000"/>
          <w:szCs w:val="22"/>
          <w:lang w:val="et-EE"/>
        </w:rPr>
        <w:t>a</w:t>
      </w:r>
      <w:r w:rsidRPr="00EC3BD7">
        <w:rPr>
          <w:color w:val="000000"/>
          <w:szCs w:val="22"/>
          <w:lang w:val="et-EE"/>
        </w:rPr>
        <w:t xml:space="preserve">an </w:t>
      </w:r>
      <w:r w:rsidR="00AE542A" w:rsidRPr="00EC3BD7">
        <w:rPr>
          <w:color w:val="000000"/>
          <w:szCs w:val="22"/>
          <w:lang w:val="et-EE"/>
        </w:rPr>
        <w:t>naatriumsulfonaat</w:t>
      </w:r>
      <w:r w:rsidRPr="00EC3BD7">
        <w:rPr>
          <w:color w:val="000000"/>
          <w:szCs w:val="22"/>
          <w:lang w:val="et-EE"/>
        </w:rPr>
        <w:t xml:space="preserve">, iii= </w:t>
      </w:r>
      <w:r w:rsidR="00AE542A" w:rsidRPr="00EC3BD7">
        <w:rPr>
          <w:color w:val="000000"/>
          <w:szCs w:val="22"/>
          <w:lang w:val="et-EE"/>
        </w:rPr>
        <w:t xml:space="preserve">või kuni </w:t>
      </w:r>
      <w:r w:rsidRPr="00EC3BD7">
        <w:rPr>
          <w:color w:val="000000"/>
          <w:szCs w:val="22"/>
          <w:lang w:val="et-EE"/>
        </w:rPr>
        <w:t xml:space="preserve">MTX </w:t>
      </w:r>
      <w:r w:rsidR="00AE542A" w:rsidRPr="00EC3BD7">
        <w:rPr>
          <w:color w:val="000000"/>
          <w:szCs w:val="22"/>
          <w:lang w:val="et-EE"/>
        </w:rPr>
        <w:t>tase on</w:t>
      </w:r>
      <w:r w:rsidRPr="00EC3BD7">
        <w:rPr>
          <w:color w:val="000000"/>
          <w:szCs w:val="22"/>
          <w:lang w:val="et-EE"/>
        </w:rPr>
        <w:t xml:space="preserve"> &lt;0</w:t>
      </w:r>
      <w:r w:rsidR="00AE542A" w:rsidRPr="00EC3BD7">
        <w:rPr>
          <w:color w:val="000000"/>
          <w:szCs w:val="22"/>
          <w:lang w:val="et-EE"/>
        </w:rPr>
        <w:t>,</w:t>
      </w:r>
      <w:r w:rsidRPr="00EC3BD7">
        <w:rPr>
          <w:color w:val="000000"/>
          <w:szCs w:val="22"/>
          <w:lang w:val="et-EE"/>
        </w:rPr>
        <w:t xml:space="preserve">1 µM, q6h = </w:t>
      </w:r>
      <w:r w:rsidR="00AE542A" w:rsidRPr="00EC3BD7">
        <w:rPr>
          <w:color w:val="000000"/>
          <w:szCs w:val="22"/>
          <w:lang w:val="et-EE"/>
        </w:rPr>
        <w:t xml:space="preserve">iga </w:t>
      </w:r>
      <w:r w:rsidRPr="00EC3BD7">
        <w:rPr>
          <w:color w:val="000000"/>
          <w:szCs w:val="22"/>
          <w:lang w:val="et-EE"/>
        </w:rPr>
        <w:t>6 </w:t>
      </w:r>
      <w:r w:rsidR="00AE542A" w:rsidRPr="00EC3BD7">
        <w:rPr>
          <w:color w:val="000000"/>
          <w:szCs w:val="22"/>
          <w:lang w:val="et-EE"/>
        </w:rPr>
        <w:t>tunni järel</w:t>
      </w:r>
      <w:r w:rsidRPr="00EC3BD7">
        <w:rPr>
          <w:color w:val="000000"/>
          <w:szCs w:val="22"/>
          <w:lang w:val="et-EE"/>
        </w:rPr>
        <w:t>, Gy= Gr</w:t>
      </w:r>
      <w:r w:rsidR="00676F31" w:rsidRPr="00EC3BD7">
        <w:rPr>
          <w:color w:val="000000"/>
          <w:szCs w:val="22"/>
          <w:lang w:val="et-EE"/>
        </w:rPr>
        <w:t>ei</w:t>
      </w:r>
    </w:p>
    <w:p w14:paraId="746BC6F3" w14:textId="77777777" w:rsidR="008248B4" w:rsidRPr="00EC3BD7" w:rsidRDefault="008248B4" w:rsidP="008248B4">
      <w:pPr>
        <w:pStyle w:val="EndnoteText"/>
        <w:widowControl w:val="0"/>
        <w:jc w:val="both"/>
        <w:rPr>
          <w:color w:val="000000"/>
          <w:sz w:val="20"/>
          <w:lang w:val="et-EE"/>
        </w:rPr>
      </w:pPr>
    </w:p>
    <w:p w14:paraId="65BC3C01" w14:textId="77777777" w:rsidR="008248B4" w:rsidRPr="00EC3BD7" w:rsidRDefault="00AE542A" w:rsidP="008248B4">
      <w:pPr>
        <w:pStyle w:val="EndnoteText"/>
        <w:widowControl w:val="0"/>
        <w:rPr>
          <w:color w:val="000000"/>
          <w:lang w:val="et-EE"/>
        </w:rPr>
      </w:pPr>
      <w:r w:rsidRPr="00EC3BD7">
        <w:rPr>
          <w:color w:val="000000"/>
          <w:szCs w:val="22"/>
          <w:lang w:val="et-EE"/>
        </w:rPr>
        <w:t xml:space="preserve">Uuring </w:t>
      </w:r>
      <w:r w:rsidR="008248B4" w:rsidRPr="00EC3BD7">
        <w:rPr>
          <w:color w:val="000000"/>
          <w:szCs w:val="22"/>
          <w:lang w:val="et-EE"/>
        </w:rPr>
        <w:t xml:space="preserve">AIT07 </w:t>
      </w:r>
      <w:r w:rsidRPr="00EC3BD7">
        <w:rPr>
          <w:color w:val="000000"/>
          <w:szCs w:val="22"/>
          <w:lang w:val="et-EE"/>
        </w:rPr>
        <w:t xml:space="preserve">oli mitmekeskuseline avatud randomiseeritud </w:t>
      </w:r>
      <w:r w:rsidR="008248B4" w:rsidRPr="00EC3BD7">
        <w:rPr>
          <w:color w:val="000000"/>
          <w:szCs w:val="22"/>
          <w:lang w:val="et-EE"/>
        </w:rPr>
        <w:t>II/III</w:t>
      </w:r>
      <w:r w:rsidRPr="00EC3BD7">
        <w:rPr>
          <w:color w:val="000000"/>
          <w:szCs w:val="22"/>
          <w:lang w:val="et-EE"/>
        </w:rPr>
        <w:t xml:space="preserve"> faasi uuring, kus osales </w:t>
      </w:r>
      <w:r w:rsidR="008248B4" w:rsidRPr="00EC3BD7">
        <w:rPr>
          <w:color w:val="000000"/>
          <w:szCs w:val="22"/>
          <w:lang w:val="et-EE"/>
        </w:rPr>
        <w:t>128 pat</w:t>
      </w:r>
      <w:r w:rsidRPr="00EC3BD7">
        <w:rPr>
          <w:color w:val="000000"/>
          <w:szCs w:val="22"/>
          <w:lang w:val="et-EE"/>
        </w:rPr>
        <w:t>s</w:t>
      </w:r>
      <w:r w:rsidR="008248B4" w:rsidRPr="00EC3BD7">
        <w:rPr>
          <w:color w:val="000000"/>
          <w:szCs w:val="22"/>
          <w:lang w:val="et-EE"/>
        </w:rPr>
        <w:t>ient</w:t>
      </w:r>
      <w:r w:rsidRPr="00EC3BD7">
        <w:rPr>
          <w:color w:val="000000"/>
          <w:szCs w:val="22"/>
          <w:lang w:val="et-EE"/>
        </w:rPr>
        <w:t>i</w:t>
      </w:r>
      <w:r w:rsidR="008248B4" w:rsidRPr="00EC3BD7">
        <w:rPr>
          <w:color w:val="000000"/>
          <w:szCs w:val="22"/>
          <w:lang w:val="et-EE"/>
        </w:rPr>
        <w:t xml:space="preserve"> (</w:t>
      </w:r>
      <w:r w:rsidRPr="00EC3BD7">
        <w:rPr>
          <w:color w:val="000000"/>
          <w:szCs w:val="22"/>
          <w:lang w:val="et-EE"/>
        </w:rPr>
        <w:t xml:space="preserve">vanuses </w:t>
      </w:r>
      <w:r w:rsidR="008248B4" w:rsidRPr="00EC3BD7">
        <w:rPr>
          <w:color w:val="000000"/>
          <w:szCs w:val="22"/>
          <w:lang w:val="et-EE"/>
        </w:rPr>
        <w:t xml:space="preserve">1 </w:t>
      </w:r>
      <w:r w:rsidRPr="00EC3BD7">
        <w:rPr>
          <w:color w:val="000000"/>
          <w:szCs w:val="22"/>
          <w:lang w:val="et-EE"/>
        </w:rPr>
        <w:t xml:space="preserve">kuni </w:t>
      </w:r>
      <w:r w:rsidR="008248B4" w:rsidRPr="00EC3BD7">
        <w:rPr>
          <w:color w:val="000000"/>
          <w:szCs w:val="22"/>
          <w:lang w:val="et-EE"/>
        </w:rPr>
        <w:t>&lt;18 </w:t>
      </w:r>
      <w:r w:rsidRPr="00EC3BD7">
        <w:rPr>
          <w:color w:val="000000"/>
          <w:szCs w:val="22"/>
          <w:lang w:val="et-EE"/>
        </w:rPr>
        <w:t>aastat</w:t>
      </w:r>
      <w:r w:rsidR="008248B4" w:rsidRPr="00EC3BD7">
        <w:rPr>
          <w:color w:val="000000"/>
          <w:szCs w:val="22"/>
          <w:lang w:val="et-EE"/>
        </w:rPr>
        <w:t>)</w:t>
      </w:r>
      <w:r w:rsidRPr="00EC3BD7">
        <w:rPr>
          <w:color w:val="000000"/>
          <w:szCs w:val="22"/>
          <w:lang w:val="et-EE"/>
        </w:rPr>
        <w:t xml:space="preserve">, kes said </w:t>
      </w:r>
      <w:r w:rsidR="008248B4" w:rsidRPr="00EC3BD7">
        <w:rPr>
          <w:color w:val="000000"/>
          <w:szCs w:val="22"/>
          <w:lang w:val="et-EE"/>
        </w:rPr>
        <w:t>imatin</w:t>
      </w:r>
      <w:r w:rsidRPr="00EC3BD7">
        <w:rPr>
          <w:color w:val="000000"/>
          <w:szCs w:val="22"/>
          <w:lang w:val="et-EE"/>
        </w:rPr>
        <w:t>i</w:t>
      </w:r>
      <w:r w:rsidR="008248B4" w:rsidRPr="00EC3BD7">
        <w:rPr>
          <w:color w:val="000000"/>
          <w:szCs w:val="22"/>
          <w:lang w:val="et-EE"/>
        </w:rPr>
        <w:t>ib</w:t>
      </w:r>
      <w:r w:rsidRPr="00EC3BD7">
        <w:rPr>
          <w:color w:val="000000"/>
          <w:szCs w:val="22"/>
          <w:lang w:val="et-EE"/>
        </w:rPr>
        <w:t>i kombinatsioonis k</w:t>
      </w:r>
      <w:r w:rsidR="008248B4" w:rsidRPr="00EC3BD7">
        <w:rPr>
          <w:color w:val="000000"/>
          <w:szCs w:val="22"/>
          <w:lang w:val="et-EE"/>
        </w:rPr>
        <w:t>emoter</w:t>
      </w:r>
      <w:r w:rsidRPr="00EC3BD7">
        <w:rPr>
          <w:color w:val="000000"/>
          <w:szCs w:val="22"/>
          <w:lang w:val="et-EE"/>
        </w:rPr>
        <w:t>a</w:t>
      </w:r>
      <w:r w:rsidR="008248B4" w:rsidRPr="00EC3BD7">
        <w:rPr>
          <w:color w:val="000000"/>
          <w:szCs w:val="22"/>
          <w:lang w:val="et-EE"/>
        </w:rPr>
        <w:t>ap</w:t>
      </w:r>
      <w:r w:rsidRPr="00EC3BD7">
        <w:rPr>
          <w:color w:val="000000"/>
          <w:szCs w:val="22"/>
          <w:lang w:val="et-EE"/>
        </w:rPr>
        <w:t>iaga</w:t>
      </w:r>
      <w:r w:rsidR="008248B4" w:rsidRPr="00EC3BD7">
        <w:rPr>
          <w:color w:val="000000"/>
          <w:szCs w:val="22"/>
          <w:lang w:val="et-EE"/>
        </w:rPr>
        <w:t xml:space="preserve">. </w:t>
      </w:r>
      <w:r w:rsidRPr="00EC3BD7">
        <w:rPr>
          <w:color w:val="000000"/>
          <w:szCs w:val="22"/>
          <w:lang w:val="et-EE"/>
        </w:rPr>
        <w:t xml:space="preserve">Sellest uuringust pärinevad ohutusandmed </w:t>
      </w:r>
      <w:r w:rsidR="00EB58E6" w:rsidRPr="00EC3BD7">
        <w:rPr>
          <w:color w:val="000000"/>
          <w:szCs w:val="22"/>
          <w:lang w:val="et-EE"/>
        </w:rPr>
        <w:t xml:space="preserve">on kooskõlas </w:t>
      </w:r>
      <w:r w:rsidRPr="00EC3BD7">
        <w:rPr>
          <w:color w:val="000000"/>
          <w:szCs w:val="22"/>
          <w:lang w:val="et-EE"/>
        </w:rPr>
        <w:t>imatiniibi ohutusprofiili</w:t>
      </w:r>
      <w:r w:rsidR="00EB58E6" w:rsidRPr="00EC3BD7">
        <w:rPr>
          <w:color w:val="000000"/>
          <w:szCs w:val="22"/>
          <w:lang w:val="et-EE"/>
        </w:rPr>
        <w:t>ga</w:t>
      </w:r>
      <w:r w:rsidRPr="00EC3BD7">
        <w:rPr>
          <w:color w:val="000000"/>
          <w:szCs w:val="22"/>
          <w:lang w:val="et-EE"/>
        </w:rPr>
        <w:t xml:space="preserve"> </w:t>
      </w:r>
      <w:r w:rsidR="008248B4" w:rsidRPr="00EC3BD7">
        <w:rPr>
          <w:color w:val="000000"/>
          <w:szCs w:val="22"/>
          <w:lang w:val="et-EE"/>
        </w:rPr>
        <w:t>Ph+ ALL pat</w:t>
      </w:r>
      <w:r w:rsidRPr="00EC3BD7">
        <w:rPr>
          <w:color w:val="000000"/>
          <w:szCs w:val="22"/>
          <w:lang w:val="et-EE"/>
        </w:rPr>
        <w:t>s</w:t>
      </w:r>
      <w:r w:rsidR="008248B4" w:rsidRPr="00EC3BD7">
        <w:rPr>
          <w:color w:val="000000"/>
          <w:szCs w:val="22"/>
          <w:lang w:val="et-EE"/>
        </w:rPr>
        <w:t>ient</w:t>
      </w:r>
      <w:r w:rsidRPr="00EC3BD7">
        <w:rPr>
          <w:color w:val="000000"/>
          <w:szCs w:val="22"/>
          <w:lang w:val="et-EE"/>
        </w:rPr>
        <w:t>idel</w:t>
      </w:r>
      <w:r w:rsidR="000E390B" w:rsidRPr="00EC3BD7">
        <w:rPr>
          <w:color w:val="000000"/>
          <w:szCs w:val="22"/>
          <w:lang w:val="et-EE"/>
        </w:rPr>
        <w:t>.</w:t>
      </w:r>
    </w:p>
    <w:p w14:paraId="0156E994" w14:textId="77777777" w:rsidR="00136210" w:rsidRPr="00EC3BD7" w:rsidRDefault="00136210">
      <w:pPr>
        <w:pStyle w:val="EndnoteText"/>
        <w:widowControl w:val="0"/>
        <w:tabs>
          <w:tab w:val="clear" w:pos="567"/>
        </w:tabs>
        <w:rPr>
          <w:color w:val="000000"/>
          <w:szCs w:val="22"/>
          <w:lang w:val="et-EE"/>
        </w:rPr>
      </w:pPr>
    </w:p>
    <w:p w14:paraId="7E4B85DD" w14:textId="60655047" w:rsidR="00136210" w:rsidRPr="00EC3BD7" w:rsidRDefault="00136210">
      <w:pPr>
        <w:pStyle w:val="EndnoteText"/>
        <w:widowControl w:val="0"/>
        <w:tabs>
          <w:tab w:val="clear" w:pos="567"/>
        </w:tabs>
        <w:rPr>
          <w:color w:val="000000"/>
          <w:szCs w:val="22"/>
          <w:lang w:val="et-EE"/>
        </w:rPr>
      </w:pPr>
      <w:r w:rsidRPr="00EC3BD7">
        <w:rPr>
          <w:i/>
          <w:color w:val="000000"/>
          <w:szCs w:val="22"/>
          <w:lang w:val="et-EE"/>
        </w:rPr>
        <w:t>Retsidiveerunud/refraktaarne Ph+ </w:t>
      </w:r>
      <w:smartTag w:uri="urn:schemas-microsoft-com:office:smarttags" w:element="stockticker">
        <w:r w:rsidRPr="00EC3BD7">
          <w:rPr>
            <w:i/>
            <w:color w:val="000000"/>
            <w:szCs w:val="22"/>
            <w:lang w:val="et-EE"/>
          </w:rPr>
          <w:t>ALL</w:t>
        </w:r>
      </w:smartTag>
      <w:r w:rsidRPr="00EC3BD7">
        <w:rPr>
          <w:i/>
          <w:color w:val="000000"/>
          <w:szCs w:val="22"/>
          <w:lang w:val="et-EE"/>
        </w:rPr>
        <w:t>.</w:t>
      </w:r>
      <w:r w:rsidRPr="00EC3BD7">
        <w:rPr>
          <w:color w:val="000000"/>
          <w:szCs w:val="22"/>
          <w:lang w:val="et-EE"/>
        </w:rPr>
        <w:t xml:space="preserve"> Kui imatiniibi kasutati monoteraapiana retsidiveerunud/refraktaarse Ph+ </w:t>
      </w:r>
      <w:smartTag w:uri="urn:schemas-microsoft-com:office:smarttags" w:element="stockticker">
        <w:r w:rsidRPr="00EC3BD7">
          <w:rPr>
            <w:color w:val="000000"/>
            <w:szCs w:val="22"/>
            <w:lang w:val="et-EE"/>
          </w:rPr>
          <w:t>ALL</w:t>
        </w:r>
        <w:r w:rsidR="00B01FA1">
          <w:rPr>
            <w:color w:val="000000"/>
            <w:szCs w:val="22"/>
            <w:lang w:val="et-EE"/>
          </w:rPr>
          <w:t>-i</w:t>
        </w:r>
      </w:smartTag>
      <w:r w:rsidRPr="00EC3BD7">
        <w:rPr>
          <w:color w:val="000000"/>
          <w:szCs w:val="22"/>
          <w:lang w:val="et-EE"/>
        </w:rPr>
        <w:t xml:space="preserve"> patsientidel, saavutasid 411 uuritust 53 patsienti hematoloogilise ravivastuse 30% (9% täielik ravivastus) ja 23% olulise tsütogeneetilise ravivastuse. (Tuleb märkida, et 411 patsiendist 353 said ravi laiendatud juurdepääsuprogrammi alusel ilma, et oleks kogutud esmase ravivastuse andmeid.) 411 retsidiveerunud/refraktaarse Ph+ </w:t>
      </w:r>
      <w:smartTag w:uri="urn:schemas-microsoft-com:office:smarttags" w:element="stockticker">
        <w:r w:rsidRPr="00EC3BD7">
          <w:rPr>
            <w:color w:val="000000"/>
            <w:szCs w:val="22"/>
            <w:lang w:val="et-EE"/>
          </w:rPr>
          <w:t>ALL</w:t>
        </w:r>
        <w:r w:rsidR="00B01FA1">
          <w:rPr>
            <w:color w:val="000000"/>
            <w:szCs w:val="22"/>
            <w:lang w:val="et-EE"/>
          </w:rPr>
          <w:t>-i</w:t>
        </w:r>
      </w:smartTag>
      <w:r w:rsidRPr="00EC3BD7">
        <w:rPr>
          <w:color w:val="000000"/>
          <w:szCs w:val="22"/>
          <w:lang w:val="et-EE"/>
        </w:rPr>
        <w:t xml:space="preserve"> patsiendi seas jäi keskmine haiguse progresseerumiseni kulunud aeg vahemikku 2,6...3,1 kuud ning keskmine üldine elulemus 401 uuritud patsiendi seas oli 4,9...9 kuud. Andmed olid samad täiendavas analüüsis, mis hõlmas patsiente vanuses 55 aastat ja vanemad.</w:t>
      </w:r>
    </w:p>
    <w:p w14:paraId="325B6AD8" w14:textId="77777777" w:rsidR="00136210" w:rsidRPr="00EC3BD7" w:rsidRDefault="00136210">
      <w:pPr>
        <w:pStyle w:val="EndnoteText"/>
        <w:widowControl w:val="0"/>
        <w:tabs>
          <w:tab w:val="clear" w:pos="567"/>
        </w:tabs>
        <w:rPr>
          <w:color w:val="000000"/>
          <w:szCs w:val="22"/>
          <w:lang w:val="et-EE"/>
        </w:rPr>
      </w:pPr>
    </w:p>
    <w:p w14:paraId="781EB3B6"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u w:val="single"/>
          <w:lang w:val="et-EE"/>
        </w:rPr>
        <w:t xml:space="preserve">Kliinilised </w:t>
      </w:r>
      <w:smartTag w:uri="urn:schemas-microsoft-com:office:smarttags" w:element="stockticker">
        <w:r w:rsidRPr="00EC3BD7">
          <w:rPr>
            <w:color w:val="000000"/>
            <w:szCs w:val="22"/>
            <w:u w:val="single"/>
            <w:lang w:val="et-EE"/>
          </w:rPr>
          <w:t>MDS</w:t>
        </w:r>
      </w:smartTag>
      <w:r w:rsidRPr="00EC3BD7">
        <w:rPr>
          <w:color w:val="000000"/>
          <w:szCs w:val="22"/>
          <w:u w:val="single"/>
          <w:lang w:val="et-EE"/>
        </w:rPr>
        <w:t>/MPD uuringud</w:t>
      </w:r>
    </w:p>
    <w:p w14:paraId="4CE145C0" w14:textId="4D75408D" w:rsidR="002E2463" w:rsidRPr="00EC3BD7" w:rsidRDefault="00136210">
      <w:pPr>
        <w:pStyle w:val="EndnoteText"/>
        <w:widowControl w:val="0"/>
        <w:tabs>
          <w:tab w:val="clear" w:pos="567"/>
        </w:tabs>
        <w:rPr>
          <w:color w:val="000000"/>
          <w:szCs w:val="22"/>
          <w:lang w:val="et-EE"/>
        </w:rPr>
      </w:pPr>
      <w:r w:rsidRPr="00EC3BD7">
        <w:rPr>
          <w:color w:val="000000"/>
          <w:szCs w:val="22"/>
          <w:lang w:val="et-EE"/>
        </w:rPr>
        <w:t xml:space="preserve">Gliveci kasutamise kogemused sellel näidustusel on väga vähesed ning põhinevad hematoloogilise ja tsütogeneetilise ravivastuse määral. Kliinilist kasu või elulemuse suurenemist tõestavaid kontrollgrupiga uuringuid ei ole. Avatud, mitmekeskuselises II faasi kliinilises uuringus (uuring B2225) hinnati Gliveci kasutamist erinevatel patsientidel, kellel esinesid </w:t>
      </w:r>
      <w:smartTag w:uri="urn:schemas-microsoft-com:office:smarttags" w:element="stockticker">
        <w:r w:rsidRPr="00EC3BD7">
          <w:rPr>
            <w:color w:val="000000"/>
            <w:szCs w:val="22"/>
            <w:lang w:val="et-EE"/>
          </w:rPr>
          <w:t>ABL</w:t>
        </w:r>
      </w:smartTag>
      <w:r w:rsidRPr="00EC3BD7">
        <w:rPr>
          <w:color w:val="000000"/>
          <w:szCs w:val="22"/>
          <w:lang w:val="et-EE"/>
        </w:rPr>
        <w:t>, Kit või PDGFR valgu türosiinkinaasiga seotud eluohtlikud haigused. Selles uuringus osales 7 </w:t>
      </w:r>
      <w:smartTag w:uri="urn:schemas-microsoft-com:office:smarttags" w:element="stockticker">
        <w:r w:rsidRPr="00EC3BD7">
          <w:rPr>
            <w:color w:val="000000"/>
            <w:szCs w:val="22"/>
            <w:lang w:val="et-EE"/>
          </w:rPr>
          <w:t>MDS</w:t>
        </w:r>
      </w:smartTag>
      <w:r w:rsidRPr="00EC3BD7">
        <w:rPr>
          <w:color w:val="000000"/>
          <w:szCs w:val="22"/>
          <w:lang w:val="et-EE"/>
        </w:rPr>
        <w:t>/MPD patsienti, keda raviti Gliveci annusega 400 mg ööpäevas. Kolm patsienti saavutasid täieliku hematoloogilise ravivastuse ning üks patsient osalise hematoloogilise ravivastuse. Neljast PDGFR</w:t>
      </w:r>
      <w:r w:rsidR="00B01FA1">
        <w:rPr>
          <w:color w:val="000000"/>
          <w:szCs w:val="22"/>
          <w:lang w:val="et-EE"/>
        </w:rPr>
        <w:t>-i</w:t>
      </w:r>
      <w:r w:rsidRPr="00EC3BD7">
        <w:rPr>
          <w:color w:val="000000"/>
          <w:szCs w:val="22"/>
          <w:lang w:val="et-EE"/>
        </w:rPr>
        <w:t xml:space="preserve"> geneetilise rekombinatsiooniga patsiendist kolm saavutasid andmete analüüsi ajaks hematoloogilise ravivastuse (2 täieliku ja 1 osalise). Patsientide vanus oli 20…72 aastat.</w:t>
      </w:r>
    </w:p>
    <w:p w14:paraId="793DC1AB" w14:textId="77777777" w:rsidR="002E2463" w:rsidRPr="00EC3BD7" w:rsidRDefault="002E2463">
      <w:pPr>
        <w:pStyle w:val="EndnoteText"/>
        <w:widowControl w:val="0"/>
        <w:tabs>
          <w:tab w:val="clear" w:pos="567"/>
        </w:tabs>
        <w:rPr>
          <w:color w:val="000000"/>
          <w:szCs w:val="22"/>
          <w:lang w:val="et-EE"/>
        </w:rPr>
      </w:pPr>
    </w:p>
    <w:p w14:paraId="513BC50A" w14:textId="77777777" w:rsidR="002E2463" w:rsidRPr="00EC3BD7" w:rsidRDefault="002E2463">
      <w:pPr>
        <w:pStyle w:val="EndnoteText"/>
        <w:widowControl w:val="0"/>
        <w:tabs>
          <w:tab w:val="clear" w:pos="567"/>
        </w:tabs>
        <w:rPr>
          <w:color w:val="000000"/>
          <w:szCs w:val="22"/>
          <w:lang w:val="et-EE"/>
        </w:rPr>
      </w:pPr>
      <w:r w:rsidRPr="00EC3BD7">
        <w:rPr>
          <w:color w:val="000000"/>
          <w:szCs w:val="22"/>
          <w:lang w:val="et-EE"/>
        </w:rPr>
        <w:t>Pikaajaliste ohutuse ja efektiivsuse andmete kogumiseks</w:t>
      </w:r>
      <w:r w:rsidR="00AD3361" w:rsidRPr="00EC3BD7">
        <w:rPr>
          <w:lang w:val="et-EE"/>
        </w:rPr>
        <w:t xml:space="preserve"> </w:t>
      </w:r>
      <w:r w:rsidR="00AE0155" w:rsidRPr="00EC3BD7">
        <w:rPr>
          <w:lang w:val="et-EE"/>
        </w:rPr>
        <w:t xml:space="preserve">Gliveci </w:t>
      </w:r>
      <w:r w:rsidR="00AD3361" w:rsidRPr="00EC3BD7">
        <w:rPr>
          <w:color w:val="000000"/>
          <w:szCs w:val="22"/>
          <w:lang w:val="et-EE"/>
        </w:rPr>
        <w:t>patsientidelt, kellel on müeloproliferatiivsed kasvajad PDGFR</w:t>
      </w:r>
      <w:r w:rsidR="00AE0155" w:rsidRPr="00EC3BD7">
        <w:rPr>
          <w:color w:val="000000"/>
          <w:szCs w:val="22"/>
          <w:lang w:val="et-EE"/>
        </w:rPr>
        <w:t>- β</w:t>
      </w:r>
      <w:r w:rsidR="00AD3361" w:rsidRPr="00EC3BD7">
        <w:rPr>
          <w:color w:val="000000"/>
          <w:szCs w:val="22"/>
          <w:lang w:val="et-EE"/>
        </w:rPr>
        <w:t xml:space="preserve"> rekombinatsiooniga,</w:t>
      </w:r>
      <w:r w:rsidRPr="00EC3BD7">
        <w:rPr>
          <w:color w:val="000000"/>
          <w:szCs w:val="22"/>
          <w:lang w:val="et-EE"/>
        </w:rPr>
        <w:t xml:space="preserve"> loodi vaatlusandmetel põhinev register (uuring L2401)</w:t>
      </w:r>
      <w:r w:rsidR="00AE0155" w:rsidRPr="00EC3BD7">
        <w:rPr>
          <w:color w:val="000000"/>
          <w:szCs w:val="22"/>
          <w:lang w:val="et-EE"/>
        </w:rPr>
        <w:t xml:space="preserve">. Registrisse võetud 23 Glivecit kasutanud patsiendi ööpäevane </w:t>
      </w:r>
      <w:r w:rsidR="003E77CE" w:rsidRPr="00EC3BD7">
        <w:rPr>
          <w:color w:val="000000"/>
          <w:szCs w:val="22"/>
          <w:lang w:val="et-EE"/>
        </w:rPr>
        <w:t xml:space="preserve"> </w:t>
      </w:r>
      <w:r w:rsidR="00AE0155" w:rsidRPr="00EC3BD7">
        <w:rPr>
          <w:color w:val="000000"/>
          <w:szCs w:val="22"/>
          <w:lang w:val="et-EE"/>
        </w:rPr>
        <w:t>annus</w:t>
      </w:r>
      <w:r w:rsidR="003E77CE" w:rsidRPr="00EC3BD7">
        <w:rPr>
          <w:color w:val="000000"/>
          <w:szCs w:val="22"/>
          <w:lang w:val="et-EE"/>
        </w:rPr>
        <w:t>e mediaan</w:t>
      </w:r>
      <w:r w:rsidR="00AE0155" w:rsidRPr="00EC3BD7">
        <w:rPr>
          <w:color w:val="000000"/>
          <w:szCs w:val="22"/>
          <w:lang w:val="et-EE"/>
        </w:rPr>
        <w:t xml:space="preserve"> oli 264 mg (vahemik: 100 kuni 400 mg) ning kestus</w:t>
      </w:r>
      <w:r w:rsidR="003E77CE" w:rsidRPr="00EC3BD7">
        <w:rPr>
          <w:color w:val="000000"/>
          <w:szCs w:val="22"/>
          <w:lang w:val="et-EE"/>
        </w:rPr>
        <w:t>e mediaan</w:t>
      </w:r>
      <w:r w:rsidR="00AE0155" w:rsidRPr="00EC3BD7">
        <w:rPr>
          <w:color w:val="000000"/>
          <w:szCs w:val="22"/>
          <w:lang w:val="et-EE"/>
        </w:rPr>
        <w:t xml:space="preserve"> 7,2 aastat</w:t>
      </w:r>
      <w:r w:rsidR="00465903" w:rsidRPr="00EC3BD7">
        <w:rPr>
          <w:color w:val="000000"/>
          <w:szCs w:val="22"/>
          <w:lang w:val="et-EE"/>
        </w:rPr>
        <w:t xml:space="preserve"> (vahemik 0,1 kuni 12,7 aastat).</w:t>
      </w:r>
      <w:r w:rsidR="00AE0155" w:rsidRPr="00EC3BD7">
        <w:rPr>
          <w:color w:val="000000"/>
          <w:szCs w:val="22"/>
          <w:lang w:val="et-EE"/>
        </w:rPr>
        <w:t xml:space="preserve"> Vaatlusandmetel põhineva registri omaduste tõttu saadi hematoloogilise, tsütogeneetilise ja molekulaarse</w:t>
      </w:r>
      <w:r w:rsidR="0097458D" w:rsidRPr="00EC3BD7">
        <w:rPr>
          <w:color w:val="000000"/>
          <w:szCs w:val="22"/>
          <w:lang w:val="et-EE"/>
        </w:rPr>
        <w:t xml:space="preserve"> hindamise andmed vastavalt 22</w:t>
      </w:r>
      <w:r w:rsidR="0097458D" w:rsidRPr="00EC3BD7">
        <w:rPr>
          <w:color w:val="000000"/>
          <w:szCs w:val="22"/>
          <w:lang w:val="et-EE"/>
        </w:rPr>
        <w:noBreakHyphen/>
        <w:t>lt, 9</w:t>
      </w:r>
      <w:r w:rsidR="0097458D" w:rsidRPr="00EC3BD7">
        <w:rPr>
          <w:color w:val="000000"/>
          <w:szCs w:val="22"/>
          <w:lang w:val="et-EE"/>
        </w:rPr>
        <w:noBreakHyphen/>
        <w:t>lt ja 17</w:t>
      </w:r>
      <w:r w:rsidR="0097458D" w:rsidRPr="00EC3BD7">
        <w:rPr>
          <w:color w:val="000000"/>
          <w:szCs w:val="22"/>
          <w:lang w:val="et-EE"/>
        </w:rPr>
        <w:noBreakHyphen/>
        <w:t>lt patsiendilt 23</w:t>
      </w:r>
      <w:r w:rsidR="0097458D" w:rsidRPr="00EC3BD7">
        <w:rPr>
          <w:color w:val="000000"/>
          <w:szCs w:val="22"/>
          <w:lang w:val="et-EE"/>
        </w:rPr>
        <w:noBreakHyphen/>
        <w:t xml:space="preserve">st. Andmete konservatiivsel käsitlemisel, mille korral loeti andmete puudumist ravivastuse puudumiseks, täheldati 20/23 (87%) </w:t>
      </w:r>
      <w:r w:rsidR="00555AC2" w:rsidRPr="00EC3BD7">
        <w:rPr>
          <w:color w:val="000000"/>
          <w:szCs w:val="22"/>
          <w:lang w:val="et-EE"/>
        </w:rPr>
        <w:t xml:space="preserve">patsientidest </w:t>
      </w:r>
      <w:r w:rsidR="0097458D" w:rsidRPr="00EC3BD7">
        <w:rPr>
          <w:color w:val="000000"/>
          <w:szCs w:val="22"/>
          <w:lang w:val="et-EE"/>
        </w:rPr>
        <w:t>täielikku hematoloogilist ravivastust</w:t>
      </w:r>
      <w:r w:rsidR="00555AC2" w:rsidRPr="00EC3BD7">
        <w:rPr>
          <w:color w:val="000000"/>
          <w:szCs w:val="22"/>
          <w:lang w:val="et-EE"/>
        </w:rPr>
        <w:t>, 9/23 (39,1%) täielikku tsütogeneetilist ravivastust ning 11/23 (47,8%)</w:t>
      </w:r>
      <w:r w:rsidR="00465903" w:rsidRPr="00EC3BD7">
        <w:rPr>
          <w:color w:val="000000"/>
          <w:szCs w:val="22"/>
          <w:lang w:val="et-EE"/>
        </w:rPr>
        <w:t xml:space="preserve"> molekulaarset ravivastust. Kui ravivastuse määra arvutamisel võeti arvesse patsiente, kellel oli vähemalt üks valiidne hindamine, olid täieliku hematoloogilise, täieliku tsütogeneetilise ja molekulaarse ravivastuse määrad vastavalt </w:t>
      </w:r>
      <w:r w:rsidR="000E72B0" w:rsidRPr="00EC3BD7">
        <w:rPr>
          <w:color w:val="000000"/>
          <w:szCs w:val="22"/>
          <w:lang w:val="et-EE"/>
        </w:rPr>
        <w:t>20</w:t>
      </w:r>
      <w:r w:rsidR="00465903" w:rsidRPr="00EC3BD7">
        <w:rPr>
          <w:color w:val="000000"/>
          <w:szCs w:val="22"/>
          <w:lang w:val="et-EE"/>
        </w:rPr>
        <w:t xml:space="preserve">/22 (90,9%), 9/9 (100%) </w:t>
      </w:r>
      <w:r w:rsidR="00112DC9" w:rsidRPr="00EC3BD7">
        <w:rPr>
          <w:color w:val="000000"/>
          <w:szCs w:val="22"/>
          <w:lang w:val="et-EE"/>
        </w:rPr>
        <w:t>ja</w:t>
      </w:r>
      <w:r w:rsidR="00465903" w:rsidRPr="00EC3BD7">
        <w:rPr>
          <w:color w:val="000000"/>
          <w:szCs w:val="22"/>
          <w:lang w:val="et-EE"/>
        </w:rPr>
        <w:t xml:space="preserve"> 11/17 (64,7%).</w:t>
      </w:r>
    </w:p>
    <w:p w14:paraId="7D02FDA6" w14:textId="77777777" w:rsidR="002E2463" w:rsidRPr="00EC3BD7" w:rsidRDefault="002E2463">
      <w:pPr>
        <w:pStyle w:val="EndnoteText"/>
        <w:widowControl w:val="0"/>
        <w:tabs>
          <w:tab w:val="clear" w:pos="567"/>
        </w:tabs>
        <w:rPr>
          <w:color w:val="000000"/>
          <w:szCs w:val="22"/>
          <w:lang w:val="et-EE"/>
        </w:rPr>
      </w:pPr>
    </w:p>
    <w:p w14:paraId="76C9D485" w14:textId="769B970D" w:rsidR="00136210" w:rsidRPr="00EC3BD7" w:rsidRDefault="00136210">
      <w:pPr>
        <w:pStyle w:val="EndnoteText"/>
        <w:widowControl w:val="0"/>
        <w:tabs>
          <w:tab w:val="clear" w:pos="567"/>
        </w:tabs>
        <w:rPr>
          <w:color w:val="000000"/>
          <w:szCs w:val="22"/>
          <w:lang w:val="et-EE"/>
        </w:rPr>
      </w:pPr>
      <w:r w:rsidRPr="00EC3BD7">
        <w:rPr>
          <w:color w:val="000000"/>
          <w:szCs w:val="22"/>
          <w:lang w:val="et-EE"/>
        </w:rPr>
        <w:t>Lisaks sellele on 13 publikatsioonis teateid veel 24 </w:t>
      </w:r>
      <w:smartTag w:uri="urn:schemas-microsoft-com:office:smarttags" w:element="stockticker">
        <w:r w:rsidRPr="00EC3BD7">
          <w:rPr>
            <w:color w:val="000000"/>
            <w:szCs w:val="22"/>
            <w:lang w:val="et-EE"/>
          </w:rPr>
          <w:t>MDS</w:t>
        </w:r>
      </w:smartTag>
      <w:r w:rsidRPr="00EC3BD7">
        <w:rPr>
          <w:color w:val="000000"/>
          <w:szCs w:val="22"/>
          <w:lang w:val="et-EE"/>
        </w:rPr>
        <w:t>/MPD patsiendi kohta. Neist 21 patsienti said raviks 400 mg Glivecit ööpäevas, ülejäänud 3 patsienti väiksemaid annuseid. Üheteistkümnel patsiendil tuvastati PDGFR</w:t>
      </w:r>
      <w:r w:rsidR="00B01FA1">
        <w:rPr>
          <w:color w:val="000000"/>
          <w:szCs w:val="22"/>
          <w:lang w:val="et-EE"/>
        </w:rPr>
        <w:t>-i</w:t>
      </w:r>
      <w:r w:rsidRPr="00EC3BD7">
        <w:rPr>
          <w:color w:val="000000"/>
          <w:szCs w:val="22"/>
          <w:lang w:val="et-EE"/>
        </w:rPr>
        <w:t xml:space="preserve"> geneetiline rekombinatsioon, neist 9 saavutasid täieliku ja 1 osalise hematoloogilise ravivastuse. Nende patsientide vanus oli vahemikus 2…79 aastat. Hilisemates publikatsioonides on täiendavaid teateid, et üheteistkümnest patsiendist 6 on jätkuvalt tsütogeneetilises remissioonis (vahemikus 32…38 kuud). Samas publikatsioonis on täiendavad andmed 12 </w:t>
      </w:r>
      <w:smartTag w:uri="urn:schemas-microsoft-com:office:smarttags" w:element="stockticker">
        <w:r w:rsidRPr="00EC3BD7">
          <w:rPr>
            <w:color w:val="000000"/>
            <w:szCs w:val="22"/>
            <w:lang w:val="et-EE"/>
          </w:rPr>
          <w:t>MDS</w:t>
        </w:r>
      </w:smartTag>
      <w:r w:rsidRPr="00EC3BD7">
        <w:rPr>
          <w:color w:val="000000"/>
          <w:szCs w:val="22"/>
          <w:lang w:val="et-EE"/>
        </w:rPr>
        <w:t>/MPD PDGFR</w:t>
      </w:r>
      <w:r w:rsidR="00B01FA1">
        <w:rPr>
          <w:color w:val="000000"/>
          <w:szCs w:val="22"/>
          <w:lang w:val="et-EE"/>
        </w:rPr>
        <w:t>-i</w:t>
      </w:r>
      <w:r w:rsidRPr="00EC3BD7">
        <w:rPr>
          <w:color w:val="000000"/>
          <w:szCs w:val="22"/>
          <w:lang w:val="et-EE"/>
        </w:rPr>
        <w:t xml:space="preserve"> geneetilise rekombinatsiooniga patsiendi (5 patsienti uuringust B2225) pikaaegsest jälgimisest. Need patsiendid said Glivecit keskmiselt 47 kuud (vahemikus 24 päeva kuni 60 kuud). Nendest patsientidest kuuel ületab jälgimisperiood 4 aastat. Üksteist patsienti saavutasid kiire täieliku </w:t>
      </w:r>
      <w:r w:rsidRPr="00EC3BD7">
        <w:rPr>
          <w:color w:val="000000"/>
          <w:szCs w:val="22"/>
          <w:lang w:val="et-EE"/>
        </w:rPr>
        <w:lastRenderedPageBreak/>
        <w:t>hematoloogilise ravivastuse; kümnel kadusid täielikult tsütogeneetilised kahjustused ja kadusid või vähenesid liittranskriptid RT-</w:t>
      </w:r>
      <w:smartTag w:uri="urn:schemas-microsoft-com:office:smarttags" w:element="stockticker">
        <w:r w:rsidRPr="00EC3BD7">
          <w:rPr>
            <w:color w:val="000000"/>
            <w:szCs w:val="22"/>
            <w:lang w:val="et-EE"/>
          </w:rPr>
          <w:t>PCR</w:t>
        </w:r>
      </w:smartTag>
      <w:r w:rsidRPr="00EC3BD7">
        <w:rPr>
          <w:color w:val="000000"/>
          <w:szCs w:val="22"/>
          <w:lang w:val="et-EE"/>
        </w:rPr>
        <w:t xml:space="preserve"> mõõtmisel. Hematoloogiline ja tsütogeneetiline ravivastus püsis keskmiselt 49 kuud (vahemikus 19…60) ja 47 kuud (vahemikus 16…59). Üleüldine elulemus oli 65</w:t>
      </w:r>
      <w:r w:rsidR="00BA4A72" w:rsidRPr="00EC3BD7">
        <w:rPr>
          <w:color w:val="000000"/>
          <w:szCs w:val="22"/>
          <w:lang w:val="et-EE"/>
        </w:rPr>
        <w:t> </w:t>
      </w:r>
      <w:r w:rsidRPr="00EC3BD7">
        <w:rPr>
          <w:color w:val="000000"/>
          <w:szCs w:val="22"/>
          <w:lang w:val="et-EE"/>
        </w:rPr>
        <w:t>kuud alates diagnoosimisest (vahemikus 25…234). Ilma geneetilise traslokatsioonita patsientidel ei andnud Gliveci kasutamine paranemisele viitavaid tulemusi.</w:t>
      </w:r>
    </w:p>
    <w:p w14:paraId="37EADF0A" w14:textId="77777777" w:rsidR="00136210" w:rsidRPr="00EC3BD7" w:rsidRDefault="00136210">
      <w:pPr>
        <w:pStyle w:val="EndnoteText"/>
        <w:widowControl w:val="0"/>
        <w:tabs>
          <w:tab w:val="clear" w:pos="567"/>
        </w:tabs>
        <w:rPr>
          <w:color w:val="000000"/>
          <w:szCs w:val="22"/>
          <w:lang w:val="et-EE"/>
        </w:rPr>
      </w:pPr>
    </w:p>
    <w:p w14:paraId="487B4BB0" w14:textId="2A8F8C57" w:rsidR="0089582A" w:rsidRPr="00EC3BD7" w:rsidRDefault="0089582A">
      <w:pPr>
        <w:pStyle w:val="EndnoteText"/>
        <w:widowControl w:val="0"/>
        <w:tabs>
          <w:tab w:val="clear" w:pos="567"/>
        </w:tabs>
        <w:rPr>
          <w:color w:val="000000"/>
          <w:szCs w:val="22"/>
          <w:lang w:val="et-EE"/>
        </w:rPr>
      </w:pPr>
      <w:smartTag w:uri="urn:schemas-microsoft-com:office:smarttags" w:element="stockticker">
        <w:r w:rsidRPr="00EC3BD7">
          <w:rPr>
            <w:color w:val="000000"/>
            <w:szCs w:val="22"/>
            <w:lang w:val="et-EE"/>
          </w:rPr>
          <w:t>MDS</w:t>
        </w:r>
      </w:smartTag>
      <w:r w:rsidRPr="00EC3BD7">
        <w:rPr>
          <w:color w:val="000000"/>
          <w:szCs w:val="22"/>
          <w:lang w:val="et-EE"/>
        </w:rPr>
        <w:t>/MPD</w:t>
      </w:r>
      <w:r w:rsidR="0000294F" w:rsidRPr="00EC3BD7">
        <w:rPr>
          <w:color w:val="000000"/>
          <w:szCs w:val="22"/>
          <w:lang w:val="et-EE"/>
        </w:rPr>
        <w:t xml:space="preserve"> </w:t>
      </w:r>
      <w:r w:rsidR="00DF10E6" w:rsidRPr="00EC3BD7">
        <w:rPr>
          <w:color w:val="000000"/>
          <w:szCs w:val="22"/>
          <w:lang w:val="et-EE"/>
        </w:rPr>
        <w:t>pediaatrilistel patsientidel</w:t>
      </w:r>
      <w:r w:rsidR="0000294F" w:rsidRPr="00EC3BD7">
        <w:rPr>
          <w:color w:val="000000"/>
          <w:szCs w:val="22"/>
          <w:lang w:val="et-EE"/>
        </w:rPr>
        <w:t xml:space="preserve"> ei ole kontrollitud kliinilisi uuringuid läbi viidud. </w:t>
      </w:r>
      <w:r w:rsidR="00626B29" w:rsidRPr="00EC3BD7">
        <w:rPr>
          <w:color w:val="000000"/>
          <w:szCs w:val="22"/>
          <w:lang w:val="et-EE"/>
        </w:rPr>
        <w:t>4-s publikatsioonis kirjeldati 5 </w:t>
      </w:r>
      <w:smartTag w:uri="urn:schemas-microsoft-com:office:smarttags" w:element="stockticker">
        <w:r w:rsidR="00626B29" w:rsidRPr="00EC3BD7">
          <w:rPr>
            <w:color w:val="000000"/>
            <w:szCs w:val="22"/>
            <w:lang w:val="et-EE"/>
          </w:rPr>
          <w:t>MDS</w:t>
        </w:r>
      </w:smartTag>
      <w:r w:rsidR="00626B29" w:rsidRPr="00EC3BD7">
        <w:rPr>
          <w:color w:val="000000"/>
          <w:szCs w:val="22"/>
          <w:lang w:val="et-EE"/>
        </w:rPr>
        <w:t>/MPD PDGFR</w:t>
      </w:r>
      <w:r w:rsidR="00B01FA1">
        <w:rPr>
          <w:color w:val="000000"/>
          <w:szCs w:val="22"/>
          <w:lang w:val="et-EE"/>
        </w:rPr>
        <w:t>-i</w:t>
      </w:r>
      <w:r w:rsidR="00626B29" w:rsidRPr="00EC3BD7">
        <w:rPr>
          <w:color w:val="000000"/>
          <w:szCs w:val="22"/>
          <w:lang w:val="et-EE"/>
        </w:rPr>
        <w:t xml:space="preserve"> geneetilise rekombinatsiooniga patsienti</w:t>
      </w:r>
      <w:r w:rsidR="00B8709A" w:rsidRPr="00EC3BD7">
        <w:rPr>
          <w:color w:val="000000"/>
          <w:szCs w:val="22"/>
          <w:lang w:val="et-EE"/>
        </w:rPr>
        <w:t>. Nende patsientide vanus oli 3 kuu</w:t>
      </w:r>
      <w:r w:rsidR="00BE5D67" w:rsidRPr="00EC3BD7">
        <w:rPr>
          <w:color w:val="000000"/>
          <w:szCs w:val="22"/>
          <w:lang w:val="et-EE"/>
        </w:rPr>
        <w:t>d</w:t>
      </w:r>
      <w:r w:rsidR="00B8709A" w:rsidRPr="00EC3BD7">
        <w:rPr>
          <w:color w:val="000000"/>
          <w:szCs w:val="22"/>
          <w:lang w:val="et-EE"/>
        </w:rPr>
        <w:t xml:space="preserve"> kuni 4 aasta</w:t>
      </w:r>
      <w:r w:rsidR="00594E44" w:rsidRPr="00EC3BD7">
        <w:rPr>
          <w:color w:val="000000"/>
          <w:szCs w:val="22"/>
          <w:lang w:val="et-EE"/>
        </w:rPr>
        <w:t>t</w:t>
      </w:r>
      <w:r w:rsidR="00B8709A" w:rsidRPr="00EC3BD7">
        <w:rPr>
          <w:color w:val="000000"/>
          <w:szCs w:val="22"/>
          <w:lang w:val="et-EE"/>
        </w:rPr>
        <w:t xml:space="preserve"> ja imatiniibi </w:t>
      </w:r>
      <w:r w:rsidR="007C385A" w:rsidRPr="00EC3BD7">
        <w:rPr>
          <w:color w:val="000000"/>
          <w:szCs w:val="22"/>
          <w:lang w:val="et-EE"/>
        </w:rPr>
        <w:t xml:space="preserve">manustati </w:t>
      </w:r>
      <w:r w:rsidR="00B8709A" w:rsidRPr="00EC3BD7">
        <w:rPr>
          <w:color w:val="000000"/>
          <w:szCs w:val="22"/>
          <w:lang w:val="et-EE"/>
        </w:rPr>
        <w:t>annus</w:t>
      </w:r>
      <w:r w:rsidR="007C385A" w:rsidRPr="00EC3BD7">
        <w:rPr>
          <w:color w:val="000000"/>
          <w:szCs w:val="22"/>
          <w:lang w:val="et-EE"/>
        </w:rPr>
        <w:t>es</w:t>
      </w:r>
      <w:r w:rsidR="00B8709A" w:rsidRPr="00EC3BD7">
        <w:rPr>
          <w:color w:val="000000"/>
          <w:szCs w:val="22"/>
          <w:lang w:val="et-EE"/>
        </w:rPr>
        <w:t xml:space="preserve"> </w:t>
      </w:r>
      <w:r w:rsidR="00573E44" w:rsidRPr="00EC3BD7">
        <w:rPr>
          <w:color w:val="000000"/>
          <w:szCs w:val="22"/>
          <w:lang w:val="et-EE"/>
        </w:rPr>
        <w:t xml:space="preserve">50 mg ööpäevas või annuses </w:t>
      </w:r>
      <w:r w:rsidR="00B8709A" w:rsidRPr="00EC3BD7">
        <w:rPr>
          <w:color w:val="000000"/>
          <w:szCs w:val="22"/>
          <w:lang w:val="et-EE"/>
        </w:rPr>
        <w:t>92,5 kuni 340 mg/m</w:t>
      </w:r>
      <w:r w:rsidR="00B8709A" w:rsidRPr="00EC3BD7">
        <w:rPr>
          <w:color w:val="000000"/>
          <w:szCs w:val="22"/>
          <w:vertAlign w:val="superscript"/>
          <w:lang w:val="et-EE"/>
        </w:rPr>
        <w:t>2</w:t>
      </w:r>
      <w:r w:rsidR="00B8709A" w:rsidRPr="00EC3BD7">
        <w:rPr>
          <w:color w:val="000000"/>
          <w:szCs w:val="22"/>
          <w:lang w:val="et-EE"/>
        </w:rPr>
        <w:t xml:space="preserve"> ööpäevas.</w:t>
      </w:r>
      <w:r w:rsidR="007E2020" w:rsidRPr="00EC3BD7">
        <w:rPr>
          <w:color w:val="000000"/>
          <w:szCs w:val="22"/>
          <w:lang w:val="et-EE"/>
        </w:rPr>
        <w:t xml:space="preserve"> Kõigil patsientidel </w:t>
      </w:r>
      <w:r w:rsidR="00DF10E6" w:rsidRPr="00EC3BD7">
        <w:rPr>
          <w:color w:val="000000"/>
          <w:szCs w:val="22"/>
          <w:lang w:val="et-EE"/>
        </w:rPr>
        <w:t>saavutati täielik hematoloogiline, tsütogeneetiline ja/või kliiniline ravivastus.</w:t>
      </w:r>
    </w:p>
    <w:p w14:paraId="3D137C99" w14:textId="77777777" w:rsidR="0089582A" w:rsidRPr="00EC3BD7" w:rsidRDefault="0089582A">
      <w:pPr>
        <w:pStyle w:val="EndnoteText"/>
        <w:widowControl w:val="0"/>
        <w:tabs>
          <w:tab w:val="clear" w:pos="567"/>
        </w:tabs>
        <w:rPr>
          <w:color w:val="000000"/>
          <w:szCs w:val="22"/>
          <w:lang w:val="et-EE"/>
        </w:rPr>
      </w:pPr>
    </w:p>
    <w:p w14:paraId="2F9FD55F" w14:textId="2B1084DB" w:rsidR="00136210" w:rsidRPr="00EC3BD7" w:rsidRDefault="00136210" w:rsidP="00B9089D">
      <w:pPr>
        <w:pStyle w:val="EndnoteText"/>
        <w:keepNext/>
        <w:widowControl w:val="0"/>
        <w:tabs>
          <w:tab w:val="clear" w:pos="567"/>
        </w:tabs>
        <w:rPr>
          <w:color w:val="000000"/>
          <w:szCs w:val="22"/>
          <w:u w:val="single"/>
          <w:lang w:val="et-EE"/>
        </w:rPr>
      </w:pPr>
      <w:r w:rsidRPr="00EC3BD7">
        <w:rPr>
          <w:color w:val="000000"/>
          <w:szCs w:val="22"/>
          <w:u w:val="single"/>
          <w:lang w:val="et-EE"/>
        </w:rPr>
        <w:t>HES/KEL</w:t>
      </w:r>
      <w:r w:rsidR="00B01FA1">
        <w:rPr>
          <w:color w:val="000000"/>
          <w:szCs w:val="22"/>
          <w:lang w:val="et-EE"/>
        </w:rPr>
        <w:t>-i</w:t>
      </w:r>
      <w:r w:rsidRPr="00EC3BD7">
        <w:rPr>
          <w:color w:val="000000"/>
          <w:szCs w:val="22"/>
          <w:u w:val="single"/>
          <w:lang w:val="et-EE"/>
        </w:rPr>
        <w:t xml:space="preserve"> kliinilised uuringud</w:t>
      </w:r>
    </w:p>
    <w:p w14:paraId="21C9648C" w14:textId="00C85407" w:rsidR="00136210" w:rsidRPr="00EC3BD7" w:rsidRDefault="00136210">
      <w:pPr>
        <w:rPr>
          <w:color w:val="000000"/>
          <w:szCs w:val="22"/>
          <w:lang w:val="et-EE"/>
        </w:rPr>
      </w:pPr>
      <w:r w:rsidRPr="00EC3BD7">
        <w:rPr>
          <w:color w:val="000000"/>
          <w:szCs w:val="22"/>
          <w:lang w:val="et-EE"/>
        </w:rPr>
        <w:t>Ühes mitmekeskuselises II faasi avatud uuringus (uuring B2225) hinnati Gliveci toimet erinevatele Abl, Kit või PDGFR proteiin-türosiinkinaasiga seotud eluohtlike haigustega patsientide populatsioonidele. Selles uuringus raviti 14 HES/KEL</w:t>
      </w:r>
      <w:r w:rsidR="00B01FA1">
        <w:rPr>
          <w:color w:val="000000"/>
          <w:szCs w:val="22"/>
          <w:lang w:val="et-EE"/>
        </w:rPr>
        <w:t>-i</w:t>
      </w:r>
      <w:r w:rsidRPr="00EC3BD7">
        <w:rPr>
          <w:color w:val="000000"/>
          <w:szCs w:val="22"/>
          <w:lang w:val="et-EE"/>
        </w:rPr>
        <w:t xml:space="preserve"> patsienti Gliveciga annuses 100 mg kuni 1000 mg. Lisaks sellele on 35-s publikatsioonis teateid 162 HES/KEL</w:t>
      </w:r>
      <w:r w:rsidR="00B01FA1">
        <w:rPr>
          <w:color w:val="000000"/>
          <w:szCs w:val="22"/>
          <w:lang w:val="et-EE"/>
        </w:rPr>
        <w:t>-i</w:t>
      </w:r>
      <w:r w:rsidRPr="00EC3BD7">
        <w:rPr>
          <w:color w:val="000000"/>
          <w:szCs w:val="22"/>
          <w:lang w:val="et-EE"/>
        </w:rPr>
        <w:t xml:space="preserve"> patsiendi andmetest, kes said Glivecit annuses 75 mg kuni 800 mg ööpäevas. Tsütogeneetilisi muutusi täheldati 117-l patsiendil 176-st. Nendest 117 patsiendist 61 patsienti olid FIP1L1-PDGFRα liit-kinaas-positiivsed. Kolmes publikatsioonis olid andmed veel nelja FIP1L1-PDGFRα positiivsed HES</w:t>
      </w:r>
      <w:r w:rsidR="00B01FA1">
        <w:rPr>
          <w:color w:val="000000"/>
          <w:szCs w:val="22"/>
          <w:lang w:val="et-EE"/>
        </w:rPr>
        <w:t>-i</w:t>
      </w:r>
      <w:r w:rsidRPr="00EC3BD7">
        <w:rPr>
          <w:color w:val="000000"/>
          <w:szCs w:val="22"/>
          <w:lang w:val="et-EE"/>
        </w:rPr>
        <w:t xml:space="preserve"> patsiendi kohta. Kõigil 65-l FIP1L1-PDGFRα liit-kinaas-positiivsetel patsientidel saavutati täielik hematoloogiline ravivastus, mis püsis kuid (vahemik teatamise ajal ulatus ühest kuust kuni rohkem kui 44 kuuni). Hiljutistes publikatsioonides on teateid, et nendest 65-st patsiendist 21 saavutasid ka täieliku molekulaarse remissiooni keskmiselt 28 kuuks (vahemik 13…67 kuud). Patsientide vanus oli vahemikus 25…72 aastat. Peale selle kirjeldasid uurijad haigusjuhtude aruannetes sümptomaatika ja teiste organite funktsioonihäirete paranemist. Paranemist kirjeldati järgmiste organite/organsüsteemide häirete osas: südame, närvisüsteemi, naha- ja nahaaluskoe, respiratoorsed, rindkere ja mediastiinumi, lihas-skeleti ja sidekoe, vaskulaarsed ja seedetrakti häired.</w:t>
      </w:r>
    </w:p>
    <w:p w14:paraId="462309D4" w14:textId="77777777" w:rsidR="00CA016D" w:rsidRPr="00EC3BD7" w:rsidRDefault="00CA016D" w:rsidP="00CA016D">
      <w:pPr>
        <w:pStyle w:val="EndnoteText"/>
        <w:widowControl w:val="0"/>
        <w:tabs>
          <w:tab w:val="clear" w:pos="567"/>
        </w:tabs>
        <w:rPr>
          <w:color w:val="000000"/>
          <w:szCs w:val="22"/>
          <w:lang w:val="et-EE"/>
        </w:rPr>
      </w:pPr>
    </w:p>
    <w:p w14:paraId="493CE1FB" w14:textId="15884247" w:rsidR="00CA016D" w:rsidRPr="00EC3BD7" w:rsidRDefault="00CA016D" w:rsidP="00CA016D">
      <w:pPr>
        <w:pStyle w:val="EndnoteText"/>
        <w:widowControl w:val="0"/>
        <w:tabs>
          <w:tab w:val="clear" w:pos="567"/>
        </w:tabs>
        <w:rPr>
          <w:color w:val="000000"/>
          <w:szCs w:val="22"/>
          <w:lang w:val="et-EE"/>
        </w:rPr>
      </w:pPr>
      <w:r w:rsidRPr="00EC3BD7">
        <w:rPr>
          <w:color w:val="000000"/>
          <w:szCs w:val="22"/>
          <w:lang w:val="et-EE"/>
        </w:rPr>
        <w:t>HES/KEL</w:t>
      </w:r>
      <w:r w:rsidR="00B01FA1">
        <w:rPr>
          <w:color w:val="000000"/>
          <w:szCs w:val="22"/>
          <w:lang w:val="et-EE"/>
        </w:rPr>
        <w:t>-i</w:t>
      </w:r>
      <w:r w:rsidRPr="00EC3BD7">
        <w:rPr>
          <w:color w:val="000000"/>
          <w:szCs w:val="22"/>
          <w:lang w:val="et-EE"/>
        </w:rPr>
        <w:t xml:space="preserve"> pediaatrilistel patsientidel ei ole kontrollitud kliinilisi uuringuid läbi viidud. </w:t>
      </w:r>
      <w:r w:rsidR="00FE1BBF" w:rsidRPr="00EC3BD7">
        <w:rPr>
          <w:color w:val="000000"/>
          <w:szCs w:val="22"/>
          <w:lang w:val="et-EE"/>
        </w:rPr>
        <w:t>3</w:t>
      </w:r>
      <w:r w:rsidRPr="00EC3BD7">
        <w:rPr>
          <w:color w:val="000000"/>
          <w:szCs w:val="22"/>
          <w:lang w:val="et-EE"/>
        </w:rPr>
        <w:t xml:space="preserve">-s publikatsioonis kirjeldati </w:t>
      </w:r>
      <w:r w:rsidR="00FE1BBF" w:rsidRPr="00EC3BD7">
        <w:rPr>
          <w:color w:val="000000"/>
          <w:szCs w:val="22"/>
          <w:lang w:val="et-EE"/>
        </w:rPr>
        <w:t>3</w:t>
      </w:r>
      <w:r w:rsidRPr="00EC3BD7">
        <w:rPr>
          <w:color w:val="000000"/>
          <w:szCs w:val="22"/>
          <w:lang w:val="et-EE"/>
        </w:rPr>
        <w:t> </w:t>
      </w:r>
      <w:r w:rsidR="00C72060" w:rsidRPr="00EC3BD7">
        <w:rPr>
          <w:color w:val="000000"/>
          <w:szCs w:val="22"/>
          <w:lang w:val="et-EE"/>
        </w:rPr>
        <w:t xml:space="preserve">HES ja KEL </w:t>
      </w:r>
      <w:r w:rsidRPr="00EC3BD7">
        <w:rPr>
          <w:color w:val="000000"/>
          <w:szCs w:val="22"/>
          <w:lang w:val="et-EE"/>
        </w:rPr>
        <w:t>PDGFR</w:t>
      </w:r>
      <w:r w:rsidR="00B01FA1">
        <w:rPr>
          <w:color w:val="000000"/>
          <w:szCs w:val="22"/>
          <w:lang w:val="et-EE"/>
        </w:rPr>
        <w:t>-i</w:t>
      </w:r>
      <w:r w:rsidRPr="00EC3BD7">
        <w:rPr>
          <w:color w:val="000000"/>
          <w:szCs w:val="22"/>
          <w:lang w:val="et-EE"/>
        </w:rPr>
        <w:t xml:space="preserve"> geneetilise rekombinatsiooniga patsienti. Nende patsientide vanus oli </w:t>
      </w:r>
      <w:r w:rsidR="00FE1BBF" w:rsidRPr="00EC3BD7">
        <w:rPr>
          <w:color w:val="000000"/>
          <w:szCs w:val="22"/>
          <w:lang w:val="et-EE"/>
        </w:rPr>
        <w:t>2</w:t>
      </w:r>
      <w:r w:rsidRPr="00EC3BD7">
        <w:rPr>
          <w:color w:val="000000"/>
          <w:szCs w:val="22"/>
          <w:lang w:val="et-EE"/>
        </w:rPr>
        <w:t xml:space="preserve"> kuni </w:t>
      </w:r>
      <w:r w:rsidR="00FE1BBF" w:rsidRPr="00EC3BD7">
        <w:rPr>
          <w:color w:val="000000"/>
          <w:szCs w:val="22"/>
          <w:lang w:val="et-EE"/>
        </w:rPr>
        <w:t>16</w:t>
      </w:r>
      <w:r w:rsidRPr="00EC3BD7">
        <w:rPr>
          <w:color w:val="000000"/>
          <w:szCs w:val="22"/>
          <w:lang w:val="et-EE"/>
        </w:rPr>
        <w:t> aasta</w:t>
      </w:r>
      <w:r w:rsidR="00594E44" w:rsidRPr="00EC3BD7">
        <w:rPr>
          <w:color w:val="000000"/>
          <w:szCs w:val="22"/>
          <w:lang w:val="et-EE"/>
        </w:rPr>
        <w:t>t</w:t>
      </w:r>
      <w:r w:rsidRPr="00EC3BD7">
        <w:rPr>
          <w:color w:val="000000"/>
          <w:szCs w:val="22"/>
          <w:lang w:val="et-EE"/>
        </w:rPr>
        <w:t xml:space="preserve"> ja imatiniibi </w:t>
      </w:r>
      <w:r w:rsidR="006E3C0B" w:rsidRPr="00EC3BD7">
        <w:rPr>
          <w:color w:val="000000"/>
          <w:szCs w:val="22"/>
          <w:lang w:val="et-EE"/>
        </w:rPr>
        <w:t>manustati</w:t>
      </w:r>
      <w:r w:rsidRPr="00EC3BD7">
        <w:rPr>
          <w:color w:val="000000"/>
          <w:szCs w:val="22"/>
          <w:lang w:val="et-EE"/>
        </w:rPr>
        <w:t xml:space="preserve"> </w:t>
      </w:r>
      <w:r w:rsidR="007C385A" w:rsidRPr="00EC3BD7">
        <w:rPr>
          <w:color w:val="000000"/>
          <w:szCs w:val="22"/>
          <w:lang w:val="et-EE"/>
        </w:rPr>
        <w:t>annuses</w:t>
      </w:r>
      <w:r w:rsidRPr="00EC3BD7">
        <w:rPr>
          <w:color w:val="000000"/>
          <w:szCs w:val="22"/>
          <w:lang w:val="et-EE"/>
        </w:rPr>
        <w:t xml:space="preserve"> </w:t>
      </w:r>
      <w:r w:rsidR="0038500C" w:rsidRPr="00EC3BD7">
        <w:rPr>
          <w:color w:val="000000"/>
          <w:szCs w:val="22"/>
          <w:lang w:val="et-EE"/>
        </w:rPr>
        <w:t>300 mg/m</w:t>
      </w:r>
      <w:r w:rsidR="0038500C" w:rsidRPr="00EC3BD7">
        <w:rPr>
          <w:color w:val="000000"/>
          <w:szCs w:val="22"/>
          <w:vertAlign w:val="superscript"/>
          <w:lang w:val="et-EE"/>
        </w:rPr>
        <w:t>2</w:t>
      </w:r>
      <w:r w:rsidR="0038500C" w:rsidRPr="00EC3BD7">
        <w:rPr>
          <w:color w:val="000000"/>
          <w:szCs w:val="22"/>
          <w:lang w:val="et-EE"/>
        </w:rPr>
        <w:t xml:space="preserve"> ööpäevas või annuses </w:t>
      </w:r>
      <w:r w:rsidR="00FE1BBF" w:rsidRPr="00EC3BD7">
        <w:rPr>
          <w:color w:val="000000"/>
          <w:szCs w:val="22"/>
          <w:lang w:val="et-EE"/>
        </w:rPr>
        <w:t>200</w:t>
      </w:r>
      <w:r w:rsidRPr="00EC3BD7">
        <w:rPr>
          <w:color w:val="000000"/>
          <w:szCs w:val="22"/>
          <w:lang w:val="et-EE"/>
        </w:rPr>
        <w:t xml:space="preserve"> kuni </w:t>
      </w:r>
      <w:r w:rsidR="00FE1BBF" w:rsidRPr="00EC3BD7">
        <w:rPr>
          <w:color w:val="000000"/>
          <w:szCs w:val="22"/>
          <w:lang w:val="et-EE"/>
        </w:rPr>
        <w:t>400</w:t>
      </w:r>
      <w:r w:rsidRPr="00EC3BD7">
        <w:rPr>
          <w:color w:val="000000"/>
          <w:szCs w:val="22"/>
          <w:lang w:val="et-EE"/>
        </w:rPr>
        <w:t xml:space="preserve"> mg ööpäevas. Kõigil patsientidel saavutati täielik hematoloogiline, </w:t>
      </w:r>
      <w:r w:rsidR="00FE1BBF" w:rsidRPr="00EC3BD7">
        <w:rPr>
          <w:color w:val="000000"/>
          <w:szCs w:val="22"/>
          <w:lang w:val="et-EE"/>
        </w:rPr>
        <w:t xml:space="preserve">täielik </w:t>
      </w:r>
      <w:r w:rsidRPr="00EC3BD7">
        <w:rPr>
          <w:color w:val="000000"/>
          <w:szCs w:val="22"/>
          <w:lang w:val="et-EE"/>
        </w:rPr>
        <w:t xml:space="preserve">tsütogeneetiline ja/või </w:t>
      </w:r>
      <w:r w:rsidR="00FE1BBF" w:rsidRPr="00EC3BD7">
        <w:rPr>
          <w:color w:val="000000"/>
          <w:szCs w:val="22"/>
          <w:lang w:val="et-EE"/>
        </w:rPr>
        <w:t>täielik molekulaarne</w:t>
      </w:r>
      <w:r w:rsidRPr="00EC3BD7">
        <w:rPr>
          <w:color w:val="000000"/>
          <w:szCs w:val="22"/>
          <w:lang w:val="et-EE"/>
        </w:rPr>
        <w:t xml:space="preserve"> ravivastus.</w:t>
      </w:r>
    </w:p>
    <w:p w14:paraId="3FB63D77" w14:textId="77777777" w:rsidR="00556CBF" w:rsidRPr="00EC3BD7" w:rsidRDefault="00556CBF" w:rsidP="00556CBF">
      <w:pPr>
        <w:pStyle w:val="EndnoteText"/>
        <w:widowControl w:val="0"/>
        <w:tabs>
          <w:tab w:val="clear" w:pos="567"/>
        </w:tabs>
        <w:rPr>
          <w:color w:val="000000"/>
          <w:szCs w:val="22"/>
          <w:lang w:val="et-EE"/>
        </w:rPr>
      </w:pPr>
    </w:p>
    <w:p w14:paraId="4D60CB8E" w14:textId="3D8B77B9" w:rsidR="00556CBF" w:rsidRPr="00EC3BD7" w:rsidRDefault="00556CBF" w:rsidP="00B9089D">
      <w:pPr>
        <w:pStyle w:val="EndnoteText"/>
        <w:keepNext/>
        <w:widowControl w:val="0"/>
        <w:tabs>
          <w:tab w:val="clear" w:pos="567"/>
        </w:tabs>
        <w:rPr>
          <w:color w:val="000000"/>
          <w:szCs w:val="22"/>
          <w:u w:val="single"/>
          <w:lang w:val="et-EE"/>
        </w:rPr>
      </w:pPr>
      <w:r w:rsidRPr="00EC3BD7">
        <w:rPr>
          <w:color w:val="000000"/>
          <w:szCs w:val="22"/>
          <w:u w:val="single"/>
          <w:lang w:val="et-EE"/>
        </w:rPr>
        <w:t>Kliinilised mitteopereeritava ja/või metastaseerunud GIST</w:t>
      </w:r>
      <w:r w:rsidR="00B01FA1">
        <w:rPr>
          <w:color w:val="000000"/>
          <w:szCs w:val="22"/>
          <w:lang w:val="et-EE"/>
        </w:rPr>
        <w:t>-i</w:t>
      </w:r>
      <w:r w:rsidRPr="00EC3BD7">
        <w:rPr>
          <w:color w:val="000000"/>
          <w:szCs w:val="22"/>
          <w:u w:val="single"/>
          <w:lang w:val="et-EE"/>
        </w:rPr>
        <w:t xml:space="preserve"> uuringud</w:t>
      </w:r>
    </w:p>
    <w:p w14:paraId="156DF1D0"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Mitteopereeritava või metastaseerunud pahaloomuliste gastrointestinaalsete stromaaltuumoritega (GIST) patsientidel on tehtud üks II faasi avatud randomiseeritud kontrollgrupita rahvusvaheline uuring. Selles uuringus osales 147 patsienti, kes randomiseeriti rühmadesse ja said ravimit kas 400 mg või 600 mg suu kaudu üks kord päevas kuni 36 kuu jooksul. Patsiendid olid vanuses 18...83 aastat ja neil oli patoloogiliselt diagnoositud Kit-positiivne pahaloomuline mitteopereeritav ja/või metastaseerunud GIST. Immunohistokeemia tehti Kit antikehadega (A-4502, küüliku polüklonaalne antiseerum, 1:100; DAKO Corporation, Carpinteria, CA) vastavalt analüüsile avidiin-biotiin-peroksüdaaskompleksi meetodiga pärast antigeeni võtmist.</w:t>
      </w:r>
    </w:p>
    <w:p w14:paraId="35E26944" w14:textId="77777777" w:rsidR="00136210" w:rsidRPr="00EC3BD7" w:rsidRDefault="00136210">
      <w:pPr>
        <w:pStyle w:val="EndnoteText"/>
        <w:widowControl w:val="0"/>
        <w:tabs>
          <w:tab w:val="clear" w:pos="567"/>
        </w:tabs>
        <w:rPr>
          <w:color w:val="000000"/>
          <w:szCs w:val="22"/>
          <w:lang w:val="et-EE"/>
        </w:rPr>
      </w:pPr>
    </w:p>
    <w:p w14:paraId="49ED3217"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Esmane tulemusnäitaja põhines objektiivsel ravivastusel. Kasvajad pidid olema mõõdetavad vähemalt haiguse ühe paikme osas ning vastuse iseloomustus põhines Southwestern Oncology Group’i (SWOG) kriteeriumitel. Tulemused on toodud tabelis </w:t>
      </w:r>
      <w:r w:rsidR="00A2060F" w:rsidRPr="00EC3BD7">
        <w:rPr>
          <w:color w:val="000000"/>
          <w:szCs w:val="22"/>
          <w:lang w:val="et-EE"/>
        </w:rPr>
        <w:t>6</w:t>
      </w:r>
      <w:r w:rsidRPr="00EC3BD7">
        <w:rPr>
          <w:color w:val="000000"/>
          <w:szCs w:val="22"/>
          <w:lang w:val="et-EE"/>
        </w:rPr>
        <w:t>.</w:t>
      </w:r>
    </w:p>
    <w:p w14:paraId="2BA774C6" w14:textId="77777777" w:rsidR="00136210" w:rsidRPr="00EC3BD7" w:rsidRDefault="00136210">
      <w:pPr>
        <w:pStyle w:val="EndnoteText"/>
        <w:widowControl w:val="0"/>
        <w:tabs>
          <w:tab w:val="clear" w:pos="567"/>
        </w:tabs>
        <w:rPr>
          <w:color w:val="000000"/>
          <w:szCs w:val="22"/>
          <w:lang w:val="et-EE"/>
        </w:rPr>
      </w:pPr>
    </w:p>
    <w:p w14:paraId="5237904B" w14:textId="77777777" w:rsidR="00136210" w:rsidRPr="00EC3BD7" w:rsidRDefault="00136210" w:rsidP="00B9089D">
      <w:pPr>
        <w:pStyle w:val="EndnoteText"/>
        <w:keepNext/>
        <w:widowControl w:val="0"/>
        <w:tabs>
          <w:tab w:val="clear" w:pos="567"/>
          <w:tab w:val="left" w:pos="1134"/>
        </w:tabs>
        <w:rPr>
          <w:b/>
          <w:color w:val="000000"/>
          <w:szCs w:val="22"/>
          <w:lang w:val="et-EE"/>
        </w:rPr>
      </w:pPr>
      <w:r w:rsidRPr="00EC3BD7">
        <w:rPr>
          <w:b/>
          <w:color w:val="000000"/>
          <w:szCs w:val="22"/>
          <w:lang w:val="et-EE"/>
        </w:rPr>
        <w:lastRenderedPageBreak/>
        <w:t>Tabel </w:t>
      </w:r>
      <w:r w:rsidR="00A2060F" w:rsidRPr="00EC3BD7">
        <w:rPr>
          <w:b/>
          <w:color w:val="000000"/>
          <w:szCs w:val="22"/>
          <w:lang w:val="et-EE"/>
        </w:rPr>
        <w:t>6</w:t>
      </w:r>
      <w:r w:rsidRPr="00EC3BD7">
        <w:rPr>
          <w:b/>
          <w:color w:val="000000"/>
          <w:szCs w:val="22"/>
          <w:lang w:val="et-EE"/>
        </w:rPr>
        <w:tab/>
        <w:t>Parim kasvaja ravivastus uuringus STIB2222 (GIST)</w:t>
      </w:r>
    </w:p>
    <w:p w14:paraId="38A76836" w14:textId="77777777" w:rsidR="00136210" w:rsidRPr="00EC3BD7" w:rsidRDefault="00136210" w:rsidP="00B9089D">
      <w:pPr>
        <w:pStyle w:val="EndnoteText"/>
        <w:keepNext/>
        <w:widowControl w:val="0"/>
        <w:tabs>
          <w:tab w:val="clear" w:pos="567"/>
        </w:tabs>
        <w:rPr>
          <w:color w:val="000000"/>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136210" w:rsidRPr="00EC3BD7" w14:paraId="7B63B58C" w14:textId="77777777" w:rsidTr="008B1609">
        <w:trPr>
          <w:cantSplit/>
        </w:trPr>
        <w:tc>
          <w:tcPr>
            <w:tcW w:w="4643" w:type="dxa"/>
            <w:tcBorders>
              <w:left w:val="nil"/>
              <w:bottom w:val="single" w:sz="4" w:space="0" w:color="auto"/>
              <w:right w:val="nil"/>
            </w:tcBorders>
          </w:tcPr>
          <w:p w14:paraId="0955A6BA" w14:textId="77777777" w:rsidR="00136210" w:rsidRPr="00EC3BD7" w:rsidRDefault="00136210" w:rsidP="00B9089D">
            <w:pPr>
              <w:pStyle w:val="EndnoteText"/>
              <w:keepNext/>
              <w:widowControl w:val="0"/>
              <w:tabs>
                <w:tab w:val="clear" w:pos="567"/>
              </w:tabs>
              <w:rPr>
                <w:color w:val="000000"/>
                <w:szCs w:val="22"/>
                <w:lang w:val="et-EE"/>
              </w:rPr>
            </w:pPr>
          </w:p>
          <w:p w14:paraId="35E9EF82" w14:textId="77777777" w:rsidR="00136210" w:rsidRPr="00EC3BD7" w:rsidRDefault="00136210" w:rsidP="00B9089D">
            <w:pPr>
              <w:pStyle w:val="EndnoteText"/>
              <w:keepNext/>
              <w:widowControl w:val="0"/>
              <w:tabs>
                <w:tab w:val="clear" w:pos="567"/>
              </w:tabs>
              <w:rPr>
                <w:color w:val="000000"/>
                <w:szCs w:val="22"/>
                <w:lang w:val="et-EE"/>
              </w:rPr>
            </w:pPr>
          </w:p>
          <w:p w14:paraId="6A962212" w14:textId="77777777" w:rsidR="00136210" w:rsidRPr="00EC3BD7" w:rsidRDefault="00136210" w:rsidP="00B9089D">
            <w:pPr>
              <w:pStyle w:val="EndnoteText"/>
              <w:keepNext/>
              <w:widowControl w:val="0"/>
              <w:tabs>
                <w:tab w:val="clear" w:pos="567"/>
              </w:tabs>
              <w:rPr>
                <w:color w:val="000000"/>
                <w:szCs w:val="22"/>
                <w:lang w:val="et-EE"/>
              </w:rPr>
            </w:pPr>
          </w:p>
          <w:p w14:paraId="1CA5F032"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Parim ravivastus</w:t>
            </w:r>
          </w:p>
        </w:tc>
        <w:tc>
          <w:tcPr>
            <w:tcW w:w="4643" w:type="dxa"/>
            <w:tcBorders>
              <w:left w:val="nil"/>
              <w:bottom w:val="single" w:sz="4" w:space="0" w:color="auto"/>
              <w:right w:val="nil"/>
            </w:tcBorders>
          </w:tcPr>
          <w:p w14:paraId="24FC77F8" w14:textId="77777777" w:rsidR="00136210" w:rsidRPr="00EC3BD7" w:rsidRDefault="00136210" w:rsidP="00B9089D">
            <w:pPr>
              <w:pStyle w:val="EndnoteText"/>
              <w:keepNext/>
              <w:widowControl w:val="0"/>
              <w:tabs>
                <w:tab w:val="clear" w:pos="567"/>
              </w:tabs>
              <w:jc w:val="center"/>
              <w:rPr>
                <w:color w:val="000000"/>
                <w:szCs w:val="22"/>
                <w:lang w:val="et-EE"/>
              </w:rPr>
            </w:pPr>
            <w:r w:rsidRPr="00EC3BD7">
              <w:rPr>
                <w:color w:val="000000"/>
                <w:szCs w:val="22"/>
                <w:lang w:val="et-EE"/>
              </w:rPr>
              <w:t>Kõik annused (n=147)</w:t>
            </w:r>
          </w:p>
          <w:p w14:paraId="04933BB7" w14:textId="77777777" w:rsidR="00136210" w:rsidRPr="00EC3BD7" w:rsidRDefault="00136210" w:rsidP="00B9089D">
            <w:pPr>
              <w:pStyle w:val="EndnoteText"/>
              <w:keepNext/>
              <w:widowControl w:val="0"/>
              <w:tabs>
                <w:tab w:val="clear" w:pos="567"/>
              </w:tabs>
              <w:jc w:val="center"/>
              <w:rPr>
                <w:color w:val="000000"/>
                <w:szCs w:val="22"/>
                <w:lang w:val="et-EE"/>
              </w:rPr>
            </w:pPr>
            <w:r w:rsidRPr="00EC3BD7">
              <w:rPr>
                <w:color w:val="000000"/>
                <w:szCs w:val="22"/>
                <w:lang w:val="et-EE"/>
              </w:rPr>
              <w:t>400 mg (n=73)</w:t>
            </w:r>
          </w:p>
          <w:p w14:paraId="1F668E0F" w14:textId="77777777" w:rsidR="00136210" w:rsidRPr="00EC3BD7" w:rsidRDefault="00136210" w:rsidP="00B9089D">
            <w:pPr>
              <w:pStyle w:val="EndnoteText"/>
              <w:keepNext/>
              <w:widowControl w:val="0"/>
              <w:tabs>
                <w:tab w:val="clear" w:pos="567"/>
              </w:tabs>
              <w:jc w:val="center"/>
              <w:rPr>
                <w:color w:val="000000"/>
                <w:szCs w:val="22"/>
                <w:lang w:val="et-EE"/>
              </w:rPr>
            </w:pPr>
            <w:r w:rsidRPr="00EC3BD7">
              <w:rPr>
                <w:color w:val="000000"/>
                <w:szCs w:val="22"/>
                <w:lang w:val="et-EE"/>
              </w:rPr>
              <w:t>600 mg (n=74)</w:t>
            </w:r>
          </w:p>
          <w:p w14:paraId="3C64A03A" w14:textId="77777777" w:rsidR="00136210" w:rsidRPr="00EC3BD7" w:rsidRDefault="00136210" w:rsidP="00B9089D">
            <w:pPr>
              <w:pStyle w:val="EndnoteText"/>
              <w:keepNext/>
              <w:widowControl w:val="0"/>
              <w:tabs>
                <w:tab w:val="clear" w:pos="567"/>
              </w:tabs>
              <w:jc w:val="center"/>
              <w:rPr>
                <w:color w:val="000000"/>
                <w:szCs w:val="22"/>
                <w:lang w:val="et-EE"/>
              </w:rPr>
            </w:pPr>
            <w:r w:rsidRPr="00EC3BD7">
              <w:rPr>
                <w:color w:val="000000"/>
                <w:szCs w:val="22"/>
                <w:lang w:val="et-EE"/>
              </w:rPr>
              <w:t>n (%)</w:t>
            </w:r>
          </w:p>
        </w:tc>
      </w:tr>
      <w:tr w:rsidR="00136210" w:rsidRPr="00EC3BD7" w14:paraId="3B0516F2" w14:textId="77777777" w:rsidTr="008B1609">
        <w:trPr>
          <w:cantSplit/>
        </w:trPr>
        <w:tc>
          <w:tcPr>
            <w:tcW w:w="4643" w:type="dxa"/>
            <w:tcBorders>
              <w:top w:val="nil"/>
              <w:left w:val="nil"/>
              <w:bottom w:val="nil"/>
              <w:right w:val="nil"/>
            </w:tcBorders>
          </w:tcPr>
          <w:p w14:paraId="3B38ABF4"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Täielik ravivastus</w:t>
            </w:r>
          </w:p>
        </w:tc>
        <w:tc>
          <w:tcPr>
            <w:tcW w:w="4643" w:type="dxa"/>
            <w:tcBorders>
              <w:top w:val="nil"/>
              <w:left w:val="nil"/>
              <w:bottom w:val="nil"/>
              <w:right w:val="nil"/>
            </w:tcBorders>
          </w:tcPr>
          <w:p w14:paraId="08297F4B" w14:textId="77777777" w:rsidR="00136210" w:rsidRPr="00EC3BD7" w:rsidRDefault="00136210" w:rsidP="00B9089D">
            <w:pPr>
              <w:pStyle w:val="EndnoteText"/>
              <w:keepNext/>
              <w:widowControl w:val="0"/>
              <w:tabs>
                <w:tab w:val="clear" w:pos="567"/>
              </w:tabs>
              <w:jc w:val="center"/>
              <w:rPr>
                <w:color w:val="000000"/>
                <w:szCs w:val="22"/>
                <w:lang w:val="et-EE"/>
              </w:rPr>
            </w:pPr>
            <w:r w:rsidRPr="00EC3BD7">
              <w:rPr>
                <w:color w:val="000000"/>
                <w:szCs w:val="22"/>
                <w:lang w:val="et-EE"/>
              </w:rPr>
              <w:t>1 (0,7)</w:t>
            </w:r>
          </w:p>
        </w:tc>
      </w:tr>
      <w:tr w:rsidR="00136210" w:rsidRPr="00EC3BD7" w14:paraId="6FFB9EEE" w14:textId="77777777" w:rsidTr="008B1609">
        <w:trPr>
          <w:cantSplit/>
        </w:trPr>
        <w:tc>
          <w:tcPr>
            <w:tcW w:w="4643" w:type="dxa"/>
            <w:tcBorders>
              <w:top w:val="nil"/>
              <w:left w:val="nil"/>
              <w:bottom w:val="nil"/>
              <w:right w:val="nil"/>
            </w:tcBorders>
          </w:tcPr>
          <w:p w14:paraId="4D4E0C51"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Osaline ravivastus</w:t>
            </w:r>
          </w:p>
        </w:tc>
        <w:tc>
          <w:tcPr>
            <w:tcW w:w="4643" w:type="dxa"/>
            <w:tcBorders>
              <w:top w:val="nil"/>
              <w:left w:val="nil"/>
              <w:bottom w:val="nil"/>
              <w:right w:val="nil"/>
            </w:tcBorders>
          </w:tcPr>
          <w:p w14:paraId="463B676D" w14:textId="77777777" w:rsidR="00136210" w:rsidRPr="00EC3BD7" w:rsidRDefault="00136210" w:rsidP="00B9089D">
            <w:pPr>
              <w:pStyle w:val="EndnoteText"/>
              <w:keepNext/>
              <w:widowControl w:val="0"/>
              <w:tabs>
                <w:tab w:val="clear" w:pos="567"/>
              </w:tabs>
              <w:jc w:val="center"/>
              <w:rPr>
                <w:color w:val="000000"/>
                <w:szCs w:val="22"/>
                <w:lang w:val="et-EE"/>
              </w:rPr>
            </w:pPr>
            <w:r w:rsidRPr="00EC3BD7">
              <w:rPr>
                <w:color w:val="000000"/>
                <w:szCs w:val="22"/>
                <w:lang w:val="et-EE"/>
              </w:rPr>
              <w:t>98 (66,7)</w:t>
            </w:r>
          </w:p>
        </w:tc>
      </w:tr>
      <w:tr w:rsidR="00136210" w:rsidRPr="00EC3BD7" w14:paraId="66F74BB1" w14:textId="77777777" w:rsidTr="008B1609">
        <w:trPr>
          <w:cantSplit/>
        </w:trPr>
        <w:tc>
          <w:tcPr>
            <w:tcW w:w="4643" w:type="dxa"/>
            <w:tcBorders>
              <w:top w:val="nil"/>
              <w:left w:val="nil"/>
              <w:bottom w:val="nil"/>
              <w:right w:val="nil"/>
            </w:tcBorders>
          </w:tcPr>
          <w:p w14:paraId="230D049A"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Stabiilne haigus</w:t>
            </w:r>
          </w:p>
        </w:tc>
        <w:tc>
          <w:tcPr>
            <w:tcW w:w="4643" w:type="dxa"/>
            <w:tcBorders>
              <w:top w:val="nil"/>
              <w:left w:val="nil"/>
              <w:bottom w:val="nil"/>
              <w:right w:val="nil"/>
            </w:tcBorders>
          </w:tcPr>
          <w:p w14:paraId="45765067" w14:textId="77777777" w:rsidR="00136210" w:rsidRPr="00EC3BD7" w:rsidRDefault="00136210" w:rsidP="00B9089D">
            <w:pPr>
              <w:pStyle w:val="EndnoteText"/>
              <w:keepNext/>
              <w:widowControl w:val="0"/>
              <w:tabs>
                <w:tab w:val="clear" w:pos="567"/>
              </w:tabs>
              <w:jc w:val="center"/>
              <w:rPr>
                <w:color w:val="000000"/>
                <w:szCs w:val="22"/>
                <w:lang w:val="et-EE"/>
              </w:rPr>
            </w:pPr>
            <w:r w:rsidRPr="00EC3BD7">
              <w:rPr>
                <w:color w:val="000000"/>
                <w:szCs w:val="22"/>
                <w:lang w:val="et-EE"/>
              </w:rPr>
              <w:t>23 (15,6)</w:t>
            </w:r>
          </w:p>
        </w:tc>
      </w:tr>
      <w:tr w:rsidR="00136210" w:rsidRPr="00EC3BD7" w14:paraId="6B2ED530" w14:textId="77777777" w:rsidTr="008B1609">
        <w:trPr>
          <w:cantSplit/>
        </w:trPr>
        <w:tc>
          <w:tcPr>
            <w:tcW w:w="4643" w:type="dxa"/>
            <w:tcBorders>
              <w:top w:val="nil"/>
              <w:left w:val="nil"/>
              <w:bottom w:val="nil"/>
              <w:right w:val="nil"/>
            </w:tcBorders>
          </w:tcPr>
          <w:p w14:paraId="381FC20F"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Progresseeruv haigus</w:t>
            </w:r>
          </w:p>
        </w:tc>
        <w:tc>
          <w:tcPr>
            <w:tcW w:w="4643" w:type="dxa"/>
            <w:tcBorders>
              <w:top w:val="nil"/>
              <w:left w:val="nil"/>
              <w:bottom w:val="nil"/>
              <w:right w:val="nil"/>
            </w:tcBorders>
          </w:tcPr>
          <w:p w14:paraId="35647D7C" w14:textId="77777777" w:rsidR="00136210" w:rsidRPr="00EC3BD7" w:rsidRDefault="00136210" w:rsidP="00B9089D">
            <w:pPr>
              <w:pStyle w:val="EndnoteText"/>
              <w:keepNext/>
              <w:widowControl w:val="0"/>
              <w:tabs>
                <w:tab w:val="clear" w:pos="567"/>
              </w:tabs>
              <w:jc w:val="center"/>
              <w:rPr>
                <w:color w:val="000000"/>
                <w:szCs w:val="22"/>
                <w:lang w:val="et-EE"/>
              </w:rPr>
            </w:pPr>
            <w:r w:rsidRPr="00EC3BD7">
              <w:rPr>
                <w:color w:val="000000"/>
                <w:szCs w:val="22"/>
                <w:lang w:val="et-EE"/>
              </w:rPr>
              <w:t>18 (12,2)</w:t>
            </w:r>
          </w:p>
        </w:tc>
      </w:tr>
      <w:tr w:rsidR="00136210" w:rsidRPr="00EC3BD7" w14:paraId="2424438D" w14:textId="77777777" w:rsidTr="008B1609">
        <w:trPr>
          <w:cantSplit/>
        </w:trPr>
        <w:tc>
          <w:tcPr>
            <w:tcW w:w="4643" w:type="dxa"/>
            <w:tcBorders>
              <w:top w:val="nil"/>
              <w:left w:val="nil"/>
              <w:bottom w:val="nil"/>
              <w:right w:val="nil"/>
            </w:tcBorders>
          </w:tcPr>
          <w:p w14:paraId="7EB575CA"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Ei ole hinnatav</w:t>
            </w:r>
          </w:p>
        </w:tc>
        <w:tc>
          <w:tcPr>
            <w:tcW w:w="4643" w:type="dxa"/>
            <w:tcBorders>
              <w:top w:val="nil"/>
              <w:left w:val="nil"/>
              <w:bottom w:val="nil"/>
              <w:right w:val="nil"/>
            </w:tcBorders>
          </w:tcPr>
          <w:p w14:paraId="1274C132" w14:textId="77777777" w:rsidR="00136210" w:rsidRPr="00EC3BD7" w:rsidRDefault="00136210" w:rsidP="00B9089D">
            <w:pPr>
              <w:pStyle w:val="EndnoteText"/>
              <w:keepNext/>
              <w:widowControl w:val="0"/>
              <w:tabs>
                <w:tab w:val="clear" w:pos="567"/>
              </w:tabs>
              <w:jc w:val="center"/>
              <w:rPr>
                <w:color w:val="000000"/>
                <w:szCs w:val="22"/>
                <w:lang w:val="et-EE"/>
              </w:rPr>
            </w:pPr>
            <w:r w:rsidRPr="00EC3BD7">
              <w:rPr>
                <w:color w:val="000000"/>
                <w:szCs w:val="22"/>
                <w:lang w:val="et-EE"/>
              </w:rPr>
              <w:t>5 (3,4)</w:t>
            </w:r>
          </w:p>
        </w:tc>
      </w:tr>
      <w:tr w:rsidR="00136210" w:rsidRPr="00EC3BD7" w14:paraId="016086CC" w14:textId="77777777" w:rsidTr="008B1609">
        <w:trPr>
          <w:cantSplit/>
        </w:trPr>
        <w:tc>
          <w:tcPr>
            <w:tcW w:w="4643" w:type="dxa"/>
            <w:tcBorders>
              <w:top w:val="nil"/>
              <w:left w:val="nil"/>
              <w:right w:val="nil"/>
            </w:tcBorders>
          </w:tcPr>
          <w:p w14:paraId="1E404E64"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Ei ole teada</w:t>
            </w:r>
          </w:p>
        </w:tc>
        <w:tc>
          <w:tcPr>
            <w:tcW w:w="4643" w:type="dxa"/>
            <w:tcBorders>
              <w:top w:val="nil"/>
              <w:left w:val="nil"/>
              <w:right w:val="nil"/>
            </w:tcBorders>
          </w:tcPr>
          <w:p w14:paraId="240C27D3" w14:textId="77777777" w:rsidR="00136210" w:rsidRPr="00EC3BD7" w:rsidRDefault="00136210">
            <w:pPr>
              <w:pStyle w:val="EndnoteText"/>
              <w:widowControl w:val="0"/>
              <w:tabs>
                <w:tab w:val="clear" w:pos="567"/>
              </w:tabs>
              <w:jc w:val="center"/>
              <w:rPr>
                <w:color w:val="000000"/>
                <w:szCs w:val="22"/>
                <w:lang w:val="et-EE"/>
              </w:rPr>
            </w:pPr>
            <w:r w:rsidRPr="00EC3BD7">
              <w:rPr>
                <w:color w:val="000000"/>
                <w:szCs w:val="22"/>
                <w:lang w:val="et-EE"/>
              </w:rPr>
              <w:t>2 (1,4)</w:t>
            </w:r>
          </w:p>
        </w:tc>
      </w:tr>
    </w:tbl>
    <w:p w14:paraId="6F1FFBF9" w14:textId="77777777" w:rsidR="00136210" w:rsidRPr="00EC3BD7" w:rsidRDefault="00136210">
      <w:pPr>
        <w:pStyle w:val="EndnoteText"/>
        <w:widowControl w:val="0"/>
        <w:tabs>
          <w:tab w:val="clear" w:pos="567"/>
        </w:tabs>
        <w:rPr>
          <w:color w:val="000000"/>
          <w:szCs w:val="22"/>
          <w:lang w:val="et-EE"/>
        </w:rPr>
      </w:pPr>
    </w:p>
    <w:p w14:paraId="391284AE"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 xml:space="preserve">Kahe annustamisrühma vahel puudusid erinevused. Oluline hulk patsiente, kellel vaheanalüüsi tegemise ajal oli haigus stabiilne, saavutasid osalise ravivastuse pikema ravi jooksul (keskmine jälgimisaeg 31 kuud). Keskmine aeg ravivastuse saavutamiseni oli 13 nädalat (95% CI 12…23). Keskmine aeg ravi ebaõnnestumiseni nendel, kes saavutasid ravivastuse </w:t>
      </w:r>
      <w:r w:rsidR="00011C29" w:rsidRPr="00EC3BD7">
        <w:rPr>
          <w:color w:val="000000"/>
          <w:szCs w:val="22"/>
          <w:lang w:val="et-EE"/>
        </w:rPr>
        <w:t xml:space="preserve">oli </w:t>
      </w:r>
      <w:r w:rsidRPr="00EC3BD7">
        <w:rPr>
          <w:color w:val="000000"/>
          <w:szCs w:val="22"/>
          <w:lang w:val="et-EE"/>
        </w:rPr>
        <w:t>122 nädalat (95% CI 106…147), uuringu üldpopulatsioonis oli see 84 nädalat (95% CI 71…109). Keskmist elulemuse taset ei saavutatud. Pärast 36-kuulist jälgimist oli Kaplan-Meieri hinnangufunktsioon 68%.</w:t>
      </w:r>
    </w:p>
    <w:p w14:paraId="1678EAF1" w14:textId="77777777" w:rsidR="00136210" w:rsidRPr="00EC3BD7" w:rsidRDefault="00136210">
      <w:pPr>
        <w:pStyle w:val="EndnoteText"/>
        <w:widowControl w:val="0"/>
        <w:tabs>
          <w:tab w:val="clear" w:pos="567"/>
        </w:tabs>
        <w:rPr>
          <w:color w:val="000000"/>
          <w:szCs w:val="22"/>
          <w:lang w:val="et-EE"/>
        </w:rPr>
      </w:pPr>
    </w:p>
    <w:p w14:paraId="37D9F053" w14:textId="77777777" w:rsidR="00556CBF" w:rsidRPr="00EC3BD7" w:rsidRDefault="00136210" w:rsidP="00556CBF">
      <w:pPr>
        <w:pStyle w:val="EndnoteText"/>
        <w:widowControl w:val="0"/>
        <w:tabs>
          <w:tab w:val="clear" w:pos="567"/>
        </w:tabs>
        <w:rPr>
          <w:color w:val="000000"/>
          <w:szCs w:val="22"/>
          <w:lang w:val="et-EE"/>
        </w:rPr>
      </w:pPr>
      <w:r w:rsidRPr="00EC3BD7">
        <w:rPr>
          <w:color w:val="000000"/>
          <w:szCs w:val="22"/>
          <w:lang w:val="et-EE"/>
        </w:rPr>
        <w:t xml:space="preserve">Kahes kliinilises uuringus (uuring B2222 ja rühmadevaheline uuring S0033) suurendati Gliveci annust 800 mg-ni patsientidel, kellel haigus progresseerus annuste 400 mg ja 600 mg kasutamisel. Päevast annust suurendati 800 mg-ni kokku 103 patsiendil. Nendest patsientidest saavutasid annuse suurendamise järel 6 osalise ravivastuse ja 21 haiguse stabiliseerumise, üleüldine kliiniline kasu oli 26%. Olemasolevate ohutusandmete kohaselt ei mõjuta Gliveci ohutusprofiili annuse suurendamine 400 mg-lt või 600 mg-lt 800 mg-ni haigetel, kellel haigus progresseerub väiksemate annuste </w:t>
      </w:r>
      <w:r w:rsidR="00556CBF" w:rsidRPr="00EC3BD7">
        <w:rPr>
          <w:color w:val="000000"/>
          <w:szCs w:val="22"/>
          <w:lang w:val="et-EE"/>
        </w:rPr>
        <w:t>kasutamisel.</w:t>
      </w:r>
    </w:p>
    <w:p w14:paraId="3EE572A6" w14:textId="77777777" w:rsidR="00556CBF" w:rsidRPr="00EC3BD7" w:rsidRDefault="00556CBF" w:rsidP="00556CBF">
      <w:pPr>
        <w:pStyle w:val="EndnoteText"/>
        <w:widowControl w:val="0"/>
        <w:tabs>
          <w:tab w:val="clear" w:pos="567"/>
        </w:tabs>
        <w:rPr>
          <w:color w:val="000000"/>
          <w:szCs w:val="22"/>
          <w:lang w:val="et-EE"/>
        </w:rPr>
      </w:pPr>
    </w:p>
    <w:p w14:paraId="036C23A0" w14:textId="77777777" w:rsidR="00556CBF" w:rsidRPr="00EC3BD7" w:rsidRDefault="00556CBF" w:rsidP="00B9089D">
      <w:pPr>
        <w:keepNext/>
        <w:keepLines/>
        <w:widowControl w:val="0"/>
        <w:rPr>
          <w:color w:val="000000"/>
          <w:szCs w:val="22"/>
          <w:lang w:val="et-EE"/>
        </w:rPr>
      </w:pPr>
      <w:r w:rsidRPr="00EC3BD7">
        <w:rPr>
          <w:color w:val="000000"/>
          <w:szCs w:val="22"/>
          <w:u w:val="single"/>
          <w:lang w:val="et-EE"/>
        </w:rPr>
        <w:t>Adjuvantravi kliinili</w:t>
      </w:r>
      <w:r w:rsidR="005E1F22" w:rsidRPr="00EC3BD7">
        <w:rPr>
          <w:color w:val="000000"/>
          <w:szCs w:val="22"/>
          <w:u w:val="single"/>
          <w:lang w:val="et-EE"/>
        </w:rPr>
        <w:t>s</w:t>
      </w:r>
      <w:r w:rsidRPr="00EC3BD7">
        <w:rPr>
          <w:color w:val="000000"/>
          <w:szCs w:val="22"/>
          <w:u w:val="single"/>
          <w:lang w:val="et-EE"/>
        </w:rPr>
        <w:t>e</w:t>
      </w:r>
      <w:r w:rsidR="005E1F22" w:rsidRPr="00EC3BD7">
        <w:rPr>
          <w:color w:val="000000"/>
          <w:szCs w:val="22"/>
          <w:u w:val="single"/>
          <w:lang w:val="et-EE"/>
        </w:rPr>
        <w:t>d</w:t>
      </w:r>
      <w:r w:rsidRPr="00EC3BD7">
        <w:rPr>
          <w:color w:val="000000"/>
          <w:szCs w:val="22"/>
          <w:u w:val="single"/>
          <w:lang w:val="et-EE"/>
        </w:rPr>
        <w:t xml:space="preserve"> uuring</w:t>
      </w:r>
      <w:r w:rsidR="005E1F22" w:rsidRPr="00EC3BD7">
        <w:rPr>
          <w:color w:val="000000"/>
          <w:szCs w:val="22"/>
          <w:u w:val="single"/>
          <w:lang w:val="et-EE"/>
        </w:rPr>
        <w:t>ud</w:t>
      </w:r>
    </w:p>
    <w:p w14:paraId="669F5204" w14:textId="0FAD4F3E" w:rsidR="00556CBF" w:rsidRPr="00EC3BD7" w:rsidRDefault="00556CBF" w:rsidP="00556CBF">
      <w:pPr>
        <w:rPr>
          <w:color w:val="000000"/>
          <w:szCs w:val="22"/>
          <w:lang w:val="et-EE"/>
        </w:rPr>
      </w:pPr>
      <w:r w:rsidRPr="00EC3BD7">
        <w:rPr>
          <w:color w:val="000000"/>
          <w:szCs w:val="22"/>
          <w:lang w:val="et-EE"/>
        </w:rPr>
        <w:t xml:space="preserve">Adjuvantraviks kasutatuna uuriti Glivecit mitmekeskuselises, topeltpimedas, pikaajalises platseebokontrollitud </w:t>
      </w:r>
      <w:smartTag w:uri="urn:schemas-microsoft-com:office:smarttags" w:element="stockticker">
        <w:r w:rsidRPr="00EC3BD7">
          <w:rPr>
            <w:color w:val="000000"/>
            <w:szCs w:val="22"/>
            <w:lang w:val="et-EE"/>
          </w:rPr>
          <w:t>III</w:t>
        </w:r>
      </w:smartTag>
      <w:r w:rsidRPr="00EC3BD7">
        <w:rPr>
          <w:color w:val="000000"/>
          <w:szCs w:val="22"/>
          <w:lang w:val="et-EE"/>
        </w:rPr>
        <w:t xml:space="preserve"> faasi uuringus (Z9001), kus osales 773 patsienti. Patsientide vanus jäi vahemikku 18...91 aastat. Uuringusse kaasati patsiendid, kellel oli immunokeemilisel meetodil kindlaks tehtud Kit</w:t>
      </w:r>
      <w:r w:rsidRPr="00EC3BD7">
        <w:rPr>
          <w:color w:val="000000"/>
          <w:szCs w:val="22"/>
          <w:lang w:val="et-EE"/>
        </w:rPr>
        <w:noBreakHyphen/>
        <w:t>valgu ekspressiooniga primaarse GIST</w:t>
      </w:r>
      <w:r w:rsidR="00B01FA1">
        <w:rPr>
          <w:color w:val="000000"/>
          <w:szCs w:val="22"/>
          <w:lang w:val="et-EE"/>
        </w:rPr>
        <w:t>-i</w:t>
      </w:r>
      <w:r w:rsidRPr="00EC3BD7">
        <w:rPr>
          <w:color w:val="000000"/>
          <w:szCs w:val="22"/>
          <w:lang w:val="et-EE"/>
        </w:rPr>
        <w:t xml:space="preserve"> histoloogiline diagnoos ja tuumori suurus ≥ 3 cm (maksimaalne mõõde) ning kellele oli 14</w:t>
      </w:r>
      <w:r w:rsidR="00A166A1" w:rsidRPr="00EC3BD7">
        <w:rPr>
          <w:color w:val="000000"/>
          <w:szCs w:val="22"/>
          <w:lang w:val="et-EE"/>
        </w:rPr>
        <w:t>...</w:t>
      </w:r>
      <w:r w:rsidRPr="00EC3BD7">
        <w:rPr>
          <w:color w:val="000000"/>
          <w:szCs w:val="22"/>
          <w:lang w:val="et-EE"/>
        </w:rPr>
        <w:t>70 päeva enne uuringusse registreerimist tehtud primaarse GIST</w:t>
      </w:r>
      <w:r w:rsidR="00B01FA1">
        <w:rPr>
          <w:color w:val="000000"/>
          <w:szCs w:val="22"/>
          <w:lang w:val="et-EE"/>
        </w:rPr>
        <w:t>-i</w:t>
      </w:r>
      <w:r w:rsidRPr="00EC3BD7">
        <w:rPr>
          <w:color w:val="000000"/>
          <w:szCs w:val="22"/>
          <w:lang w:val="et-EE"/>
        </w:rPr>
        <w:t xml:space="preserve"> täielik resektsioon. Pärast primaarse GIST</w:t>
      </w:r>
      <w:r w:rsidR="00B01FA1">
        <w:rPr>
          <w:color w:val="000000"/>
          <w:szCs w:val="22"/>
          <w:lang w:val="et-EE"/>
        </w:rPr>
        <w:t>-i</w:t>
      </w:r>
      <w:r w:rsidRPr="00EC3BD7">
        <w:rPr>
          <w:color w:val="000000"/>
          <w:szCs w:val="22"/>
          <w:lang w:val="et-EE"/>
        </w:rPr>
        <w:t xml:space="preserve"> resektsiooni randomiseeriti patsiendid ühte kahest rühmast: Glivec annuses 400 mg ööpäevas või vastav platseebo ühe aasta jooksul.</w:t>
      </w:r>
    </w:p>
    <w:p w14:paraId="091A59B2" w14:textId="77777777" w:rsidR="00556CBF" w:rsidRPr="00EC3BD7" w:rsidRDefault="00556CBF" w:rsidP="00556CBF">
      <w:pPr>
        <w:rPr>
          <w:color w:val="000000"/>
          <w:szCs w:val="22"/>
          <w:lang w:val="et-EE"/>
        </w:rPr>
      </w:pPr>
    </w:p>
    <w:p w14:paraId="52EFA6E7" w14:textId="77777777" w:rsidR="00556CBF" w:rsidRPr="00EC3BD7" w:rsidRDefault="00556CBF" w:rsidP="00556CBF">
      <w:pPr>
        <w:rPr>
          <w:color w:val="000000"/>
          <w:szCs w:val="22"/>
          <w:lang w:val="et-EE"/>
        </w:rPr>
      </w:pPr>
      <w:r w:rsidRPr="00EC3BD7">
        <w:rPr>
          <w:color w:val="000000"/>
          <w:szCs w:val="22"/>
          <w:lang w:val="et-EE"/>
        </w:rPr>
        <w:t>Uuringu esmane tulemusnäitaja oli retsidiivivaba elulemus (RVE), mida defineeriti kui aega randomiseerimise kuupäevast kuni retsidiivi või mis tahes põhjusel surma tekkimise kuupäevani.</w:t>
      </w:r>
    </w:p>
    <w:p w14:paraId="4EE2D052" w14:textId="77777777" w:rsidR="00556CBF" w:rsidRPr="00EC3BD7" w:rsidRDefault="00556CBF" w:rsidP="00556CBF">
      <w:pPr>
        <w:rPr>
          <w:color w:val="000000"/>
          <w:szCs w:val="22"/>
          <w:lang w:val="et-EE"/>
        </w:rPr>
      </w:pPr>
    </w:p>
    <w:p w14:paraId="6E5EC2E9" w14:textId="77777777" w:rsidR="00556CBF" w:rsidRPr="00EC3BD7" w:rsidRDefault="00556CBF" w:rsidP="00556CBF">
      <w:pPr>
        <w:rPr>
          <w:color w:val="000000"/>
          <w:szCs w:val="22"/>
          <w:lang w:val="et-EE"/>
        </w:rPr>
      </w:pPr>
      <w:r w:rsidRPr="00EC3BD7">
        <w:rPr>
          <w:color w:val="000000"/>
          <w:szCs w:val="22"/>
          <w:lang w:val="et-EE"/>
        </w:rPr>
        <w:t>Gliveci toimel pikenes oluliselt retsidiivivaba elulemus: Gliveci rühmas olid 75% patsientidest retsidiivivabad 38. kuul võrreldes 20 kuuga platseeborühmas (95% usaldusvahemikud vastavalt [30</w:t>
      </w:r>
      <w:r w:rsidR="00C10CCB" w:rsidRPr="00EC3BD7">
        <w:rPr>
          <w:color w:val="000000"/>
          <w:szCs w:val="22"/>
          <w:lang w:val="et-EE"/>
        </w:rPr>
        <w:t>...</w:t>
      </w:r>
      <w:r w:rsidRPr="00EC3BD7">
        <w:rPr>
          <w:color w:val="000000"/>
          <w:szCs w:val="22"/>
          <w:lang w:val="et-EE"/>
        </w:rPr>
        <w:t>mittehinnatav]; [14</w:t>
      </w:r>
      <w:r w:rsidR="00C10CCB" w:rsidRPr="00EC3BD7">
        <w:rPr>
          <w:color w:val="000000"/>
          <w:szCs w:val="22"/>
          <w:lang w:val="et-EE"/>
        </w:rPr>
        <w:t>...</w:t>
      </w:r>
      <w:r w:rsidRPr="00EC3BD7">
        <w:rPr>
          <w:color w:val="000000"/>
          <w:szCs w:val="22"/>
          <w:lang w:val="et-EE"/>
        </w:rPr>
        <w:t>mittehinnatav]; (riskimäär = 0,398 [0,259...0,610], p&lt;0,0001). Ühe aasta möödudes oli üldine RVE oluliselt parem Gliveci (97,7%) kui platseebo puhul (82,3%), (p&lt;0,0001). Seega vähenes retsidiivi risk umbes 89% võrreldes platseeboga (riskimäär = 0,113 [0,049...0,264]).</w:t>
      </w:r>
    </w:p>
    <w:p w14:paraId="44685EC7" w14:textId="77777777" w:rsidR="00556CBF" w:rsidRPr="00EC3BD7" w:rsidRDefault="00556CBF" w:rsidP="00556CBF">
      <w:pPr>
        <w:pStyle w:val="EndnoteText"/>
        <w:widowControl w:val="0"/>
        <w:tabs>
          <w:tab w:val="clear" w:pos="567"/>
        </w:tabs>
        <w:rPr>
          <w:color w:val="000000"/>
          <w:szCs w:val="22"/>
          <w:lang w:val="et-EE"/>
        </w:rPr>
      </w:pPr>
    </w:p>
    <w:p w14:paraId="7308D520" w14:textId="2ED8CF28" w:rsidR="00556CBF" w:rsidRPr="00EC3BD7" w:rsidRDefault="00556CBF" w:rsidP="00556CBF">
      <w:pPr>
        <w:rPr>
          <w:color w:val="000000"/>
          <w:szCs w:val="22"/>
          <w:lang w:val="et-EE"/>
        </w:rPr>
      </w:pPr>
      <w:r w:rsidRPr="00EC3BD7">
        <w:rPr>
          <w:color w:val="000000"/>
          <w:szCs w:val="22"/>
          <w:lang w:val="et-EE"/>
        </w:rPr>
        <w:t>Esmase GIST</w:t>
      </w:r>
      <w:r w:rsidR="00B01FA1">
        <w:rPr>
          <w:color w:val="000000"/>
          <w:szCs w:val="22"/>
          <w:lang w:val="et-EE"/>
        </w:rPr>
        <w:t>-i</w:t>
      </w:r>
      <w:r w:rsidRPr="00EC3BD7">
        <w:rPr>
          <w:color w:val="000000"/>
          <w:szCs w:val="22"/>
          <w:lang w:val="et-EE"/>
        </w:rPr>
        <w:t xml:space="preserve"> operatsiooni järgse retsidiivi riski hinnati retrospektiivselt järgmiste prognostiliste tegurite alusel: tuumori suurus, mitootiline indeks, tuumori lokalisatsioon. Mitootilise indeksi andmed olid saadud 556 patsiendi kohta </w:t>
      </w:r>
      <w:r w:rsidR="00FE5C2B" w:rsidRPr="00EC3BD7">
        <w:rPr>
          <w:color w:val="000000"/>
          <w:szCs w:val="22"/>
          <w:lang w:val="et-EE"/>
        </w:rPr>
        <w:t>713</w:t>
      </w:r>
      <w:r w:rsidRPr="00EC3BD7">
        <w:rPr>
          <w:color w:val="000000"/>
          <w:szCs w:val="22"/>
          <w:lang w:val="et-EE"/>
        </w:rPr>
        <w:t xml:space="preserve">-st </w:t>
      </w:r>
      <w:smartTag w:uri="urn:schemas-microsoft-com:office:smarttags" w:element="stockticker">
        <w:r w:rsidRPr="00EC3BD7">
          <w:rPr>
            <w:color w:val="000000"/>
            <w:szCs w:val="22"/>
            <w:lang w:val="et-EE"/>
          </w:rPr>
          <w:t>ITT</w:t>
        </w:r>
      </w:smartTag>
      <w:r w:rsidRPr="00EC3BD7">
        <w:rPr>
          <w:color w:val="000000"/>
          <w:szCs w:val="22"/>
          <w:lang w:val="et-EE"/>
        </w:rPr>
        <w:t xml:space="preserve"> (</w:t>
      </w:r>
      <w:r w:rsidRPr="00EC3BD7">
        <w:rPr>
          <w:i/>
          <w:color w:val="000000"/>
          <w:szCs w:val="22"/>
          <w:lang w:val="et-EE"/>
        </w:rPr>
        <w:t>intention-to-treat</w:t>
      </w:r>
      <w:r w:rsidRPr="00EC3BD7">
        <w:rPr>
          <w:color w:val="000000"/>
          <w:szCs w:val="22"/>
          <w:lang w:val="et-EE"/>
        </w:rPr>
        <w:t>) populatsioonis. Tabelis </w:t>
      </w:r>
      <w:r w:rsidR="00A2060F" w:rsidRPr="00EC3BD7">
        <w:rPr>
          <w:color w:val="000000"/>
          <w:szCs w:val="22"/>
          <w:lang w:val="et-EE"/>
        </w:rPr>
        <w:t>7</w:t>
      </w:r>
      <w:r w:rsidRPr="00EC3BD7">
        <w:rPr>
          <w:color w:val="000000"/>
          <w:szCs w:val="22"/>
          <w:lang w:val="et-EE"/>
        </w:rPr>
        <w:t xml:space="preserve"> on toodud alagrupi analüüside tulemused vastaval</w:t>
      </w:r>
      <w:r w:rsidR="00184B56" w:rsidRPr="00EC3BD7">
        <w:rPr>
          <w:rFonts w:eastAsia="MS Mincho"/>
          <w:color w:val="000000"/>
          <w:szCs w:val="22"/>
          <w:lang w:val="et-EE" w:eastAsia="ja-JP"/>
        </w:rPr>
        <w:t>t NIH (</w:t>
      </w:r>
      <w:r w:rsidR="00184B56" w:rsidRPr="00EC3BD7">
        <w:rPr>
          <w:rFonts w:eastAsia="MS Mincho"/>
          <w:i/>
          <w:iCs/>
          <w:color w:val="000000"/>
          <w:szCs w:val="22"/>
          <w:lang w:val="et-EE" w:eastAsia="ja-JP"/>
        </w:rPr>
        <w:t>United States National Institutes of Health</w:t>
      </w:r>
      <w:r w:rsidR="00E417D5" w:rsidRPr="00EC3BD7">
        <w:rPr>
          <w:rFonts w:eastAsia="MS Mincho"/>
          <w:i/>
          <w:iCs/>
          <w:color w:val="000000"/>
          <w:szCs w:val="22"/>
          <w:lang w:val="et-EE" w:eastAsia="ja-JP"/>
        </w:rPr>
        <w:t>,</w:t>
      </w:r>
      <w:r w:rsidR="00E417D5" w:rsidRPr="00EC3BD7">
        <w:rPr>
          <w:rFonts w:eastAsia="MS Mincho"/>
          <w:color w:val="000000"/>
          <w:szCs w:val="22"/>
          <w:lang w:val="et-EE" w:eastAsia="ja-JP"/>
        </w:rPr>
        <w:t xml:space="preserve"> Ühendriikide Riiklik Tervishoiu Instituut</w:t>
      </w:r>
      <w:r w:rsidR="00184B56" w:rsidRPr="00EC3BD7">
        <w:rPr>
          <w:rFonts w:eastAsia="MS Mincho"/>
          <w:color w:val="000000"/>
          <w:szCs w:val="22"/>
          <w:lang w:val="et-EE" w:eastAsia="ja-JP"/>
        </w:rPr>
        <w:t xml:space="preserve">) </w:t>
      </w:r>
      <w:r w:rsidR="00184B56" w:rsidRPr="00EC3BD7">
        <w:rPr>
          <w:color w:val="000000"/>
          <w:szCs w:val="22"/>
          <w:lang w:val="et-EE"/>
        </w:rPr>
        <w:t xml:space="preserve">ja </w:t>
      </w:r>
      <w:r w:rsidRPr="00EC3BD7">
        <w:rPr>
          <w:color w:val="000000"/>
          <w:szCs w:val="22"/>
          <w:lang w:val="et-EE"/>
        </w:rPr>
        <w:t>AFIP (</w:t>
      </w:r>
      <w:r w:rsidRPr="00EC3BD7">
        <w:rPr>
          <w:i/>
          <w:color w:val="000000"/>
          <w:szCs w:val="22"/>
          <w:lang w:val="et-EE"/>
        </w:rPr>
        <w:t>Armed Forces Institute of Pathology</w:t>
      </w:r>
      <w:r w:rsidRPr="00EC3BD7">
        <w:rPr>
          <w:color w:val="000000"/>
          <w:szCs w:val="22"/>
          <w:lang w:val="et-EE"/>
        </w:rPr>
        <w:t>, Kaitsejõudude Patoloogia Instituut) riski klassi</w:t>
      </w:r>
      <w:r w:rsidR="0044037A" w:rsidRPr="00EC3BD7">
        <w:rPr>
          <w:color w:val="000000"/>
          <w:szCs w:val="22"/>
          <w:lang w:val="et-EE"/>
        </w:rPr>
        <w:t>fi</w:t>
      </w:r>
      <w:r w:rsidRPr="00EC3BD7">
        <w:rPr>
          <w:color w:val="000000"/>
          <w:szCs w:val="22"/>
          <w:lang w:val="et-EE"/>
        </w:rPr>
        <w:t>katsioonile.</w:t>
      </w:r>
      <w:r w:rsidR="00F44E19" w:rsidRPr="00EC3BD7">
        <w:rPr>
          <w:color w:val="000000"/>
          <w:szCs w:val="22"/>
          <w:lang w:val="et-EE"/>
        </w:rPr>
        <w:t xml:space="preserve"> Kasu ei täheldatud ei </w:t>
      </w:r>
      <w:r w:rsidR="00347035">
        <w:rPr>
          <w:color w:val="000000"/>
          <w:szCs w:val="22"/>
          <w:lang w:val="et-EE"/>
        </w:rPr>
        <w:t>väikese riski</w:t>
      </w:r>
      <w:r w:rsidR="00347035" w:rsidRPr="00EC3BD7">
        <w:rPr>
          <w:color w:val="000000"/>
          <w:szCs w:val="22"/>
          <w:lang w:val="et-EE"/>
        </w:rPr>
        <w:t xml:space="preserve"> </w:t>
      </w:r>
      <w:r w:rsidR="00F44E19" w:rsidRPr="00EC3BD7">
        <w:rPr>
          <w:color w:val="000000"/>
          <w:szCs w:val="22"/>
          <w:lang w:val="et-EE"/>
        </w:rPr>
        <w:t xml:space="preserve">ega ka väga </w:t>
      </w:r>
      <w:r w:rsidR="00347035">
        <w:rPr>
          <w:color w:val="000000"/>
          <w:szCs w:val="22"/>
          <w:lang w:val="et-EE"/>
        </w:rPr>
        <w:t>väikese</w:t>
      </w:r>
      <w:r w:rsidR="006912C0" w:rsidRPr="00EC3BD7">
        <w:rPr>
          <w:color w:val="000000"/>
          <w:szCs w:val="22"/>
          <w:lang w:val="et-EE"/>
        </w:rPr>
        <w:t xml:space="preserve"> riski</w:t>
      </w:r>
      <w:r w:rsidR="00347035">
        <w:rPr>
          <w:color w:val="000000"/>
          <w:szCs w:val="22"/>
          <w:lang w:val="et-EE"/>
        </w:rPr>
        <w:t xml:space="preserve"> </w:t>
      </w:r>
      <w:r w:rsidR="00F44E19" w:rsidRPr="00EC3BD7">
        <w:rPr>
          <w:color w:val="000000"/>
          <w:szCs w:val="22"/>
          <w:lang w:val="et-EE"/>
        </w:rPr>
        <w:t>grup</w:t>
      </w:r>
      <w:r w:rsidR="00347035">
        <w:rPr>
          <w:color w:val="000000"/>
          <w:szCs w:val="22"/>
          <w:lang w:val="et-EE"/>
        </w:rPr>
        <w:t>p</w:t>
      </w:r>
      <w:r w:rsidR="00F44E19" w:rsidRPr="00EC3BD7">
        <w:rPr>
          <w:color w:val="000000"/>
          <w:szCs w:val="22"/>
          <w:lang w:val="et-EE"/>
        </w:rPr>
        <w:t>i</w:t>
      </w:r>
      <w:r w:rsidR="00347035">
        <w:rPr>
          <w:color w:val="000000"/>
          <w:szCs w:val="22"/>
          <w:lang w:val="et-EE"/>
        </w:rPr>
        <w:t>de</w:t>
      </w:r>
      <w:r w:rsidR="00F44E19" w:rsidRPr="00EC3BD7">
        <w:rPr>
          <w:color w:val="000000"/>
          <w:szCs w:val="22"/>
          <w:lang w:val="et-EE"/>
        </w:rPr>
        <w:t xml:space="preserve">s. </w:t>
      </w:r>
      <w:r w:rsidR="004C1553" w:rsidRPr="00EC3BD7">
        <w:rPr>
          <w:color w:val="000000"/>
          <w:szCs w:val="22"/>
          <w:lang w:val="et-EE"/>
        </w:rPr>
        <w:t>Üleü</w:t>
      </w:r>
      <w:r w:rsidR="00F44E19" w:rsidRPr="00EC3BD7">
        <w:rPr>
          <w:color w:val="000000"/>
          <w:szCs w:val="22"/>
          <w:lang w:val="et-EE"/>
        </w:rPr>
        <w:t xml:space="preserve">ldist </w:t>
      </w:r>
      <w:r w:rsidR="002F057E" w:rsidRPr="00EC3BD7">
        <w:rPr>
          <w:color w:val="000000"/>
          <w:szCs w:val="22"/>
          <w:lang w:val="et-EE"/>
        </w:rPr>
        <w:t>kasu elulemusele ei ole täheldatud.</w:t>
      </w:r>
    </w:p>
    <w:p w14:paraId="34E52EDA" w14:textId="77777777" w:rsidR="004F4069" w:rsidRPr="00EC3BD7" w:rsidRDefault="004F4069" w:rsidP="00556CBF">
      <w:pPr>
        <w:rPr>
          <w:color w:val="000000"/>
          <w:szCs w:val="22"/>
          <w:lang w:val="et-EE"/>
        </w:rPr>
      </w:pPr>
    </w:p>
    <w:p w14:paraId="57432F58" w14:textId="77777777" w:rsidR="004F4069" w:rsidRPr="00EC3BD7" w:rsidRDefault="004F4069" w:rsidP="008B1609">
      <w:pPr>
        <w:pStyle w:val="Heading6"/>
        <w:keepLines/>
        <w:widowControl w:val="0"/>
        <w:tabs>
          <w:tab w:val="clear" w:pos="567"/>
          <w:tab w:val="clear" w:pos="4536"/>
        </w:tabs>
        <w:suppressAutoHyphens w:val="0"/>
        <w:spacing w:line="240" w:lineRule="auto"/>
        <w:ind w:left="1134" w:hanging="1134"/>
        <w:rPr>
          <w:rFonts w:eastAsia="MS Mincho"/>
          <w:b/>
          <w:i w:val="0"/>
          <w:color w:val="000000"/>
          <w:szCs w:val="22"/>
          <w:lang w:val="et-EE" w:eastAsia="ja-JP"/>
        </w:rPr>
      </w:pPr>
      <w:r w:rsidRPr="00EC3BD7">
        <w:rPr>
          <w:rFonts w:eastAsia="MS Mincho"/>
          <w:b/>
          <w:i w:val="0"/>
          <w:iCs/>
          <w:color w:val="000000"/>
          <w:szCs w:val="22"/>
          <w:lang w:val="et-EE" w:eastAsia="ja-JP"/>
        </w:rPr>
        <w:lastRenderedPageBreak/>
        <w:t>Tabel </w:t>
      </w:r>
      <w:r w:rsidR="00A2060F" w:rsidRPr="00EC3BD7">
        <w:rPr>
          <w:rFonts w:eastAsia="MS Mincho"/>
          <w:b/>
          <w:i w:val="0"/>
          <w:iCs/>
          <w:color w:val="000000"/>
          <w:szCs w:val="22"/>
          <w:lang w:val="et-EE" w:eastAsia="ja-JP"/>
        </w:rPr>
        <w:t>7</w:t>
      </w:r>
      <w:r w:rsidRPr="00EC3BD7">
        <w:rPr>
          <w:rFonts w:eastAsia="MS Mincho"/>
          <w:b/>
          <w:color w:val="000000"/>
          <w:szCs w:val="22"/>
          <w:lang w:val="et-EE" w:eastAsia="ja-JP"/>
        </w:rPr>
        <w:tab/>
      </w:r>
      <w:r w:rsidRPr="00EC3BD7">
        <w:rPr>
          <w:rFonts w:eastAsia="MS Mincho"/>
          <w:b/>
          <w:i w:val="0"/>
          <w:color w:val="000000"/>
          <w:szCs w:val="22"/>
          <w:lang w:val="et-EE" w:eastAsia="ja-JP"/>
        </w:rPr>
        <w:t>Uuringu Z9001 retsidiivivaba elulemuse (R</w:t>
      </w:r>
      <w:r w:rsidR="004B44D0" w:rsidRPr="00EC3BD7">
        <w:rPr>
          <w:rFonts w:eastAsia="MS Mincho"/>
          <w:b/>
          <w:i w:val="0"/>
          <w:color w:val="000000"/>
          <w:szCs w:val="22"/>
          <w:lang w:val="et-EE" w:eastAsia="ja-JP"/>
        </w:rPr>
        <w:t>VE</w:t>
      </w:r>
      <w:r w:rsidRPr="00EC3BD7">
        <w:rPr>
          <w:rFonts w:eastAsia="MS Mincho"/>
          <w:b/>
          <w:i w:val="0"/>
          <w:color w:val="000000"/>
          <w:szCs w:val="22"/>
          <w:lang w:val="et-EE" w:eastAsia="ja-JP"/>
        </w:rPr>
        <w:t>) analüüside kokkuvõte AFIP riski klassifikatsiooni järgi</w:t>
      </w:r>
    </w:p>
    <w:p w14:paraId="477C2E1E" w14:textId="77777777" w:rsidR="00417195" w:rsidRPr="00EC3BD7" w:rsidRDefault="00417195" w:rsidP="008B1609">
      <w:pPr>
        <w:keepNext/>
        <w:widowControl w:val="0"/>
        <w:rPr>
          <w:rFonts w:eastAsia="MS Mincho"/>
          <w:color w:val="000000"/>
          <w:szCs w:val="22"/>
          <w:lang w:val="et-EE" w:eastAsia="ja-JP"/>
        </w:rPr>
      </w:pPr>
    </w:p>
    <w:tbl>
      <w:tblPr>
        <w:tblW w:w="9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109"/>
        <w:gridCol w:w="1301"/>
        <w:gridCol w:w="1768"/>
        <w:gridCol w:w="1800"/>
        <w:gridCol w:w="1357"/>
        <w:gridCol w:w="1360"/>
      </w:tblGrid>
      <w:tr w:rsidR="00417195" w:rsidRPr="00EC3BD7" w14:paraId="1F142C31" w14:textId="77777777" w:rsidTr="008B1609">
        <w:trPr>
          <w:cantSplit/>
        </w:trPr>
        <w:tc>
          <w:tcPr>
            <w:tcW w:w="1242" w:type="dxa"/>
            <w:vMerge w:val="restart"/>
          </w:tcPr>
          <w:p w14:paraId="02020500" w14:textId="77777777" w:rsidR="00417195" w:rsidRPr="00EC3BD7" w:rsidRDefault="00417195" w:rsidP="008B1609">
            <w:pPr>
              <w:pStyle w:val="Table"/>
              <w:keepLines w:val="0"/>
              <w:widowControl w:val="0"/>
              <w:spacing w:before="12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Riski-kriteerium</w:t>
            </w:r>
          </w:p>
        </w:tc>
        <w:tc>
          <w:tcPr>
            <w:tcW w:w="1109" w:type="dxa"/>
            <w:vMerge w:val="restart"/>
            <w:tcBorders>
              <w:right w:val="single" w:sz="4" w:space="0" w:color="auto"/>
            </w:tcBorders>
          </w:tcPr>
          <w:p w14:paraId="22868B25" w14:textId="77777777" w:rsidR="00417195" w:rsidRPr="00EC3BD7" w:rsidRDefault="00417195" w:rsidP="008B1609">
            <w:pPr>
              <w:pStyle w:val="Table"/>
              <w:keepLines w:val="0"/>
              <w:widowControl w:val="0"/>
              <w:spacing w:before="120"/>
              <w:rPr>
                <w:rFonts w:ascii="Times New Roman" w:hAnsi="Times New Roman"/>
                <w:b/>
                <w:color w:val="000000"/>
                <w:sz w:val="22"/>
                <w:szCs w:val="22"/>
                <w:lang w:val="et-EE"/>
              </w:rPr>
            </w:pPr>
            <w:r w:rsidRPr="00EC3BD7">
              <w:rPr>
                <w:rFonts w:ascii="Times New Roman" w:hAnsi="Times New Roman"/>
                <w:b/>
                <w:color w:val="000000"/>
                <w:sz w:val="22"/>
                <w:szCs w:val="22"/>
                <w:lang w:val="et-EE"/>
              </w:rPr>
              <w:t>Riskitase</w:t>
            </w:r>
          </w:p>
        </w:tc>
        <w:tc>
          <w:tcPr>
            <w:tcW w:w="1301" w:type="dxa"/>
            <w:vMerge w:val="restart"/>
            <w:tcBorders>
              <w:left w:val="single" w:sz="4" w:space="0" w:color="auto"/>
              <w:right w:val="single" w:sz="4" w:space="0" w:color="auto"/>
            </w:tcBorders>
          </w:tcPr>
          <w:p w14:paraId="1E94E27D" w14:textId="77777777" w:rsidR="00417195" w:rsidRPr="00EC3BD7" w:rsidRDefault="00417195" w:rsidP="008B1609">
            <w:pPr>
              <w:pStyle w:val="Table"/>
              <w:keepLines w:val="0"/>
              <w:widowControl w:val="0"/>
              <w:spacing w:before="12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Patsientide määr (%)</w:t>
            </w:r>
          </w:p>
        </w:tc>
        <w:tc>
          <w:tcPr>
            <w:tcW w:w="1768" w:type="dxa"/>
            <w:vMerge w:val="restart"/>
            <w:tcBorders>
              <w:left w:val="single" w:sz="4" w:space="0" w:color="auto"/>
              <w:right w:val="single" w:sz="4" w:space="0" w:color="auto"/>
            </w:tcBorders>
          </w:tcPr>
          <w:p w14:paraId="50C189EF" w14:textId="77777777" w:rsidR="00417195" w:rsidRPr="00EC3BD7" w:rsidRDefault="00417195" w:rsidP="008B1609">
            <w:pPr>
              <w:keepNext/>
              <w:widowControl w:val="0"/>
              <w:jc w:val="center"/>
              <w:rPr>
                <w:b/>
                <w:color w:val="000000"/>
                <w:szCs w:val="22"/>
                <w:lang w:val="et-EE"/>
              </w:rPr>
            </w:pPr>
            <w:r w:rsidRPr="00EC3BD7">
              <w:rPr>
                <w:b/>
                <w:color w:val="000000"/>
                <w:szCs w:val="22"/>
                <w:lang w:val="et-EE"/>
              </w:rPr>
              <w:t>Juhtumite arv /</w:t>
            </w:r>
          </w:p>
          <w:p w14:paraId="2BD57C54" w14:textId="77777777" w:rsidR="00417195" w:rsidRPr="00EC3BD7" w:rsidRDefault="00417195" w:rsidP="008B1609">
            <w:pPr>
              <w:pStyle w:val="Table"/>
              <w:keepLines w:val="0"/>
              <w:widowControl w:val="0"/>
              <w:spacing w:before="0" w:after="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patsientide arv</w:t>
            </w:r>
          </w:p>
        </w:tc>
        <w:tc>
          <w:tcPr>
            <w:tcW w:w="1800" w:type="dxa"/>
            <w:vMerge w:val="restart"/>
            <w:tcBorders>
              <w:left w:val="single" w:sz="4" w:space="0" w:color="auto"/>
              <w:right w:val="single" w:sz="4" w:space="0" w:color="auto"/>
            </w:tcBorders>
          </w:tcPr>
          <w:p w14:paraId="380F6893" w14:textId="77777777" w:rsidR="00417195" w:rsidRPr="00EC3BD7" w:rsidRDefault="00417195" w:rsidP="008B1609">
            <w:pPr>
              <w:pStyle w:val="Table"/>
              <w:keepLines w:val="0"/>
              <w:widowControl w:val="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Üldine riskisuhe (95%CI)*</w:t>
            </w:r>
          </w:p>
        </w:tc>
        <w:tc>
          <w:tcPr>
            <w:tcW w:w="2717" w:type="dxa"/>
            <w:gridSpan w:val="2"/>
            <w:tcBorders>
              <w:left w:val="single" w:sz="4" w:space="0" w:color="auto"/>
            </w:tcBorders>
          </w:tcPr>
          <w:p w14:paraId="422BA2DF" w14:textId="77777777" w:rsidR="00417195" w:rsidRPr="00EC3BD7" w:rsidRDefault="00417195" w:rsidP="008B1609">
            <w:pPr>
              <w:pStyle w:val="Table"/>
              <w:keepLines w:val="0"/>
              <w:widowControl w:val="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R</w:t>
            </w:r>
            <w:r w:rsidR="004B44D0" w:rsidRPr="00EC3BD7">
              <w:rPr>
                <w:rFonts w:ascii="Times New Roman" w:hAnsi="Times New Roman"/>
                <w:b/>
                <w:color w:val="000000"/>
                <w:sz w:val="22"/>
                <w:szCs w:val="22"/>
                <w:lang w:val="et-EE"/>
              </w:rPr>
              <w:t>VE</w:t>
            </w:r>
            <w:r w:rsidRPr="00EC3BD7">
              <w:rPr>
                <w:rFonts w:ascii="Times New Roman" w:hAnsi="Times New Roman"/>
                <w:b/>
                <w:color w:val="000000"/>
                <w:sz w:val="22"/>
                <w:szCs w:val="22"/>
                <w:lang w:val="et-EE"/>
              </w:rPr>
              <w:t xml:space="preserve"> määr (%)</w:t>
            </w:r>
          </w:p>
        </w:tc>
      </w:tr>
      <w:tr w:rsidR="00417195" w:rsidRPr="00EC3BD7" w14:paraId="041BE38B" w14:textId="77777777" w:rsidTr="008B1609">
        <w:trPr>
          <w:cantSplit/>
        </w:trPr>
        <w:tc>
          <w:tcPr>
            <w:tcW w:w="1242" w:type="dxa"/>
            <w:vMerge/>
          </w:tcPr>
          <w:p w14:paraId="63F00BD8" w14:textId="77777777" w:rsidR="00417195" w:rsidRPr="00EC3BD7" w:rsidRDefault="00417195" w:rsidP="008B1609">
            <w:pPr>
              <w:pStyle w:val="Table"/>
              <w:keepLines w:val="0"/>
              <w:widowControl w:val="0"/>
              <w:rPr>
                <w:rFonts w:ascii="Times New Roman" w:hAnsi="Times New Roman"/>
                <w:b/>
                <w:color w:val="000000"/>
                <w:sz w:val="22"/>
                <w:szCs w:val="22"/>
                <w:lang w:val="et-EE"/>
              </w:rPr>
            </w:pPr>
          </w:p>
        </w:tc>
        <w:tc>
          <w:tcPr>
            <w:tcW w:w="1109" w:type="dxa"/>
            <w:vMerge/>
            <w:tcBorders>
              <w:right w:val="single" w:sz="4" w:space="0" w:color="auto"/>
            </w:tcBorders>
          </w:tcPr>
          <w:p w14:paraId="0B035894" w14:textId="77777777" w:rsidR="00417195" w:rsidRPr="00EC3BD7" w:rsidRDefault="00417195" w:rsidP="008B1609">
            <w:pPr>
              <w:pStyle w:val="Table"/>
              <w:keepLines w:val="0"/>
              <w:widowControl w:val="0"/>
              <w:rPr>
                <w:rFonts w:ascii="Times New Roman" w:hAnsi="Times New Roman"/>
                <w:b/>
                <w:color w:val="000000"/>
                <w:sz w:val="22"/>
                <w:szCs w:val="22"/>
                <w:lang w:val="et-EE"/>
              </w:rPr>
            </w:pPr>
          </w:p>
        </w:tc>
        <w:tc>
          <w:tcPr>
            <w:tcW w:w="1301" w:type="dxa"/>
            <w:vMerge/>
            <w:tcBorders>
              <w:left w:val="single" w:sz="4" w:space="0" w:color="auto"/>
              <w:right w:val="single" w:sz="4" w:space="0" w:color="auto"/>
            </w:tcBorders>
          </w:tcPr>
          <w:p w14:paraId="1A69E9F4" w14:textId="77777777" w:rsidR="00417195" w:rsidRPr="00EC3BD7" w:rsidRDefault="00417195" w:rsidP="008B1609">
            <w:pPr>
              <w:pStyle w:val="Table"/>
              <w:keepLines w:val="0"/>
              <w:widowControl w:val="0"/>
              <w:jc w:val="center"/>
              <w:rPr>
                <w:rFonts w:ascii="Times New Roman" w:hAnsi="Times New Roman"/>
                <w:b/>
                <w:color w:val="000000"/>
                <w:sz w:val="22"/>
                <w:szCs w:val="22"/>
                <w:lang w:val="et-EE"/>
              </w:rPr>
            </w:pPr>
          </w:p>
        </w:tc>
        <w:tc>
          <w:tcPr>
            <w:tcW w:w="1768" w:type="dxa"/>
            <w:vMerge/>
            <w:tcBorders>
              <w:left w:val="single" w:sz="4" w:space="0" w:color="auto"/>
              <w:right w:val="single" w:sz="4" w:space="0" w:color="auto"/>
            </w:tcBorders>
          </w:tcPr>
          <w:p w14:paraId="6C40F45A" w14:textId="77777777" w:rsidR="00417195" w:rsidRPr="00EC3BD7" w:rsidRDefault="00417195" w:rsidP="008B1609">
            <w:pPr>
              <w:pStyle w:val="Table"/>
              <w:keepLines w:val="0"/>
              <w:widowControl w:val="0"/>
              <w:jc w:val="center"/>
              <w:rPr>
                <w:rFonts w:ascii="Times New Roman" w:hAnsi="Times New Roman"/>
                <w:b/>
                <w:color w:val="000000"/>
                <w:sz w:val="22"/>
                <w:szCs w:val="22"/>
                <w:lang w:val="et-EE"/>
              </w:rPr>
            </w:pPr>
          </w:p>
        </w:tc>
        <w:tc>
          <w:tcPr>
            <w:tcW w:w="1800" w:type="dxa"/>
            <w:vMerge/>
            <w:tcBorders>
              <w:left w:val="single" w:sz="4" w:space="0" w:color="auto"/>
              <w:right w:val="single" w:sz="4" w:space="0" w:color="auto"/>
            </w:tcBorders>
          </w:tcPr>
          <w:p w14:paraId="12EB222D" w14:textId="77777777" w:rsidR="00417195" w:rsidRPr="00EC3BD7" w:rsidRDefault="00417195" w:rsidP="008B1609">
            <w:pPr>
              <w:pStyle w:val="Table"/>
              <w:keepLines w:val="0"/>
              <w:widowControl w:val="0"/>
              <w:rPr>
                <w:rFonts w:ascii="Times New Roman" w:hAnsi="Times New Roman"/>
                <w:b/>
                <w:color w:val="000000"/>
                <w:sz w:val="22"/>
                <w:szCs w:val="22"/>
                <w:lang w:val="et-EE"/>
              </w:rPr>
            </w:pPr>
          </w:p>
        </w:tc>
        <w:tc>
          <w:tcPr>
            <w:tcW w:w="1357" w:type="dxa"/>
            <w:tcBorders>
              <w:left w:val="single" w:sz="4" w:space="0" w:color="auto"/>
              <w:right w:val="single" w:sz="4" w:space="0" w:color="auto"/>
            </w:tcBorders>
          </w:tcPr>
          <w:p w14:paraId="618AC707" w14:textId="77777777" w:rsidR="00417195" w:rsidRPr="00EC3BD7" w:rsidRDefault="00417195" w:rsidP="008B1609">
            <w:pPr>
              <w:pStyle w:val="Table"/>
              <w:keepLines w:val="0"/>
              <w:widowControl w:val="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12. kuu</w:t>
            </w:r>
          </w:p>
        </w:tc>
        <w:tc>
          <w:tcPr>
            <w:tcW w:w="1360" w:type="dxa"/>
            <w:tcBorders>
              <w:left w:val="single" w:sz="4" w:space="0" w:color="auto"/>
            </w:tcBorders>
          </w:tcPr>
          <w:p w14:paraId="2402379A" w14:textId="77777777" w:rsidR="00417195" w:rsidRPr="00EC3BD7" w:rsidRDefault="0044037A" w:rsidP="008B1609">
            <w:pPr>
              <w:pStyle w:val="Table"/>
              <w:keepLines w:val="0"/>
              <w:widowControl w:val="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24</w:t>
            </w:r>
            <w:r w:rsidR="00417195" w:rsidRPr="00EC3BD7">
              <w:rPr>
                <w:rFonts w:ascii="Times New Roman" w:hAnsi="Times New Roman"/>
                <w:b/>
                <w:color w:val="000000"/>
                <w:sz w:val="22"/>
                <w:szCs w:val="22"/>
                <w:lang w:val="et-EE"/>
              </w:rPr>
              <w:t>. kuu</w:t>
            </w:r>
          </w:p>
        </w:tc>
      </w:tr>
      <w:tr w:rsidR="00417195" w:rsidRPr="00EC3BD7" w14:paraId="2B7BECFD" w14:textId="77777777" w:rsidTr="008B1609">
        <w:trPr>
          <w:cantSplit/>
        </w:trPr>
        <w:tc>
          <w:tcPr>
            <w:tcW w:w="1242" w:type="dxa"/>
            <w:vMerge/>
          </w:tcPr>
          <w:p w14:paraId="3CF501BF" w14:textId="77777777" w:rsidR="00417195" w:rsidRPr="00EC3BD7" w:rsidRDefault="00417195" w:rsidP="008B1609">
            <w:pPr>
              <w:pStyle w:val="Table"/>
              <w:keepLines w:val="0"/>
              <w:widowControl w:val="0"/>
              <w:rPr>
                <w:rFonts w:ascii="Times New Roman" w:hAnsi="Times New Roman"/>
                <w:b/>
                <w:color w:val="000000"/>
                <w:sz w:val="22"/>
                <w:szCs w:val="22"/>
                <w:lang w:val="et-EE"/>
              </w:rPr>
            </w:pPr>
          </w:p>
        </w:tc>
        <w:tc>
          <w:tcPr>
            <w:tcW w:w="1109" w:type="dxa"/>
            <w:vMerge/>
            <w:tcBorders>
              <w:right w:val="single" w:sz="4" w:space="0" w:color="auto"/>
            </w:tcBorders>
          </w:tcPr>
          <w:p w14:paraId="1E50C359" w14:textId="77777777" w:rsidR="00417195" w:rsidRPr="00EC3BD7" w:rsidRDefault="00417195" w:rsidP="008B1609">
            <w:pPr>
              <w:pStyle w:val="Table"/>
              <w:keepLines w:val="0"/>
              <w:widowControl w:val="0"/>
              <w:rPr>
                <w:rFonts w:ascii="Times New Roman" w:hAnsi="Times New Roman"/>
                <w:b/>
                <w:color w:val="000000"/>
                <w:sz w:val="22"/>
                <w:szCs w:val="22"/>
                <w:lang w:val="et-EE"/>
              </w:rPr>
            </w:pPr>
          </w:p>
        </w:tc>
        <w:tc>
          <w:tcPr>
            <w:tcW w:w="1301" w:type="dxa"/>
            <w:vMerge/>
            <w:tcBorders>
              <w:left w:val="single" w:sz="4" w:space="0" w:color="auto"/>
              <w:right w:val="single" w:sz="4" w:space="0" w:color="auto"/>
            </w:tcBorders>
          </w:tcPr>
          <w:p w14:paraId="1B62E156" w14:textId="77777777" w:rsidR="00417195" w:rsidRPr="00EC3BD7" w:rsidRDefault="00417195" w:rsidP="008B1609">
            <w:pPr>
              <w:pStyle w:val="Table"/>
              <w:keepLines w:val="0"/>
              <w:widowControl w:val="0"/>
              <w:jc w:val="center"/>
              <w:rPr>
                <w:rFonts w:ascii="Times New Roman" w:hAnsi="Times New Roman"/>
                <w:b/>
                <w:color w:val="000000"/>
                <w:sz w:val="22"/>
                <w:szCs w:val="22"/>
                <w:lang w:val="et-EE"/>
              </w:rPr>
            </w:pPr>
          </w:p>
        </w:tc>
        <w:tc>
          <w:tcPr>
            <w:tcW w:w="1768" w:type="dxa"/>
            <w:tcBorders>
              <w:left w:val="single" w:sz="4" w:space="0" w:color="auto"/>
              <w:bottom w:val="single" w:sz="4" w:space="0" w:color="auto"/>
              <w:right w:val="single" w:sz="4" w:space="0" w:color="auto"/>
            </w:tcBorders>
          </w:tcPr>
          <w:p w14:paraId="3B6B55F7" w14:textId="77777777" w:rsidR="00417195" w:rsidRPr="00EC3BD7" w:rsidRDefault="00417195" w:rsidP="008B1609">
            <w:pPr>
              <w:pStyle w:val="Table"/>
              <w:keepLines w:val="0"/>
              <w:widowControl w:val="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Glivec vs. platseebo</w:t>
            </w:r>
          </w:p>
        </w:tc>
        <w:tc>
          <w:tcPr>
            <w:tcW w:w="1800" w:type="dxa"/>
            <w:vMerge/>
            <w:tcBorders>
              <w:left w:val="single" w:sz="4" w:space="0" w:color="auto"/>
              <w:bottom w:val="single" w:sz="4" w:space="0" w:color="auto"/>
              <w:right w:val="single" w:sz="4" w:space="0" w:color="auto"/>
            </w:tcBorders>
          </w:tcPr>
          <w:p w14:paraId="1FCDC7A3" w14:textId="77777777" w:rsidR="00417195" w:rsidRPr="00EC3BD7" w:rsidRDefault="00417195" w:rsidP="008B1609">
            <w:pPr>
              <w:pStyle w:val="Table"/>
              <w:keepLines w:val="0"/>
              <w:widowControl w:val="0"/>
              <w:jc w:val="center"/>
              <w:rPr>
                <w:rFonts w:ascii="Times New Roman" w:hAnsi="Times New Roman"/>
                <w:b/>
                <w:color w:val="000000"/>
                <w:sz w:val="22"/>
                <w:szCs w:val="22"/>
                <w:lang w:val="et-EE"/>
              </w:rPr>
            </w:pPr>
          </w:p>
        </w:tc>
        <w:tc>
          <w:tcPr>
            <w:tcW w:w="1357" w:type="dxa"/>
            <w:tcBorders>
              <w:left w:val="single" w:sz="4" w:space="0" w:color="auto"/>
              <w:bottom w:val="single" w:sz="4" w:space="0" w:color="auto"/>
              <w:right w:val="single" w:sz="4" w:space="0" w:color="auto"/>
            </w:tcBorders>
          </w:tcPr>
          <w:p w14:paraId="34708910" w14:textId="77777777" w:rsidR="00417195" w:rsidRPr="00EC3BD7" w:rsidRDefault="00417195" w:rsidP="008B1609">
            <w:pPr>
              <w:pStyle w:val="Table"/>
              <w:keepLines w:val="0"/>
              <w:widowControl w:val="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Glivec vs. platseebo</w:t>
            </w:r>
          </w:p>
        </w:tc>
        <w:tc>
          <w:tcPr>
            <w:tcW w:w="1360" w:type="dxa"/>
            <w:tcBorders>
              <w:left w:val="single" w:sz="4" w:space="0" w:color="auto"/>
            </w:tcBorders>
          </w:tcPr>
          <w:p w14:paraId="5C470447" w14:textId="77777777" w:rsidR="00417195" w:rsidRPr="00EC3BD7" w:rsidRDefault="00417195" w:rsidP="008B1609">
            <w:pPr>
              <w:pStyle w:val="Table"/>
              <w:keepLines w:val="0"/>
              <w:widowControl w:val="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Glivec vs. platseebo</w:t>
            </w:r>
          </w:p>
        </w:tc>
      </w:tr>
      <w:tr w:rsidR="00417195" w:rsidRPr="00EC3BD7" w14:paraId="16FD141F" w14:textId="77777777" w:rsidTr="008B1609">
        <w:trPr>
          <w:cantSplit/>
        </w:trPr>
        <w:tc>
          <w:tcPr>
            <w:tcW w:w="1242" w:type="dxa"/>
            <w:vMerge w:val="restart"/>
            <w:shd w:val="clear" w:color="auto" w:fill="auto"/>
          </w:tcPr>
          <w:p w14:paraId="4C3F6D8B" w14:textId="77777777" w:rsidR="00417195" w:rsidRPr="00EC3BD7" w:rsidRDefault="00417195" w:rsidP="008B1609">
            <w:pPr>
              <w:keepNext/>
              <w:widowControl w:val="0"/>
              <w:spacing w:before="360"/>
              <w:rPr>
                <w:color w:val="000000"/>
                <w:szCs w:val="22"/>
                <w:lang w:val="et-EE"/>
              </w:rPr>
            </w:pPr>
            <w:r w:rsidRPr="00EC3BD7">
              <w:rPr>
                <w:color w:val="000000"/>
                <w:szCs w:val="22"/>
                <w:lang w:val="et-EE"/>
              </w:rPr>
              <w:t>NIH</w:t>
            </w:r>
          </w:p>
        </w:tc>
        <w:tc>
          <w:tcPr>
            <w:tcW w:w="1109" w:type="dxa"/>
            <w:tcBorders>
              <w:bottom w:val="nil"/>
              <w:right w:val="single" w:sz="4" w:space="0" w:color="auto"/>
            </w:tcBorders>
            <w:vAlign w:val="bottom"/>
          </w:tcPr>
          <w:p w14:paraId="385A39D9" w14:textId="4E8FF5F1" w:rsidR="00417195" w:rsidRPr="00EC3BD7" w:rsidRDefault="00347035" w:rsidP="008B1609">
            <w:pPr>
              <w:keepNext/>
              <w:widowControl w:val="0"/>
              <w:spacing w:before="40" w:after="20"/>
              <w:ind w:left="57" w:hanging="57"/>
              <w:rPr>
                <w:color w:val="000000"/>
                <w:szCs w:val="22"/>
                <w:lang w:val="et-EE"/>
              </w:rPr>
            </w:pPr>
            <w:r>
              <w:rPr>
                <w:color w:val="000000"/>
                <w:szCs w:val="22"/>
                <w:lang w:val="et-EE"/>
              </w:rPr>
              <w:t>Väike</w:t>
            </w:r>
          </w:p>
        </w:tc>
        <w:tc>
          <w:tcPr>
            <w:tcW w:w="1301" w:type="dxa"/>
            <w:tcBorders>
              <w:left w:val="single" w:sz="4" w:space="0" w:color="auto"/>
              <w:bottom w:val="nil"/>
              <w:right w:val="single" w:sz="4" w:space="0" w:color="auto"/>
            </w:tcBorders>
            <w:vAlign w:val="bottom"/>
          </w:tcPr>
          <w:p w14:paraId="786A1731" w14:textId="77777777" w:rsidR="00417195" w:rsidRPr="00EC3BD7" w:rsidRDefault="00417195" w:rsidP="008B1609">
            <w:pPr>
              <w:keepNext/>
              <w:widowControl w:val="0"/>
              <w:spacing w:before="40" w:after="20"/>
              <w:ind w:left="57" w:hanging="57"/>
              <w:jc w:val="center"/>
              <w:rPr>
                <w:color w:val="000000"/>
                <w:szCs w:val="22"/>
                <w:lang w:val="et-EE"/>
              </w:rPr>
            </w:pPr>
            <w:r w:rsidRPr="00EC3BD7">
              <w:rPr>
                <w:color w:val="000000"/>
                <w:szCs w:val="22"/>
                <w:lang w:val="et-EE"/>
              </w:rPr>
              <w:t>29,5</w:t>
            </w:r>
          </w:p>
        </w:tc>
        <w:tc>
          <w:tcPr>
            <w:tcW w:w="1768" w:type="dxa"/>
            <w:tcBorders>
              <w:left w:val="single" w:sz="4" w:space="0" w:color="auto"/>
              <w:bottom w:val="nil"/>
              <w:right w:val="single" w:sz="4" w:space="0" w:color="auto"/>
            </w:tcBorders>
            <w:vAlign w:val="bottom"/>
          </w:tcPr>
          <w:p w14:paraId="19089915" w14:textId="77777777" w:rsidR="00417195" w:rsidRPr="00EC3BD7" w:rsidRDefault="00417195" w:rsidP="008B1609">
            <w:pPr>
              <w:keepNext/>
              <w:widowControl w:val="0"/>
              <w:spacing w:before="40" w:after="20"/>
              <w:ind w:left="57" w:hanging="57"/>
              <w:rPr>
                <w:color w:val="000000"/>
                <w:szCs w:val="22"/>
                <w:lang w:val="et-EE"/>
              </w:rPr>
            </w:pPr>
            <w:r w:rsidRPr="00EC3BD7">
              <w:rPr>
                <w:color w:val="000000"/>
                <w:szCs w:val="22"/>
                <w:lang w:val="et-EE"/>
              </w:rPr>
              <w:t>0/86 vs. 2/90</w:t>
            </w:r>
          </w:p>
        </w:tc>
        <w:tc>
          <w:tcPr>
            <w:tcW w:w="1800" w:type="dxa"/>
            <w:tcBorders>
              <w:left w:val="single" w:sz="4" w:space="0" w:color="auto"/>
              <w:bottom w:val="nil"/>
              <w:right w:val="single" w:sz="4" w:space="0" w:color="auto"/>
            </w:tcBorders>
            <w:vAlign w:val="bottom"/>
          </w:tcPr>
          <w:p w14:paraId="79E56BDB" w14:textId="77777777" w:rsidR="00417195" w:rsidRPr="00EC3BD7" w:rsidRDefault="00417195" w:rsidP="008B1609">
            <w:pPr>
              <w:keepNext/>
              <w:widowControl w:val="0"/>
              <w:spacing w:before="40" w:after="20"/>
              <w:ind w:left="57" w:hanging="57"/>
              <w:rPr>
                <w:color w:val="000000"/>
                <w:szCs w:val="22"/>
                <w:lang w:val="et-EE"/>
              </w:rPr>
            </w:pPr>
            <w:r w:rsidRPr="00EC3BD7">
              <w:rPr>
                <w:color w:val="000000"/>
                <w:szCs w:val="22"/>
                <w:lang w:val="et-EE"/>
              </w:rPr>
              <w:t>N.E.</w:t>
            </w:r>
          </w:p>
        </w:tc>
        <w:tc>
          <w:tcPr>
            <w:tcW w:w="1357" w:type="dxa"/>
            <w:tcBorders>
              <w:left w:val="single" w:sz="4" w:space="0" w:color="auto"/>
              <w:bottom w:val="nil"/>
              <w:right w:val="single" w:sz="4" w:space="0" w:color="auto"/>
            </w:tcBorders>
            <w:vAlign w:val="bottom"/>
          </w:tcPr>
          <w:p w14:paraId="7167975C" w14:textId="77777777" w:rsidR="00417195" w:rsidRPr="00EC3BD7" w:rsidRDefault="00417195" w:rsidP="008B1609">
            <w:pPr>
              <w:keepNext/>
              <w:widowControl w:val="0"/>
              <w:spacing w:before="40" w:after="20"/>
              <w:ind w:left="57" w:hanging="57"/>
              <w:rPr>
                <w:color w:val="000000"/>
                <w:szCs w:val="22"/>
                <w:lang w:val="et-EE"/>
              </w:rPr>
            </w:pPr>
            <w:r w:rsidRPr="00EC3BD7">
              <w:rPr>
                <w:color w:val="000000"/>
                <w:szCs w:val="22"/>
                <w:lang w:val="et-EE"/>
              </w:rPr>
              <w:t>100 vs. 98,7</w:t>
            </w:r>
          </w:p>
        </w:tc>
        <w:tc>
          <w:tcPr>
            <w:tcW w:w="1360" w:type="dxa"/>
            <w:tcBorders>
              <w:left w:val="single" w:sz="4" w:space="0" w:color="auto"/>
              <w:bottom w:val="nil"/>
            </w:tcBorders>
            <w:vAlign w:val="bottom"/>
          </w:tcPr>
          <w:p w14:paraId="2E26865B" w14:textId="77777777" w:rsidR="00417195" w:rsidRPr="00EC3BD7" w:rsidRDefault="00417195" w:rsidP="008B1609">
            <w:pPr>
              <w:keepNext/>
              <w:widowControl w:val="0"/>
              <w:spacing w:before="40" w:after="20"/>
              <w:ind w:left="57" w:hanging="57"/>
              <w:rPr>
                <w:color w:val="000000"/>
                <w:szCs w:val="22"/>
                <w:lang w:val="et-EE"/>
              </w:rPr>
            </w:pPr>
            <w:r w:rsidRPr="00EC3BD7">
              <w:rPr>
                <w:color w:val="000000"/>
                <w:szCs w:val="22"/>
                <w:lang w:val="et-EE"/>
              </w:rPr>
              <w:t>100 vs. 95,5</w:t>
            </w:r>
          </w:p>
        </w:tc>
      </w:tr>
      <w:tr w:rsidR="00417195" w:rsidRPr="00EC3BD7" w14:paraId="5519EC88" w14:textId="77777777" w:rsidTr="008B1609">
        <w:trPr>
          <w:cantSplit/>
        </w:trPr>
        <w:tc>
          <w:tcPr>
            <w:tcW w:w="1242" w:type="dxa"/>
            <w:vMerge/>
            <w:shd w:val="clear" w:color="auto" w:fill="auto"/>
          </w:tcPr>
          <w:p w14:paraId="05F9B28C" w14:textId="77777777" w:rsidR="00417195" w:rsidRPr="00EC3BD7" w:rsidRDefault="00417195" w:rsidP="008B1609">
            <w:pPr>
              <w:keepNext/>
              <w:widowControl w:val="0"/>
              <w:rPr>
                <w:b/>
                <w:color w:val="000000"/>
                <w:szCs w:val="22"/>
                <w:lang w:val="et-EE"/>
              </w:rPr>
            </w:pPr>
          </w:p>
        </w:tc>
        <w:tc>
          <w:tcPr>
            <w:tcW w:w="1109" w:type="dxa"/>
            <w:tcBorders>
              <w:top w:val="nil"/>
              <w:bottom w:val="nil"/>
              <w:right w:val="single" w:sz="4" w:space="0" w:color="auto"/>
            </w:tcBorders>
            <w:vAlign w:val="bottom"/>
          </w:tcPr>
          <w:p w14:paraId="57434AB2"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Keskmine</w:t>
            </w:r>
          </w:p>
        </w:tc>
        <w:tc>
          <w:tcPr>
            <w:tcW w:w="1301" w:type="dxa"/>
            <w:tcBorders>
              <w:top w:val="nil"/>
              <w:left w:val="single" w:sz="4" w:space="0" w:color="auto"/>
              <w:bottom w:val="nil"/>
              <w:right w:val="single" w:sz="4" w:space="0" w:color="auto"/>
            </w:tcBorders>
            <w:vAlign w:val="bottom"/>
          </w:tcPr>
          <w:p w14:paraId="4B958473" w14:textId="77777777" w:rsidR="00417195" w:rsidRPr="00EC3BD7" w:rsidRDefault="00417195" w:rsidP="008B1609">
            <w:pPr>
              <w:pStyle w:val="Table"/>
              <w:keepLines w:val="0"/>
              <w:widowControl w:val="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25,7</w:t>
            </w:r>
          </w:p>
        </w:tc>
        <w:tc>
          <w:tcPr>
            <w:tcW w:w="1768" w:type="dxa"/>
            <w:tcBorders>
              <w:top w:val="nil"/>
              <w:left w:val="single" w:sz="4" w:space="0" w:color="auto"/>
              <w:bottom w:val="nil"/>
              <w:right w:val="single" w:sz="4" w:space="0" w:color="auto"/>
            </w:tcBorders>
            <w:vAlign w:val="bottom"/>
          </w:tcPr>
          <w:p w14:paraId="42071E4C"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4/75 vs. 6/78</w:t>
            </w:r>
          </w:p>
        </w:tc>
        <w:tc>
          <w:tcPr>
            <w:tcW w:w="1800" w:type="dxa"/>
            <w:tcBorders>
              <w:top w:val="nil"/>
              <w:left w:val="single" w:sz="4" w:space="0" w:color="auto"/>
              <w:bottom w:val="nil"/>
              <w:right w:val="single" w:sz="4" w:space="0" w:color="auto"/>
            </w:tcBorders>
            <w:vAlign w:val="bottom"/>
          </w:tcPr>
          <w:p w14:paraId="26222061"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0,59 (0,17; 2,10)</w:t>
            </w:r>
          </w:p>
        </w:tc>
        <w:tc>
          <w:tcPr>
            <w:tcW w:w="1357" w:type="dxa"/>
            <w:tcBorders>
              <w:top w:val="nil"/>
              <w:left w:val="single" w:sz="4" w:space="0" w:color="auto"/>
              <w:bottom w:val="nil"/>
              <w:right w:val="single" w:sz="4" w:space="0" w:color="auto"/>
            </w:tcBorders>
            <w:vAlign w:val="bottom"/>
          </w:tcPr>
          <w:p w14:paraId="0640E9C1"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100 vs. 94,8</w:t>
            </w:r>
          </w:p>
        </w:tc>
        <w:tc>
          <w:tcPr>
            <w:tcW w:w="1360" w:type="dxa"/>
            <w:tcBorders>
              <w:top w:val="nil"/>
              <w:left w:val="single" w:sz="4" w:space="0" w:color="auto"/>
              <w:bottom w:val="nil"/>
            </w:tcBorders>
            <w:vAlign w:val="bottom"/>
          </w:tcPr>
          <w:p w14:paraId="035453A7"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97.8 vs. 89,5</w:t>
            </w:r>
          </w:p>
        </w:tc>
      </w:tr>
      <w:tr w:rsidR="00417195" w:rsidRPr="00EC3BD7" w14:paraId="251D9D08" w14:textId="77777777" w:rsidTr="008B1609">
        <w:trPr>
          <w:cantSplit/>
        </w:trPr>
        <w:tc>
          <w:tcPr>
            <w:tcW w:w="1242" w:type="dxa"/>
            <w:vMerge/>
            <w:shd w:val="clear" w:color="auto" w:fill="auto"/>
          </w:tcPr>
          <w:p w14:paraId="5E940675" w14:textId="77777777" w:rsidR="00417195" w:rsidRPr="00EC3BD7" w:rsidRDefault="00417195" w:rsidP="008B1609">
            <w:pPr>
              <w:pStyle w:val="Table"/>
              <w:keepLines w:val="0"/>
              <w:widowControl w:val="0"/>
              <w:rPr>
                <w:rFonts w:ascii="Times New Roman" w:hAnsi="Times New Roman"/>
                <w:color w:val="000000"/>
                <w:sz w:val="22"/>
                <w:szCs w:val="22"/>
                <w:lang w:val="et-EE"/>
              </w:rPr>
            </w:pPr>
          </w:p>
        </w:tc>
        <w:tc>
          <w:tcPr>
            <w:tcW w:w="1109" w:type="dxa"/>
            <w:tcBorders>
              <w:top w:val="nil"/>
              <w:right w:val="single" w:sz="4" w:space="0" w:color="auto"/>
            </w:tcBorders>
            <w:vAlign w:val="bottom"/>
          </w:tcPr>
          <w:p w14:paraId="6FC89A4E"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Kõrge</w:t>
            </w:r>
          </w:p>
        </w:tc>
        <w:tc>
          <w:tcPr>
            <w:tcW w:w="1301" w:type="dxa"/>
            <w:tcBorders>
              <w:top w:val="nil"/>
              <w:left w:val="single" w:sz="4" w:space="0" w:color="auto"/>
              <w:right w:val="single" w:sz="4" w:space="0" w:color="auto"/>
            </w:tcBorders>
            <w:vAlign w:val="bottom"/>
          </w:tcPr>
          <w:p w14:paraId="7DD4A070" w14:textId="77777777" w:rsidR="00417195" w:rsidRPr="00EC3BD7" w:rsidRDefault="00417195" w:rsidP="008B1609">
            <w:pPr>
              <w:pStyle w:val="Table"/>
              <w:keepLines w:val="0"/>
              <w:widowControl w:val="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44,8</w:t>
            </w:r>
          </w:p>
        </w:tc>
        <w:tc>
          <w:tcPr>
            <w:tcW w:w="1768" w:type="dxa"/>
            <w:tcBorders>
              <w:top w:val="nil"/>
              <w:left w:val="single" w:sz="4" w:space="0" w:color="auto"/>
              <w:right w:val="single" w:sz="4" w:space="0" w:color="auto"/>
            </w:tcBorders>
            <w:vAlign w:val="bottom"/>
          </w:tcPr>
          <w:p w14:paraId="611BDD80"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21/140 vs. 51/127</w:t>
            </w:r>
          </w:p>
        </w:tc>
        <w:tc>
          <w:tcPr>
            <w:tcW w:w="1800" w:type="dxa"/>
            <w:tcBorders>
              <w:top w:val="nil"/>
              <w:left w:val="single" w:sz="4" w:space="0" w:color="auto"/>
              <w:right w:val="single" w:sz="4" w:space="0" w:color="auto"/>
            </w:tcBorders>
            <w:vAlign w:val="bottom"/>
          </w:tcPr>
          <w:p w14:paraId="050D583D"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0,29 (0,18; 0,49)</w:t>
            </w:r>
          </w:p>
        </w:tc>
        <w:tc>
          <w:tcPr>
            <w:tcW w:w="1357" w:type="dxa"/>
            <w:tcBorders>
              <w:top w:val="nil"/>
              <w:left w:val="single" w:sz="4" w:space="0" w:color="auto"/>
              <w:right w:val="single" w:sz="4" w:space="0" w:color="auto"/>
            </w:tcBorders>
            <w:vAlign w:val="bottom"/>
          </w:tcPr>
          <w:p w14:paraId="6BFEBC61"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94,8 vs. 64,0</w:t>
            </w:r>
          </w:p>
        </w:tc>
        <w:tc>
          <w:tcPr>
            <w:tcW w:w="1360" w:type="dxa"/>
            <w:tcBorders>
              <w:top w:val="nil"/>
              <w:left w:val="single" w:sz="4" w:space="0" w:color="auto"/>
            </w:tcBorders>
            <w:vAlign w:val="bottom"/>
          </w:tcPr>
          <w:p w14:paraId="268DB320"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80,7 vs. 46,6</w:t>
            </w:r>
          </w:p>
        </w:tc>
      </w:tr>
      <w:tr w:rsidR="00417195" w:rsidRPr="00EC3BD7" w14:paraId="498365B5" w14:textId="77777777" w:rsidTr="008B1609">
        <w:trPr>
          <w:cantSplit/>
        </w:trPr>
        <w:tc>
          <w:tcPr>
            <w:tcW w:w="1242" w:type="dxa"/>
            <w:vMerge w:val="restart"/>
            <w:shd w:val="clear" w:color="auto" w:fill="auto"/>
          </w:tcPr>
          <w:p w14:paraId="7C1DFD8A" w14:textId="77777777" w:rsidR="00417195" w:rsidRPr="00EC3BD7" w:rsidRDefault="00417195" w:rsidP="008B1609">
            <w:pPr>
              <w:pStyle w:val="Table"/>
              <w:keepLines w:val="0"/>
              <w:widowControl w:val="0"/>
              <w:spacing w:before="480"/>
              <w:rPr>
                <w:rFonts w:ascii="Times New Roman" w:hAnsi="Times New Roman"/>
                <w:color w:val="000000"/>
                <w:sz w:val="22"/>
                <w:szCs w:val="22"/>
                <w:lang w:val="et-EE"/>
              </w:rPr>
            </w:pPr>
            <w:r w:rsidRPr="00EC3BD7">
              <w:rPr>
                <w:rFonts w:ascii="Times New Roman" w:hAnsi="Times New Roman"/>
                <w:color w:val="000000"/>
                <w:sz w:val="22"/>
                <w:szCs w:val="22"/>
                <w:lang w:val="et-EE"/>
              </w:rPr>
              <w:t>AFIP</w:t>
            </w:r>
          </w:p>
        </w:tc>
        <w:tc>
          <w:tcPr>
            <w:tcW w:w="1109" w:type="dxa"/>
            <w:tcBorders>
              <w:bottom w:val="nil"/>
              <w:right w:val="single" w:sz="4" w:space="0" w:color="auto"/>
            </w:tcBorders>
            <w:vAlign w:val="bottom"/>
          </w:tcPr>
          <w:p w14:paraId="25949BD5" w14:textId="03DAF22D" w:rsidR="00417195" w:rsidRPr="00EC3BD7" w:rsidRDefault="00417195" w:rsidP="00347035">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 xml:space="preserve">Väga </w:t>
            </w:r>
            <w:r w:rsidR="00347035">
              <w:rPr>
                <w:rFonts w:ascii="Times New Roman" w:hAnsi="Times New Roman"/>
                <w:color w:val="000000"/>
                <w:sz w:val="22"/>
                <w:szCs w:val="22"/>
                <w:lang w:val="et-EE"/>
              </w:rPr>
              <w:t>väike</w:t>
            </w:r>
          </w:p>
        </w:tc>
        <w:tc>
          <w:tcPr>
            <w:tcW w:w="1301" w:type="dxa"/>
            <w:tcBorders>
              <w:left w:val="single" w:sz="4" w:space="0" w:color="auto"/>
              <w:bottom w:val="nil"/>
              <w:right w:val="single" w:sz="4" w:space="0" w:color="auto"/>
            </w:tcBorders>
            <w:vAlign w:val="bottom"/>
          </w:tcPr>
          <w:p w14:paraId="512B083B" w14:textId="77777777" w:rsidR="00417195" w:rsidRPr="00EC3BD7" w:rsidRDefault="00417195" w:rsidP="008B1609">
            <w:pPr>
              <w:pStyle w:val="Table"/>
              <w:keepLines w:val="0"/>
              <w:widowControl w:val="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20,7</w:t>
            </w:r>
          </w:p>
        </w:tc>
        <w:tc>
          <w:tcPr>
            <w:tcW w:w="1768" w:type="dxa"/>
            <w:tcBorders>
              <w:left w:val="single" w:sz="4" w:space="0" w:color="auto"/>
              <w:bottom w:val="nil"/>
              <w:right w:val="single" w:sz="4" w:space="0" w:color="auto"/>
            </w:tcBorders>
            <w:vAlign w:val="bottom"/>
          </w:tcPr>
          <w:p w14:paraId="7AE78EB4"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0/52 vs. 2/63</w:t>
            </w:r>
          </w:p>
        </w:tc>
        <w:tc>
          <w:tcPr>
            <w:tcW w:w="1800" w:type="dxa"/>
            <w:tcBorders>
              <w:left w:val="single" w:sz="4" w:space="0" w:color="auto"/>
              <w:bottom w:val="nil"/>
              <w:right w:val="single" w:sz="4" w:space="0" w:color="auto"/>
            </w:tcBorders>
            <w:vAlign w:val="bottom"/>
          </w:tcPr>
          <w:p w14:paraId="205A9657"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N.E.</w:t>
            </w:r>
          </w:p>
        </w:tc>
        <w:tc>
          <w:tcPr>
            <w:tcW w:w="1357" w:type="dxa"/>
            <w:tcBorders>
              <w:left w:val="single" w:sz="4" w:space="0" w:color="auto"/>
              <w:bottom w:val="nil"/>
              <w:right w:val="single" w:sz="4" w:space="0" w:color="auto"/>
            </w:tcBorders>
            <w:vAlign w:val="bottom"/>
          </w:tcPr>
          <w:p w14:paraId="4E464053"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100 vs. 98,1</w:t>
            </w:r>
          </w:p>
        </w:tc>
        <w:tc>
          <w:tcPr>
            <w:tcW w:w="1360" w:type="dxa"/>
            <w:tcBorders>
              <w:left w:val="single" w:sz="4" w:space="0" w:color="auto"/>
              <w:bottom w:val="nil"/>
            </w:tcBorders>
            <w:vAlign w:val="bottom"/>
          </w:tcPr>
          <w:p w14:paraId="781E9D3F"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100 vs. 93,0</w:t>
            </w:r>
          </w:p>
        </w:tc>
      </w:tr>
      <w:tr w:rsidR="00417195" w:rsidRPr="00EC3BD7" w14:paraId="42B9502C" w14:textId="77777777" w:rsidTr="008B1609">
        <w:trPr>
          <w:cantSplit/>
        </w:trPr>
        <w:tc>
          <w:tcPr>
            <w:tcW w:w="1242" w:type="dxa"/>
            <w:vMerge/>
            <w:shd w:val="clear" w:color="auto" w:fill="auto"/>
          </w:tcPr>
          <w:p w14:paraId="50E1B947" w14:textId="77777777" w:rsidR="00417195" w:rsidRPr="00EC3BD7" w:rsidRDefault="00417195" w:rsidP="008B1609">
            <w:pPr>
              <w:pStyle w:val="Table"/>
              <w:keepLines w:val="0"/>
              <w:widowControl w:val="0"/>
              <w:rPr>
                <w:rFonts w:ascii="Times New Roman" w:hAnsi="Times New Roman"/>
                <w:color w:val="000000"/>
                <w:sz w:val="22"/>
                <w:szCs w:val="22"/>
                <w:lang w:val="et-EE"/>
              </w:rPr>
            </w:pPr>
          </w:p>
        </w:tc>
        <w:tc>
          <w:tcPr>
            <w:tcW w:w="1109" w:type="dxa"/>
            <w:tcBorders>
              <w:top w:val="nil"/>
              <w:bottom w:val="nil"/>
              <w:right w:val="single" w:sz="4" w:space="0" w:color="auto"/>
            </w:tcBorders>
            <w:vAlign w:val="bottom"/>
          </w:tcPr>
          <w:p w14:paraId="7E8DC18A" w14:textId="018950BD" w:rsidR="00417195" w:rsidRPr="00EC3BD7" w:rsidRDefault="00347035" w:rsidP="008B1609">
            <w:pPr>
              <w:pStyle w:val="Table"/>
              <w:keepLines w:val="0"/>
              <w:widowControl w:val="0"/>
              <w:rPr>
                <w:rFonts w:ascii="Times New Roman" w:hAnsi="Times New Roman"/>
                <w:color w:val="000000"/>
                <w:sz w:val="22"/>
                <w:szCs w:val="22"/>
                <w:lang w:val="et-EE"/>
              </w:rPr>
            </w:pPr>
            <w:r>
              <w:rPr>
                <w:rFonts w:ascii="Times New Roman" w:hAnsi="Times New Roman"/>
                <w:color w:val="000000"/>
                <w:sz w:val="22"/>
                <w:szCs w:val="22"/>
                <w:lang w:val="et-EE"/>
              </w:rPr>
              <w:t>Väike</w:t>
            </w:r>
          </w:p>
        </w:tc>
        <w:tc>
          <w:tcPr>
            <w:tcW w:w="1301" w:type="dxa"/>
            <w:tcBorders>
              <w:top w:val="nil"/>
              <w:left w:val="single" w:sz="4" w:space="0" w:color="auto"/>
              <w:bottom w:val="nil"/>
              <w:right w:val="single" w:sz="4" w:space="0" w:color="auto"/>
            </w:tcBorders>
            <w:vAlign w:val="bottom"/>
          </w:tcPr>
          <w:p w14:paraId="1F46C8CA" w14:textId="77777777" w:rsidR="00417195" w:rsidRPr="00EC3BD7" w:rsidRDefault="00417195" w:rsidP="008B1609">
            <w:pPr>
              <w:pStyle w:val="Table"/>
              <w:keepLines w:val="0"/>
              <w:widowControl w:val="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25,0</w:t>
            </w:r>
          </w:p>
        </w:tc>
        <w:tc>
          <w:tcPr>
            <w:tcW w:w="1768" w:type="dxa"/>
            <w:tcBorders>
              <w:top w:val="nil"/>
              <w:left w:val="single" w:sz="4" w:space="0" w:color="auto"/>
              <w:bottom w:val="nil"/>
              <w:right w:val="single" w:sz="4" w:space="0" w:color="auto"/>
            </w:tcBorders>
            <w:vAlign w:val="bottom"/>
          </w:tcPr>
          <w:p w14:paraId="7991B862"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2/70 vs. 0/69</w:t>
            </w:r>
          </w:p>
        </w:tc>
        <w:tc>
          <w:tcPr>
            <w:tcW w:w="1800" w:type="dxa"/>
            <w:tcBorders>
              <w:top w:val="nil"/>
              <w:left w:val="single" w:sz="4" w:space="0" w:color="auto"/>
              <w:bottom w:val="nil"/>
              <w:right w:val="single" w:sz="4" w:space="0" w:color="auto"/>
            </w:tcBorders>
            <w:vAlign w:val="bottom"/>
          </w:tcPr>
          <w:p w14:paraId="665B80FC"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N.E.</w:t>
            </w:r>
          </w:p>
        </w:tc>
        <w:tc>
          <w:tcPr>
            <w:tcW w:w="1357" w:type="dxa"/>
            <w:tcBorders>
              <w:top w:val="nil"/>
              <w:left w:val="single" w:sz="4" w:space="0" w:color="auto"/>
              <w:bottom w:val="nil"/>
              <w:right w:val="single" w:sz="4" w:space="0" w:color="auto"/>
            </w:tcBorders>
            <w:vAlign w:val="bottom"/>
          </w:tcPr>
          <w:p w14:paraId="5F702746"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100 vs. 100</w:t>
            </w:r>
          </w:p>
        </w:tc>
        <w:tc>
          <w:tcPr>
            <w:tcW w:w="1360" w:type="dxa"/>
            <w:tcBorders>
              <w:top w:val="nil"/>
              <w:left w:val="single" w:sz="4" w:space="0" w:color="auto"/>
              <w:bottom w:val="nil"/>
            </w:tcBorders>
            <w:vAlign w:val="bottom"/>
          </w:tcPr>
          <w:p w14:paraId="6C9F9F90"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97,8 vs. 100</w:t>
            </w:r>
          </w:p>
        </w:tc>
      </w:tr>
      <w:tr w:rsidR="00417195" w:rsidRPr="00EC3BD7" w14:paraId="2D6E8395" w14:textId="77777777" w:rsidTr="008B1609">
        <w:trPr>
          <w:cantSplit/>
        </w:trPr>
        <w:tc>
          <w:tcPr>
            <w:tcW w:w="1242" w:type="dxa"/>
            <w:vMerge/>
            <w:shd w:val="clear" w:color="auto" w:fill="auto"/>
          </w:tcPr>
          <w:p w14:paraId="5A45815F" w14:textId="77777777" w:rsidR="00417195" w:rsidRPr="00EC3BD7" w:rsidRDefault="00417195" w:rsidP="008B1609">
            <w:pPr>
              <w:pStyle w:val="Table"/>
              <w:keepLines w:val="0"/>
              <w:widowControl w:val="0"/>
              <w:rPr>
                <w:rFonts w:ascii="Times New Roman" w:hAnsi="Times New Roman"/>
                <w:b/>
                <w:color w:val="000000"/>
                <w:sz w:val="22"/>
                <w:szCs w:val="22"/>
                <w:lang w:val="et-EE"/>
              </w:rPr>
            </w:pPr>
          </w:p>
        </w:tc>
        <w:tc>
          <w:tcPr>
            <w:tcW w:w="1109" w:type="dxa"/>
            <w:tcBorders>
              <w:top w:val="nil"/>
              <w:bottom w:val="nil"/>
              <w:right w:val="single" w:sz="4" w:space="0" w:color="auto"/>
            </w:tcBorders>
            <w:vAlign w:val="bottom"/>
          </w:tcPr>
          <w:p w14:paraId="37810E1A"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Keskmine</w:t>
            </w:r>
          </w:p>
        </w:tc>
        <w:tc>
          <w:tcPr>
            <w:tcW w:w="1301" w:type="dxa"/>
            <w:tcBorders>
              <w:top w:val="nil"/>
              <w:left w:val="single" w:sz="4" w:space="0" w:color="auto"/>
              <w:bottom w:val="nil"/>
              <w:right w:val="single" w:sz="4" w:space="0" w:color="auto"/>
            </w:tcBorders>
            <w:vAlign w:val="bottom"/>
          </w:tcPr>
          <w:p w14:paraId="6D06C732" w14:textId="77777777" w:rsidR="00417195" w:rsidRPr="00EC3BD7" w:rsidRDefault="00417195" w:rsidP="008B1609">
            <w:pPr>
              <w:pStyle w:val="Table"/>
              <w:keepLines w:val="0"/>
              <w:widowControl w:val="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24,6</w:t>
            </w:r>
          </w:p>
        </w:tc>
        <w:tc>
          <w:tcPr>
            <w:tcW w:w="1768" w:type="dxa"/>
            <w:tcBorders>
              <w:top w:val="nil"/>
              <w:left w:val="single" w:sz="4" w:space="0" w:color="auto"/>
              <w:bottom w:val="nil"/>
              <w:right w:val="single" w:sz="4" w:space="0" w:color="auto"/>
            </w:tcBorders>
            <w:vAlign w:val="bottom"/>
          </w:tcPr>
          <w:p w14:paraId="3814BB81"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2/70 vs. 11/67</w:t>
            </w:r>
          </w:p>
        </w:tc>
        <w:tc>
          <w:tcPr>
            <w:tcW w:w="1800" w:type="dxa"/>
            <w:tcBorders>
              <w:top w:val="nil"/>
              <w:left w:val="single" w:sz="4" w:space="0" w:color="auto"/>
              <w:bottom w:val="nil"/>
              <w:right w:val="single" w:sz="4" w:space="0" w:color="auto"/>
            </w:tcBorders>
            <w:vAlign w:val="bottom"/>
          </w:tcPr>
          <w:p w14:paraId="0E6A24E6"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0,16 (0,03; 0.70)</w:t>
            </w:r>
          </w:p>
        </w:tc>
        <w:tc>
          <w:tcPr>
            <w:tcW w:w="1357" w:type="dxa"/>
            <w:tcBorders>
              <w:top w:val="nil"/>
              <w:left w:val="single" w:sz="4" w:space="0" w:color="auto"/>
              <w:bottom w:val="nil"/>
              <w:right w:val="single" w:sz="4" w:space="0" w:color="auto"/>
            </w:tcBorders>
            <w:vAlign w:val="bottom"/>
          </w:tcPr>
          <w:p w14:paraId="191647A6"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97,9 vs. 90,8</w:t>
            </w:r>
          </w:p>
        </w:tc>
        <w:tc>
          <w:tcPr>
            <w:tcW w:w="1360" w:type="dxa"/>
            <w:tcBorders>
              <w:top w:val="nil"/>
              <w:left w:val="single" w:sz="4" w:space="0" w:color="auto"/>
              <w:bottom w:val="nil"/>
            </w:tcBorders>
            <w:vAlign w:val="bottom"/>
          </w:tcPr>
          <w:p w14:paraId="06C778B6"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97,9 vs. 73,3</w:t>
            </w:r>
          </w:p>
        </w:tc>
      </w:tr>
      <w:tr w:rsidR="00417195" w:rsidRPr="00EC3BD7" w14:paraId="0568B8D4" w14:textId="77777777" w:rsidTr="008B1609">
        <w:trPr>
          <w:cantSplit/>
        </w:trPr>
        <w:tc>
          <w:tcPr>
            <w:tcW w:w="1242" w:type="dxa"/>
            <w:vMerge/>
            <w:tcBorders>
              <w:bottom w:val="single" w:sz="4" w:space="0" w:color="auto"/>
            </w:tcBorders>
            <w:shd w:val="clear" w:color="auto" w:fill="auto"/>
          </w:tcPr>
          <w:p w14:paraId="03BABE14" w14:textId="77777777" w:rsidR="00417195" w:rsidRPr="00EC3BD7" w:rsidRDefault="00417195" w:rsidP="008B1609">
            <w:pPr>
              <w:pStyle w:val="Table"/>
              <w:keepLines w:val="0"/>
              <w:widowControl w:val="0"/>
              <w:rPr>
                <w:rFonts w:ascii="Times New Roman" w:hAnsi="Times New Roman"/>
                <w:color w:val="000000"/>
                <w:sz w:val="22"/>
                <w:szCs w:val="22"/>
                <w:lang w:val="et-EE"/>
              </w:rPr>
            </w:pPr>
          </w:p>
        </w:tc>
        <w:tc>
          <w:tcPr>
            <w:tcW w:w="1109" w:type="dxa"/>
            <w:tcBorders>
              <w:top w:val="nil"/>
              <w:bottom w:val="single" w:sz="4" w:space="0" w:color="auto"/>
              <w:right w:val="single" w:sz="4" w:space="0" w:color="auto"/>
            </w:tcBorders>
            <w:vAlign w:val="bottom"/>
          </w:tcPr>
          <w:p w14:paraId="2E1ABBAA"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Kõrge</w:t>
            </w:r>
          </w:p>
        </w:tc>
        <w:tc>
          <w:tcPr>
            <w:tcW w:w="1301" w:type="dxa"/>
            <w:tcBorders>
              <w:top w:val="nil"/>
              <w:left w:val="single" w:sz="4" w:space="0" w:color="auto"/>
              <w:bottom w:val="single" w:sz="4" w:space="0" w:color="auto"/>
              <w:right w:val="single" w:sz="4" w:space="0" w:color="auto"/>
            </w:tcBorders>
            <w:vAlign w:val="bottom"/>
          </w:tcPr>
          <w:p w14:paraId="529E3DA7" w14:textId="77777777" w:rsidR="00417195" w:rsidRPr="00EC3BD7" w:rsidRDefault="00417195" w:rsidP="008B1609">
            <w:pPr>
              <w:pStyle w:val="Table"/>
              <w:keepLines w:val="0"/>
              <w:widowControl w:val="0"/>
              <w:ind w:right="-3"/>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29,7</w:t>
            </w:r>
          </w:p>
        </w:tc>
        <w:tc>
          <w:tcPr>
            <w:tcW w:w="1768" w:type="dxa"/>
            <w:tcBorders>
              <w:top w:val="nil"/>
              <w:left w:val="single" w:sz="4" w:space="0" w:color="auto"/>
              <w:bottom w:val="single" w:sz="4" w:space="0" w:color="auto"/>
              <w:right w:val="single" w:sz="4" w:space="0" w:color="auto"/>
            </w:tcBorders>
            <w:vAlign w:val="bottom"/>
          </w:tcPr>
          <w:p w14:paraId="1BB001CB"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16/84 vs. 39/81</w:t>
            </w:r>
          </w:p>
        </w:tc>
        <w:tc>
          <w:tcPr>
            <w:tcW w:w="1800" w:type="dxa"/>
            <w:tcBorders>
              <w:top w:val="nil"/>
              <w:left w:val="single" w:sz="4" w:space="0" w:color="auto"/>
              <w:bottom w:val="single" w:sz="4" w:space="0" w:color="auto"/>
              <w:right w:val="single" w:sz="4" w:space="0" w:color="auto"/>
            </w:tcBorders>
            <w:vAlign w:val="bottom"/>
          </w:tcPr>
          <w:p w14:paraId="4A417F38"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0,27 (0,15; 0,48)</w:t>
            </w:r>
          </w:p>
        </w:tc>
        <w:tc>
          <w:tcPr>
            <w:tcW w:w="1357" w:type="dxa"/>
            <w:tcBorders>
              <w:top w:val="nil"/>
              <w:left w:val="single" w:sz="4" w:space="0" w:color="auto"/>
              <w:bottom w:val="single" w:sz="4" w:space="0" w:color="auto"/>
              <w:right w:val="single" w:sz="4" w:space="0" w:color="auto"/>
            </w:tcBorders>
            <w:vAlign w:val="bottom"/>
          </w:tcPr>
          <w:p w14:paraId="4DBA6335"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98,7 vs. 56,1</w:t>
            </w:r>
          </w:p>
        </w:tc>
        <w:tc>
          <w:tcPr>
            <w:tcW w:w="1360" w:type="dxa"/>
            <w:tcBorders>
              <w:top w:val="nil"/>
              <w:left w:val="single" w:sz="4" w:space="0" w:color="auto"/>
              <w:bottom w:val="single" w:sz="4" w:space="0" w:color="auto"/>
            </w:tcBorders>
            <w:vAlign w:val="bottom"/>
          </w:tcPr>
          <w:p w14:paraId="027CB642" w14:textId="77777777" w:rsidR="00417195" w:rsidRPr="00EC3BD7" w:rsidRDefault="00417195"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79,9 vs. 41,5</w:t>
            </w:r>
          </w:p>
        </w:tc>
      </w:tr>
    </w:tbl>
    <w:p w14:paraId="1D874EFF" w14:textId="77777777" w:rsidR="00417195" w:rsidRPr="00EC3BD7" w:rsidRDefault="00417195" w:rsidP="008B1609">
      <w:pPr>
        <w:widowControl w:val="0"/>
        <w:rPr>
          <w:color w:val="000000"/>
          <w:szCs w:val="22"/>
          <w:lang w:val="et-EE"/>
        </w:rPr>
      </w:pPr>
      <w:r w:rsidRPr="00EC3BD7">
        <w:rPr>
          <w:color w:val="000000"/>
          <w:szCs w:val="22"/>
          <w:lang w:val="et-EE"/>
        </w:rPr>
        <w:t>* Täielik järelkontrolli periood; NE – ei ole hinnatav</w:t>
      </w:r>
    </w:p>
    <w:p w14:paraId="6AEE5D06" w14:textId="77777777" w:rsidR="00BD5270" w:rsidRPr="00EC3BD7" w:rsidRDefault="00BD5270" w:rsidP="00BD5270">
      <w:pPr>
        <w:pStyle w:val="EndnoteText"/>
        <w:widowControl w:val="0"/>
        <w:tabs>
          <w:tab w:val="clear" w:pos="567"/>
        </w:tabs>
        <w:rPr>
          <w:color w:val="000000"/>
          <w:szCs w:val="22"/>
          <w:lang w:val="et-EE"/>
        </w:rPr>
      </w:pPr>
    </w:p>
    <w:p w14:paraId="55739C50" w14:textId="25CE730B" w:rsidR="00BD5270" w:rsidRPr="00EC3BD7" w:rsidRDefault="00BD5270" w:rsidP="00BD5270">
      <w:pPr>
        <w:pStyle w:val="EndnoteText"/>
        <w:widowControl w:val="0"/>
        <w:tabs>
          <w:tab w:val="clear" w:pos="567"/>
        </w:tabs>
        <w:rPr>
          <w:rFonts w:eastAsia="MS Mincho"/>
          <w:iCs/>
          <w:szCs w:val="22"/>
          <w:lang w:val="et-EE" w:eastAsia="ja-JP"/>
        </w:rPr>
      </w:pPr>
      <w:r w:rsidRPr="00EC3BD7">
        <w:rPr>
          <w:color w:val="000000"/>
          <w:szCs w:val="22"/>
          <w:lang w:val="et-EE"/>
        </w:rPr>
        <w:t>Teises mitmekeskuselises, avatud III faasi uuringus (SSG XVIII/AIO) võrreldi Gliveci 400 mg/päevas 12 kuulist ravi ja 36 kuulist ravi patsientidel, kellel oli kirurgiliselt teostatud GIST</w:t>
      </w:r>
      <w:r w:rsidR="00DD0F07">
        <w:rPr>
          <w:color w:val="000000"/>
          <w:szCs w:val="22"/>
          <w:lang w:val="et-EE"/>
        </w:rPr>
        <w:t>-i</w:t>
      </w:r>
      <w:r w:rsidRPr="00EC3BD7">
        <w:rPr>
          <w:color w:val="000000"/>
          <w:szCs w:val="22"/>
          <w:lang w:val="et-EE"/>
        </w:rPr>
        <w:t xml:space="preserve"> osaline lõikus ja üks järgnevaist: kasvaja diameeter &gt; 5 cm ja mitootiline lugem &gt; 5/50 tugeva suurenduse vaateväljas (HPF); või kasvaja diameeter &gt; 10 cm ja ükskõik, milline mitootiline lugem või ükskõik, millise suurusega kasvaja koos mitootilise lugemiga </w:t>
      </w:r>
      <w:r w:rsidRPr="00EC3BD7">
        <w:rPr>
          <w:rFonts w:eastAsia="MS Mincho"/>
          <w:iCs/>
          <w:szCs w:val="22"/>
          <w:lang w:val="et-EE" w:eastAsia="ja-JP"/>
        </w:rPr>
        <w:t xml:space="preserve">&gt; 10/50 HPF või kasvaja, mis on levinud peritoneaalõõnde. Uuringus osalemiseks andsid nõusoleku ja randomiseeriti 397 patsienti (199 patsienti 12-kuulises rühmas ja 198 patsienti 36-kuulises rühmas), mediaanvanus oli 61 aastat (vahemikus 22 kuni 84 aastat). </w:t>
      </w:r>
      <w:r w:rsidR="009A72D1" w:rsidRPr="00EC3BD7">
        <w:rPr>
          <w:rFonts w:eastAsia="MS Mincho"/>
          <w:iCs/>
          <w:szCs w:val="22"/>
          <w:lang w:val="et-EE" w:eastAsia="ja-JP"/>
        </w:rPr>
        <w:t>Jälgimisaja mediaan oli 54</w:t>
      </w:r>
      <w:r w:rsidR="00650FDD" w:rsidRPr="00EC3BD7">
        <w:rPr>
          <w:rFonts w:eastAsia="MS Mincho"/>
          <w:iCs/>
          <w:szCs w:val="22"/>
          <w:lang w:val="et-EE" w:eastAsia="ja-JP"/>
        </w:rPr>
        <w:t> </w:t>
      </w:r>
      <w:r w:rsidR="009A72D1" w:rsidRPr="00EC3BD7">
        <w:rPr>
          <w:rFonts w:eastAsia="MS Mincho"/>
          <w:iCs/>
          <w:szCs w:val="22"/>
          <w:lang w:val="et-EE" w:eastAsia="ja-JP"/>
        </w:rPr>
        <w:t>kuud</w:t>
      </w:r>
      <w:r w:rsidR="00650FDD" w:rsidRPr="00EC3BD7">
        <w:rPr>
          <w:rFonts w:eastAsia="MS Mincho"/>
          <w:iCs/>
          <w:szCs w:val="22"/>
          <w:lang w:val="et-EE" w:eastAsia="ja-JP"/>
        </w:rPr>
        <w:t xml:space="preserve"> (randomiseerimisest kuni uuringu lõpuni)</w:t>
      </w:r>
      <w:r w:rsidR="009A72D1" w:rsidRPr="00EC3BD7">
        <w:rPr>
          <w:rFonts w:eastAsia="MS Mincho"/>
          <w:iCs/>
          <w:szCs w:val="22"/>
          <w:lang w:val="et-EE" w:eastAsia="ja-JP"/>
        </w:rPr>
        <w:t xml:space="preserve">, </w:t>
      </w:r>
      <w:r w:rsidR="00650FDD" w:rsidRPr="00EC3BD7">
        <w:rPr>
          <w:rFonts w:eastAsia="MS Mincho"/>
          <w:iCs/>
          <w:szCs w:val="22"/>
          <w:lang w:val="et-EE" w:eastAsia="ja-JP"/>
        </w:rPr>
        <w:t>kogu</w:t>
      </w:r>
      <w:r w:rsidRPr="00EC3BD7">
        <w:rPr>
          <w:rFonts w:eastAsia="MS Mincho"/>
          <w:iCs/>
          <w:szCs w:val="22"/>
          <w:lang w:val="et-EE" w:eastAsia="ja-JP"/>
        </w:rPr>
        <w:t xml:space="preserve"> jälgimise aeg oli 83 kuud esimese patsiendi randomiseerimisest kuni uuringu lõpuni.</w:t>
      </w:r>
    </w:p>
    <w:p w14:paraId="4F40854C" w14:textId="77777777" w:rsidR="00BD5270" w:rsidRPr="00EC3BD7" w:rsidRDefault="00BD5270" w:rsidP="00BD5270">
      <w:pPr>
        <w:pStyle w:val="EndnoteText"/>
        <w:widowControl w:val="0"/>
        <w:tabs>
          <w:tab w:val="clear" w:pos="567"/>
        </w:tabs>
        <w:rPr>
          <w:rFonts w:eastAsia="MS Mincho"/>
          <w:iCs/>
          <w:szCs w:val="22"/>
          <w:lang w:val="et-EE" w:eastAsia="ja-JP"/>
        </w:rPr>
      </w:pPr>
    </w:p>
    <w:p w14:paraId="7946A573" w14:textId="77777777" w:rsidR="00BD5270" w:rsidRPr="00EC3BD7" w:rsidRDefault="00BD5270" w:rsidP="00BD5270">
      <w:pPr>
        <w:pStyle w:val="EndnoteText"/>
        <w:widowControl w:val="0"/>
        <w:tabs>
          <w:tab w:val="clear" w:pos="567"/>
        </w:tabs>
        <w:rPr>
          <w:color w:val="000000"/>
          <w:szCs w:val="22"/>
          <w:lang w:val="et-EE"/>
        </w:rPr>
      </w:pPr>
      <w:r w:rsidRPr="00EC3BD7">
        <w:rPr>
          <w:color w:val="000000"/>
          <w:szCs w:val="22"/>
          <w:lang w:val="et-EE"/>
        </w:rPr>
        <w:t>Uuringu esmane tulemusnäitaja oli retsidiivivaba elulemus (RVE), mida defineeriti kui aega randomiseerimise kuupäevast kuni retsidiivi või mis tahes põhjusel surma tekkimise kuupäevani.</w:t>
      </w:r>
    </w:p>
    <w:p w14:paraId="26461BBF" w14:textId="77777777" w:rsidR="00BD5270" w:rsidRPr="00EC3BD7" w:rsidRDefault="00BD5270" w:rsidP="00BD5270">
      <w:pPr>
        <w:pStyle w:val="EndnoteText"/>
        <w:widowControl w:val="0"/>
        <w:tabs>
          <w:tab w:val="clear" w:pos="567"/>
        </w:tabs>
        <w:rPr>
          <w:color w:val="000000"/>
          <w:szCs w:val="22"/>
          <w:lang w:val="et-EE"/>
        </w:rPr>
      </w:pPr>
    </w:p>
    <w:p w14:paraId="6AA348AC" w14:textId="77777777" w:rsidR="00BD5270" w:rsidRPr="00EC3BD7" w:rsidRDefault="00BD5270" w:rsidP="00BD5270">
      <w:pPr>
        <w:pStyle w:val="EndnoteText"/>
        <w:widowControl w:val="0"/>
        <w:tabs>
          <w:tab w:val="clear" w:pos="567"/>
        </w:tabs>
        <w:rPr>
          <w:color w:val="000000"/>
          <w:szCs w:val="22"/>
          <w:lang w:val="et-EE"/>
        </w:rPr>
      </w:pPr>
      <w:r w:rsidRPr="00EC3BD7">
        <w:rPr>
          <w:color w:val="000000"/>
          <w:szCs w:val="22"/>
          <w:lang w:val="et-EE"/>
        </w:rPr>
        <w:t>Kolmkümmend kuus (36)</w:t>
      </w:r>
      <w:r w:rsidR="00BA4A72" w:rsidRPr="00EC3BD7">
        <w:rPr>
          <w:color w:val="000000"/>
          <w:szCs w:val="22"/>
          <w:lang w:val="et-EE"/>
        </w:rPr>
        <w:t> </w:t>
      </w:r>
      <w:r w:rsidRPr="00EC3BD7">
        <w:rPr>
          <w:color w:val="000000"/>
          <w:szCs w:val="22"/>
          <w:lang w:val="et-EE"/>
        </w:rPr>
        <w:t>kuud Gliveci ravi pikendas oluliselt RV</w:t>
      </w:r>
      <w:r w:rsidR="00654600" w:rsidRPr="00EC3BD7">
        <w:rPr>
          <w:color w:val="000000"/>
          <w:szCs w:val="22"/>
          <w:lang w:val="et-EE"/>
        </w:rPr>
        <w:t>E</w:t>
      </w:r>
      <w:r w:rsidRPr="00EC3BD7">
        <w:rPr>
          <w:color w:val="000000"/>
          <w:szCs w:val="22"/>
          <w:lang w:val="et-EE"/>
        </w:rPr>
        <w:t xml:space="preserve"> võrreldes 12</w:t>
      </w:r>
      <w:r w:rsidR="00C10CCB" w:rsidRPr="00EC3BD7">
        <w:rPr>
          <w:color w:val="000000"/>
          <w:szCs w:val="22"/>
          <w:lang w:val="et-EE"/>
        </w:rPr>
        <w:noBreakHyphen/>
      </w:r>
      <w:r w:rsidRPr="00EC3BD7">
        <w:rPr>
          <w:color w:val="000000"/>
          <w:szCs w:val="22"/>
          <w:lang w:val="et-EE"/>
        </w:rPr>
        <w:t>kuulise Gliveci raviga (üldine riski määr (HR) = 0,46 [0,32, 0,65], p</w:t>
      </w:r>
      <w:r w:rsidRPr="00EC3BD7">
        <w:rPr>
          <w:rFonts w:ascii="Arial" w:hAnsi="Arial" w:cs="Arial"/>
          <w:color w:val="000000"/>
          <w:szCs w:val="22"/>
          <w:lang w:val="et-EE"/>
        </w:rPr>
        <w:t>&lt;</w:t>
      </w:r>
      <w:r w:rsidRPr="00EC3BD7">
        <w:rPr>
          <w:color w:val="000000"/>
          <w:szCs w:val="22"/>
          <w:lang w:val="et-EE"/>
        </w:rPr>
        <w:t>0,0001</w:t>
      </w:r>
      <w:r w:rsidR="0094313D" w:rsidRPr="00EC3BD7">
        <w:rPr>
          <w:color w:val="000000"/>
          <w:szCs w:val="22"/>
          <w:lang w:val="et-EE"/>
        </w:rPr>
        <w:t>)</w:t>
      </w:r>
      <w:r w:rsidRPr="00EC3BD7">
        <w:rPr>
          <w:color w:val="000000"/>
          <w:szCs w:val="22"/>
          <w:lang w:val="et-EE"/>
        </w:rPr>
        <w:t xml:space="preserve"> (Tabel </w:t>
      </w:r>
      <w:r w:rsidR="00A2060F" w:rsidRPr="00EC3BD7">
        <w:rPr>
          <w:color w:val="000000"/>
          <w:szCs w:val="22"/>
          <w:lang w:val="et-EE"/>
        </w:rPr>
        <w:t>8</w:t>
      </w:r>
      <w:r w:rsidRPr="00EC3BD7">
        <w:rPr>
          <w:color w:val="000000"/>
          <w:szCs w:val="22"/>
          <w:lang w:val="et-EE"/>
        </w:rPr>
        <w:t>, Joonis 1).</w:t>
      </w:r>
    </w:p>
    <w:p w14:paraId="1527E9F8" w14:textId="77777777" w:rsidR="00BD5270" w:rsidRPr="00EC3BD7" w:rsidRDefault="00BD5270" w:rsidP="00BD5270">
      <w:pPr>
        <w:pStyle w:val="EndnoteText"/>
        <w:widowControl w:val="0"/>
        <w:tabs>
          <w:tab w:val="clear" w:pos="567"/>
        </w:tabs>
        <w:rPr>
          <w:color w:val="000000"/>
          <w:szCs w:val="22"/>
          <w:lang w:val="et-EE"/>
        </w:rPr>
      </w:pPr>
    </w:p>
    <w:p w14:paraId="37478FC2" w14:textId="77777777" w:rsidR="00B36435" w:rsidRPr="00EC3BD7" w:rsidRDefault="00BD5270" w:rsidP="00BD5270">
      <w:pPr>
        <w:pStyle w:val="EndnoteText"/>
        <w:widowControl w:val="0"/>
        <w:tabs>
          <w:tab w:val="clear" w:pos="567"/>
        </w:tabs>
        <w:rPr>
          <w:color w:val="000000"/>
          <w:szCs w:val="22"/>
          <w:lang w:val="et-EE"/>
        </w:rPr>
      </w:pPr>
      <w:r w:rsidRPr="00EC3BD7">
        <w:rPr>
          <w:color w:val="000000"/>
          <w:szCs w:val="22"/>
          <w:lang w:val="et-EE"/>
        </w:rPr>
        <w:t>Lisaks, kolmkümmend kuus (36)</w:t>
      </w:r>
      <w:r w:rsidR="00BA4A72" w:rsidRPr="00EC3BD7">
        <w:rPr>
          <w:color w:val="000000"/>
          <w:szCs w:val="22"/>
          <w:lang w:val="et-EE"/>
        </w:rPr>
        <w:t> </w:t>
      </w:r>
      <w:r w:rsidRPr="00EC3BD7">
        <w:rPr>
          <w:color w:val="000000"/>
          <w:szCs w:val="22"/>
          <w:lang w:val="et-EE"/>
        </w:rPr>
        <w:t>kuud Gliveci ravi pikendas oluliselt üldist elulemust (OS) võrreldes 12</w:t>
      </w:r>
      <w:r w:rsidR="003C71AD" w:rsidRPr="00EC3BD7">
        <w:rPr>
          <w:color w:val="000000"/>
          <w:szCs w:val="22"/>
          <w:lang w:val="et-EE"/>
        </w:rPr>
        <w:noBreakHyphen/>
      </w:r>
      <w:r w:rsidRPr="00EC3BD7">
        <w:rPr>
          <w:color w:val="000000"/>
          <w:szCs w:val="22"/>
          <w:lang w:val="et-EE"/>
        </w:rPr>
        <w:t xml:space="preserve">kuulise Gliveci raviga (HR = 0,45 </w:t>
      </w:r>
      <w:r w:rsidRPr="00EC3BD7">
        <w:rPr>
          <w:rFonts w:eastAsia="MS Mincho"/>
          <w:iCs/>
          <w:color w:val="000000"/>
          <w:szCs w:val="22"/>
          <w:lang w:val="et-EE" w:eastAsia="ja-JP"/>
        </w:rPr>
        <w:t>[0,22, 0,89], p=0,0187</w:t>
      </w:r>
      <w:r w:rsidRPr="00EC3BD7">
        <w:rPr>
          <w:color w:val="000000"/>
          <w:szCs w:val="22"/>
          <w:lang w:val="et-EE"/>
        </w:rPr>
        <w:t>) (Tabel </w:t>
      </w:r>
      <w:r w:rsidR="00A2060F" w:rsidRPr="00EC3BD7">
        <w:rPr>
          <w:color w:val="000000"/>
          <w:szCs w:val="22"/>
          <w:lang w:val="et-EE"/>
        </w:rPr>
        <w:t>8</w:t>
      </w:r>
      <w:r w:rsidRPr="00EC3BD7">
        <w:rPr>
          <w:color w:val="000000"/>
          <w:szCs w:val="22"/>
          <w:lang w:val="et-EE"/>
        </w:rPr>
        <w:t>, Joonis 2).</w:t>
      </w:r>
    </w:p>
    <w:p w14:paraId="4F62D5F3" w14:textId="77777777" w:rsidR="00B36435" w:rsidRPr="00EC3BD7" w:rsidRDefault="00B36435" w:rsidP="00BD5270">
      <w:pPr>
        <w:pStyle w:val="EndnoteText"/>
        <w:widowControl w:val="0"/>
        <w:tabs>
          <w:tab w:val="clear" w:pos="567"/>
        </w:tabs>
        <w:rPr>
          <w:color w:val="000000"/>
          <w:szCs w:val="22"/>
          <w:lang w:val="et-EE"/>
        </w:rPr>
      </w:pPr>
    </w:p>
    <w:p w14:paraId="1DB6A844" w14:textId="0BEB1278" w:rsidR="00B36435" w:rsidRPr="00EC3BD7" w:rsidRDefault="00B36435" w:rsidP="00BD5270">
      <w:pPr>
        <w:pStyle w:val="EndnoteText"/>
        <w:widowControl w:val="0"/>
        <w:tabs>
          <w:tab w:val="clear" w:pos="567"/>
        </w:tabs>
        <w:rPr>
          <w:color w:val="000000"/>
          <w:szCs w:val="22"/>
          <w:lang w:val="et-EE"/>
        </w:rPr>
      </w:pPr>
      <w:r w:rsidRPr="00EC3BD7">
        <w:rPr>
          <w:color w:val="000000"/>
          <w:szCs w:val="22"/>
          <w:lang w:val="et-EE"/>
        </w:rPr>
        <w:t xml:space="preserve">Pikem ravi kestus (&gt; 36 kuud) võib </w:t>
      </w:r>
      <w:r w:rsidR="00887336" w:rsidRPr="00EC3BD7">
        <w:rPr>
          <w:color w:val="000000"/>
          <w:szCs w:val="22"/>
          <w:lang w:val="et-EE"/>
        </w:rPr>
        <w:t>hilisemate</w:t>
      </w:r>
      <w:r w:rsidRPr="00EC3BD7">
        <w:rPr>
          <w:color w:val="000000"/>
          <w:szCs w:val="22"/>
          <w:lang w:val="et-EE"/>
        </w:rPr>
        <w:t xml:space="preserve"> retsidiivide puhkemist edasi lükata; siiski ei ole selle leiu mõju üldisele elulemusele selge.</w:t>
      </w:r>
    </w:p>
    <w:p w14:paraId="0361FC25" w14:textId="77777777" w:rsidR="00B36435" w:rsidRPr="00EC3BD7" w:rsidRDefault="00B36435" w:rsidP="00BD5270">
      <w:pPr>
        <w:pStyle w:val="EndnoteText"/>
        <w:widowControl w:val="0"/>
        <w:tabs>
          <w:tab w:val="clear" w:pos="567"/>
        </w:tabs>
        <w:rPr>
          <w:color w:val="000000"/>
          <w:szCs w:val="22"/>
          <w:lang w:val="et-EE"/>
        </w:rPr>
      </w:pPr>
    </w:p>
    <w:p w14:paraId="6112B6D6" w14:textId="77777777" w:rsidR="00BD5270" w:rsidRPr="00EC3BD7" w:rsidRDefault="00BD5270" w:rsidP="00BD5270">
      <w:pPr>
        <w:pStyle w:val="EndnoteText"/>
        <w:widowControl w:val="0"/>
        <w:tabs>
          <w:tab w:val="clear" w:pos="567"/>
        </w:tabs>
        <w:rPr>
          <w:color w:val="000000"/>
          <w:szCs w:val="22"/>
          <w:lang w:val="et-EE"/>
        </w:rPr>
      </w:pPr>
      <w:r w:rsidRPr="00EC3BD7">
        <w:rPr>
          <w:color w:val="000000"/>
          <w:szCs w:val="22"/>
          <w:lang w:val="et-EE"/>
        </w:rPr>
        <w:t>Surmade koguarv oli 25 12-kuulises ravirühmas ja 12 36-kuulises ravirühmas.</w:t>
      </w:r>
    </w:p>
    <w:p w14:paraId="25FD0DB4" w14:textId="77777777" w:rsidR="00C534B8" w:rsidRPr="00EC3BD7" w:rsidRDefault="00C534B8" w:rsidP="00BD5270">
      <w:pPr>
        <w:pStyle w:val="EndnoteText"/>
        <w:widowControl w:val="0"/>
        <w:tabs>
          <w:tab w:val="clear" w:pos="567"/>
        </w:tabs>
        <w:rPr>
          <w:color w:val="000000"/>
          <w:szCs w:val="22"/>
          <w:lang w:val="et-EE"/>
        </w:rPr>
      </w:pPr>
    </w:p>
    <w:p w14:paraId="780383AF" w14:textId="77777777" w:rsidR="00C534B8" w:rsidRPr="00EC3BD7" w:rsidRDefault="0098541A" w:rsidP="00BD5270">
      <w:pPr>
        <w:pStyle w:val="EndnoteText"/>
        <w:widowControl w:val="0"/>
        <w:tabs>
          <w:tab w:val="clear" w:pos="567"/>
        </w:tabs>
        <w:rPr>
          <w:color w:val="000000"/>
          <w:szCs w:val="22"/>
          <w:lang w:val="et-EE"/>
        </w:rPr>
      </w:pPr>
      <w:r w:rsidRPr="00EC3BD7">
        <w:rPr>
          <w:color w:val="000000"/>
          <w:szCs w:val="22"/>
          <w:lang w:val="et-EE"/>
        </w:rPr>
        <w:t>ITT analüüsis oli 36-kuuline ravi imatiniibiga</w:t>
      </w:r>
      <w:r w:rsidR="00887336" w:rsidRPr="00EC3BD7">
        <w:rPr>
          <w:color w:val="000000"/>
          <w:szCs w:val="22"/>
          <w:lang w:val="et-EE"/>
        </w:rPr>
        <w:t xml:space="preserve"> tõhusam</w:t>
      </w:r>
      <w:r w:rsidRPr="00EC3BD7">
        <w:rPr>
          <w:color w:val="000000"/>
          <w:szCs w:val="22"/>
          <w:lang w:val="et-EE"/>
        </w:rPr>
        <w:t xml:space="preserve"> võrreldes 12-kuulise raviga, sealhulgas arvestati kogu uuringu populatsiooni. Kavandatud uuringus, kus alarühmad olid jagatud mutatsiooni tüübi järgi</w:t>
      </w:r>
      <w:r w:rsidR="00B75CA4" w:rsidRPr="00EC3BD7">
        <w:rPr>
          <w:color w:val="000000"/>
          <w:szCs w:val="22"/>
          <w:lang w:val="et-EE"/>
        </w:rPr>
        <w:t>,</w:t>
      </w:r>
      <w:r w:rsidRPr="00EC3BD7">
        <w:rPr>
          <w:color w:val="000000"/>
          <w:szCs w:val="22"/>
          <w:lang w:val="et-EE"/>
        </w:rPr>
        <w:t xml:space="preserve"> oli 36-kuulise ravi puhul patsientidel, kellel esines mutatsioon </w:t>
      </w:r>
      <w:r w:rsidR="00B75CA4" w:rsidRPr="00EC3BD7">
        <w:rPr>
          <w:color w:val="000000"/>
          <w:szCs w:val="22"/>
          <w:lang w:val="et-EE"/>
        </w:rPr>
        <w:t>11 eksonis, RVE HR 0,35 [95% CI: 0,22, 0</w:t>
      </w:r>
      <w:r w:rsidR="00E227B2" w:rsidRPr="00EC3BD7">
        <w:rPr>
          <w:color w:val="000000"/>
          <w:szCs w:val="22"/>
          <w:lang w:val="et-EE"/>
        </w:rPr>
        <w:t>,</w:t>
      </w:r>
      <w:r w:rsidR="00B75CA4" w:rsidRPr="00EC3BD7">
        <w:rPr>
          <w:color w:val="000000"/>
          <w:szCs w:val="22"/>
          <w:lang w:val="et-EE"/>
        </w:rPr>
        <w:t>56]. Teiste vähem levinud mutatsioonide kohta ei saa teha järeldusi</w:t>
      </w:r>
      <w:r w:rsidR="00360383" w:rsidRPr="00EC3BD7">
        <w:rPr>
          <w:color w:val="000000"/>
          <w:szCs w:val="22"/>
          <w:lang w:val="et-EE"/>
        </w:rPr>
        <w:t>,</w:t>
      </w:r>
      <w:r w:rsidR="00B75CA4" w:rsidRPr="00EC3BD7">
        <w:rPr>
          <w:color w:val="000000"/>
          <w:szCs w:val="22"/>
          <w:lang w:val="et-EE"/>
        </w:rPr>
        <w:t xml:space="preserve"> kuna kirjeldatud juhtumite arv on</w:t>
      </w:r>
      <w:r w:rsidR="00360383" w:rsidRPr="00EC3BD7">
        <w:rPr>
          <w:color w:val="000000"/>
          <w:szCs w:val="22"/>
          <w:lang w:val="et-EE"/>
        </w:rPr>
        <w:t xml:space="preserve"> liiga</w:t>
      </w:r>
      <w:r w:rsidR="00B75CA4" w:rsidRPr="00EC3BD7">
        <w:rPr>
          <w:color w:val="000000"/>
          <w:szCs w:val="22"/>
          <w:lang w:val="et-EE"/>
        </w:rPr>
        <w:t xml:space="preserve"> väike.</w:t>
      </w:r>
    </w:p>
    <w:p w14:paraId="39DFD3D9" w14:textId="77777777" w:rsidR="00BD5270" w:rsidRPr="00EC3BD7" w:rsidRDefault="00BD5270" w:rsidP="00BD5270">
      <w:pPr>
        <w:pStyle w:val="EndnoteText"/>
        <w:widowControl w:val="0"/>
        <w:tabs>
          <w:tab w:val="clear" w:pos="567"/>
        </w:tabs>
        <w:rPr>
          <w:color w:val="000000"/>
          <w:szCs w:val="22"/>
          <w:lang w:val="et-EE"/>
        </w:rPr>
      </w:pPr>
    </w:p>
    <w:p w14:paraId="5ACF0EA9" w14:textId="77777777" w:rsidR="00BD5270" w:rsidRPr="00EC3BD7" w:rsidRDefault="00BD5270" w:rsidP="008B1609">
      <w:pPr>
        <w:pStyle w:val="EndnoteText"/>
        <w:keepNext/>
        <w:widowControl w:val="0"/>
        <w:tabs>
          <w:tab w:val="clear" w:pos="567"/>
        </w:tabs>
        <w:ind w:left="1134" w:hanging="1134"/>
        <w:rPr>
          <w:b/>
          <w:color w:val="000000"/>
          <w:szCs w:val="22"/>
          <w:lang w:val="et-EE"/>
        </w:rPr>
      </w:pPr>
      <w:r w:rsidRPr="00EC3BD7">
        <w:rPr>
          <w:b/>
          <w:color w:val="000000"/>
          <w:szCs w:val="22"/>
          <w:lang w:val="et-EE"/>
        </w:rPr>
        <w:lastRenderedPageBreak/>
        <w:t>Tabel </w:t>
      </w:r>
      <w:r w:rsidR="00A2060F" w:rsidRPr="00EC3BD7">
        <w:rPr>
          <w:b/>
          <w:color w:val="000000"/>
          <w:szCs w:val="22"/>
          <w:lang w:val="et-EE"/>
        </w:rPr>
        <w:t>8</w:t>
      </w:r>
      <w:r w:rsidRPr="00EC3BD7">
        <w:rPr>
          <w:b/>
          <w:color w:val="000000"/>
          <w:szCs w:val="22"/>
          <w:lang w:val="et-EE"/>
        </w:rPr>
        <w:tab/>
        <w:t>12-kuuline ja 36-kuuline Gliveci ravi (</w:t>
      </w:r>
      <w:r w:rsidRPr="00EC3BD7">
        <w:rPr>
          <w:rFonts w:eastAsia="MS Mincho"/>
          <w:b/>
          <w:szCs w:val="22"/>
          <w:lang w:val="et-EE" w:eastAsia="ja-JP"/>
        </w:rPr>
        <w:t>SSGXVIII/AIO Uuring</w:t>
      </w:r>
      <w:r w:rsidRPr="00EC3BD7">
        <w:rPr>
          <w:b/>
          <w:color w:val="000000"/>
          <w:szCs w:val="22"/>
          <w:lang w:val="et-EE"/>
        </w:rPr>
        <w:t>)</w:t>
      </w:r>
    </w:p>
    <w:p w14:paraId="547259A3" w14:textId="77777777" w:rsidR="00BD5270" w:rsidRPr="00EC3BD7" w:rsidRDefault="00BD5270" w:rsidP="008B1609">
      <w:pPr>
        <w:pStyle w:val="EndnoteText"/>
        <w:keepNext/>
        <w:widowControl w:val="0"/>
        <w:tabs>
          <w:tab w:val="clear" w:pos="567"/>
        </w:tabs>
        <w:rPr>
          <w:color w:val="000000"/>
          <w:szCs w:val="22"/>
          <w:lang w:val="et-EE"/>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BD5270" w:rsidRPr="00EC3BD7" w14:paraId="6E05E202" w14:textId="77777777" w:rsidTr="008B1609">
        <w:trPr>
          <w:cantSplit/>
        </w:trPr>
        <w:tc>
          <w:tcPr>
            <w:tcW w:w="3099" w:type="dxa"/>
            <w:tcBorders>
              <w:top w:val="single" w:sz="4" w:space="0" w:color="auto"/>
              <w:bottom w:val="nil"/>
            </w:tcBorders>
            <w:shd w:val="clear" w:color="auto" w:fill="auto"/>
          </w:tcPr>
          <w:p w14:paraId="41E59FCD" w14:textId="77777777" w:rsidR="00BD5270" w:rsidRPr="00EC3BD7" w:rsidRDefault="00BD5270" w:rsidP="008B1609">
            <w:pPr>
              <w:keepNext/>
              <w:widowControl w:val="0"/>
              <w:tabs>
                <w:tab w:val="clear" w:pos="567"/>
                <w:tab w:val="left" w:pos="284"/>
              </w:tabs>
              <w:spacing w:line="240" w:lineRule="auto"/>
              <w:rPr>
                <w:rFonts w:eastAsia="MS Mincho"/>
                <w:szCs w:val="22"/>
                <w:lang w:val="et-EE"/>
              </w:rPr>
            </w:pPr>
          </w:p>
        </w:tc>
        <w:tc>
          <w:tcPr>
            <w:tcW w:w="3100" w:type="dxa"/>
            <w:tcBorders>
              <w:top w:val="single" w:sz="4" w:space="0" w:color="auto"/>
              <w:bottom w:val="nil"/>
            </w:tcBorders>
            <w:shd w:val="clear" w:color="auto" w:fill="auto"/>
          </w:tcPr>
          <w:p w14:paraId="2130504B" w14:textId="77777777" w:rsidR="00BD5270" w:rsidRPr="00EC3BD7" w:rsidRDefault="00BD5270" w:rsidP="008B1609">
            <w:pPr>
              <w:keepNext/>
              <w:widowControl w:val="0"/>
              <w:tabs>
                <w:tab w:val="clear" w:pos="567"/>
                <w:tab w:val="left" w:pos="284"/>
              </w:tabs>
              <w:spacing w:line="240" w:lineRule="auto"/>
              <w:rPr>
                <w:rFonts w:eastAsia="MS Mincho"/>
                <w:b/>
                <w:szCs w:val="22"/>
                <w:lang w:val="et-EE"/>
              </w:rPr>
            </w:pPr>
            <w:r w:rsidRPr="00EC3BD7">
              <w:rPr>
                <w:rFonts w:eastAsia="MS Mincho"/>
                <w:b/>
                <w:szCs w:val="22"/>
                <w:lang w:val="et-EE"/>
              </w:rPr>
              <w:t>12-kuulise ravi rühm</w:t>
            </w:r>
          </w:p>
        </w:tc>
        <w:tc>
          <w:tcPr>
            <w:tcW w:w="3100" w:type="dxa"/>
            <w:tcBorders>
              <w:top w:val="single" w:sz="4" w:space="0" w:color="auto"/>
              <w:bottom w:val="nil"/>
            </w:tcBorders>
            <w:shd w:val="clear" w:color="auto" w:fill="auto"/>
          </w:tcPr>
          <w:p w14:paraId="55851866" w14:textId="77777777" w:rsidR="00BD5270" w:rsidRPr="00EC3BD7" w:rsidRDefault="00BD5270" w:rsidP="008B1609">
            <w:pPr>
              <w:keepNext/>
              <w:widowControl w:val="0"/>
              <w:tabs>
                <w:tab w:val="clear" w:pos="567"/>
                <w:tab w:val="left" w:pos="284"/>
              </w:tabs>
              <w:spacing w:line="240" w:lineRule="auto"/>
              <w:rPr>
                <w:rFonts w:eastAsia="MS Mincho"/>
                <w:b/>
                <w:szCs w:val="22"/>
                <w:lang w:val="et-EE"/>
              </w:rPr>
            </w:pPr>
            <w:r w:rsidRPr="00EC3BD7">
              <w:rPr>
                <w:rFonts w:eastAsia="MS Mincho"/>
                <w:b/>
                <w:szCs w:val="22"/>
                <w:lang w:val="et-EE"/>
              </w:rPr>
              <w:t>36-kuulise ravi rühm</w:t>
            </w:r>
          </w:p>
        </w:tc>
      </w:tr>
      <w:tr w:rsidR="00BD5270" w:rsidRPr="00EC3BD7" w14:paraId="79475C78" w14:textId="77777777" w:rsidTr="008B1609">
        <w:trPr>
          <w:cantSplit/>
        </w:trPr>
        <w:tc>
          <w:tcPr>
            <w:tcW w:w="3099" w:type="dxa"/>
            <w:tcBorders>
              <w:top w:val="nil"/>
            </w:tcBorders>
            <w:shd w:val="clear" w:color="auto" w:fill="auto"/>
          </w:tcPr>
          <w:p w14:paraId="72BC6893" w14:textId="77777777" w:rsidR="00BD5270" w:rsidRPr="00EC3BD7" w:rsidRDefault="00BD5270" w:rsidP="008B1609">
            <w:pPr>
              <w:keepNext/>
              <w:widowControl w:val="0"/>
              <w:tabs>
                <w:tab w:val="clear" w:pos="567"/>
                <w:tab w:val="left" w:pos="284"/>
              </w:tabs>
              <w:spacing w:line="240" w:lineRule="auto"/>
              <w:rPr>
                <w:rFonts w:eastAsia="MS Mincho"/>
                <w:b/>
                <w:szCs w:val="22"/>
                <w:lang w:val="et-EE"/>
              </w:rPr>
            </w:pPr>
            <w:r w:rsidRPr="00EC3BD7">
              <w:rPr>
                <w:rFonts w:eastAsia="MS Mincho"/>
                <w:b/>
                <w:szCs w:val="22"/>
                <w:lang w:val="et-EE"/>
              </w:rPr>
              <w:t>RV</w:t>
            </w:r>
            <w:r w:rsidR="004841EA" w:rsidRPr="00EC3BD7">
              <w:rPr>
                <w:rFonts w:eastAsia="MS Mincho"/>
                <w:b/>
                <w:szCs w:val="22"/>
                <w:lang w:val="et-EE"/>
              </w:rPr>
              <w:t>E</w:t>
            </w:r>
          </w:p>
        </w:tc>
        <w:tc>
          <w:tcPr>
            <w:tcW w:w="3100" w:type="dxa"/>
            <w:tcBorders>
              <w:top w:val="nil"/>
            </w:tcBorders>
            <w:shd w:val="clear" w:color="auto" w:fill="auto"/>
          </w:tcPr>
          <w:p w14:paraId="4104C75D" w14:textId="77777777" w:rsidR="00BD5270" w:rsidRPr="00EC3BD7" w:rsidRDefault="00BD5270" w:rsidP="008B1609">
            <w:pPr>
              <w:keepNext/>
              <w:widowControl w:val="0"/>
              <w:tabs>
                <w:tab w:val="clear" w:pos="567"/>
                <w:tab w:val="left" w:pos="284"/>
              </w:tabs>
              <w:spacing w:line="240" w:lineRule="auto"/>
              <w:rPr>
                <w:rFonts w:eastAsia="MS Mincho"/>
                <w:b/>
                <w:szCs w:val="22"/>
                <w:lang w:val="et-EE"/>
              </w:rPr>
            </w:pPr>
            <w:r w:rsidRPr="00EC3BD7">
              <w:rPr>
                <w:rFonts w:eastAsia="MS Mincho"/>
                <w:b/>
                <w:szCs w:val="22"/>
                <w:lang w:val="et-EE"/>
              </w:rPr>
              <w:t>%(CI)</w:t>
            </w:r>
          </w:p>
        </w:tc>
        <w:tc>
          <w:tcPr>
            <w:tcW w:w="3100" w:type="dxa"/>
            <w:tcBorders>
              <w:top w:val="nil"/>
            </w:tcBorders>
            <w:shd w:val="clear" w:color="auto" w:fill="auto"/>
          </w:tcPr>
          <w:p w14:paraId="6F610D47" w14:textId="77777777" w:rsidR="00BD5270" w:rsidRPr="00EC3BD7" w:rsidRDefault="00BD5270" w:rsidP="008B1609">
            <w:pPr>
              <w:keepNext/>
              <w:widowControl w:val="0"/>
              <w:tabs>
                <w:tab w:val="clear" w:pos="567"/>
                <w:tab w:val="left" w:pos="284"/>
              </w:tabs>
              <w:spacing w:line="240" w:lineRule="auto"/>
              <w:rPr>
                <w:rFonts w:eastAsia="MS Mincho"/>
                <w:b/>
                <w:szCs w:val="22"/>
                <w:lang w:val="et-EE"/>
              </w:rPr>
            </w:pPr>
            <w:r w:rsidRPr="00EC3BD7">
              <w:rPr>
                <w:rFonts w:eastAsia="MS Mincho"/>
                <w:b/>
                <w:szCs w:val="22"/>
                <w:lang w:val="et-EE"/>
              </w:rPr>
              <w:t>%(CI)</w:t>
            </w:r>
          </w:p>
        </w:tc>
      </w:tr>
      <w:tr w:rsidR="00BD5270" w:rsidRPr="00EC3BD7" w14:paraId="21425A31" w14:textId="77777777" w:rsidTr="008B1609">
        <w:trPr>
          <w:cantSplit/>
        </w:trPr>
        <w:tc>
          <w:tcPr>
            <w:tcW w:w="3099" w:type="dxa"/>
            <w:shd w:val="clear" w:color="auto" w:fill="auto"/>
          </w:tcPr>
          <w:p w14:paraId="41B35537" w14:textId="77777777" w:rsidR="00BD5270" w:rsidRPr="00EC3BD7" w:rsidRDefault="00BD5270" w:rsidP="008B1609">
            <w:pPr>
              <w:keepNext/>
              <w:widowControl w:val="0"/>
              <w:tabs>
                <w:tab w:val="clear" w:pos="567"/>
              </w:tabs>
              <w:spacing w:line="240" w:lineRule="auto"/>
              <w:ind w:left="284"/>
              <w:rPr>
                <w:rFonts w:eastAsia="MS Mincho"/>
                <w:szCs w:val="22"/>
                <w:lang w:val="et-EE"/>
              </w:rPr>
            </w:pPr>
            <w:r w:rsidRPr="00EC3BD7">
              <w:rPr>
                <w:rFonts w:eastAsia="MS Mincho"/>
                <w:szCs w:val="22"/>
                <w:lang w:val="et-EE"/>
              </w:rPr>
              <w:t>12</w:t>
            </w:r>
            <w:r w:rsidRPr="00EC3BD7">
              <w:rPr>
                <w:rFonts w:eastAsia="MS Mincho"/>
                <w:szCs w:val="22"/>
                <w:lang w:val="et-EE" w:eastAsia="ja-JP"/>
              </w:rPr>
              <w:t> kuud</w:t>
            </w:r>
          </w:p>
        </w:tc>
        <w:tc>
          <w:tcPr>
            <w:tcW w:w="3100" w:type="dxa"/>
            <w:shd w:val="clear" w:color="auto" w:fill="auto"/>
          </w:tcPr>
          <w:p w14:paraId="17D8EEEF" w14:textId="77777777" w:rsidR="00BD5270" w:rsidRPr="00EC3BD7" w:rsidRDefault="00BD5270" w:rsidP="008B1609">
            <w:pPr>
              <w:keepNext/>
              <w:widowControl w:val="0"/>
              <w:tabs>
                <w:tab w:val="clear" w:pos="567"/>
                <w:tab w:val="left" w:pos="284"/>
              </w:tabs>
              <w:spacing w:line="240" w:lineRule="auto"/>
              <w:rPr>
                <w:rFonts w:eastAsia="MS Mincho"/>
                <w:szCs w:val="22"/>
                <w:lang w:val="et-EE"/>
              </w:rPr>
            </w:pPr>
            <w:r w:rsidRPr="00EC3BD7">
              <w:rPr>
                <w:rFonts w:eastAsia="MS Mincho"/>
                <w:szCs w:val="22"/>
                <w:lang w:val="et-EE"/>
              </w:rPr>
              <w:t>93,7 (89,2</w:t>
            </w:r>
            <w:r w:rsidR="00C10CCB" w:rsidRPr="00EC3BD7">
              <w:rPr>
                <w:rFonts w:eastAsia="MS Mincho"/>
                <w:szCs w:val="22"/>
                <w:lang w:val="et-EE"/>
              </w:rPr>
              <w:t>…</w:t>
            </w:r>
            <w:r w:rsidRPr="00EC3BD7">
              <w:rPr>
                <w:rFonts w:eastAsia="MS Mincho"/>
                <w:szCs w:val="22"/>
                <w:lang w:val="et-EE"/>
              </w:rPr>
              <w:t>96,4)</w:t>
            </w:r>
          </w:p>
        </w:tc>
        <w:tc>
          <w:tcPr>
            <w:tcW w:w="3100" w:type="dxa"/>
            <w:shd w:val="clear" w:color="auto" w:fill="auto"/>
          </w:tcPr>
          <w:p w14:paraId="7852F307" w14:textId="77777777" w:rsidR="00BD5270" w:rsidRPr="00EC3BD7" w:rsidRDefault="00BD5270" w:rsidP="008B1609">
            <w:pPr>
              <w:keepNext/>
              <w:widowControl w:val="0"/>
              <w:tabs>
                <w:tab w:val="clear" w:pos="567"/>
                <w:tab w:val="left" w:pos="284"/>
              </w:tabs>
              <w:spacing w:line="240" w:lineRule="auto"/>
              <w:rPr>
                <w:rFonts w:eastAsia="MS Mincho"/>
                <w:szCs w:val="22"/>
                <w:lang w:val="et-EE"/>
              </w:rPr>
            </w:pPr>
            <w:r w:rsidRPr="00EC3BD7">
              <w:rPr>
                <w:rFonts w:eastAsia="MS Mincho"/>
                <w:szCs w:val="22"/>
                <w:lang w:val="et-EE"/>
              </w:rPr>
              <w:t>95,9 (91,9</w:t>
            </w:r>
            <w:r w:rsidR="00C10CCB" w:rsidRPr="00EC3BD7">
              <w:rPr>
                <w:rFonts w:eastAsia="MS Mincho"/>
                <w:szCs w:val="22"/>
                <w:lang w:val="et-EE"/>
              </w:rPr>
              <w:t>…</w:t>
            </w:r>
            <w:r w:rsidRPr="00EC3BD7">
              <w:rPr>
                <w:rFonts w:eastAsia="MS Mincho"/>
                <w:szCs w:val="22"/>
                <w:lang w:val="et-EE"/>
              </w:rPr>
              <w:t>97,9)</w:t>
            </w:r>
          </w:p>
        </w:tc>
      </w:tr>
      <w:tr w:rsidR="00BD5270" w:rsidRPr="00EC3BD7" w14:paraId="73E13091" w14:textId="77777777" w:rsidTr="008B1609">
        <w:trPr>
          <w:cantSplit/>
        </w:trPr>
        <w:tc>
          <w:tcPr>
            <w:tcW w:w="3099" w:type="dxa"/>
            <w:shd w:val="clear" w:color="auto" w:fill="auto"/>
          </w:tcPr>
          <w:p w14:paraId="098ACD04" w14:textId="77777777" w:rsidR="00BD5270" w:rsidRPr="00EC3BD7" w:rsidRDefault="00BD5270" w:rsidP="008B1609">
            <w:pPr>
              <w:keepNext/>
              <w:widowControl w:val="0"/>
              <w:tabs>
                <w:tab w:val="clear" w:pos="567"/>
              </w:tabs>
              <w:spacing w:line="240" w:lineRule="auto"/>
              <w:ind w:left="284"/>
              <w:rPr>
                <w:rFonts w:eastAsia="MS Mincho"/>
                <w:szCs w:val="22"/>
                <w:lang w:val="et-EE"/>
              </w:rPr>
            </w:pPr>
            <w:r w:rsidRPr="00EC3BD7">
              <w:rPr>
                <w:rFonts w:eastAsia="MS Mincho"/>
                <w:szCs w:val="22"/>
                <w:lang w:val="et-EE"/>
              </w:rPr>
              <w:t>24</w:t>
            </w:r>
            <w:r w:rsidRPr="00EC3BD7">
              <w:rPr>
                <w:rFonts w:eastAsia="MS Mincho"/>
                <w:szCs w:val="22"/>
                <w:lang w:val="et-EE" w:eastAsia="ja-JP"/>
              </w:rPr>
              <w:t> </w:t>
            </w:r>
            <w:r w:rsidRPr="00EC3BD7">
              <w:rPr>
                <w:rFonts w:eastAsia="MS Mincho"/>
                <w:szCs w:val="22"/>
                <w:lang w:val="et-EE"/>
              </w:rPr>
              <w:t>kuud</w:t>
            </w:r>
          </w:p>
        </w:tc>
        <w:tc>
          <w:tcPr>
            <w:tcW w:w="3100" w:type="dxa"/>
            <w:shd w:val="clear" w:color="auto" w:fill="auto"/>
          </w:tcPr>
          <w:p w14:paraId="2CE7C34F" w14:textId="77777777" w:rsidR="00BD5270" w:rsidRPr="00EC3BD7" w:rsidRDefault="00BD5270" w:rsidP="008B1609">
            <w:pPr>
              <w:keepNext/>
              <w:widowControl w:val="0"/>
              <w:tabs>
                <w:tab w:val="clear" w:pos="567"/>
                <w:tab w:val="left" w:pos="284"/>
              </w:tabs>
              <w:spacing w:line="240" w:lineRule="auto"/>
              <w:rPr>
                <w:rFonts w:eastAsia="MS Mincho"/>
                <w:szCs w:val="22"/>
                <w:lang w:val="et-EE"/>
              </w:rPr>
            </w:pPr>
            <w:r w:rsidRPr="00EC3BD7">
              <w:rPr>
                <w:rFonts w:eastAsia="MS Mincho"/>
                <w:szCs w:val="22"/>
                <w:lang w:val="et-EE"/>
              </w:rPr>
              <w:t>75,4 (68,6</w:t>
            </w:r>
            <w:r w:rsidR="00C10CCB" w:rsidRPr="00EC3BD7">
              <w:rPr>
                <w:rFonts w:eastAsia="MS Mincho"/>
                <w:szCs w:val="22"/>
                <w:lang w:val="et-EE"/>
              </w:rPr>
              <w:t>…</w:t>
            </w:r>
            <w:r w:rsidRPr="00EC3BD7">
              <w:rPr>
                <w:rFonts w:eastAsia="MS Mincho"/>
                <w:szCs w:val="22"/>
                <w:lang w:val="et-EE"/>
              </w:rPr>
              <w:t>81,0)</w:t>
            </w:r>
          </w:p>
        </w:tc>
        <w:tc>
          <w:tcPr>
            <w:tcW w:w="3100" w:type="dxa"/>
            <w:shd w:val="clear" w:color="auto" w:fill="auto"/>
          </w:tcPr>
          <w:p w14:paraId="523C71A9" w14:textId="77777777" w:rsidR="00BD5270" w:rsidRPr="00EC3BD7" w:rsidRDefault="00BD5270" w:rsidP="008B1609">
            <w:pPr>
              <w:keepNext/>
              <w:widowControl w:val="0"/>
              <w:tabs>
                <w:tab w:val="clear" w:pos="567"/>
                <w:tab w:val="left" w:pos="284"/>
              </w:tabs>
              <w:spacing w:line="240" w:lineRule="auto"/>
              <w:rPr>
                <w:rFonts w:eastAsia="MS Mincho"/>
                <w:szCs w:val="22"/>
                <w:lang w:val="et-EE"/>
              </w:rPr>
            </w:pPr>
            <w:r w:rsidRPr="00EC3BD7">
              <w:rPr>
                <w:rFonts w:eastAsia="MS Mincho"/>
                <w:szCs w:val="22"/>
                <w:lang w:val="et-EE"/>
              </w:rPr>
              <w:t>90,7 (85,6</w:t>
            </w:r>
            <w:r w:rsidR="00C10CCB" w:rsidRPr="00EC3BD7">
              <w:rPr>
                <w:rFonts w:eastAsia="MS Mincho"/>
                <w:szCs w:val="22"/>
                <w:lang w:val="et-EE"/>
              </w:rPr>
              <w:t>…</w:t>
            </w:r>
            <w:r w:rsidRPr="00EC3BD7">
              <w:rPr>
                <w:rFonts w:eastAsia="MS Mincho"/>
                <w:szCs w:val="22"/>
                <w:lang w:val="et-EE"/>
              </w:rPr>
              <w:t>94</w:t>
            </w:r>
            <w:r w:rsidR="00333357" w:rsidRPr="00EC3BD7">
              <w:rPr>
                <w:rFonts w:eastAsia="MS Mincho"/>
                <w:szCs w:val="22"/>
                <w:lang w:val="et-EE"/>
              </w:rPr>
              <w:t>,0</w:t>
            </w:r>
            <w:r w:rsidRPr="00EC3BD7">
              <w:rPr>
                <w:rFonts w:eastAsia="MS Mincho"/>
                <w:szCs w:val="22"/>
                <w:lang w:val="et-EE"/>
              </w:rPr>
              <w:t>)</w:t>
            </w:r>
          </w:p>
        </w:tc>
      </w:tr>
      <w:tr w:rsidR="00BD5270" w:rsidRPr="00EC3BD7" w14:paraId="765CE0F8" w14:textId="77777777" w:rsidTr="008B1609">
        <w:trPr>
          <w:cantSplit/>
        </w:trPr>
        <w:tc>
          <w:tcPr>
            <w:tcW w:w="3099" w:type="dxa"/>
            <w:shd w:val="clear" w:color="auto" w:fill="auto"/>
          </w:tcPr>
          <w:p w14:paraId="21111227" w14:textId="77777777" w:rsidR="00BD5270" w:rsidRPr="00EC3BD7" w:rsidRDefault="00BD5270" w:rsidP="008B1609">
            <w:pPr>
              <w:keepNext/>
              <w:widowControl w:val="0"/>
              <w:tabs>
                <w:tab w:val="clear" w:pos="567"/>
              </w:tabs>
              <w:spacing w:line="240" w:lineRule="auto"/>
              <w:ind w:left="284"/>
              <w:rPr>
                <w:rFonts w:eastAsia="MS Mincho"/>
                <w:szCs w:val="22"/>
                <w:lang w:val="et-EE"/>
              </w:rPr>
            </w:pPr>
            <w:r w:rsidRPr="00EC3BD7">
              <w:rPr>
                <w:rFonts w:eastAsia="MS Mincho"/>
                <w:szCs w:val="22"/>
                <w:lang w:val="et-EE"/>
              </w:rPr>
              <w:t>36</w:t>
            </w:r>
            <w:r w:rsidRPr="00EC3BD7">
              <w:rPr>
                <w:rFonts w:eastAsia="MS Mincho"/>
                <w:szCs w:val="22"/>
                <w:lang w:val="et-EE" w:eastAsia="ja-JP"/>
              </w:rPr>
              <w:t> </w:t>
            </w:r>
            <w:r w:rsidRPr="00EC3BD7">
              <w:rPr>
                <w:rFonts w:eastAsia="MS Mincho"/>
                <w:szCs w:val="22"/>
                <w:lang w:val="et-EE"/>
              </w:rPr>
              <w:t>kuud</w:t>
            </w:r>
          </w:p>
        </w:tc>
        <w:tc>
          <w:tcPr>
            <w:tcW w:w="3100" w:type="dxa"/>
            <w:shd w:val="clear" w:color="auto" w:fill="auto"/>
          </w:tcPr>
          <w:p w14:paraId="26F2362A" w14:textId="77777777" w:rsidR="00BD5270" w:rsidRPr="00EC3BD7" w:rsidRDefault="00BD5270" w:rsidP="008B1609">
            <w:pPr>
              <w:keepNext/>
              <w:widowControl w:val="0"/>
              <w:tabs>
                <w:tab w:val="clear" w:pos="567"/>
                <w:tab w:val="left" w:pos="284"/>
              </w:tabs>
              <w:spacing w:line="240" w:lineRule="auto"/>
              <w:rPr>
                <w:rFonts w:eastAsia="MS Mincho"/>
                <w:szCs w:val="22"/>
                <w:lang w:val="et-EE"/>
              </w:rPr>
            </w:pPr>
            <w:r w:rsidRPr="00EC3BD7">
              <w:rPr>
                <w:rFonts w:eastAsia="MS Mincho"/>
                <w:szCs w:val="22"/>
                <w:lang w:val="et-EE"/>
              </w:rPr>
              <w:t>60,1 (52,5</w:t>
            </w:r>
            <w:r w:rsidR="00C10CCB" w:rsidRPr="00EC3BD7">
              <w:rPr>
                <w:rFonts w:eastAsia="MS Mincho"/>
                <w:szCs w:val="22"/>
                <w:lang w:val="et-EE"/>
              </w:rPr>
              <w:t>…</w:t>
            </w:r>
            <w:r w:rsidRPr="00EC3BD7">
              <w:rPr>
                <w:rFonts w:eastAsia="MS Mincho"/>
                <w:szCs w:val="22"/>
                <w:lang w:val="et-EE"/>
              </w:rPr>
              <w:t>66,9)</w:t>
            </w:r>
          </w:p>
        </w:tc>
        <w:tc>
          <w:tcPr>
            <w:tcW w:w="3100" w:type="dxa"/>
            <w:shd w:val="clear" w:color="auto" w:fill="auto"/>
          </w:tcPr>
          <w:p w14:paraId="3514B47D" w14:textId="77777777" w:rsidR="00BD5270" w:rsidRPr="00EC3BD7" w:rsidRDefault="00BD5270" w:rsidP="008B1609">
            <w:pPr>
              <w:keepNext/>
              <w:widowControl w:val="0"/>
              <w:tabs>
                <w:tab w:val="clear" w:pos="567"/>
                <w:tab w:val="left" w:pos="284"/>
              </w:tabs>
              <w:spacing w:line="240" w:lineRule="auto"/>
              <w:rPr>
                <w:rFonts w:eastAsia="MS Mincho"/>
                <w:szCs w:val="22"/>
                <w:lang w:val="et-EE"/>
              </w:rPr>
            </w:pPr>
            <w:r w:rsidRPr="00EC3BD7">
              <w:rPr>
                <w:rFonts w:eastAsia="MS Mincho"/>
                <w:szCs w:val="22"/>
                <w:lang w:val="et-EE"/>
              </w:rPr>
              <w:t>86,6 (80,8</w:t>
            </w:r>
            <w:r w:rsidR="00C10CCB" w:rsidRPr="00EC3BD7">
              <w:rPr>
                <w:rFonts w:eastAsia="MS Mincho"/>
                <w:szCs w:val="22"/>
                <w:lang w:val="et-EE"/>
              </w:rPr>
              <w:t>…</w:t>
            </w:r>
            <w:r w:rsidRPr="00EC3BD7">
              <w:rPr>
                <w:rFonts w:eastAsia="MS Mincho"/>
                <w:szCs w:val="22"/>
                <w:lang w:val="et-EE"/>
              </w:rPr>
              <w:t>90,8)</w:t>
            </w:r>
          </w:p>
        </w:tc>
      </w:tr>
      <w:tr w:rsidR="00BD5270" w:rsidRPr="00EC3BD7" w14:paraId="6B80CC2C" w14:textId="77777777" w:rsidTr="008B1609">
        <w:trPr>
          <w:cantSplit/>
        </w:trPr>
        <w:tc>
          <w:tcPr>
            <w:tcW w:w="3099" w:type="dxa"/>
            <w:shd w:val="clear" w:color="auto" w:fill="auto"/>
          </w:tcPr>
          <w:p w14:paraId="642F87D2" w14:textId="77777777" w:rsidR="00BD5270" w:rsidRPr="00EC3BD7" w:rsidRDefault="00BD5270" w:rsidP="008B1609">
            <w:pPr>
              <w:keepNext/>
              <w:widowControl w:val="0"/>
              <w:tabs>
                <w:tab w:val="clear" w:pos="567"/>
              </w:tabs>
              <w:spacing w:line="240" w:lineRule="auto"/>
              <w:ind w:left="284"/>
              <w:rPr>
                <w:rFonts w:eastAsia="MS Mincho"/>
                <w:szCs w:val="22"/>
                <w:lang w:val="et-EE"/>
              </w:rPr>
            </w:pPr>
            <w:r w:rsidRPr="00EC3BD7">
              <w:rPr>
                <w:rFonts w:eastAsia="MS Mincho"/>
                <w:szCs w:val="22"/>
                <w:lang w:val="et-EE"/>
              </w:rPr>
              <w:t>48</w:t>
            </w:r>
            <w:r w:rsidRPr="00EC3BD7">
              <w:rPr>
                <w:rFonts w:eastAsia="MS Mincho"/>
                <w:szCs w:val="22"/>
                <w:lang w:val="et-EE" w:eastAsia="ja-JP"/>
              </w:rPr>
              <w:t> </w:t>
            </w:r>
            <w:r w:rsidRPr="00EC3BD7">
              <w:rPr>
                <w:rFonts w:eastAsia="MS Mincho"/>
                <w:szCs w:val="22"/>
                <w:lang w:val="et-EE"/>
              </w:rPr>
              <w:t>kuud</w:t>
            </w:r>
          </w:p>
        </w:tc>
        <w:tc>
          <w:tcPr>
            <w:tcW w:w="3100" w:type="dxa"/>
            <w:shd w:val="clear" w:color="auto" w:fill="auto"/>
          </w:tcPr>
          <w:p w14:paraId="0E7A7BB4" w14:textId="77777777" w:rsidR="00BD5270" w:rsidRPr="00EC3BD7" w:rsidRDefault="00BD5270" w:rsidP="008B1609">
            <w:pPr>
              <w:keepNext/>
              <w:widowControl w:val="0"/>
              <w:tabs>
                <w:tab w:val="clear" w:pos="567"/>
                <w:tab w:val="left" w:pos="284"/>
              </w:tabs>
              <w:spacing w:line="240" w:lineRule="auto"/>
              <w:rPr>
                <w:rFonts w:eastAsia="MS Mincho"/>
                <w:szCs w:val="22"/>
                <w:lang w:val="et-EE"/>
              </w:rPr>
            </w:pPr>
            <w:r w:rsidRPr="00EC3BD7">
              <w:rPr>
                <w:rFonts w:eastAsia="MS Mincho"/>
                <w:szCs w:val="22"/>
                <w:lang w:val="et-EE"/>
              </w:rPr>
              <w:t>52,3 (44,0</w:t>
            </w:r>
            <w:r w:rsidR="00C10CCB" w:rsidRPr="00EC3BD7">
              <w:rPr>
                <w:rFonts w:eastAsia="MS Mincho"/>
                <w:szCs w:val="22"/>
                <w:lang w:val="et-EE"/>
              </w:rPr>
              <w:t>…</w:t>
            </w:r>
            <w:r w:rsidRPr="00EC3BD7">
              <w:rPr>
                <w:rFonts w:eastAsia="MS Mincho"/>
                <w:szCs w:val="22"/>
                <w:lang w:val="et-EE"/>
              </w:rPr>
              <w:t>59,8)</w:t>
            </w:r>
          </w:p>
        </w:tc>
        <w:tc>
          <w:tcPr>
            <w:tcW w:w="3100" w:type="dxa"/>
            <w:shd w:val="clear" w:color="auto" w:fill="auto"/>
          </w:tcPr>
          <w:p w14:paraId="0BE857E6" w14:textId="77777777" w:rsidR="00BD5270" w:rsidRPr="00EC3BD7" w:rsidRDefault="00BD5270" w:rsidP="008B1609">
            <w:pPr>
              <w:keepNext/>
              <w:widowControl w:val="0"/>
              <w:tabs>
                <w:tab w:val="clear" w:pos="567"/>
                <w:tab w:val="left" w:pos="284"/>
              </w:tabs>
              <w:spacing w:line="240" w:lineRule="auto"/>
              <w:rPr>
                <w:rFonts w:eastAsia="MS Mincho"/>
                <w:szCs w:val="22"/>
                <w:lang w:val="et-EE"/>
              </w:rPr>
            </w:pPr>
            <w:r w:rsidRPr="00EC3BD7">
              <w:rPr>
                <w:rFonts w:eastAsia="MS Mincho"/>
                <w:szCs w:val="22"/>
                <w:lang w:val="et-EE"/>
              </w:rPr>
              <w:t>78,3 (70,8</w:t>
            </w:r>
            <w:r w:rsidR="00C10CCB" w:rsidRPr="00EC3BD7">
              <w:rPr>
                <w:rFonts w:eastAsia="MS Mincho"/>
                <w:szCs w:val="22"/>
                <w:lang w:val="et-EE"/>
              </w:rPr>
              <w:t>…</w:t>
            </w:r>
            <w:r w:rsidRPr="00EC3BD7">
              <w:rPr>
                <w:rFonts w:eastAsia="MS Mincho"/>
                <w:szCs w:val="22"/>
                <w:lang w:val="et-EE"/>
              </w:rPr>
              <w:t>84,1)</w:t>
            </w:r>
          </w:p>
        </w:tc>
      </w:tr>
      <w:tr w:rsidR="00BD5270" w:rsidRPr="00EC3BD7" w14:paraId="58A82F7C" w14:textId="77777777" w:rsidTr="008B1609">
        <w:trPr>
          <w:cantSplit/>
        </w:trPr>
        <w:tc>
          <w:tcPr>
            <w:tcW w:w="3099" w:type="dxa"/>
            <w:shd w:val="clear" w:color="auto" w:fill="auto"/>
          </w:tcPr>
          <w:p w14:paraId="4725A7F9" w14:textId="77777777" w:rsidR="00BD5270" w:rsidRPr="00EC3BD7" w:rsidRDefault="00BD5270" w:rsidP="008B1609">
            <w:pPr>
              <w:keepNext/>
              <w:widowControl w:val="0"/>
              <w:tabs>
                <w:tab w:val="clear" w:pos="567"/>
              </w:tabs>
              <w:spacing w:line="240" w:lineRule="auto"/>
              <w:ind w:left="284"/>
              <w:rPr>
                <w:rFonts w:eastAsia="MS Mincho"/>
                <w:szCs w:val="22"/>
                <w:lang w:val="et-EE"/>
              </w:rPr>
            </w:pPr>
            <w:r w:rsidRPr="00EC3BD7">
              <w:rPr>
                <w:rFonts w:eastAsia="MS Mincho"/>
                <w:szCs w:val="22"/>
                <w:lang w:val="et-EE"/>
              </w:rPr>
              <w:t>60</w:t>
            </w:r>
            <w:r w:rsidRPr="00EC3BD7">
              <w:rPr>
                <w:rFonts w:eastAsia="MS Mincho"/>
                <w:szCs w:val="22"/>
                <w:lang w:val="et-EE" w:eastAsia="ja-JP"/>
              </w:rPr>
              <w:t> </w:t>
            </w:r>
            <w:r w:rsidRPr="00EC3BD7">
              <w:rPr>
                <w:rFonts w:eastAsia="MS Mincho"/>
                <w:szCs w:val="22"/>
                <w:lang w:val="et-EE"/>
              </w:rPr>
              <w:t>kuud</w:t>
            </w:r>
          </w:p>
        </w:tc>
        <w:tc>
          <w:tcPr>
            <w:tcW w:w="3100" w:type="dxa"/>
            <w:shd w:val="clear" w:color="auto" w:fill="auto"/>
          </w:tcPr>
          <w:p w14:paraId="0AA9DC31" w14:textId="77777777" w:rsidR="00BD5270" w:rsidRPr="00EC3BD7" w:rsidRDefault="00BD5270" w:rsidP="008B1609">
            <w:pPr>
              <w:keepNext/>
              <w:widowControl w:val="0"/>
              <w:tabs>
                <w:tab w:val="clear" w:pos="567"/>
                <w:tab w:val="left" w:pos="284"/>
              </w:tabs>
              <w:spacing w:line="240" w:lineRule="auto"/>
              <w:rPr>
                <w:rFonts w:eastAsia="MS Mincho"/>
                <w:szCs w:val="22"/>
                <w:lang w:val="et-EE"/>
              </w:rPr>
            </w:pPr>
            <w:r w:rsidRPr="00EC3BD7">
              <w:rPr>
                <w:rFonts w:eastAsia="MS Mincho"/>
                <w:szCs w:val="22"/>
                <w:lang w:val="et-EE"/>
              </w:rPr>
              <w:t>47,9 (39,0</w:t>
            </w:r>
            <w:r w:rsidR="00C10CCB" w:rsidRPr="00EC3BD7">
              <w:rPr>
                <w:rFonts w:eastAsia="MS Mincho"/>
                <w:szCs w:val="22"/>
                <w:lang w:val="et-EE"/>
              </w:rPr>
              <w:t>…</w:t>
            </w:r>
            <w:r w:rsidRPr="00EC3BD7">
              <w:rPr>
                <w:rFonts w:eastAsia="MS Mincho"/>
                <w:szCs w:val="22"/>
                <w:lang w:val="et-EE"/>
              </w:rPr>
              <w:t>56,3)</w:t>
            </w:r>
          </w:p>
        </w:tc>
        <w:tc>
          <w:tcPr>
            <w:tcW w:w="3100" w:type="dxa"/>
            <w:shd w:val="clear" w:color="auto" w:fill="auto"/>
          </w:tcPr>
          <w:p w14:paraId="31710A62" w14:textId="77777777" w:rsidR="00BD5270" w:rsidRPr="00EC3BD7" w:rsidRDefault="00BD5270" w:rsidP="008B1609">
            <w:pPr>
              <w:keepNext/>
              <w:widowControl w:val="0"/>
              <w:tabs>
                <w:tab w:val="clear" w:pos="567"/>
                <w:tab w:val="left" w:pos="284"/>
              </w:tabs>
              <w:spacing w:line="240" w:lineRule="auto"/>
              <w:rPr>
                <w:rFonts w:eastAsia="MS Mincho"/>
                <w:szCs w:val="22"/>
                <w:lang w:val="et-EE"/>
              </w:rPr>
            </w:pPr>
            <w:r w:rsidRPr="00EC3BD7">
              <w:rPr>
                <w:rFonts w:eastAsia="MS Mincho"/>
                <w:szCs w:val="22"/>
                <w:lang w:val="et-EE"/>
              </w:rPr>
              <w:t>65,6 (56,1</w:t>
            </w:r>
            <w:r w:rsidR="00C10CCB" w:rsidRPr="00EC3BD7">
              <w:rPr>
                <w:rFonts w:eastAsia="MS Mincho"/>
                <w:szCs w:val="22"/>
                <w:lang w:val="et-EE"/>
              </w:rPr>
              <w:t>…</w:t>
            </w:r>
            <w:r w:rsidRPr="00EC3BD7">
              <w:rPr>
                <w:rFonts w:eastAsia="MS Mincho"/>
                <w:szCs w:val="22"/>
                <w:lang w:val="et-EE"/>
              </w:rPr>
              <w:t>73,4)</w:t>
            </w:r>
          </w:p>
        </w:tc>
      </w:tr>
      <w:tr w:rsidR="00BD5270" w:rsidRPr="00EC3BD7" w14:paraId="4FA7AB07" w14:textId="77777777" w:rsidTr="008B1609">
        <w:trPr>
          <w:cantSplit/>
        </w:trPr>
        <w:tc>
          <w:tcPr>
            <w:tcW w:w="3099" w:type="dxa"/>
            <w:shd w:val="clear" w:color="auto" w:fill="auto"/>
          </w:tcPr>
          <w:p w14:paraId="473298BD" w14:textId="77777777" w:rsidR="00BD5270" w:rsidRPr="00EC3BD7" w:rsidRDefault="00BD5270" w:rsidP="008B1609">
            <w:pPr>
              <w:keepNext/>
              <w:widowControl w:val="0"/>
              <w:tabs>
                <w:tab w:val="clear" w:pos="567"/>
                <w:tab w:val="left" w:pos="284"/>
              </w:tabs>
              <w:spacing w:line="240" w:lineRule="auto"/>
              <w:rPr>
                <w:rFonts w:eastAsia="MS Mincho"/>
                <w:b/>
                <w:szCs w:val="22"/>
                <w:lang w:val="et-EE"/>
              </w:rPr>
            </w:pPr>
            <w:r w:rsidRPr="00EC3BD7">
              <w:rPr>
                <w:rFonts w:eastAsia="MS Mincho"/>
                <w:b/>
                <w:szCs w:val="22"/>
                <w:lang w:val="et-EE"/>
              </w:rPr>
              <w:t>Elulemus</w:t>
            </w:r>
          </w:p>
        </w:tc>
        <w:tc>
          <w:tcPr>
            <w:tcW w:w="3100" w:type="dxa"/>
            <w:shd w:val="clear" w:color="auto" w:fill="auto"/>
          </w:tcPr>
          <w:p w14:paraId="7B1A6BB0" w14:textId="77777777" w:rsidR="00BD5270" w:rsidRPr="00EC3BD7" w:rsidRDefault="00BD5270" w:rsidP="008B1609">
            <w:pPr>
              <w:keepNext/>
              <w:widowControl w:val="0"/>
              <w:tabs>
                <w:tab w:val="clear" w:pos="567"/>
                <w:tab w:val="left" w:pos="284"/>
              </w:tabs>
              <w:spacing w:line="240" w:lineRule="auto"/>
              <w:rPr>
                <w:rFonts w:eastAsia="MS Mincho"/>
                <w:szCs w:val="22"/>
                <w:lang w:val="et-EE"/>
              </w:rPr>
            </w:pPr>
          </w:p>
        </w:tc>
        <w:tc>
          <w:tcPr>
            <w:tcW w:w="3100" w:type="dxa"/>
            <w:shd w:val="clear" w:color="auto" w:fill="auto"/>
          </w:tcPr>
          <w:p w14:paraId="3FA247C2" w14:textId="77777777" w:rsidR="00BD5270" w:rsidRPr="00EC3BD7" w:rsidRDefault="00BD5270" w:rsidP="008B1609">
            <w:pPr>
              <w:keepNext/>
              <w:widowControl w:val="0"/>
              <w:tabs>
                <w:tab w:val="clear" w:pos="567"/>
                <w:tab w:val="left" w:pos="284"/>
              </w:tabs>
              <w:spacing w:line="240" w:lineRule="auto"/>
              <w:rPr>
                <w:rFonts w:eastAsia="MS Mincho"/>
                <w:szCs w:val="22"/>
                <w:lang w:val="et-EE"/>
              </w:rPr>
            </w:pPr>
          </w:p>
        </w:tc>
      </w:tr>
      <w:tr w:rsidR="00BD5270" w:rsidRPr="00EC3BD7" w14:paraId="0E9B762F" w14:textId="77777777" w:rsidTr="008B1609">
        <w:trPr>
          <w:cantSplit/>
        </w:trPr>
        <w:tc>
          <w:tcPr>
            <w:tcW w:w="3099" w:type="dxa"/>
            <w:shd w:val="clear" w:color="auto" w:fill="auto"/>
          </w:tcPr>
          <w:p w14:paraId="6E59054E" w14:textId="77777777" w:rsidR="00BD5270" w:rsidRPr="00EC3BD7" w:rsidRDefault="00BD5270" w:rsidP="008B1609">
            <w:pPr>
              <w:keepNext/>
              <w:widowControl w:val="0"/>
              <w:tabs>
                <w:tab w:val="clear" w:pos="567"/>
              </w:tabs>
              <w:spacing w:line="240" w:lineRule="auto"/>
              <w:ind w:left="284"/>
              <w:rPr>
                <w:rFonts w:eastAsia="MS Mincho"/>
                <w:szCs w:val="22"/>
                <w:lang w:val="et-EE"/>
              </w:rPr>
            </w:pPr>
            <w:r w:rsidRPr="00EC3BD7">
              <w:rPr>
                <w:rFonts w:eastAsia="MS Mincho"/>
                <w:szCs w:val="22"/>
                <w:lang w:val="et-EE"/>
              </w:rPr>
              <w:t>36</w:t>
            </w:r>
            <w:r w:rsidRPr="00EC3BD7">
              <w:rPr>
                <w:rFonts w:eastAsia="MS Mincho"/>
                <w:szCs w:val="22"/>
                <w:lang w:val="et-EE" w:eastAsia="ja-JP"/>
              </w:rPr>
              <w:t> </w:t>
            </w:r>
            <w:r w:rsidRPr="00EC3BD7">
              <w:rPr>
                <w:rFonts w:eastAsia="MS Mincho"/>
                <w:szCs w:val="22"/>
                <w:lang w:val="et-EE"/>
              </w:rPr>
              <w:t>kuud</w:t>
            </w:r>
          </w:p>
        </w:tc>
        <w:tc>
          <w:tcPr>
            <w:tcW w:w="3100" w:type="dxa"/>
            <w:shd w:val="clear" w:color="auto" w:fill="auto"/>
          </w:tcPr>
          <w:p w14:paraId="682D7267" w14:textId="77777777" w:rsidR="00BD5270" w:rsidRPr="00EC3BD7" w:rsidRDefault="00BD5270" w:rsidP="008B1609">
            <w:pPr>
              <w:keepNext/>
              <w:widowControl w:val="0"/>
              <w:tabs>
                <w:tab w:val="clear" w:pos="567"/>
                <w:tab w:val="left" w:pos="284"/>
              </w:tabs>
              <w:spacing w:line="240" w:lineRule="auto"/>
              <w:rPr>
                <w:rFonts w:eastAsia="MS Mincho"/>
                <w:szCs w:val="22"/>
                <w:lang w:val="et-EE"/>
              </w:rPr>
            </w:pPr>
            <w:r w:rsidRPr="00EC3BD7">
              <w:rPr>
                <w:rFonts w:eastAsia="MS Mincho"/>
                <w:szCs w:val="22"/>
                <w:lang w:val="et-EE"/>
              </w:rPr>
              <w:t>94,0 (89,5</w:t>
            </w:r>
            <w:r w:rsidR="00C10CCB" w:rsidRPr="00EC3BD7">
              <w:rPr>
                <w:rFonts w:eastAsia="MS Mincho"/>
                <w:szCs w:val="22"/>
                <w:lang w:val="et-EE"/>
              </w:rPr>
              <w:t>…</w:t>
            </w:r>
            <w:r w:rsidRPr="00EC3BD7">
              <w:rPr>
                <w:rFonts w:eastAsia="MS Mincho"/>
                <w:szCs w:val="22"/>
                <w:lang w:val="et-EE"/>
              </w:rPr>
              <w:t>96,7)</w:t>
            </w:r>
          </w:p>
        </w:tc>
        <w:tc>
          <w:tcPr>
            <w:tcW w:w="3100" w:type="dxa"/>
            <w:shd w:val="clear" w:color="auto" w:fill="auto"/>
          </w:tcPr>
          <w:p w14:paraId="328AB701" w14:textId="77777777" w:rsidR="00BD5270" w:rsidRPr="00EC3BD7" w:rsidRDefault="00BD5270" w:rsidP="008B1609">
            <w:pPr>
              <w:keepNext/>
              <w:widowControl w:val="0"/>
              <w:tabs>
                <w:tab w:val="clear" w:pos="567"/>
                <w:tab w:val="left" w:pos="284"/>
              </w:tabs>
              <w:spacing w:line="240" w:lineRule="auto"/>
              <w:rPr>
                <w:rFonts w:eastAsia="MS Mincho"/>
                <w:szCs w:val="22"/>
                <w:lang w:val="et-EE"/>
              </w:rPr>
            </w:pPr>
            <w:r w:rsidRPr="00EC3BD7">
              <w:rPr>
                <w:rFonts w:eastAsia="MS Mincho"/>
                <w:szCs w:val="22"/>
                <w:lang w:val="et-EE"/>
              </w:rPr>
              <w:t>96,3 (92,4</w:t>
            </w:r>
            <w:r w:rsidR="00C10CCB" w:rsidRPr="00EC3BD7">
              <w:rPr>
                <w:rFonts w:eastAsia="MS Mincho"/>
                <w:szCs w:val="22"/>
                <w:lang w:val="et-EE"/>
              </w:rPr>
              <w:t>…</w:t>
            </w:r>
            <w:r w:rsidRPr="00EC3BD7">
              <w:rPr>
                <w:rFonts w:eastAsia="MS Mincho"/>
                <w:szCs w:val="22"/>
                <w:lang w:val="et-EE"/>
              </w:rPr>
              <w:t>98,2)</w:t>
            </w:r>
          </w:p>
        </w:tc>
      </w:tr>
      <w:tr w:rsidR="00BD5270" w:rsidRPr="00EC3BD7" w14:paraId="4043322B" w14:textId="77777777" w:rsidTr="008B1609">
        <w:trPr>
          <w:cantSplit/>
        </w:trPr>
        <w:tc>
          <w:tcPr>
            <w:tcW w:w="3099" w:type="dxa"/>
            <w:shd w:val="clear" w:color="auto" w:fill="auto"/>
          </w:tcPr>
          <w:p w14:paraId="7D11B439" w14:textId="77777777" w:rsidR="00BD5270" w:rsidRPr="00EC3BD7" w:rsidRDefault="00BD5270" w:rsidP="008B1609">
            <w:pPr>
              <w:keepNext/>
              <w:widowControl w:val="0"/>
              <w:tabs>
                <w:tab w:val="clear" w:pos="567"/>
              </w:tabs>
              <w:spacing w:line="240" w:lineRule="auto"/>
              <w:ind w:left="284"/>
              <w:rPr>
                <w:rFonts w:eastAsia="MS Mincho"/>
                <w:szCs w:val="22"/>
                <w:lang w:val="et-EE"/>
              </w:rPr>
            </w:pPr>
            <w:r w:rsidRPr="00EC3BD7">
              <w:rPr>
                <w:rFonts w:eastAsia="MS Mincho"/>
                <w:szCs w:val="22"/>
                <w:lang w:val="et-EE"/>
              </w:rPr>
              <w:t>48</w:t>
            </w:r>
            <w:r w:rsidRPr="00EC3BD7">
              <w:rPr>
                <w:rFonts w:eastAsia="MS Mincho"/>
                <w:szCs w:val="22"/>
                <w:lang w:val="et-EE" w:eastAsia="ja-JP"/>
              </w:rPr>
              <w:t> </w:t>
            </w:r>
            <w:r w:rsidRPr="00EC3BD7">
              <w:rPr>
                <w:rFonts w:eastAsia="MS Mincho"/>
                <w:szCs w:val="22"/>
                <w:lang w:val="et-EE"/>
              </w:rPr>
              <w:t>kuud</w:t>
            </w:r>
          </w:p>
        </w:tc>
        <w:tc>
          <w:tcPr>
            <w:tcW w:w="3100" w:type="dxa"/>
            <w:shd w:val="clear" w:color="auto" w:fill="auto"/>
          </w:tcPr>
          <w:p w14:paraId="2B3BF607" w14:textId="77777777" w:rsidR="00BD5270" w:rsidRPr="00EC3BD7" w:rsidRDefault="00BD5270" w:rsidP="008B1609">
            <w:pPr>
              <w:keepNext/>
              <w:widowControl w:val="0"/>
              <w:tabs>
                <w:tab w:val="clear" w:pos="567"/>
                <w:tab w:val="left" w:pos="284"/>
              </w:tabs>
              <w:spacing w:line="240" w:lineRule="auto"/>
              <w:rPr>
                <w:rFonts w:eastAsia="MS Mincho"/>
                <w:szCs w:val="22"/>
                <w:lang w:val="et-EE"/>
              </w:rPr>
            </w:pPr>
            <w:r w:rsidRPr="00EC3BD7">
              <w:rPr>
                <w:rFonts w:eastAsia="MS Mincho"/>
                <w:szCs w:val="22"/>
                <w:lang w:val="et-EE"/>
              </w:rPr>
              <w:t>87,9 (81,1</w:t>
            </w:r>
            <w:r w:rsidR="00C10CCB" w:rsidRPr="00EC3BD7">
              <w:rPr>
                <w:rFonts w:eastAsia="MS Mincho"/>
                <w:szCs w:val="22"/>
                <w:lang w:val="et-EE"/>
              </w:rPr>
              <w:t>…</w:t>
            </w:r>
            <w:r w:rsidRPr="00EC3BD7">
              <w:rPr>
                <w:rFonts w:eastAsia="MS Mincho"/>
                <w:szCs w:val="22"/>
                <w:lang w:val="et-EE"/>
              </w:rPr>
              <w:t>92,3)</w:t>
            </w:r>
          </w:p>
        </w:tc>
        <w:tc>
          <w:tcPr>
            <w:tcW w:w="3100" w:type="dxa"/>
            <w:shd w:val="clear" w:color="auto" w:fill="auto"/>
          </w:tcPr>
          <w:p w14:paraId="365A462E" w14:textId="77777777" w:rsidR="00BD5270" w:rsidRPr="00EC3BD7" w:rsidRDefault="00BD5270" w:rsidP="008B1609">
            <w:pPr>
              <w:keepNext/>
              <w:widowControl w:val="0"/>
              <w:tabs>
                <w:tab w:val="clear" w:pos="567"/>
                <w:tab w:val="left" w:pos="284"/>
              </w:tabs>
              <w:spacing w:line="240" w:lineRule="auto"/>
              <w:rPr>
                <w:rFonts w:eastAsia="MS Mincho"/>
                <w:szCs w:val="22"/>
                <w:lang w:val="et-EE"/>
              </w:rPr>
            </w:pPr>
            <w:r w:rsidRPr="00EC3BD7">
              <w:rPr>
                <w:rFonts w:eastAsia="MS Mincho"/>
                <w:szCs w:val="22"/>
                <w:lang w:val="et-EE"/>
              </w:rPr>
              <w:t>95,6 (91,2</w:t>
            </w:r>
            <w:r w:rsidR="00C10CCB" w:rsidRPr="00EC3BD7">
              <w:rPr>
                <w:rFonts w:eastAsia="MS Mincho"/>
                <w:szCs w:val="22"/>
                <w:lang w:val="et-EE"/>
              </w:rPr>
              <w:t>…</w:t>
            </w:r>
            <w:r w:rsidRPr="00EC3BD7">
              <w:rPr>
                <w:rFonts w:eastAsia="MS Mincho"/>
                <w:szCs w:val="22"/>
                <w:lang w:val="et-EE"/>
              </w:rPr>
              <w:t>97,8)</w:t>
            </w:r>
          </w:p>
        </w:tc>
      </w:tr>
      <w:tr w:rsidR="00BD5270" w:rsidRPr="00EC3BD7" w14:paraId="1F57817D" w14:textId="77777777" w:rsidTr="008B1609">
        <w:trPr>
          <w:cantSplit/>
        </w:trPr>
        <w:tc>
          <w:tcPr>
            <w:tcW w:w="3099" w:type="dxa"/>
            <w:shd w:val="clear" w:color="auto" w:fill="auto"/>
          </w:tcPr>
          <w:p w14:paraId="6CE88531" w14:textId="77777777" w:rsidR="00BD5270" w:rsidRPr="00EC3BD7" w:rsidRDefault="00BD5270" w:rsidP="008B1609">
            <w:pPr>
              <w:widowControl w:val="0"/>
              <w:tabs>
                <w:tab w:val="clear" w:pos="567"/>
              </w:tabs>
              <w:spacing w:line="240" w:lineRule="auto"/>
              <w:ind w:left="284"/>
              <w:rPr>
                <w:rFonts w:eastAsia="MS Mincho"/>
                <w:szCs w:val="22"/>
                <w:lang w:val="et-EE"/>
              </w:rPr>
            </w:pPr>
            <w:r w:rsidRPr="00EC3BD7">
              <w:rPr>
                <w:rFonts w:eastAsia="MS Mincho"/>
                <w:szCs w:val="22"/>
                <w:lang w:val="et-EE"/>
              </w:rPr>
              <w:t>60</w:t>
            </w:r>
            <w:r w:rsidRPr="00EC3BD7">
              <w:rPr>
                <w:rFonts w:eastAsia="MS Mincho"/>
                <w:szCs w:val="22"/>
                <w:lang w:val="et-EE" w:eastAsia="ja-JP"/>
              </w:rPr>
              <w:t> </w:t>
            </w:r>
            <w:r w:rsidRPr="00EC3BD7">
              <w:rPr>
                <w:rFonts w:eastAsia="MS Mincho"/>
                <w:szCs w:val="22"/>
                <w:lang w:val="et-EE"/>
              </w:rPr>
              <w:t>kuud</w:t>
            </w:r>
          </w:p>
        </w:tc>
        <w:tc>
          <w:tcPr>
            <w:tcW w:w="3100" w:type="dxa"/>
            <w:shd w:val="clear" w:color="auto" w:fill="auto"/>
          </w:tcPr>
          <w:p w14:paraId="2F4AA662" w14:textId="77777777" w:rsidR="00BD5270" w:rsidRPr="00EC3BD7" w:rsidRDefault="00BD5270" w:rsidP="008B1609">
            <w:pPr>
              <w:widowControl w:val="0"/>
              <w:tabs>
                <w:tab w:val="clear" w:pos="567"/>
                <w:tab w:val="left" w:pos="284"/>
              </w:tabs>
              <w:spacing w:line="240" w:lineRule="auto"/>
              <w:rPr>
                <w:rFonts w:eastAsia="MS Mincho"/>
                <w:szCs w:val="22"/>
                <w:lang w:val="et-EE"/>
              </w:rPr>
            </w:pPr>
            <w:r w:rsidRPr="00EC3BD7">
              <w:rPr>
                <w:rFonts w:eastAsia="MS Mincho"/>
                <w:szCs w:val="22"/>
                <w:lang w:val="et-EE"/>
              </w:rPr>
              <w:t>81,7 (73,0</w:t>
            </w:r>
            <w:r w:rsidR="00C10CCB" w:rsidRPr="00EC3BD7">
              <w:rPr>
                <w:rFonts w:eastAsia="MS Mincho"/>
                <w:szCs w:val="22"/>
                <w:lang w:val="et-EE"/>
              </w:rPr>
              <w:t>…</w:t>
            </w:r>
            <w:r w:rsidRPr="00EC3BD7">
              <w:rPr>
                <w:rFonts w:eastAsia="MS Mincho"/>
                <w:szCs w:val="22"/>
                <w:lang w:val="et-EE"/>
              </w:rPr>
              <w:t>87,8)</w:t>
            </w:r>
          </w:p>
        </w:tc>
        <w:tc>
          <w:tcPr>
            <w:tcW w:w="3100" w:type="dxa"/>
            <w:shd w:val="clear" w:color="auto" w:fill="auto"/>
          </w:tcPr>
          <w:p w14:paraId="5DDDC18F" w14:textId="77777777" w:rsidR="00BD5270" w:rsidRPr="00EC3BD7" w:rsidRDefault="00BD5270" w:rsidP="008B1609">
            <w:pPr>
              <w:widowControl w:val="0"/>
              <w:tabs>
                <w:tab w:val="clear" w:pos="567"/>
                <w:tab w:val="left" w:pos="284"/>
              </w:tabs>
              <w:spacing w:line="240" w:lineRule="auto"/>
              <w:rPr>
                <w:rFonts w:eastAsia="MS Mincho"/>
                <w:szCs w:val="22"/>
                <w:lang w:val="et-EE"/>
              </w:rPr>
            </w:pPr>
            <w:r w:rsidRPr="00EC3BD7">
              <w:rPr>
                <w:rFonts w:eastAsia="MS Mincho"/>
                <w:szCs w:val="22"/>
                <w:lang w:val="et-EE"/>
              </w:rPr>
              <w:t>92,0 (85,3</w:t>
            </w:r>
            <w:r w:rsidR="00C10CCB" w:rsidRPr="00EC3BD7">
              <w:rPr>
                <w:rFonts w:eastAsia="MS Mincho"/>
                <w:szCs w:val="22"/>
                <w:lang w:val="et-EE"/>
              </w:rPr>
              <w:t>…</w:t>
            </w:r>
            <w:r w:rsidRPr="00EC3BD7">
              <w:rPr>
                <w:rFonts w:eastAsia="MS Mincho"/>
                <w:szCs w:val="22"/>
                <w:lang w:val="et-EE"/>
              </w:rPr>
              <w:t>95,7)</w:t>
            </w:r>
          </w:p>
        </w:tc>
      </w:tr>
    </w:tbl>
    <w:p w14:paraId="7B0F5985" w14:textId="77777777" w:rsidR="00BD5270" w:rsidRPr="00EC3BD7" w:rsidRDefault="00BD5270" w:rsidP="00BD5270">
      <w:pPr>
        <w:pStyle w:val="EndnoteText"/>
        <w:widowControl w:val="0"/>
        <w:tabs>
          <w:tab w:val="clear" w:pos="567"/>
        </w:tabs>
        <w:rPr>
          <w:color w:val="000000"/>
          <w:szCs w:val="22"/>
          <w:lang w:val="et-EE"/>
        </w:rPr>
      </w:pPr>
    </w:p>
    <w:p w14:paraId="16EA3D9A" w14:textId="77777777" w:rsidR="00BD5270" w:rsidRPr="00EC3BD7" w:rsidRDefault="00BD5270" w:rsidP="004B7624">
      <w:pPr>
        <w:pStyle w:val="EndnoteText"/>
        <w:keepNext/>
        <w:widowControl w:val="0"/>
        <w:tabs>
          <w:tab w:val="clear" w:pos="567"/>
        </w:tabs>
        <w:ind w:left="1134" w:hanging="1134"/>
        <w:rPr>
          <w:b/>
          <w:color w:val="000000"/>
          <w:szCs w:val="22"/>
          <w:lang w:val="et-EE"/>
        </w:rPr>
      </w:pPr>
      <w:r w:rsidRPr="00EC3BD7">
        <w:rPr>
          <w:b/>
          <w:color w:val="000000"/>
          <w:szCs w:val="22"/>
          <w:lang w:val="et-EE"/>
        </w:rPr>
        <w:t>Joonis 1</w:t>
      </w:r>
      <w:r w:rsidRPr="00EC3BD7">
        <w:rPr>
          <w:b/>
          <w:color w:val="000000"/>
          <w:szCs w:val="22"/>
          <w:lang w:val="et-EE"/>
        </w:rPr>
        <w:tab/>
        <w:t>Kaplan-Meieri hinnangud esmasele retsidiivivaba elulemuse tulemusnäitajale (ITT populatsioon)</w:t>
      </w:r>
    </w:p>
    <w:p w14:paraId="334A0135" w14:textId="77777777" w:rsidR="00417195" w:rsidRPr="00EC3BD7" w:rsidRDefault="00417195" w:rsidP="004B7624">
      <w:pPr>
        <w:pStyle w:val="EndnoteText"/>
        <w:keepNext/>
        <w:widowControl w:val="0"/>
        <w:tabs>
          <w:tab w:val="clear" w:pos="567"/>
        </w:tabs>
        <w:ind w:left="1134" w:hanging="1134"/>
        <w:rPr>
          <w:color w:val="000000"/>
          <w:szCs w:val="22"/>
          <w:lang w:val="et-EE"/>
        </w:rPr>
      </w:pPr>
    </w:p>
    <w:p w14:paraId="391D13F0" w14:textId="77777777" w:rsidR="00BD5270" w:rsidRPr="00EC3BD7" w:rsidRDefault="00602C2E" w:rsidP="00417195">
      <w:pPr>
        <w:pStyle w:val="EndnoteText"/>
        <w:widowControl w:val="0"/>
        <w:tabs>
          <w:tab w:val="clear" w:pos="567"/>
        </w:tabs>
        <w:rPr>
          <w:color w:val="000000"/>
          <w:szCs w:val="22"/>
          <w:lang w:val="et-EE"/>
        </w:rPr>
      </w:pPr>
      <w:r w:rsidRPr="00EC3BD7">
        <w:rPr>
          <w:noProof/>
          <w:lang w:val="en-US"/>
        </w:rPr>
        <mc:AlternateContent>
          <mc:Choice Requires="wps">
            <w:drawing>
              <wp:anchor distT="0" distB="0" distL="114300" distR="114300" simplePos="0" relativeHeight="251653120" behindDoc="0" locked="0" layoutInCell="1" allowOverlap="1" wp14:anchorId="164E5D99" wp14:editId="576970CD">
                <wp:simplePos x="0" y="0"/>
                <wp:positionH relativeFrom="column">
                  <wp:posOffset>350520</wp:posOffset>
                </wp:positionH>
                <wp:positionV relativeFrom="paragraph">
                  <wp:posOffset>1169035</wp:posOffset>
                </wp:positionV>
                <wp:extent cx="4585335" cy="124777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24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371"/>
                              <w:gridCol w:w="851"/>
                              <w:gridCol w:w="709"/>
                              <w:gridCol w:w="850"/>
                            </w:tblGrid>
                            <w:tr w:rsidR="003A489E" w:rsidRPr="0055776F" w14:paraId="68A4243B" w14:textId="77777777" w:rsidTr="008E246F">
                              <w:trPr>
                                <w:gridAfter w:val="4"/>
                                <w:wAfter w:w="2781" w:type="dxa"/>
                              </w:trPr>
                              <w:tc>
                                <w:tcPr>
                                  <w:tcW w:w="3281" w:type="dxa"/>
                                  <w:gridSpan w:val="2"/>
                                  <w:shd w:val="clear" w:color="auto" w:fill="auto"/>
                                </w:tcPr>
                                <w:p w14:paraId="354CC71D" w14:textId="77777777" w:rsidR="003A489E" w:rsidRPr="0055776F" w:rsidRDefault="003A489E" w:rsidP="008E246F">
                                  <w:pPr>
                                    <w:rPr>
                                      <w:rFonts w:ascii="Arial" w:hAnsi="Arial" w:cs="Arial"/>
                                      <w:sz w:val="20"/>
                                    </w:rPr>
                                  </w:pPr>
                                  <w:r>
                                    <w:rPr>
                                      <w:rFonts w:ascii="Arial" w:hAnsi="Arial" w:cs="Arial"/>
                                      <w:sz w:val="20"/>
                                    </w:rPr>
                                    <w:t>P &lt; 0,0001</w:t>
                                  </w:r>
                                </w:p>
                                <w:p w14:paraId="5D7F7CB3" w14:textId="77777777" w:rsidR="003A489E" w:rsidRPr="0055776F" w:rsidRDefault="003A489E" w:rsidP="008E246F">
                                  <w:pPr>
                                    <w:rPr>
                                      <w:rFonts w:ascii="Arial" w:hAnsi="Arial" w:cs="Arial"/>
                                      <w:sz w:val="20"/>
                                    </w:rPr>
                                  </w:pPr>
                                  <w:r>
                                    <w:rPr>
                                      <w:rFonts w:ascii="Arial" w:hAnsi="Arial" w:cs="Arial"/>
                                      <w:sz w:val="20"/>
                                    </w:rPr>
                                    <w:t>Riski</w:t>
                                  </w:r>
                                  <w:r w:rsidRPr="00A33DBA">
                                    <w:rPr>
                                      <w:rFonts w:ascii="Arial" w:hAnsi="Arial" w:cs="Arial"/>
                                      <w:sz w:val="20"/>
                                    </w:rPr>
                                    <w:t xml:space="preserve"> </w:t>
                                  </w:r>
                                  <w:r>
                                    <w:rPr>
                                      <w:rFonts w:ascii="Arial" w:hAnsi="Arial" w:cs="Arial"/>
                                      <w:sz w:val="20"/>
                                    </w:rPr>
                                    <w:t>määr 0,</w:t>
                                  </w:r>
                                  <w:r w:rsidRPr="0055776F">
                                    <w:rPr>
                                      <w:rFonts w:ascii="Arial" w:hAnsi="Arial" w:cs="Arial"/>
                                      <w:sz w:val="20"/>
                                    </w:rPr>
                                    <w:t>4</w:t>
                                  </w:r>
                                  <w:r>
                                    <w:rPr>
                                      <w:rFonts w:ascii="Arial" w:hAnsi="Arial" w:cs="Arial"/>
                                      <w:sz w:val="20"/>
                                    </w:rPr>
                                    <w:t>6</w:t>
                                  </w:r>
                                </w:p>
                                <w:p w14:paraId="7EDFBEB5" w14:textId="77777777" w:rsidR="003A489E" w:rsidRPr="0055776F" w:rsidRDefault="003A489E" w:rsidP="008E246F">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t>…0,65</w:t>
                                  </w:r>
                                  <w:r w:rsidRPr="0055776F">
                                    <w:rPr>
                                      <w:rFonts w:ascii="Arial" w:hAnsi="Arial" w:cs="Arial"/>
                                      <w:sz w:val="20"/>
                                    </w:rPr>
                                    <w:t>)</w:t>
                                  </w:r>
                                </w:p>
                              </w:tc>
                            </w:tr>
                            <w:tr w:rsidR="003A489E" w:rsidRPr="0055776F" w14:paraId="2EB62A07" w14:textId="77777777" w:rsidTr="00DC1808">
                              <w:tc>
                                <w:tcPr>
                                  <w:tcW w:w="817" w:type="dxa"/>
                                  <w:shd w:val="clear" w:color="auto" w:fill="auto"/>
                                </w:tcPr>
                                <w:p w14:paraId="7C0EDCA6" w14:textId="77777777" w:rsidR="003A489E" w:rsidRPr="0055776F" w:rsidRDefault="003A489E" w:rsidP="00B00A71">
                                  <w:pPr>
                                    <w:rPr>
                                      <w:rFonts w:ascii="Arial" w:hAnsi="Arial" w:cs="Arial"/>
                                      <w:sz w:val="20"/>
                                    </w:rPr>
                                  </w:pPr>
                                </w:p>
                              </w:tc>
                              <w:tc>
                                <w:tcPr>
                                  <w:tcW w:w="2835" w:type="dxa"/>
                                  <w:gridSpan w:val="2"/>
                                  <w:shd w:val="clear" w:color="auto" w:fill="auto"/>
                                </w:tcPr>
                                <w:p w14:paraId="6133B7C0" w14:textId="77777777" w:rsidR="003A489E" w:rsidRPr="0055776F" w:rsidRDefault="003A489E" w:rsidP="00B00A71">
                                  <w:pPr>
                                    <w:rPr>
                                      <w:rFonts w:ascii="Arial" w:hAnsi="Arial" w:cs="Arial"/>
                                      <w:sz w:val="20"/>
                                    </w:rPr>
                                  </w:pPr>
                                </w:p>
                              </w:tc>
                              <w:tc>
                                <w:tcPr>
                                  <w:tcW w:w="851" w:type="dxa"/>
                                  <w:tcBorders>
                                    <w:bottom w:val="single" w:sz="4" w:space="0" w:color="auto"/>
                                  </w:tcBorders>
                                  <w:shd w:val="clear" w:color="auto" w:fill="auto"/>
                                </w:tcPr>
                                <w:p w14:paraId="181D2CE0" w14:textId="77777777" w:rsidR="003A489E" w:rsidRPr="00DC1808" w:rsidRDefault="003A489E" w:rsidP="00B00A71">
                                  <w:pPr>
                                    <w:rPr>
                                      <w:rFonts w:ascii="Arial" w:hAnsi="Arial" w:cs="Arial"/>
                                      <w:sz w:val="20"/>
                                    </w:rPr>
                                  </w:pPr>
                                  <w:r w:rsidRPr="00DC1808">
                                    <w:rPr>
                                      <w:rFonts w:ascii="Arial" w:hAnsi="Arial" w:cs="Arial"/>
                                      <w:sz w:val="20"/>
                                      <w:lang w:val="de-DE"/>
                                    </w:rPr>
                                    <w:t>N</w:t>
                                  </w:r>
                                </w:p>
                              </w:tc>
                              <w:tc>
                                <w:tcPr>
                                  <w:tcW w:w="709" w:type="dxa"/>
                                  <w:tcBorders>
                                    <w:bottom w:val="single" w:sz="4" w:space="0" w:color="auto"/>
                                  </w:tcBorders>
                                  <w:shd w:val="clear" w:color="auto" w:fill="auto"/>
                                </w:tcPr>
                                <w:p w14:paraId="324F44F9" w14:textId="77777777" w:rsidR="003A489E" w:rsidRPr="00DC1808" w:rsidRDefault="003A489E" w:rsidP="00B00A71">
                                  <w:pPr>
                                    <w:rPr>
                                      <w:rFonts w:ascii="Arial" w:hAnsi="Arial" w:cs="Arial"/>
                                      <w:sz w:val="20"/>
                                    </w:rPr>
                                  </w:pPr>
                                  <w:r w:rsidRPr="00DC1808">
                                    <w:rPr>
                                      <w:rFonts w:ascii="Arial" w:hAnsi="Arial" w:cs="Arial"/>
                                      <w:sz w:val="20"/>
                                      <w:lang w:val="de-DE"/>
                                    </w:rPr>
                                    <w:t>Snd</w:t>
                                  </w:r>
                                </w:p>
                              </w:tc>
                              <w:tc>
                                <w:tcPr>
                                  <w:tcW w:w="850" w:type="dxa"/>
                                  <w:tcBorders>
                                    <w:bottom w:val="single" w:sz="4" w:space="0" w:color="auto"/>
                                  </w:tcBorders>
                                  <w:shd w:val="clear" w:color="auto" w:fill="auto"/>
                                </w:tcPr>
                                <w:p w14:paraId="2615D5C2" w14:textId="77777777" w:rsidR="003A489E" w:rsidRPr="00DC1808" w:rsidRDefault="003A489E" w:rsidP="00B00A71">
                                  <w:pPr>
                                    <w:rPr>
                                      <w:rFonts w:ascii="Arial" w:hAnsi="Arial" w:cs="Arial"/>
                                      <w:sz w:val="20"/>
                                    </w:rPr>
                                  </w:pPr>
                                  <w:r w:rsidRPr="00DC1808">
                                    <w:rPr>
                                      <w:rFonts w:ascii="Arial" w:hAnsi="Arial" w:cs="Arial"/>
                                      <w:sz w:val="20"/>
                                      <w:lang w:val="de-DE"/>
                                    </w:rPr>
                                    <w:t>Tsen</w:t>
                                  </w:r>
                                </w:p>
                              </w:tc>
                            </w:tr>
                            <w:tr w:rsidR="003A489E" w:rsidRPr="0055776F" w14:paraId="0CA0464D" w14:textId="77777777" w:rsidTr="00DC1808">
                              <w:tc>
                                <w:tcPr>
                                  <w:tcW w:w="817" w:type="dxa"/>
                                  <w:shd w:val="clear" w:color="auto" w:fill="auto"/>
                                </w:tcPr>
                                <w:p w14:paraId="1D770B03" w14:textId="77777777" w:rsidR="003A489E" w:rsidRPr="0055776F" w:rsidRDefault="003A489E" w:rsidP="00B00A71">
                                  <w:pPr>
                                    <w:rPr>
                                      <w:rFonts w:ascii="Arial" w:hAnsi="Arial" w:cs="Arial"/>
                                      <w:sz w:val="20"/>
                                    </w:rPr>
                                  </w:pPr>
                                  <w:r w:rsidRPr="0055776F">
                                    <w:rPr>
                                      <w:rFonts w:ascii="Arial" w:hAnsi="Arial" w:cs="Arial"/>
                                      <w:b/>
                                      <w:sz w:val="20"/>
                                    </w:rPr>
                                    <w:t>——</w:t>
                                  </w:r>
                                </w:p>
                              </w:tc>
                              <w:tc>
                                <w:tcPr>
                                  <w:tcW w:w="2835" w:type="dxa"/>
                                  <w:gridSpan w:val="2"/>
                                  <w:shd w:val="clear" w:color="auto" w:fill="auto"/>
                                </w:tcPr>
                                <w:p w14:paraId="7AEE3BF7" w14:textId="77777777" w:rsidR="003A489E" w:rsidRPr="0055776F" w:rsidRDefault="003A489E" w:rsidP="000D3411">
                                  <w:pPr>
                                    <w:rPr>
                                      <w:rFonts w:ascii="Arial" w:hAnsi="Arial" w:cs="Arial"/>
                                      <w:sz w:val="20"/>
                                    </w:rPr>
                                  </w:pPr>
                                  <w:r>
                                    <w:rPr>
                                      <w:rFonts w:ascii="Arial" w:hAnsi="Arial" w:cs="Arial"/>
                                      <w:sz w:val="20"/>
                                    </w:rPr>
                                    <w:t>(1) Imatiniib 12 kuud</w:t>
                                  </w:r>
                                  <w:r w:rsidRPr="0055776F">
                                    <w:rPr>
                                      <w:rFonts w:ascii="Arial" w:hAnsi="Arial" w:cs="Arial"/>
                                      <w:sz w:val="20"/>
                                    </w:rPr>
                                    <w:t>:</w:t>
                                  </w:r>
                                </w:p>
                              </w:tc>
                              <w:tc>
                                <w:tcPr>
                                  <w:tcW w:w="851" w:type="dxa"/>
                                  <w:tcBorders>
                                    <w:top w:val="single" w:sz="4" w:space="0" w:color="auto"/>
                                  </w:tcBorders>
                                  <w:shd w:val="clear" w:color="auto" w:fill="auto"/>
                                </w:tcPr>
                                <w:p w14:paraId="207F76AE" w14:textId="77777777" w:rsidR="003A489E" w:rsidRPr="0055776F" w:rsidRDefault="003A489E" w:rsidP="00B00A71">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54F8C61B" w14:textId="77777777" w:rsidR="003A489E" w:rsidRPr="0055776F" w:rsidRDefault="003A489E" w:rsidP="00B00A71">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66D4CBEE" w14:textId="77777777" w:rsidR="003A489E" w:rsidRPr="0055776F" w:rsidRDefault="003A489E" w:rsidP="00B00A71">
                                  <w:pPr>
                                    <w:rPr>
                                      <w:rFonts w:ascii="Arial" w:hAnsi="Arial" w:cs="Arial"/>
                                      <w:sz w:val="20"/>
                                    </w:rPr>
                                  </w:pPr>
                                  <w:r w:rsidRPr="0055776F">
                                    <w:rPr>
                                      <w:rFonts w:ascii="Arial" w:hAnsi="Arial" w:cs="Arial"/>
                                      <w:sz w:val="20"/>
                                    </w:rPr>
                                    <w:t>115</w:t>
                                  </w:r>
                                </w:p>
                              </w:tc>
                            </w:tr>
                            <w:tr w:rsidR="003A489E" w:rsidRPr="0055776F" w14:paraId="2FB38126" w14:textId="77777777" w:rsidTr="00DC1808">
                              <w:tc>
                                <w:tcPr>
                                  <w:tcW w:w="817" w:type="dxa"/>
                                  <w:shd w:val="clear" w:color="auto" w:fill="auto"/>
                                </w:tcPr>
                                <w:p w14:paraId="7BB5AD78" w14:textId="77777777" w:rsidR="003A489E" w:rsidRPr="0055776F" w:rsidRDefault="003A489E" w:rsidP="00B00A71">
                                  <w:pPr>
                                    <w:rPr>
                                      <w:rFonts w:ascii="Arial" w:hAnsi="Arial" w:cs="Arial"/>
                                      <w:sz w:val="20"/>
                                    </w:rPr>
                                  </w:pPr>
                                  <w:r w:rsidRPr="0055776F">
                                    <w:rPr>
                                      <w:rFonts w:ascii="Arial" w:hAnsi="Arial" w:cs="Arial"/>
                                      <w:sz w:val="20"/>
                                    </w:rPr>
                                    <w:t>-----</w:t>
                                  </w:r>
                                </w:p>
                              </w:tc>
                              <w:tc>
                                <w:tcPr>
                                  <w:tcW w:w="2835" w:type="dxa"/>
                                  <w:gridSpan w:val="2"/>
                                  <w:shd w:val="clear" w:color="auto" w:fill="auto"/>
                                </w:tcPr>
                                <w:p w14:paraId="03CCC8F6" w14:textId="77777777" w:rsidR="003A489E" w:rsidRPr="0055776F" w:rsidRDefault="003A489E" w:rsidP="000D3411">
                                  <w:pPr>
                                    <w:rPr>
                                      <w:rFonts w:ascii="Arial" w:hAnsi="Arial" w:cs="Arial"/>
                                      <w:sz w:val="20"/>
                                    </w:rPr>
                                  </w:pPr>
                                  <w:r w:rsidRPr="0055776F">
                                    <w:rPr>
                                      <w:rFonts w:ascii="Arial" w:hAnsi="Arial" w:cs="Arial"/>
                                      <w:sz w:val="20"/>
                                    </w:rPr>
                                    <w:t>(2) Imatini</w:t>
                                  </w:r>
                                  <w:r>
                                    <w:rPr>
                                      <w:rFonts w:ascii="Arial" w:hAnsi="Arial" w:cs="Arial"/>
                                      <w:sz w:val="20"/>
                                    </w:rPr>
                                    <w:t>i</w:t>
                                  </w:r>
                                  <w:r w:rsidRPr="0055776F">
                                    <w:rPr>
                                      <w:rFonts w:ascii="Arial" w:hAnsi="Arial" w:cs="Arial"/>
                                      <w:sz w:val="20"/>
                                    </w:rPr>
                                    <w:t xml:space="preserve">b </w:t>
                                  </w:r>
                                  <w:r>
                                    <w:rPr>
                                      <w:rFonts w:ascii="Arial" w:hAnsi="Arial" w:cs="Arial"/>
                                      <w:sz w:val="20"/>
                                    </w:rPr>
                                    <w:t>36 kuud</w:t>
                                  </w:r>
                                  <w:r w:rsidRPr="0055776F">
                                    <w:rPr>
                                      <w:rFonts w:ascii="Arial" w:hAnsi="Arial" w:cs="Arial"/>
                                      <w:sz w:val="20"/>
                                    </w:rPr>
                                    <w:t>:</w:t>
                                  </w:r>
                                </w:p>
                              </w:tc>
                              <w:tc>
                                <w:tcPr>
                                  <w:tcW w:w="851" w:type="dxa"/>
                                  <w:tcBorders>
                                    <w:bottom w:val="single" w:sz="4" w:space="0" w:color="auto"/>
                                  </w:tcBorders>
                                  <w:shd w:val="clear" w:color="auto" w:fill="auto"/>
                                </w:tcPr>
                                <w:p w14:paraId="62463C4A" w14:textId="77777777" w:rsidR="003A489E" w:rsidRPr="0055776F" w:rsidRDefault="003A489E" w:rsidP="00B00A71">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3B83C231" w14:textId="77777777" w:rsidR="003A489E" w:rsidRPr="0055776F" w:rsidRDefault="003A489E" w:rsidP="00B00A71">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48BDAD70" w14:textId="77777777" w:rsidR="003A489E" w:rsidRPr="0055776F" w:rsidRDefault="003A489E" w:rsidP="00B00A71">
                                  <w:pPr>
                                    <w:rPr>
                                      <w:rFonts w:ascii="Arial" w:hAnsi="Arial" w:cs="Arial"/>
                                      <w:sz w:val="20"/>
                                    </w:rPr>
                                  </w:pPr>
                                  <w:r w:rsidRPr="0055776F">
                                    <w:rPr>
                                      <w:rFonts w:ascii="Arial" w:hAnsi="Arial" w:cs="Arial"/>
                                      <w:sz w:val="20"/>
                                    </w:rPr>
                                    <w:t>148</w:t>
                                  </w:r>
                                </w:p>
                              </w:tc>
                            </w:tr>
                            <w:tr w:rsidR="003A489E" w:rsidRPr="0055776F" w14:paraId="78EF1403" w14:textId="77777777" w:rsidTr="00DC1808">
                              <w:tc>
                                <w:tcPr>
                                  <w:tcW w:w="817" w:type="dxa"/>
                                  <w:shd w:val="clear" w:color="auto" w:fill="auto"/>
                                </w:tcPr>
                                <w:p w14:paraId="146E5205" w14:textId="77777777" w:rsidR="003A489E" w:rsidRPr="0055776F" w:rsidRDefault="003A489E" w:rsidP="00B00A71">
                                  <w:pPr>
                                    <w:rPr>
                                      <w:rFonts w:ascii="Arial" w:hAnsi="Arial" w:cs="Arial"/>
                                      <w:sz w:val="20"/>
                                    </w:rPr>
                                  </w:pPr>
                                  <w:r w:rsidRPr="0055776F">
                                    <w:rPr>
                                      <w:rFonts w:ascii="Arial" w:hAnsi="Arial" w:cs="Arial"/>
                                      <w:sz w:val="20"/>
                                    </w:rPr>
                                    <w:t>│││</w:t>
                                  </w:r>
                                </w:p>
                              </w:tc>
                              <w:tc>
                                <w:tcPr>
                                  <w:tcW w:w="2835" w:type="dxa"/>
                                  <w:gridSpan w:val="2"/>
                                  <w:shd w:val="clear" w:color="auto" w:fill="auto"/>
                                </w:tcPr>
                                <w:p w14:paraId="674D3AAB" w14:textId="77777777" w:rsidR="003A489E" w:rsidRPr="0055776F" w:rsidRDefault="003A489E" w:rsidP="00B00A71">
                                  <w:pPr>
                                    <w:rPr>
                                      <w:rFonts w:ascii="Arial" w:hAnsi="Arial" w:cs="Arial"/>
                                      <w:sz w:val="20"/>
                                    </w:rPr>
                                  </w:pPr>
                                  <w:r w:rsidRPr="00BA5620">
                                    <w:rPr>
                                      <w:rFonts w:ascii="Arial" w:hAnsi="Arial" w:cs="Arial"/>
                                      <w:sz w:val="20"/>
                                      <w:lang w:val="de-CH"/>
                                    </w:rPr>
                                    <w:t>Tsenseeritud vaatlusandmed</w:t>
                                  </w:r>
                                </w:p>
                              </w:tc>
                              <w:tc>
                                <w:tcPr>
                                  <w:tcW w:w="851" w:type="dxa"/>
                                  <w:tcBorders>
                                    <w:top w:val="single" w:sz="4" w:space="0" w:color="auto"/>
                                  </w:tcBorders>
                                  <w:shd w:val="clear" w:color="auto" w:fill="auto"/>
                                </w:tcPr>
                                <w:p w14:paraId="18D09C72" w14:textId="77777777" w:rsidR="003A489E" w:rsidRPr="0055776F" w:rsidRDefault="003A489E" w:rsidP="00B00A71">
                                  <w:pPr>
                                    <w:rPr>
                                      <w:rFonts w:ascii="Arial" w:hAnsi="Arial" w:cs="Arial"/>
                                      <w:sz w:val="20"/>
                                    </w:rPr>
                                  </w:pPr>
                                </w:p>
                              </w:tc>
                              <w:tc>
                                <w:tcPr>
                                  <w:tcW w:w="709" w:type="dxa"/>
                                  <w:tcBorders>
                                    <w:top w:val="single" w:sz="4" w:space="0" w:color="auto"/>
                                  </w:tcBorders>
                                  <w:shd w:val="clear" w:color="auto" w:fill="auto"/>
                                </w:tcPr>
                                <w:p w14:paraId="160E9197" w14:textId="77777777" w:rsidR="003A489E" w:rsidRPr="0055776F" w:rsidRDefault="003A489E" w:rsidP="00B00A71">
                                  <w:pPr>
                                    <w:rPr>
                                      <w:rFonts w:ascii="Arial" w:hAnsi="Arial" w:cs="Arial"/>
                                      <w:sz w:val="20"/>
                                    </w:rPr>
                                  </w:pPr>
                                </w:p>
                              </w:tc>
                              <w:tc>
                                <w:tcPr>
                                  <w:tcW w:w="850" w:type="dxa"/>
                                  <w:tcBorders>
                                    <w:top w:val="single" w:sz="4" w:space="0" w:color="auto"/>
                                  </w:tcBorders>
                                  <w:shd w:val="clear" w:color="auto" w:fill="auto"/>
                                </w:tcPr>
                                <w:p w14:paraId="47F40EF8" w14:textId="77777777" w:rsidR="003A489E" w:rsidRPr="0055776F" w:rsidRDefault="003A489E" w:rsidP="00B00A71">
                                  <w:pPr>
                                    <w:rPr>
                                      <w:rFonts w:ascii="Arial" w:hAnsi="Arial" w:cs="Arial"/>
                                      <w:sz w:val="20"/>
                                    </w:rPr>
                                  </w:pPr>
                                </w:p>
                              </w:tc>
                            </w:tr>
                          </w:tbl>
                          <w:p w14:paraId="06DFA1B7" w14:textId="77777777" w:rsidR="003A489E" w:rsidRPr="00A33DBA" w:rsidRDefault="003A489E" w:rsidP="00BD5270">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4E5D99" id="_x0000_t202" coordsize="21600,21600" o:spt="202" path="m,l,21600r21600,l21600,xe">
                <v:stroke joinstyle="miter"/>
                <v:path gradientshapeok="t" o:connecttype="rect"/>
              </v:shapetype>
              <v:shape id="Text Box 2" o:spid="_x0000_s1026" type="#_x0000_t202" style="position:absolute;margin-left:27.6pt;margin-top:92.05pt;width:361.05pt;height:98.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" filled="f" stroked="f">
                <v:textbox>
                  <w:txbxContent>
                    <w:tbl>
                      <w:tblPr>
                        <w:tblW w:w="0" w:type="auto"/>
                        <w:tblLook w:val="04A0" w:firstRow="1" w:lastRow="0" w:firstColumn="1" w:lastColumn="0" w:noHBand="0" w:noVBand="1"/>
                      </w:tblPr>
                      <w:tblGrid>
                        <w:gridCol w:w="817"/>
                        <w:gridCol w:w="2464"/>
                        <w:gridCol w:w="371"/>
                        <w:gridCol w:w="851"/>
                        <w:gridCol w:w="709"/>
                        <w:gridCol w:w="850"/>
                      </w:tblGrid>
                      <w:tr w:rsidR="003A489E" w:rsidRPr="0055776F" w14:paraId="68A4243B" w14:textId="77777777" w:rsidTr="008E246F">
                        <w:trPr>
                          <w:gridAfter w:val="4"/>
                          <w:wAfter w:w="2781" w:type="dxa"/>
                        </w:trPr>
                        <w:tc>
                          <w:tcPr>
                            <w:tcW w:w="3281" w:type="dxa"/>
                            <w:gridSpan w:val="2"/>
                            <w:shd w:val="clear" w:color="auto" w:fill="auto"/>
                          </w:tcPr>
                          <w:p w14:paraId="354CC71D" w14:textId="77777777" w:rsidR="003A489E" w:rsidRPr="0055776F" w:rsidRDefault="003A489E" w:rsidP="008E246F">
                            <w:pPr>
                              <w:rPr>
                                <w:rFonts w:ascii="Arial" w:hAnsi="Arial" w:cs="Arial"/>
                                <w:sz w:val="20"/>
                              </w:rPr>
                            </w:pPr>
                            <w:r>
                              <w:rPr>
                                <w:rFonts w:ascii="Arial" w:hAnsi="Arial" w:cs="Arial"/>
                                <w:sz w:val="20"/>
                              </w:rPr>
                              <w:t>P &lt; 0,0001</w:t>
                            </w:r>
                          </w:p>
                          <w:p w14:paraId="5D7F7CB3" w14:textId="77777777" w:rsidR="003A489E" w:rsidRPr="0055776F" w:rsidRDefault="003A489E" w:rsidP="008E246F">
                            <w:pPr>
                              <w:rPr>
                                <w:rFonts w:ascii="Arial" w:hAnsi="Arial" w:cs="Arial"/>
                                <w:sz w:val="20"/>
                              </w:rPr>
                            </w:pPr>
                            <w:r>
                              <w:rPr>
                                <w:rFonts w:ascii="Arial" w:hAnsi="Arial" w:cs="Arial"/>
                                <w:sz w:val="20"/>
                              </w:rPr>
                              <w:t>Riski</w:t>
                            </w:r>
                            <w:r w:rsidRPr="00A33DBA">
                              <w:rPr>
                                <w:rFonts w:ascii="Arial" w:hAnsi="Arial" w:cs="Arial"/>
                                <w:sz w:val="20"/>
                              </w:rPr>
                              <w:t xml:space="preserve"> </w:t>
                            </w:r>
                            <w:r>
                              <w:rPr>
                                <w:rFonts w:ascii="Arial" w:hAnsi="Arial" w:cs="Arial"/>
                                <w:sz w:val="20"/>
                              </w:rPr>
                              <w:t>määr 0,</w:t>
                            </w:r>
                            <w:r w:rsidRPr="0055776F">
                              <w:rPr>
                                <w:rFonts w:ascii="Arial" w:hAnsi="Arial" w:cs="Arial"/>
                                <w:sz w:val="20"/>
                              </w:rPr>
                              <w:t>4</w:t>
                            </w:r>
                            <w:r>
                              <w:rPr>
                                <w:rFonts w:ascii="Arial" w:hAnsi="Arial" w:cs="Arial"/>
                                <w:sz w:val="20"/>
                              </w:rPr>
                              <w:t>6</w:t>
                            </w:r>
                          </w:p>
                          <w:p w14:paraId="7EDFBEB5" w14:textId="77777777" w:rsidR="003A489E" w:rsidRPr="0055776F" w:rsidRDefault="003A489E" w:rsidP="008E246F">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t>…0,65</w:t>
                            </w:r>
                            <w:r w:rsidRPr="0055776F">
                              <w:rPr>
                                <w:rFonts w:ascii="Arial" w:hAnsi="Arial" w:cs="Arial"/>
                                <w:sz w:val="20"/>
                              </w:rPr>
                              <w:t>)</w:t>
                            </w:r>
                          </w:p>
                        </w:tc>
                      </w:tr>
                      <w:tr w:rsidR="003A489E" w:rsidRPr="0055776F" w14:paraId="2EB62A07" w14:textId="77777777" w:rsidTr="00DC1808">
                        <w:tc>
                          <w:tcPr>
                            <w:tcW w:w="817" w:type="dxa"/>
                            <w:shd w:val="clear" w:color="auto" w:fill="auto"/>
                          </w:tcPr>
                          <w:p w14:paraId="7C0EDCA6" w14:textId="77777777" w:rsidR="003A489E" w:rsidRPr="0055776F" w:rsidRDefault="003A489E" w:rsidP="00B00A71">
                            <w:pPr>
                              <w:rPr>
                                <w:rFonts w:ascii="Arial" w:hAnsi="Arial" w:cs="Arial"/>
                                <w:sz w:val="20"/>
                              </w:rPr>
                            </w:pPr>
                          </w:p>
                        </w:tc>
                        <w:tc>
                          <w:tcPr>
                            <w:tcW w:w="2835" w:type="dxa"/>
                            <w:gridSpan w:val="2"/>
                            <w:shd w:val="clear" w:color="auto" w:fill="auto"/>
                          </w:tcPr>
                          <w:p w14:paraId="6133B7C0" w14:textId="77777777" w:rsidR="003A489E" w:rsidRPr="0055776F" w:rsidRDefault="003A489E" w:rsidP="00B00A71">
                            <w:pPr>
                              <w:rPr>
                                <w:rFonts w:ascii="Arial" w:hAnsi="Arial" w:cs="Arial"/>
                                <w:sz w:val="20"/>
                              </w:rPr>
                            </w:pPr>
                          </w:p>
                        </w:tc>
                        <w:tc>
                          <w:tcPr>
                            <w:tcW w:w="851" w:type="dxa"/>
                            <w:tcBorders>
                              <w:bottom w:val="single" w:sz="4" w:space="0" w:color="auto"/>
                            </w:tcBorders>
                            <w:shd w:val="clear" w:color="auto" w:fill="auto"/>
                          </w:tcPr>
                          <w:p w14:paraId="181D2CE0" w14:textId="77777777" w:rsidR="003A489E" w:rsidRPr="00DC1808" w:rsidRDefault="003A489E" w:rsidP="00B00A71">
                            <w:pPr>
                              <w:rPr>
                                <w:rFonts w:ascii="Arial" w:hAnsi="Arial" w:cs="Arial"/>
                                <w:sz w:val="20"/>
                              </w:rPr>
                            </w:pPr>
                            <w:r w:rsidRPr="00DC1808">
                              <w:rPr>
                                <w:rFonts w:ascii="Arial" w:hAnsi="Arial" w:cs="Arial"/>
                                <w:sz w:val="20"/>
                                <w:lang w:val="de-DE"/>
                              </w:rPr>
                              <w:t>N</w:t>
                            </w:r>
                          </w:p>
                        </w:tc>
                        <w:tc>
                          <w:tcPr>
                            <w:tcW w:w="709" w:type="dxa"/>
                            <w:tcBorders>
                              <w:bottom w:val="single" w:sz="4" w:space="0" w:color="auto"/>
                            </w:tcBorders>
                            <w:shd w:val="clear" w:color="auto" w:fill="auto"/>
                          </w:tcPr>
                          <w:p w14:paraId="324F44F9" w14:textId="77777777" w:rsidR="003A489E" w:rsidRPr="00DC1808" w:rsidRDefault="003A489E" w:rsidP="00B00A71">
                            <w:pPr>
                              <w:rPr>
                                <w:rFonts w:ascii="Arial" w:hAnsi="Arial" w:cs="Arial"/>
                                <w:sz w:val="20"/>
                              </w:rPr>
                            </w:pPr>
                            <w:r w:rsidRPr="00DC1808">
                              <w:rPr>
                                <w:rFonts w:ascii="Arial" w:hAnsi="Arial" w:cs="Arial"/>
                                <w:sz w:val="20"/>
                                <w:lang w:val="de-DE"/>
                              </w:rPr>
                              <w:t>Snd</w:t>
                            </w:r>
                          </w:p>
                        </w:tc>
                        <w:tc>
                          <w:tcPr>
                            <w:tcW w:w="850" w:type="dxa"/>
                            <w:tcBorders>
                              <w:bottom w:val="single" w:sz="4" w:space="0" w:color="auto"/>
                            </w:tcBorders>
                            <w:shd w:val="clear" w:color="auto" w:fill="auto"/>
                          </w:tcPr>
                          <w:p w14:paraId="2615D5C2" w14:textId="77777777" w:rsidR="003A489E" w:rsidRPr="00DC1808" w:rsidRDefault="003A489E" w:rsidP="00B00A71">
                            <w:pPr>
                              <w:rPr>
                                <w:rFonts w:ascii="Arial" w:hAnsi="Arial" w:cs="Arial"/>
                                <w:sz w:val="20"/>
                              </w:rPr>
                            </w:pPr>
                            <w:r w:rsidRPr="00DC1808">
                              <w:rPr>
                                <w:rFonts w:ascii="Arial" w:hAnsi="Arial" w:cs="Arial"/>
                                <w:sz w:val="20"/>
                                <w:lang w:val="de-DE"/>
                              </w:rPr>
                              <w:t>Tsen</w:t>
                            </w:r>
                          </w:p>
                        </w:tc>
                      </w:tr>
                      <w:tr w:rsidR="003A489E" w:rsidRPr="0055776F" w14:paraId="0CA0464D" w14:textId="77777777" w:rsidTr="00DC1808">
                        <w:tc>
                          <w:tcPr>
                            <w:tcW w:w="817" w:type="dxa"/>
                            <w:shd w:val="clear" w:color="auto" w:fill="auto"/>
                          </w:tcPr>
                          <w:p w14:paraId="1D770B03" w14:textId="77777777" w:rsidR="003A489E" w:rsidRPr="0055776F" w:rsidRDefault="003A489E" w:rsidP="00B00A71">
                            <w:pPr>
                              <w:rPr>
                                <w:rFonts w:ascii="Arial" w:hAnsi="Arial" w:cs="Arial"/>
                                <w:sz w:val="20"/>
                              </w:rPr>
                            </w:pPr>
                            <w:r w:rsidRPr="0055776F">
                              <w:rPr>
                                <w:rFonts w:ascii="Arial" w:hAnsi="Arial" w:cs="Arial"/>
                                <w:b/>
                                <w:sz w:val="20"/>
                              </w:rPr>
                              <w:t>——</w:t>
                            </w:r>
                          </w:p>
                        </w:tc>
                        <w:tc>
                          <w:tcPr>
                            <w:tcW w:w="2835" w:type="dxa"/>
                            <w:gridSpan w:val="2"/>
                            <w:shd w:val="clear" w:color="auto" w:fill="auto"/>
                          </w:tcPr>
                          <w:p w14:paraId="7AEE3BF7" w14:textId="77777777" w:rsidR="003A489E" w:rsidRPr="0055776F" w:rsidRDefault="003A489E" w:rsidP="000D3411">
                            <w:pPr>
                              <w:rPr>
                                <w:rFonts w:ascii="Arial" w:hAnsi="Arial" w:cs="Arial"/>
                                <w:sz w:val="20"/>
                              </w:rPr>
                            </w:pPr>
                            <w:r>
                              <w:rPr>
                                <w:rFonts w:ascii="Arial" w:hAnsi="Arial" w:cs="Arial"/>
                                <w:sz w:val="20"/>
                              </w:rPr>
                              <w:t>(1) Imatiniib 12 kuud</w:t>
                            </w:r>
                            <w:r w:rsidRPr="0055776F">
                              <w:rPr>
                                <w:rFonts w:ascii="Arial" w:hAnsi="Arial" w:cs="Arial"/>
                                <w:sz w:val="20"/>
                              </w:rPr>
                              <w:t>:</w:t>
                            </w:r>
                          </w:p>
                        </w:tc>
                        <w:tc>
                          <w:tcPr>
                            <w:tcW w:w="851" w:type="dxa"/>
                            <w:tcBorders>
                              <w:top w:val="single" w:sz="4" w:space="0" w:color="auto"/>
                            </w:tcBorders>
                            <w:shd w:val="clear" w:color="auto" w:fill="auto"/>
                          </w:tcPr>
                          <w:p w14:paraId="207F76AE" w14:textId="77777777" w:rsidR="003A489E" w:rsidRPr="0055776F" w:rsidRDefault="003A489E" w:rsidP="00B00A71">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54F8C61B" w14:textId="77777777" w:rsidR="003A489E" w:rsidRPr="0055776F" w:rsidRDefault="003A489E" w:rsidP="00B00A71">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66D4CBEE" w14:textId="77777777" w:rsidR="003A489E" w:rsidRPr="0055776F" w:rsidRDefault="003A489E" w:rsidP="00B00A71">
                            <w:pPr>
                              <w:rPr>
                                <w:rFonts w:ascii="Arial" w:hAnsi="Arial" w:cs="Arial"/>
                                <w:sz w:val="20"/>
                              </w:rPr>
                            </w:pPr>
                            <w:r w:rsidRPr="0055776F">
                              <w:rPr>
                                <w:rFonts w:ascii="Arial" w:hAnsi="Arial" w:cs="Arial"/>
                                <w:sz w:val="20"/>
                              </w:rPr>
                              <w:t>115</w:t>
                            </w:r>
                          </w:p>
                        </w:tc>
                      </w:tr>
                      <w:tr w:rsidR="003A489E" w:rsidRPr="0055776F" w14:paraId="2FB38126" w14:textId="77777777" w:rsidTr="00DC1808">
                        <w:tc>
                          <w:tcPr>
                            <w:tcW w:w="817" w:type="dxa"/>
                            <w:shd w:val="clear" w:color="auto" w:fill="auto"/>
                          </w:tcPr>
                          <w:p w14:paraId="7BB5AD78" w14:textId="77777777" w:rsidR="003A489E" w:rsidRPr="0055776F" w:rsidRDefault="003A489E" w:rsidP="00B00A71">
                            <w:pPr>
                              <w:rPr>
                                <w:rFonts w:ascii="Arial" w:hAnsi="Arial" w:cs="Arial"/>
                                <w:sz w:val="20"/>
                              </w:rPr>
                            </w:pPr>
                            <w:r w:rsidRPr="0055776F">
                              <w:rPr>
                                <w:rFonts w:ascii="Arial" w:hAnsi="Arial" w:cs="Arial"/>
                                <w:sz w:val="20"/>
                              </w:rPr>
                              <w:t>-----</w:t>
                            </w:r>
                          </w:p>
                        </w:tc>
                        <w:tc>
                          <w:tcPr>
                            <w:tcW w:w="2835" w:type="dxa"/>
                            <w:gridSpan w:val="2"/>
                            <w:shd w:val="clear" w:color="auto" w:fill="auto"/>
                          </w:tcPr>
                          <w:p w14:paraId="03CCC8F6" w14:textId="77777777" w:rsidR="003A489E" w:rsidRPr="0055776F" w:rsidRDefault="003A489E" w:rsidP="000D3411">
                            <w:pPr>
                              <w:rPr>
                                <w:rFonts w:ascii="Arial" w:hAnsi="Arial" w:cs="Arial"/>
                                <w:sz w:val="20"/>
                              </w:rPr>
                            </w:pPr>
                            <w:r w:rsidRPr="0055776F">
                              <w:rPr>
                                <w:rFonts w:ascii="Arial" w:hAnsi="Arial" w:cs="Arial"/>
                                <w:sz w:val="20"/>
                              </w:rPr>
                              <w:t>(2) Imatini</w:t>
                            </w:r>
                            <w:r>
                              <w:rPr>
                                <w:rFonts w:ascii="Arial" w:hAnsi="Arial" w:cs="Arial"/>
                                <w:sz w:val="20"/>
                              </w:rPr>
                              <w:t>i</w:t>
                            </w:r>
                            <w:r w:rsidRPr="0055776F">
                              <w:rPr>
                                <w:rFonts w:ascii="Arial" w:hAnsi="Arial" w:cs="Arial"/>
                                <w:sz w:val="20"/>
                              </w:rPr>
                              <w:t xml:space="preserve">b </w:t>
                            </w:r>
                            <w:r>
                              <w:rPr>
                                <w:rFonts w:ascii="Arial" w:hAnsi="Arial" w:cs="Arial"/>
                                <w:sz w:val="20"/>
                              </w:rPr>
                              <w:t>36 kuud</w:t>
                            </w:r>
                            <w:r w:rsidRPr="0055776F">
                              <w:rPr>
                                <w:rFonts w:ascii="Arial" w:hAnsi="Arial" w:cs="Arial"/>
                                <w:sz w:val="20"/>
                              </w:rPr>
                              <w:t>:</w:t>
                            </w:r>
                          </w:p>
                        </w:tc>
                        <w:tc>
                          <w:tcPr>
                            <w:tcW w:w="851" w:type="dxa"/>
                            <w:tcBorders>
                              <w:bottom w:val="single" w:sz="4" w:space="0" w:color="auto"/>
                            </w:tcBorders>
                            <w:shd w:val="clear" w:color="auto" w:fill="auto"/>
                          </w:tcPr>
                          <w:p w14:paraId="62463C4A" w14:textId="77777777" w:rsidR="003A489E" w:rsidRPr="0055776F" w:rsidRDefault="003A489E" w:rsidP="00B00A71">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3B83C231" w14:textId="77777777" w:rsidR="003A489E" w:rsidRPr="0055776F" w:rsidRDefault="003A489E" w:rsidP="00B00A71">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48BDAD70" w14:textId="77777777" w:rsidR="003A489E" w:rsidRPr="0055776F" w:rsidRDefault="003A489E" w:rsidP="00B00A71">
                            <w:pPr>
                              <w:rPr>
                                <w:rFonts w:ascii="Arial" w:hAnsi="Arial" w:cs="Arial"/>
                                <w:sz w:val="20"/>
                              </w:rPr>
                            </w:pPr>
                            <w:r w:rsidRPr="0055776F">
                              <w:rPr>
                                <w:rFonts w:ascii="Arial" w:hAnsi="Arial" w:cs="Arial"/>
                                <w:sz w:val="20"/>
                              </w:rPr>
                              <w:t>148</w:t>
                            </w:r>
                          </w:p>
                        </w:tc>
                      </w:tr>
                      <w:tr w:rsidR="003A489E" w:rsidRPr="0055776F" w14:paraId="78EF1403" w14:textId="77777777" w:rsidTr="00DC1808">
                        <w:tc>
                          <w:tcPr>
                            <w:tcW w:w="817" w:type="dxa"/>
                            <w:shd w:val="clear" w:color="auto" w:fill="auto"/>
                          </w:tcPr>
                          <w:p w14:paraId="146E5205" w14:textId="77777777" w:rsidR="003A489E" w:rsidRPr="0055776F" w:rsidRDefault="003A489E" w:rsidP="00B00A71">
                            <w:pPr>
                              <w:rPr>
                                <w:rFonts w:ascii="Arial" w:hAnsi="Arial" w:cs="Arial"/>
                                <w:sz w:val="20"/>
                              </w:rPr>
                            </w:pPr>
                            <w:r w:rsidRPr="0055776F">
                              <w:rPr>
                                <w:rFonts w:ascii="Arial" w:hAnsi="Arial" w:cs="Arial"/>
                                <w:sz w:val="20"/>
                              </w:rPr>
                              <w:t>│││</w:t>
                            </w:r>
                          </w:p>
                        </w:tc>
                        <w:tc>
                          <w:tcPr>
                            <w:tcW w:w="2835" w:type="dxa"/>
                            <w:gridSpan w:val="2"/>
                            <w:shd w:val="clear" w:color="auto" w:fill="auto"/>
                          </w:tcPr>
                          <w:p w14:paraId="674D3AAB" w14:textId="77777777" w:rsidR="003A489E" w:rsidRPr="0055776F" w:rsidRDefault="003A489E" w:rsidP="00B00A71">
                            <w:pPr>
                              <w:rPr>
                                <w:rFonts w:ascii="Arial" w:hAnsi="Arial" w:cs="Arial"/>
                                <w:sz w:val="20"/>
                              </w:rPr>
                            </w:pPr>
                            <w:r w:rsidRPr="00BA5620">
                              <w:rPr>
                                <w:rFonts w:ascii="Arial" w:hAnsi="Arial" w:cs="Arial"/>
                                <w:sz w:val="20"/>
                                <w:lang w:val="de-CH"/>
                              </w:rPr>
                              <w:t>Tsenseeritud vaatlusandmed</w:t>
                            </w:r>
                          </w:p>
                        </w:tc>
                        <w:tc>
                          <w:tcPr>
                            <w:tcW w:w="851" w:type="dxa"/>
                            <w:tcBorders>
                              <w:top w:val="single" w:sz="4" w:space="0" w:color="auto"/>
                            </w:tcBorders>
                            <w:shd w:val="clear" w:color="auto" w:fill="auto"/>
                          </w:tcPr>
                          <w:p w14:paraId="18D09C72" w14:textId="77777777" w:rsidR="003A489E" w:rsidRPr="0055776F" w:rsidRDefault="003A489E" w:rsidP="00B00A71">
                            <w:pPr>
                              <w:rPr>
                                <w:rFonts w:ascii="Arial" w:hAnsi="Arial" w:cs="Arial"/>
                                <w:sz w:val="20"/>
                              </w:rPr>
                            </w:pPr>
                          </w:p>
                        </w:tc>
                        <w:tc>
                          <w:tcPr>
                            <w:tcW w:w="709" w:type="dxa"/>
                            <w:tcBorders>
                              <w:top w:val="single" w:sz="4" w:space="0" w:color="auto"/>
                            </w:tcBorders>
                            <w:shd w:val="clear" w:color="auto" w:fill="auto"/>
                          </w:tcPr>
                          <w:p w14:paraId="160E9197" w14:textId="77777777" w:rsidR="003A489E" w:rsidRPr="0055776F" w:rsidRDefault="003A489E" w:rsidP="00B00A71">
                            <w:pPr>
                              <w:rPr>
                                <w:rFonts w:ascii="Arial" w:hAnsi="Arial" w:cs="Arial"/>
                                <w:sz w:val="20"/>
                              </w:rPr>
                            </w:pPr>
                          </w:p>
                        </w:tc>
                        <w:tc>
                          <w:tcPr>
                            <w:tcW w:w="850" w:type="dxa"/>
                            <w:tcBorders>
                              <w:top w:val="single" w:sz="4" w:space="0" w:color="auto"/>
                            </w:tcBorders>
                            <w:shd w:val="clear" w:color="auto" w:fill="auto"/>
                          </w:tcPr>
                          <w:p w14:paraId="47F40EF8" w14:textId="77777777" w:rsidR="003A489E" w:rsidRPr="0055776F" w:rsidRDefault="003A489E" w:rsidP="00B00A71">
                            <w:pPr>
                              <w:rPr>
                                <w:rFonts w:ascii="Arial" w:hAnsi="Arial" w:cs="Arial"/>
                                <w:sz w:val="20"/>
                              </w:rPr>
                            </w:pPr>
                          </w:p>
                        </w:tc>
                      </w:tr>
                    </w:tbl>
                    <w:p w14:paraId="06DFA1B7" w14:textId="77777777" w:rsidR="003A489E" w:rsidRPr="00A33DBA" w:rsidRDefault="003A489E" w:rsidP="00BD5270">
                      <w:pPr>
                        <w:rPr>
                          <w:rFonts w:ascii="Arial" w:hAnsi="Arial" w:cs="Arial"/>
                          <w:sz w:val="20"/>
                        </w:rPr>
                      </w:pPr>
                    </w:p>
                  </w:txbxContent>
                </v:textbox>
              </v:shape>
            </w:pict>
          </mc:Fallback>
        </mc:AlternateContent>
      </w:r>
      <w:r w:rsidRPr="00EC3BD7">
        <w:rPr>
          <w:noProof/>
          <w:lang w:val="en-US"/>
        </w:rPr>
        <mc:AlternateContent>
          <mc:Choice Requires="wps">
            <w:drawing>
              <wp:anchor distT="0" distB="0" distL="114300" distR="114300" simplePos="0" relativeHeight="251652096" behindDoc="0" locked="0" layoutInCell="1" allowOverlap="1" wp14:anchorId="0319477C" wp14:editId="7BD81FCF">
                <wp:simplePos x="0" y="0"/>
                <wp:positionH relativeFrom="column">
                  <wp:posOffset>-283845</wp:posOffset>
                </wp:positionH>
                <wp:positionV relativeFrom="paragraph">
                  <wp:posOffset>159385</wp:posOffset>
                </wp:positionV>
                <wp:extent cx="335915" cy="214249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1424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8E9520" w14:textId="77777777" w:rsidR="003A489E" w:rsidRPr="00A33DBA" w:rsidRDefault="003A489E" w:rsidP="00BD5270">
                            <w:pPr>
                              <w:rPr>
                                <w:rFonts w:ascii="Arial" w:hAnsi="Arial" w:cs="Arial"/>
                                <w:sz w:val="20"/>
                              </w:rPr>
                            </w:pPr>
                            <w:r>
                              <w:rPr>
                                <w:rFonts w:ascii="Arial" w:hAnsi="Arial" w:cs="Arial"/>
                                <w:sz w:val="20"/>
                              </w:rPr>
                              <w:t>Retsidiivivaba elulemuse töenäosus</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19477C" id="_x0000_s1027" type="#_x0000_t202" style="position:absolute;margin-left:-22.35pt;margin-top:12.55pt;width:26.45pt;height:168.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" stroked="f">
                <v:fill opacity="0"/>
                <v:textbox style="layout-flow:vertical;mso-layout-flow-alt:bottom-to-top">
                  <w:txbxContent>
                    <w:p w14:paraId="0E8E9520" w14:textId="77777777" w:rsidR="003A489E" w:rsidRPr="00A33DBA" w:rsidRDefault="003A489E" w:rsidP="00BD5270">
                      <w:pPr>
                        <w:rPr>
                          <w:rFonts w:ascii="Arial" w:hAnsi="Arial" w:cs="Arial"/>
                          <w:sz w:val="20"/>
                        </w:rPr>
                      </w:pPr>
                      <w:r>
                        <w:rPr>
                          <w:rFonts w:ascii="Arial" w:hAnsi="Arial" w:cs="Arial"/>
                          <w:sz w:val="20"/>
                        </w:rPr>
                        <w:t>Retsidiivivaba elulemuse töenäosus</w:t>
                      </w:r>
                    </w:p>
                  </w:txbxContent>
                </v:textbox>
              </v:shape>
            </w:pict>
          </mc:Fallback>
        </mc:AlternateContent>
      </w:r>
      <w:r w:rsidRPr="00EC3BD7">
        <w:rPr>
          <w:noProof/>
          <w:color w:val="000000"/>
          <w:szCs w:val="22"/>
          <w:lang w:val="en-US"/>
        </w:rPr>
        <mc:AlternateContent>
          <mc:Choice Requires="wps">
            <w:drawing>
              <wp:anchor distT="0" distB="0" distL="114300" distR="114300" simplePos="0" relativeHeight="251654144" behindDoc="0" locked="0" layoutInCell="1" allowOverlap="1" wp14:anchorId="2D493825" wp14:editId="6CFBBC3B">
                <wp:simplePos x="0" y="0"/>
                <wp:positionH relativeFrom="column">
                  <wp:posOffset>2291715</wp:posOffset>
                </wp:positionH>
                <wp:positionV relativeFrom="paragraph">
                  <wp:posOffset>2693035</wp:posOffset>
                </wp:positionV>
                <wp:extent cx="1540510" cy="27622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0510" cy="2762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F225DC" w14:textId="77777777" w:rsidR="003A489E" w:rsidRPr="00A33DBA" w:rsidRDefault="003A489E" w:rsidP="00BD5270">
                            <w:pPr>
                              <w:rPr>
                                <w:rFonts w:ascii="Arial" w:hAnsi="Arial" w:cs="Arial"/>
                                <w:sz w:val="20"/>
                              </w:rPr>
                            </w:pPr>
                            <w:r>
                              <w:rPr>
                                <w:rFonts w:ascii="Arial" w:hAnsi="Arial" w:cs="Arial"/>
                                <w:sz w:val="20"/>
                                <w:lang w:val="de-DE"/>
                              </w:rPr>
                              <w:t>Elulemuse aeg kuudes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493825" id="_x0000_s1028" type="#_x0000_t202" style="position:absolute;margin-left:180.45pt;margin-top:212.05pt;width:121.3pt;height:2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" stroked="f">
                <v:fill opacity="0"/>
                <v:textbox>
                  <w:txbxContent>
                    <w:p w14:paraId="64F225DC" w14:textId="77777777" w:rsidR="003A489E" w:rsidRPr="00A33DBA" w:rsidRDefault="003A489E" w:rsidP="00BD5270">
                      <w:pPr>
                        <w:rPr>
                          <w:rFonts w:ascii="Arial" w:hAnsi="Arial" w:cs="Arial"/>
                          <w:sz w:val="20"/>
                        </w:rPr>
                      </w:pPr>
                      <w:r>
                        <w:rPr>
                          <w:rFonts w:ascii="Arial" w:hAnsi="Arial" w:cs="Arial"/>
                          <w:sz w:val="20"/>
                          <w:lang w:val="de-DE"/>
                        </w:rPr>
                        <w:t>Elulemuse aeg kuudes</w:t>
                      </w:r>
                    </w:p>
                  </w:txbxContent>
                </v:textbox>
              </v:shape>
            </w:pict>
          </mc:Fallback>
        </mc:AlternateContent>
      </w:r>
      <w:r w:rsidRPr="00EC3BD7">
        <w:rPr>
          <w:noProof/>
          <w:lang w:val="en-US"/>
        </w:rPr>
        <w:drawing>
          <wp:inline distT="0" distB="0" distL="0" distR="0" wp14:anchorId="107106A4" wp14:editId="5B1887EF">
            <wp:extent cx="5939790" cy="2679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2B92B52E" w14:textId="77777777" w:rsidR="00BD5270" w:rsidRPr="00EC3BD7" w:rsidRDefault="00BD5270" w:rsidP="00417195">
      <w:pPr>
        <w:pStyle w:val="EndnoteText"/>
        <w:widowControl w:val="0"/>
        <w:tabs>
          <w:tab w:val="clear" w:pos="567"/>
        </w:tabs>
        <w:rPr>
          <w:color w:val="000000"/>
          <w:szCs w:val="22"/>
          <w:lang w:val="et-EE"/>
        </w:rPr>
      </w:pPr>
    </w:p>
    <w:p w14:paraId="363D7B21" w14:textId="77777777" w:rsidR="00BD5270" w:rsidRPr="00EC3BD7" w:rsidRDefault="00BD5270" w:rsidP="00BD5270">
      <w:pPr>
        <w:rPr>
          <w:lang w:val="et-EE"/>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BD5270" w:rsidRPr="00EC3BD7" w14:paraId="54416408" w14:textId="77777777" w:rsidTr="00BB5CA6">
        <w:tc>
          <w:tcPr>
            <w:tcW w:w="10599" w:type="dxa"/>
            <w:gridSpan w:val="16"/>
            <w:shd w:val="clear" w:color="auto" w:fill="auto"/>
          </w:tcPr>
          <w:p w14:paraId="6FA97D86" w14:textId="77777777" w:rsidR="00BD5270" w:rsidRPr="00EC3BD7" w:rsidRDefault="00DC1808" w:rsidP="00BB5CA6">
            <w:pPr>
              <w:ind w:left="-27"/>
              <w:rPr>
                <w:rFonts w:ascii="Arial" w:hAnsi="Arial" w:cs="Arial"/>
                <w:sz w:val="16"/>
                <w:szCs w:val="16"/>
                <w:lang w:val="et-EE"/>
              </w:rPr>
            </w:pPr>
            <w:r w:rsidRPr="00EC3BD7">
              <w:rPr>
                <w:rFonts w:ascii="Arial" w:hAnsi="Arial" w:cs="Arial"/>
                <w:sz w:val="20"/>
                <w:lang w:val="et-EE"/>
              </w:rPr>
              <w:t>Riskirühm : Sündmused</w:t>
            </w:r>
          </w:p>
        </w:tc>
      </w:tr>
      <w:tr w:rsidR="00BD5270" w:rsidRPr="00EC3BD7" w14:paraId="58460218" w14:textId="77777777" w:rsidTr="00BB5CA6">
        <w:tc>
          <w:tcPr>
            <w:tcW w:w="450" w:type="dxa"/>
            <w:shd w:val="clear" w:color="auto" w:fill="auto"/>
          </w:tcPr>
          <w:p w14:paraId="6BA7658A" w14:textId="77777777" w:rsidR="00BD5270" w:rsidRPr="00EC3BD7" w:rsidRDefault="00BD5270" w:rsidP="00BB5CA6">
            <w:pPr>
              <w:rPr>
                <w:sz w:val="18"/>
                <w:szCs w:val="18"/>
                <w:lang w:val="et-EE"/>
              </w:rPr>
            </w:pPr>
            <w:r w:rsidRPr="00EC3BD7">
              <w:rPr>
                <w:sz w:val="18"/>
                <w:szCs w:val="18"/>
                <w:lang w:val="et-EE"/>
              </w:rPr>
              <w:t>(1)</w:t>
            </w:r>
          </w:p>
        </w:tc>
        <w:tc>
          <w:tcPr>
            <w:tcW w:w="646" w:type="dxa"/>
            <w:shd w:val="clear" w:color="auto" w:fill="auto"/>
          </w:tcPr>
          <w:p w14:paraId="0FEF48C9" w14:textId="77777777" w:rsidR="00BD5270" w:rsidRPr="00EC3BD7" w:rsidRDefault="00BD5270" w:rsidP="00BB5CA6">
            <w:pPr>
              <w:ind w:left="-27"/>
              <w:rPr>
                <w:sz w:val="18"/>
                <w:szCs w:val="18"/>
                <w:lang w:val="et-EE"/>
              </w:rPr>
            </w:pPr>
            <w:r w:rsidRPr="00EC3BD7">
              <w:rPr>
                <w:sz w:val="18"/>
                <w:szCs w:val="18"/>
                <w:lang w:val="et-EE"/>
              </w:rPr>
              <w:t>199:0</w:t>
            </w:r>
          </w:p>
        </w:tc>
        <w:tc>
          <w:tcPr>
            <w:tcW w:w="645" w:type="dxa"/>
            <w:shd w:val="clear" w:color="auto" w:fill="auto"/>
          </w:tcPr>
          <w:p w14:paraId="69C7FEFD" w14:textId="77777777" w:rsidR="00BD5270" w:rsidRPr="00EC3BD7" w:rsidRDefault="00BD5270" w:rsidP="00BB5CA6">
            <w:pPr>
              <w:ind w:left="-27"/>
              <w:rPr>
                <w:sz w:val="18"/>
                <w:szCs w:val="18"/>
                <w:lang w:val="et-EE"/>
              </w:rPr>
            </w:pPr>
            <w:r w:rsidRPr="00EC3BD7">
              <w:rPr>
                <w:sz w:val="18"/>
                <w:szCs w:val="18"/>
                <w:lang w:val="et-EE"/>
              </w:rPr>
              <w:t>182:8</w:t>
            </w:r>
          </w:p>
        </w:tc>
        <w:tc>
          <w:tcPr>
            <w:tcW w:w="745" w:type="dxa"/>
            <w:shd w:val="clear" w:color="auto" w:fill="auto"/>
          </w:tcPr>
          <w:p w14:paraId="388E240D" w14:textId="77777777" w:rsidR="00BD5270" w:rsidRPr="00EC3BD7" w:rsidRDefault="00BD5270" w:rsidP="00BB5CA6">
            <w:pPr>
              <w:ind w:left="-27"/>
              <w:rPr>
                <w:sz w:val="18"/>
                <w:szCs w:val="18"/>
                <w:lang w:val="et-EE"/>
              </w:rPr>
            </w:pPr>
            <w:r w:rsidRPr="00EC3BD7">
              <w:rPr>
                <w:sz w:val="18"/>
                <w:szCs w:val="18"/>
                <w:lang w:val="et-EE"/>
              </w:rPr>
              <w:t>177:12</w:t>
            </w:r>
          </w:p>
        </w:tc>
        <w:tc>
          <w:tcPr>
            <w:tcW w:w="745" w:type="dxa"/>
            <w:shd w:val="clear" w:color="auto" w:fill="auto"/>
          </w:tcPr>
          <w:p w14:paraId="4009CF07" w14:textId="77777777" w:rsidR="00BD5270" w:rsidRPr="00EC3BD7" w:rsidRDefault="00BD5270" w:rsidP="00BB5CA6">
            <w:pPr>
              <w:ind w:left="-27"/>
              <w:rPr>
                <w:sz w:val="18"/>
                <w:szCs w:val="18"/>
                <w:lang w:val="et-EE"/>
              </w:rPr>
            </w:pPr>
            <w:r w:rsidRPr="00EC3BD7">
              <w:rPr>
                <w:sz w:val="18"/>
                <w:szCs w:val="18"/>
                <w:lang w:val="et-EE"/>
              </w:rPr>
              <w:t>163:25</w:t>
            </w:r>
          </w:p>
        </w:tc>
        <w:tc>
          <w:tcPr>
            <w:tcW w:w="745" w:type="dxa"/>
            <w:shd w:val="clear" w:color="auto" w:fill="auto"/>
          </w:tcPr>
          <w:p w14:paraId="5358243F" w14:textId="77777777" w:rsidR="00BD5270" w:rsidRPr="00EC3BD7" w:rsidRDefault="00BD5270" w:rsidP="00BB5CA6">
            <w:pPr>
              <w:ind w:left="-27"/>
              <w:rPr>
                <w:sz w:val="18"/>
                <w:szCs w:val="18"/>
                <w:lang w:val="et-EE"/>
              </w:rPr>
            </w:pPr>
            <w:r w:rsidRPr="00EC3BD7">
              <w:rPr>
                <w:sz w:val="18"/>
                <w:szCs w:val="18"/>
                <w:lang w:val="et-EE"/>
              </w:rPr>
              <w:t>137:46</w:t>
            </w:r>
          </w:p>
        </w:tc>
        <w:tc>
          <w:tcPr>
            <w:tcW w:w="752" w:type="dxa"/>
            <w:shd w:val="clear" w:color="auto" w:fill="auto"/>
          </w:tcPr>
          <w:p w14:paraId="77736385" w14:textId="77777777" w:rsidR="00BD5270" w:rsidRPr="00EC3BD7" w:rsidRDefault="00BD5270" w:rsidP="00BB5CA6">
            <w:pPr>
              <w:ind w:left="-27"/>
              <w:rPr>
                <w:sz w:val="18"/>
                <w:szCs w:val="18"/>
                <w:lang w:val="et-EE"/>
              </w:rPr>
            </w:pPr>
            <w:r w:rsidRPr="00EC3BD7">
              <w:rPr>
                <w:sz w:val="18"/>
                <w:szCs w:val="18"/>
                <w:lang w:val="et-EE"/>
              </w:rPr>
              <w:t>105:65</w:t>
            </w:r>
          </w:p>
        </w:tc>
        <w:tc>
          <w:tcPr>
            <w:tcW w:w="745" w:type="dxa"/>
            <w:shd w:val="clear" w:color="auto" w:fill="auto"/>
          </w:tcPr>
          <w:p w14:paraId="20BDCEF8" w14:textId="77777777" w:rsidR="00BD5270" w:rsidRPr="00EC3BD7" w:rsidRDefault="00BD5270" w:rsidP="00BB5CA6">
            <w:pPr>
              <w:ind w:left="-27"/>
              <w:rPr>
                <w:sz w:val="18"/>
                <w:szCs w:val="18"/>
                <w:lang w:val="et-EE"/>
              </w:rPr>
            </w:pPr>
            <w:r w:rsidRPr="00EC3BD7">
              <w:rPr>
                <w:sz w:val="18"/>
                <w:szCs w:val="18"/>
                <w:lang w:val="et-EE"/>
              </w:rPr>
              <w:t>88:72</w:t>
            </w:r>
          </w:p>
        </w:tc>
        <w:tc>
          <w:tcPr>
            <w:tcW w:w="745" w:type="dxa"/>
            <w:shd w:val="clear" w:color="auto" w:fill="auto"/>
          </w:tcPr>
          <w:p w14:paraId="2CB9B811" w14:textId="77777777" w:rsidR="00BD5270" w:rsidRPr="00EC3BD7" w:rsidRDefault="00BD5270" w:rsidP="00BB5CA6">
            <w:pPr>
              <w:ind w:left="-27"/>
              <w:rPr>
                <w:sz w:val="18"/>
                <w:szCs w:val="18"/>
                <w:lang w:val="et-EE"/>
              </w:rPr>
            </w:pPr>
            <w:r w:rsidRPr="00EC3BD7">
              <w:rPr>
                <w:sz w:val="18"/>
                <w:szCs w:val="18"/>
                <w:lang w:val="et-EE"/>
              </w:rPr>
              <w:t>61:77</w:t>
            </w:r>
          </w:p>
        </w:tc>
        <w:tc>
          <w:tcPr>
            <w:tcW w:w="652" w:type="dxa"/>
            <w:shd w:val="clear" w:color="auto" w:fill="auto"/>
          </w:tcPr>
          <w:p w14:paraId="6BD731F3" w14:textId="77777777" w:rsidR="00BD5270" w:rsidRPr="00EC3BD7" w:rsidRDefault="00BD5270" w:rsidP="00BB5CA6">
            <w:pPr>
              <w:ind w:left="-27"/>
              <w:rPr>
                <w:sz w:val="18"/>
                <w:szCs w:val="18"/>
                <w:lang w:val="et-EE"/>
              </w:rPr>
            </w:pPr>
            <w:r w:rsidRPr="00EC3BD7">
              <w:rPr>
                <w:sz w:val="18"/>
                <w:szCs w:val="18"/>
                <w:lang w:val="et-EE"/>
              </w:rPr>
              <w:t>49:81</w:t>
            </w:r>
          </w:p>
        </w:tc>
        <w:tc>
          <w:tcPr>
            <w:tcW w:w="652" w:type="dxa"/>
            <w:shd w:val="clear" w:color="auto" w:fill="auto"/>
          </w:tcPr>
          <w:p w14:paraId="39A425F2" w14:textId="77777777" w:rsidR="00BD5270" w:rsidRPr="00EC3BD7" w:rsidRDefault="00BD5270" w:rsidP="00BB5CA6">
            <w:pPr>
              <w:ind w:left="-27"/>
              <w:rPr>
                <w:sz w:val="18"/>
                <w:szCs w:val="18"/>
                <w:lang w:val="et-EE"/>
              </w:rPr>
            </w:pPr>
            <w:r w:rsidRPr="00EC3BD7">
              <w:rPr>
                <w:sz w:val="18"/>
                <w:szCs w:val="18"/>
                <w:lang w:val="et-EE"/>
              </w:rPr>
              <w:t>36:83</w:t>
            </w:r>
          </w:p>
        </w:tc>
        <w:tc>
          <w:tcPr>
            <w:tcW w:w="649" w:type="dxa"/>
            <w:shd w:val="clear" w:color="auto" w:fill="auto"/>
          </w:tcPr>
          <w:p w14:paraId="695099B1" w14:textId="77777777" w:rsidR="00BD5270" w:rsidRPr="00EC3BD7" w:rsidRDefault="00BD5270" w:rsidP="00BB5CA6">
            <w:pPr>
              <w:ind w:left="-27"/>
              <w:rPr>
                <w:sz w:val="18"/>
                <w:szCs w:val="18"/>
                <w:lang w:val="et-EE"/>
              </w:rPr>
            </w:pPr>
            <w:r w:rsidRPr="00EC3BD7">
              <w:rPr>
                <w:sz w:val="18"/>
                <w:szCs w:val="18"/>
                <w:lang w:val="et-EE"/>
              </w:rPr>
              <w:t>27:84</w:t>
            </w:r>
          </w:p>
        </w:tc>
        <w:tc>
          <w:tcPr>
            <w:tcW w:w="660" w:type="dxa"/>
            <w:shd w:val="clear" w:color="auto" w:fill="auto"/>
          </w:tcPr>
          <w:p w14:paraId="542500E7" w14:textId="77777777" w:rsidR="00BD5270" w:rsidRPr="00EC3BD7" w:rsidRDefault="00BD5270" w:rsidP="00BB5CA6">
            <w:pPr>
              <w:ind w:left="-27"/>
              <w:rPr>
                <w:sz w:val="18"/>
                <w:szCs w:val="18"/>
                <w:lang w:val="et-EE"/>
              </w:rPr>
            </w:pPr>
            <w:r w:rsidRPr="00EC3BD7">
              <w:rPr>
                <w:sz w:val="18"/>
                <w:szCs w:val="18"/>
                <w:lang w:val="et-EE"/>
              </w:rPr>
              <w:t>14:84</w:t>
            </w:r>
          </w:p>
        </w:tc>
        <w:tc>
          <w:tcPr>
            <w:tcW w:w="649" w:type="dxa"/>
            <w:shd w:val="clear" w:color="auto" w:fill="auto"/>
          </w:tcPr>
          <w:p w14:paraId="2AA08373" w14:textId="77777777" w:rsidR="00BD5270" w:rsidRPr="00EC3BD7" w:rsidRDefault="00BD5270" w:rsidP="00BB5CA6">
            <w:pPr>
              <w:ind w:left="-27"/>
              <w:rPr>
                <w:sz w:val="18"/>
                <w:szCs w:val="18"/>
                <w:lang w:val="et-EE"/>
              </w:rPr>
            </w:pPr>
            <w:r w:rsidRPr="00EC3BD7">
              <w:rPr>
                <w:sz w:val="18"/>
                <w:szCs w:val="18"/>
                <w:lang w:val="et-EE"/>
              </w:rPr>
              <w:t>10:84</w:t>
            </w:r>
          </w:p>
        </w:tc>
        <w:tc>
          <w:tcPr>
            <w:tcW w:w="564" w:type="dxa"/>
            <w:shd w:val="clear" w:color="auto" w:fill="auto"/>
          </w:tcPr>
          <w:p w14:paraId="6ADF8AF9" w14:textId="77777777" w:rsidR="00BD5270" w:rsidRPr="00EC3BD7" w:rsidRDefault="00BD5270" w:rsidP="00BB5CA6">
            <w:pPr>
              <w:ind w:left="-27"/>
              <w:rPr>
                <w:sz w:val="18"/>
                <w:szCs w:val="18"/>
                <w:lang w:val="et-EE"/>
              </w:rPr>
            </w:pPr>
            <w:r w:rsidRPr="00EC3BD7">
              <w:rPr>
                <w:sz w:val="18"/>
                <w:szCs w:val="18"/>
                <w:lang w:val="et-EE"/>
              </w:rPr>
              <w:t>2:84</w:t>
            </w:r>
          </w:p>
        </w:tc>
        <w:tc>
          <w:tcPr>
            <w:tcW w:w="555" w:type="dxa"/>
            <w:shd w:val="clear" w:color="auto" w:fill="auto"/>
          </w:tcPr>
          <w:p w14:paraId="1CE35524" w14:textId="77777777" w:rsidR="00BD5270" w:rsidRPr="00EC3BD7" w:rsidRDefault="00BD5270" w:rsidP="00BB5CA6">
            <w:pPr>
              <w:ind w:left="-27"/>
              <w:rPr>
                <w:sz w:val="18"/>
                <w:szCs w:val="18"/>
                <w:lang w:val="et-EE"/>
              </w:rPr>
            </w:pPr>
            <w:r w:rsidRPr="00EC3BD7">
              <w:rPr>
                <w:sz w:val="18"/>
                <w:szCs w:val="18"/>
                <w:lang w:val="et-EE"/>
              </w:rPr>
              <w:t>0:84</w:t>
            </w:r>
          </w:p>
        </w:tc>
      </w:tr>
      <w:tr w:rsidR="00BD5270" w:rsidRPr="00EC3BD7" w14:paraId="59925BCE" w14:textId="77777777" w:rsidTr="00BB5CA6">
        <w:tc>
          <w:tcPr>
            <w:tcW w:w="450" w:type="dxa"/>
            <w:shd w:val="clear" w:color="auto" w:fill="auto"/>
          </w:tcPr>
          <w:p w14:paraId="10CB3F85" w14:textId="77777777" w:rsidR="00BD5270" w:rsidRPr="00EC3BD7" w:rsidRDefault="00BD5270" w:rsidP="00BB5CA6">
            <w:pPr>
              <w:rPr>
                <w:sz w:val="18"/>
                <w:szCs w:val="18"/>
                <w:lang w:val="et-EE"/>
              </w:rPr>
            </w:pPr>
            <w:r w:rsidRPr="00EC3BD7">
              <w:rPr>
                <w:sz w:val="18"/>
                <w:szCs w:val="18"/>
                <w:lang w:val="et-EE"/>
              </w:rPr>
              <w:t>(2)</w:t>
            </w:r>
          </w:p>
        </w:tc>
        <w:tc>
          <w:tcPr>
            <w:tcW w:w="646" w:type="dxa"/>
            <w:shd w:val="clear" w:color="auto" w:fill="auto"/>
          </w:tcPr>
          <w:p w14:paraId="60507AE6" w14:textId="77777777" w:rsidR="00BD5270" w:rsidRPr="00EC3BD7" w:rsidRDefault="00BD5270" w:rsidP="00BB5CA6">
            <w:pPr>
              <w:ind w:left="-27"/>
              <w:rPr>
                <w:sz w:val="18"/>
                <w:szCs w:val="18"/>
                <w:lang w:val="et-EE"/>
              </w:rPr>
            </w:pPr>
            <w:r w:rsidRPr="00EC3BD7">
              <w:rPr>
                <w:sz w:val="18"/>
                <w:szCs w:val="18"/>
                <w:lang w:val="et-EE"/>
              </w:rPr>
              <w:t>198:0</w:t>
            </w:r>
          </w:p>
        </w:tc>
        <w:tc>
          <w:tcPr>
            <w:tcW w:w="645" w:type="dxa"/>
            <w:shd w:val="clear" w:color="auto" w:fill="auto"/>
          </w:tcPr>
          <w:p w14:paraId="0A87C27E" w14:textId="77777777" w:rsidR="00BD5270" w:rsidRPr="00EC3BD7" w:rsidRDefault="00BD5270" w:rsidP="00BB5CA6">
            <w:pPr>
              <w:ind w:left="-27"/>
              <w:rPr>
                <w:sz w:val="18"/>
                <w:szCs w:val="18"/>
                <w:lang w:val="et-EE"/>
              </w:rPr>
            </w:pPr>
            <w:r w:rsidRPr="00EC3BD7">
              <w:rPr>
                <w:sz w:val="18"/>
                <w:szCs w:val="18"/>
                <w:lang w:val="et-EE"/>
              </w:rPr>
              <w:t>189:5</w:t>
            </w:r>
          </w:p>
        </w:tc>
        <w:tc>
          <w:tcPr>
            <w:tcW w:w="745" w:type="dxa"/>
            <w:shd w:val="clear" w:color="auto" w:fill="auto"/>
          </w:tcPr>
          <w:p w14:paraId="153D15B2" w14:textId="77777777" w:rsidR="00BD5270" w:rsidRPr="00EC3BD7" w:rsidRDefault="00BD5270" w:rsidP="00BB5CA6">
            <w:pPr>
              <w:ind w:left="-27"/>
              <w:rPr>
                <w:sz w:val="18"/>
                <w:szCs w:val="18"/>
                <w:lang w:val="et-EE"/>
              </w:rPr>
            </w:pPr>
            <w:r w:rsidRPr="00EC3BD7">
              <w:rPr>
                <w:sz w:val="18"/>
                <w:szCs w:val="18"/>
                <w:lang w:val="et-EE"/>
              </w:rPr>
              <w:t>184:8</w:t>
            </w:r>
          </w:p>
        </w:tc>
        <w:tc>
          <w:tcPr>
            <w:tcW w:w="745" w:type="dxa"/>
            <w:shd w:val="clear" w:color="auto" w:fill="auto"/>
          </w:tcPr>
          <w:p w14:paraId="637610CC" w14:textId="77777777" w:rsidR="00BD5270" w:rsidRPr="00EC3BD7" w:rsidRDefault="00BD5270" w:rsidP="00BB5CA6">
            <w:pPr>
              <w:ind w:left="-27"/>
              <w:rPr>
                <w:sz w:val="18"/>
                <w:szCs w:val="18"/>
                <w:lang w:val="et-EE"/>
              </w:rPr>
            </w:pPr>
            <w:r w:rsidRPr="00EC3BD7">
              <w:rPr>
                <w:sz w:val="18"/>
                <w:szCs w:val="18"/>
                <w:lang w:val="et-EE"/>
              </w:rPr>
              <w:t>181:11</w:t>
            </w:r>
          </w:p>
        </w:tc>
        <w:tc>
          <w:tcPr>
            <w:tcW w:w="745" w:type="dxa"/>
            <w:shd w:val="clear" w:color="auto" w:fill="auto"/>
          </w:tcPr>
          <w:p w14:paraId="436F58B9" w14:textId="77777777" w:rsidR="00BD5270" w:rsidRPr="00EC3BD7" w:rsidRDefault="00BD5270" w:rsidP="00BB5CA6">
            <w:pPr>
              <w:ind w:left="-27"/>
              <w:rPr>
                <w:sz w:val="18"/>
                <w:szCs w:val="18"/>
                <w:lang w:val="et-EE"/>
              </w:rPr>
            </w:pPr>
            <w:r w:rsidRPr="00EC3BD7">
              <w:rPr>
                <w:sz w:val="18"/>
                <w:szCs w:val="18"/>
                <w:lang w:val="et-EE"/>
              </w:rPr>
              <w:t>173:18</w:t>
            </w:r>
          </w:p>
        </w:tc>
        <w:tc>
          <w:tcPr>
            <w:tcW w:w="752" w:type="dxa"/>
            <w:shd w:val="clear" w:color="auto" w:fill="auto"/>
          </w:tcPr>
          <w:p w14:paraId="21AB794A" w14:textId="77777777" w:rsidR="00BD5270" w:rsidRPr="00EC3BD7" w:rsidRDefault="00BD5270" w:rsidP="00BB5CA6">
            <w:pPr>
              <w:ind w:left="-27"/>
              <w:rPr>
                <w:sz w:val="18"/>
                <w:szCs w:val="18"/>
                <w:lang w:val="et-EE"/>
              </w:rPr>
            </w:pPr>
            <w:r w:rsidRPr="00EC3BD7">
              <w:rPr>
                <w:sz w:val="18"/>
                <w:szCs w:val="18"/>
                <w:lang w:val="et-EE"/>
              </w:rPr>
              <w:t>152:22</w:t>
            </w:r>
          </w:p>
        </w:tc>
        <w:tc>
          <w:tcPr>
            <w:tcW w:w="745" w:type="dxa"/>
            <w:shd w:val="clear" w:color="auto" w:fill="auto"/>
          </w:tcPr>
          <w:p w14:paraId="4A58DBAE" w14:textId="77777777" w:rsidR="00BD5270" w:rsidRPr="00EC3BD7" w:rsidRDefault="00BD5270" w:rsidP="00BB5CA6">
            <w:pPr>
              <w:ind w:left="-27"/>
              <w:rPr>
                <w:sz w:val="18"/>
                <w:szCs w:val="18"/>
                <w:lang w:val="et-EE"/>
              </w:rPr>
            </w:pPr>
            <w:r w:rsidRPr="00EC3BD7">
              <w:rPr>
                <w:sz w:val="18"/>
                <w:szCs w:val="18"/>
                <w:lang w:val="et-EE"/>
              </w:rPr>
              <w:t>133:25</w:t>
            </w:r>
          </w:p>
        </w:tc>
        <w:tc>
          <w:tcPr>
            <w:tcW w:w="745" w:type="dxa"/>
            <w:shd w:val="clear" w:color="auto" w:fill="auto"/>
          </w:tcPr>
          <w:p w14:paraId="4DF08D35" w14:textId="77777777" w:rsidR="00BD5270" w:rsidRPr="00EC3BD7" w:rsidRDefault="00BD5270" w:rsidP="00BB5CA6">
            <w:pPr>
              <w:ind w:left="-27"/>
              <w:rPr>
                <w:sz w:val="18"/>
                <w:szCs w:val="18"/>
                <w:lang w:val="et-EE"/>
              </w:rPr>
            </w:pPr>
            <w:r w:rsidRPr="00EC3BD7">
              <w:rPr>
                <w:sz w:val="18"/>
                <w:szCs w:val="18"/>
                <w:lang w:val="et-EE"/>
              </w:rPr>
              <w:t>102:29</w:t>
            </w:r>
          </w:p>
        </w:tc>
        <w:tc>
          <w:tcPr>
            <w:tcW w:w="652" w:type="dxa"/>
            <w:shd w:val="clear" w:color="auto" w:fill="auto"/>
          </w:tcPr>
          <w:p w14:paraId="206612C8" w14:textId="77777777" w:rsidR="00BD5270" w:rsidRPr="00EC3BD7" w:rsidRDefault="00BD5270" w:rsidP="00BB5CA6">
            <w:pPr>
              <w:ind w:left="-27"/>
              <w:rPr>
                <w:sz w:val="18"/>
                <w:szCs w:val="18"/>
                <w:lang w:val="et-EE"/>
              </w:rPr>
            </w:pPr>
            <w:r w:rsidRPr="00EC3BD7">
              <w:rPr>
                <w:sz w:val="18"/>
                <w:szCs w:val="18"/>
                <w:lang w:val="et-EE"/>
              </w:rPr>
              <w:t>82:35</w:t>
            </w:r>
          </w:p>
        </w:tc>
        <w:tc>
          <w:tcPr>
            <w:tcW w:w="652" w:type="dxa"/>
            <w:shd w:val="clear" w:color="auto" w:fill="auto"/>
          </w:tcPr>
          <w:p w14:paraId="06EB450C" w14:textId="77777777" w:rsidR="00BD5270" w:rsidRPr="00EC3BD7" w:rsidRDefault="00BD5270" w:rsidP="00BB5CA6">
            <w:pPr>
              <w:ind w:left="-27"/>
              <w:rPr>
                <w:sz w:val="18"/>
                <w:szCs w:val="18"/>
                <w:lang w:val="et-EE"/>
              </w:rPr>
            </w:pPr>
            <w:r w:rsidRPr="00EC3BD7">
              <w:rPr>
                <w:sz w:val="18"/>
                <w:szCs w:val="18"/>
                <w:lang w:val="et-EE"/>
              </w:rPr>
              <w:t>54:46</w:t>
            </w:r>
          </w:p>
        </w:tc>
        <w:tc>
          <w:tcPr>
            <w:tcW w:w="649" w:type="dxa"/>
            <w:shd w:val="clear" w:color="auto" w:fill="auto"/>
          </w:tcPr>
          <w:p w14:paraId="0AC48E4B" w14:textId="77777777" w:rsidR="00BD5270" w:rsidRPr="00EC3BD7" w:rsidRDefault="00BD5270" w:rsidP="00BB5CA6">
            <w:pPr>
              <w:ind w:left="-27"/>
              <w:rPr>
                <w:sz w:val="18"/>
                <w:szCs w:val="18"/>
                <w:lang w:val="et-EE"/>
              </w:rPr>
            </w:pPr>
            <w:r w:rsidRPr="00EC3BD7">
              <w:rPr>
                <w:sz w:val="18"/>
                <w:szCs w:val="18"/>
                <w:lang w:val="et-EE"/>
              </w:rPr>
              <w:t>39:47</w:t>
            </w:r>
          </w:p>
        </w:tc>
        <w:tc>
          <w:tcPr>
            <w:tcW w:w="660" w:type="dxa"/>
            <w:shd w:val="clear" w:color="auto" w:fill="auto"/>
          </w:tcPr>
          <w:p w14:paraId="319377D0" w14:textId="77777777" w:rsidR="00BD5270" w:rsidRPr="00EC3BD7" w:rsidRDefault="00BD5270" w:rsidP="00BB5CA6">
            <w:pPr>
              <w:ind w:left="-27"/>
              <w:rPr>
                <w:sz w:val="18"/>
                <w:szCs w:val="18"/>
                <w:lang w:val="et-EE"/>
              </w:rPr>
            </w:pPr>
            <w:r w:rsidRPr="00EC3BD7">
              <w:rPr>
                <w:sz w:val="18"/>
                <w:szCs w:val="18"/>
                <w:lang w:val="et-EE"/>
              </w:rPr>
              <w:t>21:49</w:t>
            </w:r>
          </w:p>
        </w:tc>
        <w:tc>
          <w:tcPr>
            <w:tcW w:w="649" w:type="dxa"/>
            <w:shd w:val="clear" w:color="auto" w:fill="auto"/>
          </w:tcPr>
          <w:p w14:paraId="0168329E" w14:textId="77777777" w:rsidR="00BD5270" w:rsidRPr="00EC3BD7" w:rsidRDefault="00BD5270" w:rsidP="00BB5CA6">
            <w:pPr>
              <w:ind w:left="-27"/>
              <w:rPr>
                <w:sz w:val="18"/>
                <w:szCs w:val="18"/>
                <w:lang w:val="et-EE"/>
              </w:rPr>
            </w:pPr>
            <w:r w:rsidRPr="00EC3BD7">
              <w:rPr>
                <w:sz w:val="18"/>
                <w:szCs w:val="18"/>
                <w:lang w:val="et-EE"/>
              </w:rPr>
              <w:t>8:50</w:t>
            </w:r>
          </w:p>
        </w:tc>
        <w:tc>
          <w:tcPr>
            <w:tcW w:w="564" w:type="dxa"/>
            <w:shd w:val="clear" w:color="auto" w:fill="auto"/>
          </w:tcPr>
          <w:p w14:paraId="156A98E4" w14:textId="77777777" w:rsidR="00BD5270" w:rsidRPr="00EC3BD7" w:rsidRDefault="00BD5270" w:rsidP="00BB5CA6">
            <w:pPr>
              <w:ind w:left="-27"/>
              <w:rPr>
                <w:sz w:val="18"/>
                <w:szCs w:val="18"/>
                <w:lang w:val="et-EE"/>
              </w:rPr>
            </w:pPr>
            <w:r w:rsidRPr="00EC3BD7">
              <w:rPr>
                <w:sz w:val="18"/>
                <w:szCs w:val="18"/>
                <w:lang w:val="et-EE"/>
              </w:rPr>
              <w:t>0:50</w:t>
            </w:r>
          </w:p>
        </w:tc>
        <w:tc>
          <w:tcPr>
            <w:tcW w:w="555" w:type="dxa"/>
            <w:shd w:val="clear" w:color="auto" w:fill="auto"/>
          </w:tcPr>
          <w:p w14:paraId="35780CDD" w14:textId="77777777" w:rsidR="00BD5270" w:rsidRPr="00EC3BD7" w:rsidRDefault="00BD5270" w:rsidP="00BB5CA6">
            <w:pPr>
              <w:ind w:left="-27"/>
              <w:rPr>
                <w:sz w:val="18"/>
                <w:szCs w:val="18"/>
                <w:lang w:val="et-EE"/>
              </w:rPr>
            </w:pPr>
          </w:p>
        </w:tc>
      </w:tr>
    </w:tbl>
    <w:p w14:paraId="5ED8C400" w14:textId="77777777" w:rsidR="00BD5270" w:rsidRPr="00EC3BD7" w:rsidRDefault="00BD5270" w:rsidP="00417195">
      <w:pPr>
        <w:pStyle w:val="EndnoteText"/>
        <w:widowControl w:val="0"/>
        <w:tabs>
          <w:tab w:val="clear" w:pos="567"/>
        </w:tabs>
        <w:rPr>
          <w:color w:val="000000"/>
          <w:szCs w:val="22"/>
          <w:lang w:val="et-EE"/>
        </w:rPr>
      </w:pPr>
    </w:p>
    <w:p w14:paraId="3CE42FDB" w14:textId="77777777" w:rsidR="00BD5270" w:rsidRPr="00EC3BD7" w:rsidRDefault="00BD5270" w:rsidP="00BD5270">
      <w:pPr>
        <w:pStyle w:val="EndnoteText"/>
        <w:keepNext/>
        <w:widowControl w:val="0"/>
        <w:tabs>
          <w:tab w:val="clear" w:pos="567"/>
        </w:tabs>
        <w:rPr>
          <w:b/>
          <w:color w:val="000000"/>
          <w:szCs w:val="22"/>
          <w:lang w:val="et-EE"/>
        </w:rPr>
      </w:pPr>
      <w:r w:rsidRPr="00EC3BD7">
        <w:rPr>
          <w:b/>
          <w:color w:val="000000"/>
          <w:szCs w:val="22"/>
          <w:lang w:val="et-EE"/>
        </w:rPr>
        <w:lastRenderedPageBreak/>
        <w:t>Joonis 2</w:t>
      </w:r>
      <w:r w:rsidRPr="00EC3BD7">
        <w:rPr>
          <w:b/>
          <w:color w:val="000000"/>
          <w:szCs w:val="22"/>
          <w:lang w:val="et-EE"/>
        </w:rPr>
        <w:tab/>
        <w:t>Kaplan-Meieri hinna</w:t>
      </w:r>
      <w:r w:rsidR="00003EF4" w:rsidRPr="00EC3BD7">
        <w:rPr>
          <w:b/>
          <w:color w:val="000000"/>
          <w:szCs w:val="22"/>
          <w:lang w:val="et-EE"/>
        </w:rPr>
        <w:t>n</w:t>
      </w:r>
      <w:r w:rsidRPr="00EC3BD7">
        <w:rPr>
          <w:b/>
          <w:color w:val="000000"/>
          <w:szCs w:val="22"/>
          <w:lang w:val="et-EE"/>
        </w:rPr>
        <w:t>gud üldisele elulemusele (ITT populatsioon)</w:t>
      </w:r>
    </w:p>
    <w:p w14:paraId="190CC811" w14:textId="77777777" w:rsidR="00BD5270" w:rsidRPr="00EC3BD7" w:rsidRDefault="00BD5270" w:rsidP="00B9089D">
      <w:pPr>
        <w:pStyle w:val="EndnoteText"/>
        <w:keepNext/>
        <w:keepLines/>
        <w:widowControl w:val="0"/>
        <w:tabs>
          <w:tab w:val="clear" w:pos="567"/>
        </w:tabs>
        <w:rPr>
          <w:color w:val="000000"/>
          <w:szCs w:val="22"/>
          <w:lang w:val="et-EE"/>
        </w:rPr>
      </w:pPr>
    </w:p>
    <w:p w14:paraId="1A63F00C" w14:textId="77777777" w:rsidR="00BD5270" w:rsidRPr="00EC3BD7" w:rsidRDefault="00602C2E" w:rsidP="00B9089D">
      <w:pPr>
        <w:pStyle w:val="EndnoteText"/>
        <w:keepNext/>
        <w:keepLines/>
        <w:widowControl w:val="0"/>
        <w:tabs>
          <w:tab w:val="clear" w:pos="567"/>
        </w:tabs>
        <w:rPr>
          <w:color w:val="000000"/>
          <w:szCs w:val="22"/>
          <w:lang w:val="et-EE"/>
        </w:rPr>
      </w:pPr>
      <w:r w:rsidRPr="00EC3BD7">
        <w:rPr>
          <w:noProof/>
          <w:lang w:val="en-US"/>
        </w:rPr>
        <mc:AlternateContent>
          <mc:Choice Requires="wps">
            <w:drawing>
              <wp:anchor distT="0" distB="0" distL="114300" distR="114300" simplePos="0" relativeHeight="251655168" behindDoc="0" locked="0" layoutInCell="1" allowOverlap="1" wp14:anchorId="5723CB2B" wp14:editId="13360751">
                <wp:simplePos x="0" y="0"/>
                <wp:positionH relativeFrom="column">
                  <wp:posOffset>-259715</wp:posOffset>
                </wp:positionH>
                <wp:positionV relativeFrom="paragraph">
                  <wp:posOffset>245110</wp:posOffset>
                </wp:positionV>
                <wp:extent cx="335915" cy="187071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1870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9DF4FE" w14:textId="77777777" w:rsidR="003A489E" w:rsidRPr="00A33DBA" w:rsidRDefault="003A489E" w:rsidP="004B7624">
                            <w:pPr>
                              <w:rPr>
                                <w:rFonts w:ascii="Arial" w:hAnsi="Arial" w:cs="Arial"/>
                                <w:sz w:val="20"/>
                              </w:rPr>
                            </w:pPr>
                            <w:r>
                              <w:rPr>
                                <w:rFonts w:ascii="Arial" w:hAnsi="Arial" w:cs="Arial"/>
                                <w:sz w:val="20"/>
                              </w:rPr>
                              <w:t>Üldise elulemuse tõenäosus</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23CB2B" id="_x0000_s1029" type="#_x0000_t202" style="position:absolute;margin-left:-20.45pt;margin-top:19.3pt;width:26.45pt;height:147.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" stroked="f">
                <v:fill opacity="0"/>
                <v:textbox style="layout-flow:vertical;mso-layout-flow-alt:bottom-to-top">
                  <w:txbxContent>
                    <w:p w14:paraId="6B9DF4FE" w14:textId="77777777" w:rsidR="003A489E" w:rsidRPr="00A33DBA" w:rsidRDefault="003A489E" w:rsidP="004B7624">
                      <w:pPr>
                        <w:rPr>
                          <w:rFonts w:ascii="Arial" w:hAnsi="Arial" w:cs="Arial"/>
                          <w:sz w:val="20"/>
                        </w:rPr>
                      </w:pPr>
                      <w:r>
                        <w:rPr>
                          <w:rFonts w:ascii="Arial" w:hAnsi="Arial" w:cs="Arial"/>
                          <w:sz w:val="20"/>
                        </w:rPr>
                        <w:t>Üldise elulemuse tõenäosus</w:t>
                      </w:r>
                    </w:p>
                  </w:txbxContent>
                </v:textbox>
              </v:shape>
            </w:pict>
          </mc:Fallback>
        </mc:AlternateContent>
      </w:r>
      <w:r w:rsidRPr="00EC3BD7">
        <w:rPr>
          <w:noProof/>
          <w:color w:val="000000"/>
          <w:szCs w:val="22"/>
          <w:lang w:val="en-US"/>
        </w:rPr>
        <mc:AlternateContent>
          <mc:Choice Requires="wps">
            <w:drawing>
              <wp:anchor distT="0" distB="0" distL="114300" distR="114300" simplePos="0" relativeHeight="251657216" behindDoc="0" locked="0" layoutInCell="1" allowOverlap="1" wp14:anchorId="1AC367F9" wp14:editId="5578821D">
                <wp:simplePos x="0" y="0"/>
                <wp:positionH relativeFrom="column">
                  <wp:posOffset>2139315</wp:posOffset>
                </wp:positionH>
                <wp:positionV relativeFrom="paragraph">
                  <wp:posOffset>2661285</wp:posOffset>
                </wp:positionV>
                <wp:extent cx="1619250" cy="27686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768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0479D1" w14:textId="77777777" w:rsidR="003A489E" w:rsidRPr="00A33DBA" w:rsidRDefault="003A489E" w:rsidP="004B7624">
                            <w:pPr>
                              <w:rPr>
                                <w:rFonts w:ascii="Arial" w:hAnsi="Arial" w:cs="Arial"/>
                                <w:sz w:val="20"/>
                              </w:rPr>
                            </w:pPr>
                            <w:r>
                              <w:rPr>
                                <w:rFonts w:ascii="Arial" w:hAnsi="Arial" w:cs="Arial"/>
                                <w:sz w:val="20"/>
                                <w:lang w:val="de-DE"/>
                              </w:rPr>
                              <w:t>Elulemuse aeg</w:t>
                            </w:r>
                            <w:r w:rsidRPr="00A33DBA">
                              <w:rPr>
                                <w:rFonts w:ascii="Arial" w:hAnsi="Arial" w:cs="Arial"/>
                                <w:sz w:val="20"/>
                                <w:lang w:val="de-DE"/>
                              </w:rPr>
                              <w:t xml:space="preserve"> </w:t>
                            </w:r>
                            <w:r>
                              <w:rPr>
                                <w:rFonts w:ascii="Arial" w:hAnsi="Arial" w:cs="Arial"/>
                                <w:sz w:val="20"/>
                                <w:lang w:val="de-DE"/>
                              </w:rPr>
                              <w:t>kuudes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C367F9" id="_x0000_s1030" type="#_x0000_t202" style="position:absolute;margin-left:168.45pt;margin-top:209.55pt;width:127.5pt;height:2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" stroked="f">
                <v:fill opacity="0"/>
                <v:textbox>
                  <w:txbxContent>
                    <w:p w14:paraId="340479D1" w14:textId="77777777" w:rsidR="003A489E" w:rsidRPr="00A33DBA" w:rsidRDefault="003A489E" w:rsidP="004B7624">
                      <w:pPr>
                        <w:rPr>
                          <w:rFonts w:ascii="Arial" w:hAnsi="Arial" w:cs="Arial"/>
                          <w:sz w:val="20"/>
                        </w:rPr>
                      </w:pPr>
                      <w:r>
                        <w:rPr>
                          <w:rFonts w:ascii="Arial" w:hAnsi="Arial" w:cs="Arial"/>
                          <w:sz w:val="20"/>
                          <w:lang w:val="de-DE"/>
                        </w:rPr>
                        <w:t>Elulemuse aeg</w:t>
                      </w:r>
                      <w:r w:rsidRPr="00A33DBA">
                        <w:rPr>
                          <w:rFonts w:ascii="Arial" w:hAnsi="Arial" w:cs="Arial"/>
                          <w:sz w:val="20"/>
                          <w:lang w:val="de-DE"/>
                        </w:rPr>
                        <w:t xml:space="preserve"> </w:t>
                      </w:r>
                      <w:r>
                        <w:rPr>
                          <w:rFonts w:ascii="Arial" w:hAnsi="Arial" w:cs="Arial"/>
                          <w:sz w:val="20"/>
                          <w:lang w:val="de-DE"/>
                        </w:rPr>
                        <w:t>kuudes</w:t>
                      </w:r>
                    </w:p>
                  </w:txbxContent>
                </v:textbox>
              </v:shape>
            </w:pict>
          </mc:Fallback>
        </mc:AlternateContent>
      </w:r>
      <w:r w:rsidRPr="00EC3BD7">
        <w:rPr>
          <w:noProof/>
          <w:lang w:val="en-US"/>
        </w:rPr>
        <mc:AlternateContent>
          <mc:Choice Requires="wps">
            <w:drawing>
              <wp:anchor distT="0" distB="0" distL="114300" distR="114300" simplePos="0" relativeHeight="251656192" behindDoc="0" locked="0" layoutInCell="1" allowOverlap="1" wp14:anchorId="0B247764" wp14:editId="1104FD8A">
                <wp:simplePos x="0" y="0"/>
                <wp:positionH relativeFrom="column">
                  <wp:posOffset>340995</wp:posOffset>
                </wp:positionH>
                <wp:positionV relativeFrom="paragraph">
                  <wp:posOffset>887095</wp:posOffset>
                </wp:positionV>
                <wp:extent cx="4585335" cy="14287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BE31" w14:textId="77777777" w:rsidR="003A489E" w:rsidRDefault="003A489E" w:rsidP="00DC1808">
                            <w:pPr>
                              <w:rPr>
                                <w:rFonts w:ascii="Arial" w:hAnsi="Arial" w:cs="Arial"/>
                                <w:sz w:val="20"/>
                              </w:rPr>
                            </w:pPr>
                          </w:p>
                          <w:tbl>
                            <w:tblPr>
                              <w:tblW w:w="0" w:type="auto"/>
                              <w:tblLook w:val="04A0" w:firstRow="1" w:lastRow="0" w:firstColumn="1" w:lastColumn="0" w:noHBand="0" w:noVBand="1"/>
                            </w:tblPr>
                            <w:tblGrid>
                              <w:gridCol w:w="817"/>
                              <w:gridCol w:w="2835"/>
                              <w:gridCol w:w="851"/>
                              <w:gridCol w:w="709"/>
                              <w:gridCol w:w="850"/>
                            </w:tblGrid>
                            <w:tr w:rsidR="003A489E" w:rsidRPr="0055776F" w14:paraId="47C422E0" w14:textId="77777777" w:rsidTr="00DC1808">
                              <w:tc>
                                <w:tcPr>
                                  <w:tcW w:w="6062" w:type="dxa"/>
                                  <w:gridSpan w:val="5"/>
                                  <w:shd w:val="clear" w:color="auto" w:fill="auto"/>
                                </w:tcPr>
                                <w:p w14:paraId="22586007" w14:textId="77777777" w:rsidR="003A489E" w:rsidRPr="00A33DBA" w:rsidRDefault="003A489E" w:rsidP="00DC1808">
                                  <w:pPr>
                                    <w:rPr>
                                      <w:rFonts w:ascii="Arial" w:hAnsi="Arial" w:cs="Arial"/>
                                      <w:sz w:val="20"/>
                                    </w:rPr>
                                  </w:pPr>
                                  <w:r>
                                    <w:rPr>
                                      <w:rFonts w:ascii="Arial" w:hAnsi="Arial" w:cs="Arial"/>
                                      <w:sz w:val="20"/>
                                    </w:rPr>
                                    <w:t>P = 0,0</w:t>
                                  </w:r>
                                  <w:r w:rsidRPr="00A33DBA">
                                    <w:rPr>
                                      <w:rFonts w:ascii="Arial" w:hAnsi="Arial" w:cs="Arial"/>
                                      <w:sz w:val="20"/>
                                    </w:rPr>
                                    <w:t>19</w:t>
                                  </w:r>
                                </w:p>
                                <w:p w14:paraId="3368BAB2" w14:textId="77777777" w:rsidR="003A489E" w:rsidRPr="00A33DBA" w:rsidRDefault="003A489E" w:rsidP="00DC1808">
                                  <w:pPr>
                                    <w:rPr>
                                      <w:rFonts w:ascii="Arial" w:hAnsi="Arial" w:cs="Arial"/>
                                      <w:sz w:val="20"/>
                                    </w:rPr>
                                  </w:pPr>
                                  <w:r>
                                    <w:rPr>
                                      <w:rFonts w:ascii="Arial" w:hAnsi="Arial" w:cs="Arial"/>
                                      <w:sz w:val="20"/>
                                    </w:rPr>
                                    <w:t>Riski</w:t>
                                  </w:r>
                                  <w:r w:rsidRPr="00A33DBA">
                                    <w:rPr>
                                      <w:rFonts w:ascii="Arial" w:hAnsi="Arial" w:cs="Arial"/>
                                      <w:sz w:val="20"/>
                                    </w:rPr>
                                    <w:t xml:space="preserve"> </w:t>
                                  </w:r>
                                  <w:r>
                                    <w:rPr>
                                      <w:rFonts w:ascii="Arial" w:hAnsi="Arial" w:cs="Arial"/>
                                      <w:sz w:val="20"/>
                                    </w:rPr>
                                    <w:t>määr 0,</w:t>
                                  </w:r>
                                  <w:r w:rsidRPr="00A33DBA">
                                    <w:rPr>
                                      <w:rFonts w:ascii="Arial" w:hAnsi="Arial" w:cs="Arial"/>
                                      <w:sz w:val="20"/>
                                    </w:rPr>
                                    <w:t>45</w:t>
                                  </w:r>
                                </w:p>
                                <w:p w14:paraId="53CF0373" w14:textId="77777777" w:rsidR="003A489E" w:rsidRPr="0055776F" w:rsidRDefault="003A489E" w:rsidP="00DC1808">
                                  <w:pPr>
                                    <w:rPr>
                                      <w:rFonts w:ascii="Arial" w:hAnsi="Arial" w:cs="Arial"/>
                                      <w:sz w:val="20"/>
                                      <w:lang w:val="de-DE"/>
                                    </w:rPr>
                                  </w:pPr>
                                  <w:r>
                                    <w:rPr>
                                      <w:rFonts w:ascii="Arial" w:hAnsi="Arial" w:cs="Arial"/>
                                      <w:sz w:val="20"/>
                                    </w:rPr>
                                    <w:t>(95% Cl, 0,22…0,</w:t>
                                  </w:r>
                                  <w:r w:rsidRPr="00A33DBA">
                                    <w:rPr>
                                      <w:rFonts w:ascii="Arial" w:hAnsi="Arial" w:cs="Arial"/>
                                      <w:sz w:val="20"/>
                                    </w:rPr>
                                    <w:t>89)</w:t>
                                  </w:r>
                                </w:p>
                              </w:tc>
                            </w:tr>
                            <w:tr w:rsidR="003A489E" w:rsidRPr="0055776F" w14:paraId="27C83B23" w14:textId="77777777" w:rsidTr="00DC1808">
                              <w:tc>
                                <w:tcPr>
                                  <w:tcW w:w="817" w:type="dxa"/>
                                  <w:shd w:val="clear" w:color="auto" w:fill="auto"/>
                                </w:tcPr>
                                <w:p w14:paraId="4A7ACBE2" w14:textId="77777777" w:rsidR="003A489E" w:rsidRPr="0055776F" w:rsidRDefault="003A489E" w:rsidP="00B00A71">
                                  <w:pPr>
                                    <w:rPr>
                                      <w:rFonts w:ascii="Arial" w:hAnsi="Arial" w:cs="Arial"/>
                                      <w:sz w:val="20"/>
                                    </w:rPr>
                                  </w:pPr>
                                </w:p>
                              </w:tc>
                              <w:tc>
                                <w:tcPr>
                                  <w:tcW w:w="2835" w:type="dxa"/>
                                  <w:shd w:val="clear" w:color="auto" w:fill="auto"/>
                                </w:tcPr>
                                <w:p w14:paraId="63EC7524" w14:textId="77777777" w:rsidR="003A489E" w:rsidRPr="0055776F" w:rsidRDefault="003A489E" w:rsidP="00B00A71">
                                  <w:pPr>
                                    <w:rPr>
                                      <w:rFonts w:ascii="Arial" w:hAnsi="Arial" w:cs="Arial"/>
                                      <w:sz w:val="20"/>
                                    </w:rPr>
                                  </w:pPr>
                                </w:p>
                              </w:tc>
                              <w:tc>
                                <w:tcPr>
                                  <w:tcW w:w="851" w:type="dxa"/>
                                  <w:tcBorders>
                                    <w:bottom w:val="single" w:sz="4" w:space="0" w:color="auto"/>
                                  </w:tcBorders>
                                  <w:shd w:val="clear" w:color="auto" w:fill="auto"/>
                                </w:tcPr>
                                <w:p w14:paraId="0156D055" w14:textId="77777777" w:rsidR="003A489E" w:rsidRPr="0055776F" w:rsidRDefault="003A489E" w:rsidP="00B00A71">
                                  <w:pPr>
                                    <w:rPr>
                                      <w:rFonts w:ascii="Arial" w:hAnsi="Arial" w:cs="Arial"/>
                                      <w:sz w:val="20"/>
                                    </w:rPr>
                                  </w:pPr>
                                  <w:r w:rsidRPr="00DC1808">
                                    <w:rPr>
                                      <w:rFonts w:ascii="Arial" w:hAnsi="Arial" w:cs="Arial"/>
                                      <w:sz w:val="20"/>
                                      <w:lang w:val="de-DE"/>
                                    </w:rPr>
                                    <w:t>N</w:t>
                                  </w:r>
                                </w:p>
                              </w:tc>
                              <w:tc>
                                <w:tcPr>
                                  <w:tcW w:w="709" w:type="dxa"/>
                                  <w:tcBorders>
                                    <w:bottom w:val="single" w:sz="4" w:space="0" w:color="auto"/>
                                  </w:tcBorders>
                                  <w:shd w:val="clear" w:color="auto" w:fill="auto"/>
                                </w:tcPr>
                                <w:p w14:paraId="7A82EFB8" w14:textId="77777777" w:rsidR="003A489E" w:rsidRPr="0055776F" w:rsidRDefault="003A489E" w:rsidP="00B00A71">
                                  <w:pPr>
                                    <w:rPr>
                                      <w:rFonts w:ascii="Arial" w:hAnsi="Arial" w:cs="Arial"/>
                                      <w:sz w:val="20"/>
                                    </w:rPr>
                                  </w:pPr>
                                  <w:r w:rsidRPr="00DC1808">
                                    <w:rPr>
                                      <w:rFonts w:ascii="Arial" w:hAnsi="Arial" w:cs="Arial"/>
                                      <w:sz w:val="20"/>
                                      <w:lang w:val="de-DE"/>
                                    </w:rPr>
                                    <w:t>Snd</w:t>
                                  </w:r>
                                </w:p>
                              </w:tc>
                              <w:tc>
                                <w:tcPr>
                                  <w:tcW w:w="850" w:type="dxa"/>
                                  <w:tcBorders>
                                    <w:bottom w:val="single" w:sz="4" w:space="0" w:color="auto"/>
                                  </w:tcBorders>
                                  <w:shd w:val="clear" w:color="auto" w:fill="auto"/>
                                </w:tcPr>
                                <w:p w14:paraId="0C335172" w14:textId="77777777" w:rsidR="003A489E" w:rsidRPr="0055776F" w:rsidRDefault="003A489E" w:rsidP="00B00A71">
                                  <w:pPr>
                                    <w:rPr>
                                      <w:rFonts w:ascii="Arial" w:hAnsi="Arial" w:cs="Arial"/>
                                      <w:sz w:val="20"/>
                                    </w:rPr>
                                  </w:pPr>
                                  <w:r w:rsidRPr="00DC1808">
                                    <w:rPr>
                                      <w:rFonts w:ascii="Arial" w:hAnsi="Arial" w:cs="Arial"/>
                                      <w:sz w:val="20"/>
                                      <w:lang w:val="de-DE"/>
                                    </w:rPr>
                                    <w:t>Tsen</w:t>
                                  </w:r>
                                </w:p>
                              </w:tc>
                            </w:tr>
                            <w:tr w:rsidR="003A489E" w:rsidRPr="0055776F" w14:paraId="114A1654" w14:textId="77777777" w:rsidTr="00DC1808">
                              <w:tc>
                                <w:tcPr>
                                  <w:tcW w:w="817" w:type="dxa"/>
                                  <w:shd w:val="clear" w:color="auto" w:fill="auto"/>
                                </w:tcPr>
                                <w:p w14:paraId="47917472" w14:textId="77777777" w:rsidR="003A489E" w:rsidRPr="0055776F" w:rsidRDefault="003A489E" w:rsidP="00B00A71">
                                  <w:pPr>
                                    <w:rPr>
                                      <w:rFonts w:ascii="Arial" w:hAnsi="Arial" w:cs="Arial"/>
                                      <w:sz w:val="20"/>
                                    </w:rPr>
                                  </w:pPr>
                                  <w:r w:rsidRPr="0055776F">
                                    <w:rPr>
                                      <w:rFonts w:ascii="Arial" w:hAnsi="Arial" w:cs="Arial"/>
                                      <w:b/>
                                      <w:sz w:val="20"/>
                                    </w:rPr>
                                    <w:t>——</w:t>
                                  </w:r>
                                </w:p>
                              </w:tc>
                              <w:tc>
                                <w:tcPr>
                                  <w:tcW w:w="2835" w:type="dxa"/>
                                  <w:shd w:val="clear" w:color="auto" w:fill="auto"/>
                                </w:tcPr>
                                <w:p w14:paraId="322D253D" w14:textId="77777777" w:rsidR="003A489E" w:rsidRPr="0055776F" w:rsidRDefault="003A489E" w:rsidP="00535195">
                                  <w:pPr>
                                    <w:rPr>
                                      <w:rFonts w:ascii="Arial" w:hAnsi="Arial" w:cs="Arial"/>
                                      <w:sz w:val="20"/>
                                    </w:rPr>
                                  </w:pPr>
                                  <w:r>
                                    <w:rPr>
                                      <w:rFonts w:ascii="Arial" w:hAnsi="Arial" w:cs="Arial"/>
                                      <w:sz w:val="20"/>
                                    </w:rPr>
                                    <w:t>(1) Imatiniib 12 kuud</w:t>
                                  </w:r>
                                  <w:r w:rsidRPr="0055776F">
                                    <w:rPr>
                                      <w:rFonts w:ascii="Arial" w:hAnsi="Arial" w:cs="Arial"/>
                                      <w:sz w:val="20"/>
                                    </w:rPr>
                                    <w:t>:</w:t>
                                  </w:r>
                                </w:p>
                              </w:tc>
                              <w:tc>
                                <w:tcPr>
                                  <w:tcW w:w="851" w:type="dxa"/>
                                  <w:tcBorders>
                                    <w:top w:val="single" w:sz="4" w:space="0" w:color="auto"/>
                                  </w:tcBorders>
                                  <w:shd w:val="clear" w:color="auto" w:fill="auto"/>
                                </w:tcPr>
                                <w:p w14:paraId="08FA5740" w14:textId="77777777" w:rsidR="003A489E" w:rsidRPr="0055776F" w:rsidRDefault="003A489E" w:rsidP="00B00A71">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06F1EDAC" w14:textId="77777777" w:rsidR="003A489E" w:rsidRPr="0055776F" w:rsidRDefault="003A489E" w:rsidP="00B00A71">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0A37948A" w14:textId="77777777" w:rsidR="003A489E" w:rsidRPr="0055776F" w:rsidRDefault="003A489E" w:rsidP="00B00A71">
                                  <w:pPr>
                                    <w:rPr>
                                      <w:rFonts w:ascii="Arial" w:hAnsi="Arial" w:cs="Arial"/>
                                      <w:sz w:val="20"/>
                                    </w:rPr>
                                  </w:pPr>
                                  <w:r w:rsidRPr="0055776F">
                                    <w:rPr>
                                      <w:rFonts w:ascii="Arial" w:hAnsi="Arial" w:cs="Arial"/>
                                      <w:sz w:val="20"/>
                                    </w:rPr>
                                    <w:t>174</w:t>
                                  </w:r>
                                </w:p>
                              </w:tc>
                            </w:tr>
                            <w:tr w:rsidR="003A489E" w:rsidRPr="0055776F" w14:paraId="6022551E" w14:textId="77777777" w:rsidTr="00DC1808">
                              <w:tc>
                                <w:tcPr>
                                  <w:tcW w:w="817" w:type="dxa"/>
                                  <w:shd w:val="clear" w:color="auto" w:fill="auto"/>
                                </w:tcPr>
                                <w:p w14:paraId="62473DB9" w14:textId="77777777" w:rsidR="003A489E" w:rsidRPr="0055776F" w:rsidRDefault="003A489E" w:rsidP="00B00A71">
                                  <w:pPr>
                                    <w:rPr>
                                      <w:rFonts w:ascii="Arial" w:hAnsi="Arial" w:cs="Arial"/>
                                      <w:sz w:val="20"/>
                                    </w:rPr>
                                  </w:pPr>
                                  <w:r w:rsidRPr="0055776F">
                                    <w:rPr>
                                      <w:rFonts w:ascii="Arial" w:hAnsi="Arial" w:cs="Arial"/>
                                      <w:sz w:val="20"/>
                                    </w:rPr>
                                    <w:t>-----</w:t>
                                  </w:r>
                                </w:p>
                              </w:tc>
                              <w:tc>
                                <w:tcPr>
                                  <w:tcW w:w="2835" w:type="dxa"/>
                                  <w:shd w:val="clear" w:color="auto" w:fill="auto"/>
                                </w:tcPr>
                                <w:p w14:paraId="6217DEA9" w14:textId="77777777" w:rsidR="003A489E" w:rsidRPr="0055776F" w:rsidRDefault="003A489E" w:rsidP="00535195">
                                  <w:pPr>
                                    <w:rPr>
                                      <w:rFonts w:ascii="Arial" w:hAnsi="Arial" w:cs="Arial"/>
                                      <w:sz w:val="20"/>
                                    </w:rPr>
                                  </w:pPr>
                                  <w:r w:rsidRPr="0055776F">
                                    <w:rPr>
                                      <w:rFonts w:ascii="Arial" w:hAnsi="Arial" w:cs="Arial"/>
                                      <w:sz w:val="20"/>
                                    </w:rPr>
                                    <w:t>(2) Imatin</w:t>
                                  </w:r>
                                  <w:r>
                                    <w:rPr>
                                      <w:rFonts w:ascii="Arial" w:hAnsi="Arial" w:cs="Arial"/>
                                      <w:sz w:val="20"/>
                                    </w:rPr>
                                    <w:t>i</w:t>
                                  </w:r>
                                  <w:r w:rsidRPr="0055776F">
                                    <w:rPr>
                                      <w:rFonts w:ascii="Arial" w:hAnsi="Arial" w:cs="Arial"/>
                                      <w:sz w:val="20"/>
                                    </w:rPr>
                                    <w:t xml:space="preserve">ib </w:t>
                                  </w:r>
                                  <w:r>
                                    <w:rPr>
                                      <w:rFonts w:ascii="Arial" w:hAnsi="Arial" w:cs="Arial"/>
                                      <w:sz w:val="20"/>
                                    </w:rPr>
                                    <w:t>36 kuud</w:t>
                                  </w:r>
                                  <w:r w:rsidRPr="0055776F">
                                    <w:rPr>
                                      <w:rFonts w:ascii="Arial" w:hAnsi="Arial" w:cs="Arial"/>
                                      <w:sz w:val="20"/>
                                    </w:rPr>
                                    <w:t>:</w:t>
                                  </w:r>
                                </w:p>
                              </w:tc>
                              <w:tc>
                                <w:tcPr>
                                  <w:tcW w:w="851" w:type="dxa"/>
                                  <w:tcBorders>
                                    <w:bottom w:val="single" w:sz="4" w:space="0" w:color="auto"/>
                                  </w:tcBorders>
                                  <w:shd w:val="clear" w:color="auto" w:fill="auto"/>
                                </w:tcPr>
                                <w:p w14:paraId="48C5EE48" w14:textId="77777777" w:rsidR="003A489E" w:rsidRPr="0055776F" w:rsidRDefault="003A489E" w:rsidP="00B00A71">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6C5327C8" w14:textId="77777777" w:rsidR="003A489E" w:rsidRPr="0055776F" w:rsidRDefault="003A489E" w:rsidP="00B00A71">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4D2A0583" w14:textId="77777777" w:rsidR="003A489E" w:rsidRPr="0055776F" w:rsidRDefault="003A489E" w:rsidP="00B00A71">
                                  <w:pPr>
                                    <w:rPr>
                                      <w:rFonts w:ascii="Arial" w:hAnsi="Arial" w:cs="Arial"/>
                                      <w:sz w:val="20"/>
                                    </w:rPr>
                                  </w:pPr>
                                  <w:r w:rsidRPr="0055776F">
                                    <w:rPr>
                                      <w:rFonts w:ascii="Arial" w:hAnsi="Arial" w:cs="Arial"/>
                                      <w:sz w:val="20"/>
                                    </w:rPr>
                                    <w:t>186</w:t>
                                  </w:r>
                                </w:p>
                              </w:tc>
                            </w:tr>
                            <w:tr w:rsidR="003A489E" w:rsidRPr="0055776F" w14:paraId="0FD2F10F" w14:textId="77777777" w:rsidTr="00DC1808">
                              <w:tc>
                                <w:tcPr>
                                  <w:tcW w:w="817" w:type="dxa"/>
                                  <w:shd w:val="clear" w:color="auto" w:fill="auto"/>
                                </w:tcPr>
                                <w:p w14:paraId="20285AA2" w14:textId="77777777" w:rsidR="003A489E" w:rsidRPr="0055776F" w:rsidRDefault="003A489E" w:rsidP="00B00A71">
                                  <w:pPr>
                                    <w:rPr>
                                      <w:rFonts w:ascii="Arial" w:hAnsi="Arial" w:cs="Arial"/>
                                      <w:sz w:val="20"/>
                                    </w:rPr>
                                  </w:pPr>
                                  <w:r w:rsidRPr="0055776F">
                                    <w:rPr>
                                      <w:rFonts w:ascii="Arial" w:hAnsi="Arial" w:cs="Arial"/>
                                      <w:sz w:val="20"/>
                                    </w:rPr>
                                    <w:t>│││</w:t>
                                  </w:r>
                                </w:p>
                              </w:tc>
                              <w:tc>
                                <w:tcPr>
                                  <w:tcW w:w="2835" w:type="dxa"/>
                                  <w:shd w:val="clear" w:color="auto" w:fill="auto"/>
                                </w:tcPr>
                                <w:p w14:paraId="4729C08F" w14:textId="77777777" w:rsidR="003A489E" w:rsidRPr="0055776F" w:rsidRDefault="003A489E" w:rsidP="00B00A71">
                                  <w:pPr>
                                    <w:rPr>
                                      <w:rFonts w:ascii="Arial" w:hAnsi="Arial" w:cs="Arial"/>
                                      <w:sz w:val="20"/>
                                    </w:rPr>
                                  </w:pPr>
                                  <w:r>
                                    <w:rPr>
                                      <w:rFonts w:ascii="Arial" w:hAnsi="Arial" w:cs="Arial"/>
                                      <w:sz w:val="20"/>
                                    </w:rPr>
                                    <w:t>Tsenseeritud</w:t>
                                  </w:r>
                                  <w:r w:rsidRPr="00A33DBA">
                                    <w:rPr>
                                      <w:rFonts w:ascii="Arial" w:hAnsi="Arial" w:cs="Arial"/>
                                      <w:sz w:val="20"/>
                                    </w:rPr>
                                    <w:t xml:space="preserve"> </w:t>
                                  </w:r>
                                  <w:r>
                                    <w:rPr>
                                      <w:rFonts w:ascii="Arial" w:hAnsi="Arial" w:cs="Arial"/>
                                      <w:sz w:val="20"/>
                                    </w:rPr>
                                    <w:t>vaatlusandmed</w:t>
                                  </w:r>
                                </w:p>
                              </w:tc>
                              <w:tc>
                                <w:tcPr>
                                  <w:tcW w:w="851" w:type="dxa"/>
                                  <w:tcBorders>
                                    <w:top w:val="single" w:sz="4" w:space="0" w:color="auto"/>
                                  </w:tcBorders>
                                  <w:shd w:val="clear" w:color="auto" w:fill="auto"/>
                                </w:tcPr>
                                <w:p w14:paraId="27CD0145" w14:textId="77777777" w:rsidR="003A489E" w:rsidRPr="0055776F" w:rsidRDefault="003A489E" w:rsidP="00B00A71">
                                  <w:pPr>
                                    <w:rPr>
                                      <w:rFonts w:ascii="Arial" w:hAnsi="Arial" w:cs="Arial"/>
                                      <w:sz w:val="20"/>
                                    </w:rPr>
                                  </w:pPr>
                                </w:p>
                              </w:tc>
                              <w:tc>
                                <w:tcPr>
                                  <w:tcW w:w="709" w:type="dxa"/>
                                  <w:tcBorders>
                                    <w:top w:val="single" w:sz="4" w:space="0" w:color="auto"/>
                                  </w:tcBorders>
                                  <w:shd w:val="clear" w:color="auto" w:fill="auto"/>
                                </w:tcPr>
                                <w:p w14:paraId="7EB68D4D" w14:textId="77777777" w:rsidR="003A489E" w:rsidRPr="0055776F" w:rsidRDefault="003A489E" w:rsidP="00B00A71">
                                  <w:pPr>
                                    <w:rPr>
                                      <w:rFonts w:ascii="Arial" w:hAnsi="Arial" w:cs="Arial"/>
                                      <w:sz w:val="20"/>
                                    </w:rPr>
                                  </w:pPr>
                                </w:p>
                              </w:tc>
                              <w:tc>
                                <w:tcPr>
                                  <w:tcW w:w="850" w:type="dxa"/>
                                  <w:tcBorders>
                                    <w:top w:val="single" w:sz="4" w:space="0" w:color="auto"/>
                                  </w:tcBorders>
                                  <w:shd w:val="clear" w:color="auto" w:fill="auto"/>
                                </w:tcPr>
                                <w:p w14:paraId="3C57CFFD" w14:textId="77777777" w:rsidR="003A489E" w:rsidRPr="0055776F" w:rsidRDefault="003A489E" w:rsidP="00B00A71">
                                  <w:pPr>
                                    <w:rPr>
                                      <w:rFonts w:ascii="Arial" w:hAnsi="Arial" w:cs="Arial"/>
                                      <w:sz w:val="20"/>
                                    </w:rPr>
                                  </w:pPr>
                                </w:p>
                              </w:tc>
                            </w:tr>
                          </w:tbl>
                          <w:p w14:paraId="2A767F41" w14:textId="77777777" w:rsidR="003A489E" w:rsidRPr="00A33DBA" w:rsidRDefault="003A489E" w:rsidP="004B7624">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247764" id="_x0000_s1031" type="#_x0000_t202" style="position:absolute;margin-left:26.85pt;margin-top:69.85pt;width:361.05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" filled="f" stroked="f">
                <v:textbox>
                  <w:txbxContent>
                    <w:p w14:paraId="7347BE31" w14:textId="77777777" w:rsidR="003A489E" w:rsidRDefault="003A489E" w:rsidP="00DC1808">
                      <w:pPr>
                        <w:rPr>
                          <w:rFonts w:ascii="Arial" w:hAnsi="Arial" w:cs="Arial"/>
                          <w:sz w:val="20"/>
                        </w:rPr>
                      </w:pPr>
                    </w:p>
                    <w:tbl>
                      <w:tblPr>
                        <w:tblW w:w="0" w:type="auto"/>
                        <w:tblLook w:val="04A0" w:firstRow="1" w:lastRow="0" w:firstColumn="1" w:lastColumn="0" w:noHBand="0" w:noVBand="1"/>
                      </w:tblPr>
                      <w:tblGrid>
                        <w:gridCol w:w="817"/>
                        <w:gridCol w:w="2835"/>
                        <w:gridCol w:w="851"/>
                        <w:gridCol w:w="709"/>
                        <w:gridCol w:w="850"/>
                      </w:tblGrid>
                      <w:tr w:rsidR="003A489E" w:rsidRPr="0055776F" w14:paraId="47C422E0" w14:textId="77777777" w:rsidTr="00DC1808">
                        <w:tc>
                          <w:tcPr>
                            <w:tcW w:w="6062" w:type="dxa"/>
                            <w:gridSpan w:val="5"/>
                            <w:shd w:val="clear" w:color="auto" w:fill="auto"/>
                          </w:tcPr>
                          <w:p w14:paraId="22586007" w14:textId="77777777" w:rsidR="003A489E" w:rsidRPr="00A33DBA" w:rsidRDefault="003A489E" w:rsidP="00DC1808">
                            <w:pPr>
                              <w:rPr>
                                <w:rFonts w:ascii="Arial" w:hAnsi="Arial" w:cs="Arial"/>
                                <w:sz w:val="20"/>
                              </w:rPr>
                            </w:pPr>
                            <w:r>
                              <w:rPr>
                                <w:rFonts w:ascii="Arial" w:hAnsi="Arial" w:cs="Arial"/>
                                <w:sz w:val="20"/>
                              </w:rPr>
                              <w:t>P = 0,0</w:t>
                            </w:r>
                            <w:r w:rsidRPr="00A33DBA">
                              <w:rPr>
                                <w:rFonts w:ascii="Arial" w:hAnsi="Arial" w:cs="Arial"/>
                                <w:sz w:val="20"/>
                              </w:rPr>
                              <w:t>19</w:t>
                            </w:r>
                          </w:p>
                          <w:p w14:paraId="3368BAB2" w14:textId="77777777" w:rsidR="003A489E" w:rsidRPr="00A33DBA" w:rsidRDefault="003A489E" w:rsidP="00DC1808">
                            <w:pPr>
                              <w:rPr>
                                <w:rFonts w:ascii="Arial" w:hAnsi="Arial" w:cs="Arial"/>
                                <w:sz w:val="20"/>
                              </w:rPr>
                            </w:pPr>
                            <w:r>
                              <w:rPr>
                                <w:rFonts w:ascii="Arial" w:hAnsi="Arial" w:cs="Arial"/>
                                <w:sz w:val="20"/>
                              </w:rPr>
                              <w:t>Riski</w:t>
                            </w:r>
                            <w:r w:rsidRPr="00A33DBA">
                              <w:rPr>
                                <w:rFonts w:ascii="Arial" w:hAnsi="Arial" w:cs="Arial"/>
                                <w:sz w:val="20"/>
                              </w:rPr>
                              <w:t xml:space="preserve"> </w:t>
                            </w:r>
                            <w:r>
                              <w:rPr>
                                <w:rFonts w:ascii="Arial" w:hAnsi="Arial" w:cs="Arial"/>
                                <w:sz w:val="20"/>
                              </w:rPr>
                              <w:t>määr 0,</w:t>
                            </w:r>
                            <w:r w:rsidRPr="00A33DBA">
                              <w:rPr>
                                <w:rFonts w:ascii="Arial" w:hAnsi="Arial" w:cs="Arial"/>
                                <w:sz w:val="20"/>
                              </w:rPr>
                              <w:t>45</w:t>
                            </w:r>
                          </w:p>
                          <w:p w14:paraId="53CF0373" w14:textId="77777777" w:rsidR="003A489E" w:rsidRPr="0055776F" w:rsidRDefault="003A489E" w:rsidP="00DC1808">
                            <w:pPr>
                              <w:rPr>
                                <w:rFonts w:ascii="Arial" w:hAnsi="Arial" w:cs="Arial"/>
                                <w:sz w:val="20"/>
                                <w:lang w:val="de-DE"/>
                              </w:rPr>
                            </w:pPr>
                            <w:r>
                              <w:rPr>
                                <w:rFonts w:ascii="Arial" w:hAnsi="Arial" w:cs="Arial"/>
                                <w:sz w:val="20"/>
                              </w:rPr>
                              <w:t>(95% Cl, 0,22…0,</w:t>
                            </w:r>
                            <w:r w:rsidRPr="00A33DBA">
                              <w:rPr>
                                <w:rFonts w:ascii="Arial" w:hAnsi="Arial" w:cs="Arial"/>
                                <w:sz w:val="20"/>
                              </w:rPr>
                              <w:t>89)</w:t>
                            </w:r>
                          </w:p>
                        </w:tc>
                      </w:tr>
                      <w:tr w:rsidR="003A489E" w:rsidRPr="0055776F" w14:paraId="27C83B23" w14:textId="77777777" w:rsidTr="00DC1808">
                        <w:tc>
                          <w:tcPr>
                            <w:tcW w:w="817" w:type="dxa"/>
                            <w:shd w:val="clear" w:color="auto" w:fill="auto"/>
                          </w:tcPr>
                          <w:p w14:paraId="4A7ACBE2" w14:textId="77777777" w:rsidR="003A489E" w:rsidRPr="0055776F" w:rsidRDefault="003A489E" w:rsidP="00B00A71">
                            <w:pPr>
                              <w:rPr>
                                <w:rFonts w:ascii="Arial" w:hAnsi="Arial" w:cs="Arial"/>
                                <w:sz w:val="20"/>
                              </w:rPr>
                            </w:pPr>
                          </w:p>
                        </w:tc>
                        <w:tc>
                          <w:tcPr>
                            <w:tcW w:w="2835" w:type="dxa"/>
                            <w:shd w:val="clear" w:color="auto" w:fill="auto"/>
                          </w:tcPr>
                          <w:p w14:paraId="63EC7524" w14:textId="77777777" w:rsidR="003A489E" w:rsidRPr="0055776F" w:rsidRDefault="003A489E" w:rsidP="00B00A71">
                            <w:pPr>
                              <w:rPr>
                                <w:rFonts w:ascii="Arial" w:hAnsi="Arial" w:cs="Arial"/>
                                <w:sz w:val="20"/>
                              </w:rPr>
                            </w:pPr>
                          </w:p>
                        </w:tc>
                        <w:tc>
                          <w:tcPr>
                            <w:tcW w:w="851" w:type="dxa"/>
                            <w:tcBorders>
                              <w:bottom w:val="single" w:sz="4" w:space="0" w:color="auto"/>
                            </w:tcBorders>
                            <w:shd w:val="clear" w:color="auto" w:fill="auto"/>
                          </w:tcPr>
                          <w:p w14:paraId="0156D055" w14:textId="77777777" w:rsidR="003A489E" w:rsidRPr="0055776F" w:rsidRDefault="003A489E" w:rsidP="00B00A71">
                            <w:pPr>
                              <w:rPr>
                                <w:rFonts w:ascii="Arial" w:hAnsi="Arial" w:cs="Arial"/>
                                <w:sz w:val="20"/>
                              </w:rPr>
                            </w:pPr>
                            <w:r w:rsidRPr="00DC1808">
                              <w:rPr>
                                <w:rFonts w:ascii="Arial" w:hAnsi="Arial" w:cs="Arial"/>
                                <w:sz w:val="20"/>
                                <w:lang w:val="de-DE"/>
                              </w:rPr>
                              <w:t>N</w:t>
                            </w:r>
                          </w:p>
                        </w:tc>
                        <w:tc>
                          <w:tcPr>
                            <w:tcW w:w="709" w:type="dxa"/>
                            <w:tcBorders>
                              <w:bottom w:val="single" w:sz="4" w:space="0" w:color="auto"/>
                            </w:tcBorders>
                            <w:shd w:val="clear" w:color="auto" w:fill="auto"/>
                          </w:tcPr>
                          <w:p w14:paraId="7A82EFB8" w14:textId="77777777" w:rsidR="003A489E" w:rsidRPr="0055776F" w:rsidRDefault="003A489E" w:rsidP="00B00A71">
                            <w:pPr>
                              <w:rPr>
                                <w:rFonts w:ascii="Arial" w:hAnsi="Arial" w:cs="Arial"/>
                                <w:sz w:val="20"/>
                              </w:rPr>
                            </w:pPr>
                            <w:r w:rsidRPr="00DC1808">
                              <w:rPr>
                                <w:rFonts w:ascii="Arial" w:hAnsi="Arial" w:cs="Arial"/>
                                <w:sz w:val="20"/>
                                <w:lang w:val="de-DE"/>
                              </w:rPr>
                              <w:t>Snd</w:t>
                            </w:r>
                          </w:p>
                        </w:tc>
                        <w:tc>
                          <w:tcPr>
                            <w:tcW w:w="850" w:type="dxa"/>
                            <w:tcBorders>
                              <w:bottom w:val="single" w:sz="4" w:space="0" w:color="auto"/>
                            </w:tcBorders>
                            <w:shd w:val="clear" w:color="auto" w:fill="auto"/>
                          </w:tcPr>
                          <w:p w14:paraId="0C335172" w14:textId="77777777" w:rsidR="003A489E" w:rsidRPr="0055776F" w:rsidRDefault="003A489E" w:rsidP="00B00A71">
                            <w:pPr>
                              <w:rPr>
                                <w:rFonts w:ascii="Arial" w:hAnsi="Arial" w:cs="Arial"/>
                                <w:sz w:val="20"/>
                              </w:rPr>
                            </w:pPr>
                            <w:r w:rsidRPr="00DC1808">
                              <w:rPr>
                                <w:rFonts w:ascii="Arial" w:hAnsi="Arial" w:cs="Arial"/>
                                <w:sz w:val="20"/>
                                <w:lang w:val="de-DE"/>
                              </w:rPr>
                              <w:t>Tsen</w:t>
                            </w:r>
                          </w:p>
                        </w:tc>
                      </w:tr>
                      <w:tr w:rsidR="003A489E" w:rsidRPr="0055776F" w14:paraId="114A1654" w14:textId="77777777" w:rsidTr="00DC1808">
                        <w:tc>
                          <w:tcPr>
                            <w:tcW w:w="817" w:type="dxa"/>
                            <w:shd w:val="clear" w:color="auto" w:fill="auto"/>
                          </w:tcPr>
                          <w:p w14:paraId="47917472" w14:textId="77777777" w:rsidR="003A489E" w:rsidRPr="0055776F" w:rsidRDefault="003A489E" w:rsidP="00B00A71">
                            <w:pPr>
                              <w:rPr>
                                <w:rFonts w:ascii="Arial" w:hAnsi="Arial" w:cs="Arial"/>
                                <w:sz w:val="20"/>
                              </w:rPr>
                            </w:pPr>
                            <w:r w:rsidRPr="0055776F">
                              <w:rPr>
                                <w:rFonts w:ascii="Arial" w:hAnsi="Arial" w:cs="Arial"/>
                                <w:b/>
                                <w:sz w:val="20"/>
                              </w:rPr>
                              <w:t>——</w:t>
                            </w:r>
                          </w:p>
                        </w:tc>
                        <w:tc>
                          <w:tcPr>
                            <w:tcW w:w="2835" w:type="dxa"/>
                            <w:shd w:val="clear" w:color="auto" w:fill="auto"/>
                          </w:tcPr>
                          <w:p w14:paraId="322D253D" w14:textId="77777777" w:rsidR="003A489E" w:rsidRPr="0055776F" w:rsidRDefault="003A489E" w:rsidP="00535195">
                            <w:pPr>
                              <w:rPr>
                                <w:rFonts w:ascii="Arial" w:hAnsi="Arial" w:cs="Arial"/>
                                <w:sz w:val="20"/>
                              </w:rPr>
                            </w:pPr>
                            <w:r>
                              <w:rPr>
                                <w:rFonts w:ascii="Arial" w:hAnsi="Arial" w:cs="Arial"/>
                                <w:sz w:val="20"/>
                              </w:rPr>
                              <w:t>(1) Imatiniib 12 kuud</w:t>
                            </w:r>
                            <w:r w:rsidRPr="0055776F">
                              <w:rPr>
                                <w:rFonts w:ascii="Arial" w:hAnsi="Arial" w:cs="Arial"/>
                                <w:sz w:val="20"/>
                              </w:rPr>
                              <w:t>:</w:t>
                            </w:r>
                          </w:p>
                        </w:tc>
                        <w:tc>
                          <w:tcPr>
                            <w:tcW w:w="851" w:type="dxa"/>
                            <w:tcBorders>
                              <w:top w:val="single" w:sz="4" w:space="0" w:color="auto"/>
                            </w:tcBorders>
                            <w:shd w:val="clear" w:color="auto" w:fill="auto"/>
                          </w:tcPr>
                          <w:p w14:paraId="08FA5740" w14:textId="77777777" w:rsidR="003A489E" w:rsidRPr="0055776F" w:rsidRDefault="003A489E" w:rsidP="00B00A71">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06F1EDAC" w14:textId="77777777" w:rsidR="003A489E" w:rsidRPr="0055776F" w:rsidRDefault="003A489E" w:rsidP="00B00A71">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0A37948A" w14:textId="77777777" w:rsidR="003A489E" w:rsidRPr="0055776F" w:rsidRDefault="003A489E" w:rsidP="00B00A71">
                            <w:pPr>
                              <w:rPr>
                                <w:rFonts w:ascii="Arial" w:hAnsi="Arial" w:cs="Arial"/>
                                <w:sz w:val="20"/>
                              </w:rPr>
                            </w:pPr>
                            <w:r w:rsidRPr="0055776F">
                              <w:rPr>
                                <w:rFonts w:ascii="Arial" w:hAnsi="Arial" w:cs="Arial"/>
                                <w:sz w:val="20"/>
                              </w:rPr>
                              <w:t>174</w:t>
                            </w:r>
                          </w:p>
                        </w:tc>
                      </w:tr>
                      <w:tr w:rsidR="003A489E" w:rsidRPr="0055776F" w14:paraId="6022551E" w14:textId="77777777" w:rsidTr="00DC1808">
                        <w:tc>
                          <w:tcPr>
                            <w:tcW w:w="817" w:type="dxa"/>
                            <w:shd w:val="clear" w:color="auto" w:fill="auto"/>
                          </w:tcPr>
                          <w:p w14:paraId="62473DB9" w14:textId="77777777" w:rsidR="003A489E" w:rsidRPr="0055776F" w:rsidRDefault="003A489E" w:rsidP="00B00A71">
                            <w:pPr>
                              <w:rPr>
                                <w:rFonts w:ascii="Arial" w:hAnsi="Arial" w:cs="Arial"/>
                                <w:sz w:val="20"/>
                              </w:rPr>
                            </w:pPr>
                            <w:r w:rsidRPr="0055776F">
                              <w:rPr>
                                <w:rFonts w:ascii="Arial" w:hAnsi="Arial" w:cs="Arial"/>
                                <w:sz w:val="20"/>
                              </w:rPr>
                              <w:t>-----</w:t>
                            </w:r>
                          </w:p>
                        </w:tc>
                        <w:tc>
                          <w:tcPr>
                            <w:tcW w:w="2835" w:type="dxa"/>
                            <w:shd w:val="clear" w:color="auto" w:fill="auto"/>
                          </w:tcPr>
                          <w:p w14:paraId="6217DEA9" w14:textId="77777777" w:rsidR="003A489E" w:rsidRPr="0055776F" w:rsidRDefault="003A489E" w:rsidP="00535195">
                            <w:pPr>
                              <w:rPr>
                                <w:rFonts w:ascii="Arial" w:hAnsi="Arial" w:cs="Arial"/>
                                <w:sz w:val="20"/>
                              </w:rPr>
                            </w:pPr>
                            <w:r w:rsidRPr="0055776F">
                              <w:rPr>
                                <w:rFonts w:ascii="Arial" w:hAnsi="Arial" w:cs="Arial"/>
                                <w:sz w:val="20"/>
                              </w:rPr>
                              <w:t>(2) Imatin</w:t>
                            </w:r>
                            <w:r>
                              <w:rPr>
                                <w:rFonts w:ascii="Arial" w:hAnsi="Arial" w:cs="Arial"/>
                                <w:sz w:val="20"/>
                              </w:rPr>
                              <w:t>i</w:t>
                            </w:r>
                            <w:r w:rsidRPr="0055776F">
                              <w:rPr>
                                <w:rFonts w:ascii="Arial" w:hAnsi="Arial" w:cs="Arial"/>
                                <w:sz w:val="20"/>
                              </w:rPr>
                              <w:t xml:space="preserve">ib </w:t>
                            </w:r>
                            <w:r>
                              <w:rPr>
                                <w:rFonts w:ascii="Arial" w:hAnsi="Arial" w:cs="Arial"/>
                                <w:sz w:val="20"/>
                              </w:rPr>
                              <w:t>36 kuud</w:t>
                            </w:r>
                            <w:r w:rsidRPr="0055776F">
                              <w:rPr>
                                <w:rFonts w:ascii="Arial" w:hAnsi="Arial" w:cs="Arial"/>
                                <w:sz w:val="20"/>
                              </w:rPr>
                              <w:t>:</w:t>
                            </w:r>
                          </w:p>
                        </w:tc>
                        <w:tc>
                          <w:tcPr>
                            <w:tcW w:w="851" w:type="dxa"/>
                            <w:tcBorders>
                              <w:bottom w:val="single" w:sz="4" w:space="0" w:color="auto"/>
                            </w:tcBorders>
                            <w:shd w:val="clear" w:color="auto" w:fill="auto"/>
                          </w:tcPr>
                          <w:p w14:paraId="48C5EE48" w14:textId="77777777" w:rsidR="003A489E" w:rsidRPr="0055776F" w:rsidRDefault="003A489E" w:rsidP="00B00A71">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6C5327C8" w14:textId="77777777" w:rsidR="003A489E" w:rsidRPr="0055776F" w:rsidRDefault="003A489E" w:rsidP="00B00A71">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4D2A0583" w14:textId="77777777" w:rsidR="003A489E" w:rsidRPr="0055776F" w:rsidRDefault="003A489E" w:rsidP="00B00A71">
                            <w:pPr>
                              <w:rPr>
                                <w:rFonts w:ascii="Arial" w:hAnsi="Arial" w:cs="Arial"/>
                                <w:sz w:val="20"/>
                              </w:rPr>
                            </w:pPr>
                            <w:r w:rsidRPr="0055776F">
                              <w:rPr>
                                <w:rFonts w:ascii="Arial" w:hAnsi="Arial" w:cs="Arial"/>
                                <w:sz w:val="20"/>
                              </w:rPr>
                              <w:t>186</w:t>
                            </w:r>
                          </w:p>
                        </w:tc>
                      </w:tr>
                      <w:tr w:rsidR="003A489E" w:rsidRPr="0055776F" w14:paraId="0FD2F10F" w14:textId="77777777" w:rsidTr="00DC1808">
                        <w:tc>
                          <w:tcPr>
                            <w:tcW w:w="817" w:type="dxa"/>
                            <w:shd w:val="clear" w:color="auto" w:fill="auto"/>
                          </w:tcPr>
                          <w:p w14:paraId="20285AA2" w14:textId="77777777" w:rsidR="003A489E" w:rsidRPr="0055776F" w:rsidRDefault="003A489E" w:rsidP="00B00A71">
                            <w:pPr>
                              <w:rPr>
                                <w:rFonts w:ascii="Arial" w:hAnsi="Arial" w:cs="Arial"/>
                                <w:sz w:val="20"/>
                              </w:rPr>
                            </w:pPr>
                            <w:r w:rsidRPr="0055776F">
                              <w:rPr>
                                <w:rFonts w:ascii="Arial" w:hAnsi="Arial" w:cs="Arial"/>
                                <w:sz w:val="20"/>
                              </w:rPr>
                              <w:t>│││</w:t>
                            </w:r>
                          </w:p>
                        </w:tc>
                        <w:tc>
                          <w:tcPr>
                            <w:tcW w:w="2835" w:type="dxa"/>
                            <w:shd w:val="clear" w:color="auto" w:fill="auto"/>
                          </w:tcPr>
                          <w:p w14:paraId="4729C08F" w14:textId="77777777" w:rsidR="003A489E" w:rsidRPr="0055776F" w:rsidRDefault="003A489E" w:rsidP="00B00A71">
                            <w:pPr>
                              <w:rPr>
                                <w:rFonts w:ascii="Arial" w:hAnsi="Arial" w:cs="Arial"/>
                                <w:sz w:val="20"/>
                              </w:rPr>
                            </w:pPr>
                            <w:r>
                              <w:rPr>
                                <w:rFonts w:ascii="Arial" w:hAnsi="Arial" w:cs="Arial"/>
                                <w:sz w:val="20"/>
                              </w:rPr>
                              <w:t>Tsenseeritud</w:t>
                            </w:r>
                            <w:r w:rsidRPr="00A33DBA">
                              <w:rPr>
                                <w:rFonts w:ascii="Arial" w:hAnsi="Arial" w:cs="Arial"/>
                                <w:sz w:val="20"/>
                              </w:rPr>
                              <w:t xml:space="preserve"> </w:t>
                            </w:r>
                            <w:r>
                              <w:rPr>
                                <w:rFonts w:ascii="Arial" w:hAnsi="Arial" w:cs="Arial"/>
                                <w:sz w:val="20"/>
                              </w:rPr>
                              <w:t>vaatlusandmed</w:t>
                            </w:r>
                          </w:p>
                        </w:tc>
                        <w:tc>
                          <w:tcPr>
                            <w:tcW w:w="851" w:type="dxa"/>
                            <w:tcBorders>
                              <w:top w:val="single" w:sz="4" w:space="0" w:color="auto"/>
                            </w:tcBorders>
                            <w:shd w:val="clear" w:color="auto" w:fill="auto"/>
                          </w:tcPr>
                          <w:p w14:paraId="27CD0145" w14:textId="77777777" w:rsidR="003A489E" w:rsidRPr="0055776F" w:rsidRDefault="003A489E" w:rsidP="00B00A71">
                            <w:pPr>
                              <w:rPr>
                                <w:rFonts w:ascii="Arial" w:hAnsi="Arial" w:cs="Arial"/>
                                <w:sz w:val="20"/>
                              </w:rPr>
                            </w:pPr>
                          </w:p>
                        </w:tc>
                        <w:tc>
                          <w:tcPr>
                            <w:tcW w:w="709" w:type="dxa"/>
                            <w:tcBorders>
                              <w:top w:val="single" w:sz="4" w:space="0" w:color="auto"/>
                            </w:tcBorders>
                            <w:shd w:val="clear" w:color="auto" w:fill="auto"/>
                          </w:tcPr>
                          <w:p w14:paraId="7EB68D4D" w14:textId="77777777" w:rsidR="003A489E" w:rsidRPr="0055776F" w:rsidRDefault="003A489E" w:rsidP="00B00A71">
                            <w:pPr>
                              <w:rPr>
                                <w:rFonts w:ascii="Arial" w:hAnsi="Arial" w:cs="Arial"/>
                                <w:sz w:val="20"/>
                              </w:rPr>
                            </w:pPr>
                          </w:p>
                        </w:tc>
                        <w:tc>
                          <w:tcPr>
                            <w:tcW w:w="850" w:type="dxa"/>
                            <w:tcBorders>
                              <w:top w:val="single" w:sz="4" w:space="0" w:color="auto"/>
                            </w:tcBorders>
                            <w:shd w:val="clear" w:color="auto" w:fill="auto"/>
                          </w:tcPr>
                          <w:p w14:paraId="3C57CFFD" w14:textId="77777777" w:rsidR="003A489E" w:rsidRPr="0055776F" w:rsidRDefault="003A489E" w:rsidP="00B00A71">
                            <w:pPr>
                              <w:rPr>
                                <w:rFonts w:ascii="Arial" w:hAnsi="Arial" w:cs="Arial"/>
                                <w:sz w:val="20"/>
                              </w:rPr>
                            </w:pPr>
                          </w:p>
                        </w:tc>
                      </w:tr>
                    </w:tbl>
                    <w:p w14:paraId="2A767F41" w14:textId="77777777" w:rsidR="003A489E" w:rsidRPr="00A33DBA" w:rsidRDefault="003A489E" w:rsidP="004B7624">
                      <w:pPr>
                        <w:rPr>
                          <w:rFonts w:ascii="Arial" w:hAnsi="Arial" w:cs="Arial"/>
                          <w:sz w:val="20"/>
                        </w:rPr>
                      </w:pPr>
                    </w:p>
                  </w:txbxContent>
                </v:textbox>
              </v:shape>
            </w:pict>
          </mc:Fallback>
        </mc:AlternateContent>
      </w:r>
      <w:r w:rsidRPr="00EC3BD7">
        <w:rPr>
          <w:noProof/>
          <w:lang w:val="en-US"/>
        </w:rPr>
        <w:drawing>
          <wp:inline distT="0" distB="0" distL="0" distR="0" wp14:anchorId="077F522E" wp14:editId="3A806748">
            <wp:extent cx="5947410" cy="26320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06FCB4DC" w14:textId="77777777" w:rsidR="00BD5270" w:rsidRPr="00EC3BD7" w:rsidRDefault="00BD5270" w:rsidP="00B9089D">
      <w:pPr>
        <w:pStyle w:val="EndnoteText"/>
        <w:keepNext/>
        <w:keepLines/>
        <w:widowControl w:val="0"/>
        <w:tabs>
          <w:tab w:val="clear" w:pos="567"/>
        </w:tabs>
        <w:rPr>
          <w:color w:val="000000"/>
          <w:szCs w:val="22"/>
          <w:lang w:val="et-EE"/>
        </w:rPr>
      </w:pPr>
    </w:p>
    <w:p w14:paraId="27B30DC0" w14:textId="77777777" w:rsidR="004B7624" w:rsidRPr="00EC3BD7" w:rsidRDefault="004B7624" w:rsidP="00B9089D">
      <w:pPr>
        <w:keepNext/>
        <w:keepLines/>
        <w:rPr>
          <w:lang w:val="et-EE"/>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4B7624" w:rsidRPr="00EC3BD7" w14:paraId="34D6D85E" w14:textId="77777777" w:rsidTr="00BB5CA6">
        <w:tc>
          <w:tcPr>
            <w:tcW w:w="10632" w:type="dxa"/>
            <w:gridSpan w:val="16"/>
            <w:shd w:val="clear" w:color="auto" w:fill="auto"/>
          </w:tcPr>
          <w:p w14:paraId="1B235093" w14:textId="77777777" w:rsidR="004B7624" w:rsidRPr="00EC3BD7" w:rsidRDefault="00DC1808" w:rsidP="00B9089D">
            <w:pPr>
              <w:keepNext/>
              <w:keepLines/>
              <w:ind w:left="-27"/>
              <w:rPr>
                <w:rFonts w:ascii="Arial" w:hAnsi="Arial" w:cs="Arial"/>
                <w:sz w:val="16"/>
                <w:szCs w:val="16"/>
                <w:lang w:val="et-EE"/>
              </w:rPr>
            </w:pPr>
            <w:r w:rsidRPr="00EC3BD7">
              <w:rPr>
                <w:rFonts w:ascii="Arial" w:hAnsi="Arial" w:cs="Arial"/>
                <w:sz w:val="20"/>
                <w:lang w:val="et-EE"/>
              </w:rPr>
              <w:t>Riskirühm : Sündmused</w:t>
            </w:r>
          </w:p>
        </w:tc>
      </w:tr>
      <w:tr w:rsidR="004B7624" w:rsidRPr="00EC3BD7" w14:paraId="7BFDCB62" w14:textId="77777777" w:rsidTr="00594E44">
        <w:tc>
          <w:tcPr>
            <w:tcW w:w="450" w:type="dxa"/>
            <w:shd w:val="clear" w:color="auto" w:fill="auto"/>
          </w:tcPr>
          <w:p w14:paraId="31375422" w14:textId="77777777" w:rsidR="004B7624" w:rsidRPr="00EC3BD7" w:rsidRDefault="004B7624" w:rsidP="00BB5CA6">
            <w:pPr>
              <w:rPr>
                <w:sz w:val="20"/>
                <w:lang w:val="et-EE"/>
              </w:rPr>
            </w:pPr>
            <w:r w:rsidRPr="00EC3BD7">
              <w:rPr>
                <w:sz w:val="20"/>
                <w:lang w:val="et-EE"/>
              </w:rPr>
              <w:t>(1)</w:t>
            </w:r>
          </w:p>
        </w:tc>
        <w:tc>
          <w:tcPr>
            <w:tcW w:w="687" w:type="dxa"/>
            <w:shd w:val="clear" w:color="auto" w:fill="auto"/>
          </w:tcPr>
          <w:p w14:paraId="32A368DB" w14:textId="77777777" w:rsidR="004B7624" w:rsidRPr="00EC3BD7" w:rsidRDefault="004B7624" w:rsidP="00BB5CA6">
            <w:pPr>
              <w:ind w:left="-45"/>
              <w:rPr>
                <w:sz w:val="20"/>
                <w:lang w:val="et-EE"/>
              </w:rPr>
            </w:pPr>
            <w:r w:rsidRPr="00EC3BD7">
              <w:rPr>
                <w:sz w:val="20"/>
                <w:lang w:val="et-EE"/>
              </w:rPr>
              <w:t>199:0</w:t>
            </w:r>
          </w:p>
        </w:tc>
        <w:tc>
          <w:tcPr>
            <w:tcW w:w="670" w:type="dxa"/>
            <w:shd w:val="clear" w:color="auto" w:fill="auto"/>
          </w:tcPr>
          <w:p w14:paraId="41FA5E7E" w14:textId="77777777" w:rsidR="004B7624" w:rsidRPr="00EC3BD7" w:rsidRDefault="004B7624" w:rsidP="00BB5CA6">
            <w:pPr>
              <w:ind w:left="-45"/>
              <w:rPr>
                <w:sz w:val="20"/>
                <w:lang w:val="et-EE"/>
              </w:rPr>
            </w:pPr>
            <w:r w:rsidRPr="00EC3BD7">
              <w:rPr>
                <w:sz w:val="20"/>
                <w:lang w:val="et-EE"/>
              </w:rPr>
              <w:t>190:2</w:t>
            </w:r>
          </w:p>
        </w:tc>
        <w:tc>
          <w:tcPr>
            <w:tcW w:w="710" w:type="dxa"/>
            <w:shd w:val="clear" w:color="auto" w:fill="auto"/>
          </w:tcPr>
          <w:p w14:paraId="3D07E5CF" w14:textId="77777777" w:rsidR="004B7624" w:rsidRPr="00EC3BD7" w:rsidRDefault="004B7624" w:rsidP="00BB5CA6">
            <w:pPr>
              <w:ind w:left="-45"/>
              <w:rPr>
                <w:sz w:val="20"/>
                <w:lang w:val="et-EE"/>
              </w:rPr>
            </w:pPr>
            <w:r w:rsidRPr="00EC3BD7">
              <w:rPr>
                <w:sz w:val="20"/>
                <w:lang w:val="et-EE"/>
              </w:rPr>
              <w:t>188:2</w:t>
            </w:r>
          </w:p>
        </w:tc>
        <w:tc>
          <w:tcPr>
            <w:tcW w:w="717" w:type="dxa"/>
            <w:shd w:val="clear" w:color="auto" w:fill="auto"/>
          </w:tcPr>
          <w:p w14:paraId="73080E76" w14:textId="77777777" w:rsidR="004B7624" w:rsidRPr="00EC3BD7" w:rsidRDefault="004B7624" w:rsidP="00BB5CA6">
            <w:pPr>
              <w:ind w:left="-45"/>
              <w:rPr>
                <w:sz w:val="20"/>
                <w:lang w:val="et-EE"/>
              </w:rPr>
            </w:pPr>
            <w:r w:rsidRPr="00EC3BD7">
              <w:rPr>
                <w:sz w:val="20"/>
                <w:lang w:val="et-EE"/>
              </w:rPr>
              <w:t>183:6</w:t>
            </w:r>
          </w:p>
        </w:tc>
        <w:tc>
          <w:tcPr>
            <w:tcW w:w="691" w:type="dxa"/>
            <w:shd w:val="clear" w:color="auto" w:fill="auto"/>
          </w:tcPr>
          <w:p w14:paraId="171FC406" w14:textId="77777777" w:rsidR="004B7624" w:rsidRPr="00EC3BD7" w:rsidRDefault="004B7624" w:rsidP="00BB5CA6">
            <w:pPr>
              <w:ind w:left="-45"/>
              <w:rPr>
                <w:sz w:val="20"/>
                <w:lang w:val="et-EE"/>
              </w:rPr>
            </w:pPr>
            <w:r w:rsidRPr="00EC3BD7">
              <w:rPr>
                <w:sz w:val="20"/>
                <w:lang w:val="et-EE"/>
              </w:rPr>
              <w:t>176:8</w:t>
            </w:r>
          </w:p>
        </w:tc>
        <w:tc>
          <w:tcPr>
            <w:tcW w:w="770" w:type="dxa"/>
            <w:shd w:val="clear" w:color="auto" w:fill="auto"/>
          </w:tcPr>
          <w:p w14:paraId="38AFD719" w14:textId="77777777" w:rsidR="004B7624" w:rsidRPr="00EC3BD7" w:rsidRDefault="004B7624" w:rsidP="00BB5CA6">
            <w:pPr>
              <w:ind w:left="-45"/>
              <w:rPr>
                <w:sz w:val="20"/>
                <w:lang w:val="et-EE"/>
              </w:rPr>
            </w:pPr>
            <w:r w:rsidRPr="00EC3BD7">
              <w:rPr>
                <w:sz w:val="20"/>
                <w:lang w:val="et-EE"/>
              </w:rPr>
              <w:t>156:10</w:t>
            </w:r>
          </w:p>
        </w:tc>
        <w:tc>
          <w:tcPr>
            <w:tcW w:w="779" w:type="dxa"/>
            <w:shd w:val="clear" w:color="auto" w:fill="auto"/>
          </w:tcPr>
          <w:p w14:paraId="4CDBA768" w14:textId="77777777" w:rsidR="004B7624" w:rsidRPr="00EC3BD7" w:rsidRDefault="004B7624" w:rsidP="00BB5CA6">
            <w:pPr>
              <w:ind w:left="-45"/>
              <w:rPr>
                <w:sz w:val="20"/>
                <w:lang w:val="et-EE"/>
              </w:rPr>
            </w:pPr>
            <w:r w:rsidRPr="00EC3BD7">
              <w:rPr>
                <w:sz w:val="20"/>
                <w:lang w:val="et-EE"/>
              </w:rPr>
              <w:t>140:11</w:t>
            </w:r>
          </w:p>
        </w:tc>
        <w:tc>
          <w:tcPr>
            <w:tcW w:w="794" w:type="dxa"/>
            <w:shd w:val="clear" w:color="auto" w:fill="auto"/>
          </w:tcPr>
          <w:p w14:paraId="21B22C01" w14:textId="77777777" w:rsidR="004B7624" w:rsidRPr="00EC3BD7" w:rsidRDefault="004B7624" w:rsidP="00BB5CA6">
            <w:pPr>
              <w:ind w:left="-45"/>
              <w:rPr>
                <w:sz w:val="20"/>
                <w:lang w:val="et-EE"/>
              </w:rPr>
            </w:pPr>
            <w:r w:rsidRPr="00EC3BD7">
              <w:rPr>
                <w:sz w:val="20"/>
                <w:lang w:val="et-EE"/>
              </w:rPr>
              <w:t>105:14</w:t>
            </w:r>
          </w:p>
        </w:tc>
        <w:tc>
          <w:tcPr>
            <w:tcW w:w="653" w:type="dxa"/>
            <w:shd w:val="clear" w:color="auto" w:fill="auto"/>
          </w:tcPr>
          <w:p w14:paraId="4B4EF96E" w14:textId="77777777" w:rsidR="004B7624" w:rsidRPr="00EC3BD7" w:rsidRDefault="004B7624" w:rsidP="00BB5CA6">
            <w:pPr>
              <w:ind w:left="-45"/>
              <w:rPr>
                <w:sz w:val="20"/>
                <w:lang w:val="et-EE"/>
              </w:rPr>
            </w:pPr>
            <w:r w:rsidRPr="00EC3BD7">
              <w:rPr>
                <w:sz w:val="20"/>
                <w:lang w:val="et-EE"/>
              </w:rPr>
              <w:t>87:18</w:t>
            </w:r>
          </w:p>
        </w:tc>
        <w:tc>
          <w:tcPr>
            <w:tcW w:w="630" w:type="dxa"/>
            <w:shd w:val="clear" w:color="auto" w:fill="auto"/>
          </w:tcPr>
          <w:p w14:paraId="2FC3CD59" w14:textId="77777777" w:rsidR="004B7624" w:rsidRPr="00EC3BD7" w:rsidRDefault="004B7624" w:rsidP="00BB5CA6">
            <w:pPr>
              <w:ind w:left="-45"/>
              <w:rPr>
                <w:sz w:val="20"/>
                <w:lang w:val="et-EE"/>
              </w:rPr>
            </w:pPr>
            <w:r w:rsidRPr="00EC3BD7">
              <w:rPr>
                <w:sz w:val="20"/>
                <w:lang w:val="et-EE"/>
              </w:rPr>
              <w:t>64:22</w:t>
            </w:r>
          </w:p>
        </w:tc>
        <w:tc>
          <w:tcPr>
            <w:tcW w:w="643" w:type="dxa"/>
            <w:shd w:val="clear" w:color="auto" w:fill="auto"/>
          </w:tcPr>
          <w:p w14:paraId="05A9A7C0" w14:textId="77777777" w:rsidR="004B7624" w:rsidRPr="00EC3BD7" w:rsidRDefault="004B7624" w:rsidP="00BB5CA6">
            <w:pPr>
              <w:ind w:left="-45"/>
              <w:rPr>
                <w:sz w:val="20"/>
                <w:lang w:val="et-EE"/>
              </w:rPr>
            </w:pPr>
            <w:r w:rsidRPr="00EC3BD7">
              <w:rPr>
                <w:sz w:val="20"/>
                <w:lang w:val="et-EE"/>
              </w:rPr>
              <w:t>46:23</w:t>
            </w:r>
          </w:p>
        </w:tc>
        <w:tc>
          <w:tcPr>
            <w:tcW w:w="670" w:type="dxa"/>
            <w:shd w:val="clear" w:color="auto" w:fill="auto"/>
          </w:tcPr>
          <w:p w14:paraId="5895311D" w14:textId="77777777" w:rsidR="004B7624" w:rsidRPr="00EC3BD7" w:rsidRDefault="004B7624" w:rsidP="00BB5CA6">
            <w:pPr>
              <w:ind w:left="-45"/>
              <w:rPr>
                <w:sz w:val="20"/>
                <w:lang w:val="et-EE"/>
              </w:rPr>
            </w:pPr>
            <w:r w:rsidRPr="00EC3BD7">
              <w:rPr>
                <w:sz w:val="20"/>
                <w:lang w:val="et-EE"/>
              </w:rPr>
              <w:t>27:25</w:t>
            </w:r>
          </w:p>
        </w:tc>
        <w:tc>
          <w:tcPr>
            <w:tcW w:w="683" w:type="dxa"/>
            <w:shd w:val="clear" w:color="auto" w:fill="auto"/>
          </w:tcPr>
          <w:p w14:paraId="6E8A007F" w14:textId="77777777" w:rsidR="004B7624" w:rsidRPr="00EC3BD7" w:rsidRDefault="004B7624" w:rsidP="00BB5CA6">
            <w:pPr>
              <w:ind w:left="-45"/>
              <w:rPr>
                <w:sz w:val="20"/>
                <w:lang w:val="et-EE"/>
              </w:rPr>
            </w:pPr>
            <w:r w:rsidRPr="00EC3BD7">
              <w:rPr>
                <w:sz w:val="20"/>
                <w:lang w:val="et-EE"/>
              </w:rPr>
              <w:t>20:25</w:t>
            </w:r>
          </w:p>
        </w:tc>
        <w:tc>
          <w:tcPr>
            <w:tcW w:w="558" w:type="dxa"/>
            <w:shd w:val="clear" w:color="auto" w:fill="auto"/>
          </w:tcPr>
          <w:p w14:paraId="3F41F59B" w14:textId="77777777" w:rsidR="004B7624" w:rsidRPr="00EC3BD7" w:rsidRDefault="004B7624" w:rsidP="00BB5CA6">
            <w:pPr>
              <w:ind w:left="-45"/>
              <w:rPr>
                <w:sz w:val="20"/>
                <w:lang w:val="et-EE"/>
              </w:rPr>
            </w:pPr>
            <w:r w:rsidRPr="00EC3BD7">
              <w:rPr>
                <w:sz w:val="20"/>
                <w:lang w:val="et-EE"/>
              </w:rPr>
              <w:t>2:25</w:t>
            </w:r>
          </w:p>
        </w:tc>
        <w:tc>
          <w:tcPr>
            <w:tcW w:w="527" w:type="dxa"/>
            <w:shd w:val="clear" w:color="auto" w:fill="auto"/>
          </w:tcPr>
          <w:p w14:paraId="607823AF" w14:textId="77777777" w:rsidR="004B7624" w:rsidRPr="00EC3BD7" w:rsidRDefault="004B7624" w:rsidP="00BB5CA6">
            <w:pPr>
              <w:ind w:left="-45"/>
              <w:rPr>
                <w:sz w:val="20"/>
                <w:lang w:val="et-EE"/>
              </w:rPr>
            </w:pPr>
            <w:r w:rsidRPr="00EC3BD7">
              <w:rPr>
                <w:sz w:val="20"/>
                <w:lang w:val="et-EE"/>
              </w:rPr>
              <w:t>0:25</w:t>
            </w:r>
          </w:p>
        </w:tc>
      </w:tr>
      <w:tr w:rsidR="004B7624" w:rsidRPr="00EC3BD7" w14:paraId="7AA1EFD5" w14:textId="77777777" w:rsidTr="00594E44">
        <w:tc>
          <w:tcPr>
            <w:tcW w:w="450" w:type="dxa"/>
            <w:shd w:val="clear" w:color="auto" w:fill="auto"/>
          </w:tcPr>
          <w:p w14:paraId="5270747F" w14:textId="77777777" w:rsidR="004B7624" w:rsidRPr="00EC3BD7" w:rsidRDefault="004B7624" w:rsidP="00BB5CA6">
            <w:pPr>
              <w:rPr>
                <w:sz w:val="20"/>
                <w:lang w:val="et-EE"/>
              </w:rPr>
            </w:pPr>
            <w:r w:rsidRPr="00EC3BD7">
              <w:rPr>
                <w:sz w:val="20"/>
                <w:lang w:val="et-EE"/>
              </w:rPr>
              <w:t>(2)</w:t>
            </w:r>
          </w:p>
        </w:tc>
        <w:tc>
          <w:tcPr>
            <w:tcW w:w="687" w:type="dxa"/>
            <w:shd w:val="clear" w:color="auto" w:fill="auto"/>
          </w:tcPr>
          <w:p w14:paraId="3F321CC1" w14:textId="77777777" w:rsidR="004B7624" w:rsidRPr="00EC3BD7" w:rsidRDefault="004B7624" w:rsidP="00BB5CA6">
            <w:pPr>
              <w:ind w:left="-45"/>
              <w:rPr>
                <w:sz w:val="20"/>
                <w:lang w:val="et-EE"/>
              </w:rPr>
            </w:pPr>
            <w:r w:rsidRPr="00EC3BD7">
              <w:rPr>
                <w:sz w:val="20"/>
                <w:lang w:val="et-EE"/>
              </w:rPr>
              <w:t>198:0</w:t>
            </w:r>
          </w:p>
        </w:tc>
        <w:tc>
          <w:tcPr>
            <w:tcW w:w="670" w:type="dxa"/>
            <w:shd w:val="clear" w:color="auto" w:fill="auto"/>
          </w:tcPr>
          <w:p w14:paraId="0085F22E" w14:textId="77777777" w:rsidR="004B7624" w:rsidRPr="00EC3BD7" w:rsidRDefault="004B7624" w:rsidP="00BB5CA6">
            <w:pPr>
              <w:ind w:left="-45"/>
              <w:rPr>
                <w:sz w:val="20"/>
                <w:lang w:val="et-EE"/>
              </w:rPr>
            </w:pPr>
            <w:r w:rsidRPr="00EC3BD7">
              <w:rPr>
                <w:sz w:val="20"/>
                <w:lang w:val="et-EE"/>
              </w:rPr>
              <w:t>196:0</w:t>
            </w:r>
          </w:p>
        </w:tc>
        <w:tc>
          <w:tcPr>
            <w:tcW w:w="710" w:type="dxa"/>
            <w:shd w:val="clear" w:color="auto" w:fill="auto"/>
          </w:tcPr>
          <w:p w14:paraId="2DA88EED" w14:textId="77777777" w:rsidR="004B7624" w:rsidRPr="00EC3BD7" w:rsidRDefault="004B7624" w:rsidP="00BB5CA6">
            <w:pPr>
              <w:ind w:left="-45"/>
              <w:rPr>
                <w:sz w:val="20"/>
                <w:lang w:val="et-EE"/>
              </w:rPr>
            </w:pPr>
            <w:r w:rsidRPr="00EC3BD7">
              <w:rPr>
                <w:sz w:val="20"/>
                <w:lang w:val="et-EE"/>
              </w:rPr>
              <w:t>192:0</w:t>
            </w:r>
          </w:p>
        </w:tc>
        <w:tc>
          <w:tcPr>
            <w:tcW w:w="717" w:type="dxa"/>
            <w:shd w:val="clear" w:color="auto" w:fill="auto"/>
          </w:tcPr>
          <w:p w14:paraId="367FE720" w14:textId="77777777" w:rsidR="004B7624" w:rsidRPr="00EC3BD7" w:rsidRDefault="004B7624" w:rsidP="00BB5CA6">
            <w:pPr>
              <w:ind w:left="-45"/>
              <w:rPr>
                <w:sz w:val="20"/>
                <w:lang w:val="et-EE"/>
              </w:rPr>
            </w:pPr>
            <w:r w:rsidRPr="00EC3BD7">
              <w:rPr>
                <w:sz w:val="20"/>
                <w:lang w:val="et-EE"/>
              </w:rPr>
              <w:t>187:4</w:t>
            </w:r>
          </w:p>
        </w:tc>
        <w:tc>
          <w:tcPr>
            <w:tcW w:w="691" w:type="dxa"/>
            <w:shd w:val="clear" w:color="auto" w:fill="auto"/>
          </w:tcPr>
          <w:p w14:paraId="63D29179" w14:textId="77777777" w:rsidR="004B7624" w:rsidRPr="00EC3BD7" w:rsidRDefault="004B7624" w:rsidP="00BB5CA6">
            <w:pPr>
              <w:ind w:left="-45"/>
              <w:rPr>
                <w:sz w:val="20"/>
                <w:lang w:val="et-EE"/>
              </w:rPr>
            </w:pPr>
            <w:r w:rsidRPr="00EC3BD7">
              <w:rPr>
                <w:sz w:val="20"/>
                <w:lang w:val="et-EE"/>
              </w:rPr>
              <w:t>184:5</w:t>
            </w:r>
          </w:p>
        </w:tc>
        <w:tc>
          <w:tcPr>
            <w:tcW w:w="770" w:type="dxa"/>
            <w:shd w:val="clear" w:color="auto" w:fill="auto"/>
          </w:tcPr>
          <w:p w14:paraId="2023C532" w14:textId="77777777" w:rsidR="004B7624" w:rsidRPr="00EC3BD7" w:rsidRDefault="004B7624" w:rsidP="00BB5CA6">
            <w:pPr>
              <w:ind w:left="-45"/>
              <w:rPr>
                <w:sz w:val="20"/>
                <w:lang w:val="et-EE"/>
              </w:rPr>
            </w:pPr>
            <w:r w:rsidRPr="00EC3BD7">
              <w:rPr>
                <w:sz w:val="20"/>
                <w:lang w:val="et-EE"/>
              </w:rPr>
              <w:t>164:7</w:t>
            </w:r>
          </w:p>
        </w:tc>
        <w:tc>
          <w:tcPr>
            <w:tcW w:w="779" w:type="dxa"/>
            <w:shd w:val="clear" w:color="auto" w:fill="auto"/>
          </w:tcPr>
          <w:p w14:paraId="1750DAC5" w14:textId="77777777" w:rsidR="004B7624" w:rsidRPr="00EC3BD7" w:rsidRDefault="004B7624" w:rsidP="00BB5CA6">
            <w:pPr>
              <w:ind w:left="-45"/>
              <w:rPr>
                <w:sz w:val="20"/>
                <w:lang w:val="et-EE"/>
              </w:rPr>
            </w:pPr>
            <w:r w:rsidRPr="00EC3BD7">
              <w:rPr>
                <w:sz w:val="20"/>
                <w:lang w:val="et-EE"/>
              </w:rPr>
              <w:t>152:7</w:t>
            </w:r>
          </w:p>
        </w:tc>
        <w:tc>
          <w:tcPr>
            <w:tcW w:w="794" w:type="dxa"/>
            <w:shd w:val="clear" w:color="auto" w:fill="auto"/>
          </w:tcPr>
          <w:p w14:paraId="13E5759C" w14:textId="77777777" w:rsidR="004B7624" w:rsidRPr="00EC3BD7" w:rsidRDefault="004B7624" w:rsidP="00BB5CA6">
            <w:pPr>
              <w:ind w:left="-45"/>
              <w:rPr>
                <w:sz w:val="20"/>
                <w:lang w:val="et-EE"/>
              </w:rPr>
            </w:pPr>
            <w:r w:rsidRPr="00EC3BD7">
              <w:rPr>
                <w:sz w:val="20"/>
                <w:lang w:val="et-EE"/>
              </w:rPr>
              <w:t>119:8</w:t>
            </w:r>
          </w:p>
        </w:tc>
        <w:tc>
          <w:tcPr>
            <w:tcW w:w="653" w:type="dxa"/>
            <w:shd w:val="clear" w:color="auto" w:fill="auto"/>
          </w:tcPr>
          <w:p w14:paraId="64DDA46E" w14:textId="77777777" w:rsidR="004B7624" w:rsidRPr="00EC3BD7" w:rsidRDefault="004B7624" w:rsidP="00BB5CA6">
            <w:pPr>
              <w:ind w:left="-45"/>
              <w:rPr>
                <w:sz w:val="20"/>
                <w:lang w:val="et-EE"/>
              </w:rPr>
            </w:pPr>
            <w:r w:rsidRPr="00EC3BD7">
              <w:rPr>
                <w:sz w:val="20"/>
                <w:lang w:val="et-EE"/>
              </w:rPr>
              <w:t>100:8</w:t>
            </w:r>
          </w:p>
        </w:tc>
        <w:tc>
          <w:tcPr>
            <w:tcW w:w="630" w:type="dxa"/>
            <w:shd w:val="clear" w:color="auto" w:fill="auto"/>
          </w:tcPr>
          <w:p w14:paraId="25FA0A19" w14:textId="77777777" w:rsidR="004B7624" w:rsidRPr="00EC3BD7" w:rsidRDefault="004B7624" w:rsidP="00BB5CA6">
            <w:pPr>
              <w:ind w:left="-45"/>
              <w:rPr>
                <w:sz w:val="20"/>
                <w:lang w:val="et-EE"/>
              </w:rPr>
            </w:pPr>
            <w:r w:rsidRPr="00EC3BD7">
              <w:rPr>
                <w:sz w:val="20"/>
                <w:lang w:val="et-EE"/>
              </w:rPr>
              <w:t>76:10</w:t>
            </w:r>
          </w:p>
        </w:tc>
        <w:tc>
          <w:tcPr>
            <w:tcW w:w="643" w:type="dxa"/>
            <w:shd w:val="clear" w:color="auto" w:fill="auto"/>
          </w:tcPr>
          <w:p w14:paraId="04621769" w14:textId="77777777" w:rsidR="004B7624" w:rsidRPr="00EC3BD7" w:rsidRDefault="004B7624" w:rsidP="00BB5CA6">
            <w:pPr>
              <w:ind w:left="-45"/>
              <w:rPr>
                <w:sz w:val="20"/>
                <w:lang w:val="et-EE"/>
              </w:rPr>
            </w:pPr>
            <w:r w:rsidRPr="00EC3BD7">
              <w:rPr>
                <w:sz w:val="20"/>
                <w:lang w:val="et-EE"/>
              </w:rPr>
              <w:t>56:11</w:t>
            </w:r>
          </w:p>
        </w:tc>
        <w:tc>
          <w:tcPr>
            <w:tcW w:w="670" w:type="dxa"/>
            <w:shd w:val="clear" w:color="auto" w:fill="auto"/>
          </w:tcPr>
          <w:p w14:paraId="4228BEB5" w14:textId="77777777" w:rsidR="004B7624" w:rsidRPr="00EC3BD7" w:rsidRDefault="004B7624" w:rsidP="00BB5CA6">
            <w:pPr>
              <w:ind w:left="-45"/>
              <w:rPr>
                <w:sz w:val="20"/>
                <w:lang w:val="et-EE"/>
              </w:rPr>
            </w:pPr>
            <w:r w:rsidRPr="00EC3BD7">
              <w:rPr>
                <w:sz w:val="20"/>
                <w:lang w:val="et-EE"/>
              </w:rPr>
              <w:t>31:11</w:t>
            </w:r>
          </w:p>
        </w:tc>
        <w:tc>
          <w:tcPr>
            <w:tcW w:w="683" w:type="dxa"/>
            <w:shd w:val="clear" w:color="auto" w:fill="auto"/>
          </w:tcPr>
          <w:p w14:paraId="3028FBFF" w14:textId="77777777" w:rsidR="004B7624" w:rsidRPr="00EC3BD7" w:rsidRDefault="004B7624" w:rsidP="00BB5CA6">
            <w:pPr>
              <w:ind w:left="-45"/>
              <w:rPr>
                <w:sz w:val="20"/>
                <w:lang w:val="et-EE"/>
              </w:rPr>
            </w:pPr>
            <w:r w:rsidRPr="00EC3BD7">
              <w:rPr>
                <w:sz w:val="20"/>
                <w:lang w:val="et-EE"/>
              </w:rPr>
              <w:t>13:12</w:t>
            </w:r>
          </w:p>
        </w:tc>
        <w:tc>
          <w:tcPr>
            <w:tcW w:w="558" w:type="dxa"/>
            <w:shd w:val="clear" w:color="auto" w:fill="auto"/>
          </w:tcPr>
          <w:p w14:paraId="2F584219" w14:textId="77777777" w:rsidR="004B7624" w:rsidRPr="00EC3BD7" w:rsidRDefault="00953442" w:rsidP="00BB5CA6">
            <w:pPr>
              <w:ind w:left="-45"/>
              <w:rPr>
                <w:sz w:val="20"/>
                <w:lang w:val="et-EE"/>
              </w:rPr>
            </w:pPr>
            <w:r w:rsidRPr="00EC3BD7">
              <w:rPr>
                <w:sz w:val="20"/>
                <w:lang w:val="et-EE"/>
              </w:rPr>
              <w:t>0</w:t>
            </w:r>
            <w:r w:rsidR="004B7624" w:rsidRPr="00EC3BD7">
              <w:rPr>
                <w:sz w:val="20"/>
                <w:lang w:val="et-EE"/>
              </w:rPr>
              <w:t>:12</w:t>
            </w:r>
          </w:p>
        </w:tc>
        <w:tc>
          <w:tcPr>
            <w:tcW w:w="527" w:type="dxa"/>
            <w:shd w:val="clear" w:color="auto" w:fill="auto"/>
          </w:tcPr>
          <w:p w14:paraId="67EC9877" w14:textId="77777777" w:rsidR="004B7624" w:rsidRPr="00EC3BD7" w:rsidRDefault="004B7624" w:rsidP="00BB5CA6">
            <w:pPr>
              <w:ind w:left="-45"/>
              <w:rPr>
                <w:sz w:val="20"/>
                <w:lang w:val="et-EE"/>
              </w:rPr>
            </w:pPr>
          </w:p>
        </w:tc>
      </w:tr>
    </w:tbl>
    <w:p w14:paraId="317AC015" w14:textId="77777777" w:rsidR="00594E44" w:rsidRPr="00EC3BD7" w:rsidRDefault="00594E44" w:rsidP="00594E44">
      <w:pPr>
        <w:pStyle w:val="EndnoteText"/>
        <w:widowControl w:val="0"/>
        <w:tabs>
          <w:tab w:val="clear" w:pos="567"/>
        </w:tabs>
        <w:rPr>
          <w:color w:val="000000"/>
          <w:szCs w:val="22"/>
          <w:lang w:val="et-EE"/>
        </w:rPr>
      </w:pPr>
    </w:p>
    <w:p w14:paraId="4D27A94A" w14:textId="13B60A2F" w:rsidR="00594E44" w:rsidRPr="00EC3BD7" w:rsidRDefault="00594E44" w:rsidP="00594E44">
      <w:pPr>
        <w:pStyle w:val="EndnoteText"/>
        <w:widowControl w:val="0"/>
        <w:tabs>
          <w:tab w:val="clear" w:pos="567"/>
        </w:tabs>
        <w:rPr>
          <w:color w:val="000000"/>
          <w:szCs w:val="22"/>
          <w:lang w:val="et-EE"/>
        </w:rPr>
      </w:pPr>
      <w:r w:rsidRPr="00EC3BD7">
        <w:rPr>
          <w:color w:val="000000"/>
          <w:szCs w:val="22"/>
          <w:lang w:val="et-EE"/>
        </w:rPr>
        <w:t>c-Kit</w:t>
      </w:r>
      <w:r w:rsidR="006E3C0B" w:rsidRPr="00EC3BD7">
        <w:rPr>
          <w:color w:val="000000"/>
          <w:szCs w:val="22"/>
          <w:lang w:val="et-EE"/>
        </w:rPr>
        <w:t>-</w:t>
      </w:r>
      <w:r w:rsidRPr="00EC3BD7">
        <w:rPr>
          <w:color w:val="000000"/>
          <w:szCs w:val="22"/>
          <w:lang w:val="et-EE"/>
        </w:rPr>
        <w:t>positiivse GIST</w:t>
      </w:r>
      <w:r w:rsidR="00B01FA1">
        <w:rPr>
          <w:color w:val="000000"/>
          <w:szCs w:val="22"/>
          <w:lang w:val="et-EE"/>
        </w:rPr>
        <w:t>-i</w:t>
      </w:r>
      <w:r w:rsidRPr="00EC3BD7">
        <w:rPr>
          <w:color w:val="000000"/>
          <w:szCs w:val="22"/>
          <w:lang w:val="et-EE"/>
        </w:rPr>
        <w:t xml:space="preserve"> pediaatrilistel patsientidel ei ole kontrollitud kliinilisi uuringuid läbi viidud. 7-s publikatsioonis kirjeldati 17 GIST</w:t>
      </w:r>
      <w:r w:rsidR="00B01FA1">
        <w:rPr>
          <w:color w:val="000000"/>
          <w:szCs w:val="22"/>
          <w:lang w:val="et-EE"/>
        </w:rPr>
        <w:t>-i</w:t>
      </w:r>
      <w:r w:rsidRPr="00EC3BD7">
        <w:rPr>
          <w:color w:val="000000"/>
          <w:szCs w:val="22"/>
          <w:lang w:val="et-EE"/>
        </w:rPr>
        <w:t xml:space="preserve"> (Kit ja PDGFR geneetilise mutatsiooniga või ilma) patsienti. Nende patsientide vanus oli 8 kuni 18 aastat ja imatiniibi manustati nii adjuvant</w:t>
      </w:r>
      <w:r w:rsidR="00FF1B40" w:rsidRPr="00EC3BD7">
        <w:rPr>
          <w:color w:val="000000"/>
          <w:szCs w:val="22"/>
          <w:lang w:val="et-EE"/>
        </w:rPr>
        <w:t xml:space="preserve">- kui metastaaside </w:t>
      </w:r>
      <w:r w:rsidRPr="00EC3BD7">
        <w:rPr>
          <w:color w:val="000000"/>
          <w:szCs w:val="22"/>
          <w:lang w:val="et-EE"/>
        </w:rPr>
        <w:t xml:space="preserve">ravi </w:t>
      </w:r>
      <w:r w:rsidR="00FF1B40" w:rsidRPr="00EC3BD7">
        <w:rPr>
          <w:color w:val="000000"/>
          <w:szCs w:val="22"/>
          <w:lang w:val="et-EE"/>
        </w:rPr>
        <w:t>korral</w:t>
      </w:r>
      <w:r w:rsidRPr="00EC3BD7">
        <w:rPr>
          <w:color w:val="000000"/>
          <w:szCs w:val="22"/>
          <w:lang w:val="et-EE"/>
        </w:rPr>
        <w:t xml:space="preserve"> </w:t>
      </w:r>
      <w:r w:rsidR="007C385A" w:rsidRPr="00EC3BD7">
        <w:rPr>
          <w:color w:val="000000"/>
          <w:szCs w:val="22"/>
          <w:lang w:val="et-EE"/>
        </w:rPr>
        <w:t>annuses</w:t>
      </w:r>
      <w:r w:rsidRPr="00EC3BD7">
        <w:rPr>
          <w:color w:val="000000"/>
          <w:szCs w:val="22"/>
          <w:lang w:val="et-EE"/>
        </w:rPr>
        <w:t xml:space="preserve"> </w:t>
      </w:r>
      <w:r w:rsidR="00FF1B40" w:rsidRPr="00EC3BD7">
        <w:rPr>
          <w:color w:val="000000"/>
          <w:szCs w:val="22"/>
          <w:lang w:val="et-EE"/>
        </w:rPr>
        <w:t>3</w:t>
      </w:r>
      <w:r w:rsidRPr="00EC3BD7">
        <w:rPr>
          <w:color w:val="000000"/>
          <w:szCs w:val="22"/>
          <w:lang w:val="et-EE"/>
        </w:rPr>
        <w:t xml:space="preserve">00 kuni </w:t>
      </w:r>
      <w:r w:rsidR="00FF1B40" w:rsidRPr="00EC3BD7">
        <w:rPr>
          <w:color w:val="000000"/>
          <w:szCs w:val="22"/>
          <w:lang w:val="et-EE"/>
        </w:rPr>
        <w:t>8</w:t>
      </w:r>
      <w:r w:rsidRPr="00EC3BD7">
        <w:rPr>
          <w:color w:val="000000"/>
          <w:szCs w:val="22"/>
          <w:lang w:val="et-EE"/>
        </w:rPr>
        <w:t xml:space="preserve">00 mg ööpäevas. </w:t>
      </w:r>
      <w:r w:rsidR="00FF1B40" w:rsidRPr="00EC3BD7">
        <w:rPr>
          <w:color w:val="000000"/>
          <w:szCs w:val="22"/>
          <w:lang w:val="et-EE"/>
        </w:rPr>
        <w:t>Enamikul pediaatrilistest GIST</w:t>
      </w:r>
      <w:r w:rsidR="00B01FA1">
        <w:rPr>
          <w:color w:val="000000"/>
          <w:szCs w:val="22"/>
          <w:lang w:val="et-EE"/>
        </w:rPr>
        <w:t>-i</w:t>
      </w:r>
      <w:r w:rsidR="00FF1B40" w:rsidRPr="00EC3BD7">
        <w:rPr>
          <w:color w:val="000000"/>
          <w:szCs w:val="22"/>
          <w:lang w:val="et-EE"/>
        </w:rPr>
        <w:t xml:space="preserve"> patsientidest puudusid c-Kit või PDGFR mutatsiooni</w:t>
      </w:r>
      <w:r w:rsidR="003A53E9" w:rsidRPr="00EC3BD7">
        <w:rPr>
          <w:color w:val="000000"/>
          <w:szCs w:val="22"/>
          <w:lang w:val="et-EE"/>
        </w:rPr>
        <w:t xml:space="preserve"> kinnitavad andme</w:t>
      </w:r>
      <w:r w:rsidR="006E3C0B" w:rsidRPr="00EC3BD7">
        <w:rPr>
          <w:color w:val="000000"/>
          <w:szCs w:val="22"/>
          <w:lang w:val="et-EE"/>
        </w:rPr>
        <w:t>d</w:t>
      </w:r>
      <w:r w:rsidR="003A53E9" w:rsidRPr="00EC3BD7">
        <w:rPr>
          <w:color w:val="000000"/>
          <w:szCs w:val="22"/>
          <w:lang w:val="et-EE"/>
        </w:rPr>
        <w:t xml:space="preserve">, mis võis </w:t>
      </w:r>
      <w:r w:rsidR="006E3C0B" w:rsidRPr="00EC3BD7">
        <w:rPr>
          <w:color w:val="000000"/>
          <w:szCs w:val="22"/>
          <w:lang w:val="et-EE"/>
        </w:rPr>
        <w:t>viia</w:t>
      </w:r>
      <w:r w:rsidR="00FF1B40" w:rsidRPr="00EC3BD7">
        <w:rPr>
          <w:color w:val="000000"/>
          <w:szCs w:val="22"/>
          <w:lang w:val="et-EE"/>
        </w:rPr>
        <w:t xml:space="preserve"> </w:t>
      </w:r>
      <w:r w:rsidR="003A53E9" w:rsidRPr="00EC3BD7">
        <w:rPr>
          <w:color w:val="000000"/>
          <w:szCs w:val="22"/>
          <w:lang w:val="et-EE"/>
        </w:rPr>
        <w:t xml:space="preserve">kombineeritud </w:t>
      </w:r>
      <w:r w:rsidR="00FF1B40" w:rsidRPr="00EC3BD7">
        <w:rPr>
          <w:color w:val="000000"/>
          <w:szCs w:val="22"/>
          <w:lang w:val="et-EE"/>
        </w:rPr>
        <w:t>kliinilise r</w:t>
      </w:r>
      <w:r w:rsidRPr="00EC3BD7">
        <w:rPr>
          <w:color w:val="000000"/>
          <w:szCs w:val="22"/>
          <w:lang w:val="et-EE"/>
        </w:rPr>
        <w:t>avivastus</w:t>
      </w:r>
      <w:r w:rsidR="00FF1B40" w:rsidRPr="00EC3BD7">
        <w:rPr>
          <w:color w:val="000000"/>
          <w:szCs w:val="22"/>
          <w:lang w:val="et-EE"/>
        </w:rPr>
        <w:t>e</w:t>
      </w:r>
      <w:r w:rsidR="006E3C0B" w:rsidRPr="00EC3BD7">
        <w:rPr>
          <w:color w:val="000000"/>
          <w:szCs w:val="22"/>
          <w:lang w:val="et-EE"/>
        </w:rPr>
        <w:t xml:space="preserve"> esinemiseni</w:t>
      </w:r>
      <w:r w:rsidRPr="00EC3BD7">
        <w:rPr>
          <w:color w:val="000000"/>
          <w:szCs w:val="22"/>
          <w:lang w:val="et-EE"/>
        </w:rPr>
        <w:t>.</w:t>
      </w:r>
    </w:p>
    <w:p w14:paraId="0596568D" w14:textId="77777777" w:rsidR="00BD5270" w:rsidRPr="00EC3BD7" w:rsidRDefault="00BD5270" w:rsidP="00417195">
      <w:pPr>
        <w:pStyle w:val="EndnoteText"/>
        <w:widowControl w:val="0"/>
        <w:tabs>
          <w:tab w:val="clear" w:pos="567"/>
        </w:tabs>
        <w:rPr>
          <w:color w:val="000000"/>
          <w:szCs w:val="22"/>
          <w:lang w:val="et-EE"/>
        </w:rPr>
      </w:pPr>
    </w:p>
    <w:p w14:paraId="73830A74" w14:textId="1B4C43C6"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u w:val="single"/>
          <w:lang w:val="et-EE"/>
        </w:rPr>
        <w:t>Kliinilised PDFS</w:t>
      </w:r>
      <w:r w:rsidR="00B01FA1">
        <w:rPr>
          <w:color w:val="000000"/>
          <w:szCs w:val="22"/>
          <w:lang w:val="et-EE"/>
        </w:rPr>
        <w:t>-i</w:t>
      </w:r>
      <w:r w:rsidRPr="00EC3BD7">
        <w:rPr>
          <w:color w:val="000000"/>
          <w:szCs w:val="22"/>
          <w:u w:val="single"/>
          <w:lang w:val="et-EE"/>
        </w:rPr>
        <w:t xml:space="preserve"> uuringud</w:t>
      </w:r>
    </w:p>
    <w:p w14:paraId="0534FCEE" w14:textId="58638C36" w:rsidR="00136210" w:rsidRPr="00EC3BD7" w:rsidRDefault="00136210">
      <w:pPr>
        <w:pStyle w:val="EndnoteText"/>
        <w:widowControl w:val="0"/>
        <w:tabs>
          <w:tab w:val="clear" w:pos="567"/>
        </w:tabs>
        <w:rPr>
          <w:color w:val="000000"/>
          <w:szCs w:val="22"/>
          <w:lang w:val="et-EE"/>
        </w:rPr>
      </w:pPr>
      <w:r w:rsidRPr="00EC3BD7">
        <w:rPr>
          <w:color w:val="000000"/>
          <w:szCs w:val="22"/>
          <w:lang w:val="et-EE"/>
        </w:rPr>
        <w:t>Ühes avatud mitmekeskuselises II faasi kliinilises uuringus (uuring B2225) osales 12 </w:t>
      </w:r>
      <w:r w:rsidRPr="00EC3BD7">
        <w:rPr>
          <w:i/>
          <w:iCs/>
          <w:color w:val="000000"/>
          <w:szCs w:val="22"/>
          <w:lang w:val="et-EE"/>
        </w:rPr>
        <w:t>dermatofibrosarcoma protuberans</w:t>
      </w:r>
      <w:r w:rsidRPr="00EC3BD7">
        <w:rPr>
          <w:color w:val="000000"/>
          <w:szCs w:val="22"/>
          <w:lang w:val="et-EE"/>
        </w:rPr>
        <w:t>’iga (</w:t>
      </w:r>
      <w:r w:rsidR="004E6E0E" w:rsidRPr="00EC3BD7">
        <w:rPr>
          <w:color w:val="000000"/>
          <w:szCs w:val="22"/>
          <w:lang w:val="et-EE"/>
        </w:rPr>
        <w:t>PDFS</w:t>
      </w:r>
      <w:r w:rsidRPr="00EC3BD7">
        <w:rPr>
          <w:color w:val="000000"/>
          <w:szCs w:val="22"/>
          <w:lang w:val="et-EE"/>
        </w:rPr>
        <w:t xml:space="preserve">) patsienti, kellele manustati 800 mg Glivecit ööpäevas. </w:t>
      </w:r>
      <w:r w:rsidR="004E6E0E" w:rsidRPr="00EC3BD7">
        <w:rPr>
          <w:color w:val="000000"/>
          <w:szCs w:val="22"/>
          <w:lang w:val="et-EE"/>
        </w:rPr>
        <w:t>PDFS</w:t>
      </w:r>
      <w:r w:rsidR="00B01FA1">
        <w:rPr>
          <w:color w:val="000000"/>
          <w:szCs w:val="22"/>
          <w:lang w:val="et-EE"/>
        </w:rPr>
        <w:t>-i</w:t>
      </w:r>
      <w:r w:rsidRPr="00EC3BD7">
        <w:rPr>
          <w:color w:val="000000"/>
          <w:szCs w:val="22"/>
          <w:lang w:val="et-EE"/>
        </w:rPr>
        <w:t xml:space="preserve"> patsiendid olid vanuses 23 kuni 75 aastat ja uuringuga liitumise hetkel oli neil tegemist metastaatilise, algse resektsiooni järel lokaalselt retsidiveeruva </w:t>
      </w:r>
      <w:r w:rsidR="004E6E0E" w:rsidRPr="00EC3BD7">
        <w:rPr>
          <w:color w:val="000000"/>
          <w:szCs w:val="22"/>
          <w:lang w:val="et-EE"/>
        </w:rPr>
        <w:t>PDFS</w:t>
      </w:r>
      <w:r w:rsidR="00B01FA1">
        <w:rPr>
          <w:color w:val="000000"/>
          <w:szCs w:val="22"/>
          <w:lang w:val="et-EE"/>
        </w:rPr>
        <w:t>-</w:t>
      </w:r>
      <w:r w:rsidRPr="00EC3BD7">
        <w:rPr>
          <w:color w:val="000000"/>
          <w:szCs w:val="22"/>
          <w:lang w:val="et-EE"/>
        </w:rPr>
        <w:t xml:space="preserve">ga, mida ei peetud edasisele operatiivsele ravile alluvaks. Peamine efektiivsuse näitaja oli objektiivne ravivastus. 12-st uuringuga liitunud patsiendist üheksal saavutati ravivastus, neist ühel täielik ja kaheksal osaline. Kolm osalise ravivastusega patsienti muudeti seejärel operatsiooni abil haigusvabaks. Uuringus B2225 oli keskmine ravi kestus 6,2 kuud, maksimaalne ravi kestus oli 24,3 kuud. Hiljem on viies avaldatud haigusjuhu kirjelduses teatatud veel kuuest </w:t>
      </w:r>
      <w:r w:rsidR="004E6E0E" w:rsidRPr="00EC3BD7">
        <w:rPr>
          <w:color w:val="000000"/>
          <w:szCs w:val="22"/>
          <w:lang w:val="et-EE"/>
        </w:rPr>
        <w:t>PDFS</w:t>
      </w:r>
      <w:r w:rsidR="00B01FA1">
        <w:rPr>
          <w:color w:val="000000"/>
          <w:szCs w:val="22"/>
          <w:lang w:val="et-EE"/>
        </w:rPr>
        <w:t>-i</w:t>
      </w:r>
      <w:r w:rsidRPr="00EC3BD7">
        <w:rPr>
          <w:color w:val="000000"/>
          <w:szCs w:val="22"/>
          <w:lang w:val="et-EE"/>
        </w:rPr>
        <w:t xml:space="preserve"> patsiendist vanuses 18 kuud kuni 49 aastat. Kirjanduses avaldatud andmete kohaselt said täiskasvanud patsiendid kas 400 mg (4 juhul) või 800 mg (1 juhul) Glivecit ööpäevas. Viiel </w:t>
      </w:r>
      <w:r w:rsidR="007C08B9" w:rsidRPr="00EC3BD7">
        <w:rPr>
          <w:color w:val="000000"/>
          <w:szCs w:val="22"/>
          <w:lang w:val="et-EE"/>
        </w:rPr>
        <w:t>(5) </w:t>
      </w:r>
      <w:r w:rsidRPr="00EC3BD7">
        <w:rPr>
          <w:color w:val="000000"/>
          <w:szCs w:val="22"/>
          <w:lang w:val="et-EE"/>
        </w:rPr>
        <w:t xml:space="preserve">patsiendil saavutati ravivastus, neist kolmel täielik ja kahel osaline. Avaldatud kirjanduse kohaselt oli ravi keskmine kestus vahemikus 4 nädalast kuni enam kui 20 kuuni. </w:t>
      </w:r>
      <w:r w:rsidRPr="00EC3BD7">
        <w:rPr>
          <w:color w:val="000000"/>
          <w:szCs w:val="22"/>
          <w:lang w:val="et-EE" w:eastAsia="ja-JP"/>
        </w:rPr>
        <w:t>Translokatsioon t(17:22)[(q22:q13)], või selle geeniprodukt esines peaaegu kõigil Gliveci ravivastuse saanutel.</w:t>
      </w:r>
    </w:p>
    <w:p w14:paraId="5CD7E271" w14:textId="77777777" w:rsidR="008F5C05" w:rsidRPr="00EC3BD7" w:rsidRDefault="008F5C05" w:rsidP="008F5C05">
      <w:pPr>
        <w:pStyle w:val="EndnoteText"/>
        <w:widowControl w:val="0"/>
        <w:tabs>
          <w:tab w:val="clear" w:pos="567"/>
        </w:tabs>
        <w:rPr>
          <w:color w:val="000000"/>
          <w:szCs w:val="22"/>
          <w:lang w:val="et-EE"/>
        </w:rPr>
      </w:pPr>
    </w:p>
    <w:p w14:paraId="6116FACA" w14:textId="2BD2EBD1" w:rsidR="008F5C05" w:rsidRPr="00EC3BD7" w:rsidRDefault="004E6E0E" w:rsidP="008F5C05">
      <w:pPr>
        <w:pStyle w:val="EndnoteText"/>
        <w:widowControl w:val="0"/>
        <w:tabs>
          <w:tab w:val="clear" w:pos="567"/>
        </w:tabs>
        <w:rPr>
          <w:color w:val="000000"/>
          <w:szCs w:val="22"/>
          <w:lang w:val="et-EE"/>
        </w:rPr>
      </w:pPr>
      <w:r w:rsidRPr="00EC3BD7">
        <w:rPr>
          <w:color w:val="000000"/>
          <w:szCs w:val="22"/>
          <w:lang w:val="et-EE"/>
        </w:rPr>
        <w:t>PDFS</w:t>
      </w:r>
      <w:r w:rsidR="00B01FA1">
        <w:rPr>
          <w:color w:val="000000"/>
          <w:szCs w:val="22"/>
          <w:lang w:val="et-EE"/>
        </w:rPr>
        <w:t>-i</w:t>
      </w:r>
      <w:r w:rsidR="008F5C05" w:rsidRPr="00EC3BD7">
        <w:rPr>
          <w:color w:val="000000"/>
          <w:szCs w:val="22"/>
          <w:lang w:val="et-EE"/>
        </w:rPr>
        <w:t xml:space="preserve"> pediaatrilistel patsientidel ei ole kontrollitud kliinilisi uuringuid läbi viidud. 3-s publikatsioonis kirjeldati 5 </w:t>
      </w:r>
      <w:r w:rsidRPr="00EC3BD7">
        <w:rPr>
          <w:color w:val="000000"/>
          <w:szCs w:val="22"/>
          <w:lang w:val="et-EE"/>
        </w:rPr>
        <w:t>PDFS</w:t>
      </w:r>
      <w:r w:rsidR="00B01FA1">
        <w:rPr>
          <w:color w:val="000000"/>
          <w:szCs w:val="22"/>
          <w:lang w:val="et-EE"/>
        </w:rPr>
        <w:t>-i</w:t>
      </w:r>
      <w:r w:rsidR="008F5C05" w:rsidRPr="00EC3BD7">
        <w:rPr>
          <w:color w:val="000000"/>
          <w:szCs w:val="22"/>
          <w:lang w:val="et-EE"/>
        </w:rPr>
        <w:t xml:space="preserve"> ja PDGFR</w:t>
      </w:r>
      <w:r w:rsidR="00B01FA1">
        <w:rPr>
          <w:color w:val="000000"/>
          <w:szCs w:val="22"/>
          <w:lang w:val="et-EE"/>
        </w:rPr>
        <w:t>-i</w:t>
      </w:r>
      <w:r w:rsidR="008F5C05" w:rsidRPr="00EC3BD7">
        <w:rPr>
          <w:color w:val="000000"/>
          <w:szCs w:val="22"/>
          <w:lang w:val="et-EE"/>
        </w:rPr>
        <w:t xml:space="preserve"> geneetilise rekombinatsiooniga patsienti. Nende patsientide vanus oli </w:t>
      </w:r>
      <w:r w:rsidR="00B82AF5" w:rsidRPr="00EC3BD7">
        <w:rPr>
          <w:color w:val="000000"/>
          <w:szCs w:val="22"/>
          <w:lang w:val="et-EE"/>
        </w:rPr>
        <w:t xml:space="preserve">vastsündinust </w:t>
      </w:r>
      <w:r w:rsidR="008F5C05" w:rsidRPr="00EC3BD7">
        <w:rPr>
          <w:color w:val="000000"/>
          <w:szCs w:val="22"/>
          <w:lang w:val="et-EE"/>
        </w:rPr>
        <w:t>kuni 1</w:t>
      </w:r>
      <w:r w:rsidR="00B82AF5" w:rsidRPr="00EC3BD7">
        <w:rPr>
          <w:color w:val="000000"/>
          <w:szCs w:val="22"/>
          <w:lang w:val="et-EE"/>
        </w:rPr>
        <w:t>4</w:t>
      </w:r>
      <w:r w:rsidR="008F5C05" w:rsidRPr="00EC3BD7">
        <w:rPr>
          <w:color w:val="000000"/>
          <w:szCs w:val="22"/>
          <w:lang w:val="et-EE"/>
        </w:rPr>
        <w:t> aasta</w:t>
      </w:r>
      <w:r w:rsidR="00B82AF5" w:rsidRPr="00EC3BD7">
        <w:rPr>
          <w:color w:val="000000"/>
          <w:szCs w:val="22"/>
          <w:lang w:val="et-EE"/>
        </w:rPr>
        <w:t>ni</w:t>
      </w:r>
      <w:r w:rsidR="008F5C05" w:rsidRPr="00EC3BD7">
        <w:rPr>
          <w:color w:val="000000"/>
          <w:szCs w:val="22"/>
          <w:lang w:val="et-EE"/>
        </w:rPr>
        <w:t xml:space="preserve"> ja imatiniibi manustati </w:t>
      </w:r>
      <w:r w:rsidR="00B82AF5" w:rsidRPr="00EC3BD7">
        <w:rPr>
          <w:color w:val="000000"/>
          <w:szCs w:val="22"/>
          <w:lang w:val="et-EE"/>
        </w:rPr>
        <w:t xml:space="preserve">annuses </w:t>
      </w:r>
      <w:r w:rsidR="0092132D" w:rsidRPr="00EC3BD7">
        <w:rPr>
          <w:color w:val="000000"/>
          <w:szCs w:val="22"/>
          <w:lang w:val="et-EE"/>
        </w:rPr>
        <w:t xml:space="preserve">50 mg ööpäevas või annuses </w:t>
      </w:r>
      <w:r w:rsidR="00B82AF5" w:rsidRPr="00EC3BD7">
        <w:rPr>
          <w:color w:val="000000"/>
          <w:szCs w:val="22"/>
          <w:lang w:val="et-EE"/>
        </w:rPr>
        <w:t>4</w:t>
      </w:r>
      <w:r w:rsidR="008F5C05" w:rsidRPr="00EC3BD7">
        <w:rPr>
          <w:color w:val="000000"/>
          <w:szCs w:val="22"/>
          <w:lang w:val="et-EE"/>
        </w:rPr>
        <w:t xml:space="preserve">00 kuni </w:t>
      </w:r>
      <w:r w:rsidR="00B82AF5" w:rsidRPr="00EC3BD7">
        <w:rPr>
          <w:color w:val="000000"/>
          <w:szCs w:val="22"/>
          <w:lang w:val="et-EE"/>
        </w:rPr>
        <w:t>52</w:t>
      </w:r>
      <w:r w:rsidR="008F5C05" w:rsidRPr="00EC3BD7">
        <w:rPr>
          <w:color w:val="000000"/>
          <w:szCs w:val="22"/>
          <w:lang w:val="et-EE"/>
        </w:rPr>
        <w:t>0 mg</w:t>
      </w:r>
      <w:r w:rsidR="00B82AF5" w:rsidRPr="00EC3BD7">
        <w:rPr>
          <w:color w:val="000000"/>
          <w:szCs w:val="22"/>
          <w:lang w:val="et-EE"/>
        </w:rPr>
        <w:t>/m</w:t>
      </w:r>
      <w:r w:rsidR="00B82AF5" w:rsidRPr="00EC3BD7">
        <w:rPr>
          <w:color w:val="000000"/>
          <w:szCs w:val="22"/>
          <w:vertAlign w:val="superscript"/>
          <w:lang w:val="et-EE"/>
        </w:rPr>
        <w:t>2</w:t>
      </w:r>
      <w:r w:rsidR="008F5C05" w:rsidRPr="00EC3BD7">
        <w:rPr>
          <w:color w:val="000000"/>
          <w:szCs w:val="22"/>
          <w:lang w:val="et-EE"/>
        </w:rPr>
        <w:t xml:space="preserve"> ööpäevas. </w:t>
      </w:r>
      <w:r w:rsidR="00B82AF5" w:rsidRPr="00EC3BD7">
        <w:rPr>
          <w:color w:val="000000"/>
          <w:szCs w:val="22"/>
          <w:lang w:val="et-EE"/>
        </w:rPr>
        <w:t xml:space="preserve">Kõigil </w:t>
      </w:r>
      <w:r w:rsidR="008F5C05" w:rsidRPr="00EC3BD7">
        <w:rPr>
          <w:color w:val="000000"/>
          <w:szCs w:val="22"/>
          <w:lang w:val="et-EE"/>
        </w:rPr>
        <w:t>patsientide</w:t>
      </w:r>
      <w:r w:rsidR="00B82AF5" w:rsidRPr="00EC3BD7">
        <w:rPr>
          <w:color w:val="000000"/>
          <w:szCs w:val="22"/>
          <w:lang w:val="et-EE"/>
        </w:rPr>
        <w:t>l</w:t>
      </w:r>
      <w:r w:rsidR="008F5C05" w:rsidRPr="00EC3BD7">
        <w:rPr>
          <w:color w:val="000000"/>
          <w:szCs w:val="22"/>
          <w:lang w:val="et-EE"/>
        </w:rPr>
        <w:t xml:space="preserve"> </w:t>
      </w:r>
      <w:r w:rsidR="00B82AF5" w:rsidRPr="00EC3BD7">
        <w:rPr>
          <w:color w:val="000000"/>
          <w:szCs w:val="22"/>
          <w:lang w:val="et-EE"/>
        </w:rPr>
        <w:t xml:space="preserve">saavutati osaline ja/või täielik </w:t>
      </w:r>
      <w:r w:rsidR="008F5C05" w:rsidRPr="00EC3BD7">
        <w:rPr>
          <w:color w:val="000000"/>
          <w:szCs w:val="22"/>
          <w:lang w:val="et-EE"/>
        </w:rPr>
        <w:t>ravivastus.</w:t>
      </w:r>
    </w:p>
    <w:p w14:paraId="49A00D3F" w14:textId="77777777" w:rsidR="00136210" w:rsidRPr="00EC3BD7" w:rsidRDefault="00136210">
      <w:pPr>
        <w:pStyle w:val="EndnoteText"/>
        <w:widowControl w:val="0"/>
        <w:tabs>
          <w:tab w:val="clear" w:pos="567"/>
        </w:tabs>
        <w:rPr>
          <w:color w:val="000000"/>
          <w:szCs w:val="22"/>
          <w:lang w:val="et-EE"/>
        </w:rPr>
      </w:pPr>
    </w:p>
    <w:p w14:paraId="1C28F903"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5.2</w:t>
      </w:r>
      <w:r w:rsidRPr="00EC3BD7">
        <w:rPr>
          <w:b/>
          <w:color w:val="000000"/>
          <w:szCs w:val="22"/>
          <w:lang w:val="et-EE"/>
        </w:rPr>
        <w:tab/>
        <w:t>Farmakokineetilised omadused</w:t>
      </w:r>
    </w:p>
    <w:p w14:paraId="6AE5BABC" w14:textId="77777777" w:rsidR="00136210" w:rsidRPr="00EC3BD7" w:rsidRDefault="00136210" w:rsidP="00B9089D">
      <w:pPr>
        <w:pStyle w:val="EndnoteText"/>
        <w:keepNext/>
        <w:widowControl w:val="0"/>
        <w:tabs>
          <w:tab w:val="clear" w:pos="567"/>
        </w:tabs>
        <w:rPr>
          <w:color w:val="000000"/>
          <w:szCs w:val="22"/>
          <w:lang w:val="et-EE"/>
        </w:rPr>
      </w:pPr>
    </w:p>
    <w:p w14:paraId="0A39A58D" w14:textId="77777777" w:rsidR="00136210" w:rsidRPr="00EC3BD7" w:rsidRDefault="00136210" w:rsidP="00B9089D">
      <w:pPr>
        <w:pStyle w:val="EndnoteText"/>
        <w:keepNext/>
        <w:widowControl w:val="0"/>
        <w:tabs>
          <w:tab w:val="clear" w:pos="567"/>
        </w:tabs>
        <w:rPr>
          <w:color w:val="000000"/>
          <w:szCs w:val="22"/>
          <w:u w:val="single"/>
          <w:lang w:val="et-EE"/>
        </w:rPr>
      </w:pPr>
      <w:r w:rsidRPr="00EC3BD7">
        <w:rPr>
          <w:color w:val="000000"/>
          <w:szCs w:val="22"/>
          <w:u w:val="single"/>
          <w:lang w:val="et-EE"/>
        </w:rPr>
        <w:t>Gliveci farmakokineetika</w:t>
      </w:r>
    </w:p>
    <w:p w14:paraId="6090D163"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 xml:space="preserve">Gliveci farmakokineetikat on hinnatud annusevahemikus 25...1000 mg. Ravimi kineetilisi omadusi plasmas analüüsiti 1. päeval ning kas 7. või 28. päeval, kui oli saavutatud püsiv </w:t>
      </w:r>
      <w:r w:rsidRPr="00EC3BD7">
        <w:rPr>
          <w:color w:val="000000"/>
          <w:szCs w:val="22"/>
          <w:lang w:val="et-EE"/>
        </w:rPr>
        <w:lastRenderedPageBreak/>
        <w:t>plasmakontsentratsioon.</w:t>
      </w:r>
    </w:p>
    <w:p w14:paraId="2EBDA187" w14:textId="77777777" w:rsidR="00136210" w:rsidRPr="00EC3BD7" w:rsidRDefault="00136210">
      <w:pPr>
        <w:pStyle w:val="EndnoteText"/>
        <w:widowControl w:val="0"/>
        <w:tabs>
          <w:tab w:val="clear" w:pos="567"/>
        </w:tabs>
        <w:rPr>
          <w:color w:val="000000"/>
          <w:szCs w:val="22"/>
          <w:lang w:val="et-EE"/>
        </w:rPr>
      </w:pPr>
    </w:p>
    <w:p w14:paraId="3BEA745C"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u w:val="single"/>
          <w:lang w:val="et-EE"/>
        </w:rPr>
        <w:t>Imendumine</w:t>
      </w:r>
    </w:p>
    <w:p w14:paraId="2C7ECFBB"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Kapsli kasutamisel on keskmine absoluutne biosaadavus 98%. Imatiniibi plasma AUC tasemetes esinesid suukaudse annuse järgselt suured patsientidevahelised erinevused. Koos rasvarikka toiduga manustatuna vähenes imatiniibi imendumiskiirus minimaalselt (C</w:t>
      </w:r>
      <w:r w:rsidRPr="00EC3BD7">
        <w:rPr>
          <w:color w:val="000000"/>
          <w:szCs w:val="22"/>
          <w:vertAlign w:val="subscript"/>
          <w:lang w:val="et-EE"/>
        </w:rPr>
        <w:t>max</w:t>
      </w:r>
      <w:r w:rsidRPr="00EC3BD7">
        <w:rPr>
          <w:color w:val="000000"/>
          <w:szCs w:val="22"/>
          <w:lang w:val="et-EE"/>
        </w:rPr>
        <w:t xml:space="preserve"> vähenes 11% ja t</w:t>
      </w:r>
      <w:r w:rsidRPr="00EC3BD7">
        <w:rPr>
          <w:color w:val="000000"/>
          <w:szCs w:val="22"/>
          <w:vertAlign w:val="subscript"/>
          <w:lang w:val="et-EE"/>
        </w:rPr>
        <w:t>max</w:t>
      </w:r>
      <w:r w:rsidRPr="00EC3BD7">
        <w:rPr>
          <w:color w:val="000000"/>
          <w:szCs w:val="22"/>
          <w:lang w:val="et-EE"/>
        </w:rPr>
        <w:t xml:space="preserve"> pikenes 1,5 tundi) ja täheldati AUC vähest langust (7,4%) võrreldes manustamisel tühja kõhuga. Varasema seedetrakti operatsiooni mõju ravimi imendumisele ei ole uuritud.</w:t>
      </w:r>
    </w:p>
    <w:p w14:paraId="17F3F867" w14:textId="77777777" w:rsidR="00136210" w:rsidRPr="00EC3BD7" w:rsidRDefault="00136210">
      <w:pPr>
        <w:pStyle w:val="EndnoteText"/>
        <w:widowControl w:val="0"/>
        <w:tabs>
          <w:tab w:val="clear" w:pos="567"/>
        </w:tabs>
        <w:rPr>
          <w:color w:val="000000"/>
          <w:szCs w:val="22"/>
          <w:lang w:val="et-EE"/>
        </w:rPr>
      </w:pPr>
    </w:p>
    <w:p w14:paraId="058D3521"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u w:val="single"/>
          <w:lang w:val="et-EE"/>
        </w:rPr>
        <w:t>Jaotu</w:t>
      </w:r>
      <w:r w:rsidR="00DC030B" w:rsidRPr="00EC3BD7">
        <w:rPr>
          <w:color w:val="000000"/>
          <w:szCs w:val="22"/>
          <w:u w:val="single"/>
          <w:lang w:val="et-EE"/>
        </w:rPr>
        <w:t>mine</w:t>
      </w:r>
    </w:p>
    <w:p w14:paraId="153BDED3" w14:textId="77777777" w:rsidR="00136210" w:rsidRPr="00EC3BD7" w:rsidRDefault="00136210">
      <w:pPr>
        <w:pStyle w:val="EndnoteText"/>
        <w:widowControl w:val="0"/>
        <w:tabs>
          <w:tab w:val="clear" w:pos="567"/>
        </w:tabs>
        <w:rPr>
          <w:color w:val="000000"/>
          <w:szCs w:val="22"/>
          <w:lang w:val="et-EE"/>
        </w:rPr>
      </w:pPr>
      <w:r w:rsidRPr="00EC3BD7">
        <w:rPr>
          <w:i/>
          <w:color w:val="000000"/>
          <w:szCs w:val="22"/>
          <w:lang w:val="et-EE"/>
        </w:rPr>
        <w:t>In vitro</w:t>
      </w:r>
      <w:r w:rsidRPr="00EC3BD7">
        <w:rPr>
          <w:color w:val="000000"/>
          <w:szCs w:val="22"/>
          <w:lang w:val="et-EE"/>
        </w:rPr>
        <w:t xml:space="preserve"> katsete põhjal oli imatiniibi kliiniliselt oluliste kontsentratsioonide juures seonduvus plasmavalkudega umbes 95%, enamasti albumiini ja happelise alfa glükoproteiiniga ning vähesel määral lipoproteiiniga.</w:t>
      </w:r>
    </w:p>
    <w:p w14:paraId="34E00218" w14:textId="77777777" w:rsidR="00136210" w:rsidRPr="00EC3BD7" w:rsidRDefault="00136210">
      <w:pPr>
        <w:pStyle w:val="EndnoteText"/>
        <w:widowControl w:val="0"/>
        <w:tabs>
          <w:tab w:val="clear" w:pos="567"/>
        </w:tabs>
        <w:rPr>
          <w:color w:val="000000"/>
          <w:szCs w:val="22"/>
          <w:lang w:val="et-EE"/>
        </w:rPr>
      </w:pPr>
    </w:p>
    <w:p w14:paraId="10BD2A77" w14:textId="77777777" w:rsidR="00136210" w:rsidRPr="00EC3BD7" w:rsidRDefault="003D0BDB" w:rsidP="00B9089D">
      <w:pPr>
        <w:pStyle w:val="EndnoteText"/>
        <w:keepNext/>
        <w:widowControl w:val="0"/>
        <w:tabs>
          <w:tab w:val="clear" w:pos="567"/>
        </w:tabs>
        <w:rPr>
          <w:color w:val="000000"/>
          <w:szCs w:val="22"/>
          <w:lang w:val="et-EE"/>
        </w:rPr>
      </w:pPr>
      <w:r w:rsidRPr="00EC3BD7">
        <w:rPr>
          <w:color w:val="000000"/>
          <w:szCs w:val="22"/>
          <w:u w:val="single"/>
          <w:lang w:val="et-EE"/>
        </w:rPr>
        <w:t>Biotransformatsioon</w:t>
      </w:r>
    </w:p>
    <w:p w14:paraId="4412BF3E"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 xml:space="preserve">Peamine ringlev metaboliit inimesel on N-demetüleeritud piperasiinderivaat, millel on </w:t>
      </w:r>
      <w:r w:rsidRPr="00EC3BD7">
        <w:rPr>
          <w:i/>
          <w:color w:val="000000"/>
          <w:szCs w:val="22"/>
          <w:lang w:val="et-EE"/>
        </w:rPr>
        <w:t>in vitro</w:t>
      </w:r>
      <w:r w:rsidRPr="00EC3BD7">
        <w:rPr>
          <w:color w:val="000000"/>
          <w:szCs w:val="22"/>
          <w:lang w:val="et-EE"/>
        </w:rPr>
        <w:t xml:space="preserve"> toimeainega sarnane aktiivsus. Selle metaboliidi plasma AUC oli ainult 16% imatiniibi AUC-ga võrreldes. N-demetüleeritud metaboliidi seostumine plasmavalkudega on analoogne toimeaine seostumisega.</w:t>
      </w:r>
    </w:p>
    <w:p w14:paraId="1E3F8737" w14:textId="77777777" w:rsidR="00136210" w:rsidRPr="00EC3BD7" w:rsidRDefault="00136210">
      <w:pPr>
        <w:pStyle w:val="EndnoteText"/>
        <w:widowControl w:val="0"/>
        <w:tabs>
          <w:tab w:val="clear" w:pos="567"/>
        </w:tabs>
        <w:rPr>
          <w:color w:val="000000"/>
          <w:szCs w:val="22"/>
          <w:lang w:val="et-EE"/>
        </w:rPr>
      </w:pPr>
    </w:p>
    <w:p w14:paraId="06330CB8" w14:textId="77777777" w:rsidR="00136210" w:rsidRPr="00EC3BD7" w:rsidRDefault="00136210">
      <w:pPr>
        <w:pStyle w:val="Text"/>
        <w:widowControl w:val="0"/>
        <w:spacing w:before="0"/>
        <w:jc w:val="left"/>
        <w:rPr>
          <w:color w:val="000000"/>
          <w:sz w:val="22"/>
          <w:szCs w:val="22"/>
          <w:lang w:val="et-EE"/>
        </w:rPr>
      </w:pPr>
      <w:r w:rsidRPr="00EC3BD7">
        <w:rPr>
          <w:color w:val="000000"/>
          <w:sz w:val="22"/>
          <w:szCs w:val="22"/>
          <w:lang w:val="et-EE"/>
        </w:rPr>
        <w:t>Imatiniib ja N-demetüleeritud metaboliit koos andsid umbes 65% tsirkuleerivast radioaktiivsusest (AUC</w:t>
      </w:r>
      <w:r w:rsidRPr="00EC3BD7">
        <w:rPr>
          <w:color w:val="000000"/>
          <w:sz w:val="22"/>
          <w:szCs w:val="22"/>
          <w:vertAlign w:val="subscript"/>
          <w:lang w:val="et-EE"/>
        </w:rPr>
        <w:t>(0-48h)</w:t>
      </w:r>
      <w:r w:rsidRPr="00EC3BD7">
        <w:rPr>
          <w:color w:val="000000"/>
          <w:sz w:val="22"/>
          <w:szCs w:val="22"/>
          <w:lang w:val="et-EE"/>
        </w:rPr>
        <w:t>). Ülejäänud tsirkuleeriv radioaktiivsus koosnes mitmetest vähemtähtsatest metaboliitidest.</w:t>
      </w:r>
    </w:p>
    <w:p w14:paraId="6F7BAA1C" w14:textId="77777777" w:rsidR="00136210" w:rsidRPr="00EC3BD7" w:rsidRDefault="00136210">
      <w:pPr>
        <w:pStyle w:val="Text"/>
        <w:widowControl w:val="0"/>
        <w:spacing w:before="0"/>
        <w:jc w:val="left"/>
        <w:rPr>
          <w:color w:val="000000"/>
          <w:sz w:val="22"/>
          <w:szCs w:val="22"/>
          <w:lang w:val="et-EE"/>
        </w:rPr>
      </w:pPr>
    </w:p>
    <w:p w14:paraId="7639E802" w14:textId="77777777" w:rsidR="00136210" w:rsidRPr="00EC3BD7" w:rsidRDefault="00136210">
      <w:pPr>
        <w:pStyle w:val="Text"/>
        <w:widowControl w:val="0"/>
        <w:spacing w:before="0"/>
        <w:jc w:val="left"/>
        <w:rPr>
          <w:color w:val="000000"/>
          <w:sz w:val="22"/>
          <w:szCs w:val="22"/>
          <w:lang w:val="et-EE"/>
        </w:rPr>
      </w:pPr>
      <w:r w:rsidRPr="00EC3BD7">
        <w:rPr>
          <w:i/>
          <w:color w:val="000000"/>
          <w:sz w:val="22"/>
          <w:szCs w:val="22"/>
          <w:lang w:val="et-EE"/>
        </w:rPr>
        <w:t>In vitro</w:t>
      </w:r>
      <w:r w:rsidRPr="00EC3BD7">
        <w:rPr>
          <w:color w:val="000000"/>
          <w:sz w:val="22"/>
          <w:szCs w:val="22"/>
          <w:lang w:val="et-EE"/>
        </w:rPr>
        <w:t xml:space="preserve"> tulemused näitasid, et CYP3A4 on peamine inimese P450 ensüüm, mis katalüüsib imatiniibi biotransformatsiooni. Võimalike samaaegselt manustatavate ravimite hulgas (ats</w:t>
      </w:r>
      <w:r w:rsidR="00003EF4" w:rsidRPr="00EC3BD7">
        <w:rPr>
          <w:color w:val="000000"/>
          <w:sz w:val="22"/>
          <w:szCs w:val="22"/>
          <w:lang w:val="et-EE"/>
        </w:rPr>
        <w:t>e</w:t>
      </w:r>
      <w:r w:rsidRPr="00EC3BD7">
        <w:rPr>
          <w:color w:val="000000"/>
          <w:sz w:val="22"/>
          <w:szCs w:val="22"/>
          <w:lang w:val="et-EE"/>
        </w:rPr>
        <w:t>etaminofeen, atsükloviir, allopurinool, amfoteritsiin, tsütarabiin, erütromütsiin, flukonasool, hüdroksüuurea, norfloksatsiin, penitsilliin V) pärssisid ainult erütromütsiin (IC</w:t>
      </w:r>
      <w:r w:rsidRPr="00EC3BD7">
        <w:rPr>
          <w:color w:val="000000"/>
          <w:sz w:val="22"/>
          <w:szCs w:val="22"/>
          <w:vertAlign w:val="subscript"/>
          <w:lang w:val="et-EE"/>
        </w:rPr>
        <w:t>50</w:t>
      </w:r>
      <w:r w:rsidRPr="00EC3BD7">
        <w:rPr>
          <w:color w:val="000000"/>
          <w:sz w:val="22"/>
          <w:szCs w:val="22"/>
          <w:lang w:val="et-EE"/>
        </w:rPr>
        <w:t xml:space="preserve"> 50 µM) ja flukonasool (IC</w:t>
      </w:r>
      <w:r w:rsidRPr="00EC3BD7">
        <w:rPr>
          <w:color w:val="000000"/>
          <w:sz w:val="22"/>
          <w:szCs w:val="22"/>
          <w:vertAlign w:val="subscript"/>
          <w:lang w:val="et-EE"/>
        </w:rPr>
        <w:t>50</w:t>
      </w:r>
      <w:r w:rsidRPr="00EC3BD7">
        <w:rPr>
          <w:color w:val="000000"/>
          <w:sz w:val="22"/>
          <w:szCs w:val="22"/>
          <w:lang w:val="et-EE"/>
        </w:rPr>
        <w:t xml:space="preserve"> 118 µM) imatiniibi metabolismi kliiniliselt olulisel määral.</w:t>
      </w:r>
    </w:p>
    <w:p w14:paraId="26868E0A" w14:textId="77777777" w:rsidR="00136210" w:rsidRPr="00EC3BD7" w:rsidRDefault="00136210">
      <w:pPr>
        <w:pStyle w:val="Text"/>
        <w:widowControl w:val="0"/>
        <w:spacing w:before="0"/>
        <w:jc w:val="left"/>
        <w:rPr>
          <w:color w:val="000000"/>
          <w:sz w:val="22"/>
          <w:szCs w:val="22"/>
          <w:lang w:val="et-EE"/>
        </w:rPr>
      </w:pPr>
    </w:p>
    <w:p w14:paraId="1303CC1C" w14:textId="77777777" w:rsidR="00136210" w:rsidRPr="00EC3BD7" w:rsidRDefault="00136210">
      <w:pPr>
        <w:pStyle w:val="Text"/>
        <w:widowControl w:val="0"/>
        <w:spacing w:before="0"/>
        <w:jc w:val="left"/>
        <w:rPr>
          <w:color w:val="000000"/>
          <w:sz w:val="22"/>
          <w:szCs w:val="22"/>
          <w:lang w:val="et-EE"/>
        </w:rPr>
      </w:pPr>
      <w:r w:rsidRPr="00EC3BD7">
        <w:rPr>
          <w:color w:val="000000"/>
          <w:sz w:val="22"/>
          <w:szCs w:val="22"/>
          <w:lang w:val="et-EE"/>
        </w:rPr>
        <w:t xml:space="preserve">Imatiniib oli </w:t>
      </w:r>
      <w:r w:rsidRPr="00EC3BD7">
        <w:rPr>
          <w:i/>
          <w:color w:val="000000"/>
          <w:sz w:val="22"/>
          <w:szCs w:val="22"/>
          <w:lang w:val="et-EE"/>
        </w:rPr>
        <w:t>in vitro</w:t>
      </w:r>
      <w:r w:rsidRPr="00EC3BD7">
        <w:rPr>
          <w:color w:val="000000"/>
          <w:sz w:val="22"/>
          <w:szCs w:val="22"/>
          <w:lang w:val="et-EE"/>
        </w:rPr>
        <w:t xml:space="preserve"> CYP2C9, CYP2D6 ja CYP3A4/5 markersubstraatide konkureeriv inhibiitor. K</w:t>
      </w:r>
      <w:r w:rsidRPr="00EC3BD7">
        <w:rPr>
          <w:color w:val="000000"/>
          <w:sz w:val="22"/>
          <w:szCs w:val="22"/>
          <w:vertAlign w:val="subscript"/>
          <w:lang w:val="et-EE"/>
        </w:rPr>
        <w:t>i</w:t>
      </w:r>
      <w:r w:rsidRPr="00EC3BD7">
        <w:rPr>
          <w:color w:val="000000"/>
          <w:sz w:val="22"/>
          <w:szCs w:val="22"/>
          <w:lang w:val="et-EE"/>
        </w:rPr>
        <w:t xml:space="preserve"> väärtused inimese maksa mikrosoomides olid vastavalt 27, 7,5 ja 7,9 </w:t>
      </w:r>
      <w:r w:rsidRPr="00EC3BD7">
        <w:rPr>
          <w:color w:val="000000"/>
          <w:sz w:val="22"/>
          <w:szCs w:val="22"/>
          <w:lang w:val="et-EE"/>
        </w:rPr>
        <w:sym w:font="Symbol" w:char="F06D"/>
      </w:r>
      <w:r w:rsidRPr="00EC3BD7">
        <w:rPr>
          <w:color w:val="000000"/>
          <w:sz w:val="22"/>
          <w:szCs w:val="22"/>
          <w:lang w:val="et-EE"/>
        </w:rPr>
        <w:t>mol/l. Imatiniibi maksimaalne plasmakontsentratsioon patsientidel on 2...4 </w:t>
      </w:r>
      <w:r w:rsidRPr="00EC3BD7">
        <w:rPr>
          <w:color w:val="000000"/>
          <w:sz w:val="22"/>
          <w:szCs w:val="22"/>
          <w:lang w:val="et-EE"/>
        </w:rPr>
        <w:sym w:font="Symbol" w:char="F06D"/>
      </w:r>
      <w:r w:rsidRPr="00EC3BD7">
        <w:rPr>
          <w:color w:val="000000"/>
          <w:sz w:val="22"/>
          <w:szCs w:val="22"/>
          <w:lang w:val="et-EE"/>
        </w:rPr>
        <w:t>mol/l, seega on võimalik samaaegselt manustatavate ravimite CYP2D6 ja/või CYP3A4/5 vahendusel toimuva metabolismi pärssimine. Imatiniib ei sekkunud 5-fluorouratsiili biotransformatsiooni, kuid pärssis paklitakseeli metabolismi CYP2C8 (K</w:t>
      </w:r>
      <w:r w:rsidRPr="00EC3BD7">
        <w:rPr>
          <w:color w:val="000000"/>
          <w:sz w:val="22"/>
          <w:szCs w:val="22"/>
          <w:vertAlign w:val="subscript"/>
          <w:lang w:val="et-EE"/>
        </w:rPr>
        <w:t>i</w:t>
      </w:r>
      <w:r w:rsidRPr="00EC3BD7">
        <w:rPr>
          <w:color w:val="000000"/>
          <w:sz w:val="22"/>
          <w:szCs w:val="22"/>
          <w:lang w:val="et-EE"/>
        </w:rPr>
        <w:t> = 34,7 µM) konkureeriva inhibeerimise kaudu. Leitud K</w:t>
      </w:r>
      <w:r w:rsidRPr="00EC3BD7">
        <w:rPr>
          <w:color w:val="000000"/>
          <w:sz w:val="22"/>
          <w:szCs w:val="22"/>
          <w:vertAlign w:val="subscript"/>
          <w:lang w:val="et-EE"/>
        </w:rPr>
        <w:t>i</w:t>
      </w:r>
      <w:r w:rsidRPr="00EC3BD7">
        <w:rPr>
          <w:color w:val="000000"/>
          <w:sz w:val="22"/>
          <w:szCs w:val="22"/>
          <w:lang w:val="et-EE"/>
        </w:rPr>
        <w:t xml:space="preserve"> väärtus on siiski palju kõrgem kui imatiniibi eeldatav kontsentratsioon plasmas, mistõttu ei eeldata koostoimeid imatiniibi samaaegsel manustamisel kas 5-fluorouratsiili või paklitakseeliga.</w:t>
      </w:r>
    </w:p>
    <w:p w14:paraId="13BA03AC" w14:textId="77777777" w:rsidR="00136210" w:rsidRPr="00EC3BD7" w:rsidRDefault="00136210">
      <w:pPr>
        <w:pStyle w:val="EndnoteText"/>
        <w:widowControl w:val="0"/>
        <w:tabs>
          <w:tab w:val="clear" w:pos="567"/>
        </w:tabs>
        <w:rPr>
          <w:color w:val="000000"/>
          <w:szCs w:val="22"/>
          <w:lang w:val="et-EE"/>
        </w:rPr>
      </w:pPr>
    </w:p>
    <w:p w14:paraId="622BAB7C"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u w:val="single"/>
          <w:lang w:val="et-EE"/>
        </w:rPr>
        <w:t>E</w:t>
      </w:r>
      <w:r w:rsidR="00A41F84" w:rsidRPr="00EC3BD7">
        <w:rPr>
          <w:color w:val="000000"/>
          <w:szCs w:val="22"/>
          <w:u w:val="single"/>
          <w:lang w:val="et-EE"/>
        </w:rPr>
        <w:t>ritumine</w:t>
      </w:r>
    </w:p>
    <w:p w14:paraId="405E9142"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 xml:space="preserve">Pärast imatiniibi </w:t>
      </w:r>
      <w:r w:rsidRPr="00EC3BD7">
        <w:rPr>
          <w:color w:val="000000"/>
          <w:szCs w:val="22"/>
          <w:vertAlign w:val="superscript"/>
          <w:lang w:val="et-EE"/>
        </w:rPr>
        <w:t>14</w:t>
      </w:r>
      <w:r w:rsidRPr="00EC3BD7">
        <w:rPr>
          <w:color w:val="000000"/>
          <w:szCs w:val="22"/>
          <w:lang w:val="et-EE"/>
        </w:rPr>
        <w:t>C-märgistatud suukaudset annust leiti 7 päeva jooksul umbes 81% annusest, sellest osa väljaheites (68% annusest) ja osa uriinis (13% annusest). Muutumatult eritus 25% imatiniibi annusest (5% uriinis, 20% väljaheites), ülejäänu metaboliitidena.</w:t>
      </w:r>
    </w:p>
    <w:p w14:paraId="06F76952" w14:textId="77777777" w:rsidR="00136210" w:rsidRPr="00EC3BD7" w:rsidRDefault="00136210">
      <w:pPr>
        <w:pStyle w:val="EndnoteText"/>
        <w:widowControl w:val="0"/>
        <w:tabs>
          <w:tab w:val="clear" w:pos="567"/>
        </w:tabs>
        <w:rPr>
          <w:color w:val="000000"/>
          <w:szCs w:val="22"/>
          <w:lang w:val="et-EE"/>
        </w:rPr>
      </w:pPr>
    </w:p>
    <w:p w14:paraId="5C90282F"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u w:val="single"/>
          <w:lang w:val="et-EE"/>
        </w:rPr>
        <w:t>Farmakokineetika plasmas</w:t>
      </w:r>
    </w:p>
    <w:p w14:paraId="21627229"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Tervetel vabatahtlikel oli suukaudse manustamise järgselt t</w:t>
      </w:r>
      <w:r w:rsidRPr="00EC3BD7">
        <w:rPr>
          <w:color w:val="000000"/>
          <w:szCs w:val="22"/>
          <w:vertAlign w:val="subscript"/>
          <w:lang w:val="et-EE"/>
        </w:rPr>
        <w:t>½</w:t>
      </w:r>
      <w:r w:rsidRPr="00EC3BD7">
        <w:rPr>
          <w:color w:val="000000"/>
          <w:szCs w:val="22"/>
          <w:lang w:val="et-EE"/>
        </w:rPr>
        <w:t xml:space="preserve"> umbes 18 tundi, mis viitab sellele, et annustamisskeem üks kord päevas on piisav. Tõusva annusega suurenes keskmine AUC lineaarselt ja proportsionaalselt annusega imatiniibi suukaudsel manustamisel vahemikus 25...1000 mg. Korduval annustamisel ei muutunud imatiniibi kineetika ja kumuleerumine tasakaalukontsentratsiooni puhul annustamisega kord päevas oli 1,5...2,5-kordne.</w:t>
      </w:r>
    </w:p>
    <w:p w14:paraId="58C255A0" w14:textId="77777777" w:rsidR="00136210" w:rsidRPr="00EC3BD7" w:rsidRDefault="00136210">
      <w:pPr>
        <w:pStyle w:val="EndnoteText"/>
        <w:widowControl w:val="0"/>
        <w:tabs>
          <w:tab w:val="clear" w:pos="567"/>
        </w:tabs>
        <w:rPr>
          <w:color w:val="000000"/>
          <w:szCs w:val="22"/>
          <w:lang w:val="et-EE"/>
        </w:rPr>
      </w:pPr>
    </w:p>
    <w:p w14:paraId="325BC6F3" w14:textId="7382A980" w:rsidR="00136210" w:rsidRPr="00EC3BD7" w:rsidRDefault="00136210" w:rsidP="00B9089D">
      <w:pPr>
        <w:pStyle w:val="EndnoteText"/>
        <w:keepNext/>
        <w:widowControl w:val="0"/>
        <w:tabs>
          <w:tab w:val="clear" w:pos="567"/>
        </w:tabs>
        <w:rPr>
          <w:color w:val="000000"/>
          <w:szCs w:val="22"/>
          <w:u w:val="single"/>
          <w:lang w:val="et-EE"/>
        </w:rPr>
      </w:pPr>
      <w:r w:rsidRPr="00EC3BD7">
        <w:rPr>
          <w:color w:val="000000"/>
          <w:szCs w:val="22"/>
          <w:u w:val="single"/>
          <w:lang w:val="et-EE"/>
        </w:rPr>
        <w:t>Farmakokineetika GIST</w:t>
      </w:r>
      <w:r w:rsidR="00DD0F07">
        <w:rPr>
          <w:color w:val="000000"/>
          <w:szCs w:val="22"/>
          <w:u w:val="single"/>
          <w:lang w:val="et-EE"/>
        </w:rPr>
        <w:t>-i</w:t>
      </w:r>
      <w:r w:rsidRPr="00EC3BD7">
        <w:rPr>
          <w:color w:val="000000"/>
          <w:szCs w:val="22"/>
          <w:u w:val="single"/>
          <w:lang w:val="et-EE"/>
        </w:rPr>
        <w:t xml:space="preserve"> patsientidel</w:t>
      </w:r>
    </w:p>
    <w:p w14:paraId="05EC1A5E" w14:textId="7C1DB95D" w:rsidR="00136210" w:rsidRPr="00EC3BD7" w:rsidRDefault="00136210">
      <w:pPr>
        <w:pStyle w:val="Text"/>
        <w:widowControl w:val="0"/>
        <w:spacing w:before="0"/>
        <w:jc w:val="left"/>
        <w:rPr>
          <w:color w:val="000000"/>
          <w:sz w:val="22"/>
          <w:szCs w:val="22"/>
          <w:lang w:val="et-EE"/>
        </w:rPr>
      </w:pPr>
      <w:r w:rsidRPr="00EC3BD7">
        <w:rPr>
          <w:snapToGrid w:val="0"/>
          <w:color w:val="000000"/>
          <w:sz w:val="22"/>
          <w:szCs w:val="22"/>
          <w:lang w:val="et-EE"/>
        </w:rPr>
        <w:t>GIST</w:t>
      </w:r>
      <w:r w:rsidR="00DD0F07">
        <w:rPr>
          <w:snapToGrid w:val="0"/>
          <w:color w:val="000000"/>
          <w:sz w:val="22"/>
          <w:szCs w:val="22"/>
          <w:lang w:val="et-EE"/>
        </w:rPr>
        <w:t>-i</w:t>
      </w:r>
      <w:r w:rsidRPr="00EC3BD7">
        <w:rPr>
          <w:snapToGrid w:val="0"/>
          <w:color w:val="000000"/>
          <w:sz w:val="22"/>
          <w:szCs w:val="22"/>
          <w:lang w:val="et-EE"/>
        </w:rPr>
        <w:t xml:space="preserve"> patsientidel oli </w:t>
      </w:r>
      <w:r w:rsidR="000D66A3" w:rsidRPr="00EC3BD7">
        <w:rPr>
          <w:snapToGrid w:val="0"/>
          <w:color w:val="000000"/>
          <w:sz w:val="22"/>
          <w:szCs w:val="22"/>
          <w:lang w:val="et-EE"/>
        </w:rPr>
        <w:t>plasmakontsentratsioon</w:t>
      </w:r>
      <w:r w:rsidRPr="00EC3BD7">
        <w:rPr>
          <w:snapToGrid w:val="0"/>
          <w:color w:val="000000"/>
          <w:sz w:val="22"/>
          <w:szCs w:val="22"/>
          <w:lang w:val="et-EE"/>
        </w:rPr>
        <w:t xml:space="preserve"> tasakaalukontsentratsiooni korral 1,5 korda kõrgem kui </w:t>
      </w:r>
      <w:smartTag w:uri="urn:schemas-microsoft-com:office:smarttags" w:element="stockticker">
        <w:r w:rsidRPr="00EC3BD7">
          <w:rPr>
            <w:snapToGrid w:val="0"/>
            <w:color w:val="000000"/>
            <w:sz w:val="22"/>
            <w:szCs w:val="22"/>
            <w:lang w:val="et-EE"/>
          </w:rPr>
          <w:t>KML</w:t>
        </w:r>
      </w:smartTag>
      <w:r w:rsidRPr="00EC3BD7">
        <w:rPr>
          <w:snapToGrid w:val="0"/>
          <w:color w:val="000000"/>
          <w:sz w:val="22"/>
          <w:szCs w:val="22"/>
          <w:lang w:val="et-EE"/>
        </w:rPr>
        <w:t xml:space="preserve"> patsientidel sama annuse kasutamisel (400 mg ööpäevas). </w:t>
      </w:r>
      <w:r w:rsidRPr="00EC3BD7">
        <w:rPr>
          <w:color w:val="000000"/>
          <w:sz w:val="22"/>
          <w:szCs w:val="22"/>
          <w:lang w:val="et-EE"/>
        </w:rPr>
        <w:t>GIST</w:t>
      </w:r>
      <w:r w:rsidR="00DD0F07">
        <w:rPr>
          <w:color w:val="000000"/>
          <w:sz w:val="22"/>
          <w:szCs w:val="22"/>
          <w:lang w:val="et-EE"/>
        </w:rPr>
        <w:t>-i</w:t>
      </w:r>
      <w:r w:rsidRPr="00EC3BD7">
        <w:rPr>
          <w:color w:val="000000"/>
          <w:sz w:val="22"/>
          <w:szCs w:val="22"/>
          <w:lang w:val="et-EE"/>
        </w:rPr>
        <w:t xml:space="preserve"> patsientide es</w:t>
      </w:r>
      <w:r w:rsidRPr="00EC3BD7">
        <w:rPr>
          <w:snapToGrid w:val="0"/>
          <w:color w:val="000000"/>
          <w:sz w:val="22"/>
          <w:szCs w:val="22"/>
          <w:lang w:val="et-EE"/>
        </w:rPr>
        <w:t>ialgse populatsioonifarmakokineetika analüüsi põhjal leiti, et kolm tunnust</w:t>
      </w:r>
      <w:r w:rsidRPr="00EC3BD7">
        <w:rPr>
          <w:color w:val="000000"/>
          <w:sz w:val="22"/>
          <w:szCs w:val="22"/>
          <w:lang w:val="et-EE"/>
        </w:rPr>
        <w:t xml:space="preserve"> (albumiin, leukotsüütide arv ja bilirubiin) on statistiliselt olulisel määral seotud imatiniibi farmakokineetikaga. Albumiini väärtuste langus põhjustas kliirensi (CL/f) vähenemise ja leukotsüütide arvu suuremad väärtused põhjustasid CL/f vähenemise. Siiski ei olnud need seosed piisavalt väljendunud, et õigustada annuse </w:t>
      </w:r>
      <w:r w:rsidRPr="00EC3BD7">
        <w:rPr>
          <w:color w:val="000000"/>
          <w:sz w:val="22"/>
          <w:szCs w:val="22"/>
          <w:lang w:val="et-EE"/>
        </w:rPr>
        <w:lastRenderedPageBreak/>
        <w:t>korrigeerimist. Selles patsientide rühmas võib maksametastaaside esinemine põhjustada maksapuudulikkust ja metabolismi vähenemist.</w:t>
      </w:r>
    </w:p>
    <w:p w14:paraId="4DBC4391" w14:textId="77777777" w:rsidR="00136210" w:rsidRPr="00EC3BD7" w:rsidRDefault="00136210">
      <w:pPr>
        <w:pStyle w:val="EndnoteText"/>
        <w:widowControl w:val="0"/>
        <w:tabs>
          <w:tab w:val="clear" w:pos="567"/>
        </w:tabs>
        <w:rPr>
          <w:color w:val="000000"/>
          <w:szCs w:val="22"/>
          <w:lang w:val="et-EE"/>
        </w:rPr>
      </w:pPr>
    </w:p>
    <w:p w14:paraId="4A78ED17"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u w:val="single"/>
          <w:lang w:val="et-EE"/>
        </w:rPr>
        <w:t>Populatsioonifarmakokineetika</w:t>
      </w:r>
    </w:p>
    <w:p w14:paraId="1C2C55E9" w14:textId="15C69883" w:rsidR="00136210" w:rsidRPr="00EC3BD7" w:rsidRDefault="00136210">
      <w:pPr>
        <w:pStyle w:val="EndnoteText"/>
        <w:widowControl w:val="0"/>
        <w:tabs>
          <w:tab w:val="clear" w:pos="567"/>
        </w:tabs>
        <w:rPr>
          <w:color w:val="000000"/>
          <w:szCs w:val="22"/>
          <w:lang w:val="et-EE"/>
        </w:rPr>
      </w:pPr>
      <w:smartTag w:uri="urn:schemas-microsoft-com:office:smarttags" w:element="stockticker">
        <w:r w:rsidRPr="00EC3BD7">
          <w:rPr>
            <w:color w:val="000000"/>
            <w:szCs w:val="22"/>
            <w:lang w:val="et-EE"/>
          </w:rPr>
          <w:t>KML</w:t>
        </w:r>
        <w:r w:rsidR="002E0C83">
          <w:rPr>
            <w:color w:val="000000"/>
            <w:szCs w:val="22"/>
            <w:lang w:val="et-EE"/>
          </w:rPr>
          <w:t>-i</w:t>
        </w:r>
      </w:smartTag>
      <w:r w:rsidRPr="00EC3BD7">
        <w:rPr>
          <w:color w:val="000000"/>
          <w:szCs w:val="22"/>
          <w:lang w:val="et-EE"/>
        </w:rPr>
        <w:t xml:space="preserve"> patsientidel tehtud populatsioonifarmakokineetika analüüsis avaldas vanus vähest mõju jaotusruumalale (suurenemine 12% üle 65</w:t>
      </w:r>
      <w:r w:rsidR="006358DD" w:rsidRPr="00EC3BD7">
        <w:rPr>
          <w:color w:val="000000"/>
          <w:szCs w:val="22"/>
          <w:lang w:val="et-EE"/>
        </w:rPr>
        <w:noBreakHyphen/>
      </w:r>
      <w:r w:rsidRPr="00EC3BD7">
        <w:rPr>
          <w:color w:val="000000"/>
          <w:szCs w:val="22"/>
          <w:lang w:val="et-EE"/>
        </w:rPr>
        <w:t>aastastel patsientidel). Seda muutust ei peetud kliiniliselt oluliseks. Kehakaalu mõju imatiniibi kliirensile on selline, et 50 kg kaaluva patsiendi keskmine kliirens on eeldatavalt 8,5 l/h, samal ajal kui 100 kg kaaluval patsiendil suureneb kliirens kuni 11,8 l/h. Neid muutusi ei peeta piisavaks, et õigustada annuse korrigeerimist kehakaalu alusel. Sugu ei mõjuta imatiniibi kineetikat.</w:t>
      </w:r>
    </w:p>
    <w:p w14:paraId="6BE89B37" w14:textId="77777777" w:rsidR="00136210" w:rsidRPr="00EC3BD7" w:rsidRDefault="00136210">
      <w:pPr>
        <w:pStyle w:val="EndnoteText"/>
        <w:widowControl w:val="0"/>
        <w:tabs>
          <w:tab w:val="clear" w:pos="567"/>
        </w:tabs>
        <w:rPr>
          <w:color w:val="000000"/>
          <w:szCs w:val="22"/>
          <w:lang w:val="et-EE"/>
        </w:rPr>
      </w:pPr>
    </w:p>
    <w:p w14:paraId="5597896F" w14:textId="77777777" w:rsidR="00136210" w:rsidRPr="00EC3BD7" w:rsidRDefault="00136210" w:rsidP="00B9089D">
      <w:pPr>
        <w:pStyle w:val="EndnoteText"/>
        <w:keepNext/>
        <w:widowControl w:val="0"/>
        <w:tabs>
          <w:tab w:val="clear" w:pos="567"/>
        </w:tabs>
        <w:rPr>
          <w:color w:val="000000"/>
          <w:szCs w:val="22"/>
          <w:u w:val="single"/>
          <w:lang w:val="et-EE"/>
        </w:rPr>
      </w:pPr>
      <w:r w:rsidRPr="00EC3BD7">
        <w:rPr>
          <w:color w:val="000000"/>
          <w:szCs w:val="22"/>
          <w:u w:val="single"/>
          <w:lang w:val="et-EE"/>
        </w:rPr>
        <w:t>Farmakokineetika lastel</w:t>
      </w:r>
    </w:p>
    <w:p w14:paraId="31805C4A" w14:textId="77777777" w:rsidR="00136210" w:rsidRPr="00EC3BD7" w:rsidRDefault="00136210">
      <w:pPr>
        <w:pStyle w:val="EndnoteText"/>
        <w:widowControl w:val="0"/>
        <w:rPr>
          <w:color w:val="000000"/>
          <w:szCs w:val="22"/>
          <w:lang w:val="et-EE"/>
        </w:rPr>
      </w:pPr>
      <w:r w:rsidRPr="00EC3BD7">
        <w:rPr>
          <w:color w:val="000000"/>
          <w:szCs w:val="22"/>
          <w:lang w:val="et-EE"/>
        </w:rPr>
        <w:t>Nagu täiskasvanud patsientidel, imendus imatiniib I ja II faasi uuringutes suukaudse manustamise järgselt kiiresti ka pediaatrilistel patsientidel. Lastel andsid annused 260 ja 340 mg/m</w:t>
      </w:r>
      <w:r w:rsidRPr="00EC3BD7">
        <w:rPr>
          <w:color w:val="000000"/>
          <w:szCs w:val="22"/>
          <w:vertAlign w:val="superscript"/>
          <w:lang w:val="et-EE"/>
        </w:rPr>
        <w:t>2</w:t>
      </w:r>
      <w:r w:rsidRPr="00EC3BD7">
        <w:rPr>
          <w:color w:val="000000"/>
          <w:szCs w:val="22"/>
          <w:lang w:val="et-EE"/>
        </w:rPr>
        <w:t xml:space="preserve">/ööpäevas sama </w:t>
      </w:r>
      <w:r w:rsidR="006358DD" w:rsidRPr="00EC3BD7">
        <w:rPr>
          <w:color w:val="000000"/>
          <w:szCs w:val="22"/>
          <w:lang w:val="et-EE"/>
        </w:rPr>
        <w:t xml:space="preserve">plasmakontsentratsiooni </w:t>
      </w:r>
      <w:r w:rsidRPr="00EC3BD7">
        <w:rPr>
          <w:color w:val="000000"/>
          <w:szCs w:val="22"/>
          <w:lang w:val="et-EE"/>
        </w:rPr>
        <w:t>nagu vastavalt 400 mg ja 600 mg täiskasvanutel. AUC</w:t>
      </w:r>
      <w:r w:rsidRPr="00EC3BD7">
        <w:rPr>
          <w:color w:val="000000"/>
          <w:szCs w:val="22"/>
          <w:vertAlign w:val="subscript"/>
          <w:lang w:val="et-EE"/>
        </w:rPr>
        <w:t>(0-24)</w:t>
      </w:r>
      <w:r w:rsidRPr="00EC3BD7">
        <w:rPr>
          <w:color w:val="000000"/>
          <w:szCs w:val="22"/>
          <w:lang w:val="et-EE"/>
        </w:rPr>
        <w:t xml:space="preserve"> võrdlus 8. ja 1. päeval annusega 340 mg/m</w:t>
      </w:r>
      <w:r w:rsidRPr="00EC3BD7">
        <w:rPr>
          <w:color w:val="000000"/>
          <w:szCs w:val="22"/>
          <w:vertAlign w:val="superscript"/>
          <w:lang w:val="et-EE"/>
        </w:rPr>
        <w:t>2</w:t>
      </w:r>
      <w:r w:rsidRPr="00EC3BD7">
        <w:rPr>
          <w:color w:val="000000"/>
          <w:szCs w:val="22"/>
          <w:lang w:val="et-EE"/>
        </w:rPr>
        <w:t>/ööpäevas näitas 1,7-kordset ravimi kumuleerumist korduva kord päevas annustamise järgselt.</w:t>
      </w:r>
    </w:p>
    <w:p w14:paraId="24614B1E" w14:textId="77777777" w:rsidR="005E1F22" w:rsidRPr="00EC3BD7" w:rsidRDefault="005E1F22" w:rsidP="005E1F22">
      <w:pPr>
        <w:pStyle w:val="EndnoteText"/>
        <w:widowControl w:val="0"/>
        <w:rPr>
          <w:color w:val="000000"/>
          <w:szCs w:val="22"/>
          <w:lang w:val="et-EE"/>
        </w:rPr>
      </w:pPr>
    </w:p>
    <w:p w14:paraId="438B7545" w14:textId="77777777" w:rsidR="005E1F22" w:rsidRPr="00EC3BD7" w:rsidRDefault="007769D1" w:rsidP="005E1F22">
      <w:pPr>
        <w:pStyle w:val="EndnoteText"/>
        <w:widowControl w:val="0"/>
        <w:rPr>
          <w:color w:val="000000"/>
          <w:szCs w:val="22"/>
          <w:lang w:val="et-EE"/>
        </w:rPr>
      </w:pPr>
      <w:r w:rsidRPr="00EC3BD7">
        <w:rPr>
          <w:color w:val="000000"/>
          <w:szCs w:val="22"/>
          <w:lang w:val="et-EE"/>
        </w:rPr>
        <w:t>Hematoloogiliste häiretega (</w:t>
      </w:r>
      <w:r w:rsidR="00014CF7" w:rsidRPr="00EC3BD7">
        <w:rPr>
          <w:color w:val="000000"/>
          <w:szCs w:val="22"/>
          <w:lang w:val="et-EE"/>
        </w:rPr>
        <w:t>K</w:t>
      </w:r>
      <w:r w:rsidRPr="00EC3BD7">
        <w:rPr>
          <w:color w:val="000000"/>
          <w:szCs w:val="22"/>
          <w:lang w:val="et-EE"/>
        </w:rPr>
        <w:t xml:space="preserve">ML, Ph+ALL või muud imatiniibiga ravitavad hematoloogilised häired) </w:t>
      </w:r>
      <w:r w:rsidR="00F654DB" w:rsidRPr="00EC3BD7">
        <w:rPr>
          <w:color w:val="000000"/>
          <w:szCs w:val="22"/>
          <w:lang w:val="et-EE"/>
        </w:rPr>
        <w:t>laps</w:t>
      </w:r>
      <w:r w:rsidRPr="00EC3BD7">
        <w:rPr>
          <w:color w:val="000000"/>
          <w:szCs w:val="22"/>
          <w:lang w:val="et-EE"/>
        </w:rPr>
        <w:t>patsientide k</w:t>
      </w:r>
      <w:r w:rsidR="005C14F0" w:rsidRPr="00EC3BD7">
        <w:rPr>
          <w:color w:val="000000"/>
          <w:szCs w:val="22"/>
          <w:lang w:val="et-EE"/>
        </w:rPr>
        <w:t>okkuvõtliku populatsioonifarmakokineetika analüüsi põhjal</w:t>
      </w:r>
      <w:r w:rsidRPr="00EC3BD7">
        <w:rPr>
          <w:color w:val="000000"/>
          <w:szCs w:val="22"/>
          <w:lang w:val="et-EE"/>
        </w:rPr>
        <w:t xml:space="preserve"> suureneb imatiniibi kliirens vastavalt kehapindalale. Pärast kehapindalast tuleneva mõju korrigeerimist ei avaldanud teised demograafilised näitajad nagu vanus, kehakaal ja kehamassiindeks imatiniibi </w:t>
      </w:r>
      <w:r w:rsidR="000D66A3" w:rsidRPr="00EC3BD7">
        <w:rPr>
          <w:color w:val="000000"/>
          <w:szCs w:val="22"/>
          <w:lang w:val="et-EE"/>
        </w:rPr>
        <w:t>plasmakontsentratsiooni</w:t>
      </w:r>
      <w:r w:rsidRPr="00EC3BD7">
        <w:rPr>
          <w:color w:val="000000"/>
          <w:szCs w:val="22"/>
          <w:lang w:val="et-EE"/>
        </w:rPr>
        <w:t xml:space="preserve">le kliiniliselt olulist mõju. Analüüs kinnitas, et imatiniibi </w:t>
      </w:r>
      <w:r w:rsidR="006358DD" w:rsidRPr="00EC3BD7">
        <w:rPr>
          <w:color w:val="000000"/>
          <w:szCs w:val="22"/>
          <w:lang w:val="et-EE"/>
        </w:rPr>
        <w:t xml:space="preserve">plasmakontsentratsioon </w:t>
      </w:r>
      <w:r w:rsidR="008613C4" w:rsidRPr="00EC3BD7">
        <w:rPr>
          <w:color w:val="000000"/>
          <w:szCs w:val="22"/>
          <w:lang w:val="et-EE"/>
        </w:rPr>
        <w:t>laps</w:t>
      </w:r>
      <w:r w:rsidRPr="00EC3BD7">
        <w:rPr>
          <w:color w:val="000000"/>
          <w:szCs w:val="22"/>
          <w:lang w:val="et-EE"/>
        </w:rPr>
        <w:t>patsientide hulgas, ke</w:t>
      </w:r>
      <w:r w:rsidR="009066AD" w:rsidRPr="00EC3BD7">
        <w:rPr>
          <w:color w:val="000000"/>
          <w:szCs w:val="22"/>
          <w:lang w:val="et-EE"/>
        </w:rPr>
        <w:t>s said</w:t>
      </w:r>
      <w:r w:rsidRPr="00EC3BD7">
        <w:rPr>
          <w:color w:val="000000"/>
          <w:szCs w:val="22"/>
          <w:lang w:val="et-EE"/>
        </w:rPr>
        <w:t xml:space="preserve"> 260 mg/m</w:t>
      </w:r>
      <w:r w:rsidRPr="00EC3BD7">
        <w:rPr>
          <w:color w:val="000000"/>
          <w:szCs w:val="22"/>
          <w:vertAlign w:val="superscript"/>
          <w:lang w:val="et-EE"/>
        </w:rPr>
        <w:t>2</w:t>
      </w:r>
      <w:r w:rsidRPr="00EC3BD7">
        <w:rPr>
          <w:color w:val="000000"/>
          <w:szCs w:val="22"/>
          <w:lang w:val="et-EE"/>
        </w:rPr>
        <w:t xml:space="preserve"> üks kord ööpäevas (</w:t>
      </w:r>
      <w:r w:rsidR="008613C4" w:rsidRPr="00EC3BD7">
        <w:rPr>
          <w:color w:val="000000"/>
          <w:szCs w:val="22"/>
          <w:lang w:val="et-EE"/>
        </w:rPr>
        <w:t>mitte rohkem kui</w:t>
      </w:r>
      <w:r w:rsidR="00580982" w:rsidRPr="00EC3BD7">
        <w:rPr>
          <w:color w:val="000000"/>
          <w:szCs w:val="22"/>
          <w:lang w:val="et-EE"/>
        </w:rPr>
        <w:t xml:space="preserve"> 400 mg</w:t>
      </w:r>
      <w:r w:rsidR="008613C4" w:rsidRPr="00EC3BD7">
        <w:rPr>
          <w:color w:val="000000"/>
          <w:szCs w:val="22"/>
          <w:lang w:val="et-EE"/>
        </w:rPr>
        <w:t xml:space="preserve"> üks kord ööpäevas</w:t>
      </w:r>
      <w:r w:rsidRPr="00EC3BD7">
        <w:rPr>
          <w:color w:val="000000"/>
          <w:szCs w:val="22"/>
          <w:lang w:val="et-EE"/>
        </w:rPr>
        <w:t>)</w:t>
      </w:r>
      <w:r w:rsidR="009066AD" w:rsidRPr="00EC3BD7">
        <w:rPr>
          <w:color w:val="000000"/>
          <w:szCs w:val="22"/>
          <w:lang w:val="et-EE"/>
        </w:rPr>
        <w:t xml:space="preserve"> või 340 mg/m</w:t>
      </w:r>
      <w:r w:rsidR="009066AD" w:rsidRPr="00EC3BD7">
        <w:rPr>
          <w:color w:val="000000"/>
          <w:szCs w:val="22"/>
          <w:vertAlign w:val="superscript"/>
          <w:lang w:val="et-EE"/>
        </w:rPr>
        <w:t>2</w:t>
      </w:r>
      <w:r w:rsidR="009066AD" w:rsidRPr="00EC3BD7">
        <w:rPr>
          <w:color w:val="000000"/>
          <w:szCs w:val="22"/>
          <w:lang w:val="et-EE"/>
        </w:rPr>
        <w:t xml:space="preserve"> üks kord ööpäevas (</w:t>
      </w:r>
      <w:r w:rsidR="008613C4" w:rsidRPr="00EC3BD7">
        <w:rPr>
          <w:color w:val="000000"/>
          <w:szCs w:val="22"/>
          <w:lang w:val="et-EE"/>
        </w:rPr>
        <w:t>mitte rohkem kui</w:t>
      </w:r>
      <w:r w:rsidR="00580982" w:rsidRPr="00EC3BD7">
        <w:rPr>
          <w:color w:val="000000"/>
          <w:szCs w:val="22"/>
          <w:lang w:val="et-EE"/>
        </w:rPr>
        <w:t xml:space="preserve"> 600 mg</w:t>
      </w:r>
      <w:r w:rsidR="008613C4" w:rsidRPr="00EC3BD7">
        <w:rPr>
          <w:color w:val="000000"/>
          <w:szCs w:val="22"/>
          <w:lang w:val="et-EE"/>
        </w:rPr>
        <w:t xml:space="preserve"> üks kord ööpäevas</w:t>
      </w:r>
      <w:r w:rsidR="009066AD" w:rsidRPr="00EC3BD7">
        <w:rPr>
          <w:color w:val="000000"/>
          <w:szCs w:val="22"/>
          <w:lang w:val="et-EE"/>
        </w:rPr>
        <w:t>), oli sarnane nagu täiskasvanud patsientidel, kes said imatiniibi 400 mg või 600 mg üks kord ööpäevas.</w:t>
      </w:r>
    </w:p>
    <w:p w14:paraId="581EBAD2" w14:textId="77777777" w:rsidR="00136210" w:rsidRPr="00EC3BD7" w:rsidRDefault="00136210">
      <w:pPr>
        <w:pStyle w:val="EndnoteText"/>
        <w:widowControl w:val="0"/>
        <w:tabs>
          <w:tab w:val="clear" w:pos="567"/>
        </w:tabs>
        <w:rPr>
          <w:color w:val="000000"/>
          <w:szCs w:val="22"/>
          <w:lang w:val="et-EE"/>
        </w:rPr>
      </w:pPr>
    </w:p>
    <w:p w14:paraId="2DF1F391"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u w:val="single"/>
          <w:lang w:val="et-EE"/>
        </w:rPr>
        <w:t>Organpuudulikkus</w:t>
      </w:r>
    </w:p>
    <w:p w14:paraId="3619BD05"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 xml:space="preserve">Imatiniib ja tema metaboliidid ei eritu olulisel määral neerude kaudu. Kerge ja mõõduka neerufunktsiooni häirega patsientidel on täheldatud ravimi suuremat </w:t>
      </w:r>
      <w:r w:rsidR="006358DD" w:rsidRPr="00EC3BD7">
        <w:rPr>
          <w:color w:val="000000"/>
          <w:szCs w:val="22"/>
          <w:lang w:val="et-EE"/>
        </w:rPr>
        <w:t>plasmakontsentratsiooni</w:t>
      </w:r>
      <w:r w:rsidRPr="00EC3BD7">
        <w:rPr>
          <w:color w:val="000000"/>
          <w:szCs w:val="22"/>
          <w:lang w:val="et-EE"/>
        </w:rPr>
        <w:t xml:space="preserve"> kui normaalse neerufunktsiooniga patsientidel. Suurenemine on umbes 1,5...2</w:t>
      </w:r>
      <w:r w:rsidRPr="00EC3BD7">
        <w:rPr>
          <w:color w:val="000000"/>
          <w:szCs w:val="22"/>
          <w:lang w:val="et-EE"/>
        </w:rPr>
        <w:noBreakHyphen/>
        <w:t>kordne ning vastav alfa-happelise glükoproteiini (millega imatiniib tugevalt seondub) sisalduse 1,5</w:t>
      </w:r>
      <w:r w:rsidRPr="00EC3BD7">
        <w:rPr>
          <w:color w:val="000000"/>
          <w:szCs w:val="22"/>
          <w:lang w:val="et-EE"/>
        </w:rPr>
        <w:noBreakHyphen/>
        <w:t>kordsele suurenemisele plasmas. Imatiniibi vaba fraktsiooni kliirens on arvatavasti sarnane neerukahjustusega ja normaalse neerufunktsiooniga patsientidel, kuna imatiniib eritub neerude kaudu vaid vähesel määral (vt lõigud</w:t>
      </w:r>
      <w:r w:rsidR="006358DD" w:rsidRPr="00EC3BD7">
        <w:rPr>
          <w:color w:val="000000"/>
          <w:szCs w:val="22"/>
          <w:lang w:val="et-EE"/>
        </w:rPr>
        <w:t> </w:t>
      </w:r>
      <w:r w:rsidRPr="00EC3BD7">
        <w:rPr>
          <w:color w:val="000000"/>
          <w:szCs w:val="22"/>
          <w:lang w:val="et-EE"/>
        </w:rPr>
        <w:t>4.2 ja 4.4).</w:t>
      </w:r>
    </w:p>
    <w:p w14:paraId="14753D43" w14:textId="77777777" w:rsidR="00136210" w:rsidRPr="00EC3BD7" w:rsidRDefault="00136210">
      <w:pPr>
        <w:pStyle w:val="EndnoteText"/>
        <w:widowControl w:val="0"/>
        <w:tabs>
          <w:tab w:val="clear" w:pos="567"/>
        </w:tabs>
        <w:rPr>
          <w:color w:val="000000"/>
          <w:szCs w:val="22"/>
          <w:lang w:val="et-EE"/>
        </w:rPr>
      </w:pPr>
    </w:p>
    <w:p w14:paraId="70BC0203"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 xml:space="preserve">Kuigi farmakokineetilistes uuringutes ilmnesid olulised individuaalsed erinevused, ei suurene imatiniibi </w:t>
      </w:r>
      <w:r w:rsidR="00A166A1" w:rsidRPr="00EC3BD7">
        <w:rPr>
          <w:color w:val="000000"/>
          <w:szCs w:val="22"/>
          <w:lang w:val="et-EE"/>
        </w:rPr>
        <w:t>plasmakontsentratsioon</w:t>
      </w:r>
      <w:r w:rsidR="006358DD" w:rsidRPr="00EC3BD7">
        <w:rPr>
          <w:color w:val="000000"/>
          <w:szCs w:val="22"/>
          <w:lang w:val="et-EE"/>
        </w:rPr>
        <w:t xml:space="preserve"> </w:t>
      </w:r>
      <w:r w:rsidRPr="00EC3BD7">
        <w:rPr>
          <w:color w:val="000000"/>
          <w:szCs w:val="22"/>
          <w:lang w:val="et-EE"/>
        </w:rPr>
        <w:t>erineva raskusastmega maksapuudulikkusega patsientidel võrrelduna normaalse maksafunktsiooniga patsientidega (vt lõigud</w:t>
      </w:r>
      <w:r w:rsidR="006358DD" w:rsidRPr="00EC3BD7">
        <w:rPr>
          <w:color w:val="000000"/>
          <w:szCs w:val="22"/>
          <w:lang w:val="et-EE"/>
        </w:rPr>
        <w:t> </w:t>
      </w:r>
      <w:r w:rsidRPr="00EC3BD7">
        <w:rPr>
          <w:color w:val="000000"/>
          <w:szCs w:val="22"/>
          <w:lang w:val="et-EE"/>
        </w:rPr>
        <w:t>4.2, 4.4 ja 4.8).</w:t>
      </w:r>
    </w:p>
    <w:p w14:paraId="77A622A6" w14:textId="77777777" w:rsidR="00136210" w:rsidRPr="00EC3BD7" w:rsidRDefault="00136210">
      <w:pPr>
        <w:pStyle w:val="EndnoteText"/>
        <w:widowControl w:val="0"/>
        <w:tabs>
          <w:tab w:val="clear" w:pos="567"/>
        </w:tabs>
        <w:rPr>
          <w:color w:val="000000"/>
          <w:szCs w:val="22"/>
          <w:lang w:val="et-EE"/>
        </w:rPr>
      </w:pPr>
    </w:p>
    <w:p w14:paraId="3B8C3A5C"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5.3</w:t>
      </w:r>
      <w:r w:rsidRPr="00EC3BD7">
        <w:rPr>
          <w:b/>
          <w:color w:val="000000"/>
          <w:szCs w:val="22"/>
          <w:lang w:val="et-EE"/>
        </w:rPr>
        <w:tab/>
        <w:t>Prekliinilised ohutusandmed</w:t>
      </w:r>
    </w:p>
    <w:p w14:paraId="0DA79F3C" w14:textId="77777777" w:rsidR="00136210" w:rsidRPr="00EC3BD7" w:rsidRDefault="00136210" w:rsidP="00B9089D">
      <w:pPr>
        <w:pStyle w:val="EndnoteText"/>
        <w:keepNext/>
        <w:widowControl w:val="0"/>
        <w:tabs>
          <w:tab w:val="clear" w:pos="567"/>
        </w:tabs>
        <w:rPr>
          <w:color w:val="000000"/>
          <w:szCs w:val="22"/>
          <w:lang w:val="et-EE"/>
        </w:rPr>
      </w:pPr>
    </w:p>
    <w:p w14:paraId="72948308" w14:textId="77777777" w:rsidR="00136210" w:rsidRPr="00EC3BD7" w:rsidRDefault="00136210">
      <w:pPr>
        <w:widowControl w:val="0"/>
        <w:tabs>
          <w:tab w:val="clear" w:pos="567"/>
        </w:tabs>
        <w:spacing w:line="240" w:lineRule="auto"/>
        <w:rPr>
          <w:color w:val="000000"/>
          <w:szCs w:val="22"/>
          <w:lang w:val="et-EE"/>
        </w:rPr>
      </w:pPr>
      <w:r w:rsidRPr="00EC3BD7">
        <w:rPr>
          <w:color w:val="000000"/>
          <w:szCs w:val="22"/>
          <w:lang w:val="et-EE"/>
        </w:rPr>
        <w:t>Imatiniibi prekliinilist ohutuse profiili hinnati rottidel, koertel, ahvidel ja küülikutel.</w:t>
      </w:r>
    </w:p>
    <w:p w14:paraId="4673B9A0" w14:textId="77777777" w:rsidR="00136210" w:rsidRPr="00EC3BD7" w:rsidRDefault="00136210">
      <w:pPr>
        <w:widowControl w:val="0"/>
        <w:tabs>
          <w:tab w:val="clear" w:pos="567"/>
        </w:tabs>
        <w:spacing w:line="240" w:lineRule="auto"/>
        <w:rPr>
          <w:color w:val="000000"/>
          <w:szCs w:val="22"/>
          <w:lang w:val="et-EE"/>
        </w:rPr>
      </w:pPr>
    </w:p>
    <w:p w14:paraId="60A5025E" w14:textId="77777777" w:rsidR="00136210" w:rsidRPr="00EC3BD7" w:rsidRDefault="00136210">
      <w:pPr>
        <w:pStyle w:val="Text"/>
        <w:widowControl w:val="0"/>
        <w:spacing w:before="0"/>
        <w:jc w:val="left"/>
        <w:outlineLvl w:val="0"/>
        <w:rPr>
          <w:color w:val="000000"/>
          <w:sz w:val="22"/>
          <w:szCs w:val="22"/>
          <w:lang w:val="et-EE"/>
        </w:rPr>
      </w:pPr>
      <w:r w:rsidRPr="00EC3BD7">
        <w:rPr>
          <w:color w:val="000000"/>
          <w:sz w:val="22"/>
          <w:szCs w:val="22"/>
          <w:lang w:val="et-EE"/>
        </w:rPr>
        <w:t>Mitme annusega toksilisuse uuringutes ilmnesid rottidel, koertel ja ahvidel kerged kuni mõõdukad muutused veres, rottidel ja koertel kaasnesid sellega ka muutused luuüdis.</w:t>
      </w:r>
    </w:p>
    <w:p w14:paraId="3558C8C9" w14:textId="77777777" w:rsidR="00136210" w:rsidRPr="00EC3BD7" w:rsidRDefault="00136210">
      <w:pPr>
        <w:pStyle w:val="Text"/>
        <w:widowControl w:val="0"/>
        <w:spacing w:before="0"/>
        <w:jc w:val="left"/>
        <w:outlineLvl w:val="0"/>
        <w:rPr>
          <w:color w:val="000000"/>
          <w:sz w:val="22"/>
          <w:szCs w:val="22"/>
          <w:lang w:val="et-EE"/>
        </w:rPr>
      </w:pPr>
    </w:p>
    <w:p w14:paraId="2A1B8B6E" w14:textId="77777777" w:rsidR="00136210" w:rsidRPr="00EC3BD7" w:rsidRDefault="00136210">
      <w:pPr>
        <w:pStyle w:val="Text"/>
        <w:widowControl w:val="0"/>
        <w:spacing w:before="0"/>
        <w:jc w:val="left"/>
        <w:outlineLvl w:val="0"/>
        <w:rPr>
          <w:color w:val="000000"/>
          <w:sz w:val="22"/>
          <w:szCs w:val="22"/>
          <w:lang w:val="et-EE"/>
        </w:rPr>
      </w:pPr>
      <w:r w:rsidRPr="00EC3BD7">
        <w:rPr>
          <w:color w:val="000000"/>
          <w:sz w:val="22"/>
          <w:szCs w:val="22"/>
          <w:lang w:val="et-EE"/>
        </w:rPr>
        <w:t>Rottidel ja koertel oli sihtelundiks maks. Mõlemal liigil täheldati kerget kuni mõõdukat transaminaaside aktiivsuse tõusu ja kolesterooli, triglütseriidide, üldvalgu ning albumiini taseme kerget langust. Rottide maksas ei täheldatud patohistoloogilisi muutusi. Koertel, keda raviti kaks nädalat, ilmnes raske toksiline toime maksale, mis väljendus maksaensüümide aktiivsuse tõusu, hepatotsellulaarse nekroosi, sapiteede nekroosi ja sapiteede hüperplaasiana.</w:t>
      </w:r>
    </w:p>
    <w:p w14:paraId="7DC0CE94" w14:textId="77777777" w:rsidR="00136210" w:rsidRPr="00EC3BD7" w:rsidRDefault="00136210">
      <w:pPr>
        <w:pStyle w:val="Text"/>
        <w:widowControl w:val="0"/>
        <w:spacing w:before="0"/>
        <w:jc w:val="left"/>
        <w:outlineLvl w:val="0"/>
        <w:rPr>
          <w:color w:val="000000"/>
          <w:sz w:val="22"/>
          <w:szCs w:val="22"/>
          <w:lang w:val="et-EE"/>
        </w:rPr>
      </w:pPr>
    </w:p>
    <w:p w14:paraId="68C1F8E0" w14:textId="77777777" w:rsidR="00136210" w:rsidRPr="00EC3BD7" w:rsidRDefault="00136210">
      <w:pPr>
        <w:pStyle w:val="Text"/>
        <w:widowControl w:val="0"/>
        <w:spacing w:before="0"/>
        <w:jc w:val="left"/>
        <w:outlineLvl w:val="0"/>
        <w:rPr>
          <w:color w:val="000000"/>
          <w:sz w:val="22"/>
          <w:szCs w:val="22"/>
          <w:lang w:val="et-EE"/>
        </w:rPr>
      </w:pPr>
      <w:r w:rsidRPr="00EC3BD7">
        <w:rPr>
          <w:color w:val="000000"/>
          <w:sz w:val="22"/>
          <w:szCs w:val="22"/>
          <w:lang w:val="et-EE"/>
        </w:rPr>
        <w:t xml:space="preserve">Kaks nädalat ravi saanud ahvidel täheldati kahjulikku toimet neerudele, mis väljendus koldelise mineralisatsiooni ning neerutuubulite laienemise ja tubulaarse nekroosina. Vere uurea lämmastiku (BUN) ja kreatiniini tõusu täheldati mitmel loomal. Rottidel ilmnes 13-nädalases uuringus annustega </w:t>
      </w:r>
      <w:r w:rsidRPr="00EC3BD7">
        <w:rPr>
          <w:color w:val="000000"/>
          <w:sz w:val="22"/>
          <w:szCs w:val="22"/>
          <w:lang w:val="et-EE"/>
        </w:rPr>
        <w:lastRenderedPageBreak/>
        <w:sym w:font="Symbol" w:char="F0B3"/>
      </w:r>
      <w:r w:rsidRPr="00EC3BD7">
        <w:rPr>
          <w:color w:val="000000"/>
          <w:sz w:val="22"/>
          <w:szCs w:val="22"/>
          <w:lang w:val="et-EE"/>
        </w:rPr>
        <w:t>6 mg/kg neerusäsi ja kusepõie üleminekuepiteeli hüperplaasia, millega ei kaasnenud muutusi seerumi või uriini näitajates. Pikaajalise imatiniibravi korral täheldati oportunistlike infektsioonide suuremat esinemissagedust.</w:t>
      </w:r>
    </w:p>
    <w:p w14:paraId="7475A5FA" w14:textId="77777777" w:rsidR="00136210" w:rsidRPr="00EC3BD7" w:rsidRDefault="00136210">
      <w:pPr>
        <w:pStyle w:val="Text"/>
        <w:widowControl w:val="0"/>
        <w:spacing w:before="0"/>
        <w:jc w:val="left"/>
        <w:outlineLvl w:val="0"/>
        <w:rPr>
          <w:color w:val="000000"/>
          <w:sz w:val="22"/>
          <w:szCs w:val="22"/>
          <w:lang w:val="et-EE"/>
        </w:rPr>
      </w:pPr>
    </w:p>
    <w:p w14:paraId="606D6AA5" w14:textId="77777777" w:rsidR="00136210" w:rsidRPr="00EC3BD7" w:rsidRDefault="00136210">
      <w:pPr>
        <w:pStyle w:val="Text"/>
        <w:widowControl w:val="0"/>
        <w:spacing w:before="0"/>
        <w:jc w:val="left"/>
        <w:outlineLvl w:val="0"/>
        <w:rPr>
          <w:color w:val="000000"/>
          <w:sz w:val="22"/>
          <w:szCs w:val="22"/>
          <w:lang w:val="et-EE"/>
        </w:rPr>
      </w:pPr>
      <w:r w:rsidRPr="00EC3BD7">
        <w:rPr>
          <w:color w:val="000000"/>
          <w:sz w:val="22"/>
          <w:szCs w:val="22"/>
          <w:lang w:val="et-EE"/>
        </w:rPr>
        <w:t>39-nädalases uuringus ahvidel ei tehtud kindlaks kõrvaltoimeteta taset (NOAEL) madalaima annuse 15 mg/kg kasutamisel, mis on kehapindala aluseks võttes umbes üks kolmandik maksimaalsest inimesel soovitatavast annusest 800 mg. Ravi tulemusel süvenesid loomadel tavaliselt supressioonis olevad malaariainfektsioonid.</w:t>
      </w:r>
    </w:p>
    <w:p w14:paraId="60A11B79" w14:textId="77777777" w:rsidR="00136210" w:rsidRPr="00EC3BD7" w:rsidRDefault="00136210">
      <w:pPr>
        <w:pStyle w:val="Text"/>
        <w:widowControl w:val="0"/>
        <w:spacing w:before="0"/>
        <w:jc w:val="left"/>
        <w:outlineLvl w:val="0"/>
        <w:rPr>
          <w:color w:val="000000"/>
          <w:sz w:val="22"/>
          <w:szCs w:val="22"/>
          <w:lang w:val="et-EE"/>
        </w:rPr>
      </w:pPr>
    </w:p>
    <w:p w14:paraId="1FA7E180" w14:textId="77777777" w:rsidR="00136210" w:rsidRPr="00EC3BD7" w:rsidRDefault="00136210">
      <w:pPr>
        <w:pStyle w:val="Text"/>
        <w:widowControl w:val="0"/>
        <w:spacing w:before="0"/>
        <w:jc w:val="left"/>
        <w:outlineLvl w:val="0"/>
        <w:rPr>
          <w:color w:val="000000"/>
          <w:sz w:val="22"/>
          <w:szCs w:val="22"/>
          <w:lang w:val="et-EE"/>
        </w:rPr>
      </w:pPr>
      <w:r w:rsidRPr="00EC3BD7">
        <w:rPr>
          <w:color w:val="000000"/>
          <w:sz w:val="22"/>
          <w:szCs w:val="22"/>
          <w:lang w:val="et-EE"/>
        </w:rPr>
        <w:t xml:space="preserve">Imatiniibi ei osutunud </w:t>
      </w:r>
      <w:r w:rsidRPr="00EC3BD7">
        <w:rPr>
          <w:i/>
          <w:color w:val="000000"/>
          <w:sz w:val="22"/>
          <w:szCs w:val="22"/>
          <w:lang w:val="et-EE"/>
        </w:rPr>
        <w:t xml:space="preserve">in vitro </w:t>
      </w:r>
      <w:r w:rsidRPr="00EC3BD7">
        <w:rPr>
          <w:color w:val="000000"/>
          <w:sz w:val="22"/>
          <w:szCs w:val="22"/>
          <w:lang w:val="et-EE"/>
        </w:rPr>
        <w:t xml:space="preserve">bakteri raku testi (Amesi test), </w:t>
      </w:r>
      <w:r w:rsidRPr="00EC3BD7">
        <w:rPr>
          <w:i/>
          <w:color w:val="000000"/>
          <w:sz w:val="22"/>
          <w:szCs w:val="22"/>
          <w:lang w:val="et-EE"/>
        </w:rPr>
        <w:t xml:space="preserve">in vitro </w:t>
      </w:r>
      <w:r w:rsidRPr="00EC3BD7">
        <w:rPr>
          <w:color w:val="000000"/>
          <w:sz w:val="22"/>
          <w:szCs w:val="22"/>
          <w:lang w:val="et-EE"/>
        </w:rPr>
        <w:t xml:space="preserve">imetaja raku testi (hiire lümfoom) ja </w:t>
      </w:r>
      <w:r w:rsidRPr="00EC3BD7">
        <w:rPr>
          <w:i/>
          <w:color w:val="000000"/>
          <w:sz w:val="22"/>
          <w:szCs w:val="22"/>
          <w:lang w:val="et-EE"/>
        </w:rPr>
        <w:t xml:space="preserve">in vivo </w:t>
      </w:r>
      <w:r w:rsidRPr="00EC3BD7">
        <w:rPr>
          <w:color w:val="000000"/>
          <w:sz w:val="22"/>
          <w:szCs w:val="22"/>
          <w:lang w:val="et-EE"/>
        </w:rPr>
        <w:t xml:space="preserve">roti mikrotuuma testi põhjal genotoksiliseks. Imatiniib andis genotoksilisi toimeid </w:t>
      </w:r>
      <w:r w:rsidRPr="00EC3BD7">
        <w:rPr>
          <w:i/>
          <w:color w:val="000000"/>
          <w:sz w:val="22"/>
          <w:szCs w:val="22"/>
          <w:lang w:val="et-EE"/>
        </w:rPr>
        <w:t xml:space="preserve">in vitro </w:t>
      </w:r>
      <w:r w:rsidRPr="00EC3BD7">
        <w:rPr>
          <w:color w:val="000000"/>
          <w:sz w:val="22"/>
          <w:szCs w:val="22"/>
          <w:lang w:val="et-EE"/>
        </w:rPr>
        <w:t>imetaja raku testis (Hiina hamstri munasari) klastogeensuse osas (kromosoomi aberratsioon) metaboolse aktivatsiooni tingimustes. Kaks tootmisprotsessi vaheprodukti, mida leidub ka lõpptootes, osutusid Amesi testis mutageenseteks. Üks nimetatud vaheproduktidest andis positiivse tulemuse ka hiire lümfoomi testis.</w:t>
      </w:r>
    </w:p>
    <w:p w14:paraId="0682BE99" w14:textId="77777777" w:rsidR="00136210" w:rsidRPr="00EC3BD7" w:rsidRDefault="00136210">
      <w:pPr>
        <w:pStyle w:val="Text"/>
        <w:widowControl w:val="0"/>
        <w:spacing w:before="0"/>
        <w:jc w:val="left"/>
        <w:outlineLvl w:val="0"/>
        <w:rPr>
          <w:color w:val="000000"/>
          <w:sz w:val="22"/>
          <w:szCs w:val="22"/>
          <w:lang w:val="et-EE"/>
        </w:rPr>
      </w:pPr>
    </w:p>
    <w:p w14:paraId="60D6B7EA" w14:textId="77777777" w:rsidR="00136210" w:rsidRPr="00EC3BD7" w:rsidRDefault="00136210">
      <w:pPr>
        <w:pStyle w:val="Text"/>
        <w:widowControl w:val="0"/>
        <w:spacing w:before="0"/>
        <w:jc w:val="left"/>
        <w:rPr>
          <w:color w:val="000000"/>
          <w:sz w:val="22"/>
          <w:szCs w:val="22"/>
          <w:lang w:val="et-EE"/>
        </w:rPr>
      </w:pPr>
      <w:r w:rsidRPr="00EC3BD7">
        <w:rPr>
          <w:color w:val="000000"/>
          <w:sz w:val="22"/>
          <w:szCs w:val="22"/>
          <w:lang w:val="et-EE"/>
        </w:rPr>
        <w:t xml:space="preserve">Fertiilsuse uuringus manustati ravimit isastele rottidele 70 päeva jooksul enne paaritumist, mille tulemusena nende testiste ja epididüümise kaal ning eluvõimelise sperma protsent vähenesid annuse 60 mg/kg kasutamisel, mis on keha pindala aluseks võttes umbkaudu võrdne maksimaalse kliinilise annusega 800 mg/ööpäevas. Nimetatud toime ei ilmnenud annuste ≤20 mg/kg kasutamsel. Kerge kuni mõõdukas spermatogeneesi vähenemine ilmnes ka koertel suukaudsete annuste </w:t>
      </w:r>
      <w:r w:rsidRPr="00EC3BD7">
        <w:rPr>
          <w:color w:val="000000"/>
          <w:sz w:val="22"/>
          <w:szCs w:val="22"/>
          <w:lang w:val="et-EE"/>
        </w:rPr>
        <w:sym w:font="Symbol" w:char="F0B3"/>
      </w:r>
      <w:r w:rsidRPr="00EC3BD7">
        <w:rPr>
          <w:color w:val="000000"/>
          <w:sz w:val="22"/>
          <w:szCs w:val="22"/>
          <w:lang w:val="et-EE"/>
        </w:rPr>
        <w:t>30 mg/kg kasutamisel. Emastele rottidele manustati ravimit 14 päeva jooksul enne paaritumist ja edasi kuni 6.</w:t>
      </w:r>
      <w:r w:rsidR="006358DD" w:rsidRPr="00EC3BD7">
        <w:rPr>
          <w:color w:val="000000"/>
          <w:sz w:val="22"/>
          <w:szCs w:val="22"/>
          <w:lang w:val="et-EE"/>
        </w:rPr>
        <w:t> </w:t>
      </w:r>
      <w:r w:rsidRPr="00EC3BD7">
        <w:rPr>
          <w:color w:val="000000"/>
          <w:sz w:val="22"/>
          <w:szCs w:val="22"/>
          <w:lang w:val="et-EE"/>
        </w:rPr>
        <w:t>gestatsioonipäevani, toimet paaritumisele ega tiinete emaste arvule ei ilmnenud. Annuse 60 mg/kg kasutamisel ilmnes emastel rottidel oluline implantatsioonijärgne loodete kadu ja elusloodete arvu vähenemine. Nimetatud toime ei ilmnenud annuste ≤20 mg/kg kasutamisel.</w:t>
      </w:r>
    </w:p>
    <w:p w14:paraId="285A7F06" w14:textId="77777777" w:rsidR="00136210" w:rsidRPr="00EC3BD7" w:rsidRDefault="00136210">
      <w:pPr>
        <w:pStyle w:val="Text"/>
        <w:widowControl w:val="0"/>
        <w:spacing w:before="0"/>
        <w:jc w:val="left"/>
        <w:rPr>
          <w:color w:val="000000"/>
          <w:sz w:val="22"/>
          <w:szCs w:val="22"/>
          <w:lang w:val="et-EE"/>
        </w:rPr>
      </w:pPr>
    </w:p>
    <w:p w14:paraId="32C7DC0D" w14:textId="77777777" w:rsidR="00136210" w:rsidRPr="00EC3BD7" w:rsidRDefault="00136210">
      <w:pPr>
        <w:pStyle w:val="Text"/>
        <w:widowControl w:val="0"/>
        <w:spacing w:before="0"/>
        <w:jc w:val="left"/>
        <w:rPr>
          <w:color w:val="000000"/>
          <w:sz w:val="22"/>
          <w:szCs w:val="22"/>
          <w:lang w:val="et-EE"/>
        </w:rPr>
      </w:pPr>
      <w:r w:rsidRPr="00EC3BD7">
        <w:rPr>
          <w:color w:val="000000"/>
          <w:sz w:val="22"/>
          <w:szCs w:val="22"/>
          <w:lang w:val="et-EE"/>
        </w:rPr>
        <w:t>Rottidel tehtud suukaudses pre- ja postnataalse arengu uuringus täheldati punast tupevoolust kas 14. või 15.</w:t>
      </w:r>
      <w:r w:rsidR="006358DD" w:rsidRPr="00EC3BD7">
        <w:rPr>
          <w:color w:val="000000"/>
          <w:sz w:val="22"/>
          <w:szCs w:val="22"/>
          <w:lang w:val="et-EE"/>
        </w:rPr>
        <w:t> </w:t>
      </w:r>
      <w:r w:rsidRPr="00EC3BD7">
        <w:rPr>
          <w:color w:val="000000"/>
          <w:sz w:val="22"/>
          <w:szCs w:val="22"/>
          <w:lang w:val="et-EE"/>
        </w:rPr>
        <w:t>gestatsioonipäeval rühmas, mis sai ravimit 45 mg/kg/ööpäevas. Sama annuse kasutamisel suurenes surnult sündinud järglaste ja samuti 0...4. sünnijärgsel päeval surnud järglaste arv. F</w:t>
      </w:r>
      <w:r w:rsidRPr="00EC3BD7">
        <w:rPr>
          <w:color w:val="000000"/>
          <w:sz w:val="22"/>
          <w:szCs w:val="22"/>
          <w:vertAlign w:val="subscript"/>
          <w:lang w:val="et-EE"/>
        </w:rPr>
        <w:t>1</w:t>
      </w:r>
      <w:r w:rsidRPr="00EC3BD7">
        <w:rPr>
          <w:color w:val="000000"/>
          <w:sz w:val="22"/>
          <w:szCs w:val="22"/>
          <w:lang w:val="et-EE"/>
        </w:rPr>
        <w:t xml:space="preserve"> järglastel vähenes sama annuse kasutamisel keskmine kehakaal alates sünnist kuni surmamiseni ning nende pesakondade arv, kes jõudsid prepuutsiumi eraldumise kriteeriumideni, vähenes. F</w:t>
      </w:r>
      <w:r w:rsidRPr="00EC3BD7">
        <w:rPr>
          <w:color w:val="000000"/>
          <w:sz w:val="22"/>
          <w:szCs w:val="22"/>
          <w:vertAlign w:val="subscript"/>
          <w:lang w:val="et-EE"/>
        </w:rPr>
        <w:t>1</w:t>
      </w:r>
      <w:r w:rsidRPr="00EC3BD7">
        <w:rPr>
          <w:color w:val="000000"/>
          <w:sz w:val="22"/>
          <w:szCs w:val="22"/>
          <w:lang w:val="et-EE"/>
        </w:rPr>
        <w:t xml:space="preserve"> fertiilsus ei olnud muutunud, samal ajal kui annuse 45 mg/kg/ööpäevas kasutamisel täheldati resorptsioonide sagenemist ja eluvõimeliste loodete arvu vähenemist. Ilma täheldatava toimeta tase (NOEL) nii emasloomade kui F</w:t>
      </w:r>
      <w:r w:rsidRPr="00EC3BD7">
        <w:rPr>
          <w:color w:val="000000"/>
          <w:sz w:val="22"/>
          <w:szCs w:val="22"/>
          <w:vertAlign w:val="subscript"/>
          <w:lang w:val="et-EE"/>
        </w:rPr>
        <w:t>1</w:t>
      </w:r>
      <w:r w:rsidRPr="00EC3BD7">
        <w:rPr>
          <w:color w:val="000000"/>
          <w:sz w:val="22"/>
          <w:szCs w:val="22"/>
          <w:lang w:val="et-EE"/>
        </w:rPr>
        <w:t xml:space="preserve"> põlvkonna jaoks oli 15 mg/kg/ööpäevas (veerand maksimaalsest inimesel kasutatavast annusest 800 mg).</w:t>
      </w:r>
    </w:p>
    <w:p w14:paraId="3851B484" w14:textId="77777777" w:rsidR="00136210" w:rsidRPr="00EC3BD7" w:rsidRDefault="00136210">
      <w:pPr>
        <w:pStyle w:val="Text"/>
        <w:widowControl w:val="0"/>
        <w:spacing w:before="0"/>
        <w:jc w:val="left"/>
        <w:rPr>
          <w:color w:val="000000"/>
          <w:sz w:val="22"/>
          <w:szCs w:val="22"/>
          <w:lang w:val="et-EE"/>
        </w:rPr>
      </w:pPr>
    </w:p>
    <w:p w14:paraId="318704F8" w14:textId="77777777" w:rsidR="00136210" w:rsidRPr="00EC3BD7" w:rsidRDefault="00136210">
      <w:pPr>
        <w:pStyle w:val="Text"/>
        <w:widowControl w:val="0"/>
        <w:spacing w:before="0"/>
        <w:jc w:val="left"/>
        <w:rPr>
          <w:color w:val="000000"/>
          <w:sz w:val="22"/>
          <w:szCs w:val="22"/>
          <w:lang w:val="et-EE"/>
        </w:rPr>
      </w:pPr>
      <w:r w:rsidRPr="00EC3BD7">
        <w:rPr>
          <w:color w:val="000000"/>
          <w:sz w:val="22"/>
          <w:szCs w:val="22"/>
          <w:lang w:val="et-EE"/>
        </w:rPr>
        <w:t>Imatiniib avaldas rottidel teratogeenset toimet manustatuna organogeneesi ajal annustes ≥100 mg/kg, mis on kehapinda aluseks võttes umbes võrdne maksimaalse kliinilise annusega 800 mg/ööpäevas. Teratogeensete efektide hulka kuulusid eksentsefaalia või entsefalotseele, frontaalsete luude puudumine/vähenemine ja parietaalsete luude puudumine. Nimetatud toimed ei ilmnenud annuste ≤30 mg/kg kasutamisel.</w:t>
      </w:r>
    </w:p>
    <w:p w14:paraId="23D66FD8" w14:textId="77777777" w:rsidR="00136210" w:rsidRPr="00EC3BD7" w:rsidRDefault="00136210">
      <w:pPr>
        <w:pStyle w:val="Text"/>
        <w:widowControl w:val="0"/>
        <w:spacing w:before="0"/>
        <w:jc w:val="left"/>
        <w:rPr>
          <w:color w:val="000000"/>
          <w:sz w:val="22"/>
          <w:szCs w:val="22"/>
          <w:lang w:val="et-EE"/>
        </w:rPr>
      </w:pPr>
    </w:p>
    <w:p w14:paraId="748D6B76" w14:textId="77777777" w:rsidR="00021198" w:rsidRPr="00EC3BD7" w:rsidRDefault="006C1E4F">
      <w:pPr>
        <w:rPr>
          <w:szCs w:val="22"/>
          <w:lang w:val="et-EE"/>
        </w:rPr>
      </w:pPr>
      <w:r w:rsidRPr="00EC3BD7">
        <w:rPr>
          <w:color w:val="000000"/>
          <w:szCs w:val="22"/>
          <w:lang w:val="et-EE"/>
        </w:rPr>
        <w:t>Uusi sihtelundeid ei leitud n</w:t>
      </w:r>
      <w:r w:rsidR="00021198" w:rsidRPr="00EC3BD7">
        <w:rPr>
          <w:color w:val="000000"/>
          <w:szCs w:val="22"/>
          <w:lang w:val="et-EE"/>
        </w:rPr>
        <w:t>oortel rottidel läbiviidud toksilisuse uuringus (10. kuni 70. päev pärast sündi)</w:t>
      </w:r>
      <w:r w:rsidRPr="00EC3BD7">
        <w:rPr>
          <w:color w:val="000000"/>
          <w:szCs w:val="22"/>
          <w:lang w:val="et-EE"/>
        </w:rPr>
        <w:t>, mille</w:t>
      </w:r>
      <w:r w:rsidR="00021198" w:rsidRPr="00EC3BD7">
        <w:rPr>
          <w:color w:val="000000"/>
          <w:szCs w:val="22"/>
          <w:lang w:val="et-EE"/>
        </w:rPr>
        <w:t xml:space="preserve"> </w:t>
      </w:r>
      <w:r w:rsidRPr="00EC3BD7">
        <w:rPr>
          <w:color w:val="000000"/>
          <w:szCs w:val="22"/>
          <w:lang w:val="et-EE"/>
        </w:rPr>
        <w:t xml:space="preserve">eesmärgiks oli avastada uusi sihtelundeid täiskasvanud rottidel. Noorte rottide toksilisuse uuringus </w:t>
      </w:r>
      <w:r w:rsidR="000518FA" w:rsidRPr="00EC3BD7">
        <w:rPr>
          <w:color w:val="000000"/>
          <w:szCs w:val="22"/>
          <w:lang w:val="et-EE"/>
        </w:rPr>
        <w:t>täheldati</w:t>
      </w:r>
      <w:r w:rsidRPr="00EC3BD7">
        <w:rPr>
          <w:color w:val="000000"/>
          <w:szCs w:val="22"/>
          <w:lang w:val="et-EE"/>
        </w:rPr>
        <w:t xml:space="preserve"> toime</w:t>
      </w:r>
      <w:r w:rsidR="000518FA" w:rsidRPr="00EC3BD7">
        <w:rPr>
          <w:color w:val="000000"/>
          <w:szCs w:val="22"/>
          <w:lang w:val="et-EE"/>
        </w:rPr>
        <w:t>t</w:t>
      </w:r>
      <w:r w:rsidRPr="00EC3BD7">
        <w:rPr>
          <w:color w:val="000000"/>
          <w:szCs w:val="22"/>
          <w:lang w:val="et-EE"/>
        </w:rPr>
        <w:t xml:space="preserve"> kasvule, </w:t>
      </w:r>
      <w:r w:rsidR="00330A0C" w:rsidRPr="00EC3BD7">
        <w:rPr>
          <w:szCs w:val="22"/>
          <w:lang w:val="et-EE"/>
        </w:rPr>
        <w:t>tupe av</w:t>
      </w:r>
      <w:r w:rsidR="006358DD" w:rsidRPr="00EC3BD7">
        <w:rPr>
          <w:szCs w:val="22"/>
          <w:lang w:val="et-EE"/>
        </w:rPr>
        <w:t>a</w:t>
      </w:r>
      <w:r w:rsidR="00330A0C" w:rsidRPr="00EC3BD7">
        <w:rPr>
          <w:szCs w:val="22"/>
          <w:lang w:val="et-EE"/>
        </w:rPr>
        <w:t>nemisele ja eesnaha eraldumisele</w:t>
      </w:r>
      <w:r w:rsidR="00AD4B5A" w:rsidRPr="00EC3BD7">
        <w:rPr>
          <w:szCs w:val="22"/>
          <w:lang w:val="et-EE"/>
        </w:rPr>
        <w:t xml:space="preserve"> </w:t>
      </w:r>
      <w:r w:rsidR="00330A0C" w:rsidRPr="00EC3BD7">
        <w:rPr>
          <w:szCs w:val="22"/>
          <w:lang w:val="et-EE"/>
        </w:rPr>
        <w:t>ligikaudu 0,3-</w:t>
      </w:r>
      <w:r w:rsidR="001E76AC" w:rsidRPr="00EC3BD7">
        <w:rPr>
          <w:szCs w:val="22"/>
          <w:lang w:val="et-EE"/>
        </w:rPr>
        <w:t xml:space="preserve"> </w:t>
      </w:r>
      <w:r w:rsidR="00330A0C" w:rsidRPr="00EC3BD7">
        <w:rPr>
          <w:szCs w:val="22"/>
          <w:lang w:val="et-EE"/>
        </w:rPr>
        <w:t xml:space="preserve">kuni 2-kordse keskmise </w:t>
      </w:r>
      <w:r w:rsidR="001E76AC" w:rsidRPr="00EC3BD7">
        <w:rPr>
          <w:szCs w:val="22"/>
          <w:lang w:val="et-EE"/>
        </w:rPr>
        <w:t xml:space="preserve">laste </w:t>
      </w:r>
      <w:r w:rsidR="00330A0C" w:rsidRPr="00EC3BD7">
        <w:rPr>
          <w:szCs w:val="22"/>
          <w:lang w:val="et-EE"/>
        </w:rPr>
        <w:t>plasmakontsentratsiooni</w:t>
      </w:r>
      <w:r w:rsidR="00AD4B5A" w:rsidRPr="00EC3BD7">
        <w:rPr>
          <w:szCs w:val="22"/>
          <w:lang w:val="et-EE"/>
        </w:rPr>
        <w:t xml:space="preserve"> korral</w:t>
      </w:r>
      <w:r w:rsidR="001E76AC" w:rsidRPr="00EC3BD7">
        <w:rPr>
          <w:szCs w:val="22"/>
          <w:lang w:val="et-EE"/>
        </w:rPr>
        <w:t xml:space="preserve">, mis saadi </w:t>
      </w:r>
      <w:r w:rsidR="00DA5ABF" w:rsidRPr="00EC3BD7">
        <w:rPr>
          <w:szCs w:val="22"/>
          <w:lang w:val="et-EE"/>
        </w:rPr>
        <w:t xml:space="preserve">kasutades </w:t>
      </w:r>
      <w:r w:rsidR="00330A0C" w:rsidRPr="00EC3BD7">
        <w:rPr>
          <w:szCs w:val="22"/>
          <w:lang w:val="et-EE"/>
        </w:rPr>
        <w:t>kõrgeima</w:t>
      </w:r>
      <w:r w:rsidR="00DA5ABF" w:rsidRPr="00EC3BD7">
        <w:rPr>
          <w:szCs w:val="22"/>
          <w:lang w:val="et-EE"/>
        </w:rPr>
        <w:t>t</w:t>
      </w:r>
      <w:r w:rsidR="00330A0C" w:rsidRPr="00EC3BD7">
        <w:rPr>
          <w:szCs w:val="22"/>
          <w:lang w:val="et-EE"/>
        </w:rPr>
        <w:t xml:space="preserve"> soovituslik</w:t>
      </w:r>
      <w:r w:rsidR="00DA5ABF" w:rsidRPr="00EC3BD7">
        <w:rPr>
          <w:szCs w:val="22"/>
          <w:lang w:val="et-EE"/>
        </w:rPr>
        <w:t>ku annust</w:t>
      </w:r>
      <w:r w:rsidR="00330A0C" w:rsidRPr="00EC3BD7">
        <w:rPr>
          <w:szCs w:val="22"/>
          <w:lang w:val="et-EE"/>
        </w:rPr>
        <w:t xml:space="preserve"> 340 mg/m</w:t>
      </w:r>
      <w:r w:rsidR="00330A0C" w:rsidRPr="00EC3BD7">
        <w:rPr>
          <w:szCs w:val="22"/>
          <w:vertAlign w:val="superscript"/>
          <w:lang w:val="et-EE"/>
        </w:rPr>
        <w:t>2</w:t>
      </w:r>
      <w:r w:rsidR="00DA5ABF" w:rsidRPr="00EC3BD7">
        <w:rPr>
          <w:szCs w:val="22"/>
          <w:lang w:val="et-EE"/>
        </w:rPr>
        <w:t>.</w:t>
      </w:r>
      <w:r w:rsidR="001E76AC" w:rsidRPr="00EC3BD7">
        <w:rPr>
          <w:szCs w:val="22"/>
          <w:lang w:val="et-EE"/>
        </w:rPr>
        <w:t xml:space="preserve"> Lisaks täheldati noortel rottidel suremust (pesast võõrutamise ajal) ligikaudu 2-kordse keskmise laste plasmakontsentratsiooni korral, mis saadi kasutades kõrgeimat soovituslikku annust 340 mg/m</w:t>
      </w:r>
      <w:r w:rsidR="001E76AC" w:rsidRPr="00EC3BD7">
        <w:rPr>
          <w:szCs w:val="22"/>
          <w:vertAlign w:val="superscript"/>
          <w:lang w:val="et-EE"/>
        </w:rPr>
        <w:t>2</w:t>
      </w:r>
      <w:r w:rsidR="001E76AC" w:rsidRPr="00EC3BD7">
        <w:rPr>
          <w:szCs w:val="22"/>
          <w:lang w:val="et-EE"/>
        </w:rPr>
        <w:t>.</w:t>
      </w:r>
    </w:p>
    <w:p w14:paraId="70607E55" w14:textId="77777777" w:rsidR="001E76AC" w:rsidRPr="00EC3BD7" w:rsidRDefault="001E76AC">
      <w:pPr>
        <w:rPr>
          <w:color w:val="000000"/>
          <w:szCs w:val="22"/>
          <w:lang w:val="et-EE"/>
        </w:rPr>
      </w:pPr>
    </w:p>
    <w:p w14:paraId="40DB7572" w14:textId="38FEA2CD" w:rsidR="00136210" w:rsidRPr="00EC3BD7" w:rsidRDefault="00136210">
      <w:pPr>
        <w:rPr>
          <w:color w:val="000000"/>
          <w:szCs w:val="22"/>
          <w:lang w:val="et-EE"/>
        </w:rPr>
      </w:pPr>
      <w:r w:rsidRPr="00EC3BD7">
        <w:rPr>
          <w:color w:val="000000"/>
          <w:szCs w:val="22"/>
          <w:lang w:val="et-EE"/>
        </w:rPr>
        <w:t xml:space="preserve">Imatiniibi annustega 15, 30 ja 60 mg/kg/päevas rottidel läbiviidud 2-aastase kestusega kartsinogeensusuuringus täheldati statistiliselt olulist eluea vähenemist isasloomadel annuse 60 mg/kg/päevas ja emasloomadel ≥30 mg/kg/päevas kasutamisel. Histopatoloogilises uuringus leiti peamise surmapõhjusena kardiomüopaatiat (mõlemast soost katseloomadel), kroonilist progresseeruvat nefropaatiat (emasloomadel) ja preputsiaalnäärmete papilloome; need nähud võisid olla ka katseloomade surma või hukkamise põhjuseks. Neoplastiliste muutuste sihtorganiteks olid </w:t>
      </w:r>
      <w:r w:rsidRPr="00EC3BD7">
        <w:rPr>
          <w:color w:val="000000"/>
          <w:szCs w:val="22"/>
          <w:lang w:val="et-EE"/>
        </w:rPr>
        <w:lastRenderedPageBreak/>
        <w:t>neerud, kusepõis, ureetra, preputsiaal- ja klitoraalnäärmed, peensool, kõrvalkilpnääre, neerupealis</w:t>
      </w:r>
      <w:r w:rsidR="006358DD" w:rsidRPr="00EC3BD7">
        <w:rPr>
          <w:color w:val="000000"/>
          <w:szCs w:val="22"/>
          <w:lang w:val="et-EE"/>
        </w:rPr>
        <w:t>e</w:t>
      </w:r>
      <w:r w:rsidRPr="00EC3BD7">
        <w:rPr>
          <w:color w:val="000000"/>
          <w:szCs w:val="22"/>
          <w:lang w:val="et-EE"/>
        </w:rPr>
        <w:t xml:space="preserve"> ja mao mitteglandulaarne osa.</w:t>
      </w:r>
    </w:p>
    <w:p w14:paraId="3E3565EA" w14:textId="77777777" w:rsidR="00136210" w:rsidRPr="00EC3BD7" w:rsidRDefault="00136210">
      <w:pPr>
        <w:rPr>
          <w:color w:val="000000"/>
          <w:szCs w:val="22"/>
          <w:lang w:val="et-EE"/>
        </w:rPr>
      </w:pPr>
    </w:p>
    <w:p w14:paraId="21939122" w14:textId="77777777" w:rsidR="00136210" w:rsidRPr="00EC3BD7" w:rsidRDefault="00136210">
      <w:pPr>
        <w:rPr>
          <w:color w:val="000000"/>
          <w:szCs w:val="22"/>
          <w:lang w:val="et-EE"/>
        </w:rPr>
      </w:pPr>
      <w:r w:rsidRPr="00EC3BD7">
        <w:rPr>
          <w:color w:val="000000"/>
          <w:szCs w:val="22"/>
          <w:lang w:val="et-EE"/>
        </w:rPr>
        <w:t>Preputsiaal- ja klitoraalnäärmete papilloome/kartsinoome täheldati annuste 30 mg/kg/päevas ja suuremad manustamisel, mis vastab ligikaudu 0,5</w:t>
      </w:r>
      <w:r w:rsidR="006358DD" w:rsidRPr="00EC3BD7">
        <w:rPr>
          <w:color w:val="000000"/>
          <w:szCs w:val="22"/>
          <w:lang w:val="et-EE"/>
        </w:rPr>
        <w:noBreakHyphen/>
      </w:r>
      <w:r w:rsidRPr="00EC3BD7">
        <w:rPr>
          <w:color w:val="000000"/>
          <w:szCs w:val="22"/>
          <w:lang w:val="et-EE"/>
        </w:rPr>
        <w:t xml:space="preserve"> või 0,3</w:t>
      </w:r>
      <w:r w:rsidR="006358DD" w:rsidRPr="00EC3BD7">
        <w:rPr>
          <w:color w:val="000000"/>
          <w:szCs w:val="22"/>
          <w:lang w:val="et-EE"/>
        </w:rPr>
        <w:noBreakHyphen/>
      </w:r>
      <w:r w:rsidRPr="00EC3BD7">
        <w:rPr>
          <w:color w:val="000000"/>
          <w:szCs w:val="22"/>
          <w:lang w:val="et-EE"/>
        </w:rPr>
        <w:t xml:space="preserve">kordsele </w:t>
      </w:r>
      <w:r w:rsidR="000D66A3" w:rsidRPr="00EC3BD7">
        <w:rPr>
          <w:color w:val="000000"/>
          <w:szCs w:val="22"/>
          <w:lang w:val="et-EE"/>
        </w:rPr>
        <w:t>plasmakontsentratsiooni</w:t>
      </w:r>
      <w:r w:rsidRPr="00EC3BD7">
        <w:rPr>
          <w:color w:val="000000"/>
          <w:szCs w:val="22"/>
          <w:lang w:val="et-EE"/>
        </w:rPr>
        <w:t>le (AUC põhjal) inimesel vastavalt annuse 400 mg/päevas või 800 mg/päevas kasutamisel ja vastab lastel 0,4</w:t>
      </w:r>
      <w:r w:rsidR="000D66A3" w:rsidRPr="00EC3BD7">
        <w:rPr>
          <w:color w:val="000000"/>
          <w:szCs w:val="22"/>
          <w:lang w:val="et-EE"/>
        </w:rPr>
        <w:noBreakHyphen/>
      </w:r>
      <w:r w:rsidRPr="00EC3BD7">
        <w:rPr>
          <w:color w:val="000000"/>
          <w:szCs w:val="22"/>
          <w:lang w:val="et-EE"/>
        </w:rPr>
        <w:t xml:space="preserve">kordsele päevasele </w:t>
      </w:r>
      <w:r w:rsidR="000D66A3" w:rsidRPr="00EC3BD7">
        <w:rPr>
          <w:color w:val="000000"/>
          <w:szCs w:val="22"/>
          <w:lang w:val="et-EE"/>
        </w:rPr>
        <w:t>plasmakontsentratsiooni</w:t>
      </w:r>
      <w:r w:rsidRPr="00EC3BD7">
        <w:rPr>
          <w:color w:val="000000"/>
          <w:szCs w:val="22"/>
          <w:lang w:val="et-EE"/>
        </w:rPr>
        <w:t>le (AUC põhjal) annuse 340 mg/m</w:t>
      </w:r>
      <w:r w:rsidRPr="00EC3BD7">
        <w:rPr>
          <w:color w:val="000000"/>
          <w:szCs w:val="22"/>
          <w:vertAlign w:val="superscript"/>
          <w:lang w:val="et-EE"/>
        </w:rPr>
        <w:t>2</w:t>
      </w:r>
      <w:r w:rsidRPr="00EC3BD7">
        <w:rPr>
          <w:color w:val="000000"/>
          <w:szCs w:val="22"/>
          <w:lang w:val="et-EE"/>
        </w:rPr>
        <w:t>/päevas korral. Ilma täheldatava toimeta tase (NOEL) oli 15 mg/kg/päevas. Neeru adenoom/kartsinoom, kusepõie ja ureetra papilloom, peensoole adenokartsinoom, kõrvalkilpnäärme adenoom, neerupealise beniigsed ja maliigsed medullaartuumorid ja mao mitteglandulaarse osa papilloomid/kartsinoomid olid täheldatavad annuse 60 mg/kg/päevas kasutamisel, mis vastab ligikaudu 1,7</w:t>
      </w:r>
      <w:r w:rsidR="006358DD" w:rsidRPr="00EC3BD7">
        <w:rPr>
          <w:color w:val="000000"/>
          <w:szCs w:val="22"/>
          <w:lang w:val="et-EE"/>
        </w:rPr>
        <w:noBreakHyphen/>
        <w:t xml:space="preserve"> </w:t>
      </w:r>
      <w:r w:rsidRPr="00EC3BD7">
        <w:rPr>
          <w:color w:val="000000"/>
          <w:szCs w:val="22"/>
          <w:lang w:val="et-EE"/>
        </w:rPr>
        <w:t>või 1</w:t>
      </w:r>
      <w:r w:rsidR="006358DD" w:rsidRPr="00EC3BD7">
        <w:rPr>
          <w:color w:val="000000"/>
          <w:szCs w:val="22"/>
          <w:lang w:val="et-EE"/>
        </w:rPr>
        <w:noBreakHyphen/>
      </w:r>
      <w:r w:rsidRPr="00EC3BD7">
        <w:rPr>
          <w:color w:val="000000"/>
          <w:szCs w:val="22"/>
          <w:lang w:val="et-EE"/>
        </w:rPr>
        <w:t xml:space="preserve">kordsele </w:t>
      </w:r>
      <w:r w:rsidR="000D66A3" w:rsidRPr="00EC3BD7">
        <w:rPr>
          <w:color w:val="000000"/>
          <w:szCs w:val="22"/>
          <w:lang w:val="et-EE"/>
        </w:rPr>
        <w:t>plasmakontsentratsiooni</w:t>
      </w:r>
      <w:r w:rsidRPr="00EC3BD7">
        <w:rPr>
          <w:color w:val="000000"/>
          <w:szCs w:val="22"/>
          <w:lang w:val="et-EE"/>
        </w:rPr>
        <w:t>le (AUC põhjal) inimesel annuse 400 mg/päevas või 800 mg/päevas ja 1,2</w:t>
      </w:r>
      <w:r w:rsidR="006358DD" w:rsidRPr="00EC3BD7">
        <w:rPr>
          <w:color w:val="000000"/>
          <w:szCs w:val="22"/>
          <w:lang w:val="et-EE"/>
        </w:rPr>
        <w:noBreakHyphen/>
      </w:r>
      <w:r w:rsidRPr="00EC3BD7">
        <w:rPr>
          <w:color w:val="000000"/>
          <w:szCs w:val="22"/>
          <w:lang w:val="et-EE"/>
        </w:rPr>
        <w:t xml:space="preserve">kordsele </w:t>
      </w:r>
      <w:r w:rsidR="000D66A3" w:rsidRPr="00EC3BD7">
        <w:rPr>
          <w:color w:val="000000"/>
          <w:szCs w:val="22"/>
          <w:lang w:val="et-EE"/>
        </w:rPr>
        <w:t>plasmakontsentratsiooni</w:t>
      </w:r>
      <w:r w:rsidRPr="00EC3BD7">
        <w:rPr>
          <w:color w:val="000000"/>
          <w:szCs w:val="22"/>
          <w:lang w:val="et-EE"/>
        </w:rPr>
        <w:t>le lastel (AUC põhjal) 340 mg/m</w:t>
      </w:r>
      <w:r w:rsidRPr="00EC3BD7">
        <w:rPr>
          <w:color w:val="000000"/>
          <w:szCs w:val="22"/>
          <w:vertAlign w:val="superscript"/>
          <w:lang w:val="et-EE"/>
        </w:rPr>
        <w:t>2</w:t>
      </w:r>
      <w:r w:rsidRPr="00EC3BD7">
        <w:rPr>
          <w:color w:val="000000"/>
          <w:szCs w:val="22"/>
          <w:lang w:val="et-EE"/>
        </w:rPr>
        <w:t>/päevas kasutamisel. Ilma täheldatava toimeta tase (NOEL) oli 30 mg/kg/päevas.</w:t>
      </w:r>
    </w:p>
    <w:p w14:paraId="35339800" w14:textId="77777777" w:rsidR="00136210" w:rsidRPr="00EC3BD7" w:rsidRDefault="00136210">
      <w:pPr>
        <w:rPr>
          <w:color w:val="000000"/>
          <w:szCs w:val="22"/>
          <w:lang w:val="et-EE"/>
        </w:rPr>
      </w:pPr>
    </w:p>
    <w:p w14:paraId="175AF8E4" w14:textId="77777777" w:rsidR="00136210" w:rsidRPr="00EC3BD7" w:rsidRDefault="00136210">
      <w:pPr>
        <w:rPr>
          <w:color w:val="000000"/>
          <w:szCs w:val="22"/>
          <w:lang w:val="et-EE"/>
        </w:rPr>
      </w:pPr>
      <w:r w:rsidRPr="00EC3BD7">
        <w:rPr>
          <w:color w:val="000000"/>
          <w:szCs w:val="22"/>
          <w:lang w:val="et-EE"/>
        </w:rPr>
        <w:t>Selle rottidel läbiviidud kartsinogeensusuuringu leidude mehhanism ja nende tähendus ravimi kasutamisel inimestel ei ole veel selge.</w:t>
      </w:r>
    </w:p>
    <w:p w14:paraId="180B01D8" w14:textId="77777777" w:rsidR="00136210" w:rsidRPr="00EC3BD7" w:rsidRDefault="00136210">
      <w:pPr>
        <w:rPr>
          <w:color w:val="000000"/>
          <w:szCs w:val="22"/>
          <w:lang w:val="et-EE"/>
        </w:rPr>
      </w:pPr>
    </w:p>
    <w:p w14:paraId="79528C17" w14:textId="77777777" w:rsidR="00136210" w:rsidRPr="00EC3BD7" w:rsidRDefault="00136210">
      <w:pPr>
        <w:rPr>
          <w:color w:val="000000"/>
          <w:szCs w:val="22"/>
          <w:lang w:val="et-EE"/>
        </w:rPr>
      </w:pPr>
      <w:r w:rsidRPr="00EC3BD7">
        <w:rPr>
          <w:color w:val="000000"/>
          <w:szCs w:val="22"/>
          <w:lang w:val="et-EE"/>
        </w:rPr>
        <w:t>Varasemates prekliinilistes uuringutes täheldamata mitte-neoplastilised muutused esinesid kardiovaskulaarsüsteemis, pankreases, endokriinsetes organites ja hammastes. Kõige olulisemateks neist leidudest olid kardiaalne hüpertroofia ja dilatatsioon, mis põhjustasid osadel katseloomadel südamepuudulikkust.</w:t>
      </w:r>
    </w:p>
    <w:p w14:paraId="6ED53947" w14:textId="77777777" w:rsidR="00136210" w:rsidRPr="00EC3BD7" w:rsidRDefault="00136210">
      <w:pPr>
        <w:pStyle w:val="EndnoteText"/>
        <w:widowControl w:val="0"/>
        <w:tabs>
          <w:tab w:val="clear" w:pos="567"/>
        </w:tabs>
        <w:rPr>
          <w:color w:val="000000"/>
          <w:szCs w:val="22"/>
          <w:lang w:val="et-EE"/>
        </w:rPr>
      </w:pPr>
    </w:p>
    <w:p w14:paraId="05033A6E" w14:textId="77777777" w:rsidR="00136210" w:rsidRPr="00EC3BD7" w:rsidRDefault="00894CBF">
      <w:pPr>
        <w:pStyle w:val="EndnoteText"/>
        <w:widowControl w:val="0"/>
        <w:tabs>
          <w:tab w:val="clear" w:pos="567"/>
        </w:tabs>
        <w:rPr>
          <w:color w:val="000000"/>
          <w:szCs w:val="22"/>
          <w:lang w:val="et-EE"/>
        </w:rPr>
      </w:pPr>
      <w:r w:rsidRPr="00EC3BD7">
        <w:rPr>
          <w:color w:val="000000"/>
          <w:szCs w:val="22"/>
          <w:lang w:val="et-EE"/>
        </w:rPr>
        <w:t>Toimeaine imatiniib kujutab keskkonnaohtu</w:t>
      </w:r>
      <w:r w:rsidR="007C08B9" w:rsidRPr="00EC3BD7">
        <w:rPr>
          <w:color w:val="000000"/>
          <w:szCs w:val="22"/>
          <w:lang w:val="et-EE"/>
        </w:rPr>
        <w:t xml:space="preserve"> </w:t>
      </w:r>
      <w:r w:rsidR="004810A1" w:rsidRPr="00EC3BD7">
        <w:rPr>
          <w:color w:val="000000"/>
          <w:szCs w:val="22"/>
          <w:lang w:val="et-EE"/>
        </w:rPr>
        <w:t>setteorganismidele</w:t>
      </w:r>
      <w:r w:rsidRPr="00EC3BD7">
        <w:rPr>
          <w:color w:val="000000"/>
          <w:szCs w:val="22"/>
          <w:lang w:val="et-EE"/>
        </w:rPr>
        <w:t>.</w:t>
      </w:r>
    </w:p>
    <w:p w14:paraId="67E53525" w14:textId="77777777" w:rsidR="00486CE3" w:rsidRPr="00EC3BD7" w:rsidRDefault="00486CE3">
      <w:pPr>
        <w:pStyle w:val="EndnoteText"/>
        <w:widowControl w:val="0"/>
        <w:tabs>
          <w:tab w:val="clear" w:pos="567"/>
        </w:tabs>
        <w:rPr>
          <w:color w:val="000000"/>
          <w:szCs w:val="22"/>
          <w:lang w:val="et-EE"/>
        </w:rPr>
      </w:pPr>
    </w:p>
    <w:p w14:paraId="5F34CC91" w14:textId="77777777" w:rsidR="00894CBF" w:rsidRPr="00EC3BD7" w:rsidRDefault="00894CBF">
      <w:pPr>
        <w:pStyle w:val="EndnoteText"/>
        <w:widowControl w:val="0"/>
        <w:tabs>
          <w:tab w:val="clear" w:pos="567"/>
        </w:tabs>
        <w:rPr>
          <w:color w:val="000000"/>
          <w:szCs w:val="22"/>
          <w:lang w:val="et-EE"/>
        </w:rPr>
      </w:pPr>
    </w:p>
    <w:p w14:paraId="0798C7BF" w14:textId="77777777" w:rsidR="00136210" w:rsidRPr="00EC3BD7" w:rsidRDefault="00136210" w:rsidP="00B9089D">
      <w:pPr>
        <w:keepNext/>
        <w:widowControl w:val="0"/>
        <w:tabs>
          <w:tab w:val="clear" w:pos="567"/>
        </w:tabs>
        <w:spacing w:line="240" w:lineRule="auto"/>
        <w:ind w:left="567" w:hanging="567"/>
        <w:rPr>
          <w:b/>
          <w:color w:val="000000"/>
          <w:szCs w:val="22"/>
          <w:lang w:val="et-EE"/>
        </w:rPr>
      </w:pPr>
      <w:r w:rsidRPr="00EC3BD7">
        <w:rPr>
          <w:b/>
          <w:color w:val="000000"/>
          <w:szCs w:val="22"/>
          <w:lang w:val="et-EE"/>
        </w:rPr>
        <w:t>6.</w:t>
      </w:r>
      <w:r w:rsidRPr="00EC3BD7">
        <w:rPr>
          <w:b/>
          <w:color w:val="000000"/>
          <w:szCs w:val="22"/>
          <w:lang w:val="et-EE"/>
        </w:rPr>
        <w:tab/>
        <w:t>FARMATSEUTILISED ANDMED</w:t>
      </w:r>
    </w:p>
    <w:p w14:paraId="0B33A18A" w14:textId="77777777" w:rsidR="00136210" w:rsidRPr="00EC3BD7" w:rsidRDefault="00136210" w:rsidP="00B9089D">
      <w:pPr>
        <w:pStyle w:val="EndnoteText"/>
        <w:keepNext/>
        <w:widowControl w:val="0"/>
        <w:tabs>
          <w:tab w:val="clear" w:pos="567"/>
        </w:tabs>
        <w:rPr>
          <w:color w:val="000000"/>
          <w:szCs w:val="22"/>
          <w:lang w:val="et-EE"/>
        </w:rPr>
      </w:pPr>
    </w:p>
    <w:p w14:paraId="56C8D29E"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6.1</w:t>
      </w:r>
      <w:r w:rsidRPr="00EC3BD7">
        <w:rPr>
          <w:b/>
          <w:color w:val="000000"/>
          <w:szCs w:val="22"/>
          <w:lang w:val="et-EE"/>
        </w:rPr>
        <w:tab/>
        <w:t>Abiainete loetelu</w:t>
      </w:r>
    </w:p>
    <w:p w14:paraId="7144ED08" w14:textId="77777777" w:rsidR="00136210" w:rsidRPr="00EC3BD7" w:rsidRDefault="00136210" w:rsidP="00B9089D">
      <w:pPr>
        <w:keepNext/>
        <w:widowControl w:val="0"/>
        <w:tabs>
          <w:tab w:val="clear" w:pos="567"/>
        </w:tabs>
        <w:spacing w:line="240" w:lineRule="auto"/>
        <w:ind w:left="567" w:hanging="567"/>
        <w:rPr>
          <w:color w:val="000000"/>
          <w:szCs w:val="22"/>
          <w:lang w:val="et-EE"/>
        </w:rPr>
      </w:pPr>
    </w:p>
    <w:p w14:paraId="26B042A8" w14:textId="77777777" w:rsidR="00626EA9" w:rsidRPr="00EC3BD7" w:rsidRDefault="00626EA9" w:rsidP="00626EA9">
      <w:pPr>
        <w:keepNext/>
        <w:widowControl w:val="0"/>
        <w:tabs>
          <w:tab w:val="clear" w:pos="567"/>
          <w:tab w:val="left" w:pos="1701"/>
        </w:tabs>
        <w:spacing w:line="240" w:lineRule="auto"/>
        <w:rPr>
          <w:color w:val="000000"/>
          <w:szCs w:val="22"/>
          <w:lang w:val="et-EE"/>
        </w:rPr>
      </w:pPr>
      <w:r w:rsidRPr="00EC3BD7">
        <w:rPr>
          <w:color w:val="000000"/>
          <w:szCs w:val="22"/>
          <w:lang w:val="et-EE"/>
        </w:rPr>
        <w:t>Kapsli sisu:</w:t>
      </w:r>
      <w:r w:rsidRPr="00EC3BD7">
        <w:rPr>
          <w:color w:val="000000"/>
          <w:szCs w:val="22"/>
          <w:lang w:val="et-EE"/>
        </w:rPr>
        <w:tab/>
        <w:t>Mikrokristalliline tselluloos</w:t>
      </w:r>
    </w:p>
    <w:p w14:paraId="52F9E2AC" w14:textId="77777777" w:rsidR="00626EA9" w:rsidRPr="00EC3BD7" w:rsidRDefault="00626EA9" w:rsidP="00626EA9">
      <w:pPr>
        <w:keepNext/>
        <w:widowControl w:val="0"/>
        <w:tabs>
          <w:tab w:val="clear" w:pos="567"/>
        </w:tabs>
        <w:spacing w:line="240" w:lineRule="auto"/>
        <w:ind w:left="1134" w:firstLine="567"/>
        <w:rPr>
          <w:color w:val="000000"/>
          <w:szCs w:val="22"/>
          <w:lang w:val="et-EE"/>
        </w:rPr>
      </w:pPr>
      <w:r w:rsidRPr="00EC3BD7">
        <w:rPr>
          <w:color w:val="000000"/>
          <w:szCs w:val="22"/>
          <w:lang w:val="et-EE"/>
        </w:rPr>
        <w:t>Krospovidoon</w:t>
      </w:r>
    </w:p>
    <w:p w14:paraId="5779D0CD" w14:textId="77777777" w:rsidR="00626EA9" w:rsidRPr="00EC3BD7" w:rsidRDefault="00626EA9" w:rsidP="00626EA9">
      <w:pPr>
        <w:keepNext/>
        <w:widowControl w:val="0"/>
        <w:tabs>
          <w:tab w:val="clear" w:pos="567"/>
        </w:tabs>
        <w:spacing w:line="240" w:lineRule="auto"/>
        <w:ind w:left="1134" w:firstLine="567"/>
        <w:rPr>
          <w:color w:val="000000"/>
          <w:szCs w:val="22"/>
          <w:lang w:val="et-EE"/>
        </w:rPr>
      </w:pPr>
      <w:r w:rsidRPr="00EC3BD7">
        <w:rPr>
          <w:color w:val="000000"/>
          <w:szCs w:val="22"/>
          <w:lang w:val="et-EE"/>
        </w:rPr>
        <w:t>Magneesiumstearaat</w:t>
      </w:r>
    </w:p>
    <w:p w14:paraId="774C2D06" w14:textId="77777777" w:rsidR="00626EA9" w:rsidRPr="00EC3BD7" w:rsidRDefault="00626EA9" w:rsidP="00FC2C9C">
      <w:pPr>
        <w:widowControl w:val="0"/>
        <w:tabs>
          <w:tab w:val="clear" w:pos="567"/>
        </w:tabs>
        <w:spacing w:line="240" w:lineRule="auto"/>
        <w:ind w:left="1701"/>
        <w:rPr>
          <w:color w:val="000000"/>
          <w:szCs w:val="22"/>
          <w:lang w:val="et-EE"/>
        </w:rPr>
      </w:pPr>
      <w:r w:rsidRPr="00EC3BD7">
        <w:rPr>
          <w:color w:val="000000"/>
          <w:szCs w:val="22"/>
          <w:lang w:val="et-EE"/>
        </w:rPr>
        <w:t>Veevaba kolloidne ränidioksiid</w:t>
      </w:r>
    </w:p>
    <w:p w14:paraId="4068363E" w14:textId="77777777" w:rsidR="00626EA9" w:rsidRPr="00EC3BD7" w:rsidRDefault="00626EA9" w:rsidP="00626EA9">
      <w:pPr>
        <w:widowControl w:val="0"/>
        <w:tabs>
          <w:tab w:val="clear" w:pos="567"/>
        </w:tabs>
        <w:spacing w:line="240" w:lineRule="auto"/>
        <w:rPr>
          <w:color w:val="000000"/>
          <w:szCs w:val="22"/>
          <w:lang w:val="et-EE"/>
        </w:rPr>
      </w:pPr>
    </w:p>
    <w:p w14:paraId="78F5B41F" w14:textId="77777777" w:rsidR="00626EA9" w:rsidRPr="00EC3BD7" w:rsidRDefault="00626EA9" w:rsidP="00626EA9">
      <w:pPr>
        <w:keepNext/>
        <w:widowControl w:val="0"/>
        <w:tabs>
          <w:tab w:val="clear" w:pos="567"/>
          <w:tab w:val="left" w:pos="1701"/>
        </w:tabs>
        <w:spacing w:line="240" w:lineRule="auto"/>
        <w:rPr>
          <w:color w:val="000000"/>
          <w:szCs w:val="22"/>
          <w:lang w:val="et-EE"/>
        </w:rPr>
      </w:pPr>
      <w:r w:rsidRPr="00EC3BD7">
        <w:rPr>
          <w:color w:val="000000"/>
          <w:szCs w:val="22"/>
          <w:lang w:val="et-EE"/>
        </w:rPr>
        <w:t>Kapsli kest:</w:t>
      </w:r>
      <w:r w:rsidRPr="00EC3BD7">
        <w:rPr>
          <w:color w:val="000000"/>
          <w:szCs w:val="22"/>
          <w:lang w:val="et-EE"/>
        </w:rPr>
        <w:tab/>
        <w:t>Želatiin</w:t>
      </w:r>
    </w:p>
    <w:p w14:paraId="050C1408" w14:textId="77777777" w:rsidR="00626EA9" w:rsidRPr="00EC3BD7" w:rsidRDefault="00626EA9" w:rsidP="00626EA9">
      <w:pPr>
        <w:keepNext/>
        <w:widowControl w:val="0"/>
        <w:tabs>
          <w:tab w:val="clear" w:pos="567"/>
        </w:tabs>
        <w:spacing w:line="240" w:lineRule="auto"/>
        <w:ind w:left="1134" w:firstLine="567"/>
        <w:rPr>
          <w:color w:val="000000"/>
          <w:szCs w:val="22"/>
          <w:lang w:val="et-EE"/>
        </w:rPr>
      </w:pPr>
      <w:r w:rsidRPr="00EC3BD7">
        <w:rPr>
          <w:color w:val="000000"/>
          <w:szCs w:val="22"/>
          <w:lang w:val="et-EE"/>
        </w:rPr>
        <w:t>Punane raudoksiid (E172)</w:t>
      </w:r>
    </w:p>
    <w:p w14:paraId="3B6939AB" w14:textId="77777777" w:rsidR="00626EA9" w:rsidRPr="00EC3BD7" w:rsidRDefault="00626EA9" w:rsidP="00626EA9">
      <w:pPr>
        <w:keepNext/>
        <w:widowControl w:val="0"/>
        <w:tabs>
          <w:tab w:val="clear" w:pos="567"/>
        </w:tabs>
        <w:spacing w:line="240" w:lineRule="auto"/>
        <w:ind w:left="1134" w:firstLine="567"/>
        <w:rPr>
          <w:color w:val="000000"/>
          <w:szCs w:val="22"/>
          <w:lang w:val="et-EE"/>
        </w:rPr>
      </w:pPr>
      <w:r w:rsidRPr="00EC3BD7">
        <w:rPr>
          <w:color w:val="000000"/>
          <w:szCs w:val="22"/>
          <w:lang w:val="et-EE"/>
        </w:rPr>
        <w:t>Kollane raudoksiid (E172)</w:t>
      </w:r>
    </w:p>
    <w:p w14:paraId="4ED628E4" w14:textId="77777777" w:rsidR="00626EA9" w:rsidRPr="00EC3BD7" w:rsidRDefault="00626EA9" w:rsidP="00FC2C9C">
      <w:pPr>
        <w:widowControl w:val="0"/>
        <w:tabs>
          <w:tab w:val="clear" w:pos="567"/>
        </w:tabs>
        <w:spacing w:line="240" w:lineRule="auto"/>
        <w:ind w:left="1134" w:firstLine="567"/>
        <w:rPr>
          <w:color w:val="000000"/>
          <w:szCs w:val="22"/>
          <w:lang w:val="et-EE"/>
        </w:rPr>
      </w:pPr>
      <w:r w:rsidRPr="00EC3BD7">
        <w:rPr>
          <w:color w:val="000000"/>
          <w:szCs w:val="22"/>
          <w:lang w:val="et-EE"/>
        </w:rPr>
        <w:t>Titaandioksiid (E171)</w:t>
      </w:r>
    </w:p>
    <w:p w14:paraId="08EB8F85" w14:textId="77777777" w:rsidR="00626EA9" w:rsidRPr="00EC3BD7" w:rsidRDefault="00626EA9" w:rsidP="00626EA9">
      <w:pPr>
        <w:widowControl w:val="0"/>
        <w:tabs>
          <w:tab w:val="clear" w:pos="567"/>
        </w:tabs>
        <w:spacing w:line="240" w:lineRule="auto"/>
        <w:rPr>
          <w:color w:val="000000"/>
          <w:szCs w:val="22"/>
          <w:lang w:val="et-EE"/>
        </w:rPr>
      </w:pPr>
    </w:p>
    <w:p w14:paraId="4FED88E1" w14:textId="77777777" w:rsidR="00626EA9" w:rsidRPr="00EC3BD7" w:rsidRDefault="00626EA9" w:rsidP="00FC2C9C">
      <w:pPr>
        <w:keepNext/>
        <w:widowControl w:val="0"/>
        <w:tabs>
          <w:tab w:val="clear" w:pos="567"/>
          <w:tab w:val="left" w:pos="1701"/>
        </w:tabs>
        <w:spacing w:line="240" w:lineRule="auto"/>
        <w:rPr>
          <w:color w:val="000000"/>
          <w:szCs w:val="22"/>
          <w:lang w:val="et-EE"/>
        </w:rPr>
      </w:pPr>
      <w:r w:rsidRPr="00EC3BD7">
        <w:rPr>
          <w:color w:val="000000"/>
          <w:szCs w:val="22"/>
          <w:lang w:val="et-EE"/>
        </w:rPr>
        <w:t>Trükivärv:</w:t>
      </w:r>
      <w:r w:rsidRPr="00EC3BD7">
        <w:rPr>
          <w:color w:val="000000"/>
          <w:szCs w:val="22"/>
          <w:lang w:val="et-EE"/>
        </w:rPr>
        <w:tab/>
        <w:t>Punane raudoksiid (E172)</w:t>
      </w:r>
    </w:p>
    <w:p w14:paraId="66A8F5FB" w14:textId="77777777" w:rsidR="00626EA9" w:rsidRPr="00EC3BD7" w:rsidRDefault="00626EA9" w:rsidP="008B1609">
      <w:pPr>
        <w:widowControl w:val="0"/>
        <w:tabs>
          <w:tab w:val="clear" w:pos="567"/>
        </w:tabs>
        <w:spacing w:line="240" w:lineRule="auto"/>
        <w:ind w:left="1701"/>
        <w:rPr>
          <w:color w:val="000000"/>
          <w:szCs w:val="22"/>
          <w:lang w:val="et-EE"/>
        </w:rPr>
      </w:pPr>
      <w:r w:rsidRPr="00EC3BD7">
        <w:rPr>
          <w:color w:val="000000"/>
          <w:szCs w:val="22"/>
          <w:lang w:val="et-EE"/>
        </w:rPr>
        <w:t>Šellak</w:t>
      </w:r>
    </w:p>
    <w:p w14:paraId="7AF17AA4" w14:textId="77777777" w:rsidR="00136210" w:rsidRPr="00EC3BD7" w:rsidRDefault="00136210" w:rsidP="00530316">
      <w:pPr>
        <w:widowControl w:val="0"/>
        <w:tabs>
          <w:tab w:val="clear" w:pos="567"/>
        </w:tabs>
        <w:spacing w:line="240" w:lineRule="auto"/>
        <w:rPr>
          <w:color w:val="000000"/>
          <w:szCs w:val="22"/>
          <w:lang w:val="et-EE"/>
        </w:rPr>
      </w:pPr>
    </w:p>
    <w:p w14:paraId="1CFAEB54"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6.2</w:t>
      </w:r>
      <w:r w:rsidRPr="00EC3BD7">
        <w:rPr>
          <w:b/>
          <w:color w:val="000000"/>
          <w:szCs w:val="22"/>
          <w:lang w:val="et-EE"/>
        </w:rPr>
        <w:tab/>
        <w:t>Sobimatus</w:t>
      </w:r>
    </w:p>
    <w:p w14:paraId="6122B1D5" w14:textId="77777777" w:rsidR="00136210" w:rsidRPr="00EC3BD7" w:rsidRDefault="00136210" w:rsidP="00B9089D">
      <w:pPr>
        <w:keepNext/>
        <w:widowControl w:val="0"/>
        <w:tabs>
          <w:tab w:val="clear" w:pos="567"/>
        </w:tabs>
        <w:spacing w:line="240" w:lineRule="auto"/>
        <w:rPr>
          <w:color w:val="000000"/>
          <w:szCs w:val="22"/>
          <w:lang w:val="et-EE"/>
        </w:rPr>
      </w:pPr>
    </w:p>
    <w:p w14:paraId="0B0D1AB0" w14:textId="77777777" w:rsidR="00136210" w:rsidRPr="00EC3BD7" w:rsidRDefault="00136210">
      <w:pPr>
        <w:widowControl w:val="0"/>
        <w:tabs>
          <w:tab w:val="clear" w:pos="567"/>
        </w:tabs>
        <w:spacing w:line="240" w:lineRule="auto"/>
        <w:rPr>
          <w:color w:val="000000"/>
          <w:szCs w:val="22"/>
          <w:lang w:val="et-EE"/>
        </w:rPr>
      </w:pPr>
      <w:r w:rsidRPr="00EC3BD7">
        <w:rPr>
          <w:color w:val="000000"/>
          <w:szCs w:val="22"/>
          <w:lang w:val="et-EE"/>
        </w:rPr>
        <w:t>Ei kohaldata.</w:t>
      </w:r>
    </w:p>
    <w:p w14:paraId="10C59168" w14:textId="77777777" w:rsidR="00136210" w:rsidRPr="00EC3BD7" w:rsidRDefault="00136210">
      <w:pPr>
        <w:pStyle w:val="EndnoteText"/>
        <w:widowControl w:val="0"/>
        <w:tabs>
          <w:tab w:val="clear" w:pos="567"/>
        </w:tabs>
        <w:rPr>
          <w:color w:val="000000"/>
          <w:szCs w:val="22"/>
          <w:lang w:val="et-EE"/>
        </w:rPr>
      </w:pPr>
    </w:p>
    <w:p w14:paraId="0667F07E"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6.3</w:t>
      </w:r>
      <w:r w:rsidRPr="00EC3BD7">
        <w:rPr>
          <w:b/>
          <w:color w:val="000000"/>
          <w:szCs w:val="22"/>
          <w:lang w:val="et-EE"/>
        </w:rPr>
        <w:tab/>
        <w:t>Kõlblikkusaeg</w:t>
      </w:r>
    </w:p>
    <w:p w14:paraId="5C81BD9B" w14:textId="77777777" w:rsidR="00136210" w:rsidRPr="00EC3BD7" w:rsidRDefault="00136210" w:rsidP="00B9089D">
      <w:pPr>
        <w:keepNext/>
        <w:widowControl w:val="0"/>
        <w:tabs>
          <w:tab w:val="clear" w:pos="567"/>
        </w:tabs>
        <w:spacing w:line="240" w:lineRule="auto"/>
        <w:rPr>
          <w:color w:val="000000"/>
          <w:szCs w:val="22"/>
          <w:lang w:val="et-EE"/>
        </w:rPr>
      </w:pPr>
    </w:p>
    <w:p w14:paraId="7853C71C"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2 aastat.</w:t>
      </w:r>
    </w:p>
    <w:p w14:paraId="410A7B47" w14:textId="77777777" w:rsidR="00136210" w:rsidRPr="00EC3BD7" w:rsidRDefault="00136210">
      <w:pPr>
        <w:pStyle w:val="EndnoteText"/>
        <w:widowControl w:val="0"/>
        <w:tabs>
          <w:tab w:val="clear" w:pos="567"/>
        </w:tabs>
        <w:rPr>
          <w:color w:val="000000"/>
          <w:szCs w:val="22"/>
          <w:lang w:val="et-EE"/>
        </w:rPr>
      </w:pPr>
    </w:p>
    <w:p w14:paraId="4A28213E"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6.4</w:t>
      </w:r>
      <w:r w:rsidRPr="00EC3BD7">
        <w:rPr>
          <w:b/>
          <w:color w:val="000000"/>
          <w:szCs w:val="22"/>
          <w:lang w:val="et-EE"/>
        </w:rPr>
        <w:tab/>
        <w:t>Säilitamise eritingimused</w:t>
      </w:r>
    </w:p>
    <w:p w14:paraId="0090282F" w14:textId="77777777" w:rsidR="00136210" w:rsidRPr="00EC3BD7" w:rsidRDefault="00136210" w:rsidP="00B9089D">
      <w:pPr>
        <w:keepNext/>
        <w:widowControl w:val="0"/>
        <w:tabs>
          <w:tab w:val="clear" w:pos="567"/>
        </w:tabs>
        <w:spacing w:line="240" w:lineRule="auto"/>
        <w:rPr>
          <w:color w:val="000000"/>
          <w:szCs w:val="22"/>
          <w:lang w:val="et-EE"/>
        </w:rPr>
      </w:pPr>
    </w:p>
    <w:p w14:paraId="356252B0" w14:textId="77777777" w:rsidR="00136210" w:rsidRPr="00EC3BD7" w:rsidRDefault="00136210">
      <w:pPr>
        <w:widowControl w:val="0"/>
        <w:tabs>
          <w:tab w:val="clear" w:pos="567"/>
        </w:tabs>
        <w:spacing w:line="240" w:lineRule="auto"/>
        <w:rPr>
          <w:color w:val="000000"/>
          <w:szCs w:val="22"/>
          <w:lang w:val="et-EE"/>
        </w:rPr>
      </w:pPr>
      <w:r w:rsidRPr="00EC3BD7">
        <w:rPr>
          <w:color w:val="000000"/>
          <w:szCs w:val="22"/>
          <w:lang w:val="et-EE"/>
        </w:rPr>
        <w:t>Hoida temperatuuril kuni 30</w:t>
      </w:r>
      <w:r w:rsidRPr="00EC3BD7">
        <w:rPr>
          <w:color w:val="000000"/>
          <w:szCs w:val="22"/>
          <w:lang w:val="et-EE"/>
        </w:rPr>
        <w:sym w:font="Symbol" w:char="F0B0"/>
      </w:r>
      <w:r w:rsidRPr="00EC3BD7">
        <w:rPr>
          <w:color w:val="000000"/>
          <w:szCs w:val="22"/>
          <w:lang w:val="et-EE"/>
        </w:rPr>
        <w:t>C.</w:t>
      </w:r>
    </w:p>
    <w:p w14:paraId="180B0BF3" w14:textId="77777777" w:rsidR="00136210" w:rsidRPr="00EC3BD7" w:rsidRDefault="00136210">
      <w:pPr>
        <w:widowControl w:val="0"/>
        <w:tabs>
          <w:tab w:val="clear" w:pos="567"/>
        </w:tabs>
        <w:spacing w:line="240" w:lineRule="auto"/>
        <w:rPr>
          <w:color w:val="000000"/>
          <w:szCs w:val="22"/>
          <w:lang w:val="et-EE"/>
        </w:rPr>
      </w:pPr>
    </w:p>
    <w:p w14:paraId="7AD61867" w14:textId="77777777" w:rsidR="00136210" w:rsidRPr="00EC3BD7" w:rsidRDefault="00136210">
      <w:pPr>
        <w:widowControl w:val="0"/>
        <w:tabs>
          <w:tab w:val="clear" w:pos="567"/>
        </w:tabs>
        <w:spacing w:line="240" w:lineRule="auto"/>
        <w:rPr>
          <w:color w:val="000000"/>
          <w:szCs w:val="22"/>
          <w:lang w:val="et-EE"/>
        </w:rPr>
      </w:pPr>
      <w:r w:rsidRPr="00EC3BD7">
        <w:rPr>
          <w:color w:val="000000"/>
          <w:szCs w:val="22"/>
          <w:lang w:val="et-EE"/>
        </w:rPr>
        <w:t>Hoida originaalpakendis, niiskuse eest kaitstult.</w:t>
      </w:r>
    </w:p>
    <w:p w14:paraId="0273314A" w14:textId="77777777" w:rsidR="00136210" w:rsidRPr="00EC3BD7" w:rsidRDefault="00136210">
      <w:pPr>
        <w:widowControl w:val="0"/>
        <w:tabs>
          <w:tab w:val="clear" w:pos="567"/>
        </w:tabs>
        <w:spacing w:line="240" w:lineRule="auto"/>
        <w:rPr>
          <w:color w:val="000000"/>
          <w:szCs w:val="22"/>
          <w:lang w:val="et-EE"/>
        </w:rPr>
      </w:pPr>
    </w:p>
    <w:p w14:paraId="18369FC1"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6.5</w:t>
      </w:r>
      <w:r w:rsidRPr="00EC3BD7">
        <w:rPr>
          <w:b/>
          <w:color w:val="000000"/>
          <w:szCs w:val="22"/>
          <w:lang w:val="et-EE"/>
        </w:rPr>
        <w:tab/>
        <w:t>Pakendi iseloomustus ja sisu</w:t>
      </w:r>
    </w:p>
    <w:p w14:paraId="029B679E" w14:textId="77777777" w:rsidR="00136210" w:rsidRPr="00EC3BD7" w:rsidRDefault="00136210" w:rsidP="00B9089D">
      <w:pPr>
        <w:pStyle w:val="EndnoteText"/>
        <w:keepNext/>
        <w:widowControl w:val="0"/>
        <w:tabs>
          <w:tab w:val="clear" w:pos="567"/>
        </w:tabs>
        <w:rPr>
          <w:color w:val="000000"/>
          <w:szCs w:val="22"/>
          <w:lang w:val="et-EE"/>
        </w:rPr>
      </w:pPr>
    </w:p>
    <w:p w14:paraId="1EE2BADE"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PVC/alumiinium blister</w:t>
      </w:r>
    </w:p>
    <w:p w14:paraId="7B279F67" w14:textId="77777777" w:rsidR="00136210" w:rsidRPr="00EC3BD7" w:rsidRDefault="00136210">
      <w:pPr>
        <w:widowControl w:val="0"/>
        <w:tabs>
          <w:tab w:val="clear" w:pos="567"/>
        </w:tabs>
        <w:spacing w:line="240" w:lineRule="auto"/>
        <w:ind w:left="567" w:hanging="567"/>
        <w:rPr>
          <w:color w:val="000000"/>
          <w:szCs w:val="22"/>
          <w:lang w:val="et-EE"/>
        </w:rPr>
      </w:pPr>
    </w:p>
    <w:p w14:paraId="33C7248B" w14:textId="77777777" w:rsidR="007E3C98" w:rsidRPr="00EC3BD7" w:rsidRDefault="007E3C98" w:rsidP="007E3C98">
      <w:pPr>
        <w:pStyle w:val="EndnoteText"/>
        <w:widowControl w:val="0"/>
        <w:tabs>
          <w:tab w:val="clear" w:pos="567"/>
        </w:tabs>
        <w:rPr>
          <w:color w:val="000000"/>
          <w:szCs w:val="22"/>
          <w:lang w:val="et-EE"/>
        </w:rPr>
      </w:pPr>
      <w:r w:rsidRPr="00EC3BD7">
        <w:rPr>
          <w:color w:val="000000"/>
          <w:szCs w:val="22"/>
          <w:lang w:val="et-EE"/>
        </w:rPr>
        <w:t>Pakend sisaldab 24, 48, 96, 120 või 180 kapslit.</w:t>
      </w:r>
    </w:p>
    <w:p w14:paraId="79D1C4E1" w14:textId="77777777" w:rsidR="00136210" w:rsidRPr="00EC3BD7" w:rsidRDefault="00136210">
      <w:pPr>
        <w:pStyle w:val="EndnoteText"/>
        <w:widowControl w:val="0"/>
        <w:tabs>
          <w:tab w:val="clear" w:pos="567"/>
        </w:tabs>
        <w:rPr>
          <w:color w:val="000000"/>
          <w:szCs w:val="22"/>
          <w:lang w:val="et-EE"/>
        </w:rPr>
      </w:pPr>
    </w:p>
    <w:p w14:paraId="7F7AEA83" w14:textId="77777777" w:rsidR="007E3C98" w:rsidRPr="00EC3BD7" w:rsidRDefault="007E3C98">
      <w:pPr>
        <w:pStyle w:val="EndnoteText"/>
        <w:widowControl w:val="0"/>
        <w:tabs>
          <w:tab w:val="clear" w:pos="567"/>
        </w:tabs>
        <w:rPr>
          <w:color w:val="000000"/>
          <w:szCs w:val="22"/>
          <w:lang w:val="et-EE"/>
        </w:rPr>
      </w:pPr>
      <w:r w:rsidRPr="00EC3BD7">
        <w:rPr>
          <w:color w:val="000000"/>
          <w:szCs w:val="22"/>
          <w:lang w:val="et-EE" w:bidi="et-EE"/>
        </w:rPr>
        <w:t>Kõik pakendi suurused ei pruugi olla müügil.</w:t>
      </w:r>
    </w:p>
    <w:p w14:paraId="2983B0AE" w14:textId="77777777" w:rsidR="007E3C98" w:rsidRPr="00EC3BD7" w:rsidRDefault="007E3C98">
      <w:pPr>
        <w:pStyle w:val="EndnoteText"/>
        <w:widowControl w:val="0"/>
        <w:tabs>
          <w:tab w:val="clear" w:pos="567"/>
        </w:tabs>
        <w:rPr>
          <w:color w:val="000000"/>
          <w:szCs w:val="22"/>
          <w:lang w:val="et-EE"/>
        </w:rPr>
      </w:pPr>
    </w:p>
    <w:p w14:paraId="3C1DDE40"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6.6</w:t>
      </w:r>
      <w:r w:rsidRPr="00EC3BD7">
        <w:rPr>
          <w:b/>
          <w:color w:val="000000"/>
          <w:szCs w:val="22"/>
          <w:lang w:val="et-EE"/>
        </w:rPr>
        <w:tab/>
        <w:t>Erihoiatused ravim</w:t>
      </w:r>
      <w:r w:rsidR="00BD6508" w:rsidRPr="00EC3BD7">
        <w:rPr>
          <w:b/>
          <w:color w:val="000000"/>
          <w:szCs w:val="22"/>
          <w:lang w:val="et-EE"/>
        </w:rPr>
        <w:t>preparaad</w:t>
      </w:r>
      <w:r w:rsidRPr="00EC3BD7">
        <w:rPr>
          <w:b/>
          <w:color w:val="000000"/>
          <w:szCs w:val="22"/>
          <w:lang w:val="et-EE"/>
        </w:rPr>
        <w:t>i hävitamiseks</w:t>
      </w:r>
    </w:p>
    <w:p w14:paraId="60E40B53" w14:textId="77777777" w:rsidR="00136210" w:rsidRPr="00EC3BD7" w:rsidRDefault="00136210" w:rsidP="00B9089D">
      <w:pPr>
        <w:pStyle w:val="EndnoteText"/>
        <w:keepNext/>
        <w:widowControl w:val="0"/>
        <w:tabs>
          <w:tab w:val="clear" w:pos="567"/>
        </w:tabs>
        <w:rPr>
          <w:color w:val="000000"/>
          <w:szCs w:val="22"/>
          <w:lang w:val="et-EE"/>
        </w:rPr>
      </w:pPr>
    </w:p>
    <w:p w14:paraId="27935355" w14:textId="77777777" w:rsidR="00136210" w:rsidRPr="00EC3BD7" w:rsidRDefault="00140701">
      <w:pPr>
        <w:pStyle w:val="EndnoteText"/>
        <w:widowControl w:val="0"/>
        <w:tabs>
          <w:tab w:val="clear" w:pos="567"/>
        </w:tabs>
        <w:rPr>
          <w:color w:val="000000"/>
          <w:szCs w:val="22"/>
          <w:lang w:val="et-EE"/>
        </w:rPr>
      </w:pPr>
      <w:r w:rsidRPr="00EC3BD7">
        <w:rPr>
          <w:szCs w:val="24"/>
          <w:lang w:val="et-EE"/>
        </w:rPr>
        <w:t>Kasutamata ravimpreparaat või jäätmematerjal tuleb hävitada vastavalt kohalikele nõuetele.</w:t>
      </w:r>
    </w:p>
    <w:p w14:paraId="59F0B819" w14:textId="77777777" w:rsidR="00136210" w:rsidRPr="00EC3BD7" w:rsidRDefault="00136210">
      <w:pPr>
        <w:pStyle w:val="EndnoteText"/>
        <w:widowControl w:val="0"/>
        <w:tabs>
          <w:tab w:val="clear" w:pos="567"/>
        </w:tabs>
        <w:rPr>
          <w:color w:val="000000"/>
          <w:szCs w:val="22"/>
          <w:lang w:val="et-EE"/>
        </w:rPr>
      </w:pPr>
    </w:p>
    <w:p w14:paraId="02D37738" w14:textId="77777777" w:rsidR="00136210" w:rsidRPr="00EC3BD7" w:rsidRDefault="00136210">
      <w:pPr>
        <w:pStyle w:val="EndnoteText"/>
        <w:widowControl w:val="0"/>
        <w:tabs>
          <w:tab w:val="clear" w:pos="567"/>
        </w:tabs>
        <w:rPr>
          <w:color w:val="000000"/>
          <w:szCs w:val="22"/>
          <w:lang w:val="et-EE"/>
        </w:rPr>
      </w:pPr>
    </w:p>
    <w:p w14:paraId="0591548C"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7.</w:t>
      </w:r>
      <w:r w:rsidRPr="00EC3BD7">
        <w:rPr>
          <w:b/>
          <w:color w:val="000000"/>
          <w:szCs w:val="22"/>
          <w:lang w:val="et-EE"/>
        </w:rPr>
        <w:tab/>
        <w:t>MÜÜGILOA HOIDJA</w:t>
      </w:r>
    </w:p>
    <w:p w14:paraId="336530FD" w14:textId="77777777" w:rsidR="00136210" w:rsidRPr="00EC3BD7" w:rsidRDefault="00136210" w:rsidP="00B9089D">
      <w:pPr>
        <w:pStyle w:val="EndnoteText"/>
        <w:keepNext/>
        <w:widowControl w:val="0"/>
        <w:tabs>
          <w:tab w:val="clear" w:pos="567"/>
        </w:tabs>
        <w:rPr>
          <w:color w:val="000000"/>
          <w:szCs w:val="22"/>
          <w:lang w:val="et-EE"/>
        </w:rPr>
      </w:pPr>
    </w:p>
    <w:p w14:paraId="4C15383C" w14:textId="77777777" w:rsidR="00136210" w:rsidRPr="00EC3BD7" w:rsidRDefault="00136210" w:rsidP="00B9089D">
      <w:pPr>
        <w:keepNext/>
        <w:widowControl w:val="0"/>
        <w:tabs>
          <w:tab w:val="clear" w:pos="567"/>
        </w:tabs>
        <w:spacing w:line="240" w:lineRule="auto"/>
        <w:rPr>
          <w:color w:val="000000"/>
          <w:szCs w:val="22"/>
          <w:lang w:val="et-EE"/>
        </w:rPr>
      </w:pPr>
      <w:r w:rsidRPr="00EC3BD7">
        <w:rPr>
          <w:color w:val="000000"/>
          <w:szCs w:val="22"/>
          <w:lang w:val="et-EE"/>
        </w:rPr>
        <w:t>Novartis Europharm Limited</w:t>
      </w:r>
    </w:p>
    <w:p w14:paraId="651B3AB0" w14:textId="77777777" w:rsidR="003948E3" w:rsidRPr="00EC3BD7" w:rsidRDefault="003948E3" w:rsidP="003948E3">
      <w:pPr>
        <w:keepNext/>
        <w:widowControl w:val="0"/>
        <w:spacing w:line="240" w:lineRule="auto"/>
        <w:rPr>
          <w:color w:val="000000"/>
        </w:rPr>
      </w:pPr>
      <w:r w:rsidRPr="00EC3BD7">
        <w:rPr>
          <w:color w:val="000000"/>
        </w:rPr>
        <w:t>Vista Building</w:t>
      </w:r>
    </w:p>
    <w:p w14:paraId="60A74ED9" w14:textId="77777777" w:rsidR="003948E3" w:rsidRPr="00EC3BD7" w:rsidRDefault="003948E3" w:rsidP="003948E3">
      <w:pPr>
        <w:keepNext/>
        <w:widowControl w:val="0"/>
        <w:spacing w:line="240" w:lineRule="auto"/>
        <w:rPr>
          <w:color w:val="000000"/>
        </w:rPr>
      </w:pPr>
      <w:r w:rsidRPr="00EC3BD7">
        <w:rPr>
          <w:color w:val="000000"/>
        </w:rPr>
        <w:t>Elm Park, Merrion Road</w:t>
      </w:r>
    </w:p>
    <w:p w14:paraId="0D88BDAA" w14:textId="77777777" w:rsidR="003948E3" w:rsidRPr="00EC3BD7" w:rsidRDefault="003948E3" w:rsidP="003948E3">
      <w:pPr>
        <w:keepNext/>
        <w:widowControl w:val="0"/>
        <w:spacing w:line="240" w:lineRule="auto"/>
        <w:rPr>
          <w:color w:val="000000"/>
        </w:rPr>
      </w:pPr>
      <w:r w:rsidRPr="00EC3BD7">
        <w:rPr>
          <w:color w:val="000000"/>
        </w:rPr>
        <w:t>Dublin 4</w:t>
      </w:r>
    </w:p>
    <w:p w14:paraId="51E0ECA3" w14:textId="77777777" w:rsidR="00136210" w:rsidRPr="00EC3BD7" w:rsidRDefault="003948E3">
      <w:pPr>
        <w:widowControl w:val="0"/>
        <w:tabs>
          <w:tab w:val="clear" w:pos="567"/>
        </w:tabs>
        <w:spacing w:line="240" w:lineRule="auto"/>
        <w:rPr>
          <w:color w:val="000000"/>
          <w:szCs w:val="22"/>
          <w:lang w:val="et-EE"/>
        </w:rPr>
      </w:pPr>
      <w:r w:rsidRPr="00EC3BD7">
        <w:rPr>
          <w:color w:val="000000"/>
        </w:rPr>
        <w:t>Iirimaa</w:t>
      </w:r>
    </w:p>
    <w:p w14:paraId="3CE306CD" w14:textId="77777777" w:rsidR="00136210" w:rsidRPr="00EC3BD7" w:rsidRDefault="00136210">
      <w:pPr>
        <w:widowControl w:val="0"/>
        <w:tabs>
          <w:tab w:val="clear" w:pos="567"/>
        </w:tabs>
        <w:spacing w:line="240" w:lineRule="auto"/>
        <w:rPr>
          <w:color w:val="000000"/>
          <w:szCs w:val="22"/>
          <w:lang w:val="et-EE"/>
        </w:rPr>
      </w:pPr>
    </w:p>
    <w:p w14:paraId="6C88BB4A" w14:textId="77777777" w:rsidR="00136210" w:rsidRPr="00EC3BD7" w:rsidRDefault="00136210">
      <w:pPr>
        <w:pStyle w:val="EndnoteText"/>
        <w:widowControl w:val="0"/>
        <w:tabs>
          <w:tab w:val="clear" w:pos="567"/>
        </w:tabs>
        <w:rPr>
          <w:color w:val="000000"/>
          <w:szCs w:val="22"/>
          <w:lang w:val="et-EE"/>
        </w:rPr>
      </w:pPr>
    </w:p>
    <w:p w14:paraId="5485F766" w14:textId="77777777" w:rsidR="00136210" w:rsidRPr="00EC3BD7" w:rsidRDefault="00136210" w:rsidP="00B9089D">
      <w:pPr>
        <w:keepNext/>
        <w:widowControl w:val="0"/>
        <w:tabs>
          <w:tab w:val="clear" w:pos="567"/>
        </w:tabs>
        <w:spacing w:line="240" w:lineRule="auto"/>
        <w:ind w:left="567" w:hanging="567"/>
        <w:rPr>
          <w:b/>
          <w:color w:val="000000"/>
          <w:szCs w:val="22"/>
          <w:lang w:val="et-EE"/>
        </w:rPr>
      </w:pPr>
      <w:r w:rsidRPr="00EC3BD7">
        <w:rPr>
          <w:b/>
          <w:color w:val="000000"/>
          <w:szCs w:val="22"/>
          <w:lang w:val="et-EE"/>
        </w:rPr>
        <w:t>8.</w:t>
      </w:r>
      <w:r w:rsidRPr="00EC3BD7">
        <w:rPr>
          <w:b/>
          <w:color w:val="000000"/>
          <w:szCs w:val="22"/>
          <w:lang w:val="et-EE"/>
        </w:rPr>
        <w:tab/>
        <w:t>MÜÜGILOA NUMBER (NUMBRID)</w:t>
      </w:r>
    </w:p>
    <w:p w14:paraId="3270E517" w14:textId="77777777" w:rsidR="00136210" w:rsidRPr="00EC3BD7" w:rsidRDefault="00136210" w:rsidP="00B9089D">
      <w:pPr>
        <w:pStyle w:val="EndnoteText"/>
        <w:keepNext/>
        <w:widowControl w:val="0"/>
        <w:tabs>
          <w:tab w:val="clear" w:pos="567"/>
        </w:tabs>
        <w:rPr>
          <w:color w:val="000000"/>
          <w:szCs w:val="22"/>
          <w:lang w:val="et-EE"/>
        </w:rPr>
      </w:pPr>
    </w:p>
    <w:p w14:paraId="0FCCA508" w14:textId="77777777" w:rsidR="007E3C98" w:rsidRPr="00EC3BD7" w:rsidRDefault="007E3C98" w:rsidP="007E3C98">
      <w:pPr>
        <w:pStyle w:val="EndnoteText"/>
        <w:widowControl w:val="0"/>
        <w:tabs>
          <w:tab w:val="clear" w:pos="567"/>
        </w:tabs>
        <w:rPr>
          <w:color w:val="000000"/>
          <w:szCs w:val="22"/>
          <w:lang w:val="et-EE"/>
        </w:rPr>
      </w:pPr>
      <w:r w:rsidRPr="00EC3BD7">
        <w:rPr>
          <w:color w:val="000000"/>
          <w:szCs w:val="22"/>
          <w:lang w:val="et-EE"/>
        </w:rPr>
        <w:t>EU/1/01/198/002-006</w:t>
      </w:r>
    </w:p>
    <w:p w14:paraId="38E3D270" w14:textId="77777777" w:rsidR="007E3C98" w:rsidRPr="00EC3BD7" w:rsidRDefault="007E3C98" w:rsidP="007E3C98">
      <w:pPr>
        <w:pStyle w:val="EndnoteText"/>
        <w:widowControl w:val="0"/>
        <w:tabs>
          <w:tab w:val="clear" w:pos="567"/>
        </w:tabs>
        <w:rPr>
          <w:color w:val="000000"/>
          <w:szCs w:val="22"/>
          <w:lang w:val="et-EE"/>
        </w:rPr>
      </w:pPr>
    </w:p>
    <w:p w14:paraId="170CE4D0" w14:textId="77777777" w:rsidR="00136210" w:rsidRPr="00EC3BD7" w:rsidRDefault="00136210">
      <w:pPr>
        <w:widowControl w:val="0"/>
        <w:tabs>
          <w:tab w:val="clear" w:pos="567"/>
        </w:tabs>
        <w:spacing w:line="240" w:lineRule="auto"/>
        <w:rPr>
          <w:color w:val="000000"/>
          <w:szCs w:val="22"/>
          <w:lang w:val="et-EE"/>
        </w:rPr>
      </w:pPr>
    </w:p>
    <w:p w14:paraId="64B2B609"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9.</w:t>
      </w:r>
      <w:r w:rsidRPr="00EC3BD7">
        <w:rPr>
          <w:b/>
          <w:color w:val="000000"/>
          <w:szCs w:val="22"/>
          <w:lang w:val="et-EE"/>
        </w:rPr>
        <w:tab/>
        <w:t>ESMASE MÜÜGILOA VÄLJASTAMISE/MÜÜGILOA UUENDAMISE KUUPÄEV</w:t>
      </w:r>
    </w:p>
    <w:p w14:paraId="36FE5322" w14:textId="77777777" w:rsidR="00136210" w:rsidRPr="00EC3BD7" w:rsidRDefault="00136210" w:rsidP="00B9089D">
      <w:pPr>
        <w:keepNext/>
        <w:widowControl w:val="0"/>
        <w:spacing w:line="240" w:lineRule="auto"/>
        <w:rPr>
          <w:color w:val="000000"/>
          <w:szCs w:val="22"/>
          <w:lang w:val="et-EE"/>
        </w:rPr>
      </w:pPr>
    </w:p>
    <w:p w14:paraId="55C80D5A" w14:textId="77777777" w:rsidR="00136210" w:rsidRPr="00EC3BD7" w:rsidRDefault="005D56BD">
      <w:pPr>
        <w:widowControl w:val="0"/>
        <w:spacing w:line="240" w:lineRule="auto"/>
        <w:rPr>
          <w:color w:val="000000"/>
          <w:szCs w:val="22"/>
          <w:lang w:val="et-EE"/>
        </w:rPr>
      </w:pPr>
      <w:r w:rsidRPr="00EC3BD7">
        <w:rPr>
          <w:color w:val="000000"/>
          <w:szCs w:val="22"/>
          <w:lang w:val="et-EE"/>
        </w:rPr>
        <w:t>Müügiloa e</w:t>
      </w:r>
      <w:r w:rsidR="00136210" w:rsidRPr="00EC3BD7">
        <w:rPr>
          <w:color w:val="000000"/>
          <w:szCs w:val="22"/>
          <w:lang w:val="et-EE"/>
        </w:rPr>
        <w:t>smase väljastami</w:t>
      </w:r>
      <w:r w:rsidRPr="00EC3BD7">
        <w:rPr>
          <w:color w:val="000000"/>
          <w:szCs w:val="22"/>
          <w:lang w:val="et-EE"/>
        </w:rPr>
        <w:t>s</w:t>
      </w:r>
      <w:r w:rsidR="00136210" w:rsidRPr="00EC3BD7">
        <w:rPr>
          <w:color w:val="000000"/>
          <w:szCs w:val="22"/>
          <w:lang w:val="et-EE"/>
        </w:rPr>
        <w:t>e</w:t>
      </w:r>
      <w:r w:rsidRPr="00EC3BD7">
        <w:rPr>
          <w:color w:val="000000"/>
          <w:szCs w:val="22"/>
          <w:lang w:val="et-EE"/>
        </w:rPr>
        <w:t xml:space="preserve"> kuupäev</w:t>
      </w:r>
      <w:r w:rsidR="00136210" w:rsidRPr="00EC3BD7">
        <w:rPr>
          <w:color w:val="000000"/>
          <w:szCs w:val="22"/>
          <w:lang w:val="et-EE"/>
        </w:rPr>
        <w:t>: 07.</w:t>
      </w:r>
      <w:r w:rsidR="008D323E" w:rsidRPr="00EC3BD7">
        <w:rPr>
          <w:color w:val="000000"/>
          <w:szCs w:val="22"/>
          <w:lang w:val="et-EE"/>
        </w:rPr>
        <w:t xml:space="preserve"> november </w:t>
      </w:r>
      <w:r w:rsidR="00136210" w:rsidRPr="00EC3BD7">
        <w:rPr>
          <w:color w:val="000000"/>
          <w:szCs w:val="22"/>
          <w:lang w:val="et-EE"/>
        </w:rPr>
        <w:t>2001</w:t>
      </w:r>
    </w:p>
    <w:p w14:paraId="76B512E7" w14:textId="77777777" w:rsidR="00136210" w:rsidRPr="00EC3BD7" w:rsidRDefault="005D56BD">
      <w:pPr>
        <w:widowControl w:val="0"/>
        <w:spacing w:line="240" w:lineRule="auto"/>
        <w:rPr>
          <w:color w:val="000000"/>
          <w:szCs w:val="22"/>
          <w:lang w:val="et-EE"/>
        </w:rPr>
      </w:pPr>
      <w:r w:rsidRPr="00EC3BD7">
        <w:rPr>
          <w:color w:val="000000"/>
          <w:szCs w:val="22"/>
          <w:lang w:val="et-EE"/>
        </w:rPr>
        <w:t>Müügiloa viimase</w:t>
      </w:r>
      <w:r w:rsidR="00136210" w:rsidRPr="00EC3BD7">
        <w:rPr>
          <w:color w:val="000000"/>
          <w:szCs w:val="22"/>
          <w:lang w:val="et-EE"/>
        </w:rPr>
        <w:t xml:space="preserve"> uuendami</w:t>
      </w:r>
      <w:r w:rsidRPr="00EC3BD7">
        <w:rPr>
          <w:color w:val="000000"/>
          <w:szCs w:val="22"/>
          <w:lang w:val="et-EE"/>
        </w:rPr>
        <w:t>s</w:t>
      </w:r>
      <w:r w:rsidR="00136210" w:rsidRPr="00EC3BD7">
        <w:rPr>
          <w:color w:val="000000"/>
          <w:szCs w:val="22"/>
          <w:lang w:val="et-EE"/>
        </w:rPr>
        <w:t>e</w:t>
      </w:r>
      <w:r w:rsidRPr="00EC3BD7">
        <w:rPr>
          <w:color w:val="000000"/>
          <w:szCs w:val="22"/>
          <w:lang w:val="et-EE"/>
        </w:rPr>
        <w:t xml:space="preserve"> kuupäev</w:t>
      </w:r>
      <w:r w:rsidR="00136210" w:rsidRPr="00EC3BD7">
        <w:rPr>
          <w:color w:val="000000"/>
          <w:szCs w:val="22"/>
          <w:lang w:val="et-EE"/>
        </w:rPr>
        <w:t>: 07.</w:t>
      </w:r>
      <w:r w:rsidR="008D323E" w:rsidRPr="00EC3BD7">
        <w:rPr>
          <w:color w:val="000000"/>
          <w:szCs w:val="22"/>
          <w:lang w:val="et-EE"/>
        </w:rPr>
        <w:t xml:space="preserve"> november </w:t>
      </w:r>
      <w:r w:rsidR="00136210" w:rsidRPr="00EC3BD7">
        <w:rPr>
          <w:color w:val="000000"/>
          <w:szCs w:val="22"/>
          <w:lang w:val="et-EE"/>
        </w:rPr>
        <w:t>2006</w:t>
      </w:r>
    </w:p>
    <w:p w14:paraId="1BA326A0" w14:textId="77777777" w:rsidR="00136210" w:rsidRPr="00EC3BD7" w:rsidRDefault="00136210">
      <w:pPr>
        <w:widowControl w:val="0"/>
        <w:tabs>
          <w:tab w:val="clear" w:pos="567"/>
        </w:tabs>
        <w:spacing w:line="240" w:lineRule="auto"/>
        <w:rPr>
          <w:color w:val="000000"/>
          <w:szCs w:val="22"/>
          <w:lang w:val="et-EE"/>
        </w:rPr>
      </w:pPr>
    </w:p>
    <w:p w14:paraId="5D0D8198" w14:textId="77777777" w:rsidR="00136210" w:rsidRPr="00EC3BD7" w:rsidRDefault="00136210">
      <w:pPr>
        <w:widowControl w:val="0"/>
        <w:tabs>
          <w:tab w:val="clear" w:pos="567"/>
        </w:tabs>
        <w:spacing w:line="240" w:lineRule="auto"/>
        <w:rPr>
          <w:color w:val="000000"/>
          <w:szCs w:val="22"/>
          <w:lang w:val="et-EE"/>
        </w:rPr>
      </w:pPr>
    </w:p>
    <w:p w14:paraId="6A318A45" w14:textId="77777777" w:rsidR="00136210" w:rsidRPr="00EC3BD7" w:rsidRDefault="00136210" w:rsidP="00B9089D">
      <w:pPr>
        <w:keepNext/>
        <w:widowControl w:val="0"/>
        <w:tabs>
          <w:tab w:val="clear" w:pos="567"/>
        </w:tabs>
        <w:spacing w:line="240" w:lineRule="auto"/>
        <w:ind w:left="567" w:hanging="567"/>
        <w:rPr>
          <w:b/>
          <w:color w:val="000000"/>
          <w:szCs w:val="22"/>
          <w:lang w:val="et-EE"/>
        </w:rPr>
      </w:pPr>
      <w:r w:rsidRPr="00EC3BD7">
        <w:rPr>
          <w:b/>
          <w:color w:val="000000"/>
          <w:szCs w:val="22"/>
          <w:lang w:val="et-EE"/>
        </w:rPr>
        <w:t>10.</w:t>
      </w:r>
      <w:r w:rsidRPr="00EC3BD7">
        <w:rPr>
          <w:b/>
          <w:color w:val="000000"/>
          <w:szCs w:val="22"/>
          <w:lang w:val="et-EE"/>
        </w:rPr>
        <w:tab/>
        <w:t>TEKSTI LÄBIVAATAMISE KUUPÄEV</w:t>
      </w:r>
    </w:p>
    <w:p w14:paraId="0992620B" w14:textId="77777777" w:rsidR="00313C04" w:rsidRPr="00EC3BD7" w:rsidRDefault="00313C04" w:rsidP="00B9089D">
      <w:pPr>
        <w:keepNext/>
        <w:widowControl w:val="0"/>
        <w:tabs>
          <w:tab w:val="clear" w:pos="567"/>
        </w:tabs>
        <w:spacing w:line="240" w:lineRule="auto"/>
        <w:ind w:left="567" w:hanging="567"/>
        <w:rPr>
          <w:color w:val="000000"/>
          <w:szCs w:val="22"/>
          <w:lang w:val="et-EE"/>
        </w:rPr>
      </w:pPr>
    </w:p>
    <w:p w14:paraId="4FC805D4" w14:textId="77777777" w:rsidR="00253600" w:rsidRPr="00EC3BD7" w:rsidRDefault="00253600" w:rsidP="00B9089D">
      <w:pPr>
        <w:keepNext/>
        <w:widowControl w:val="0"/>
        <w:tabs>
          <w:tab w:val="clear" w:pos="567"/>
        </w:tabs>
        <w:spacing w:line="240" w:lineRule="auto"/>
        <w:ind w:left="567" w:hanging="567"/>
        <w:rPr>
          <w:color w:val="000000"/>
          <w:szCs w:val="22"/>
          <w:lang w:val="et-EE"/>
        </w:rPr>
      </w:pPr>
    </w:p>
    <w:p w14:paraId="47947AF2" w14:textId="77777777" w:rsidR="00136210" w:rsidRPr="00EC3BD7" w:rsidRDefault="00313C04" w:rsidP="00B821AA">
      <w:pPr>
        <w:widowControl w:val="0"/>
        <w:tabs>
          <w:tab w:val="clear" w:pos="567"/>
        </w:tabs>
        <w:spacing w:line="240" w:lineRule="auto"/>
        <w:rPr>
          <w:color w:val="000000"/>
          <w:szCs w:val="22"/>
          <w:lang w:val="et-EE"/>
        </w:rPr>
      </w:pPr>
      <w:r w:rsidRPr="00EC3BD7">
        <w:rPr>
          <w:iCs/>
          <w:color w:val="000000"/>
          <w:szCs w:val="22"/>
          <w:lang w:val="et-EE"/>
        </w:rPr>
        <w:t xml:space="preserve">Täpne </w:t>
      </w:r>
      <w:r w:rsidR="00022DC9" w:rsidRPr="00EC3BD7">
        <w:rPr>
          <w:iCs/>
          <w:color w:val="000000"/>
          <w:szCs w:val="22"/>
          <w:lang w:val="et-EE"/>
        </w:rPr>
        <w:t>teave</w:t>
      </w:r>
      <w:r w:rsidRPr="00EC3BD7">
        <w:rPr>
          <w:iCs/>
          <w:color w:val="000000"/>
          <w:szCs w:val="22"/>
          <w:lang w:val="et-EE"/>
        </w:rPr>
        <w:t xml:space="preserve"> selle ravim</w:t>
      </w:r>
      <w:r w:rsidR="00022DC9" w:rsidRPr="00EC3BD7">
        <w:rPr>
          <w:iCs/>
          <w:color w:val="000000"/>
          <w:szCs w:val="22"/>
          <w:lang w:val="et-EE"/>
        </w:rPr>
        <w:t>preparaad</w:t>
      </w:r>
      <w:r w:rsidRPr="00EC3BD7">
        <w:rPr>
          <w:iCs/>
          <w:color w:val="000000"/>
          <w:szCs w:val="22"/>
          <w:lang w:val="et-EE"/>
        </w:rPr>
        <w:t>i kohta</w:t>
      </w:r>
      <w:r w:rsidR="00DA3449" w:rsidRPr="00EC3BD7">
        <w:rPr>
          <w:iCs/>
          <w:color w:val="000000"/>
          <w:szCs w:val="22"/>
          <w:lang w:val="et-EE"/>
        </w:rPr>
        <w:t xml:space="preserve"> </w:t>
      </w:r>
      <w:r w:rsidRPr="00EC3BD7">
        <w:rPr>
          <w:iCs/>
          <w:color w:val="000000"/>
          <w:szCs w:val="22"/>
          <w:lang w:val="et-EE"/>
        </w:rPr>
        <w:t xml:space="preserve">on </w:t>
      </w:r>
      <w:r w:rsidRPr="00EC3BD7">
        <w:rPr>
          <w:color w:val="000000"/>
          <w:szCs w:val="22"/>
          <w:lang w:val="et-EE"/>
        </w:rPr>
        <w:t>Euroopa Ravimiameti kodulehel</w:t>
      </w:r>
      <w:r w:rsidR="007E3C98" w:rsidRPr="00EC3BD7">
        <w:rPr>
          <w:color w:val="000000"/>
          <w:szCs w:val="22"/>
          <w:lang w:val="et-EE"/>
        </w:rPr>
        <w:t>:</w:t>
      </w:r>
      <w:r w:rsidRPr="00EC3BD7">
        <w:rPr>
          <w:color w:val="000000"/>
          <w:szCs w:val="22"/>
          <w:lang w:val="et-EE"/>
        </w:rPr>
        <w:t xml:space="preserve"> http://www.ema.europa.eu</w:t>
      </w:r>
      <w:r w:rsidR="007E3C98" w:rsidRPr="00EC3BD7">
        <w:rPr>
          <w:color w:val="000000"/>
          <w:szCs w:val="22"/>
          <w:lang w:val="et-EE"/>
        </w:rPr>
        <w:t>.</w:t>
      </w:r>
    </w:p>
    <w:p w14:paraId="263D6318" w14:textId="77777777" w:rsidR="008F4DAA" w:rsidRPr="00EC3BD7" w:rsidRDefault="00136210" w:rsidP="000A0590">
      <w:pPr>
        <w:widowControl w:val="0"/>
        <w:spacing w:line="240" w:lineRule="auto"/>
        <w:rPr>
          <w:szCs w:val="24"/>
          <w:lang w:val="et-EE"/>
        </w:rPr>
      </w:pPr>
      <w:r w:rsidRPr="00EC3BD7">
        <w:rPr>
          <w:b/>
          <w:color w:val="000000"/>
          <w:szCs w:val="22"/>
          <w:lang w:val="et-EE"/>
        </w:rPr>
        <w:br w:type="page"/>
      </w:r>
      <w:r w:rsidR="00602C2E" w:rsidRPr="00EC3BD7">
        <w:rPr>
          <w:noProof/>
          <w:lang w:val="en-US"/>
        </w:rPr>
        <w:lastRenderedPageBreak/>
        <w:drawing>
          <wp:inline distT="0" distB="0" distL="0" distR="0" wp14:anchorId="6B071450" wp14:editId="09A33521">
            <wp:extent cx="198755" cy="174625"/>
            <wp:effectExtent l="0" t="0" r="0" b="0"/>
            <wp:docPr id="4"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8F4DAA" w:rsidRPr="00EC3BD7">
        <w:rPr>
          <w:szCs w:val="24"/>
          <w:lang w:val="et-EE"/>
        </w:rPr>
        <w:t>Käesoleva ravimi suhtes kohaldatakse täiendavat järelevalvet, mis võimaldab kiiresti tuvastada uut ohutusteavet. Tervishoiutöötajatel palutakse teavitada kõigist võimalikest kõrvaltoimetest. Kõrvaltoimetest teavitamise kohta vt lõik</w:t>
      </w:r>
      <w:r w:rsidR="000A0590" w:rsidRPr="00EC3BD7">
        <w:rPr>
          <w:szCs w:val="24"/>
          <w:lang w:val="et-EE"/>
        </w:rPr>
        <w:t> </w:t>
      </w:r>
      <w:r w:rsidR="008F4DAA" w:rsidRPr="00EC3BD7">
        <w:rPr>
          <w:szCs w:val="24"/>
          <w:lang w:val="et-EE"/>
        </w:rPr>
        <w:t>4.8.</w:t>
      </w:r>
    </w:p>
    <w:p w14:paraId="1C0F46A5" w14:textId="77777777" w:rsidR="008F4DAA" w:rsidRPr="00EC3BD7" w:rsidRDefault="008F4DAA" w:rsidP="008F4DAA">
      <w:pPr>
        <w:widowControl w:val="0"/>
        <w:spacing w:line="240" w:lineRule="auto"/>
        <w:rPr>
          <w:szCs w:val="24"/>
          <w:lang w:val="et-EE"/>
        </w:rPr>
      </w:pPr>
    </w:p>
    <w:p w14:paraId="1115E0E4" w14:textId="77777777" w:rsidR="008F4DAA" w:rsidRPr="00EC3BD7" w:rsidRDefault="008F4DAA" w:rsidP="008F4DAA">
      <w:pPr>
        <w:widowControl w:val="0"/>
        <w:spacing w:line="240" w:lineRule="auto"/>
        <w:rPr>
          <w:szCs w:val="24"/>
          <w:lang w:val="et-EE"/>
        </w:rPr>
      </w:pPr>
    </w:p>
    <w:p w14:paraId="0F61401B" w14:textId="77777777" w:rsidR="00136210" w:rsidRPr="00EC3BD7" w:rsidRDefault="00136210" w:rsidP="00B9089D">
      <w:pPr>
        <w:keepNext/>
        <w:widowControl w:val="0"/>
        <w:tabs>
          <w:tab w:val="clear" w:pos="567"/>
        </w:tabs>
        <w:spacing w:line="240" w:lineRule="auto"/>
        <w:rPr>
          <w:color w:val="000000"/>
          <w:szCs w:val="22"/>
          <w:lang w:val="et-EE"/>
        </w:rPr>
      </w:pPr>
      <w:r w:rsidRPr="00EC3BD7">
        <w:rPr>
          <w:b/>
          <w:color w:val="000000"/>
          <w:szCs w:val="22"/>
          <w:lang w:val="et-EE"/>
        </w:rPr>
        <w:t>1.</w:t>
      </w:r>
      <w:r w:rsidRPr="00EC3BD7">
        <w:rPr>
          <w:b/>
          <w:color w:val="000000"/>
          <w:szCs w:val="22"/>
          <w:lang w:val="et-EE"/>
        </w:rPr>
        <w:tab/>
        <w:t>RAVIMPREPARAADI NIMETUS</w:t>
      </w:r>
    </w:p>
    <w:p w14:paraId="20E504E8" w14:textId="77777777" w:rsidR="00136210" w:rsidRPr="00EC3BD7" w:rsidRDefault="00136210" w:rsidP="00B9089D">
      <w:pPr>
        <w:pStyle w:val="EndnoteText"/>
        <w:keepNext/>
        <w:widowControl w:val="0"/>
        <w:tabs>
          <w:tab w:val="clear" w:pos="567"/>
        </w:tabs>
        <w:rPr>
          <w:color w:val="000000"/>
          <w:szCs w:val="22"/>
          <w:lang w:val="et-EE"/>
        </w:rPr>
      </w:pPr>
    </w:p>
    <w:p w14:paraId="0CF9FB7F"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 xml:space="preserve">Glivec 100 mg </w:t>
      </w:r>
      <w:bookmarkStart w:id="4" w:name="OLE_LINK1"/>
      <w:r w:rsidRPr="00EC3BD7">
        <w:rPr>
          <w:color w:val="000000"/>
          <w:szCs w:val="22"/>
          <w:lang w:val="et-EE"/>
        </w:rPr>
        <w:t>õhukese polümeerik</w:t>
      </w:r>
      <w:r w:rsidR="00B4093C" w:rsidRPr="00EC3BD7">
        <w:rPr>
          <w:color w:val="000000"/>
          <w:szCs w:val="22"/>
          <w:lang w:val="et-EE"/>
        </w:rPr>
        <w:t>attega tabletid</w:t>
      </w:r>
      <w:bookmarkEnd w:id="4"/>
    </w:p>
    <w:p w14:paraId="6D31E7FD" w14:textId="77777777" w:rsidR="00461141" w:rsidRPr="00EC3BD7" w:rsidRDefault="00461141" w:rsidP="00461141">
      <w:pPr>
        <w:pStyle w:val="EndnoteText"/>
        <w:rPr>
          <w:color w:val="000000"/>
          <w:szCs w:val="22"/>
          <w:lang w:val="et-EE"/>
        </w:rPr>
      </w:pPr>
      <w:r w:rsidRPr="00EC3BD7">
        <w:rPr>
          <w:color w:val="000000"/>
          <w:szCs w:val="22"/>
          <w:lang w:val="et-EE"/>
        </w:rPr>
        <w:t>Glivec 400 mg õhukese polümeerikattega tabletid</w:t>
      </w:r>
    </w:p>
    <w:p w14:paraId="2E9DBF3C" w14:textId="77777777" w:rsidR="00136210" w:rsidRPr="00EC3BD7" w:rsidRDefault="00136210">
      <w:pPr>
        <w:pStyle w:val="EndnoteText"/>
        <w:widowControl w:val="0"/>
        <w:tabs>
          <w:tab w:val="clear" w:pos="567"/>
        </w:tabs>
        <w:rPr>
          <w:color w:val="000000"/>
          <w:szCs w:val="22"/>
          <w:lang w:val="et-EE"/>
        </w:rPr>
      </w:pPr>
    </w:p>
    <w:p w14:paraId="74BE310B" w14:textId="77777777" w:rsidR="00136210" w:rsidRPr="00EC3BD7" w:rsidRDefault="00136210">
      <w:pPr>
        <w:pStyle w:val="EndnoteText"/>
        <w:widowControl w:val="0"/>
        <w:tabs>
          <w:tab w:val="clear" w:pos="567"/>
        </w:tabs>
        <w:rPr>
          <w:color w:val="000000"/>
          <w:szCs w:val="22"/>
          <w:lang w:val="et-EE"/>
        </w:rPr>
      </w:pPr>
    </w:p>
    <w:p w14:paraId="3F6C6171"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2.</w:t>
      </w:r>
      <w:r w:rsidRPr="00EC3BD7">
        <w:rPr>
          <w:b/>
          <w:color w:val="000000"/>
          <w:szCs w:val="22"/>
          <w:lang w:val="et-EE"/>
        </w:rPr>
        <w:tab/>
        <w:t>KVALITATIIVNE JA KVANTITATIIVNE KOOSTIS</w:t>
      </w:r>
    </w:p>
    <w:p w14:paraId="3BE2FC00" w14:textId="77777777" w:rsidR="00136210" w:rsidRPr="00EC3BD7" w:rsidRDefault="00136210" w:rsidP="00B9089D">
      <w:pPr>
        <w:keepNext/>
        <w:widowControl w:val="0"/>
        <w:tabs>
          <w:tab w:val="clear" w:pos="567"/>
        </w:tabs>
        <w:spacing w:line="240" w:lineRule="auto"/>
        <w:rPr>
          <w:i/>
          <w:color w:val="000000"/>
          <w:szCs w:val="22"/>
          <w:lang w:val="et-EE"/>
        </w:rPr>
      </w:pPr>
    </w:p>
    <w:p w14:paraId="0DEA5E93" w14:textId="77777777" w:rsidR="00164291" w:rsidRPr="00EC3BD7" w:rsidRDefault="00164291" w:rsidP="00B9089D">
      <w:pPr>
        <w:pStyle w:val="EndnoteText"/>
        <w:keepNext/>
        <w:widowControl w:val="0"/>
        <w:tabs>
          <w:tab w:val="clear" w:pos="567"/>
        </w:tabs>
        <w:rPr>
          <w:color w:val="000000"/>
          <w:szCs w:val="22"/>
          <w:u w:val="single"/>
          <w:lang w:val="et-EE"/>
        </w:rPr>
      </w:pPr>
      <w:r w:rsidRPr="00EC3BD7">
        <w:rPr>
          <w:color w:val="000000"/>
          <w:szCs w:val="22"/>
          <w:u w:val="single"/>
          <w:lang w:val="et-EE"/>
        </w:rPr>
        <w:t>Glivec 100 mg õhukese polümeerikattega tabletid</w:t>
      </w:r>
    </w:p>
    <w:p w14:paraId="733AE752" w14:textId="77777777" w:rsidR="00136210" w:rsidRPr="00EC3BD7" w:rsidRDefault="00003EF4" w:rsidP="000C3818">
      <w:pPr>
        <w:widowControl w:val="0"/>
        <w:tabs>
          <w:tab w:val="clear" w:pos="567"/>
        </w:tabs>
        <w:spacing w:line="240" w:lineRule="auto"/>
        <w:rPr>
          <w:color w:val="000000"/>
          <w:szCs w:val="22"/>
          <w:lang w:val="et-EE"/>
        </w:rPr>
      </w:pPr>
      <w:r w:rsidRPr="00EC3BD7">
        <w:rPr>
          <w:color w:val="000000"/>
          <w:szCs w:val="22"/>
          <w:lang w:val="et-EE"/>
        </w:rPr>
        <w:t xml:space="preserve">Üks </w:t>
      </w:r>
      <w:r w:rsidR="00136210" w:rsidRPr="00EC3BD7">
        <w:rPr>
          <w:color w:val="000000"/>
          <w:szCs w:val="22"/>
          <w:lang w:val="et-EE"/>
        </w:rPr>
        <w:t xml:space="preserve">õhukese </w:t>
      </w:r>
      <w:r w:rsidR="000C3818" w:rsidRPr="00EC3BD7">
        <w:rPr>
          <w:color w:val="000000"/>
          <w:szCs w:val="22"/>
          <w:lang w:val="et-EE"/>
        </w:rPr>
        <w:t xml:space="preserve">polümeerikattega </w:t>
      </w:r>
      <w:r w:rsidR="00136210" w:rsidRPr="00EC3BD7">
        <w:rPr>
          <w:color w:val="000000"/>
          <w:szCs w:val="22"/>
          <w:lang w:val="et-EE"/>
        </w:rPr>
        <w:t>tablett sisaldab 100 mg imatiniibi (mes</w:t>
      </w:r>
      <w:r w:rsidRPr="00EC3BD7">
        <w:rPr>
          <w:color w:val="000000"/>
          <w:szCs w:val="22"/>
          <w:lang w:val="et-EE"/>
        </w:rPr>
        <w:t>i</w:t>
      </w:r>
      <w:r w:rsidR="00136210" w:rsidRPr="00EC3BD7">
        <w:rPr>
          <w:color w:val="000000"/>
          <w:szCs w:val="22"/>
          <w:lang w:val="et-EE"/>
        </w:rPr>
        <w:t>laadina)</w:t>
      </w:r>
      <w:r w:rsidR="00780752" w:rsidRPr="00EC3BD7">
        <w:rPr>
          <w:color w:val="000000"/>
          <w:szCs w:val="22"/>
          <w:lang w:val="et-EE"/>
        </w:rPr>
        <w:t xml:space="preserve"> (</w:t>
      </w:r>
      <w:r w:rsidR="00B2520A" w:rsidRPr="00EC3BD7">
        <w:rPr>
          <w:i/>
          <w:color w:val="000000"/>
          <w:szCs w:val="22"/>
          <w:lang w:val="et-EE"/>
        </w:rPr>
        <w:t>i</w:t>
      </w:r>
      <w:r w:rsidR="00780752" w:rsidRPr="00EC3BD7">
        <w:rPr>
          <w:i/>
          <w:color w:val="000000"/>
          <w:szCs w:val="22"/>
          <w:lang w:val="et-EE"/>
        </w:rPr>
        <w:t>matinibum</w:t>
      </w:r>
      <w:r w:rsidR="00780752" w:rsidRPr="00EC3BD7">
        <w:rPr>
          <w:color w:val="000000"/>
          <w:szCs w:val="22"/>
          <w:lang w:val="et-EE"/>
        </w:rPr>
        <w:t>)</w:t>
      </w:r>
      <w:r w:rsidR="00136210" w:rsidRPr="00EC3BD7">
        <w:rPr>
          <w:color w:val="000000"/>
          <w:szCs w:val="22"/>
          <w:lang w:val="et-EE"/>
        </w:rPr>
        <w:t>.</w:t>
      </w:r>
    </w:p>
    <w:p w14:paraId="35C91E4A" w14:textId="77777777" w:rsidR="00136210" w:rsidRPr="00EC3BD7" w:rsidRDefault="00136210">
      <w:pPr>
        <w:widowControl w:val="0"/>
        <w:tabs>
          <w:tab w:val="clear" w:pos="567"/>
        </w:tabs>
        <w:spacing w:line="240" w:lineRule="auto"/>
        <w:rPr>
          <w:color w:val="000000"/>
          <w:szCs w:val="22"/>
          <w:lang w:val="et-EE"/>
        </w:rPr>
      </w:pPr>
    </w:p>
    <w:p w14:paraId="7F9BCD21" w14:textId="77777777" w:rsidR="00164291" w:rsidRPr="00EC3BD7" w:rsidRDefault="00164291" w:rsidP="00164291">
      <w:pPr>
        <w:pStyle w:val="EndnoteText"/>
        <w:keepNext/>
        <w:widowControl w:val="0"/>
        <w:tabs>
          <w:tab w:val="clear" w:pos="567"/>
        </w:tabs>
        <w:rPr>
          <w:color w:val="000000"/>
          <w:szCs w:val="22"/>
          <w:u w:val="single"/>
          <w:lang w:val="et-EE"/>
        </w:rPr>
      </w:pPr>
      <w:r w:rsidRPr="00EC3BD7">
        <w:rPr>
          <w:color w:val="000000"/>
          <w:szCs w:val="22"/>
          <w:u w:val="single"/>
          <w:lang w:val="et-EE"/>
        </w:rPr>
        <w:t>Glivec 400 mg õhukese polümeerikattega tabletid</w:t>
      </w:r>
    </w:p>
    <w:p w14:paraId="1719596F" w14:textId="77777777" w:rsidR="00164291" w:rsidRPr="00EC3BD7" w:rsidRDefault="00003EF4" w:rsidP="00164291">
      <w:pPr>
        <w:widowControl w:val="0"/>
        <w:tabs>
          <w:tab w:val="clear" w:pos="567"/>
        </w:tabs>
        <w:spacing w:line="240" w:lineRule="auto"/>
        <w:rPr>
          <w:color w:val="000000"/>
          <w:szCs w:val="22"/>
          <w:lang w:val="et-EE"/>
        </w:rPr>
      </w:pPr>
      <w:r w:rsidRPr="00EC3BD7">
        <w:rPr>
          <w:color w:val="000000"/>
          <w:szCs w:val="22"/>
          <w:lang w:val="et-EE"/>
        </w:rPr>
        <w:t>Üks</w:t>
      </w:r>
      <w:r w:rsidR="00164291" w:rsidRPr="00EC3BD7">
        <w:rPr>
          <w:color w:val="000000"/>
          <w:szCs w:val="22"/>
          <w:lang w:val="et-EE"/>
        </w:rPr>
        <w:t xml:space="preserve"> õhukese polümeerikattega tablett sisaldab 400 mg imatiniibi (mes</w:t>
      </w:r>
      <w:r w:rsidRPr="00EC3BD7">
        <w:rPr>
          <w:color w:val="000000"/>
          <w:szCs w:val="22"/>
          <w:lang w:val="et-EE"/>
        </w:rPr>
        <w:t>i</w:t>
      </w:r>
      <w:r w:rsidR="00164291" w:rsidRPr="00EC3BD7">
        <w:rPr>
          <w:color w:val="000000"/>
          <w:szCs w:val="22"/>
          <w:lang w:val="et-EE"/>
        </w:rPr>
        <w:t>laadina)</w:t>
      </w:r>
      <w:r w:rsidR="00780752" w:rsidRPr="00EC3BD7">
        <w:rPr>
          <w:color w:val="000000"/>
          <w:szCs w:val="22"/>
          <w:lang w:val="et-EE"/>
        </w:rPr>
        <w:t xml:space="preserve"> (</w:t>
      </w:r>
      <w:r w:rsidR="00B2520A" w:rsidRPr="00EC3BD7">
        <w:rPr>
          <w:i/>
          <w:color w:val="000000"/>
          <w:szCs w:val="22"/>
          <w:lang w:val="et-EE"/>
        </w:rPr>
        <w:t>i</w:t>
      </w:r>
      <w:r w:rsidR="00780752" w:rsidRPr="00EC3BD7">
        <w:rPr>
          <w:i/>
          <w:color w:val="000000"/>
          <w:szCs w:val="22"/>
          <w:lang w:val="et-EE"/>
        </w:rPr>
        <w:t>matinibum</w:t>
      </w:r>
      <w:r w:rsidR="00780752" w:rsidRPr="00EC3BD7">
        <w:rPr>
          <w:color w:val="000000"/>
          <w:szCs w:val="22"/>
          <w:lang w:val="et-EE"/>
        </w:rPr>
        <w:t>)</w:t>
      </w:r>
      <w:r w:rsidR="00164291" w:rsidRPr="00EC3BD7">
        <w:rPr>
          <w:color w:val="000000"/>
          <w:szCs w:val="22"/>
          <w:lang w:val="et-EE"/>
        </w:rPr>
        <w:t>.</w:t>
      </w:r>
    </w:p>
    <w:p w14:paraId="4288C746" w14:textId="77777777" w:rsidR="00164291" w:rsidRPr="00EC3BD7" w:rsidRDefault="00164291" w:rsidP="00164291">
      <w:pPr>
        <w:widowControl w:val="0"/>
        <w:tabs>
          <w:tab w:val="clear" w:pos="567"/>
        </w:tabs>
        <w:spacing w:line="240" w:lineRule="auto"/>
        <w:rPr>
          <w:color w:val="000000"/>
          <w:szCs w:val="22"/>
          <w:lang w:val="et-EE"/>
        </w:rPr>
      </w:pPr>
    </w:p>
    <w:p w14:paraId="14519B01" w14:textId="77777777" w:rsidR="00136210" w:rsidRPr="00EC3BD7" w:rsidRDefault="00136210">
      <w:pPr>
        <w:tabs>
          <w:tab w:val="clear" w:pos="567"/>
        </w:tabs>
        <w:spacing w:line="240" w:lineRule="auto"/>
        <w:rPr>
          <w:color w:val="000000"/>
          <w:szCs w:val="22"/>
          <w:lang w:val="et-EE"/>
        </w:rPr>
      </w:pPr>
      <w:r w:rsidRPr="00EC3BD7">
        <w:rPr>
          <w:color w:val="000000"/>
          <w:szCs w:val="22"/>
          <w:lang w:val="et-EE"/>
        </w:rPr>
        <w:t>Abiainete täielik loetelu vt lõik</w:t>
      </w:r>
      <w:r w:rsidR="00F570D9" w:rsidRPr="00EC3BD7">
        <w:rPr>
          <w:color w:val="000000"/>
          <w:szCs w:val="22"/>
          <w:lang w:val="et-EE"/>
        </w:rPr>
        <w:t> </w:t>
      </w:r>
      <w:r w:rsidRPr="00EC3BD7">
        <w:rPr>
          <w:color w:val="000000"/>
          <w:szCs w:val="22"/>
          <w:lang w:val="et-EE"/>
        </w:rPr>
        <w:t>6.1.</w:t>
      </w:r>
    </w:p>
    <w:p w14:paraId="19B42F49" w14:textId="77777777" w:rsidR="00136210" w:rsidRPr="00EC3BD7" w:rsidRDefault="00136210">
      <w:pPr>
        <w:widowControl w:val="0"/>
        <w:tabs>
          <w:tab w:val="clear" w:pos="567"/>
        </w:tabs>
        <w:spacing w:line="240" w:lineRule="auto"/>
        <w:rPr>
          <w:color w:val="000000"/>
          <w:szCs w:val="22"/>
          <w:lang w:val="et-EE"/>
        </w:rPr>
      </w:pPr>
    </w:p>
    <w:p w14:paraId="3086C6A8" w14:textId="77777777" w:rsidR="00136210" w:rsidRPr="00EC3BD7" w:rsidRDefault="00136210">
      <w:pPr>
        <w:widowControl w:val="0"/>
        <w:tabs>
          <w:tab w:val="clear" w:pos="567"/>
        </w:tabs>
        <w:spacing w:line="240" w:lineRule="auto"/>
        <w:rPr>
          <w:color w:val="000000"/>
          <w:szCs w:val="22"/>
          <w:lang w:val="et-EE"/>
        </w:rPr>
      </w:pPr>
    </w:p>
    <w:p w14:paraId="3D7FEB48" w14:textId="77777777" w:rsidR="00136210" w:rsidRPr="00EC3BD7" w:rsidRDefault="00136210" w:rsidP="00B9089D">
      <w:pPr>
        <w:keepNext/>
        <w:widowControl w:val="0"/>
        <w:tabs>
          <w:tab w:val="clear" w:pos="567"/>
        </w:tabs>
        <w:spacing w:line="240" w:lineRule="auto"/>
        <w:ind w:left="567" w:hanging="567"/>
        <w:rPr>
          <w:caps/>
          <w:color w:val="000000"/>
          <w:szCs w:val="22"/>
          <w:lang w:val="et-EE"/>
        </w:rPr>
      </w:pPr>
      <w:r w:rsidRPr="00EC3BD7">
        <w:rPr>
          <w:b/>
          <w:color w:val="000000"/>
          <w:szCs w:val="22"/>
          <w:lang w:val="et-EE"/>
        </w:rPr>
        <w:t>3.</w:t>
      </w:r>
      <w:r w:rsidRPr="00EC3BD7">
        <w:rPr>
          <w:b/>
          <w:color w:val="000000"/>
          <w:szCs w:val="22"/>
          <w:lang w:val="et-EE"/>
        </w:rPr>
        <w:tab/>
        <w:t>RAVIMVORM</w:t>
      </w:r>
    </w:p>
    <w:p w14:paraId="6F71F13C" w14:textId="77777777" w:rsidR="00136210" w:rsidRPr="00EC3BD7" w:rsidRDefault="00136210" w:rsidP="00B9089D">
      <w:pPr>
        <w:pStyle w:val="EndnoteText"/>
        <w:keepNext/>
        <w:widowControl w:val="0"/>
        <w:tabs>
          <w:tab w:val="clear" w:pos="567"/>
        </w:tabs>
        <w:rPr>
          <w:color w:val="000000"/>
          <w:szCs w:val="22"/>
          <w:lang w:val="et-EE"/>
        </w:rPr>
      </w:pPr>
    </w:p>
    <w:p w14:paraId="014080F7" w14:textId="77777777" w:rsidR="00136210" w:rsidRPr="00EC3BD7" w:rsidRDefault="00136210">
      <w:pPr>
        <w:widowControl w:val="0"/>
        <w:tabs>
          <w:tab w:val="clear" w:pos="567"/>
        </w:tabs>
        <w:spacing w:line="240" w:lineRule="auto"/>
        <w:rPr>
          <w:color w:val="000000"/>
          <w:szCs w:val="22"/>
          <w:lang w:val="et-EE"/>
        </w:rPr>
      </w:pPr>
      <w:r w:rsidRPr="00EC3BD7">
        <w:rPr>
          <w:color w:val="000000"/>
          <w:szCs w:val="22"/>
          <w:lang w:val="et-EE"/>
        </w:rPr>
        <w:t>Õhukese polümeeri</w:t>
      </w:r>
      <w:r w:rsidR="00842387" w:rsidRPr="00EC3BD7">
        <w:rPr>
          <w:color w:val="000000"/>
          <w:szCs w:val="22"/>
          <w:lang w:val="et-EE"/>
        </w:rPr>
        <w:t>kattega</w:t>
      </w:r>
      <w:r w:rsidRPr="00EC3BD7">
        <w:rPr>
          <w:color w:val="000000"/>
          <w:szCs w:val="22"/>
          <w:lang w:val="et-EE"/>
        </w:rPr>
        <w:t xml:space="preserve"> tablett</w:t>
      </w:r>
    </w:p>
    <w:p w14:paraId="22A02214" w14:textId="77777777" w:rsidR="00136210" w:rsidRPr="00EC3BD7" w:rsidRDefault="00136210">
      <w:pPr>
        <w:widowControl w:val="0"/>
        <w:tabs>
          <w:tab w:val="clear" w:pos="567"/>
        </w:tabs>
        <w:spacing w:line="240" w:lineRule="auto"/>
        <w:rPr>
          <w:color w:val="000000"/>
          <w:szCs w:val="22"/>
          <w:lang w:val="et-EE"/>
        </w:rPr>
      </w:pPr>
    </w:p>
    <w:p w14:paraId="74482265" w14:textId="77777777" w:rsidR="00164291" w:rsidRPr="00EC3BD7" w:rsidRDefault="00164291" w:rsidP="00164291">
      <w:pPr>
        <w:pStyle w:val="EndnoteText"/>
        <w:keepNext/>
        <w:widowControl w:val="0"/>
        <w:tabs>
          <w:tab w:val="clear" w:pos="567"/>
        </w:tabs>
        <w:rPr>
          <w:color w:val="000000"/>
          <w:szCs w:val="22"/>
          <w:u w:val="single"/>
          <w:lang w:val="et-EE"/>
        </w:rPr>
      </w:pPr>
      <w:r w:rsidRPr="00EC3BD7">
        <w:rPr>
          <w:color w:val="000000"/>
          <w:szCs w:val="22"/>
          <w:u w:val="single"/>
          <w:lang w:val="et-EE"/>
        </w:rPr>
        <w:t>Glivec 100 mg õhukese polümeerikattega tabletid</w:t>
      </w:r>
    </w:p>
    <w:p w14:paraId="0E5C6CD3" w14:textId="77777777" w:rsidR="00136210" w:rsidRPr="00EC3BD7" w:rsidRDefault="00136210">
      <w:pPr>
        <w:widowControl w:val="0"/>
        <w:tabs>
          <w:tab w:val="clear" w:pos="567"/>
        </w:tabs>
        <w:spacing w:line="240" w:lineRule="auto"/>
        <w:rPr>
          <w:color w:val="000000"/>
          <w:szCs w:val="22"/>
          <w:lang w:val="et-EE"/>
        </w:rPr>
      </w:pPr>
      <w:r w:rsidRPr="00EC3BD7">
        <w:rPr>
          <w:color w:val="000000"/>
          <w:szCs w:val="22"/>
          <w:lang w:val="et-EE"/>
        </w:rPr>
        <w:t xml:space="preserve">Tumekollane kuni pruunikasoranž ümmargune </w:t>
      </w:r>
      <w:r w:rsidR="00522EDE" w:rsidRPr="00EC3BD7">
        <w:rPr>
          <w:color w:val="000000"/>
          <w:szCs w:val="22"/>
          <w:lang w:val="et-EE"/>
        </w:rPr>
        <w:t xml:space="preserve">õhukese polümeerikattega </w:t>
      </w:r>
      <w:r w:rsidRPr="00EC3BD7">
        <w:rPr>
          <w:color w:val="000000"/>
          <w:szCs w:val="22"/>
          <w:lang w:val="et-EE"/>
        </w:rPr>
        <w:t>tablett, tähisega “</w:t>
      </w:r>
      <w:smartTag w:uri="urn:schemas-microsoft-com:office:smarttags" w:element="stockticker">
        <w:r w:rsidRPr="00EC3BD7">
          <w:rPr>
            <w:color w:val="000000"/>
            <w:szCs w:val="22"/>
            <w:lang w:val="et-EE"/>
          </w:rPr>
          <w:t>NVR</w:t>
        </w:r>
      </w:smartTag>
      <w:r w:rsidRPr="00EC3BD7">
        <w:rPr>
          <w:color w:val="000000"/>
          <w:szCs w:val="22"/>
          <w:lang w:val="et-EE"/>
        </w:rPr>
        <w:t>” ühel ja “SA” ning poolitusjoonega teisel pool.</w:t>
      </w:r>
    </w:p>
    <w:p w14:paraId="0AC79AB8" w14:textId="77777777" w:rsidR="00136210" w:rsidRPr="00EC3BD7" w:rsidRDefault="00136210">
      <w:pPr>
        <w:widowControl w:val="0"/>
        <w:tabs>
          <w:tab w:val="clear" w:pos="567"/>
        </w:tabs>
        <w:spacing w:line="240" w:lineRule="auto"/>
        <w:rPr>
          <w:color w:val="000000"/>
          <w:szCs w:val="22"/>
          <w:lang w:val="et-EE"/>
        </w:rPr>
      </w:pPr>
    </w:p>
    <w:p w14:paraId="268743EF" w14:textId="77777777" w:rsidR="00164291" w:rsidRPr="00EC3BD7" w:rsidRDefault="00164291" w:rsidP="00164291">
      <w:pPr>
        <w:pStyle w:val="EndnoteText"/>
        <w:keepNext/>
        <w:widowControl w:val="0"/>
        <w:tabs>
          <w:tab w:val="clear" w:pos="567"/>
        </w:tabs>
        <w:rPr>
          <w:color w:val="000000"/>
          <w:szCs w:val="22"/>
          <w:u w:val="single"/>
          <w:lang w:val="et-EE"/>
        </w:rPr>
      </w:pPr>
      <w:r w:rsidRPr="00EC3BD7">
        <w:rPr>
          <w:color w:val="000000"/>
          <w:szCs w:val="22"/>
          <w:u w:val="single"/>
          <w:lang w:val="et-EE"/>
        </w:rPr>
        <w:t>Glivec 400 mg õhukese polümeerikattega tabletid</w:t>
      </w:r>
    </w:p>
    <w:p w14:paraId="2E45FF6B" w14:textId="77777777" w:rsidR="00164291" w:rsidRPr="00EC3BD7" w:rsidRDefault="00164291" w:rsidP="00164291">
      <w:pPr>
        <w:widowControl w:val="0"/>
        <w:tabs>
          <w:tab w:val="clear" w:pos="567"/>
        </w:tabs>
        <w:spacing w:line="240" w:lineRule="auto"/>
        <w:rPr>
          <w:color w:val="000000"/>
          <w:szCs w:val="22"/>
          <w:lang w:val="et-EE"/>
        </w:rPr>
      </w:pPr>
      <w:r w:rsidRPr="00EC3BD7">
        <w:rPr>
          <w:color w:val="000000"/>
          <w:szCs w:val="22"/>
          <w:lang w:val="et-EE"/>
        </w:rPr>
        <w:t>Tumekollane kuni pruunikasoranž ovaaljas kaksikkumer längus servadega õhukese polümeerikattega tablett</w:t>
      </w:r>
      <w:r w:rsidR="00F2527F" w:rsidRPr="00EC3BD7">
        <w:rPr>
          <w:color w:val="000000"/>
          <w:szCs w:val="22"/>
          <w:lang w:val="et-EE"/>
        </w:rPr>
        <w:t>, millel</w:t>
      </w:r>
      <w:r w:rsidRPr="00EC3BD7">
        <w:rPr>
          <w:color w:val="000000"/>
          <w:szCs w:val="22"/>
          <w:lang w:val="et-EE"/>
        </w:rPr>
        <w:t xml:space="preserve"> </w:t>
      </w:r>
      <w:r w:rsidR="00AE5CF5" w:rsidRPr="00EC3BD7">
        <w:rPr>
          <w:color w:val="000000"/>
          <w:szCs w:val="22"/>
          <w:lang w:val="et-EE"/>
        </w:rPr>
        <w:t>pimetrükis</w:t>
      </w:r>
      <w:r w:rsidRPr="00EC3BD7">
        <w:rPr>
          <w:color w:val="000000"/>
          <w:szCs w:val="22"/>
          <w:lang w:val="et-EE"/>
        </w:rPr>
        <w:t xml:space="preserve"> “glivec” ühel pool.</w:t>
      </w:r>
    </w:p>
    <w:p w14:paraId="4E646C4F" w14:textId="77777777" w:rsidR="00164291" w:rsidRPr="00EC3BD7" w:rsidRDefault="00164291" w:rsidP="00164291">
      <w:pPr>
        <w:widowControl w:val="0"/>
        <w:tabs>
          <w:tab w:val="clear" w:pos="567"/>
        </w:tabs>
        <w:spacing w:line="240" w:lineRule="auto"/>
        <w:rPr>
          <w:color w:val="000000"/>
          <w:szCs w:val="22"/>
          <w:lang w:val="et-EE"/>
        </w:rPr>
      </w:pPr>
    </w:p>
    <w:p w14:paraId="7D9BF4A1" w14:textId="77777777" w:rsidR="00136210" w:rsidRPr="00EC3BD7" w:rsidRDefault="00136210">
      <w:pPr>
        <w:widowControl w:val="0"/>
        <w:tabs>
          <w:tab w:val="clear" w:pos="567"/>
        </w:tabs>
        <w:spacing w:line="240" w:lineRule="auto"/>
        <w:rPr>
          <w:color w:val="000000"/>
          <w:szCs w:val="22"/>
          <w:lang w:val="et-EE"/>
        </w:rPr>
      </w:pPr>
    </w:p>
    <w:p w14:paraId="6304ADD6" w14:textId="77777777" w:rsidR="00193B44" w:rsidRPr="00EC3BD7" w:rsidRDefault="00193B44" w:rsidP="00B9089D">
      <w:pPr>
        <w:keepNext/>
        <w:widowControl w:val="0"/>
        <w:tabs>
          <w:tab w:val="clear" w:pos="567"/>
        </w:tabs>
        <w:spacing w:line="240" w:lineRule="auto"/>
        <w:ind w:left="567" w:hanging="567"/>
        <w:rPr>
          <w:caps/>
          <w:color w:val="000000"/>
          <w:szCs w:val="22"/>
          <w:lang w:val="et-EE"/>
        </w:rPr>
      </w:pPr>
      <w:r w:rsidRPr="00EC3BD7">
        <w:rPr>
          <w:b/>
          <w:caps/>
          <w:color w:val="000000"/>
          <w:szCs w:val="22"/>
          <w:lang w:val="et-EE"/>
        </w:rPr>
        <w:t>4.</w:t>
      </w:r>
      <w:r w:rsidRPr="00EC3BD7">
        <w:rPr>
          <w:b/>
          <w:caps/>
          <w:color w:val="000000"/>
          <w:szCs w:val="22"/>
          <w:lang w:val="et-EE"/>
        </w:rPr>
        <w:tab/>
        <w:t>KLIINILISED ANDMED</w:t>
      </w:r>
    </w:p>
    <w:p w14:paraId="458DD391" w14:textId="77777777" w:rsidR="00193B44" w:rsidRPr="00EC3BD7" w:rsidRDefault="00193B44" w:rsidP="00B9089D">
      <w:pPr>
        <w:pStyle w:val="EndnoteText"/>
        <w:keepNext/>
        <w:widowControl w:val="0"/>
        <w:tabs>
          <w:tab w:val="clear" w:pos="567"/>
        </w:tabs>
        <w:rPr>
          <w:color w:val="000000"/>
          <w:szCs w:val="22"/>
          <w:lang w:val="et-EE"/>
        </w:rPr>
      </w:pPr>
    </w:p>
    <w:p w14:paraId="6CFA3FEF" w14:textId="77777777" w:rsidR="00193B44" w:rsidRPr="00EC3BD7" w:rsidRDefault="00193B44"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4.1</w:t>
      </w:r>
      <w:r w:rsidRPr="00EC3BD7">
        <w:rPr>
          <w:b/>
          <w:color w:val="000000"/>
          <w:szCs w:val="22"/>
          <w:lang w:val="et-EE"/>
        </w:rPr>
        <w:tab/>
        <w:t>Näidustused</w:t>
      </w:r>
    </w:p>
    <w:p w14:paraId="5773A0FE" w14:textId="77777777" w:rsidR="00193B44" w:rsidRPr="00EC3BD7" w:rsidRDefault="00193B44" w:rsidP="00B9089D">
      <w:pPr>
        <w:pStyle w:val="EndnoteText"/>
        <w:keepNext/>
        <w:widowControl w:val="0"/>
        <w:tabs>
          <w:tab w:val="clear" w:pos="567"/>
        </w:tabs>
        <w:rPr>
          <w:color w:val="000000"/>
          <w:szCs w:val="22"/>
          <w:lang w:val="et-EE"/>
        </w:rPr>
      </w:pPr>
    </w:p>
    <w:p w14:paraId="09F42324" w14:textId="77777777" w:rsidR="00193B44" w:rsidRPr="00EC3BD7" w:rsidRDefault="00193B44" w:rsidP="00B9089D">
      <w:pPr>
        <w:pStyle w:val="EndnoteText"/>
        <w:keepNext/>
        <w:widowControl w:val="0"/>
        <w:tabs>
          <w:tab w:val="clear" w:pos="567"/>
        </w:tabs>
        <w:rPr>
          <w:snapToGrid w:val="0"/>
          <w:color w:val="000000"/>
          <w:szCs w:val="22"/>
          <w:lang w:val="et-EE" w:eastAsia="de-DE"/>
        </w:rPr>
      </w:pPr>
      <w:r w:rsidRPr="00EC3BD7">
        <w:rPr>
          <w:snapToGrid w:val="0"/>
          <w:color w:val="000000"/>
          <w:szCs w:val="22"/>
          <w:lang w:val="et-EE" w:eastAsia="de-DE"/>
        </w:rPr>
        <w:t>Glivec on näidustatud</w:t>
      </w:r>
    </w:p>
    <w:p w14:paraId="75F4E102" w14:textId="77777777" w:rsidR="00193B44" w:rsidRPr="00EC3BD7" w:rsidRDefault="00193B44" w:rsidP="00A85D5C">
      <w:pPr>
        <w:pStyle w:val="EndnoteText"/>
        <w:widowControl w:val="0"/>
        <w:numPr>
          <w:ilvl w:val="0"/>
          <w:numId w:val="10"/>
        </w:numPr>
        <w:tabs>
          <w:tab w:val="clear" w:pos="360"/>
          <w:tab w:val="clear" w:pos="567"/>
        </w:tabs>
        <w:ind w:left="567" w:hanging="567"/>
        <w:rPr>
          <w:snapToGrid w:val="0"/>
          <w:color w:val="000000"/>
          <w:szCs w:val="22"/>
          <w:lang w:val="et-EE" w:eastAsia="de-DE"/>
        </w:rPr>
      </w:pPr>
      <w:r w:rsidRPr="00EC3BD7">
        <w:rPr>
          <w:snapToGrid w:val="0"/>
          <w:color w:val="000000"/>
          <w:szCs w:val="22"/>
          <w:lang w:val="et-EE" w:eastAsia="de-DE"/>
        </w:rPr>
        <w:t>täiskasvanud ja pediaatriliste patsientide raviks, kellel on äsja diagnoositud Philadelphia kromosoomiga (</w:t>
      </w:r>
      <w:smartTag w:uri="urn:schemas-microsoft-com:office:smarttags" w:element="stockticker">
        <w:r w:rsidRPr="00EC3BD7">
          <w:rPr>
            <w:snapToGrid w:val="0"/>
            <w:color w:val="000000"/>
            <w:szCs w:val="22"/>
            <w:lang w:val="et-EE" w:eastAsia="de-DE"/>
          </w:rPr>
          <w:t>BCR</w:t>
        </w:r>
      </w:smartTag>
      <w:r w:rsidRPr="00EC3BD7">
        <w:rPr>
          <w:snapToGrid w:val="0"/>
          <w:color w:val="000000"/>
          <w:szCs w:val="22"/>
          <w:lang w:val="et-EE" w:eastAsia="de-DE"/>
        </w:rPr>
        <w:t>-</w:t>
      </w:r>
      <w:smartTag w:uri="urn:schemas-microsoft-com:office:smarttags" w:element="stockticker">
        <w:r w:rsidRPr="00EC3BD7">
          <w:rPr>
            <w:snapToGrid w:val="0"/>
            <w:color w:val="000000"/>
            <w:szCs w:val="22"/>
            <w:lang w:val="et-EE" w:eastAsia="de-DE"/>
          </w:rPr>
          <w:t>ABL</w:t>
        </w:r>
      </w:smartTag>
      <w:r w:rsidRPr="00EC3BD7">
        <w:rPr>
          <w:snapToGrid w:val="0"/>
          <w:color w:val="000000"/>
          <w:szCs w:val="22"/>
          <w:lang w:val="et-EE" w:eastAsia="de-DE"/>
        </w:rPr>
        <w:t>) (Ph+) krooniline müeloidne leukeemia (</w:t>
      </w:r>
      <w:smartTag w:uri="urn:schemas-microsoft-com:office:smarttags" w:element="stockticker">
        <w:r w:rsidRPr="00EC3BD7">
          <w:rPr>
            <w:snapToGrid w:val="0"/>
            <w:color w:val="000000"/>
            <w:szCs w:val="22"/>
            <w:lang w:val="et-EE" w:eastAsia="de-DE"/>
          </w:rPr>
          <w:t>KML</w:t>
        </w:r>
      </w:smartTag>
      <w:r w:rsidRPr="00EC3BD7">
        <w:rPr>
          <w:snapToGrid w:val="0"/>
          <w:color w:val="000000"/>
          <w:szCs w:val="22"/>
          <w:lang w:val="et-EE" w:eastAsia="de-DE"/>
        </w:rPr>
        <w:t>) ja kelle esmavaliku raviks ei ole luuüdi siirdamine.</w:t>
      </w:r>
    </w:p>
    <w:p w14:paraId="4E690E20" w14:textId="77777777" w:rsidR="00193B44" w:rsidRPr="00EC3BD7" w:rsidRDefault="00193B44" w:rsidP="00A85D5C">
      <w:pPr>
        <w:pStyle w:val="EndnoteText"/>
        <w:widowControl w:val="0"/>
        <w:numPr>
          <w:ilvl w:val="0"/>
          <w:numId w:val="11"/>
        </w:numPr>
        <w:tabs>
          <w:tab w:val="clear" w:pos="360"/>
          <w:tab w:val="clear" w:pos="567"/>
        </w:tabs>
        <w:ind w:left="567" w:hanging="567"/>
        <w:rPr>
          <w:snapToGrid w:val="0"/>
          <w:color w:val="000000"/>
          <w:szCs w:val="22"/>
          <w:lang w:val="et-EE" w:eastAsia="de-DE"/>
        </w:rPr>
      </w:pPr>
      <w:r w:rsidRPr="00EC3BD7">
        <w:rPr>
          <w:snapToGrid w:val="0"/>
          <w:color w:val="000000"/>
          <w:szCs w:val="22"/>
          <w:lang w:val="et-EE" w:eastAsia="de-DE"/>
        </w:rPr>
        <w:t>kroonilises faasis Ph+ kroonilise müeloidse leukeemiaga täiskasvanud ja pediaatriliste patsientide ravis, kui ravi α-interferooniga on ebaõnnestunud või kui haigus on aktseleratsioonifaasis või blastses kriisis.</w:t>
      </w:r>
    </w:p>
    <w:p w14:paraId="2F4FB9F8" w14:textId="77777777" w:rsidR="00193B44" w:rsidRPr="00EC3BD7" w:rsidRDefault="00193B44" w:rsidP="00A85D5C">
      <w:pPr>
        <w:pStyle w:val="EndnoteText"/>
        <w:widowControl w:val="0"/>
        <w:numPr>
          <w:ilvl w:val="0"/>
          <w:numId w:val="11"/>
        </w:numPr>
        <w:tabs>
          <w:tab w:val="clear" w:pos="360"/>
          <w:tab w:val="clear" w:pos="567"/>
        </w:tabs>
        <w:ind w:left="567" w:hanging="567"/>
        <w:rPr>
          <w:snapToGrid w:val="0"/>
          <w:color w:val="000000"/>
          <w:szCs w:val="22"/>
          <w:lang w:val="et-EE" w:eastAsia="de-DE"/>
        </w:rPr>
      </w:pPr>
      <w:r w:rsidRPr="00EC3BD7">
        <w:rPr>
          <w:snapToGrid w:val="0"/>
          <w:color w:val="000000"/>
          <w:szCs w:val="22"/>
          <w:lang w:val="et-EE" w:eastAsia="de-DE"/>
        </w:rPr>
        <w:t xml:space="preserve">koos kemoteraapiaga täiskasvanud </w:t>
      </w:r>
      <w:r w:rsidR="00F92E97" w:rsidRPr="00EC3BD7">
        <w:rPr>
          <w:snapToGrid w:val="0"/>
          <w:color w:val="000000"/>
          <w:szCs w:val="22"/>
          <w:lang w:val="et-EE" w:eastAsia="de-DE"/>
        </w:rPr>
        <w:t>ja laps</w:t>
      </w:r>
      <w:r w:rsidRPr="00EC3BD7">
        <w:rPr>
          <w:snapToGrid w:val="0"/>
          <w:color w:val="000000"/>
          <w:szCs w:val="22"/>
          <w:lang w:val="et-EE" w:eastAsia="de-DE"/>
        </w:rPr>
        <w:t>patsientide raviks, kellel on äsja diagnoositud Philadelphia kromosoompositiivne akuutne lümfoblastne leukeemia (Ph+ </w:t>
      </w:r>
      <w:smartTag w:uri="urn:schemas-microsoft-com:office:smarttags" w:element="stockticker">
        <w:r w:rsidRPr="00EC3BD7">
          <w:rPr>
            <w:snapToGrid w:val="0"/>
            <w:color w:val="000000"/>
            <w:szCs w:val="22"/>
            <w:lang w:val="et-EE" w:eastAsia="de-DE"/>
          </w:rPr>
          <w:t>ALL</w:t>
        </w:r>
      </w:smartTag>
      <w:r w:rsidRPr="00EC3BD7">
        <w:rPr>
          <w:snapToGrid w:val="0"/>
          <w:color w:val="000000"/>
          <w:szCs w:val="22"/>
          <w:lang w:val="et-EE" w:eastAsia="de-DE"/>
        </w:rPr>
        <w:t>).</w:t>
      </w:r>
    </w:p>
    <w:p w14:paraId="209E187E" w14:textId="77777777" w:rsidR="00193B44" w:rsidRPr="00EC3BD7" w:rsidRDefault="00193B44" w:rsidP="00A85D5C">
      <w:pPr>
        <w:pStyle w:val="EndnoteText"/>
        <w:widowControl w:val="0"/>
        <w:numPr>
          <w:ilvl w:val="0"/>
          <w:numId w:val="11"/>
        </w:numPr>
        <w:tabs>
          <w:tab w:val="clear" w:pos="360"/>
          <w:tab w:val="clear" w:pos="567"/>
        </w:tabs>
        <w:ind w:left="567" w:hanging="567"/>
        <w:rPr>
          <w:snapToGrid w:val="0"/>
          <w:color w:val="000000"/>
          <w:szCs w:val="22"/>
          <w:lang w:val="et-EE" w:eastAsia="de-DE"/>
        </w:rPr>
      </w:pPr>
      <w:r w:rsidRPr="00EC3BD7">
        <w:rPr>
          <w:snapToGrid w:val="0"/>
          <w:color w:val="000000"/>
          <w:szCs w:val="22"/>
          <w:lang w:val="et-EE" w:eastAsia="de-DE"/>
        </w:rPr>
        <w:t>monoteraapiana täiskasvanud patsientidel, kellel on retsidiveerunud või refraktaarne Ph+ </w:t>
      </w:r>
      <w:smartTag w:uri="urn:schemas-microsoft-com:office:smarttags" w:element="stockticker">
        <w:r w:rsidRPr="00EC3BD7">
          <w:rPr>
            <w:snapToGrid w:val="0"/>
            <w:color w:val="000000"/>
            <w:szCs w:val="22"/>
            <w:lang w:val="et-EE" w:eastAsia="de-DE"/>
          </w:rPr>
          <w:t>ALL</w:t>
        </w:r>
      </w:smartTag>
      <w:r w:rsidRPr="00EC3BD7">
        <w:rPr>
          <w:snapToGrid w:val="0"/>
          <w:color w:val="000000"/>
          <w:szCs w:val="22"/>
          <w:lang w:val="et-EE" w:eastAsia="de-DE"/>
        </w:rPr>
        <w:t>.</w:t>
      </w:r>
    </w:p>
    <w:p w14:paraId="6C1E527E" w14:textId="77777777" w:rsidR="00193B44" w:rsidRPr="00EC3BD7" w:rsidRDefault="00193B44" w:rsidP="00A85D5C">
      <w:pPr>
        <w:pStyle w:val="EndnoteText"/>
        <w:widowControl w:val="0"/>
        <w:numPr>
          <w:ilvl w:val="0"/>
          <w:numId w:val="11"/>
        </w:numPr>
        <w:tabs>
          <w:tab w:val="clear" w:pos="360"/>
          <w:tab w:val="clear" w:pos="567"/>
        </w:tabs>
        <w:ind w:left="567" w:hanging="567"/>
        <w:rPr>
          <w:snapToGrid w:val="0"/>
          <w:color w:val="000000"/>
          <w:szCs w:val="22"/>
          <w:lang w:val="et-EE" w:eastAsia="de-DE"/>
        </w:rPr>
      </w:pPr>
      <w:r w:rsidRPr="00EC3BD7">
        <w:rPr>
          <w:snapToGrid w:val="0"/>
          <w:color w:val="000000"/>
          <w:szCs w:val="22"/>
          <w:lang w:val="et-EE" w:eastAsia="de-DE"/>
        </w:rPr>
        <w:t xml:space="preserve">täiskasvanud patsientide raviks, kellel on </w:t>
      </w:r>
      <w:r w:rsidRPr="00EC3BD7">
        <w:rPr>
          <w:color w:val="000000"/>
          <w:szCs w:val="22"/>
          <w:lang w:val="et-EE"/>
        </w:rPr>
        <w:t>trombotsüütidest pärineva kasvufaktori retseptori (PDGFR) geneetiliste muutustega seotud müelodüsplastilised/müeloproliferatiivsed haigused (</w:t>
      </w:r>
      <w:smartTag w:uri="urn:schemas-microsoft-com:office:smarttags" w:element="stockticker">
        <w:r w:rsidRPr="00EC3BD7">
          <w:rPr>
            <w:color w:val="000000"/>
            <w:szCs w:val="22"/>
            <w:lang w:val="et-EE"/>
          </w:rPr>
          <w:t>MDS</w:t>
        </w:r>
      </w:smartTag>
      <w:r w:rsidRPr="00EC3BD7">
        <w:rPr>
          <w:color w:val="000000"/>
          <w:szCs w:val="22"/>
          <w:lang w:val="et-EE"/>
        </w:rPr>
        <w:t>/MPD).</w:t>
      </w:r>
    </w:p>
    <w:p w14:paraId="624F98DE" w14:textId="77777777" w:rsidR="00193B44" w:rsidRPr="00EC3BD7" w:rsidRDefault="00193B44" w:rsidP="00A85D5C">
      <w:pPr>
        <w:pStyle w:val="EndnoteText"/>
        <w:widowControl w:val="0"/>
        <w:numPr>
          <w:ilvl w:val="0"/>
          <w:numId w:val="11"/>
        </w:numPr>
        <w:tabs>
          <w:tab w:val="clear" w:pos="360"/>
          <w:tab w:val="clear" w:pos="567"/>
        </w:tabs>
        <w:ind w:left="567" w:hanging="567"/>
        <w:rPr>
          <w:color w:val="000000"/>
          <w:szCs w:val="22"/>
          <w:lang w:val="et-EE"/>
        </w:rPr>
      </w:pPr>
      <w:r w:rsidRPr="00EC3BD7">
        <w:rPr>
          <w:color w:val="000000"/>
          <w:szCs w:val="22"/>
          <w:lang w:val="et-EE"/>
        </w:rPr>
        <w:t>kaugelearenenud hüpereosinofiilse sündroomiga (HES) ja/või kroonilise eosinofiilse leukeemiaga (KEL), FIP1L1-PDGFR</w:t>
      </w:r>
      <w:r w:rsidRPr="00EC3BD7">
        <w:rPr>
          <w:color w:val="000000"/>
          <w:szCs w:val="22"/>
          <w:lang w:val="et-EE"/>
        </w:rPr>
        <w:sym w:font="Symbol" w:char="F061"/>
      </w:r>
      <w:r w:rsidRPr="00EC3BD7">
        <w:rPr>
          <w:color w:val="000000"/>
          <w:szCs w:val="22"/>
          <w:lang w:val="et-EE"/>
        </w:rPr>
        <w:t xml:space="preserve"> ümberkorraldusega täiskasvanud patsientide raviks.</w:t>
      </w:r>
    </w:p>
    <w:p w14:paraId="22A86879" w14:textId="77777777" w:rsidR="00193B44" w:rsidRPr="00EC3BD7" w:rsidRDefault="00193B44" w:rsidP="00193B44">
      <w:pPr>
        <w:pStyle w:val="EndnoteText"/>
        <w:widowControl w:val="0"/>
        <w:tabs>
          <w:tab w:val="clear" w:pos="567"/>
        </w:tabs>
        <w:rPr>
          <w:snapToGrid w:val="0"/>
          <w:color w:val="000000"/>
          <w:szCs w:val="22"/>
          <w:lang w:val="et-EE" w:eastAsia="de-DE"/>
        </w:rPr>
      </w:pPr>
    </w:p>
    <w:p w14:paraId="31BCAC0C" w14:textId="77777777" w:rsidR="00193B44" w:rsidRPr="00EC3BD7" w:rsidRDefault="00193B44" w:rsidP="00193B44">
      <w:pPr>
        <w:pStyle w:val="EndnoteText"/>
        <w:widowControl w:val="0"/>
        <w:tabs>
          <w:tab w:val="clear" w:pos="567"/>
        </w:tabs>
        <w:rPr>
          <w:color w:val="000000"/>
          <w:szCs w:val="22"/>
          <w:lang w:val="et-EE"/>
        </w:rPr>
      </w:pPr>
      <w:r w:rsidRPr="00EC3BD7">
        <w:rPr>
          <w:snapToGrid w:val="0"/>
          <w:color w:val="000000"/>
          <w:szCs w:val="22"/>
          <w:lang w:val="et-EE" w:eastAsia="de-DE"/>
        </w:rPr>
        <w:t>Gliveci mõju luuüdi siirdamise tulemusele ei ole kindlaks tehtud.</w:t>
      </w:r>
    </w:p>
    <w:p w14:paraId="2E2103C7" w14:textId="77777777" w:rsidR="00193B44" w:rsidRPr="00EC3BD7" w:rsidRDefault="00193B44" w:rsidP="00193B44">
      <w:pPr>
        <w:widowControl w:val="0"/>
        <w:tabs>
          <w:tab w:val="clear" w:pos="567"/>
        </w:tabs>
        <w:spacing w:line="240" w:lineRule="auto"/>
        <w:rPr>
          <w:color w:val="000000"/>
          <w:szCs w:val="22"/>
          <w:lang w:val="et-EE"/>
        </w:rPr>
      </w:pPr>
    </w:p>
    <w:p w14:paraId="439AC4B5" w14:textId="77777777" w:rsidR="00193B44" w:rsidRPr="00EC3BD7" w:rsidRDefault="00193B44" w:rsidP="00B9089D">
      <w:pPr>
        <w:keepNext/>
        <w:widowControl w:val="0"/>
        <w:tabs>
          <w:tab w:val="clear" w:pos="567"/>
        </w:tabs>
        <w:spacing w:line="240" w:lineRule="auto"/>
        <w:rPr>
          <w:color w:val="000000"/>
          <w:szCs w:val="22"/>
          <w:lang w:val="et-EE"/>
        </w:rPr>
      </w:pPr>
      <w:r w:rsidRPr="00EC3BD7">
        <w:rPr>
          <w:color w:val="000000"/>
          <w:szCs w:val="22"/>
          <w:lang w:val="et-EE"/>
        </w:rPr>
        <w:t>Glivec on näidustatud</w:t>
      </w:r>
    </w:p>
    <w:p w14:paraId="23791E4F" w14:textId="77777777" w:rsidR="00193B44" w:rsidRPr="00EC3BD7" w:rsidRDefault="00193B44" w:rsidP="00A85D5C">
      <w:pPr>
        <w:widowControl w:val="0"/>
        <w:numPr>
          <w:ilvl w:val="0"/>
          <w:numId w:val="12"/>
        </w:numPr>
        <w:tabs>
          <w:tab w:val="clear" w:pos="360"/>
          <w:tab w:val="clear" w:pos="567"/>
        </w:tabs>
        <w:spacing w:line="240" w:lineRule="auto"/>
        <w:ind w:left="567" w:hanging="567"/>
        <w:rPr>
          <w:color w:val="000000"/>
          <w:szCs w:val="22"/>
          <w:lang w:val="et-EE"/>
        </w:rPr>
      </w:pPr>
      <w:r w:rsidRPr="00EC3BD7">
        <w:rPr>
          <w:color w:val="000000"/>
          <w:szCs w:val="22"/>
          <w:lang w:val="et-EE"/>
        </w:rPr>
        <w:t>täiskasvanud patsientidel Kit-positiivse (CD 117) mitteopereeritava ja/või metastaseerunud pahaloomulise gastrointestinaalse stromaaltuumori (GIST) raviks.</w:t>
      </w:r>
    </w:p>
    <w:p w14:paraId="788C8C45" w14:textId="0D98DC4F" w:rsidR="00193B44" w:rsidRPr="00EC3BD7" w:rsidRDefault="00193B44" w:rsidP="00A85D5C">
      <w:pPr>
        <w:numPr>
          <w:ilvl w:val="0"/>
          <w:numId w:val="12"/>
        </w:numPr>
        <w:tabs>
          <w:tab w:val="clear" w:pos="360"/>
          <w:tab w:val="num" w:pos="567"/>
        </w:tabs>
        <w:spacing w:line="240" w:lineRule="auto"/>
        <w:ind w:left="567" w:hanging="567"/>
        <w:rPr>
          <w:color w:val="000000"/>
          <w:szCs w:val="22"/>
          <w:lang w:val="et-EE"/>
        </w:rPr>
      </w:pPr>
      <w:r w:rsidRPr="00EC3BD7">
        <w:rPr>
          <w:color w:val="000000"/>
          <w:szCs w:val="22"/>
          <w:lang w:val="et-EE"/>
        </w:rPr>
        <w:t>adjuvantravi täiskasvanud patsientidel, kellel on märkimisväärne risk retsidiivi tekkeks pärast Kit (CD117)-positiivse GIST</w:t>
      </w:r>
      <w:r w:rsidR="00DD0F07">
        <w:rPr>
          <w:color w:val="000000"/>
          <w:szCs w:val="22"/>
          <w:lang w:val="et-EE"/>
        </w:rPr>
        <w:t>-i</w:t>
      </w:r>
      <w:r w:rsidRPr="00EC3BD7">
        <w:rPr>
          <w:color w:val="000000"/>
          <w:szCs w:val="22"/>
          <w:lang w:val="et-EE"/>
        </w:rPr>
        <w:t xml:space="preserve"> resektsiooni. </w:t>
      </w:r>
      <w:r w:rsidR="00347035">
        <w:rPr>
          <w:color w:val="000000"/>
          <w:szCs w:val="22"/>
          <w:lang w:val="et-EE"/>
        </w:rPr>
        <w:t>Väikese</w:t>
      </w:r>
      <w:r w:rsidR="00347035" w:rsidRPr="00EC3BD7">
        <w:rPr>
          <w:color w:val="000000"/>
          <w:szCs w:val="22"/>
          <w:lang w:val="et-EE"/>
        </w:rPr>
        <w:t xml:space="preserve"> </w:t>
      </w:r>
      <w:r w:rsidRPr="00EC3BD7">
        <w:rPr>
          <w:color w:val="000000"/>
          <w:szCs w:val="22"/>
          <w:lang w:val="et-EE"/>
        </w:rPr>
        <w:t xml:space="preserve">või väga </w:t>
      </w:r>
      <w:r w:rsidR="00347035">
        <w:rPr>
          <w:color w:val="000000"/>
          <w:szCs w:val="22"/>
          <w:lang w:val="et-EE"/>
        </w:rPr>
        <w:t>väikese</w:t>
      </w:r>
      <w:r w:rsidR="00347035" w:rsidRPr="00EC3BD7">
        <w:rPr>
          <w:color w:val="000000"/>
          <w:szCs w:val="22"/>
          <w:lang w:val="et-EE"/>
        </w:rPr>
        <w:t xml:space="preserve"> </w:t>
      </w:r>
      <w:r w:rsidRPr="00EC3BD7">
        <w:rPr>
          <w:color w:val="000000"/>
          <w:szCs w:val="22"/>
          <w:lang w:val="et-EE"/>
        </w:rPr>
        <w:t>retsidiivi tekke riskiga patsiendid ei tohiks adjuvantravi saada.</w:t>
      </w:r>
    </w:p>
    <w:p w14:paraId="42EE2F86" w14:textId="77777777" w:rsidR="00193B44" w:rsidRPr="00EC3BD7" w:rsidRDefault="00193B44" w:rsidP="00A85D5C">
      <w:pPr>
        <w:widowControl w:val="0"/>
        <w:numPr>
          <w:ilvl w:val="0"/>
          <w:numId w:val="12"/>
        </w:numPr>
        <w:tabs>
          <w:tab w:val="clear" w:pos="360"/>
          <w:tab w:val="clear" w:pos="567"/>
        </w:tabs>
        <w:spacing w:line="240" w:lineRule="auto"/>
        <w:ind w:left="567" w:hanging="567"/>
        <w:rPr>
          <w:color w:val="000000"/>
          <w:szCs w:val="22"/>
          <w:lang w:val="et-EE"/>
        </w:rPr>
      </w:pPr>
      <w:r w:rsidRPr="00EC3BD7">
        <w:rPr>
          <w:color w:val="000000"/>
          <w:szCs w:val="22"/>
          <w:lang w:val="et-EE"/>
        </w:rPr>
        <w:t>täiskasvanud patsientidel mitteopereeritava, protuberantse dermatofibrosarkoomi (PDFS) raviks ja täiskasvanud patsientidele retsidiveerunud ja/või metastaseerunud protuberantse dermatofibrosarkoomi (PDFS) raviks, kui operatsioon ei ole soovitatav.</w:t>
      </w:r>
    </w:p>
    <w:p w14:paraId="46A1F648" w14:textId="77777777" w:rsidR="00193B44" w:rsidRPr="00EC3BD7" w:rsidRDefault="00193B44" w:rsidP="00193B44">
      <w:pPr>
        <w:widowControl w:val="0"/>
        <w:tabs>
          <w:tab w:val="clear" w:pos="567"/>
        </w:tabs>
        <w:spacing w:line="240" w:lineRule="auto"/>
        <w:rPr>
          <w:color w:val="000000"/>
          <w:szCs w:val="22"/>
          <w:lang w:val="et-EE"/>
        </w:rPr>
      </w:pPr>
    </w:p>
    <w:p w14:paraId="4E71F063" w14:textId="32606FC2" w:rsidR="00193B44" w:rsidRPr="00EC3BD7" w:rsidRDefault="00193B44" w:rsidP="00193B44">
      <w:pPr>
        <w:pStyle w:val="Text"/>
        <w:widowControl w:val="0"/>
        <w:spacing w:before="0"/>
        <w:jc w:val="left"/>
        <w:rPr>
          <w:color w:val="000000"/>
          <w:sz w:val="22"/>
          <w:szCs w:val="22"/>
          <w:lang w:val="et-EE"/>
        </w:rPr>
      </w:pPr>
      <w:r w:rsidRPr="00EC3BD7">
        <w:rPr>
          <w:color w:val="000000"/>
          <w:sz w:val="22"/>
          <w:szCs w:val="22"/>
          <w:lang w:val="et-EE"/>
        </w:rPr>
        <w:t xml:space="preserve">Täiskasvanud ja pediaatrilistel patsientidel põhineb Gliveci efektiivsuse hindamine </w:t>
      </w:r>
      <w:smartTag w:uri="urn:schemas-microsoft-com:office:smarttags" w:element="stockticker">
        <w:r w:rsidRPr="00EC3BD7">
          <w:rPr>
            <w:color w:val="000000"/>
            <w:sz w:val="22"/>
            <w:szCs w:val="22"/>
            <w:lang w:val="et-EE"/>
          </w:rPr>
          <w:t>KML</w:t>
        </w:r>
      </w:smartTag>
      <w:r w:rsidRPr="00EC3BD7">
        <w:rPr>
          <w:color w:val="000000"/>
          <w:sz w:val="22"/>
          <w:szCs w:val="22"/>
          <w:lang w:val="et-EE"/>
        </w:rPr>
        <w:t xml:space="preserve"> puhul üldisel hematoloogilisel ja tsütogeneetilisel ravivastusel ning progressioonivabal elulemusel, Ph+ </w:t>
      </w:r>
      <w:smartTag w:uri="urn:schemas-microsoft-com:office:smarttags" w:element="stockticker">
        <w:r w:rsidRPr="00EC3BD7">
          <w:rPr>
            <w:color w:val="000000"/>
            <w:sz w:val="22"/>
            <w:szCs w:val="22"/>
            <w:lang w:val="et-EE"/>
          </w:rPr>
          <w:t>ALL</w:t>
        </w:r>
      </w:smartTag>
      <w:r w:rsidRPr="00EC3BD7">
        <w:rPr>
          <w:color w:val="000000"/>
          <w:sz w:val="22"/>
          <w:szCs w:val="22"/>
          <w:lang w:val="et-EE"/>
        </w:rPr>
        <w:t xml:space="preserve">, </w:t>
      </w:r>
      <w:smartTag w:uri="urn:schemas-microsoft-com:office:smarttags" w:element="stockticker">
        <w:r w:rsidRPr="00EC3BD7">
          <w:rPr>
            <w:color w:val="000000"/>
            <w:sz w:val="22"/>
            <w:szCs w:val="22"/>
            <w:lang w:val="et-EE"/>
          </w:rPr>
          <w:t>MDS</w:t>
        </w:r>
      </w:smartTag>
      <w:r w:rsidRPr="00EC3BD7">
        <w:rPr>
          <w:color w:val="000000"/>
          <w:sz w:val="22"/>
          <w:szCs w:val="22"/>
          <w:lang w:val="et-EE"/>
        </w:rPr>
        <w:t>/MPD puhul hematoloogilisel ja tsütogeneetilisel ravivastusel, HES/KEL puhul hematoloogilisel ravivastusel ning objektiivse ravivastuse määr mitteopereeritava ja/või metastaseerunud GIST</w:t>
      </w:r>
      <w:r w:rsidR="002E0C83">
        <w:rPr>
          <w:color w:val="000000"/>
          <w:szCs w:val="22"/>
          <w:lang w:val="et-EE"/>
        </w:rPr>
        <w:t>-i</w:t>
      </w:r>
      <w:r w:rsidRPr="00EC3BD7">
        <w:rPr>
          <w:color w:val="000000"/>
          <w:sz w:val="22"/>
          <w:szCs w:val="22"/>
          <w:lang w:val="et-EE"/>
        </w:rPr>
        <w:t xml:space="preserve"> ja PDFS</w:t>
      </w:r>
      <w:r w:rsidR="002E0C83">
        <w:rPr>
          <w:color w:val="000000"/>
          <w:sz w:val="22"/>
          <w:szCs w:val="22"/>
          <w:lang w:val="et-EE"/>
        </w:rPr>
        <w:t>-ga</w:t>
      </w:r>
      <w:r w:rsidRPr="00EC3BD7">
        <w:rPr>
          <w:color w:val="000000"/>
          <w:sz w:val="22"/>
          <w:szCs w:val="22"/>
          <w:lang w:val="et-EE"/>
        </w:rPr>
        <w:t xml:space="preserve"> täiskasvanud patsientidel ning retsidiivivaba</w:t>
      </w:r>
      <w:r w:rsidR="002E0C83">
        <w:rPr>
          <w:color w:val="000000"/>
          <w:sz w:val="22"/>
          <w:szCs w:val="22"/>
          <w:lang w:val="et-EE"/>
        </w:rPr>
        <w:t>l</w:t>
      </w:r>
      <w:r w:rsidRPr="00EC3BD7">
        <w:rPr>
          <w:color w:val="000000"/>
          <w:sz w:val="22"/>
          <w:szCs w:val="22"/>
          <w:lang w:val="et-EE"/>
        </w:rPr>
        <w:t xml:space="preserve"> elulemus</w:t>
      </w:r>
      <w:r w:rsidR="002E0C83">
        <w:rPr>
          <w:color w:val="000000"/>
          <w:sz w:val="22"/>
          <w:szCs w:val="22"/>
          <w:lang w:val="et-EE"/>
        </w:rPr>
        <w:t>el</w:t>
      </w:r>
      <w:r w:rsidRPr="00EC3BD7">
        <w:rPr>
          <w:color w:val="000000"/>
          <w:sz w:val="22"/>
          <w:szCs w:val="22"/>
          <w:lang w:val="et-EE"/>
        </w:rPr>
        <w:t xml:space="preserve"> GIST</w:t>
      </w:r>
      <w:r w:rsidR="002E0C83">
        <w:rPr>
          <w:color w:val="000000"/>
          <w:szCs w:val="22"/>
          <w:lang w:val="et-EE"/>
        </w:rPr>
        <w:t>-i</w:t>
      </w:r>
      <w:r w:rsidRPr="00EC3BD7">
        <w:rPr>
          <w:color w:val="000000"/>
          <w:sz w:val="22"/>
          <w:szCs w:val="22"/>
          <w:lang w:val="et-EE"/>
        </w:rPr>
        <w:t xml:space="preserve"> adjuvantravi korral. Gliveci kasutamise kogemused PDGFR geneetiliste muutustega </w:t>
      </w:r>
      <w:smartTag w:uri="urn:schemas-microsoft-com:office:smarttags" w:element="stockticker">
        <w:r w:rsidRPr="00EC3BD7">
          <w:rPr>
            <w:color w:val="000000"/>
            <w:sz w:val="22"/>
            <w:szCs w:val="22"/>
            <w:lang w:val="et-EE"/>
          </w:rPr>
          <w:t>MDS</w:t>
        </w:r>
      </w:smartTag>
      <w:r w:rsidRPr="00EC3BD7">
        <w:rPr>
          <w:color w:val="000000"/>
          <w:sz w:val="22"/>
          <w:szCs w:val="22"/>
          <w:lang w:val="et-EE"/>
        </w:rPr>
        <w:t>/MPD patsientidel on väga vähesed (vt lõik</w:t>
      </w:r>
      <w:r w:rsidR="00F570D9" w:rsidRPr="00EC3BD7">
        <w:rPr>
          <w:color w:val="000000"/>
          <w:sz w:val="22"/>
          <w:szCs w:val="22"/>
          <w:lang w:val="et-EE"/>
        </w:rPr>
        <w:t> </w:t>
      </w:r>
      <w:r w:rsidRPr="00EC3BD7">
        <w:rPr>
          <w:color w:val="000000"/>
          <w:sz w:val="22"/>
          <w:szCs w:val="22"/>
          <w:lang w:val="et-EE"/>
        </w:rPr>
        <w:t xml:space="preserve">5.1). Välja arvatud äsja diagnoositud kroonilises faasis </w:t>
      </w:r>
      <w:smartTag w:uri="urn:schemas-microsoft-com:office:smarttags" w:element="stockticker">
        <w:r w:rsidRPr="00EC3BD7">
          <w:rPr>
            <w:color w:val="000000"/>
            <w:sz w:val="22"/>
            <w:szCs w:val="22"/>
            <w:lang w:val="et-EE"/>
          </w:rPr>
          <w:t>KML</w:t>
        </w:r>
      </w:smartTag>
      <w:r w:rsidRPr="00EC3BD7">
        <w:rPr>
          <w:color w:val="000000"/>
          <w:sz w:val="22"/>
          <w:szCs w:val="22"/>
          <w:lang w:val="et-EE"/>
        </w:rPr>
        <w:t xml:space="preserve"> puhul, puuduvad kontrollrühmaga uuringud, mis näitaksid, et raviga kaasneks kliiniline kasu või elulemuse paranemine nende haiguste korral.</w:t>
      </w:r>
    </w:p>
    <w:p w14:paraId="041FE3B4" w14:textId="77777777" w:rsidR="00193B44" w:rsidRPr="00EC3BD7" w:rsidRDefault="00193B44" w:rsidP="00193B44">
      <w:pPr>
        <w:pStyle w:val="Text"/>
        <w:widowControl w:val="0"/>
        <w:spacing w:before="0"/>
        <w:jc w:val="left"/>
        <w:rPr>
          <w:color w:val="000000"/>
          <w:sz w:val="22"/>
          <w:szCs w:val="22"/>
          <w:lang w:val="et-EE"/>
        </w:rPr>
      </w:pPr>
    </w:p>
    <w:p w14:paraId="566F2CC8" w14:textId="77777777" w:rsidR="00193B44" w:rsidRPr="00EC3BD7" w:rsidRDefault="00193B44"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4.2</w:t>
      </w:r>
      <w:r w:rsidRPr="00EC3BD7">
        <w:rPr>
          <w:b/>
          <w:color w:val="000000"/>
          <w:szCs w:val="22"/>
          <w:lang w:val="et-EE"/>
        </w:rPr>
        <w:tab/>
        <w:t>Annustamine ja manustamisviis</w:t>
      </w:r>
    </w:p>
    <w:p w14:paraId="0215DDEF" w14:textId="77777777" w:rsidR="00193B44" w:rsidRPr="00EC3BD7" w:rsidRDefault="00193B44" w:rsidP="00B9089D">
      <w:pPr>
        <w:pStyle w:val="EndnoteText"/>
        <w:keepNext/>
        <w:widowControl w:val="0"/>
        <w:tabs>
          <w:tab w:val="clear" w:pos="567"/>
        </w:tabs>
        <w:rPr>
          <w:color w:val="000000"/>
          <w:szCs w:val="22"/>
          <w:lang w:val="et-EE"/>
        </w:rPr>
      </w:pPr>
    </w:p>
    <w:p w14:paraId="1BEFD52C"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Ravi tohib määrata ainult arst, kellel on kogemused pahaloomuliste hematoloogiliste kasvajate ja maliigsete sarkoomide ravis.</w:t>
      </w:r>
    </w:p>
    <w:p w14:paraId="5AD1A711" w14:textId="77777777" w:rsidR="00136210" w:rsidRPr="00EC3BD7" w:rsidRDefault="00136210">
      <w:pPr>
        <w:pStyle w:val="EndnoteText"/>
        <w:widowControl w:val="0"/>
        <w:tabs>
          <w:tab w:val="clear" w:pos="567"/>
        </w:tabs>
        <w:rPr>
          <w:color w:val="000000"/>
          <w:szCs w:val="22"/>
          <w:lang w:val="et-EE"/>
        </w:rPr>
      </w:pPr>
    </w:p>
    <w:p w14:paraId="38031CDB" w14:textId="77777777" w:rsidR="00164291" w:rsidRPr="00EC3BD7" w:rsidRDefault="00164291" w:rsidP="00164291">
      <w:pPr>
        <w:pStyle w:val="EndnoteText"/>
        <w:widowControl w:val="0"/>
        <w:tabs>
          <w:tab w:val="clear" w:pos="567"/>
        </w:tabs>
        <w:rPr>
          <w:color w:val="000000"/>
          <w:szCs w:val="22"/>
          <w:lang w:val="et-EE"/>
        </w:rPr>
      </w:pPr>
      <w:r w:rsidRPr="00EC3BD7">
        <w:rPr>
          <w:color w:val="000000"/>
          <w:szCs w:val="22"/>
          <w:lang w:val="et-EE"/>
        </w:rPr>
        <w:t>Annustest 400 mg ja 800 mg erinevate annuste (vt soovitused allpool) kasutamiseks on saadaval 100 mg poolitatav tablett.</w:t>
      </w:r>
    </w:p>
    <w:p w14:paraId="6A76C3B0"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Annustele 400 mg ja suuremad (vt soovitused allpool) on saadaval 400 mg tablett.</w:t>
      </w:r>
    </w:p>
    <w:p w14:paraId="693E37BD" w14:textId="77777777" w:rsidR="00136210" w:rsidRPr="00EC3BD7" w:rsidRDefault="00136210">
      <w:pPr>
        <w:pStyle w:val="EndnoteText"/>
        <w:widowControl w:val="0"/>
        <w:tabs>
          <w:tab w:val="clear" w:pos="567"/>
        </w:tabs>
        <w:rPr>
          <w:color w:val="000000"/>
          <w:szCs w:val="22"/>
          <w:lang w:val="et-EE"/>
        </w:rPr>
      </w:pPr>
    </w:p>
    <w:p w14:paraId="12ED30B8"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Määratud annus tuleb manustada suu kaudu koos söögi ja suure klaasitäie veega vähendamaks gastrointestinaalse ärrituse nähte. Annused 400 mg ja 600 mg võib manustada üks kord päevas, annus 800 mg tuleks aga manustada kahe 400 mg annusena ööpäevas, hommikul ja õhtul.</w:t>
      </w:r>
    </w:p>
    <w:p w14:paraId="3072BB44" w14:textId="77777777" w:rsidR="00136210" w:rsidRPr="00EC3BD7" w:rsidRDefault="00136210">
      <w:pPr>
        <w:pStyle w:val="EndnoteText"/>
        <w:widowControl w:val="0"/>
        <w:tabs>
          <w:tab w:val="clear" w:pos="567"/>
        </w:tabs>
        <w:rPr>
          <w:color w:val="000000"/>
          <w:szCs w:val="22"/>
          <w:lang w:val="et-EE"/>
        </w:rPr>
      </w:pPr>
    </w:p>
    <w:p w14:paraId="3C86F0ED" w14:textId="77777777" w:rsidR="00136210" w:rsidRPr="00EC3BD7" w:rsidRDefault="00136210">
      <w:pPr>
        <w:pStyle w:val="BodyText"/>
        <w:widowControl w:val="0"/>
        <w:spacing w:line="240" w:lineRule="auto"/>
        <w:rPr>
          <w:b w:val="0"/>
          <w:i w:val="0"/>
          <w:color w:val="000000"/>
          <w:szCs w:val="22"/>
          <w:u w:val="single"/>
          <w:lang w:val="et-EE"/>
        </w:rPr>
      </w:pPr>
      <w:r w:rsidRPr="00EC3BD7">
        <w:rPr>
          <w:b w:val="0"/>
          <w:i w:val="0"/>
          <w:color w:val="000000"/>
          <w:szCs w:val="22"/>
          <w:lang w:val="et-EE"/>
        </w:rPr>
        <w:t>Kui patsient ei ole võimeline tabletti neelama, võib tableti lahustada klaasitäies vees või õunamahlas. Vajalik hulk tablette lahustatakse sobivas koguses vedelikus (umbes 50 ml vedelikku on tarvis 100 mg tableti ja 200 ml vedelikku 400 mg tableti jaoks) ning segatakse lusikaga. Tekkinud suspensioon tuleb manustada koheselt pärast tablettide lagunemist.</w:t>
      </w:r>
    </w:p>
    <w:p w14:paraId="1FD58A0B" w14:textId="77777777" w:rsidR="00136210" w:rsidRPr="00EC3BD7" w:rsidRDefault="00136210">
      <w:pPr>
        <w:pStyle w:val="BodyText"/>
        <w:widowControl w:val="0"/>
        <w:spacing w:line="240" w:lineRule="auto"/>
        <w:rPr>
          <w:b w:val="0"/>
          <w:i w:val="0"/>
          <w:color w:val="000000"/>
          <w:szCs w:val="22"/>
          <w:lang w:val="et-EE"/>
        </w:rPr>
      </w:pPr>
    </w:p>
    <w:p w14:paraId="5E1D8895" w14:textId="77777777" w:rsidR="00193B44" w:rsidRPr="00EC3BD7" w:rsidRDefault="00193B44" w:rsidP="00B9089D">
      <w:pPr>
        <w:pStyle w:val="BodyText"/>
        <w:keepNext/>
        <w:widowControl w:val="0"/>
        <w:spacing w:line="240" w:lineRule="auto"/>
        <w:rPr>
          <w:b w:val="0"/>
          <w:i w:val="0"/>
          <w:color w:val="000000"/>
          <w:szCs w:val="22"/>
          <w:u w:val="single"/>
          <w:lang w:val="et-EE"/>
        </w:rPr>
      </w:pPr>
      <w:r w:rsidRPr="00EC3BD7">
        <w:rPr>
          <w:b w:val="0"/>
          <w:i w:val="0"/>
          <w:color w:val="000000"/>
          <w:szCs w:val="22"/>
          <w:u w:val="single"/>
          <w:lang w:val="et-EE"/>
        </w:rPr>
        <w:t xml:space="preserve">Annustamine täiskasvanutele </w:t>
      </w:r>
      <w:smartTag w:uri="urn:schemas-microsoft-com:office:smarttags" w:element="stockticker">
        <w:r w:rsidRPr="00EC3BD7">
          <w:rPr>
            <w:b w:val="0"/>
            <w:i w:val="0"/>
            <w:color w:val="000000"/>
            <w:szCs w:val="22"/>
            <w:u w:val="single"/>
            <w:lang w:val="et-EE"/>
          </w:rPr>
          <w:t>KML</w:t>
        </w:r>
      </w:smartTag>
      <w:r w:rsidRPr="00EC3BD7">
        <w:rPr>
          <w:b w:val="0"/>
          <w:i w:val="0"/>
          <w:color w:val="000000"/>
          <w:szCs w:val="22"/>
          <w:u w:val="single"/>
          <w:lang w:val="et-EE"/>
        </w:rPr>
        <w:t xml:space="preserve"> korral</w:t>
      </w:r>
    </w:p>
    <w:p w14:paraId="2E0DAC00" w14:textId="2E97FF7E" w:rsidR="00193B44" w:rsidRPr="00EC3BD7" w:rsidRDefault="00193B44" w:rsidP="00193B44">
      <w:pPr>
        <w:pStyle w:val="BodyText"/>
        <w:widowControl w:val="0"/>
        <w:spacing w:line="240" w:lineRule="auto"/>
        <w:rPr>
          <w:b w:val="0"/>
          <w:i w:val="0"/>
          <w:snapToGrid w:val="0"/>
          <w:color w:val="000000"/>
          <w:szCs w:val="22"/>
          <w:lang w:val="et-EE"/>
        </w:rPr>
      </w:pPr>
      <w:r w:rsidRPr="00EC3BD7">
        <w:rPr>
          <w:b w:val="0"/>
          <w:i w:val="0"/>
          <w:color w:val="000000"/>
          <w:szCs w:val="22"/>
          <w:lang w:val="et-EE"/>
        </w:rPr>
        <w:t xml:space="preserve">Gliveci soovitatav annus kroonilises faasis </w:t>
      </w:r>
      <w:smartTag w:uri="urn:schemas-microsoft-com:office:smarttags" w:element="stockticker">
        <w:r w:rsidRPr="00EC3BD7">
          <w:rPr>
            <w:b w:val="0"/>
            <w:i w:val="0"/>
            <w:color w:val="000000"/>
            <w:szCs w:val="22"/>
            <w:lang w:val="et-EE"/>
          </w:rPr>
          <w:t>KML</w:t>
        </w:r>
        <w:r w:rsidR="002E0C83" w:rsidRPr="00637BB6">
          <w:rPr>
            <w:b w:val="0"/>
            <w:i w:val="0"/>
            <w:color w:val="000000"/>
            <w:szCs w:val="22"/>
            <w:lang w:val="et-EE"/>
          </w:rPr>
          <w:t>-i</w:t>
        </w:r>
      </w:smartTag>
      <w:r w:rsidRPr="00EC3BD7">
        <w:rPr>
          <w:b w:val="0"/>
          <w:i w:val="0"/>
          <w:color w:val="000000"/>
          <w:szCs w:val="22"/>
          <w:lang w:val="et-EE"/>
        </w:rPr>
        <w:t xml:space="preserve"> </w:t>
      </w:r>
      <w:r w:rsidR="00F86F56" w:rsidRPr="00EC3BD7">
        <w:rPr>
          <w:b w:val="0"/>
          <w:i w:val="0"/>
          <w:color w:val="000000"/>
          <w:szCs w:val="22"/>
          <w:lang w:val="et-EE"/>
        </w:rPr>
        <w:t xml:space="preserve">täiskasvanud </w:t>
      </w:r>
      <w:r w:rsidRPr="00EC3BD7">
        <w:rPr>
          <w:b w:val="0"/>
          <w:i w:val="0"/>
          <w:color w:val="000000"/>
          <w:szCs w:val="22"/>
          <w:lang w:val="et-EE"/>
        </w:rPr>
        <w:t xml:space="preserve">patsientidel on 400 mg/ööpäevas. </w:t>
      </w:r>
      <w:smartTag w:uri="urn:schemas-microsoft-com:office:smarttags" w:element="stockticker">
        <w:r w:rsidRPr="00EC3BD7">
          <w:rPr>
            <w:b w:val="0"/>
            <w:i w:val="0"/>
            <w:color w:val="000000"/>
            <w:szCs w:val="22"/>
            <w:lang w:val="et-EE"/>
          </w:rPr>
          <w:t>KML</w:t>
        </w:r>
      </w:smartTag>
      <w:r w:rsidRPr="00EC3BD7">
        <w:rPr>
          <w:b w:val="0"/>
          <w:i w:val="0"/>
          <w:color w:val="000000"/>
          <w:szCs w:val="22"/>
          <w:lang w:val="et-EE"/>
        </w:rPr>
        <w:t xml:space="preserve"> on kroonilises faasis, kui kõik järgmised kriteeriumid on täidetud</w:t>
      </w:r>
      <w:r w:rsidRPr="00EC3BD7">
        <w:rPr>
          <w:b w:val="0"/>
          <w:i w:val="0"/>
          <w:snapToGrid w:val="0"/>
          <w:color w:val="000000"/>
          <w:szCs w:val="22"/>
          <w:lang w:val="et-EE"/>
        </w:rPr>
        <w:t>: blaste on veres või luuüdis &lt;15%, basofiile on perifeerses veres &lt;20%, trombotsüüte &gt;100x10</w:t>
      </w:r>
      <w:r w:rsidRPr="00EC3BD7">
        <w:rPr>
          <w:b w:val="0"/>
          <w:i w:val="0"/>
          <w:snapToGrid w:val="0"/>
          <w:color w:val="000000"/>
          <w:szCs w:val="22"/>
          <w:vertAlign w:val="superscript"/>
          <w:lang w:val="et-EE"/>
        </w:rPr>
        <w:t>9</w:t>
      </w:r>
      <w:r w:rsidRPr="00EC3BD7">
        <w:rPr>
          <w:b w:val="0"/>
          <w:i w:val="0"/>
          <w:snapToGrid w:val="0"/>
          <w:color w:val="000000"/>
          <w:szCs w:val="22"/>
          <w:lang w:val="et-EE"/>
        </w:rPr>
        <w:t>/l.</w:t>
      </w:r>
    </w:p>
    <w:p w14:paraId="5D8C36BE" w14:textId="77777777" w:rsidR="00193B44" w:rsidRPr="00EC3BD7" w:rsidRDefault="00193B44" w:rsidP="00193B44">
      <w:pPr>
        <w:pStyle w:val="BodyText"/>
        <w:widowControl w:val="0"/>
        <w:spacing w:line="240" w:lineRule="auto"/>
        <w:rPr>
          <w:b w:val="0"/>
          <w:i w:val="0"/>
          <w:color w:val="000000"/>
          <w:szCs w:val="22"/>
          <w:lang w:val="et-EE"/>
        </w:rPr>
      </w:pPr>
    </w:p>
    <w:p w14:paraId="671D0072" w14:textId="77777777" w:rsidR="00193B44" w:rsidRPr="00EC3BD7" w:rsidRDefault="00193B44" w:rsidP="00193B44">
      <w:pPr>
        <w:pStyle w:val="BodyText"/>
        <w:widowControl w:val="0"/>
        <w:spacing w:line="240" w:lineRule="auto"/>
        <w:rPr>
          <w:b w:val="0"/>
          <w:i w:val="0"/>
          <w:snapToGrid w:val="0"/>
          <w:color w:val="000000"/>
          <w:szCs w:val="22"/>
          <w:lang w:val="et-EE"/>
        </w:rPr>
      </w:pPr>
      <w:r w:rsidRPr="00EC3BD7">
        <w:rPr>
          <w:b w:val="0"/>
          <w:i w:val="0"/>
          <w:color w:val="000000"/>
          <w:szCs w:val="22"/>
          <w:lang w:val="et-EE"/>
        </w:rPr>
        <w:t xml:space="preserve">Gliveci soovitatav annus aktseleratsioonifaasis </w:t>
      </w:r>
      <w:r w:rsidR="00691D39" w:rsidRPr="00EC3BD7">
        <w:rPr>
          <w:b w:val="0"/>
          <w:i w:val="0"/>
          <w:color w:val="000000"/>
          <w:szCs w:val="22"/>
          <w:lang w:val="et-EE"/>
        </w:rPr>
        <w:t xml:space="preserve">täiskasvanud patsientidel </w:t>
      </w:r>
      <w:r w:rsidRPr="00EC3BD7">
        <w:rPr>
          <w:b w:val="0"/>
          <w:i w:val="0"/>
          <w:color w:val="000000"/>
          <w:szCs w:val="22"/>
          <w:lang w:val="et-EE"/>
        </w:rPr>
        <w:t>on 600 mg/ööpäevas. Aktseleratsioonifaasi korral peab olema täidetud vähemalt üks järgmistest kriteeriumitest</w:t>
      </w:r>
      <w:r w:rsidRPr="00EC3BD7">
        <w:rPr>
          <w:b w:val="0"/>
          <w:i w:val="0"/>
          <w:snapToGrid w:val="0"/>
          <w:color w:val="000000"/>
          <w:szCs w:val="22"/>
          <w:lang w:val="et-EE"/>
        </w:rPr>
        <w:t xml:space="preserve">: blaste </w:t>
      </w:r>
      <w:r w:rsidRPr="00EC3BD7">
        <w:rPr>
          <w:b w:val="0"/>
          <w:i w:val="0"/>
          <w:snapToGrid w:val="0"/>
          <w:color w:val="000000"/>
          <w:szCs w:val="22"/>
          <w:lang w:val="et-EE"/>
        </w:rPr>
        <w:sym w:font="Symbol" w:char="F0B3"/>
      </w:r>
      <w:r w:rsidRPr="00EC3BD7">
        <w:rPr>
          <w:b w:val="0"/>
          <w:i w:val="0"/>
          <w:snapToGrid w:val="0"/>
          <w:color w:val="000000"/>
          <w:szCs w:val="22"/>
          <w:lang w:val="et-EE"/>
        </w:rPr>
        <w:t xml:space="preserve">15%, kuid veres või luuüdis &lt;30%, blaste koos promüelotsüütidega veres või luuüdis </w:t>
      </w:r>
      <w:r w:rsidRPr="00EC3BD7">
        <w:rPr>
          <w:b w:val="0"/>
          <w:i w:val="0"/>
          <w:snapToGrid w:val="0"/>
          <w:color w:val="000000"/>
          <w:szCs w:val="22"/>
          <w:lang w:val="et-EE"/>
        </w:rPr>
        <w:sym w:font="Symbol" w:char="F0B3"/>
      </w:r>
      <w:r w:rsidRPr="00EC3BD7">
        <w:rPr>
          <w:b w:val="0"/>
          <w:i w:val="0"/>
          <w:snapToGrid w:val="0"/>
          <w:color w:val="000000"/>
          <w:szCs w:val="22"/>
          <w:lang w:val="et-EE"/>
        </w:rPr>
        <w:t xml:space="preserve">30% (juhul, kui blaste on &lt;30%), basofiile perifeerses veres </w:t>
      </w:r>
      <w:r w:rsidRPr="00EC3BD7">
        <w:rPr>
          <w:b w:val="0"/>
          <w:i w:val="0"/>
          <w:snapToGrid w:val="0"/>
          <w:color w:val="000000"/>
          <w:szCs w:val="22"/>
          <w:lang w:val="et-EE"/>
        </w:rPr>
        <w:sym w:font="Symbol" w:char="F0B3"/>
      </w:r>
      <w:r w:rsidRPr="00EC3BD7">
        <w:rPr>
          <w:b w:val="0"/>
          <w:i w:val="0"/>
          <w:snapToGrid w:val="0"/>
          <w:color w:val="000000"/>
          <w:szCs w:val="22"/>
          <w:lang w:val="et-EE"/>
        </w:rPr>
        <w:t>20%, trombotsüüte &lt;100x10</w:t>
      </w:r>
      <w:r w:rsidRPr="00EC3BD7">
        <w:rPr>
          <w:b w:val="0"/>
          <w:i w:val="0"/>
          <w:snapToGrid w:val="0"/>
          <w:color w:val="000000"/>
          <w:szCs w:val="22"/>
          <w:vertAlign w:val="superscript"/>
          <w:lang w:val="et-EE"/>
        </w:rPr>
        <w:t>9</w:t>
      </w:r>
      <w:r w:rsidRPr="00EC3BD7">
        <w:rPr>
          <w:b w:val="0"/>
          <w:i w:val="0"/>
          <w:snapToGrid w:val="0"/>
          <w:color w:val="000000"/>
          <w:szCs w:val="22"/>
          <w:lang w:val="et-EE"/>
        </w:rPr>
        <w:t>/l hoolimata ravist.</w:t>
      </w:r>
    </w:p>
    <w:p w14:paraId="5EA7050E" w14:textId="77777777" w:rsidR="00193B44" w:rsidRPr="00EC3BD7" w:rsidRDefault="00193B44" w:rsidP="00193B44">
      <w:pPr>
        <w:pStyle w:val="BodyText"/>
        <w:widowControl w:val="0"/>
        <w:spacing w:line="240" w:lineRule="auto"/>
        <w:rPr>
          <w:b w:val="0"/>
          <w:i w:val="0"/>
          <w:color w:val="000000"/>
          <w:szCs w:val="22"/>
          <w:lang w:val="et-EE"/>
        </w:rPr>
      </w:pPr>
    </w:p>
    <w:p w14:paraId="4879DCA7" w14:textId="77777777" w:rsidR="00193B44" w:rsidRPr="00EC3BD7" w:rsidRDefault="00193B44" w:rsidP="00193B44">
      <w:pPr>
        <w:pStyle w:val="BodyText"/>
        <w:widowControl w:val="0"/>
        <w:spacing w:line="240" w:lineRule="auto"/>
        <w:rPr>
          <w:b w:val="0"/>
          <w:i w:val="0"/>
          <w:color w:val="000000"/>
          <w:szCs w:val="22"/>
          <w:lang w:val="et-EE"/>
        </w:rPr>
      </w:pPr>
      <w:r w:rsidRPr="00EC3BD7">
        <w:rPr>
          <w:b w:val="0"/>
          <w:i w:val="0"/>
          <w:color w:val="000000"/>
          <w:szCs w:val="22"/>
          <w:lang w:val="et-EE"/>
        </w:rPr>
        <w:t xml:space="preserve">Gliveci soovitatav annus blastses kriisis </w:t>
      </w:r>
      <w:r w:rsidR="009603B4" w:rsidRPr="00EC3BD7">
        <w:rPr>
          <w:b w:val="0"/>
          <w:i w:val="0"/>
          <w:color w:val="000000"/>
          <w:szCs w:val="22"/>
          <w:lang w:val="et-EE"/>
        </w:rPr>
        <w:t xml:space="preserve">täiskasvanud </w:t>
      </w:r>
      <w:r w:rsidRPr="00EC3BD7">
        <w:rPr>
          <w:b w:val="0"/>
          <w:i w:val="0"/>
          <w:color w:val="000000"/>
          <w:szCs w:val="22"/>
          <w:lang w:val="et-EE"/>
        </w:rPr>
        <w:t xml:space="preserve">patsientidel on 600 mg/ööpäevas. Blastne kriis diagnoositakse juhul, kui blaste on veres või luuüdis </w:t>
      </w:r>
      <w:r w:rsidRPr="00EC3BD7">
        <w:rPr>
          <w:b w:val="0"/>
          <w:i w:val="0"/>
          <w:snapToGrid w:val="0"/>
          <w:color w:val="000000"/>
          <w:szCs w:val="22"/>
          <w:lang w:val="et-EE"/>
        </w:rPr>
        <w:sym w:font="Symbol" w:char="F0B3"/>
      </w:r>
      <w:r w:rsidRPr="00EC3BD7">
        <w:rPr>
          <w:b w:val="0"/>
          <w:i w:val="0"/>
          <w:snapToGrid w:val="0"/>
          <w:color w:val="000000"/>
          <w:szCs w:val="22"/>
          <w:lang w:val="et-EE"/>
        </w:rPr>
        <w:t>30% või esineb ekstramedullaarne haiguskolle välja arvatud hepatosplenomegaalia.</w:t>
      </w:r>
    </w:p>
    <w:p w14:paraId="0612C219" w14:textId="77777777" w:rsidR="00193B44" w:rsidRPr="00EC3BD7" w:rsidRDefault="00193B44" w:rsidP="00193B44">
      <w:pPr>
        <w:pStyle w:val="EndnoteText"/>
        <w:widowControl w:val="0"/>
        <w:tabs>
          <w:tab w:val="clear" w:pos="567"/>
        </w:tabs>
        <w:rPr>
          <w:color w:val="000000"/>
          <w:szCs w:val="22"/>
          <w:lang w:val="et-EE"/>
        </w:rPr>
      </w:pPr>
    </w:p>
    <w:p w14:paraId="18ACDAE1" w14:textId="77777777" w:rsidR="00193B44" w:rsidRPr="00EC3BD7" w:rsidRDefault="00193B44" w:rsidP="00193B44">
      <w:pPr>
        <w:pStyle w:val="EndnoteText"/>
        <w:widowControl w:val="0"/>
        <w:tabs>
          <w:tab w:val="clear" w:pos="567"/>
        </w:tabs>
        <w:rPr>
          <w:color w:val="000000"/>
          <w:szCs w:val="22"/>
          <w:lang w:val="et-EE"/>
        </w:rPr>
      </w:pPr>
      <w:r w:rsidRPr="00EC3BD7">
        <w:rPr>
          <w:color w:val="000000"/>
          <w:szCs w:val="22"/>
          <w:lang w:val="et-EE"/>
        </w:rPr>
        <w:t>Ravi kestus. Kliinilistes uuringutes jätkati ravi Gliveciga kuni haiguse progresseerumiseni. Ei ole uuritud toimet, mis tekib ravi katkestamisel pärast täieliku tsütogeneetilise ravivastuse saavutamist.</w:t>
      </w:r>
    </w:p>
    <w:p w14:paraId="3A559A25" w14:textId="77777777" w:rsidR="00193B44" w:rsidRPr="00EC3BD7" w:rsidRDefault="00193B44" w:rsidP="00193B44">
      <w:pPr>
        <w:pStyle w:val="EndnoteText"/>
        <w:widowControl w:val="0"/>
        <w:tabs>
          <w:tab w:val="clear" w:pos="567"/>
        </w:tabs>
        <w:rPr>
          <w:color w:val="000000"/>
          <w:szCs w:val="22"/>
          <w:lang w:val="et-EE"/>
        </w:rPr>
      </w:pPr>
    </w:p>
    <w:p w14:paraId="01073DF5" w14:textId="77777777" w:rsidR="00193B44" w:rsidRPr="00EC3BD7" w:rsidRDefault="00193B44" w:rsidP="00193B44">
      <w:pPr>
        <w:pStyle w:val="EndnoteText"/>
        <w:widowControl w:val="0"/>
        <w:tabs>
          <w:tab w:val="clear" w:pos="567"/>
        </w:tabs>
        <w:rPr>
          <w:color w:val="000000"/>
          <w:szCs w:val="22"/>
          <w:lang w:val="et-EE"/>
        </w:rPr>
      </w:pPr>
      <w:r w:rsidRPr="00EC3BD7">
        <w:rPr>
          <w:color w:val="000000"/>
          <w:szCs w:val="22"/>
          <w:lang w:val="et-EE"/>
        </w:rPr>
        <w:t xml:space="preserve">Annuse suurendamist 400 mg-lt 600 mg-le või 800 mg-le kroonilises faasis patsientidel või 600 mg-lt </w:t>
      </w:r>
      <w:r w:rsidRPr="00EC3BD7">
        <w:rPr>
          <w:color w:val="000000"/>
          <w:szCs w:val="22"/>
          <w:lang w:val="et-EE"/>
        </w:rPr>
        <w:lastRenderedPageBreak/>
        <w:t>maksimaalselt 800 mg-le (manustatuna 400 mg kaks korda ööpäevas) aktseleratsioonifaasis või blastses kriisis patsientidel, kui puuduvad rasked kõrvaltoimed ja raske leukeemiaga mitteseotud neutropeenia või trombotsütopeenia, võib kaaluda järgmistel juhtudel: haiguse progresseerumine (igal ajal); rahuldava hematoloogilise vastuse puudumine pärast vähemalt kolm kuud kestnud ravi; tsütogeneetilise vastuse puudumine pärast 12</w:t>
      </w:r>
      <w:r w:rsidR="00F570D9" w:rsidRPr="00EC3BD7">
        <w:rPr>
          <w:color w:val="000000"/>
          <w:szCs w:val="22"/>
          <w:lang w:val="et-EE"/>
        </w:rPr>
        <w:noBreakHyphen/>
      </w:r>
      <w:r w:rsidRPr="00EC3BD7">
        <w:rPr>
          <w:color w:val="000000"/>
          <w:szCs w:val="22"/>
          <w:lang w:val="et-EE"/>
        </w:rPr>
        <w:t>kuulist ravi; varema saavutatud hematoloogilise ja/või tsütogeneetilise vastuse kadumine. Patsiente tuleb pärast annuse suurendamist hoolikalt jälgida, sest suuremate annustega võib suureneda kõrvaltoimete esinemissagedus.</w:t>
      </w:r>
    </w:p>
    <w:p w14:paraId="0DE0A28B" w14:textId="77777777" w:rsidR="00193B44" w:rsidRPr="00EC3BD7" w:rsidRDefault="00193B44" w:rsidP="00193B44">
      <w:pPr>
        <w:pStyle w:val="EndnoteText"/>
        <w:widowControl w:val="0"/>
        <w:tabs>
          <w:tab w:val="clear" w:pos="567"/>
        </w:tabs>
        <w:rPr>
          <w:color w:val="000000"/>
          <w:szCs w:val="22"/>
          <w:lang w:val="et-EE"/>
        </w:rPr>
      </w:pPr>
    </w:p>
    <w:p w14:paraId="7DC86D5C" w14:textId="77777777" w:rsidR="00193B44" w:rsidRPr="00EC3BD7" w:rsidRDefault="00193B44" w:rsidP="00B9089D">
      <w:pPr>
        <w:pStyle w:val="EndnoteText"/>
        <w:keepNext/>
        <w:widowControl w:val="0"/>
        <w:tabs>
          <w:tab w:val="clear" w:pos="567"/>
        </w:tabs>
        <w:rPr>
          <w:color w:val="000000"/>
          <w:szCs w:val="22"/>
          <w:u w:val="single"/>
          <w:lang w:val="et-EE"/>
        </w:rPr>
      </w:pPr>
      <w:r w:rsidRPr="00EC3BD7">
        <w:rPr>
          <w:color w:val="000000"/>
          <w:szCs w:val="22"/>
          <w:u w:val="single"/>
          <w:lang w:val="et-EE"/>
        </w:rPr>
        <w:t xml:space="preserve">Annustamine lastele </w:t>
      </w:r>
      <w:smartTag w:uri="urn:schemas-microsoft-com:office:smarttags" w:element="stockticker">
        <w:r w:rsidRPr="00EC3BD7">
          <w:rPr>
            <w:color w:val="000000"/>
            <w:szCs w:val="22"/>
            <w:u w:val="single"/>
            <w:lang w:val="et-EE"/>
          </w:rPr>
          <w:t>KML</w:t>
        </w:r>
      </w:smartTag>
      <w:r w:rsidRPr="00EC3BD7">
        <w:rPr>
          <w:color w:val="000000"/>
          <w:szCs w:val="22"/>
          <w:u w:val="single"/>
          <w:lang w:val="et-EE"/>
        </w:rPr>
        <w:t xml:space="preserve"> korral</w:t>
      </w:r>
    </w:p>
    <w:p w14:paraId="0D1856FA" w14:textId="77777777" w:rsidR="00193B44" w:rsidRPr="00EC3BD7" w:rsidRDefault="00193B44" w:rsidP="00193B44">
      <w:pPr>
        <w:pStyle w:val="EndnoteText"/>
        <w:widowControl w:val="0"/>
        <w:tabs>
          <w:tab w:val="clear" w:pos="567"/>
        </w:tabs>
        <w:rPr>
          <w:color w:val="000000"/>
          <w:szCs w:val="22"/>
          <w:lang w:val="et-EE"/>
        </w:rPr>
      </w:pPr>
      <w:r w:rsidRPr="00EC3BD7">
        <w:rPr>
          <w:color w:val="000000"/>
          <w:szCs w:val="22"/>
          <w:lang w:val="et-EE"/>
        </w:rPr>
        <w:t>Lastel tuleb annustamise aluseks võtta keha pindala (mg/m</w:t>
      </w:r>
      <w:r w:rsidRPr="00EC3BD7">
        <w:rPr>
          <w:color w:val="000000"/>
          <w:szCs w:val="22"/>
          <w:vertAlign w:val="superscript"/>
          <w:lang w:val="et-EE"/>
        </w:rPr>
        <w:t>2</w:t>
      </w:r>
      <w:r w:rsidRPr="00EC3BD7">
        <w:rPr>
          <w:color w:val="000000"/>
          <w:szCs w:val="22"/>
          <w:lang w:val="et-EE"/>
        </w:rPr>
        <w:t xml:space="preserve">). Kroonilises faasis ja kaugelearenenud </w:t>
      </w:r>
      <w:smartTag w:uri="urn:schemas-microsoft-com:office:smarttags" w:element="stockticker">
        <w:r w:rsidRPr="00EC3BD7">
          <w:rPr>
            <w:color w:val="000000"/>
            <w:szCs w:val="22"/>
            <w:lang w:val="et-EE"/>
          </w:rPr>
          <w:t>KML</w:t>
        </w:r>
      </w:smartTag>
      <w:r w:rsidRPr="00EC3BD7">
        <w:rPr>
          <w:color w:val="000000"/>
          <w:szCs w:val="22"/>
          <w:lang w:val="et-EE"/>
        </w:rPr>
        <w:t xml:space="preserve"> korral soovitatakse lastele annust 340 mg/m</w:t>
      </w:r>
      <w:r w:rsidRPr="00EC3BD7">
        <w:rPr>
          <w:color w:val="000000"/>
          <w:szCs w:val="22"/>
          <w:vertAlign w:val="superscript"/>
          <w:lang w:val="et-EE"/>
        </w:rPr>
        <w:t>2</w:t>
      </w:r>
      <w:r w:rsidRPr="00EC3BD7">
        <w:rPr>
          <w:color w:val="000000"/>
          <w:szCs w:val="22"/>
          <w:lang w:val="et-EE"/>
        </w:rPr>
        <w:t xml:space="preserve"> ööpäevas (koguannus ei tohi ületada 800 mg). Ravimit antakse kas ühekordse ööpäevase annusena või jagatakse ööpäevane annus kahele manustamiskorrale –hommikul ja õhtul. Soovitatavad annused põhinevad praegusel ajal väikesel arvul pediaatrilistel patsientidel (vt lõigud</w:t>
      </w:r>
      <w:r w:rsidR="00F570D9" w:rsidRPr="00EC3BD7">
        <w:rPr>
          <w:color w:val="000000"/>
          <w:szCs w:val="22"/>
          <w:lang w:val="et-EE"/>
        </w:rPr>
        <w:t> </w:t>
      </w:r>
      <w:r w:rsidRPr="00EC3BD7">
        <w:rPr>
          <w:color w:val="000000"/>
          <w:szCs w:val="22"/>
          <w:lang w:val="et-EE"/>
        </w:rPr>
        <w:t>5.1 ja 5.2). Puuduvad kogemused alla 2-aastaste laste raviks.</w:t>
      </w:r>
    </w:p>
    <w:p w14:paraId="79CD69F1" w14:textId="77777777" w:rsidR="00193B44" w:rsidRPr="00EC3BD7" w:rsidRDefault="00193B44" w:rsidP="00193B44">
      <w:pPr>
        <w:pStyle w:val="EndnoteText"/>
        <w:widowControl w:val="0"/>
        <w:tabs>
          <w:tab w:val="clear" w:pos="567"/>
        </w:tabs>
        <w:rPr>
          <w:color w:val="000000"/>
          <w:szCs w:val="22"/>
          <w:lang w:val="et-EE"/>
        </w:rPr>
      </w:pPr>
    </w:p>
    <w:p w14:paraId="58663A6F" w14:textId="77777777" w:rsidR="00193B44" w:rsidRPr="00EC3BD7" w:rsidRDefault="00193B44" w:rsidP="00193B44">
      <w:pPr>
        <w:pStyle w:val="EndnoteText"/>
        <w:widowControl w:val="0"/>
        <w:tabs>
          <w:tab w:val="clear" w:pos="567"/>
        </w:tabs>
        <w:rPr>
          <w:color w:val="000000"/>
          <w:szCs w:val="22"/>
          <w:lang w:val="et-EE"/>
        </w:rPr>
      </w:pPr>
      <w:r w:rsidRPr="00EC3BD7">
        <w:rPr>
          <w:color w:val="000000"/>
          <w:szCs w:val="22"/>
          <w:lang w:val="et-EE"/>
        </w:rPr>
        <w:t>Ööpäevase annuse 340 mg/m</w:t>
      </w:r>
      <w:r w:rsidRPr="00EC3BD7">
        <w:rPr>
          <w:color w:val="000000"/>
          <w:szCs w:val="22"/>
          <w:vertAlign w:val="superscript"/>
          <w:lang w:val="et-EE"/>
        </w:rPr>
        <w:t>2</w:t>
      </w:r>
      <w:r w:rsidRPr="00EC3BD7">
        <w:rPr>
          <w:color w:val="000000"/>
          <w:szCs w:val="22"/>
          <w:lang w:val="et-EE"/>
        </w:rPr>
        <w:t xml:space="preserve"> suurendamine kuni annuseni 570 mg/m</w:t>
      </w:r>
      <w:r w:rsidRPr="00EC3BD7">
        <w:rPr>
          <w:color w:val="000000"/>
          <w:szCs w:val="22"/>
          <w:vertAlign w:val="superscript"/>
          <w:lang w:val="et-EE"/>
        </w:rPr>
        <w:t>2</w:t>
      </w:r>
      <w:r w:rsidRPr="00EC3BD7">
        <w:rPr>
          <w:color w:val="000000"/>
          <w:szCs w:val="22"/>
          <w:lang w:val="et-EE"/>
        </w:rPr>
        <w:t xml:space="preserve"> (mitte ületada annust 800 mg) võib kaaluda lastel, kui puuduvad rasked kõrvaltoimed ja raske leukeemiaga mitteseotud neutropeenia või trombotsütopeenia, järgmistel juhtudel: haiguse progresseerumine (igal ajal); rahuldava hematoloogilise vastuse puudumine pärast vähemalt kolm kuud kestnud ravi; tsütogeneetilise vastuse puudumine pärast 12</w:t>
      </w:r>
      <w:r w:rsidR="00F570D9" w:rsidRPr="00EC3BD7">
        <w:rPr>
          <w:color w:val="000000"/>
          <w:szCs w:val="22"/>
          <w:lang w:val="et-EE"/>
        </w:rPr>
        <w:noBreakHyphen/>
      </w:r>
      <w:r w:rsidRPr="00EC3BD7">
        <w:rPr>
          <w:color w:val="000000"/>
          <w:szCs w:val="22"/>
          <w:lang w:val="et-EE"/>
        </w:rPr>
        <w:t>kuulist ravi või eelneva raviga saavutatud hematoloogilise ja/või tsütogeneetilise vastuse kadumine. Patsiente tuleb pärast annuse suurendamist hoolikalt jälgida, sest suuremate annustega võib suureneda kõrvaltoimete esinemissagedus.</w:t>
      </w:r>
    </w:p>
    <w:p w14:paraId="64DCA623" w14:textId="77777777" w:rsidR="00193B44" w:rsidRPr="00EC3BD7" w:rsidRDefault="00193B44" w:rsidP="00193B44">
      <w:pPr>
        <w:pStyle w:val="EndnoteText"/>
        <w:widowControl w:val="0"/>
        <w:tabs>
          <w:tab w:val="clear" w:pos="567"/>
        </w:tabs>
        <w:rPr>
          <w:color w:val="000000"/>
          <w:szCs w:val="22"/>
          <w:lang w:val="et-EE"/>
        </w:rPr>
      </w:pPr>
    </w:p>
    <w:p w14:paraId="7FDE898B" w14:textId="77777777" w:rsidR="00193B44" w:rsidRPr="00EC3BD7" w:rsidRDefault="00193B44" w:rsidP="00B9089D">
      <w:pPr>
        <w:pStyle w:val="EndnoteText"/>
        <w:keepNext/>
        <w:widowControl w:val="0"/>
        <w:tabs>
          <w:tab w:val="clear" w:pos="567"/>
        </w:tabs>
        <w:rPr>
          <w:color w:val="000000"/>
          <w:szCs w:val="22"/>
          <w:lang w:val="et-EE"/>
        </w:rPr>
      </w:pPr>
      <w:r w:rsidRPr="00EC3BD7">
        <w:rPr>
          <w:color w:val="000000"/>
          <w:szCs w:val="22"/>
          <w:u w:val="single"/>
          <w:lang w:val="et-EE"/>
        </w:rPr>
        <w:t xml:space="preserve">Annustamine </w:t>
      </w:r>
      <w:r w:rsidR="00F92E97" w:rsidRPr="00EC3BD7">
        <w:rPr>
          <w:color w:val="000000"/>
          <w:szCs w:val="22"/>
          <w:u w:val="single"/>
          <w:lang w:val="et-EE"/>
        </w:rPr>
        <w:t xml:space="preserve">täiskasvanutele </w:t>
      </w:r>
      <w:r w:rsidRPr="00EC3BD7">
        <w:rPr>
          <w:color w:val="000000"/>
          <w:szCs w:val="22"/>
          <w:u w:val="single"/>
          <w:lang w:val="et-EE"/>
        </w:rPr>
        <w:t>Ph+ </w:t>
      </w:r>
      <w:smartTag w:uri="urn:schemas-microsoft-com:office:smarttags" w:element="stockticker">
        <w:r w:rsidRPr="00EC3BD7">
          <w:rPr>
            <w:color w:val="000000"/>
            <w:szCs w:val="22"/>
            <w:u w:val="single"/>
            <w:lang w:val="et-EE"/>
          </w:rPr>
          <w:t>ALL</w:t>
        </w:r>
      </w:smartTag>
      <w:r w:rsidRPr="00EC3BD7">
        <w:rPr>
          <w:color w:val="000000"/>
          <w:szCs w:val="22"/>
          <w:u w:val="single"/>
          <w:lang w:val="et-EE"/>
        </w:rPr>
        <w:t xml:space="preserve"> korral</w:t>
      </w:r>
    </w:p>
    <w:p w14:paraId="174F8ADE" w14:textId="2CF8E839" w:rsidR="00193B44" w:rsidRPr="00EC3BD7" w:rsidRDefault="00193B44" w:rsidP="00193B44">
      <w:pPr>
        <w:pStyle w:val="EndnoteText"/>
        <w:widowControl w:val="0"/>
        <w:tabs>
          <w:tab w:val="clear" w:pos="567"/>
        </w:tabs>
        <w:rPr>
          <w:color w:val="000000"/>
          <w:szCs w:val="22"/>
          <w:lang w:val="et-EE"/>
        </w:rPr>
      </w:pPr>
      <w:r w:rsidRPr="00EC3BD7">
        <w:rPr>
          <w:color w:val="000000"/>
          <w:szCs w:val="22"/>
          <w:lang w:val="et-EE"/>
        </w:rPr>
        <w:t>Gliveci soovitatav annus Ph+ </w:t>
      </w:r>
      <w:smartTag w:uri="urn:schemas-microsoft-com:office:smarttags" w:element="stockticker">
        <w:r w:rsidRPr="00EC3BD7">
          <w:rPr>
            <w:color w:val="000000"/>
            <w:szCs w:val="22"/>
            <w:lang w:val="et-EE"/>
          </w:rPr>
          <w:t>ALL</w:t>
        </w:r>
        <w:r w:rsidR="002E0C83">
          <w:rPr>
            <w:color w:val="000000"/>
            <w:szCs w:val="22"/>
            <w:lang w:val="et-EE"/>
          </w:rPr>
          <w:t>-i</w:t>
        </w:r>
      </w:smartTag>
      <w:r w:rsidRPr="00EC3BD7">
        <w:rPr>
          <w:color w:val="000000"/>
          <w:szCs w:val="22"/>
          <w:lang w:val="et-EE"/>
        </w:rPr>
        <w:t xml:space="preserve"> </w:t>
      </w:r>
      <w:r w:rsidR="00D21056" w:rsidRPr="00EC3BD7">
        <w:rPr>
          <w:color w:val="000000"/>
          <w:szCs w:val="22"/>
          <w:lang w:val="et-EE"/>
        </w:rPr>
        <w:t xml:space="preserve">täiskasvanud </w:t>
      </w:r>
      <w:r w:rsidRPr="00EC3BD7">
        <w:rPr>
          <w:color w:val="000000"/>
          <w:szCs w:val="22"/>
          <w:lang w:val="et-EE"/>
        </w:rPr>
        <w:t>patsientidel on 600 mg/ööpäevas. Ravi peab selle kõigis etappides juhtima hematoloog, kellel on kogemused nimetatud haiguse käsitluse alal.</w:t>
      </w:r>
    </w:p>
    <w:p w14:paraId="618F1361" w14:textId="77777777" w:rsidR="00193B44" w:rsidRPr="00EC3BD7" w:rsidRDefault="00193B44" w:rsidP="00193B44">
      <w:pPr>
        <w:pStyle w:val="EndnoteText"/>
        <w:widowControl w:val="0"/>
        <w:tabs>
          <w:tab w:val="clear" w:pos="567"/>
        </w:tabs>
        <w:rPr>
          <w:color w:val="000000"/>
          <w:szCs w:val="22"/>
          <w:lang w:val="et-EE"/>
        </w:rPr>
      </w:pPr>
    </w:p>
    <w:p w14:paraId="48E75AF0" w14:textId="77777777" w:rsidR="00193B44" w:rsidRPr="00EC3BD7" w:rsidRDefault="00193B44" w:rsidP="00193B44">
      <w:pPr>
        <w:pStyle w:val="EndnoteText"/>
        <w:widowControl w:val="0"/>
        <w:tabs>
          <w:tab w:val="clear" w:pos="567"/>
        </w:tabs>
        <w:rPr>
          <w:color w:val="000000"/>
          <w:szCs w:val="22"/>
          <w:lang w:val="et-EE"/>
        </w:rPr>
      </w:pPr>
      <w:r w:rsidRPr="00EC3BD7">
        <w:rPr>
          <w:color w:val="000000"/>
          <w:szCs w:val="22"/>
          <w:lang w:val="et-EE"/>
        </w:rPr>
        <w:t>Raviskeem: praeguste andmete kohaselt on Glivec annuses 600 mg/ööpäevas osutunud efektiivseks ja ohutuks värskelt diagnoositud Ph+ ägeda lümfoidse leukeemiaga (Ph+ </w:t>
      </w:r>
      <w:smartTag w:uri="urn:schemas-microsoft-com:office:smarttags" w:element="stockticker">
        <w:r w:rsidRPr="00EC3BD7">
          <w:rPr>
            <w:color w:val="000000"/>
            <w:szCs w:val="22"/>
            <w:lang w:val="et-EE"/>
          </w:rPr>
          <w:t>ALL</w:t>
        </w:r>
      </w:smartTag>
      <w:r w:rsidRPr="00EC3BD7">
        <w:rPr>
          <w:color w:val="000000"/>
          <w:szCs w:val="22"/>
          <w:lang w:val="et-EE"/>
        </w:rPr>
        <w:t>) täiskasvanud patsientide ravis kombinatsioonis kemoteraapiaga ravi induktsiooni-, konsolidatsiooni- ja säilitusfaasis (vt lõik</w:t>
      </w:r>
      <w:r w:rsidR="00F570D9" w:rsidRPr="00EC3BD7">
        <w:rPr>
          <w:color w:val="000000"/>
          <w:szCs w:val="22"/>
          <w:lang w:val="et-EE"/>
        </w:rPr>
        <w:t> </w:t>
      </w:r>
      <w:r w:rsidRPr="00EC3BD7">
        <w:rPr>
          <w:color w:val="000000"/>
          <w:szCs w:val="22"/>
          <w:lang w:val="et-EE"/>
        </w:rPr>
        <w:t>5.1). Glivec-ravi kestus võib varieeruda sõltuvalt valitud skeemist, kuid üldjuhul on pikemaajalisem Gliveci manustamine andnud paremaid tulemusi.</w:t>
      </w:r>
    </w:p>
    <w:p w14:paraId="6E9875D6" w14:textId="77777777" w:rsidR="00193B44" w:rsidRPr="00EC3BD7" w:rsidRDefault="00193B44" w:rsidP="00193B44">
      <w:pPr>
        <w:pStyle w:val="EndnoteText"/>
        <w:widowControl w:val="0"/>
        <w:tabs>
          <w:tab w:val="clear" w:pos="567"/>
        </w:tabs>
        <w:rPr>
          <w:color w:val="000000"/>
          <w:szCs w:val="22"/>
          <w:lang w:val="et-EE"/>
        </w:rPr>
      </w:pPr>
    </w:p>
    <w:p w14:paraId="69ED8BF9" w14:textId="77777777" w:rsidR="00193B44" w:rsidRPr="00EC3BD7" w:rsidRDefault="00193B44" w:rsidP="00193B44">
      <w:pPr>
        <w:pStyle w:val="EndnoteText"/>
        <w:widowControl w:val="0"/>
        <w:tabs>
          <w:tab w:val="clear" w:pos="567"/>
        </w:tabs>
        <w:rPr>
          <w:color w:val="000000"/>
          <w:szCs w:val="22"/>
          <w:lang w:val="et-EE"/>
        </w:rPr>
      </w:pPr>
      <w:r w:rsidRPr="00EC3BD7">
        <w:rPr>
          <w:color w:val="000000"/>
          <w:szCs w:val="22"/>
          <w:lang w:val="et-EE"/>
        </w:rPr>
        <w:t>Retsidiveeruva või raviresistentse Ph+ </w:t>
      </w:r>
      <w:smartTag w:uri="urn:schemas-microsoft-com:office:smarttags" w:element="stockticker">
        <w:r w:rsidRPr="00EC3BD7">
          <w:rPr>
            <w:color w:val="000000"/>
            <w:szCs w:val="22"/>
            <w:lang w:val="et-EE"/>
          </w:rPr>
          <w:t>ALL</w:t>
        </w:r>
      </w:smartTag>
      <w:r w:rsidRPr="00EC3BD7">
        <w:rPr>
          <w:color w:val="000000"/>
          <w:szCs w:val="22"/>
          <w:lang w:val="et-EE"/>
        </w:rPr>
        <w:t xml:space="preserve"> puhul täiskasvanud patsientidel on monoteraapia Gliveciga annuses 600 mg/ööpäevas ohutu ja efektiivne ning kasutatav kuni haiguse progresseerumiseni.</w:t>
      </w:r>
    </w:p>
    <w:p w14:paraId="591FCBC3" w14:textId="77777777" w:rsidR="00F92E97" w:rsidRPr="00EC3BD7" w:rsidRDefault="00F92E97" w:rsidP="00F92E97">
      <w:pPr>
        <w:pStyle w:val="EndnoteText"/>
        <w:widowControl w:val="0"/>
        <w:tabs>
          <w:tab w:val="clear" w:pos="567"/>
        </w:tabs>
        <w:rPr>
          <w:color w:val="000000"/>
          <w:szCs w:val="22"/>
          <w:u w:val="single"/>
          <w:lang w:val="et-EE"/>
        </w:rPr>
      </w:pPr>
    </w:p>
    <w:p w14:paraId="33D8DECB" w14:textId="77777777" w:rsidR="00F92E97" w:rsidRPr="00EC3BD7" w:rsidRDefault="00F92E97" w:rsidP="00B9089D">
      <w:pPr>
        <w:pStyle w:val="EndnoteText"/>
        <w:keepNext/>
        <w:widowControl w:val="0"/>
        <w:tabs>
          <w:tab w:val="clear" w:pos="567"/>
        </w:tabs>
        <w:rPr>
          <w:color w:val="000000"/>
          <w:szCs w:val="22"/>
          <w:u w:val="single"/>
          <w:lang w:val="et-EE"/>
        </w:rPr>
      </w:pPr>
      <w:r w:rsidRPr="00EC3BD7">
        <w:rPr>
          <w:color w:val="000000"/>
          <w:szCs w:val="22"/>
          <w:u w:val="single"/>
          <w:lang w:val="et-EE"/>
        </w:rPr>
        <w:t>Annustamine lastele Ph+ </w:t>
      </w:r>
      <w:smartTag w:uri="urn:schemas-microsoft-com:office:smarttags" w:element="stockticker">
        <w:r w:rsidRPr="00EC3BD7">
          <w:rPr>
            <w:color w:val="000000"/>
            <w:szCs w:val="22"/>
            <w:u w:val="single"/>
            <w:lang w:val="et-EE"/>
          </w:rPr>
          <w:t>ALL</w:t>
        </w:r>
      </w:smartTag>
      <w:r w:rsidRPr="00EC3BD7">
        <w:rPr>
          <w:color w:val="000000"/>
          <w:szCs w:val="22"/>
          <w:u w:val="single"/>
          <w:lang w:val="et-EE"/>
        </w:rPr>
        <w:t xml:space="preserve"> korral</w:t>
      </w:r>
    </w:p>
    <w:p w14:paraId="21E7DB41" w14:textId="77777777" w:rsidR="00F92E97" w:rsidRPr="00EC3BD7" w:rsidRDefault="00F92E97" w:rsidP="00F92E97">
      <w:pPr>
        <w:pStyle w:val="EndnoteText"/>
        <w:widowControl w:val="0"/>
        <w:tabs>
          <w:tab w:val="clear" w:pos="567"/>
        </w:tabs>
        <w:rPr>
          <w:color w:val="000000"/>
          <w:szCs w:val="22"/>
          <w:lang w:val="et-EE"/>
        </w:rPr>
      </w:pPr>
      <w:r w:rsidRPr="00EC3BD7">
        <w:rPr>
          <w:color w:val="000000"/>
          <w:szCs w:val="22"/>
          <w:lang w:val="et-EE"/>
        </w:rPr>
        <w:t>Lastel tuleb annustamise aluseks võtta kehapindala (mg/m</w:t>
      </w:r>
      <w:r w:rsidRPr="00EC3BD7">
        <w:rPr>
          <w:color w:val="000000"/>
          <w:szCs w:val="22"/>
          <w:vertAlign w:val="superscript"/>
          <w:lang w:val="et-EE"/>
        </w:rPr>
        <w:t>2</w:t>
      </w:r>
      <w:r w:rsidRPr="00EC3BD7">
        <w:rPr>
          <w:color w:val="000000"/>
          <w:szCs w:val="22"/>
          <w:lang w:val="et-EE"/>
        </w:rPr>
        <w:t>). Ph+ ALL korral soovitatakse lastele annust 340 mg/m</w:t>
      </w:r>
      <w:r w:rsidRPr="00EC3BD7">
        <w:rPr>
          <w:color w:val="000000"/>
          <w:szCs w:val="22"/>
          <w:vertAlign w:val="superscript"/>
          <w:lang w:val="et-EE"/>
        </w:rPr>
        <w:t>2</w:t>
      </w:r>
      <w:r w:rsidRPr="00EC3BD7">
        <w:rPr>
          <w:color w:val="000000"/>
          <w:szCs w:val="22"/>
          <w:lang w:val="et-EE"/>
        </w:rPr>
        <w:t xml:space="preserve"> ööpäevas (koguannus ei tohi ületada 600 mg).</w:t>
      </w:r>
    </w:p>
    <w:p w14:paraId="56D3075B" w14:textId="77777777" w:rsidR="00193B44" w:rsidRPr="00EC3BD7" w:rsidRDefault="00193B44" w:rsidP="00193B44">
      <w:pPr>
        <w:pStyle w:val="EndnoteText"/>
        <w:widowControl w:val="0"/>
        <w:tabs>
          <w:tab w:val="clear" w:pos="567"/>
        </w:tabs>
        <w:rPr>
          <w:color w:val="000000"/>
          <w:szCs w:val="22"/>
          <w:lang w:val="et-EE"/>
        </w:rPr>
      </w:pPr>
    </w:p>
    <w:p w14:paraId="78CE177B" w14:textId="77777777" w:rsidR="00193B44" w:rsidRPr="00EC3BD7" w:rsidRDefault="00193B44" w:rsidP="00B9089D">
      <w:pPr>
        <w:pStyle w:val="EndnoteText"/>
        <w:keepNext/>
        <w:widowControl w:val="0"/>
        <w:tabs>
          <w:tab w:val="clear" w:pos="567"/>
        </w:tabs>
        <w:rPr>
          <w:color w:val="000000"/>
          <w:szCs w:val="22"/>
          <w:lang w:val="et-EE"/>
        </w:rPr>
      </w:pPr>
      <w:r w:rsidRPr="00EC3BD7">
        <w:rPr>
          <w:color w:val="000000"/>
          <w:szCs w:val="22"/>
          <w:u w:val="single"/>
          <w:lang w:val="et-EE"/>
        </w:rPr>
        <w:t xml:space="preserve">Annustamine </w:t>
      </w:r>
      <w:smartTag w:uri="urn:schemas-microsoft-com:office:smarttags" w:element="stockticker">
        <w:r w:rsidRPr="00EC3BD7">
          <w:rPr>
            <w:color w:val="000000"/>
            <w:szCs w:val="22"/>
            <w:u w:val="single"/>
            <w:lang w:val="et-EE"/>
          </w:rPr>
          <w:t>MDS</w:t>
        </w:r>
      </w:smartTag>
      <w:r w:rsidRPr="00EC3BD7">
        <w:rPr>
          <w:color w:val="000000"/>
          <w:szCs w:val="22"/>
          <w:u w:val="single"/>
          <w:lang w:val="et-EE"/>
        </w:rPr>
        <w:t>/MPD korral</w:t>
      </w:r>
    </w:p>
    <w:p w14:paraId="1567B954" w14:textId="395FFA18" w:rsidR="00193B44" w:rsidRPr="00EC3BD7" w:rsidRDefault="00193B44" w:rsidP="00193B44">
      <w:pPr>
        <w:pStyle w:val="EndnoteText"/>
        <w:widowControl w:val="0"/>
        <w:tabs>
          <w:tab w:val="clear" w:pos="567"/>
        </w:tabs>
        <w:rPr>
          <w:color w:val="000000"/>
          <w:szCs w:val="22"/>
          <w:lang w:val="et-EE"/>
        </w:rPr>
      </w:pPr>
      <w:r w:rsidRPr="00EC3BD7">
        <w:rPr>
          <w:color w:val="000000"/>
          <w:szCs w:val="22"/>
          <w:lang w:val="et-EE"/>
        </w:rPr>
        <w:t xml:space="preserve">Gliveci soovitatav annus </w:t>
      </w:r>
      <w:smartTag w:uri="urn:schemas-microsoft-com:office:smarttags" w:element="stockticker">
        <w:r w:rsidRPr="00EC3BD7">
          <w:rPr>
            <w:color w:val="000000"/>
            <w:szCs w:val="22"/>
            <w:lang w:val="et-EE"/>
          </w:rPr>
          <w:t>MDS</w:t>
        </w:r>
      </w:smartTag>
      <w:r w:rsidRPr="00EC3BD7">
        <w:rPr>
          <w:color w:val="000000"/>
          <w:szCs w:val="22"/>
          <w:lang w:val="et-EE"/>
        </w:rPr>
        <w:t xml:space="preserve">/MPD </w:t>
      </w:r>
      <w:r w:rsidR="00320FA3" w:rsidRPr="00EC3BD7">
        <w:rPr>
          <w:color w:val="000000"/>
          <w:szCs w:val="22"/>
          <w:lang w:val="et-EE"/>
        </w:rPr>
        <w:t xml:space="preserve">täiskasvanud </w:t>
      </w:r>
      <w:r w:rsidRPr="00EC3BD7">
        <w:rPr>
          <w:color w:val="000000"/>
          <w:szCs w:val="22"/>
          <w:lang w:val="et-EE"/>
        </w:rPr>
        <w:t>patsientidel on 400 mg/ööpäevas.</w:t>
      </w:r>
    </w:p>
    <w:p w14:paraId="473D97DE" w14:textId="77777777" w:rsidR="00193B44" w:rsidRPr="00EC3BD7" w:rsidRDefault="00193B44" w:rsidP="00193B44">
      <w:pPr>
        <w:pStyle w:val="EndnoteText"/>
        <w:widowControl w:val="0"/>
        <w:tabs>
          <w:tab w:val="clear" w:pos="567"/>
        </w:tabs>
        <w:rPr>
          <w:color w:val="000000"/>
          <w:szCs w:val="22"/>
          <w:lang w:val="et-EE"/>
        </w:rPr>
      </w:pPr>
    </w:p>
    <w:p w14:paraId="20F7FD03" w14:textId="240D11BE" w:rsidR="00193B44" w:rsidRPr="00EC3BD7" w:rsidRDefault="00193B44" w:rsidP="00193B44">
      <w:pPr>
        <w:pStyle w:val="EndnoteText"/>
        <w:widowControl w:val="0"/>
        <w:tabs>
          <w:tab w:val="clear" w:pos="567"/>
        </w:tabs>
        <w:rPr>
          <w:color w:val="000000"/>
          <w:szCs w:val="22"/>
          <w:lang w:val="et-EE"/>
        </w:rPr>
      </w:pPr>
      <w:r w:rsidRPr="00EC3BD7">
        <w:rPr>
          <w:color w:val="000000"/>
          <w:szCs w:val="22"/>
          <w:lang w:val="et-EE"/>
        </w:rPr>
        <w:t>Ravi kestus: praeguseks ainukeses kliinilises uuringus jätkati ravi Gliveciga kuni haiguse progresseerumiseni (vt lõik</w:t>
      </w:r>
      <w:r w:rsidR="00F570D9" w:rsidRPr="00EC3BD7">
        <w:rPr>
          <w:color w:val="000000"/>
          <w:szCs w:val="22"/>
          <w:lang w:val="et-EE"/>
        </w:rPr>
        <w:t> </w:t>
      </w:r>
      <w:r w:rsidRPr="00EC3BD7">
        <w:rPr>
          <w:color w:val="000000"/>
          <w:szCs w:val="22"/>
          <w:lang w:val="et-EE"/>
        </w:rPr>
        <w:t>5.1). Andmete analüüsi ajaks oli ravi kestnud keskmiselt 47 kuud (24 päeva kuni 60 kuud).</w:t>
      </w:r>
    </w:p>
    <w:p w14:paraId="64B21C00" w14:textId="77777777" w:rsidR="00193B44" w:rsidRPr="00EC3BD7" w:rsidRDefault="00193B44" w:rsidP="00193B44">
      <w:pPr>
        <w:pStyle w:val="EndnoteText"/>
        <w:widowControl w:val="0"/>
        <w:tabs>
          <w:tab w:val="clear" w:pos="567"/>
        </w:tabs>
        <w:rPr>
          <w:color w:val="000000"/>
          <w:szCs w:val="22"/>
          <w:lang w:val="et-EE"/>
        </w:rPr>
      </w:pPr>
    </w:p>
    <w:p w14:paraId="1FE929E2" w14:textId="77777777" w:rsidR="00193B44" w:rsidRPr="00EC3BD7" w:rsidRDefault="00193B44" w:rsidP="00B9089D">
      <w:pPr>
        <w:pStyle w:val="EndnoteText"/>
        <w:keepNext/>
        <w:widowControl w:val="0"/>
        <w:tabs>
          <w:tab w:val="clear" w:pos="567"/>
        </w:tabs>
        <w:rPr>
          <w:color w:val="000000"/>
          <w:szCs w:val="22"/>
          <w:u w:val="single"/>
          <w:lang w:val="et-EE"/>
        </w:rPr>
      </w:pPr>
      <w:r w:rsidRPr="00EC3BD7">
        <w:rPr>
          <w:color w:val="000000"/>
          <w:szCs w:val="22"/>
          <w:u w:val="single"/>
          <w:lang w:val="et-EE"/>
        </w:rPr>
        <w:t>Annustamine HES/KEL korral</w:t>
      </w:r>
    </w:p>
    <w:p w14:paraId="4EF87C92" w14:textId="77777777" w:rsidR="00193B44" w:rsidRPr="00EC3BD7" w:rsidRDefault="00193B44" w:rsidP="00193B44">
      <w:pPr>
        <w:pStyle w:val="Text"/>
        <w:spacing w:before="0"/>
        <w:jc w:val="left"/>
        <w:rPr>
          <w:color w:val="000000"/>
          <w:sz w:val="22"/>
          <w:szCs w:val="22"/>
          <w:lang w:val="et-EE"/>
        </w:rPr>
      </w:pPr>
      <w:r w:rsidRPr="00EC3BD7">
        <w:rPr>
          <w:color w:val="000000"/>
          <w:sz w:val="22"/>
          <w:szCs w:val="22"/>
          <w:lang w:val="et-EE"/>
        </w:rPr>
        <w:t xml:space="preserve">HES/KEL puhul on Gliveci soovitatav ööpäevane annus </w:t>
      </w:r>
      <w:r w:rsidR="00D109A4" w:rsidRPr="00EC3BD7">
        <w:rPr>
          <w:color w:val="000000"/>
          <w:sz w:val="22"/>
          <w:szCs w:val="22"/>
          <w:lang w:val="et-EE"/>
        </w:rPr>
        <w:t xml:space="preserve">täiskasvanud patsientidel </w:t>
      </w:r>
      <w:r w:rsidRPr="00EC3BD7">
        <w:rPr>
          <w:color w:val="000000"/>
          <w:sz w:val="22"/>
          <w:szCs w:val="22"/>
          <w:lang w:val="et-EE"/>
        </w:rPr>
        <w:t>100 mg.</w:t>
      </w:r>
    </w:p>
    <w:p w14:paraId="2DCFD318" w14:textId="77777777" w:rsidR="00193B44" w:rsidRPr="00EC3BD7" w:rsidRDefault="00193B44" w:rsidP="00193B44">
      <w:pPr>
        <w:pStyle w:val="Text"/>
        <w:spacing w:before="0"/>
        <w:jc w:val="left"/>
        <w:rPr>
          <w:color w:val="000000"/>
          <w:sz w:val="22"/>
          <w:szCs w:val="22"/>
          <w:lang w:val="et-EE"/>
        </w:rPr>
      </w:pPr>
    </w:p>
    <w:p w14:paraId="18E20255" w14:textId="77777777" w:rsidR="00193B44" w:rsidRPr="00EC3BD7" w:rsidRDefault="00193B44" w:rsidP="00193B44">
      <w:pPr>
        <w:pStyle w:val="Text"/>
        <w:spacing w:before="0"/>
        <w:jc w:val="left"/>
        <w:rPr>
          <w:color w:val="000000"/>
          <w:sz w:val="22"/>
          <w:szCs w:val="22"/>
          <w:lang w:val="et-EE"/>
        </w:rPr>
      </w:pPr>
      <w:r w:rsidRPr="00EC3BD7">
        <w:rPr>
          <w:color w:val="000000"/>
          <w:sz w:val="22"/>
          <w:szCs w:val="22"/>
          <w:lang w:val="et-EE"/>
        </w:rPr>
        <w:t>Annuse suurendamist 100 mg-st kuni 400 mg-ni võib kaaluda, kui ilmneb ebapiisav ravivastus ja puuduvad ravimi kõrvaltoimed.</w:t>
      </w:r>
    </w:p>
    <w:p w14:paraId="31803CB7" w14:textId="77777777" w:rsidR="00193B44" w:rsidRPr="00EC3BD7" w:rsidRDefault="00193B44" w:rsidP="00193B44">
      <w:pPr>
        <w:pStyle w:val="Text"/>
        <w:spacing w:before="0"/>
        <w:jc w:val="left"/>
        <w:rPr>
          <w:color w:val="000000"/>
          <w:sz w:val="22"/>
          <w:szCs w:val="22"/>
          <w:lang w:val="et-EE"/>
        </w:rPr>
      </w:pPr>
    </w:p>
    <w:p w14:paraId="1FA5F70C" w14:textId="77777777" w:rsidR="00193B44" w:rsidRPr="00EC3BD7" w:rsidRDefault="00193B44" w:rsidP="00193B44">
      <w:pPr>
        <w:pStyle w:val="Text"/>
        <w:spacing w:before="0"/>
        <w:jc w:val="left"/>
        <w:rPr>
          <w:color w:val="000000"/>
          <w:sz w:val="22"/>
          <w:szCs w:val="22"/>
          <w:lang w:val="et-EE"/>
        </w:rPr>
      </w:pPr>
      <w:r w:rsidRPr="00EC3BD7">
        <w:rPr>
          <w:color w:val="000000"/>
          <w:sz w:val="22"/>
          <w:szCs w:val="22"/>
          <w:lang w:val="et-EE"/>
        </w:rPr>
        <w:t>Ravi tuleb jätkata senikaua, kuni patsient saab ravist kasu.</w:t>
      </w:r>
    </w:p>
    <w:p w14:paraId="3D035489" w14:textId="77777777" w:rsidR="00193B44" w:rsidRPr="00EC3BD7" w:rsidRDefault="00193B44" w:rsidP="00193B44">
      <w:pPr>
        <w:pStyle w:val="EndnoteText"/>
        <w:widowControl w:val="0"/>
        <w:tabs>
          <w:tab w:val="clear" w:pos="567"/>
        </w:tabs>
        <w:rPr>
          <w:color w:val="000000"/>
          <w:szCs w:val="22"/>
          <w:lang w:val="et-EE"/>
        </w:rPr>
      </w:pPr>
    </w:p>
    <w:p w14:paraId="43CEE90E" w14:textId="34B18542" w:rsidR="00193B44" w:rsidRPr="00EC3BD7" w:rsidRDefault="00193B44" w:rsidP="00B9089D">
      <w:pPr>
        <w:pStyle w:val="EndnoteText"/>
        <w:keepNext/>
        <w:widowControl w:val="0"/>
        <w:tabs>
          <w:tab w:val="clear" w:pos="567"/>
        </w:tabs>
        <w:rPr>
          <w:color w:val="000000"/>
          <w:szCs w:val="22"/>
          <w:u w:val="single"/>
          <w:lang w:val="et-EE"/>
        </w:rPr>
      </w:pPr>
      <w:r w:rsidRPr="00EC3BD7">
        <w:rPr>
          <w:color w:val="000000"/>
          <w:szCs w:val="22"/>
          <w:u w:val="single"/>
          <w:lang w:val="et-EE"/>
        </w:rPr>
        <w:lastRenderedPageBreak/>
        <w:t>Annustamine GIST</w:t>
      </w:r>
      <w:r w:rsidR="00DD0F07">
        <w:rPr>
          <w:color w:val="000000"/>
          <w:szCs w:val="22"/>
          <w:u w:val="single"/>
          <w:lang w:val="et-EE"/>
        </w:rPr>
        <w:t>-i</w:t>
      </w:r>
      <w:r w:rsidRPr="00EC3BD7">
        <w:rPr>
          <w:color w:val="000000"/>
          <w:szCs w:val="22"/>
          <w:u w:val="single"/>
          <w:lang w:val="et-EE"/>
        </w:rPr>
        <w:t xml:space="preserve"> korral</w:t>
      </w:r>
    </w:p>
    <w:p w14:paraId="73CF9D64" w14:textId="2C2329E6" w:rsidR="00193B44" w:rsidRPr="00EC3BD7" w:rsidRDefault="00193B44" w:rsidP="00193B44">
      <w:pPr>
        <w:pStyle w:val="EndnoteText"/>
        <w:widowControl w:val="0"/>
        <w:tabs>
          <w:tab w:val="clear" w:pos="567"/>
        </w:tabs>
        <w:rPr>
          <w:color w:val="000000"/>
          <w:szCs w:val="22"/>
          <w:lang w:val="et-EE"/>
        </w:rPr>
      </w:pPr>
      <w:r w:rsidRPr="00EC3BD7">
        <w:rPr>
          <w:color w:val="000000"/>
          <w:szCs w:val="22"/>
          <w:lang w:val="et-EE"/>
        </w:rPr>
        <w:t>Mitteopereeritava ja/või metastaseerunud pahaloomulise GIST</w:t>
      </w:r>
      <w:r w:rsidR="002E0C83">
        <w:rPr>
          <w:color w:val="000000"/>
          <w:szCs w:val="22"/>
          <w:lang w:val="et-EE"/>
        </w:rPr>
        <w:t>-i</w:t>
      </w:r>
      <w:r w:rsidRPr="00EC3BD7">
        <w:rPr>
          <w:color w:val="000000"/>
          <w:szCs w:val="22"/>
          <w:lang w:val="et-EE"/>
        </w:rPr>
        <w:t xml:space="preserve"> </w:t>
      </w:r>
      <w:r w:rsidR="00447969" w:rsidRPr="00EC3BD7">
        <w:rPr>
          <w:color w:val="000000"/>
          <w:szCs w:val="22"/>
          <w:lang w:val="et-EE"/>
        </w:rPr>
        <w:t xml:space="preserve">täiskasvanud </w:t>
      </w:r>
      <w:r w:rsidRPr="00EC3BD7">
        <w:rPr>
          <w:color w:val="000000"/>
          <w:szCs w:val="22"/>
          <w:lang w:val="et-EE"/>
        </w:rPr>
        <w:t>patsientidel on Gliveci soovitatav annus 400 mg/ööpäevas.</w:t>
      </w:r>
    </w:p>
    <w:p w14:paraId="7ED60753" w14:textId="77777777" w:rsidR="00193B44" w:rsidRPr="00EC3BD7" w:rsidRDefault="00193B44" w:rsidP="00193B44">
      <w:pPr>
        <w:pStyle w:val="EndnoteText"/>
        <w:widowControl w:val="0"/>
        <w:tabs>
          <w:tab w:val="clear" w:pos="567"/>
        </w:tabs>
        <w:rPr>
          <w:color w:val="000000"/>
          <w:szCs w:val="22"/>
          <w:lang w:val="et-EE"/>
        </w:rPr>
      </w:pPr>
    </w:p>
    <w:p w14:paraId="73E4010C" w14:textId="77777777" w:rsidR="00193B44" w:rsidRPr="00EC3BD7" w:rsidRDefault="00193B44" w:rsidP="00193B44">
      <w:pPr>
        <w:pStyle w:val="EndnoteText"/>
        <w:widowControl w:val="0"/>
        <w:tabs>
          <w:tab w:val="clear" w:pos="567"/>
        </w:tabs>
        <w:rPr>
          <w:color w:val="000000"/>
          <w:szCs w:val="22"/>
          <w:lang w:val="et-EE"/>
        </w:rPr>
      </w:pPr>
      <w:r w:rsidRPr="00EC3BD7">
        <w:rPr>
          <w:color w:val="000000"/>
          <w:szCs w:val="22"/>
          <w:lang w:val="et-EE"/>
        </w:rPr>
        <w:t>On olemas piiratud andmed tulemustest, mis saadi annuse suurendamisel 400 mg-lt 600 mg-le või 800 mg-le patsientidel, kellel haigus progresseerus madalama annuse kasutamisel (vt lõik</w:t>
      </w:r>
      <w:r w:rsidR="00F570D9" w:rsidRPr="00EC3BD7">
        <w:rPr>
          <w:color w:val="000000"/>
          <w:szCs w:val="22"/>
          <w:lang w:val="et-EE"/>
        </w:rPr>
        <w:t> </w:t>
      </w:r>
      <w:r w:rsidRPr="00EC3BD7">
        <w:rPr>
          <w:color w:val="000000"/>
          <w:szCs w:val="22"/>
          <w:lang w:val="et-EE"/>
        </w:rPr>
        <w:t>5.1).</w:t>
      </w:r>
    </w:p>
    <w:p w14:paraId="0D0919FB" w14:textId="77777777" w:rsidR="00193B44" w:rsidRPr="00EC3BD7" w:rsidRDefault="00193B44" w:rsidP="00193B44">
      <w:pPr>
        <w:pStyle w:val="EndnoteText"/>
        <w:widowControl w:val="0"/>
        <w:tabs>
          <w:tab w:val="clear" w:pos="567"/>
        </w:tabs>
        <w:rPr>
          <w:strike/>
          <w:color w:val="000000"/>
          <w:szCs w:val="22"/>
          <w:lang w:val="et-EE"/>
        </w:rPr>
      </w:pPr>
    </w:p>
    <w:p w14:paraId="313665F6" w14:textId="45E2348E" w:rsidR="00193B44" w:rsidRPr="00EC3BD7" w:rsidRDefault="00193B44" w:rsidP="00193B44">
      <w:pPr>
        <w:pStyle w:val="EndnoteText"/>
        <w:widowControl w:val="0"/>
        <w:tabs>
          <w:tab w:val="clear" w:pos="567"/>
        </w:tabs>
        <w:rPr>
          <w:color w:val="000000"/>
          <w:szCs w:val="22"/>
          <w:lang w:val="et-EE"/>
        </w:rPr>
      </w:pPr>
      <w:r w:rsidRPr="00EC3BD7">
        <w:rPr>
          <w:color w:val="000000"/>
          <w:szCs w:val="22"/>
          <w:lang w:val="et-EE"/>
        </w:rPr>
        <w:t>Ravi kestus. GIST</w:t>
      </w:r>
      <w:r w:rsidR="002E0C83">
        <w:rPr>
          <w:color w:val="000000"/>
          <w:szCs w:val="22"/>
          <w:lang w:val="et-EE"/>
        </w:rPr>
        <w:t>-i</w:t>
      </w:r>
      <w:r w:rsidRPr="00EC3BD7">
        <w:rPr>
          <w:color w:val="000000"/>
          <w:szCs w:val="22"/>
          <w:lang w:val="et-EE"/>
        </w:rPr>
        <w:t xml:space="preserve"> patsientide kliinilistes uuringutes jätkati Gliveci ravi kuni haiguse progresseerumiseni. Andmete analüüsi ajaks oli ravi kestnud keskmiselt 7 kuud (7 päeva kuni 13 kuud). Ei ole uuritud kuidas mõjub ravi katkestamine pärast positiivse ravitulemuse saavutamist.</w:t>
      </w:r>
    </w:p>
    <w:p w14:paraId="0EF2558D" w14:textId="77777777" w:rsidR="00193B44" w:rsidRPr="00EC3BD7" w:rsidRDefault="00193B44" w:rsidP="00193B44">
      <w:pPr>
        <w:pStyle w:val="EndnoteText"/>
        <w:widowControl w:val="0"/>
        <w:tabs>
          <w:tab w:val="clear" w:pos="567"/>
        </w:tabs>
        <w:rPr>
          <w:color w:val="000000"/>
          <w:szCs w:val="22"/>
          <w:u w:val="single"/>
          <w:lang w:val="et-EE"/>
        </w:rPr>
      </w:pPr>
    </w:p>
    <w:p w14:paraId="01C8CB22" w14:textId="3AAE1B2E" w:rsidR="00193B44" w:rsidRPr="00EC3BD7" w:rsidRDefault="00193B44" w:rsidP="00193B44">
      <w:pPr>
        <w:pStyle w:val="Text"/>
        <w:spacing w:before="0"/>
        <w:jc w:val="left"/>
        <w:rPr>
          <w:color w:val="000000"/>
          <w:sz w:val="22"/>
          <w:szCs w:val="22"/>
          <w:lang w:val="et-EE"/>
        </w:rPr>
      </w:pPr>
      <w:r w:rsidRPr="00EC3BD7">
        <w:rPr>
          <w:color w:val="000000"/>
          <w:sz w:val="22"/>
          <w:szCs w:val="22"/>
          <w:lang w:val="et-EE"/>
        </w:rPr>
        <w:t>GIST</w:t>
      </w:r>
      <w:r w:rsidR="002E0C83">
        <w:rPr>
          <w:color w:val="000000"/>
          <w:szCs w:val="22"/>
          <w:lang w:val="et-EE"/>
        </w:rPr>
        <w:t>-i</w:t>
      </w:r>
      <w:r w:rsidRPr="00EC3BD7">
        <w:rPr>
          <w:color w:val="000000"/>
          <w:sz w:val="22"/>
          <w:szCs w:val="22"/>
          <w:lang w:val="et-EE"/>
        </w:rPr>
        <w:t xml:space="preserve"> resektsiooni järgseks adjuvantraviks täiskasvanud patsientidel on Gliveci soovitatav annus 400 mg/ööpäevas. Optimaalne ravi kestus ei ole teada. Sellel näidustusel läbi viidud kliinilises uuringus oli ravi kestus </w:t>
      </w:r>
      <w:r w:rsidR="004058FF" w:rsidRPr="00EC3BD7">
        <w:rPr>
          <w:color w:val="000000"/>
          <w:sz w:val="22"/>
          <w:szCs w:val="22"/>
          <w:lang w:val="et-EE"/>
        </w:rPr>
        <w:t>36</w:t>
      </w:r>
      <w:r w:rsidRPr="00EC3BD7">
        <w:rPr>
          <w:color w:val="000000"/>
          <w:sz w:val="22"/>
          <w:szCs w:val="22"/>
          <w:lang w:val="et-EE"/>
        </w:rPr>
        <w:t> kuud</w:t>
      </w:r>
      <w:r w:rsidR="004058FF" w:rsidRPr="00EC3BD7">
        <w:rPr>
          <w:color w:val="000000"/>
          <w:sz w:val="22"/>
          <w:szCs w:val="22"/>
          <w:lang w:val="et-EE"/>
        </w:rPr>
        <w:t xml:space="preserve"> (vt lõik</w:t>
      </w:r>
      <w:r w:rsidR="00F570D9" w:rsidRPr="00EC3BD7">
        <w:rPr>
          <w:color w:val="000000"/>
          <w:sz w:val="22"/>
          <w:szCs w:val="22"/>
          <w:lang w:val="et-EE"/>
        </w:rPr>
        <w:t> </w:t>
      </w:r>
      <w:r w:rsidR="004058FF" w:rsidRPr="00EC3BD7">
        <w:rPr>
          <w:color w:val="000000"/>
          <w:sz w:val="22"/>
          <w:szCs w:val="22"/>
          <w:lang w:val="et-EE"/>
        </w:rPr>
        <w:t>5.1)</w:t>
      </w:r>
      <w:r w:rsidRPr="00EC3BD7">
        <w:rPr>
          <w:color w:val="000000"/>
          <w:sz w:val="22"/>
          <w:szCs w:val="22"/>
          <w:lang w:val="et-EE"/>
        </w:rPr>
        <w:t>.</w:t>
      </w:r>
    </w:p>
    <w:p w14:paraId="0F2580B7" w14:textId="77777777" w:rsidR="00193B44" w:rsidRPr="00EC3BD7" w:rsidRDefault="00193B44" w:rsidP="00193B44">
      <w:pPr>
        <w:pStyle w:val="EndnoteText"/>
        <w:widowControl w:val="0"/>
        <w:tabs>
          <w:tab w:val="clear" w:pos="567"/>
        </w:tabs>
        <w:rPr>
          <w:color w:val="000000"/>
          <w:szCs w:val="22"/>
          <w:u w:val="single"/>
          <w:lang w:val="et-EE"/>
        </w:rPr>
      </w:pPr>
    </w:p>
    <w:p w14:paraId="2CC7AA26" w14:textId="441CD73A" w:rsidR="00193B44" w:rsidRPr="00EC3BD7" w:rsidRDefault="00193B44" w:rsidP="00B9089D">
      <w:pPr>
        <w:pStyle w:val="EndnoteText"/>
        <w:keepNext/>
        <w:widowControl w:val="0"/>
        <w:tabs>
          <w:tab w:val="clear" w:pos="567"/>
        </w:tabs>
        <w:rPr>
          <w:color w:val="000000"/>
          <w:szCs w:val="22"/>
          <w:lang w:val="et-EE"/>
        </w:rPr>
      </w:pPr>
      <w:r w:rsidRPr="00EC3BD7">
        <w:rPr>
          <w:color w:val="000000"/>
          <w:szCs w:val="22"/>
          <w:u w:val="single"/>
          <w:lang w:val="et-EE"/>
        </w:rPr>
        <w:t>Annustamine PDFS</w:t>
      </w:r>
      <w:r w:rsidR="006F73CE" w:rsidRPr="00593631">
        <w:rPr>
          <w:color w:val="000000"/>
          <w:szCs w:val="22"/>
          <w:lang w:val="et-EE"/>
        </w:rPr>
        <w:t>-i</w:t>
      </w:r>
      <w:r w:rsidRPr="00EC3BD7">
        <w:rPr>
          <w:color w:val="000000"/>
          <w:szCs w:val="22"/>
          <w:u w:val="single"/>
          <w:lang w:val="et-EE"/>
        </w:rPr>
        <w:t xml:space="preserve"> korral</w:t>
      </w:r>
    </w:p>
    <w:p w14:paraId="02D75118" w14:textId="544E48C3" w:rsidR="00193B44" w:rsidRPr="00EC3BD7" w:rsidRDefault="00193B44" w:rsidP="00193B44">
      <w:pPr>
        <w:pStyle w:val="EndnoteText"/>
        <w:widowControl w:val="0"/>
        <w:tabs>
          <w:tab w:val="clear" w:pos="567"/>
        </w:tabs>
        <w:rPr>
          <w:color w:val="000000"/>
          <w:szCs w:val="22"/>
          <w:lang w:val="et-EE"/>
        </w:rPr>
      </w:pPr>
      <w:r w:rsidRPr="00EC3BD7">
        <w:rPr>
          <w:color w:val="000000"/>
          <w:szCs w:val="22"/>
          <w:lang w:val="et-EE"/>
        </w:rPr>
        <w:t>Gliveci soovitatav annus PDFS</w:t>
      </w:r>
      <w:r w:rsidR="002E0C83">
        <w:rPr>
          <w:color w:val="000000"/>
          <w:szCs w:val="22"/>
          <w:lang w:val="et-EE"/>
        </w:rPr>
        <w:t>-i</w:t>
      </w:r>
      <w:r w:rsidRPr="00EC3BD7">
        <w:rPr>
          <w:color w:val="000000"/>
          <w:szCs w:val="22"/>
          <w:lang w:val="et-EE"/>
        </w:rPr>
        <w:t xml:space="preserve"> </w:t>
      </w:r>
      <w:r w:rsidR="00D16218" w:rsidRPr="00EC3BD7">
        <w:rPr>
          <w:color w:val="000000"/>
          <w:szCs w:val="22"/>
          <w:lang w:val="et-EE"/>
        </w:rPr>
        <w:t xml:space="preserve">täiskasvanud </w:t>
      </w:r>
      <w:r w:rsidRPr="00EC3BD7">
        <w:rPr>
          <w:color w:val="000000"/>
          <w:szCs w:val="22"/>
          <w:lang w:val="et-EE"/>
        </w:rPr>
        <w:t>patsientidel on 800 mg/ööpäevas.</w:t>
      </w:r>
    </w:p>
    <w:p w14:paraId="194EBEAB" w14:textId="77777777" w:rsidR="00193B44" w:rsidRPr="00EC3BD7" w:rsidRDefault="00193B44" w:rsidP="00193B44">
      <w:pPr>
        <w:pStyle w:val="EndnoteText"/>
        <w:widowControl w:val="0"/>
        <w:tabs>
          <w:tab w:val="clear" w:pos="567"/>
        </w:tabs>
        <w:rPr>
          <w:color w:val="000000"/>
          <w:szCs w:val="22"/>
          <w:u w:val="single"/>
          <w:lang w:val="et-EE"/>
        </w:rPr>
      </w:pPr>
    </w:p>
    <w:p w14:paraId="7CF55B65" w14:textId="77777777" w:rsidR="00193B44" w:rsidRPr="00EC3BD7" w:rsidRDefault="00193B44" w:rsidP="00B9089D">
      <w:pPr>
        <w:pStyle w:val="EndnoteText"/>
        <w:keepNext/>
        <w:widowControl w:val="0"/>
        <w:tabs>
          <w:tab w:val="clear" w:pos="567"/>
        </w:tabs>
        <w:rPr>
          <w:color w:val="000000"/>
          <w:szCs w:val="22"/>
          <w:u w:val="single"/>
          <w:lang w:val="et-EE"/>
        </w:rPr>
      </w:pPr>
      <w:r w:rsidRPr="00EC3BD7">
        <w:rPr>
          <w:color w:val="000000"/>
          <w:szCs w:val="22"/>
          <w:u w:val="single"/>
          <w:lang w:val="et-EE"/>
        </w:rPr>
        <w:t>Annuse korrigeerimine kõrvaltoimete esinemisel</w:t>
      </w:r>
    </w:p>
    <w:p w14:paraId="6BC02827" w14:textId="77777777" w:rsidR="00193B44" w:rsidRPr="00EC3BD7" w:rsidRDefault="00193B44" w:rsidP="00B9089D">
      <w:pPr>
        <w:pStyle w:val="EndnoteText"/>
        <w:keepNext/>
        <w:widowControl w:val="0"/>
        <w:tabs>
          <w:tab w:val="clear" w:pos="567"/>
        </w:tabs>
        <w:rPr>
          <w:i/>
          <w:color w:val="000000"/>
          <w:szCs w:val="22"/>
          <w:lang w:val="et-EE"/>
        </w:rPr>
      </w:pPr>
      <w:r w:rsidRPr="00EC3BD7">
        <w:rPr>
          <w:i/>
          <w:color w:val="000000"/>
          <w:szCs w:val="22"/>
          <w:lang w:val="et-EE"/>
        </w:rPr>
        <w:t>Mittehematoloogilised kõrvaltoimed</w:t>
      </w:r>
    </w:p>
    <w:p w14:paraId="45D140C0" w14:textId="77777777" w:rsidR="00193B44" w:rsidRPr="00EC3BD7" w:rsidRDefault="00193B44" w:rsidP="00193B44">
      <w:pPr>
        <w:pStyle w:val="EndnoteText"/>
        <w:widowControl w:val="0"/>
        <w:tabs>
          <w:tab w:val="clear" w:pos="567"/>
        </w:tabs>
        <w:rPr>
          <w:color w:val="000000"/>
          <w:szCs w:val="22"/>
          <w:lang w:val="et-EE"/>
        </w:rPr>
      </w:pPr>
      <w:r w:rsidRPr="00EC3BD7">
        <w:rPr>
          <w:color w:val="000000"/>
          <w:szCs w:val="22"/>
          <w:lang w:val="et-EE"/>
        </w:rPr>
        <w:t>Kui Gliveci kasutamisel tekib raske mittehematoloogiline kõrvaltoime, tuleb nähu kadumiseni ravi peatada. Seejärel võib ravi jätkata, võttes arvesse tekkinud kõrvaltoime esialgset raskusastet.</w:t>
      </w:r>
    </w:p>
    <w:p w14:paraId="07ADE4D6" w14:textId="77777777" w:rsidR="00193B44" w:rsidRPr="00EC3BD7" w:rsidRDefault="00193B44" w:rsidP="00193B44">
      <w:pPr>
        <w:pStyle w:val="EndnoteText"/>
        <w:widowControl w:val="0"/>
        <w:tabs>
          <w:tab w:val="clear" w:pos="567"/>
        </w:tabs>
        <w:rPr>
          <w:color w:val="000000"/>
          <w:szCs w:val="22"/>
          <w:lang w:val="et-EE"/>
        </w:rPr>
      </w:pPr>
    </w:p>
    <w:p w14:paraId="3530AC7A" w14:textId="77777777" w:rsidR="00193B44" w:rsidRPr="00EC3BD7" w:rsidRDefault="00193B44" w:rsidP="00193B44">
      <w:pPr>
        <w:pStyle w:val="EndnoteText"/>
        <w:widowControl w:val="0"/>
        <w:tabs>
          <w:tab w:val="clear" w:pos="567"/>
        </w:tabs>
        <w:rPr>
          <w:color w:val="000000"/>
          <w:szCs w:val="22"/>
          <w:lang w:val="et-EE"/>
        </w:rPr>
      </w:pPr>
      <w:r w:rsidRPr="00EC3BD7">
        <w:rPr>
          <w:color w:val="000000"/>
          <w:szCs w:val="22"/>
          <w:lang w:val="et-EE"/>
        </w:rPr>
        <w:t xml:space="preserve">Bilirubiini taseme tõusul </w:t>
      </w:r>
      <w:r w:rsidRPr="00EC3BD7">
        <w:rPr>
          <w:b/>
          <w:i/>
          <w:snapToGrid w:val="0"/>
          <w:color w:val="000000"/>
          <w:szCs w:val="22"/>
          <w:lang w:val="et-EE"/>
        </w:rPr>
        <w:t>&gt;</w:t>
      </w:r>
      <w:r w:rsidRPr="00EC3BD7">
        <w:rPr>
          <w:color w:val="000000"/>
          <w:szCs w:val="22"/>
          <w:lang w:val="et-EE"/>
        </w:rPr>
        <w:t>3 korda üle normi ülemise piiri (</w:t>
      </w:r>
      <w:r w:rsidRPr="00EC3BD7">
        <w:rPr>
          <w:i/>
          <w:iCs/>
          <w:color w:val="000000"/>
          <w:szCs w:val="22"/>
          <w:lang w:val="et-EE"/>
        </w:rPr>
        <w:t xml:space="preserve">institutional upper limit of normal, </w:t>
      </w:r>
      <w:r w:rsidRPr="00EC3BD7">
        <w:rPr>
          <w:color w:val="000000"/>
          <w:szCs w:val="22"/>
          <w:lang w:val="et-EE"/>
        </w:rPr>
        <w:t xml:space="preserve">IULN) või maksa transaminaaside aktiivsuse tõusul </w:t>
      </w:r>
      <w:r w:rsidRPr="00EC3BD7">
        <w:rPr>
          <w:b/>
          <w:i/>
          <w:snapToGrid w:val="0"/>
          <w:color w:val="000000"/>
          <w:szCs w:val="22"/>
          <w:lang w:val="et-EE"/>
        </w:rPr>
        <w:t>&gt;</w:t>
      </w:r>
      <w:r w:rsidRPr="00EC3BD7">
        <w:rPr>
          <w:color w:val="000000"/>
          <w:szCs w:val="22"/>
          <w:lang w:val="et-EE"/>
        </w:rPr>
        <w:t xml:space="preserve">5 korda üle IULNi, tuleb Gliveci ravi peatada niikauaks, kuni bilirubiini tase on langenud tasemele </w:t>
      </w:r>
      <w:r w:rsidRPr="00EC3BD7">
        <w:rPr>
          <w:b/>
          <w:i/>
          <w:snapToGrid w:val="0"/>
          <w:color w:val="000000"/>
          <w:szCs w:val="22"/>
          <w:lang w:val="et-EE"/>
        </w:rPr>
        <w:t>&lt;</w:t>
      </w:r>
      <w:r w:rsidRPr="00EC3BD7">
        <w:rPr>
          <w:color w:val="000000"/>
          <w:szCs w:val="22"/>
          <w:lang w:val="et-EE"/>
        </w:rPr>
        <w:t xml:space="preserve">1,5 korda üle IULNi ja transaminaaside aktiivsus tasemele </w:t>
      </w:r>
      <w:r w:rsidRPr="00EC3BD7">
        <w:rPr>
          <w:b/>
          <w:i/>
          <w:snapToGrid w:val="0"/>
          <w:color w:val="000000"/>
          <w:szCs w:val="22"/>
          <w:lang w:val="et-EE"/>
        </w:rPr>
        <w:t>&lt;</w:t>
      </w:r>
      <w:r w:rsidRPr="00EC3BD7">
        <w:rPr>
          <w:color w:val="000000"/>
          <w:szCs w:val="22"/>
          <w:lang w:val="et-EE"/>
        </w:rPr>
        <w:t>2,5 korda üle IULNi. Ravi Gliveciga võib seejärel jätkata madalama ööpäevase annusega. Täiskasvanutel tuleb annust vähendada 400 mg-lt 300 mg-le või 600-lt 400 mg-le või 800 mg-lt 600 mg-le ja lastel 340 mg-lt annusele 260 mg/m</w:t>
      </w:r>
      <w:r w:rsidRPr="00EC3BD7">
        <w:rPr>
          <w:color w:val="000000"/>
          <w:szCs w:val="22"/>
          <w:vertAlign w:val="superscript"/>
          <w:lang w:val="et-EE"/>
        </w:rPr>
        <w:t>2</w:t>
      </w:r>
      <w:r w:rsidRPr="00EC3BD7">
        <w:rPr>
          <w:color w:val="000000"/>
          <w:szCs w:val="22"/>
          <w:lang w:val="et-EE"/>
        </w:rPr>
        <w:t>/ööpäevas.</w:t>
      </w:r>
    </w:p>
    <w:p w14:paraId="275589C8" w14:textId="77777777" w:rsidR="00193B44" w:rsidRPr="00EC3BD7" w:rsidRDefault="00193B44" w:rsidP="00193B44">
      <w:pPr>
        <w:pStyle w:val="EndnoteText"/>
        <w:widowControl w:val="0"/>
        <w:tabs>
          <w:tab w:val="clear" w:pos="567"/>
        </w:tabs>
        <w:rPr>
          <w:color w:val="000000"/>
          <w:szCs w:val="22"/>
          <w:lang w:val="et-EE"/>
        </w:rPr>
      </w:pPr>
    </w:p>
    <w:p w14:paraId="17937FBF" w14:textId="77777777" w:rsidR="00193B44" w:rsidRPr="00EC3BD7" w:rsidRDefault="00193B44" w:rsidP="00B9089D">
      <w:pPr>
        <w:pStyle w:val="EndnoteText"/>
        <w:keepNext/>
        <w:widowControl w:val="0"/>
        <w:tabs>
          <w:tab w:val="clear" w:pos="567"/>
        </w:tabs>
        <w:rPr>
          <w:i/>
          <w:color w:val="000000"/>
          <w:szCs w:val="22"/>
          <w:lang w:val="et-EE"/>
        </w:rPr>
      </w:pPr>
      <w:r w:rsidRPr="00EC3BD7">
        <w:rPr>
          <w:i/>
          <w:color w:val="000000"/>
          <w:szCs w:val="22"/>
          <w:lang w:val="et-EE"/>
        </w:rPr>
        <w:t>Hematoloogilised kõrvaltoimed</w:t>
      </w:r>
    </w:p>
    <w:p w14:paraId="10987DCF" w14:textId="77777777" w:rsidR="00193B44" w:rsidRPr="00EC3BD7" w:rsidRDefault="00193B44" w:rsidP="00193B44">
      <w:pPr>
        <w:pStyle w:val="EndnoteText"/>
        <w:widowControl w:val="0"/>
        <w:tabs>
          <w:tab w:val="clear" w:pos="567"/>
        </w:tabs>
        <w:rPr>
          <w:color w:val="000000"/>
          <w:szCs w:val="22"/>
          <w:lang w:val="et-EE"/>
        </w:rPr>
      </w:pPr>
      <w:r w:rsidRPr="00EC3BD7">
        <w:rPr>
          <w:color w:val="000000"/>
          <w:szCs w:val="22"/>
          <w:lang w:val="et-EE"/>
        </w:rPr>
        <w:t>Raske neutropeenia ja trombotsütopeenia korral soovitatakse annuseid vähendada vastavalt alltoodud tabelile.</w:t>
      </w:r>
    </w:p>
    <w:p w14:paraId="451F2340" w14:textId="77777777" w:rsidR="00193B44" w:rsidRPr="00EC3BD7" w:rsidRDefault="00193B44" w:rsidP="00193B44">
      <w:pPr>
        <w:pStyle w:val="EndnoteText"/>
        <w:widowControl w:val="0"/>
        <w:tabs>
          <w:tab w:val="clear" w:pos="567"/>
        </w:tabs>
        <w:rPr>
          <w:color w:val="000000"/>
          <w:szCs w:val="22"/>
          <w:lang w:val="et-EE"/>
        </w:rPr>
      </w:pPr>
    </w:p>
    <w:p w14:paraId="569818CD" w14:textId="77777777" w:rsidR="00193B44" w:rsidRPr="00EC3BD7" w:rsidRDefault="00193B44" w:rsidP="00B9089D">
      <w:pPr>
        <w:pStyle w:val="EndnoteText"/>
        <w:keepNext/>
        <w:widowControl w:val="0"/>
        <w:tabs>
          <w:tab w:val="clear" w:pos="567"/>
        </w:tabs>
        <w:rPr>
          <w:color w:val="000000"/>
          <w:szCs w:val="22"/>
          <w:lang w:val="et-EE"/>
        </w:rPr>
      </w:pPr>
      <w:r w:rsidRPr="00EC3BD7">
        <w:rPr>
          <w:color w:val="000000"/>
          <w:szCs w:val="22"/>
          <w:lang w:val="et-EE"/>
        </w:rPr>
        <w:t>Annuse korrigeerimine neutropeenia ja trombotsütopeenia korral:</w:t>
      </w:r>
    </w:p>
    <w:p w14:paraId="23FC6669" w14:textId="77777777" w:rsidR="00193B44" w:rsidRPr="00EC3BD7" w:rsidRDefault="00193B44" w:rsidP="00B9089D">
      <w:pPr>
        <w:pStyle w:val="EndnoteText"/>
        <w:keepNext/>
        <w:widowControl w:val="0"/>
        <w:tabs>
          <w:tab w:val="clear" w:pos="567"/>
        </w:tabs>
        <w:rPr>
          <w:color w:val="000000"/>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193B44" w:rsidRPr="00EC3BD7" w14:paraId="711417E9" w14:textId="77777777" w:rsidTr="00F53D51">
        <w:trPr>
          <w:cantSplit/>
        </w:trPr>
        <w:tc>
          <w:tcPr>
            <w:tcW w:w="2376" w:type="dxa"/>
          </w:tcPr>
          <w:p w14:paraId="24F1A03D" w14:textId="77777777" w:rsidR="00193B44" w:rsidRPr="00EC3BD7" w:rsidRDefault="00193B44" w:rsidP="00A84581">
            <w:pPr>
              <w:pStyle w:val="EndnoteText"/>
              <w:widowControl w:val="0"/>
              <w:tabs>
                <w:tab w:val="clear" w:pos="567"/>
              </w:tabs>
              <w:rPr>
                <w:color w:val="000000"/>
                <w:szCs w:val="22"/>
                <w:lang w:val="et-EE"/>
              </w:rPr>
            </w:pPr>
            <w:r w:rsidRPr="00EC3BD7">
              <w:rPr>
                <w:color w:val="000000"/>
                <w:szCs w:val="22"/>
                <w:lang w:val="et-EE"/>
              </w:rPr>
              <w:t>HES/KEL (algannus 100 mg)</w:t>
            </w:r>
          </w:p>
        </w:tc>
        <w:tc>
          <w:tcPr>
            <w:tcW w:w="2400" w:type="dxa"/>
          </w:tcPr>
          <w:p w14:paraId="649D12AF" w14:textId="77777777" w:rsidR="00193B44" w:rsidRPr="00EC3BD7" w:rsidRDefault="00193B44" w:rsidP="00A84581">
            <w:pPr>
              <w:pStyle w:val="Table"/>
              <w:keepNext w:val="0"/>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Neutrofiilide absoluutarv on &lt;1,0x10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p w14:paraId="78E2AB32" w14:textId="77777777" w:rsidR="00193B44" w:rsidRPr="00EC3BD7" w:rsidRDefault="00193B44" w:rsidP="00A84581">
            <w:pPr>
              <w:pStyle w:val="Table"/>
              <w:keepNext w:val="0"/>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ja/või</w:t>
            </w:r>
          </w:p>
          <w:p w14:paraId="2ACEA563" w14:textId="77777777" w:rsidR="00193B44" w:rsidRPr="00EC3BD7" w:rsidRDefault="00193B44" w:rsidP="00A84581">
            <w:pPr>
              <w:pStyle w:val="Table"/>
              <w:keepNext w:val="0"/>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trombotsüüte &lt;50x10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tc>
        <w:tc>
          <w:tcPr>
            <w:tcW w:w="4404" w:type="dxa"/>
          </w:tcPr>
          <w:p w14:paraId="54AB8322" w14:textId="77777777" w:rsidR="00193B44" w:rsidRPr="00EC3BD7" w:rsidRDefault="00193B44" w:rsidP="00A84581">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1.</w:t>
            </w:r>
            <w:r w:rsidRPr="00EC3BD7">
              <w:rPr>
                <w:rFonts w:ascii="Times New Roman" w:hAnsi="Times New Roman"/>
                <w:color w:val="000000"/>
                <w:sz w:val="22"/>
                <w:szCs w:val="22"/>
                <w:lang w:val="et-EE"/>
              </w:rPr>
              <w:tab/>
              <w:t xml:space="preserve">Katkestada Gliveci ravi kuni neutrofiilide absoluutarv on </w:t>
            </w:r>
            <w:r w:rsidRPr="00EC3BD7">
              <w:rPr>
                <w:rFonts w:ascii="Times New Roman" w:hAnsi="Times New Roman"/>
                <w:color w:val="000000"/>
                <w:sz w:val="22"/>
                <w:szCs w:val="22"/>
                <w:lang w:val="et-EE"/>
              </w:rPr>
              <w:sym w:font="Symbol" w:char="F0B3"/>
            </w:r>
            <w:r w:rsidRPr="00EC3BD7">
              <w:rPr>
                <w:rFonts w:ascii="Times New Roman" w:hAnsi="Times New Roman"/>
                <w:color w:val="000000"/>
                <w:sz w:val="22"/>
                <w:szCs w:val="22"/>
                <w:lang w:val="et-EE"/>
              </w:rPr>
              <w:t>1,5x10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 xml:space="preserve">/l ja trombotsüüte </w:t>
            </w:r>
            <w:r w:rsidRPr="00EC3BD7">
              <w:rPr>
                <w:rFonts w:ascii="Times New Roman" w:hAnsi="Times New Roman"/>
                <w:color w:val="000000"/>
                <w:sz w:val="22"/>
                <w:szCs w:val="22"/>
                <w:lang w:val="et-EE"/>
              </w:rPr>
              <w:sym w:font="Symbol" w:char="F0B3"/>
            </w:r>
            <w:r w:rsidRPr="00EC3BD7">
              <w:rPr>
                <w:rFonts w:ascii="Times New Roman" w:hAnsi="Times New Roman"/>
                <w:color w:val="000000"/>
                <w:sz w:val="22"/>
                <w:szCs w:val="22"/>
                <w:lang w:val="et-EE"/>
              </w:rPr>
              <w:t>75x10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p w14:paraId="52D283B8" w14:textId="77777777" w:rsidR="00193B44" w:rsidRPr="00EC3BD7" w:rsidRDefault="00193B44" w:rsidP="006B6C08">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2.</w:t>
            </w:r>
            <w:r w:rsidRPr="00EC3BD7">
              <w:rPr>
                <w:rFonts w:ascii="Times New Roman" w:hAnsi="Times New Roman"/>
                <w:color w:val="000000"/>
                <w:sz w:val="22"/>
                <w:szCs w:val="22"/>
                <w:lang w:val="et-EE"/>
              </w:rPr>
              <w:tab/>
              <w:t>Jätkata ravi Gliveci varasema annusega (st annusega enne kõrvaltoimet).</w:t>
            </w:r>
          </w:p>
        </w:tc>
      </w:tr>
      <w:tr w:rsidR="00193B44" w:rsidRPr="005D29F8" w14:paraId="7BAAB17C" w14:textId="77777777" w:rsidTr="00F53D51">
        <w:trPr>
          <w:cantSplit/>
        </w:trPr>
        <w:tc>
          <w:tcPr>
            <w:tcW w:w="2376" w:type="dxa"/>
          </w:tcPr>
          <w:p w14:paraId="2AE63F54" w14:textId="77777777" w:rsidR="00193B44" w:rsidRPr="00EC3BD7" w:rsidRDefault="00193B44" w:rsidP="00A84581">
            <w:pPr>
              <w:pStyle w:val="EndnoteText"/>
              <w:widowControl w:val="0"/>
              <w:tabs>
                <w:tab w:val="clear" w:pos="567"/>
              </w:tabs>
              <w:rPr>
                <w:color w:val="000000"/>
                <w:szCs w:val="22"/>
                <w:lang w:val="et-EE"/>
              </w:rPr>
            </w:pPr>
            <w:smartTag w:uri="urn:schemas-microsoft-com:office:smarttags" w:element="stockticker">
              <w:r w:rsidRPr="00EC3BD7">
                <w:rPr>
                  <w:color w:val="000000"/>
                  <w:szCs w:val="22"/>
                  <w:lang w:val="et-EE"/>
                </w:rPr>
                <w:t>KML</w:t>
              </w:r>
            </w:smartTag>
            <w:r w:rsidRPr="00EC3BD7">
              <w:rPr>
                <w:color w:val="000000"/>
                <w:szCs w:val="22"/>
                <w:lang w:val="et-EE"/>
              </w:rPr>
              <w:t xml:space="preserve"> krooniline faas, </w:t>
            </w:r>
            <w:smartTag w:uri="urn:schemas-microsoft-com:office:smarttags" w:element="stockticker">
              <w:r w:rsidRPr="00EC3BD7">
                <w:rPr>
                  <w:color w:val="000000"/>
                  <w:szCs w:val="22"/>
                  <w:lang w:val="et-EE"/>
                </w:rPr>
                <w:t>MDS</w:t>
              </w:r>
            </w:smartTag>
            <w:r w:rsidRPr="00EC3BD7">
              <w:rPr>
                <w:color w:val="000000"/>
                <w:szCs w:val="22"/>
                <w:lang w:val="et-EE"/>
              </w:rPr>
              <w:t>/MPD ja GIST (algannus 400 mg)</w:t>
            </w:r>
          </w:p>
          <w:p w14:paraId="5E1852C1" w14:textId="77777777" w:rsidR="00193B44" w:rsidRPr="00EC3BD7" w:rsidRDefault="00193B44" w:rsidP="00A84581">
            <w:pPr>
              <w:pStyle w:val="EndnoteText"/>
              <w:widowControl w:val="0"/>
              <w:tabs>
                <w:tab w:val="clear" w:pos="567"/>
              </w:tabs>
              <w:rPr>
                <w:color w:val="000000"/>
                <w:szCs w:val="22"/>
                <w:lang w:val="et-EE"/>
              </w:rPr>
            </w:pPr>
            <w:r w:rsidRPr="00EC3BD7">
              <w:rPr>
                <w:color w:val="000000"/>
                <w:szCs w:val="22"/>
                <w:lang w:val="et-EE"/>
              </w:rPr>
              <w:t>HES/KEL (annus 400 mg)</w:t>
            </w:r>
          </w:p>
        </w:tc>
        <w:tc>
          <w:tcPr>
            <w:tcW w:w="2400" w:type="dxa"/>
          </w:tcPr>
          <w:p w14:paraId="662B9CC3" w14:textId="77777777" w:rsidR="00193B44" w:rsidRPr="00EC3BD7" w:rsidRDefault="00193B44" w:rsidP="00A84581">
            <w:pPr>
              <w:pStyle w:val="Table"/>
              <w:keepNext w:val="0"/>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Neutrofiilide absoluutarv on &lt;1,0x10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p w14:paraId="3229DF33" w14:textId="77777777" w:rsidR="00193B44" w:rsidRPr="00EC3BD7" w:rsidRDefault="00193B44" w:rsidP="00A84581">
            <w:pPr>
              <w:pStyle w:val="Table"/>
              <w:keepNext w:val="0"/>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ja/või</w:t>
            </w:r>
          </w:p>
          <w:p w14:paraId="0B6472C2" w14:textId="77777777" w:rsidR="00193B44" w:rsidRPr="00EC3BD7" w:rsidRDefault="00193B44" w:rsidP="00A84581">
            <w:pPr>
              <w:pStyle w:val="EndnoteText"/>
              <w:widowControl w:val="0"/>
              <w:tabs>
                <w:tab w:val="clear" w:pos="567"/>
              </w:tabs>
              <w:rPr>
                <w:color w:val="000000"/>
                <w:szCs w:val="22"/>
                <w:lang w:val="et-EE"/>
              </w:rPr>
            </w:pPr>
            <w:r w:rsidRPr="00EC3BD7">
              <w:rPr>
                <w:color w:val="000000"/>
                <w:szCs w:val="22"/>
                <w:lang w:val="et-EE"/>
              </w:rPr>
              <w:t>trombotsüüte &lt;50x10</w:t>
            </w:r>
            <w:r w:rsidRPr="00EC3BD7">
              <w:rPr>
                <w:color w:val="000000"/>
                <w:szCs w:val="22"/>
                <w:vertAlign w:val="superscript"/>
                <w:lang w:val="et-EE"/>
              </w:rPr>
              <w:t>9</w:t>
            </w:r>
            <w:r w:rsidRPr="00EC3BD7">
              <w:rPr>
                <w:color w:val="000000"/>
                <w:szCs w:val="22"/>
                <w:lang w:val="et-EE"/>
              </w:rPr>
              <w:t>/l</w:t>
            </w:r>
          </w:p>
        </w:tc>
        <w:tc>
          <w:tcPr>
            <w:tcW w:w="4404" w:type="dxa"/>
          </w:tcPr>
          <w:p w14:paraId="27933E0A" w14:textId="77777777" w:rsidR="00193B44" w:rsidRPr="00EC3BD7" w:rsidRDefault="00193B44" w:rsidP="00A84581">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1.</w:t>
            </w:r>
            <w:r w:rsidRPr="00EC3BD7">
              <w:rPr>
                <w:rFonts w:ascii="Times New Roman" w:hAnsi="Times New Roman"/>
                <w:color w:val="000000"/>
                <w:sz w:val="22"/>
                <w:szCs w:val="22"/>
                <w:lang w:val="et-EE"/>
              </w:rPr>
              <w:tab/>
              <w:t xml:space="preserve">Katkestada Gliveci ravi kuni neutrofiilide absoluutarv on </w:t>
            </w:r>
            <w:r w:rsidRPr="00EC3BD7">
              <w:rPr>
                <w:rFonts w:ascii="Times New Roman" w:hAnsi="Times New Roman"/>
                <w:color w:val="000000"/>
                <w:sz w:val="22"/>
                <w:szCs w:val="22"/>
                <w:lang w:val="et-EE"/>
              </w:rPr>
              <w:sym w:font="Symbol" w:char="F0B3"/>
            </w:r>
            <w:r w:rsidRPr="00EC3BD7">
              <w:rPr>
                <w:rFonts w:ascii="Times New Roman" w:hAnsi="Times New Roman"/>
                <w:color w:val="000000"/>
                <w:sz w:val="22"/>
                <w:szCs w:val="22"/>
                <w:lang w:val="et-EE"/>
              </w:rPr>
              <w:t>1,5x10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 xml:space="preserve">/l ja trombotsüüte </w:t>
            </w:r>
            <w:r w:rsidRPr="00EC3BD7">
              <w:rPr>
                <w:rFonts w:ascii="Times New Roman" w:hAnsi="Times New Roman"/>
                <w:color w:val="000000"/>
                <w:sz w:val="22"/>
                <w:szCs w:val="22"/>
                <w:lang w:val="et-EE"/>
              </w:rPr>
              <w:sym w:font="Symbol" w:char="F0B3"/>
            </w:r>
            <w:r w:rsidRPr="00EC3BD7">
              <w:rPr>
                <w:rFonts w:ascii="Times New Roman" w:hAnsi="Times New Roman"/>
                <w:color w:val="000000"/>
                <w:sz w:val="22"/>
                <w:szCs w:val="22"/>
                <w:lang w:val="et-EE"/>
              </w:rPr>
              <w:t>75x10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p w14:paraId="56BFDD00" w14:textId="77777777" w:rsidR="00193B44" w:rsidRPr="00EC3BD7" w:rsidRDefault="00193B44" w:rsidP="00A84581">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2.</w:t>
            </w:r>
            <w:r w:rsidRPr="00EC3BD7">
              <w:rPr>
                <w:rFonts w:ascii="Times New Roman" w:hAnsi="Times New Roman"/>
                <w:color w:val="000000"/>
                <w:sz w:val="22"/>
                <w:szCs w:val="22"/>
                <w:lang w:val="et-EE"/>
              </w:rPr>
              <w:tab/>
              <w:t>Jätkata ravi Gliveci varasema annusega (st annusega enne kõrvaltoimet).</w:t>
            </w:r>
          </w:p>
          <w:p w14:paraId="198E1AE6" w14:textId="77777777" w:rsidR="00193B44" w:rsidRPr="00EC3BD7" w:rsidRDefault="00193B44" w:rsidP="006B6C08">
            <w:pPr>
              <w:pStyle w:val="EndnoteText"/>
              <w:widowControl w:val="0"/>
              <w:tabs>
                <w:tab w:val="clear" w:pos="567"/>
              </w:tabs>
              <w:ind w:left="558" w:hanging="558"/>
              <w:rPr>
                <w:color w:val="000000"/>
                <w:szCs w:val="22"/>
                <w:lang w:val="et-EE"/>
              </w:rPr>
            </w:pPr>
            <w:r w:rsidRPr="00EC3BD7">
              <w:rPr>
                <w:color w:val="000000"/>
                <w:szCs w:val="22"/>
                <w:lang w:val="et-EE"/>
              </w:rPr>
              <w:t>3.</w:t>
            </w:r>
            <w:r w:rsidRPr="00EC3BD7">
              <w:rPr>
                <w:color w:val="000000"/>
                <w:szCs w:val="22"/>
                <w:lang w:val="et-EE"/>
              </w:rPr>
              <w:tab/>
              <w:t>Kui neutrofiilide absoluutarv langeb &lt;1,0x10</w:t>
            </w:r>
            <w:r w:rsidRPr="00EC3BD7">
              <w:rPr>
                <w:color w:val="000000"/>
                <w:szCs w:val="22"/>
                <w:vertAlign w:val="superscript"/>
                <w:lang w:val="et-EE"/>
              </w:rPr>
              <w:t>9</w:t>
            </w:r>
            <w:r w:rsidRPr="00EC3BD7">
              <w:rPr>
                <w:color w:val="000000"/>
                <w:szCs w:val="22"/>
                <w:lang w:val="et-EE"/>
              </w:rPr>
              <w:t>/l ja/või trombotsüüte &lt;50x10</w:t>
            </w:r>
            <w:r w:rsidRPr="00EC3BD7">
              <w:rPr>
                <w:color w:val="000000"/>
                <w:szCs w:val="22"/>
                <w:vertAlign w:val="superscript"/>
                <w:lang w:val="et-EE"/>
              </w:rPr>
              <w:t>9</w:t>
            </w:r>
            <w:r w:rsidRPr="00EC3BD7">
              <w:rPr>
                <w:color w:val="000000"/>
                <w:szCs w:val="22"/>
                <w:lang w:val="et-EE"/>
              </w:rPr>
              <w:t>/l, korrata punkti 1 soovitust ja jätkata Gliveci ravi vähendatud annusega 300 mg.</w:t>
            </w:r>
          </w:p>
        </w:tc>
      </w:tr>
      <w:tr w:rsidR="00193B44" w:rsidRPr="005D29F8" w14:paraId="2EC4156B" w14:textId="77777777" w:rsidTr="00F53D51">
        <w:trPr>
          <w:cantSplit/>
        </w:trPr>
        <w:tc>
          <w:tcPr>
            <w:tcW w:w="2376" w:type="dxa"/>
            <w:tcBorders>
              <w:bottom w:val="single" w:sz="4" w:space="0" w:color="auto"/>
            </w:tcBorders>
          </w:tcPr>
          <w:p w14:paraId="5E67CA45" w14:textId="77777777" w:rsidR="00193B44" w:rsidRPr="00EC3BD7" w:rsidRDefault="00193B44" w:rsidP="00A84581">
            <w:pPr>
              <w:pStyle w:val="EndnoteText"/>
              <w:widowControl w:val="0"/>
              <w:tabs>
                <w:tab w:val="clear" w:pos="567"/>
              </w:tabs>
              <w:rPr>
                <w:color w:val="000000"/>
                <w:szCs w:val="22"/>
                <w:lang w:val="et-EE"/>
              </w:rPr>
            </w:pPr>
            <w:smartTag w:uri="urn:schemas-microsoft-com:office:smarttags" w:element="stockticker">
              <w:r w:rsidRPr="00EC3BD7">
                <w:rPr>
                  <w:color w:val="000000"/>
                  <w:szCs w:val="22"/>
                  <w:lang w:val="et-EE"/>
                </w:rPr>
                <w:lastRenderedPageBreak/>
                <w:t>KML</w:t>
              </w:r>
            </w:smartTag>
            <w:r w:rsidRPr="00EC3BD7">
              <w:rPr>
                <w:color w:val="000000"/>
                <w:szCs w:val="22"/>
                <w:lang w:val="et-EE"/>
              </w:rPr>
              <w:t xml:space="preserve"> krooniline faas lastel (annus 340 mg/m</w:t>
            </w:r>
            <w:r w:rsidRPr="00EC3BD7">
              <w:rPr>
                <w:color w:val="000000"/>
                <w:szCs w:val="22"/>
                <w:vertAlign w:val="superscript"/>
                <w:lang w:val="et-EE"/>
              </w:rPr>
              <w:t>2</w:t>
            </w:r>
            <w:r w:rsidRPr="00EC3BD7">
              <w:rPr>
                <w:color w:val="000000"/>
                <w:szCs w:val="22"/>
                <w:lang w:val="et-EE"/>
              </w:rPr>
              <w:t>)</w:t>
            </w:r>
          </w:p>
        </w:tc>
        <w:tc>
          <w:tcPr>
            <w:tcW w:w="2400" w:type="dxa"/>
            <w:tcBorders>
              <w:bottom w:val="single" w:sz="4" w:space="0" w:color="auto"/>
            </w:tcBorders>
          </w:tcPr>
          <w:p w14:paraId="4EC7AC61" w14:textId="77777777" w:rsidR="00193B44" w:rsidRPr="00EC3BD7" w:rsidRDefault="00193B44" w:rsidP="00A84581">
            <w:pPr>
              <w:pStyle w:val="Table"/>
              <w:keepNext w:val="0"/>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Neutrofiilide absoluutarv on &lt;1,0x10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p w14:paraId="5D2CF3FB" w14:textId="77777777" w:rsidR="00193B44" w:rsidRPr="00EC3BD7" w:rsidRDefault="00193B44" w:rsidP="00A84581">
            <w:pPr>
              <w:pStyle w:val="Table"/>
              <w:keepNext w:val="0"/>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ja/või</w:t>
            </w:r>
          </w:p>
          <w:p w14:paraId="2098CFDC" w14:textId="77777777" w:rsidR="00193B44" w:rsidRPr="00EC3BD7" w:rsidRDefault="00193B44" w:rsidP="00A84581">
            <w:pPr>
              <w:pStyle w:val="Table"/>
              <w:keepNext w:val="0"/>
              <w:keepLines w:val="0"/>
              <w:widowControl w:val="0"/>
              <w:suppressLineNumbers/>
              <w:spacing w:before="0" w:after="0"/>
              <w:rPr>
                <w:rFonts w:ascii="Times New Roman" w:hAnsi="Times New Roman"/>
                <w:color w:val="000000"/>
                <w:sz w:val="22"/>
                <w:szCs w:val="22"/>
                <w:vertAlign w:val="superscript"/>
                <w:lang w:val="et-EE"/>
              </w:rPr>
            </w:pPr>
            <w:r w:rsidRPr="00EC3BD7">
              <w:rPr>
                <w:rFonts w:ascii="Times New Roman" w:hAnsi="Times New Roman"/>
                <w:color w:val="000000"/>
                <w:sz w:val="22"/>
                <w:szCs w:val="22"/>
                <w:lang w:val="et-EE"/>
              </w:rPr>
              <w:t>trombotsüüte &lt;50x10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tc>
        <w:tc>
          <w:tcPr>
            <w:tcW w:w="4404" w:type="dxa"/>
            <w:tcBorders>
              <w:bottom w:val="single" w:sz="4" w:space="0" w:color="auto"/>
            </w:tcBorders>
          </w:tcPr>
          <w:p w14:paraId="216ADF13" w14:textId="77777777" w:rsidR="00193B44" w:rsidRPr="00EC3BD7" w:rsidRDefault="00193B44" w:rsidP="00A84581">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1.</w:t>
            </w:r>
            <w:r w:rsidRPr="00EC3BD7">
              <w:rPr>
                <w:rFonts w:ascii="Times New Roman" w:hAnsi="Times New Roman"/>
                <w:color w:val="000000"/>
                <w:sz w:val="22"/>
                <w:szCs w:val="22"/>
                <w:lang w:val="et-EE"/>
              </w:rPr>
              <w:tab/>
              <w:t xml:space="preserve">Katkestada Gliveci ravi kuni neutrofiilide absoluutarv on </w:t>
            </w:r>
            <w:r w:rsidRPr="00EC3BD7">
              <w:rPr>
                <w:rFonts w:ascii="Times New Roman" w:hAnsi="Times New Roman"/>
                <w:color w:val="000000"/>
                <w:sz w:val="22"/>
                <w:szCs w:val="22"/>
                <w:lang w:val="et-EE"/>
              </w:rPr>
              <w:sym w:font="Symbol" w:char="F0B3"/>
            </w:r>
            <w:r w:rsidRPr="00EC3BD7">
              <w:rPr>
                <w:rFonts w:ascii="Times New Roman" w:hAnsi="Times New Roman"/>
                <w:color w:val="000000"/>
                <w:sz w:val="22"/>
                <w:szCs w:val="22"/>
                <w:lang w:val="et-EE"/>
              </w:rPr>
              <w:t>1,5x10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 xml:space="preserve">/l ja trombotsüüte </w:t>
            </w:r>
            <w:r w:rsidRPr="00EC3BD7">
              <w:rPr>
                <w:rFonts w:ascii="Times New Roman" w:hAnsi="Times New Roman"/>
                <w:color w:val="000000"/>
                <w:sz w:val="22"/>
                <w:szCs w:val="22"/>
                <w:lang w:val="et-EE"/>
              </w:rPr>
              <w:sym w:font="Symbol" w:char="F0B3"/>
            </w:r>
            <w:r w:rsidRPr="00EC3BD7">
              <w:rPr>
                <w:rFonts w:ascii="Times New Roman" w:hAnsi="Times New Roman"/>
                <w:color w:val="000000"/>
                <w:sz w:val="22"/>
                <w:szCs w:val="22"/>
                <w:lang w:val="et-EE"/>
              </w:rPr>
              <w:t>75x10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p w14:paraId="1BFC9F91" w14:textId="77777777" w:rsidR="00193B44" w:rsidRPr="00EC3BD7" w:rsidRDefault="00193B44" w:rsidP="00A84581">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2.</w:t>
            </w:r>
            <w:r w:rsidRPr="00EC3BD7">
              <w:rPr>
                <w:rFonts w:ascii="Times New Roman" w:hAnsi="Times New Roman"/>
                <w:color w:val="000000"/>
                <w:sz w:val="22"/>
                <w:szCs w:val="22"/>
                <w:lang w:val="et-EE"/>
              </w:rPr>
              <w:tab/>
              <w:t>Jätkata ravi Gliveci varasema annusega (st annusega enne kõrvaltoimet).</w:t>
            </w:r>
          </w:p>
          <w:p w14:paraId="458231FA" w14:textId="77777777" w:rsidR="00193B44" w:rsidRPr="00EC3BD7" w:rsidRDefault="00193B44" w:rsidP="006B6C08">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3.</w:t>
            </w:r>
            <w:r w:rsidRPr="00EC3BD7">
              <w:rPr>
                <w:rFonts w:ascii="Times New Roman" w:hAnsi="Times New Roman"/>
                <w:color w:val="000000"/>
                <w:sz w:val="22"/>
                <w:szCs w:val="22"/>
                <w:lang w:val="et-EE"/>
              </w:rPr>
              <w:tab/>
              <w:t>Kui neutrofiilide absoluutarv langeb &lt;1,0x10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 ja/või trombotsüüte &lt;50x10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 korrata punkti 1 soovitust ja jätkata Gliveci ravi vähendatud annusega 260 mg</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w:t>
            </w:r>
          </w:p>
        </w:tc>
      </w:tr>
      <w:tr w:rsidR="00193B44" w:rsidRPr="005D29F8" w14:paraId="330E4BE7" w14:textId="77777777" w:rsidTr="00F53D51">
        <w:trPr>
          <w:cantSplit/>
        </w:trPr>
        <w:tc>
          <w:tcPr>
            <w:tcW w:w="2376" w:type="dxa"/>
            <w:tcBorders>
              <w:bottom w:val="single" w:sz="4" w:space="0" w:color="auto"/>
            </w:tcBorders>
          </w:tcPr>
          <w:p w14:paraId="33767C4B" w14:textId="77777777" w:rsidR="00193B44" w:rsidRPr="00EC3BD7" w:rsidRDefault="00193B44" w:rsidP="00A84581">
            <w:pPr>
              <w:pStyle w:val="EndnoteText"/>
              <w:widowControl w:val="0"/>
              <w:tabs>
                <w:tab w:val="clear" w:pos="567"/>
              </w:tabs>
              <w:rPr>
                <w:color w:val="000000"/>
                <w:szCs w:val="22"/>
                <w:lang w:val="et-EE"/>
              </w:rPr>
            </w:pPr>
            <w:smartTag w:uri="urn:schemas-microsoft-com:office:smarttags" w:element="stockticker">
              <w:r w:rsidRPr="00EC3BD7">
                <w:rPr>
                  <w:color w:val="000000"/>
                  <w:szCs w:val="22"/>
                  <w:lang w:val="et-EE"/>
                </w:rPr>
                <w:t>KML</w:t>
              </w:r>
            </w:smartTag>
            <w:r w:rsidRPr="00EC3BD7">
              <w:rPr>
                <w:color w:val="000000"/>
                <w:szCs w:val="22"/>
                <w:lang w:val="et-EE"/>
              </w:rPr>
              <w:t xml:space="preserve"> aktseleratsioonifaas ja blastne kriis ning Ph+ </w:t>
            </w:r>
            <w:smartTag w:uri="urn:schemas-microsoft-com:office:smarttags" w:element="stockticker">
              <w:r w:rsidRPr="00EC3BD7">
                <w:rPr>
                  <w:color w:val="000000"/>
                  <w:szCs w:val="22"/>
                  <w:lang w:val="et-EE"/>
                </w:rPr>
                <w:t>ALL</w:t>
              </w:r>
            </w:smartTag>
            <w:r w:rsidRPr="00EC3BD7">
              <w:rPr>
                <w:color w:val="000000"/>
                <w:szCs w:val="22"/>
                <w:lang w:val="et-EE"/>
              </w:rPr>
              <w:t xml:space="preserve"> (algannus 600 mg)</w:t>
            </w:r>
          </w:p>
        </w:tc>
        <w:tc>
          <w:tcPr>
            <w:tcW w:w="2400" w:type="dxa"/>
            <w:tcBorders>
              <w:bottom w:val="single" w:sz="4" w:space="0" w:color="auto"/>
            </w:tcBorders>
          </w:tcPr>
          <w:p w14:paraId="638B1B97" w14:textId="77777777" w:rsidR="00193B44" w:rsidRPr="00EC3BD7" w:rsidRDefault="00193B44" w:rsidP="00A84581">
            <w:pPr>
              <w:pStyle w:val="Table"/>
              <w:keepNext w:val="0"/>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vertAlign w:val="superscript"/>
                <w:lang w:val="et-EE"/>
              </w:rPr>
              <w:t>a</w:t>
            </w:r>
            <w:r w:rsidRPr="00EC3BD7">
              <w:rPr>
                <w:rFonts w:ascii="Times New Roman" w:hAnsi="Times New Roman"/>
                <w:color w:val="000000"/>
                <w:sz w:val="22"/>
                <w:szCs w:val="22"/>
                <w:lang w:val="et-EE"/>
              </w:rPr>
              <w:t>Neutrofiilide absoluutarv on &lt;0,5x10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p w14:paraId="6AAE6198" w14:textId="77777777" w:rsidR="00193B44" w:rsidRPr="00EC3BD7" w:rsidRDefault="00193B44" w:rsidP="00A84581">
            <w:pPr>
              <w:pStyle w:val="Table"/>
              <w:keepNext w:val="0"/>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ja/või</w:t>
            </w:r>
          </w:p>
          <w:p w14:paraId="3EE2FA15" w14:textId="77777777" w:rsidR="00193B44" w:rsidRPr="00EC3BD7" w:rsidRDefault="00193B44" w:rsidP="00A84581">
            <w:pPr>
              <w:pStyle w:val="EndnoteText"/>
              <w:widowControl w:val="0"/>
              <w:tabs>
                <w:tab w:val="clear" w:pos="567"/>
              </w:tabs>
              <w:rPr>
                <w:color w:val="000000"/>
                <w:szCs w:val="22"/>
                <w:lang w:val="et-EE"/>
              </w:rPr>
            </w:pPr>
            <w:r w:rsidRPr="00EC3BD7">
              <w:rPr>
                <w:color w:val="000000"/>
                <w:szCs w:val="22"/>
                <w:lang w:val="et-EE"/>
              </w:rPr>
              <w:t>trombotsüüte &lt;10x10</w:t>
            </w:r>
            <w:r w:rsidRPr="00EC3BD7">
              <w:rPr>
                <w:color w:val="000000"/>
                <w:szCs w:val="22"/>
                <w:vertAlign w:val="superscript"/>
                <w:lang w:val="et-EE"/>
              </w:rPr>
              <w:t>9</w:t>
            </w:r>
            <w:r w:rsidRPr="00EC3BD7">
              <w:rPr>
                <w:color w:val="000000"/>
                <w:szCs w:val="22"/>
                <w:lang w:val="et-EE"/>
              </w:rPr>
              <w:t>/l</w:t>
            </w:r>
          </w:p>
        </w:tc>
        <w:tc>
          <w:tcPr>
            <w:tcW w:w="4404" w:type="dxa"/>
            <w:tcBorders>
              <w:bottom w:val="single" w:sz="4" w:space="0" w:color="auto"/>
            </w:tcBorders>
          </w:tcPr>
          <w:p w14:paraId="24A0C6C1" w14:textId="77777777" w:rsidR="00193B44" w:rsidRPr="00EC3BD7" w:rsidRDefault="00193B44" w:rsidP="00A84581">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1.</w:t>
            </w:r>
            <w:r w:rsidRPr="00EC3BD7">
              <w:rPr>
                <w:rFonts w:ascii="Times New Roman" w:hAnsi="Times New Roman"/>
                <w:color w:val="000000"/>
                <w:sz w:val="22"/>
                <w:szCs w:val="22"/>
                <w:lang w:val="et-EE"/>
              </w:rPr>
              <w:tab/>
              <w:t>Kontrollida, kas tsütopeenia on seotud leukeemiaga (luuüdi aspiraat või biopsia).</w:t>
            </w:r>
          </w:p>
          <w:p w14:paraId="46F5ACC2" w14:textId="77777777" w:rsidR="00193B44" w:rsidRPr="00EC3BD7" w:rsidRDefault="00193B44" w:rsidP="00A84581">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2.</w:t>
            </w:r>
            <w:r w:rsidRPr="00EC3BD7">
              <w:rPr>
                <w:rFonts w:ascii="Times New Roman" w:hAnsi="Times New Roman"/>
                <w:color w:val="000000"/>
                <w:sz w:val="22"/>
                <w:szCs w:val="22"/>
                <w:lang w:val="et-EE"/>
              </w:rPr>
              <w:tab/>
              <w:t>Kui tsütopeenia ei ole seotud leukeemiaga, vähendada Gliveci annust kuni annuseni 400 mg</w:t>
            </w:r>
          </w:p>
          <w:p w14:paraId="59F175BA" w14:textId="77777777" w:rsidR="00193B44" w:rsidRPr="00EC3BD7" w:rsidRDefault="00193B44" w:rsidP="00A84581">
            <w:pPr>
              <w:pStyle w:val="Table"/>
              <w:keepNext w:val="0"/>
              <w:keepLines w:val="0"/>
              <w:widowControl w:val="0"/>
              <w:suppressLineNumbers/>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3.</w:t>
            </w:r>
            <w:r w:rsidRPr="00EC3BD7">
              <w:rPr>
                <w:rFonts w:ascii="Times New Roman" w:hAnsi="Times New Roman"/>
                <w:color w:val="000000"/>
                <w:sz w:val="22"/>
                <w:szCs w:val="22"/>
                <w:lang w:val="et-EE"/>
              </w:rPr>
              <w:tab/>
              <w:t>Kui tsütopeenia kestab 2 nädalat, vähendada annust veel kuni annuseni 300 mg.</w:t>
            </w:r>
          </w:p>
          <w:p w14:paraId="1F3E45F3" w14:textId="77777777" w:rsidR="00193B44" w:rsidRPr="00EC3BD7" w:rsidRDefault="00193B44" w:rsidP="001F2B25">
            <w:pPr>
              <w:pStyle w:val="EndnoteText"/>
              <w:widowControl w:val="0"/>
              <w:tabs>
                <w:tab w:val="clear" w:pos="567"/>
              </w:tabs>
              <w:ind w:left="558" w:hanging="558"/>
              <w:rPr>
                <w:color w:val="000000"/>
                <w:szCs w:val="22"/>
                <w:lang w:val="et-EE"/>
              </w:rPr>
            </w:pPr>
            <w:r w:rsidRPr="00EC3BD7">
              <w:rPr>
                <w:color w:val="000000"/>
                <w:szCs w:val="22"/>
                <w:lang w:val="et-EE"/>
              </w:rPr>
              <w:t>4.</w:t>
            </w:r>
            <w:r w:rsidRPr="00EC3BD7">
              <w:rPr>
                <w:color w:val="000000"/>
                <w:szCs w:val="22"/>
                <w:lang w:val="et-EE"/>
              </w:rPr>
              <w:tab/>
              <w:t xml:space="preserve">Kui tsütopeenia kestab 4 nädalat ja ei ole endiselt seotud leukeemiaga, katkestada Gliveci ravi, kuni neutrofiilide absoluutarv on </w:t>
            </w:r>
            <w:r w:rsidRPr="00EC3BD7">
              <w:rPr>
                <w:color w:val="000000"/>
                <w:szCs w:val="22"/>
                <w:lang w:val="et-EE"/>
              </w:rPr>
              <w:sym w:font="Symbol" w:char="F0B3"/>
            </w:r>
            <w:r w:rsidRPr="00EC3BD7">
              <w:rPr>
                <w:color w:val="000000"/>
                <w:szCs w:val="22"/>
                <w:lang w:val="et-EE"/>
              </w:rPr>
              <w:t>1x10</w:t>
            </w:r>
            <w:r w:rsidRPr="00EC3BD7">
              <w:rPr>
                <w:color w:val="000000"/>
                <w:szCs w:val="22"/>
                <w:vertAlign w:val="superscript"/>
                <w:lang w:val="et-EE"/>
              </w:rPr>
              <w:t>9</w:t>
            </w:r>
            <w:r w:rsidRPr="00EC3BD7">
              <w:rPr>
                <w:color w:val="000000"/>
                <w:szCs w:val="22"/>
                <w:lang w:val="et-EE"/>
              </w:rPr>
              <w:t xml:space="preserve">/l ja trombotsüüte </w:t>
            </w:r>
            <w:r w:rsidRPr="00EC3BD7">
              <w:rPr>
                <w:color w:val="000000"/>
                <w:szCs w:val="22"/>
                <w:lang w:val="et-EE"/>
              </w:rPr>
              <w:sym w:font="Symbol" w:char="F0B3"/>
            </w:r>
            <w:r w:rsidRPr="00EC3BD7">
              <w:rPr>
                <w:color w:val="000000"/>
                <w:szCs w:val="22"/>
                <w:lang w:val="et-EE"/>
              </w:rPr>
              <w:t>20x10</w:t>
            </w:r>
            <w:r w:rsidRPr="00EC3BD7">
              <w:rPr>
                <w:color w:val="000000"/>
                <w:szCs w:val="22"/>
                <w:vertAlign w:val="superscript"/>
                <w:lang w:val="et-EE"/>
              </w:rPr>
              <w:t>9</w:t>
            </w:r>
            <w:r w:rsidRPr="00EC3BD7">
              <w:rPr>
                <w:color w:val="000000"/>
                <w:szCs w:val="22"/>
                <w:lang w:val="et-EE"/>
              </w:rPr>
              <w:t>/l, seejärel taasalustada ravi annusega 300 mg.</w:t>
            </w:r>
          </w:p>
        </w:tc>
      </w:tr>
      <w:tr w:rsidR="00193B44" w:rsidRPr="005D29F8" w14:paraId="055AA41A" w14:textId="77777777" w:rsidTr="00F53D51">
        <w:trPr>
          <w:cantSplit/>
        </w:trPr>
        <w:tc>
          <w:tcPr>
            <w:tcW w:w="2376" w:type="dxa"/>
            <w:tcBorders>
              <w:bottom w:val="single" w:sz="4" w:space="0" w:color="auto"/>
            </w:tcBorders>
          </w:tcPr>
          <w:p w14:paraId="4682A17A" w14:textId="77777777" w:rsidR="00193B44" w:rsidRPr="00EC3BD7" w:rsidRDefault="00193B44" w:rsidP="00A84581">
            <w:pPr>
              <w:pStyle w:val="EndnoteText"/>
              <w:widowControl w:val="0"/>
              <w:tabs>
                <w:tab w:val="clear" w:pos="567"/>
              </w:tabs>
              <w:rPr>
                <w:color w:val="000000"/>
                <w:szCs w:val="22"/>
                <w:lang w:val="et-EE"/>
              </w:rPr>
            </w:pPr>
            <w:r w:rsidRPr="00EC3BD7">
              <w:rPr>
                <w:color w:val="000000"/>
                <w:szCs w:val="22"/>
                <w:lang w:val="et-EE"/>
              </w:rPr>
              <w:t xml:space="preserve">Lastel </w:t>
            </w:r>
            <w:smartTag w:uri="urn:schemas-microsoft-com:office:smarttags" w:element="stockticker">
              <w:r w:rsidRPr="00EC3BD7">
                <w:rPr>
                  <w:color w:val="000000"/>
                  <w:szCs w:val="22"/>
                  <w:lang w:val="et-EE"/>
                </w:rPr>
                <w:t>KML</w:t>
              </w:r>
            </w:smartTag>
            <w:r w:rsidRPr="00EC3BD7">
              <w:rPr>
                <w:color w:val="000000"/>
                <w:szCs w:val="22"/>
                <w:lang w:val="et-EE"/>
              </w:rPr>
              <w:t xml:space="preserve"> aktseleratsioonifaas ja blastne kriis (algannus 340 mg/m</w:t>
            </w:r>
            <w:r w:rsidRPr="00EC3BD7">
              <w:rPr>
                <w:color w:val="000000"/>
                <w:szCs w:val="22"/>
                <w:vertAlign w:val="superscript"/>
                <w:lang w:val="et-EE"/>
              </w:rPr>
              <w:t>2</w:t>
            </w:r>
            <w:r w:rsidRPr="00EC3BD7">
              <w:rPr>
                <w:color w:val="000000"/>
                <w:szCs w:val="22"/>
                <w:lang w:val="et-EE"/>
              </w:rPr>
              <w:t>)</w:t>
            </w:r>
          </w:p>
        </w:tc>
        <w:tc>
          <w:tcPr>
            <w:tcW w:w="2400" w:type="dxa"/>
            <w:tcBorders>
              <w:bottom w:val="single" w:sz="4" w:space="0" w:color="auto"/>
            </w:tcBorders>
          </w:tcPr>
          <w:p w14:paraId="1C79A6E1" w14:textId="77777777" w:rsidR="00193B44" w:rsidRPr="00EC3BD7" w:rsidRDefault="00193B44" w:rsidP="00A84581">
            <w:pPr>
              <w:pStyle w:val="Table"/>
              <w:keepNext w:val="0"/>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vertAlign w:val="superscript"/>
                <w:lang w:val="et-EE"/>
              </w:rPr>
              <w:t>a</w:t>
            </w:r>
            <w:r w:rsidRPr="00EC3BD7">
              <w:rPr>
                <w:rFonts w:ascii="Times New Roman" w:hAnsi="Times New Roman"/>
                <w:color w:val="000000"/>
                <w:sz w:val="22"/>
                <w:szCs w:val="22"/>
                <w:lang w:val="et-EE"/>
              </w:rPr>
              <w:t>Neutrofiilide absoluutarv on &lt;0,5x10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p w14:paraId="0203CC40" w14:textId="77777777" w:rsidR="00193B44" w:rsidRPr="00EC3BD7" w:rsidRDefault="00193B44" w:rsidP="00A84581">
            <w:pPr>
              <w:pStyle w:val="Table"/>
              <w:keepNext w:val="0"/>
              <w:keepLines w:val="0"/>
              <w:widowControl w:val="0"/>
              <w:suppressLineNumber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ja/või</w:t>
            </w:r>
          </w:p>
          <w:p w14:paraId="66BF63CD" w14:textId="77777777" w:rsidR="00193B44" w:rsidRPr="00EC3BD7" w:rsidRDefault="00193B44" w:rsidP="00A84581">
            <w:pPr>
              <w:pStyle w:val="Table"/>
              <w:keepNext w:val="0"/>
              <w:keepLines w:val="0"/>
              <w:widowControl w:val="0"/>
              <w:suppressLineNumbers/>
              <w:spacing w:before="0" w:after="0"/>
              <w:rPr>
                <w:rFonts w:ascii="Times New Roman" w:hAnsi="Times New Roman"/>
                <w:color w:val="000000"/>
                <w:sz w:val="22"/>
                <w:szCs w:val="22"/>
                <w:vertAlign w:val="superscript"/>
                <w:lang w:val="et-EE"/>
              </w:rPr>
            </w:pPr>
            <w:r w:rsidRPr="00EC3BD7">
              <w:rPr>
                <w:rFonts w:ascii="Times New Roman" w:hAnsi="Times New Roman"/>
                <w:color w:val="000000"/>
                <w:sz w:val="22"/>
                <w:szCs w:val="22"/>
                <w:lang w:val="et-EE"/>
              </w:rPr>
              <w:t>trombotsüüte &lt;10x10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tc>
        <w:tc>
          <w:tcPr>
            <w:tcW w:w="4404" w:type="dxa"/>
            <w:tcBorders>
              <w:bottom w:val="single" w:sz="4" w:space="0" w:color="auto"/>
            </w:tcBorders>
          </w:tcPr>
          <w:p w14:paraId="5764A449" w14:textId="77777777" w:rsidR="00193B44" w:rsidRPr="00EC3BD7" w:rsidRDefault="00193B44" w:rsidP="00A84581">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1.</w:t>
            </w:r>
            <w:r w:rsidRPr="00EC3BD7">
              <w:rPr>
                <w:rFonts w:ascii="Times New Roman" w:hAnsi="Times New Roman"/>
                <w:color w:val="000000"/>
                <w:sz w:val="22"/>
                <w:szCs w:val="22"/>
                <w:lang w:val="et-EE"/>
              </w:rPr>
              <w:tab/>
              <w:t>Kontrollida, kas tsütopeenia on seotud leukeemiaga (luuüdi aspiraat või biopsia).</w:t>
            </w:r>
          </w:p>
          <w:p w14:paraId="4AFF7C2E" w14:textId="77777777" w:rsidR="00193B44" w:rsidRPr="00EC3BD7" w:rsidRDefault="00193B44" w:rsidP="00A84581">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2.</w:t>
            </w:r>
            <w:r w:rsidRPr="00EC3BD7">
              <w:rPr>
                <w:rFonts w:ascii="Times New Roman" w:hAnsi="Times New Roman"/>
                <w:color w:val="000000"/>
                <w:sz w:val="22"/>
                <w:szCs w:val="22"/>
                <w:lang w:val="et-EE"/>
              </w:rPr>
              <w:tab/>
              <w:t>Kui tsütopeenia ei ole seotud leukeemiaga, vähendada Gliveci annust kuni annuseni 260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w:t>
            </w:r>
          </w:p>
          <w:p w14:paraId="464BCD9F" w14:textId="77777777" w:rsidR="00193B44" w:rsidRPr="00EC3BD7" w:rsidRDefault="00193B44" w:rsidP="00A84581">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3.</w:t>
            </w:r>
            <w:r w:rsidRPr="00EC3BD7">
              <w:rPr>
                <w:rFonts w:ascii="Times New Roman" w:hAnsi="Times New Roman"/>
                <w:color w:val="000000"/>
                <w:sz w:val="22"/>
                <w:szCs w:val="22"/>
                <w:lang w:val="et-EE"/>
              </w:rPr>
              <w:tab/>
              <w:t>Kui tsütopeenia kestab 2 nädalat, vähendada annust veel kuni annuseni 200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w:t>
            </w:r>
          </w:p>
          <w:p w14:paraId="651C2F97" w14:textId="77777777" w:rsidR="00193B44" w:rsidRPr="00EC3BD7" w:rsidRDefault="00193B44" w:rsidP="006B6C08">
            <w:pPr>
              <w:pStyle w:val="Table"/>
              <w:keepNext w:val="0"/>
              <w:keepLines w:val="0"/>
              <w:widowControl w:val="0"/>
              <w:suppressLineNumbers/>
              <w:tabs>
                <w:tab w:val="clear" w:pos="284"/>
                <w:tab w:val="left" w:pos="611"/>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4.</w:t>
            </w:r>
            <w:r w:rsidRPr="00EC3BD7">
              <w:rPr>
                <w:rFonts w:ascii="Times New Roman" w:hAnsi="Times New Roman"/>
                <w:color w:val="000000"/>
                <w:sz w:val="22"/>
                <w:szCs w:val="22"/>
                <w:lang w:val="et-EE"/>
              </w:rPr>
              <w:tab/>
              <w:t xml:space="preserve">Kui tsütopeenia kestab 4 nädalat ja ei ole endiselt seotud leukeemiaga, katkestada Gliveci ravi, kuni neutrofiilide absoluutarv on </w:t>
            </w:r>
            <w:r w:rsidRPr="00EC3BD7">
              <w:rPr>
                <w:rFonts w:ascii="Times New Roman" w:hAnsi="Times New Roman"/>
                <w:color w:val="000000"/>
                <w:sz w:val="22"/>
                <w:szCs w:val="22"/>
                <w:lang w:val="et-EE"/>
              </w:rPr>
              <w:sym w:font="Symbol" w:char="F0B3"/>
            </w:r>
            <w:r w:rsidRPr="00EC3BD7">
              <w:rPr>
                <w:rFonts w:ascii="Times New Roman" w:hAnsi="Times New Roman"/>
                <w:color w:val="000000"/>
                <w:sz w:val="22"/>
                <w:szCs w:val="22"/>
                <w:lang w:val="et-EE"/>
              </w:rPr>
              <w:t>1x10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 xml:space="preserve">/l ja trombotsüüte </w:t>
            </w:r>
            <w:r w:rsidRPr="00EC3BD7">
              <w:rPr>
                <w:rFonts w:ascii="Times New Roman" w:hAnsi="Times New Roman"/>
                <w:color w:val="000000"/>
                <w:sz w:val="22"/>
                <w:szCs w:val="22"/>
                <w:lang w:val="et-EE"/>
              </w:rPr>
              <w:sym w:font="Symbol" w:char="F0B3"/>
            </w:r>
            <w:r w:rsidRPr="00EC3BD7">
              <w:rPr>
                <w:rFonts w:ascii="Times New Roman" w:hAnsi="Times New Roman"/>
                <w:color w:val="000000"/>
                <w:sz w:val="22"/>
                <w:szCs w:val="22"/>
                <w:lang w:val="et-EE"/>
              </w:rPr>
              <w:t>20x10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 seejärel taasalustada ravi annusega 200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w:t>
            </w:r>
          </w:p>
        </w:tc>
      </w:tr>
      <w:tr w:rsidR="00193B44" w:rsidRPr="005D29F8" w14:paraId="3B0BA3D4" w14:textId="77777777" w:rsidTr="00F53D51">
        <w:trPr>
          <w:cantSplit/>
        </w:trPr>
        <w:tc>
          <w:tcPr>
            <w:tcW w:w="2376" w:type="dxa"/>
            <w:tcBorders>
              <w:bottom w:val="single" w:sz="4" w:space="0" w:color="auto"/>
            </w:tcBorders>
          </w:tcPr>
          <w:p w14:paraId="015630AC" w14:textId="77777777" w:rsidR="00193B44" w:rsidRPr="00EC3BD7" w:rsidRDefault="00193B44" w:rsidP="008B1609">
            <w:pPr>
              <w:pStyle w:val="EndnoteText"/>
              <w:keepNext/>
              <w:widowControl w:val="0"/>
              <w:tabs>
                <w:tab w:val="clear" w:pos="567"/>
              </w:tabs>
              <w:rPr>
                <w:color w:val="000000"/>
                <w:szCs w:val="22"/>
                <w:lang w:val="et-EE"/>
              </w:rPr>
            </w:pPr>
            <w:r w:rsidRPr="00EC3BD7">
              <w:rPr>
                <w:color w:val="000000"/>
                <w:szCs w:val="22"/>
                <w:lang w:val="et-EE"/>
              </w:rPr>
              <w:t>PDFS</w:t>
            </w:r>
          </w:p>
          <w:p w14:paraId="6295E4F0" w14:textId="77777777" w:rsidR="00193B44" w:rsidRPr="00EC3BD7" w:rsidRDefault="00193B44" w:rsidP="008B1609">
            <w:pPr>
              <w:pStyle w:val="EndnoteText"/>
              <w:keepNext/>
              <w:widowControl w:val="0"/>
              <w:tabs>
                <w:tab w:val="clear" w:pos="567"/>
              </w:tabs>
              <w:rPr>
                <w:color w:val="000000"/>
                <w:szCs w:val="22"/>
                <w:lang w:val="et-EE"/>
              </w:rPr>
            </w:pPr>
            <w:r w:rsidRPr="00EC3BD7">
              <w:rPr>
                <w:color w:val="000000"/>
                <w:szCs w:val="22"/>
                <w:lang w:val="et-EE"/>
              </w:rPr>
              <w:t>(annuses 800 mg)</w:t>
            </w:r>
          </w:p>
        </w:tc>
        <w:tc>
          <w:tcPr>
            <w:tcW w:w="2400" w:type="dxa"/>
            <w:tcBorders>
              <w:bottom w:val="single" w:sz="4" w:space="0" w:color="auto"/>
            </w:tcBorders>
          </w:tcPr>
          <w:p w14:paraId="2B7CBCB5" w14:textId="77777777" w:rsidR="00193B44" w:rsidRPr="00EC3BD7" w:rsidRDefault="00193B44" w:rsidP="008B1609">
            <w:pPr>
              <w:pStyle w:val="Table"/>
              <w:keepLines w:val="0"/>
              <w:widowControl w:val="0"/>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Neutrofiilide absoluutarv on &lt;1,0x10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p w14:paraId="6B6031CF" w14:textId="77777777" w:rsidR="00193B44" w:rsidRPr="00EC3BD7" w:rsidRDefault="00193B44" w:rsidP="008B1609">
            <w:pPr>
              <w:pStyle w:val="Table"/>
              <w:keepLines w:val="0"/>
              <w:widowControl w:val="0"/>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ja/või</w:t>
            </w:r>
          </w:p>
          <w:p w14:paraId="6463CC08" w14:textId="77777777" w:rsidR="00193B44" w:rsidRPr="00EC3BD7" w:rsidRDefault="00193B44" w:rsidP="008B1609">
            <w:pPr>
              <w:pStyle w:val="Table"/>
              <w:keepLines w:val="0"/>
              <w:widowControl w:val="0"/>
              <w:spacing w:before="0" w:after="0"/>
              <w:rPr>
                <w:rFonts w:ascii="Times New Roman" w:hAnsi="Times New Roman"/>
                <w:color w:val="000000"/>
                <w:sz w:val="22"/>
                <w:szCs w:val="22"/>
                <w:vertAlign w:val="superscript"/>
                <w:lang w:val="et-EE"/>
              </w:rPr>
            </w:pPr>
            <w:r w:rsidRPr="00EC3BD7">
              <w:rPr>
                <w:rFonts w:ascii="Times New Roman" w:hAnsi="Times New Roman"/>
                <w:color w:val="000000"/>
                <w:sz w:val="22"/>
                <w:szCs w:val="22"/>
                <w:lang w:val="et-EE"/>
              </w:rPr>
              <w:t>trombotsüüte &lt;50x10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tc>
        <w:tc>
          <w:tcPr>
            <w:tcW w:w="4404" w:type="dxa"/>
            <w:tcBorders>
              <w:bottom w:val="single" w:sz="4" w:space="0" w:color="auto"/>
            </w:tcBorders>
          </w:tcPr>
          <w:p w14:paraId="6397363B" w14:textId="77777777" w:rsidR="00193B44" w:rsidRPr="00EC3BD7" w:rsidRDefault="00193B44" w:rsidP="008B1609">
            <w:pPr>
              <w:pStyle w:val="Table"/>
              <w:keepLines w:val="0"/>
              <w:widowControl w:val="0"/>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1.</w:t>
            </w:r>
            <w:r w:rsidRPr="00EC3BD7">
              <w:rPr>
                <w:rFonts w:ascii="Times New Roman" w:hAnsi="Times New Roman"/>
                <w:color w:val="000000"/>
                <w:sz w:val="22"/>
                <w:szCs w:val="22"/>
                <w:lang w:val="et-EE"/>
              </w:rPr>
              <w:tab/>
              <w:t xml:space="preserve">Katkestada Gliveci ravi kuni neutrofiilide absoluutarv on </w:t>
            </w:r>
            <w:r w:rsidRPr="00EC3BD7">
              <w:rPr>
                <w:rFonts w:ascii="Times New Roman" w:hAnsi="Times New Roman"/>
                <w:color w:val="000000"/>
                <w:sz w:val="22"/>
                <w:szCs w:val="22"/>
                <w:lang w:val="et-EE"/>
              </w:rPr>
              <w:sym w:font="Symbol" w:char="F0B3"/>
            </w:r>
            <w:r w:rsidRPr="00EC3BD7">
              <w:rPr>
                <w:rFonts w:ascii="Times New Roman" w:hAnsi="Times New Roman"/>
                <w:color w:val="000000"/>
                <w:sz w:val="22"/>
                <w:szCs w:val="22"/>
                <w:lang w:val="et-EE"/>
              </w:rPr>
              <w:t>1,5x10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 xml:space="preserve">/l ja trombotsüüte </w:t>
            </w:r>
            <w:r w:rsidRPr="00EC3BD7">
              <w:rPr>
                <w:rFonts w:ascii="Times New Roman" w:hAnsi="Times New Roman"/>
                <w:color w:val="000000"/>
                <w:sz w:val="22"/>
                <w:szCs w:val="22"/>
                <w:lang w:val="et-EE"/>
              </w:rPr>
              <w:sym w:font="Symbol" w:char="F0B3"/>
            </w:r>
            <w:r w:rsidRPr="00EC3BD7">
              <w:rPr>
                <w:rFonts w:ascii="Times New Roman" w:hAnsi="Times New Roman"/>
                <w:color w:val="000000"/>
                <w:sz w:val="22"/>
                <w:szCs w:val="22"/>
                <w:lang w:val="et-EE"/>
              </w:rPr>
              <w:t>75x10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w:t>
            </w:r>
          </w:p>
          <w:p w14:paraId="3B0861C8" w14:textId="77777777" w:rsidR="00193B44" w:rsidRPr="00EC3BD7" w:rsidRDefault="00193B44" w:rsidP="008B1609">
            <w:pPr>
              <w:pStyle w:val="Table"/>
              <w:keepLines w:val="0"/>
              <w:widowControl w:val="0"/>
              <w:tabs>
                <w:tab w:val="clear" w:pos="284"/>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2.</w:t>
            </w:r>
            <w:r w:rsidRPr="00EC3BD7">
              <w:rPr>
                <w:rFonts w:ascii="Times New Roman" w:hAnsi="Times New Roman"/>
                <w:color w:val="000000"/>
                <w:sz w:val="22"/>
                <w:szCs w:val="22"/>
                <w:lang w:val="et-EE"/>
              </w:rPr>
              <w:tab/>
              <w:t>Jätkata ravi Gliveci annusega 600 mg.</w:t>
            </w:r>
          </w:p>
          <w:p w14:paraId="4B9C0228" w14:textId="77777777" w:rsidR="00193B44" w:rsidRPr="00EC3BD7" w:rsidRDefault="00193B44" w:rsidP="008B1609">
            <w:pPr>
              <w:pStyle w:val="Table"/>
              <w:keepLines w:val="0"/>
              <w:widowControl w:val="0"/>
              <w:tabs>
                <w:tab w:val="clear" w:pos="284"/>
                <w:tab w:val="left" w:pos="611"/>
              </w:tabs>
              <w:spacing w:before="0" w:after="0"/>
              <w:ind w:left="558" w:hanging="558"/>
              <w:rPr>
                <w:rFonts w:ascii="Times New Roman" w:hAnsi="Times New Roman"/>
                <w:color w:val="000000"/>
                <w:sz w:val="22"/>
                <w:szCs w:val="22"/>
                <w:lang w:val="et-EE"/>
              </w:rPr>
            </w:pPr>
            <w:r w:rsidRPr="00EC3BD7">
              <w:rPr>
                <w:rFonts w:ascii="Times New Roman" w:hAnsi="Times New Roman"/>
                <w:color w:val="000000"/>
                <w:sz w:val="22"/>
                <w:szCs w:val="22"/>
                <w:lang w:val="et-EE"/>
              </w:rPr>
              <w:t>3.</w:t>
            </w:r>
            <w:r w:rsidRPr="00EC3BD7">
              <w:rPr>
                <w:rFonts w:ascii="Times New Roman" w:hAnsi="Times New Roman"/>
                <w:color w:val="000000"/>
                <w:sz w:val="22"/>
                <w:szCs w:val="22"/>
                <w:lang w:val="et-EE"/>
              </w:rPr>
              <w:tab/>
              <w:t>Kui neutrofiilide absoluutarv langeb &lt;1,0x10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 ja/või trombotsüüte on &lt;50x10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 korrata punkti 1 soovitust ja jätkata Gliveci ravi vähendatud annusega 400 mg.</w:t>
            </w:r>
          </w:p>
        </w:tc>
      </w:tr>
      <w:tr w:rsidR="00193B44" w:rsidRPr="005D29F8" w14:paraId="2AF1FCFD" w14:textId="77777777" w:rsidTr="00F53D51">
        <w:trPr>
          <w:cantSplit/>
        </w:trPr>
        <w:tc>
          <w:tcPr>
            <w:tcW w:w="9180" w:type="dxa"/>
            <w:gridSpan w:val="3"/>
            <w:tcBorders>
              <w:top w:val="single" w:sz="4" w:space="0" w:color="auto"/>
            </w:tcBorders>
          </w:tcPr>
          <w:p w14:paraId="4898DA0D" w14:textId="77777777" w:rsidR="00193B44" w:rsidRPr="00EC3BD7" w:rsidRDefault="00193B44" w:rsidP="00A84581">
            <w:pPr>
              <w:pStyle w:val="EndnoteText"/>
              <w:widowControl w:val="0"/>
              <w:tabs>
                <w:tab w:val="clear" w:pos="567"/>
              </w:tabs>
              <w:rPr>
                <w:color w:val="000000"/>
                <w:szCs w:val="22"/>
                <w:lang w:val="et-EE"/>
              </w:rPr>
            </w:pPr>
            <w:r w:rsidRPr="00EC3BD7">
              <w:rPr>
                <w:color w:val="000000"/>
                <w:szCs w:val="22"/>
                <w:vertAlign w:val="superscript"/>
                <w:lang w:val="et-EE"/>
              </w:rPr>
              <w:t>a</w:t>
            </w:r>
            <w:r w:rsidRPr="00EC3BD7">
              <w:rPr>
                <w:color w:val="000000"/>
                <w:szCs w:val="22"/>
                <w:lang w:val="et-EE"/>
              </w:rPr>
              <w:t xml:space="preserve"> pärast vähemalt ühekuulist ravi</w:t>
            </w:r>
          </w:p>
        </w:tc>
      </w:tr>
    </w:tbl>
    <w:p w14:paraId="20834EB4" w14:textId="77777777" w:rsidR="0052586A" w:rsidRPr="00EC3BD7" w:rsidRDefault="0052586A" w:rsidP="0052586A">
      <w:pPr>
        <w:pStyle w:val="EndnoteText"/>
        <w:widowControl w:val="0"/>
        <w:tabs>
          <w:tab w:val="clear" w:pos="567"/>
        </w:tabs>
        <w:rPr>
          <w:color w:val="000000"/>
          <w:szCs w:val="22"/>
          <w:lang w:val="et-EE"/>
        </w:rPr>
      </w:pPr>
    </w:p>
    <w:p w14:paraId="686F0C3B" w14:textId="77777777" w:rsidR="0052586A" w:rsidRPr="00EC3BD7" w:rsidRDefault="0052586A" w:rsidP="00B9089D">
      <w:pPr>
        <w:pStyle w:val="EndnoteText"/>
        <w:keepNext/>
        <w:widowControl w:val="0"/>
        <w:tabs>
          <w:tab w:val="clear" w:pos="567"/>
        </w:tabs>
        <w:rPr>
          <w:color w:val="000000"/>
          <w:szCs w:val="22"/>
          <w:lang w:val="et-EE"/>
        </w:rPr>
      </w:pPr>
      <w:r w:rsidRPr="00EC3BD7">
        <w:rPr>
          <w:color w:val="000000"/>
          <w:szCs w:val="22"/>
          <w:u w:val="single"/>
          <w:lang w:val="et-EE"/>
        </w:rPr>
        <w:t>Patsientide erirühmad</w:t>
      </w:r>
    </w:p>
    <w:p w14:paraId="07352029" w14:textId="3D2E71E6" w:rsidR="0052586A" w:rsidRPr="00EC3BD7" w:rsidRDefault="0052586A" w:rsidP="0052586A">
      <w:pPr>
        <w:pStyle w:val="EndnoteText"/>
        <w:widowControl w:val="0"/>
        <w:tabs>
          <w:tab w:val="clear" w:pos="567"/>
        </w:tabs>
        <w:rPr>
          <w:color w:val="000000"/>
          <w:szCs w:val="22"/>
          <w:lang w:val="et-EE"/>
        </w:rPr>
      </w:pPr>
      <w:r w:rsidRPr="00EC3BD7">
        <w:rPr>
          <w:i/>
          <w:color w:val="000000"/>
          <w:szCs w:val="22"/>
          <w:lang w:val="et-EE"/>
        </w:rPr>
        <w:t>Kasutamine lastel:</w:t>
      </w:r>
      <w:r w:rsidRPr="00EC3BD7">
        <w:rPr>
          <w:color w:val="000000"/>
          <w:szCs w:val="22"/>
          <w:lang w:val="et-EE"/>
        </w:rPr>
        <w:t xml:space="preserve"> Kasutamise kogemus alla 2-aastastel lastel </w:t>
      </w:r>
      <w:r w:rsidR="00F92E97" w:rsidRPr="00EC3BD7">
        <w:rPr>
          <w:color w:val="000000"/>
          <w:szCs w:val="22"/>
          <w:lang w:val="et-EE"/>
        </w:rPr>
        <w:t xml:space="preserve">ja alla 1 aasta vanustel lastel Ph+ ALL korral </w:t>
      </w:r>
      <w:r w:rsidRPr="00EC3BD7">
        <w:rPr>
          <w:color w:val="000000"/>
          <w:szCs w:val="22"/>
          <w:lang w:val="et-EE"/>
        </w:rPr>
        <w:t>puudub (vt lõik</w:t>
      </w:r>
      <w:r w:rsidR="00F570D9" w:rsidRPr="00EC3BD7">
        <w:rPr>
          <w:color w:val="000000"/>
          <w:szCs w:val="22"/>
          <w:lang w:val="et-EE"/>
        </w:rPr>
        <w:t> </w:t>
      </w:r>
      <w:r w:rsidRPr="00EC3BD7">
        <w:rPr>
          <w:color w:val="000000"/>
          <w:szCs w:val="22"/>
          <w:lang w:val="et-EE"/>
        </w:rPr>
        <w:t xml:space="preserve">5.1). </w:t>
      </w:r>
      <w:r w:rsidR="00F92E97" w:rsidRPr="00EC3BD7">
        <w:rPr>
          <w:color w:val="000000"/>
          <w:szCs w:val="22"/>
          <w:lang w:val="et-EE"/>
        </w:rPr>
        <w:t>V</w:t>
      </w:r>
      <w:r w:rsidRPr="00EC3BD7">
        <w:rPr>
          <w:color w:val="000000"/>
          <w:szCs w:val="22"/>
          <w:lang w:val="et-EE"/>
        </w:rPr>
        <w:t xml:space="preserve">äga vähene </w:t>
      </w:r>
      <w:r w:rsidR="007325DA" w:rsidRPr="00EC3BD7">
        <w:rPr>
          <w:color w:val="000000"/>
          <w:szCs w:val="22"/>
          <w:lang w:val="et-EE"/>
        </w:rPr>
        <w:t xml:space="preserve">on Gliveci kasutamise kogemus </w:t>
      </w:r>
      <w:r w:rsidRPr="00EC3BD7">
        <w:rPr>
          <w:color w:val="000000"/>
          <w:szCs w:val="22"/>
          <w:lang w:val="et-EE"/>
        </w:rPr>
        <w:t xml:space="preserve">lastel </w:t>
      </w:r>
      <w:smartTag w:uri="urn:schemas-microsoft-com:office:smarttags" w:element="stockticker">
        <w:r w:rsidRPr="00EC3BD7">
          <w:rPr>
            <w:color w:val="000000"/>
            <w:szCs w:val="22"/>
            <w:lang w:val="et-EE"/>
          </w:rPr>
          <w:t>MDS</w:t>
        </w:r>
      </w:smartTag>
      <w:r w:rsidRPr="00EC3BD7">
        <w:rPr>
          <w:color w:val="000000"/>
          <w:szCs w:val="22"/>
          <w:lang w:val="et-EE"/>
        </w:rPr>
        <w:t>/MPD</w:t>
      </w:r>
      <w:r w:rsidR="0062049D" w:rsidRPr="00EC3BD7">
        <w:rPr>
          <w:color w:val="000000"/>
          <w:szCs w:val="22"/>
          <w:lang w:val="et-EE"/>
        </w:rPr>
        <w:t>,</w:t>
      </w:r>
      <w:r w:rsidRPr="00EC3BD7">
        <w:rPr>
          <w:color w:val="000000"/>
          <w:szCs w:val="22"/>
          <w:lang w:val="et-EE"/>
        </w:rPr>
        <w:t xml:space="preserve"> PDFS</w:t>
      </w:r>
      <w:r w:rsidR="00DD0F07" w:rsidRPr="00593631">
        <w:rPr>
          <w:color w:val="000000"/>
          <w:szCs w:val="22"/>
          <w:lang w:val="et-EE"/>
        </w:rPr>
        <w:t>-i</w:t>
      </w:r>
      <w:r w:rsidR="0062049D" w:rsidRPr="00EC3BD7">
        <w:rPr>
          <w:color w:val="000000"/>
          <w:szCs w:val="22"/>
          <w:lang w:val="et-EE"/>
        </w:rPr>
        <w:t>,</w:t>
      </w:r>
      <w:r w:rsidRPr="00EC3BD7">
        <w:rPr>
          <w:color w:val="000000"/>
          <w:szCs w:val="22"/>
          <w:lang w:val="et-EE"/>
        </w:rPr>
        <w:t xml:space="preserve"> GIST</w:t>
      </w:r>
      <w:r w:rsidR="00DD0F07" w:rsidRPr="00593631">
        <w:rPr>
          <w:color w:val="000000"/>
          <w:szCs w:val="22"/>
          <w:lang w:val="et-EE"/>
        </w:rPr>
        <w:t>-i</w:t>
      </w:r>
      <w:r w:rsidRPr="00EC3BD7">
        <w:rPr>
          <w:color w:val="000000"/>
          <w:szCs w:val="22"/>
          <w:lang w:val="et-EE"/>
        </w:rPr>
        <w:t xml:space="preserve"> ja HES/KEL</w:t>
      </w:r>
      <w:r w:rsidR="00DD0F07" w:rsidRPr="00593631">
        <w:rPr>
          <w:color w:val="000000"/>
          <w:szCs w:val="22"/>
          <w:lang w:val="et-EE"/>
        </w:rPr>
        <w:t>-i</w:t>
      </w:r>
      <w:r w:rsidRPr="00EC3BD7">
        <w:rPr>
          <w:color w:val="000000"/>
          <w:szCs w:val="22"/>
          <w:lang w:val="et-EE"/>
        </w:rPr>
        <w:t xml:space="preserve"> korral.</w:t>
      </w:r>
    </w:p>
    <w:p w14:paraId="1C1F6784" w14:textId="77777777" w:rsidR="00FA49A0" w:rsidRPr="00EC3BD7" w:rsidRDefault="00FA49A0" w:rsidP="00FA49A0">
      <w:pPr>
        <w:pStyle w:val="EndnoteText"/>
        <w:widowControl w:val="0"/>
        <w:tabs>
          <w:tab w:val="clear" w:pos="567"/>
        </w:tabs>
        <w:rPr>
          <w:color w:val="000000"/>
          <w:szCs w:val="22"/>
          <w:lang w:val="et-EE"/>
        </w:rPr>
      </w:pPr>
    </w:p>
    <w:p w14:paraId="7BD2E347" w14:textId="276C37FD" w:rsidR="00FA49A0" w:rsidRPr="00EC3BD7" w:rsidRDefault="00FA49A0" w:rsidP="00FA49A0">
      <w:pPr>
        <w:pStyle w:val="EndnoteText"/>
        <w:widowControl w:val="0"/>
        <w:tabs>
          <w:tab w:val="clear" w:pos="567"/>
        </w:tabs>
        <w:rPr>
          <w:color w:val="000000"/>
          <w:szCs w:val="22"/>
          <w:lang w:val="et-EE"/>
        </w:rPr>
      </w:pPr>
      <w:r w:rsidRPr="00EC3BD7">
        <w:rPr>
          <w:color w:val="000000"/>
          <w:szCs w:val="22"/>
          <w:lang w:val="et-EE"/>
        </w:rPr>
        <w:lastRenderedPageBreak/>
        <w:t xml:space="preserve">Imatiniibi ohutus ja efektiivsus </w:t>
      </w:r>
      <w:r w:rsidR="00164291" w:rsidRPr="00EC3BD7">
        <w:rPr>
          <w:color w:val="000000"/>
          <w:szCs w:val="22"/>
          <w:lang w:val="et-EE"/>
        </w:rPr>
        <w:t>lastel vanuses kuni</w:t>
      </w:r>
      <w:r w:rsidRPr="00EC3BD7">
        <w:rPr>
          <w:color w:val="000000"/>
          <w:szCs w:val="22"/>
          <w:lang w:val="et-EE"/>
        </w:rPr>
        <w:t xml:space="preserve"> 18 aasta</w:t>
      </w:r>
      <w:r w:rsidR="00164291" w:rsidRPr="00EC3BD7">
        <w:rPr>
          <w:color w:val="000000"/>
          <w:szCs w:val="22"/>
          <w:lang w:val="et-EE"/>
        </w:rPr>
        <w:t>t</w:t>
      </w:r>
      <w:r w:rsidRPr="00EC3BD7">
        <w:rPr>
          <w:color w:val="000000"/>
          <w:szCs w:val="22"/>
          <w:lang w:val="et-EE"/>
        </w:rPr>
        <w:t xml:space="preserve"> MDS/MPD, PDFS</w:t>
      </w:r>
      <w:r w:rsidR="00DD0F07" w:rsidRPr="00593631">
        <w:rPr>
          <w:color w:val="000000"/>
          <w:szCs w:val="22"/>
          <w:lang w:val="et-EE"/>
        </w:rPr>
        <w:t>-i</w:t>
      </w:r>
      <w:r w:rsidRPr="00EC3BD7">
        <w:rPr>
          <w:color w:val="000000"/>
          <w:szCs w:val="22"/>
          <w:lang w:val="et-EE"/>
        </w:rPr>
        <w:t>, GIST</w:t>
      </w:r>
      <w:r w:rsidR="00DD0F07" w:rsidRPr="00593631">
        <w:rPr>
          <w:color w:val="000000"/>
          <w:szCs w:val="22"/>
          <w:lang w:val="et-EE"/>
        </w:rPr>
        <w:t>-i</w:t>
      </w:r>
      <w:r w:rsidRPr="00EC3BD7">
        <w:rPr>
          <w:color w:val="000000"/>
          <w:szCs w:val="22"/>
          <w:lang w:val="et-EE"/>
        </w:rPr>
        <w:t xml:space="preserve"> ja HES/KEL</w:t>
      </w:r>
      <w:r w:rsidR="00DD0F07" w:rsidRPr="00593631">
        <w:rPr>
          <w:color w:val="000000"/>
          <w:szCs w:val="22"/>
          <w:lang w:val="et-EE"/>
        </w:rPr>
        <w:t>-i</w:t>
      </w:r>
      <w:r w:rsidRPr="00EC3BD7">
        <w:rPr>
          <w:color w:val="000000"/>
          <w:szCs w:val="22"/>
          <w:lang w:val="et-EE"/>
        </w:rPr>
        <w:t xml:space="preserve"> korral kliinilistes uuringutes ei ole tõestatud. Antud hetkel teadaolevad avaldatud andmed on kokku võetud lõigus</w:t>
      </w:r>
      <w:r w:rsidR="00F570D9" w:rsidRPr="00EC3BD7">
        <w:rPr>
          <w:color w:val="000000"/>
          <w:szCs w:val="22"/>
          <w:lang w:val="et-EE"/>
        </w:rPr>
        <w:t> </w:t>
      </w:r>
      <w:r w:rsidRPr="00EC3BD7">
        <w:rPr>
          <w:color w:val="000000"/>
          <w:szCs w:val="22"/>
          <w:lang w:val="et-EE"/>
        </w:rPr>
        <w:t>5.1, aga soovitusi annustamise kohta ei ole võimalik anda.</w:t>
      </w:r>
    </w:p>
    <w:p w14:paraId="64662110" w14:textId="77777777" w:rsidR="0052586A" w:rsidRPr="00EC3BD7" w:rsidRDefault="0052586A" w:rsidP="0052586A">
      <w:pPr>
        <w:pStyle w:val="EndnoteText"/>
        <w:widowControl w:val="0"/>
        <w:tabs>
          <w:tab w:val="clear" w:pos="567"/>
        </w:tabs>
        <w:rPr>
          <w:color w:val="000000"/>
          <w:szCs w:val="22"/>
          <w:lang w:val="et-EE"/>
        </w:rPr>
      </w:pPr>
    </w:p>
    <w:p w14:paraId="3D0F4FD5" w14:textId="77777777" w:rsidR="0052586A" w:rsidRPr="00EC3BD7" w:rsidRDefault="0052586A" w:rsidP="0052586A">
      <w:pPr>
        <w:pStyle w:val="EndnoteText"/>
        <w:widowControl w:val="0"/>
        <w:tabs>
          <w:tab w:val="clear" w:pos="567"/>
        </w:tabs>
        <w:rPr>
          <w:color w:val="000000"/>
          <w:szCs w:val="22"/>
          <w:lang w:val="et-EE"/>
        </w:rPr>
      </w:pPr>
      <w:r w:rsidRPr="00EC3BD7">
        <w:rPr>
          <w:i/>
          <w:color w:val="000000"/>
          <w:szCs w:val="22"/>
          <w:lang w:val="et-EE"/>
        </w:rPr>
        <w:t>Maksapuudulikkus:</w:t>
      </w:r>
      <w:r w:rsidRPr="00EC3BD7">
        <w:rPr>
          <w:color w:val="000000"/>
          <w:szCs w:val="22"/>
          <w:lang w:val="et-EE"/>
        </w:rPr>
        <w:t xml:space="preserve"> Imatiniib metaboliseerub peamiselt maksas. Maksafunktsiooni kerge, keskmise ja raske häirega patsientidele tuleb anda väiksem soovitatav annus 400 mg ööpäevas. Talumatuse korral tuleks annust vähendada (vt lõik</w:t>
      </w:r>
      <w:r w:rsidR="00F570D9" w:rsidRPr="00EC3BD7">
        <w:rPr>
          <w:color w:val="000000"/>
          <w:szCs w:val="22"/>
          <w:lang w:val="et-EE"/>
        </w:rPr>
        <w:t> </w:t>
      </w:r>
      <w:r w:rsidRPr="00EC3BD7">
        <w:rPr>
          <w:color w:val="000000"/>
          <w:szCs w:val="22"/>
          <w:lang w:val="et-EE"/>
        </w:rPr>
        <w:t>4.4, 4.8 ja 5.2).</w:t>
      </w:r>
    </w:p>
    <w:p w14:paraId="0F76833C" w14:textId="77777777" w:rsidR="0052586A" w:rsidRPr="00EC3BD7" w:rsidRDefault="0052586A" w:rsidP="0052586A">
      <w:pPr>
        <w:pStyle w:val="EndnoteText"/>
        <w:widowControl w:val="0"/>
        <w:tabs>
          <w:tab w:val="clear" w:pos="567"/>
        </w:tabs>
        <w:rPr>
          <w:color w:val="000000"/>
          <w:szCs w:val="22"/>
          <w:lang w:val="et-EE"/>
        </w:rPr>
      </w:pPr>
    </w:p>
    <w:p w14:paraId="50955B01" w14:textId="77777777" w:rsidR="0052586A" w:rsidRPr="00EC3BD7" w:rsidRDefault="0052586A" w:rsidP="00B9089D">
      <w:pPr>
        <w:pStyle w:val="EndnoteText"/>
        <w:keepNext/>
        <w:widowControl w:val="0"/>
        <w:tabs>
          <w:tab w:val="clear" w:pos="567"/>
        </w:tabs>
        <w:rPr>
          <w:color w:val="000000"/>
          <w:szCs w:val="22"/>
          <w:lang w:val="et-EE"/>
        </w:rPr>
      </w:pPr>
      <w:r w:rsidRPr="00EC3BD7">
        <w:rPr>
          <w:color w:val="000000"/>
          <w:szCs w:val="22"/>
          <w:lang w:val="et-EE"/>
        </w:rPr>
        <w:t>Maksapuudulikkuse klassifikatsioon:</w:t>
      </w:r>
    </w:p>
    <w:p w14:paraId="0CD116C6" w14:textId="77777777" w:rsidR="0052586A" w:rsidRPr="00EC3BD7" w:rsidRDefault="0052586A" w:rsidP="00B9089D">
      <w:pPr>
        <w:pStyle w:val="EndnoteText"/>
        <w:keepNext/>
        <w:widowControl w:val="0"/>
        <w:tabs>
          <w:tab w:val="clear" w:pos="567"/>
        </w:tabs>
        <w:rPr>
          <w:color w:val="000000"/>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1"/>
        <w:gridCol w:w="5480"/>
      </w:tblGrid>
      <w:tr w:rsidR="0052586A" w:rsidRPr="00EC3BD7" w14:paraId="2F1ACC19" w14:textId="77777777" w:rsidTr="008B1609">
        <w:trPr>
          <w:cantSplit/>
        </w:trPr>
        <w:tc>
          <w:tcPr>
            <w:tcW w:w="3652" w:type="dxa"/>
          </w:tcPr>
          <w:p w14:paraId="4C636280" w14:textId="77777777" w:rsidR="0052586A" w:rsidRPr="00EC3BD7" w:rsidRDefault="0052586A" w:rsidP="00B9089D">
            <w:pPr>
              <w:pStyle w:val="EndnoteText"/>
              <w:keepNext/>
              <w:widowControl w:val="0"/>
              <w:tabs>
                <w:tab w:val="clear" w:pos="567"/>
              </w:tabs>
              <w:rPr>
                <w:color w:val="000000"/>
                <w:szCs w:val="22"/>
                <w:lang w:val="et-EE"/>
              </w:rPr>
            </w:pPr>
            <w:r w:rsidRPr="00EC3BD7">
              <w:rPr>
                <w:color w:val="000000"/>
                <w:szCs w:val="22"/>
                <w:lang w:val="et-EE"/>
              </w:rPr>
              <w:t>Maksapuudulikkus</w:t>
            </w:r>
          </w:p>
        </w:tc>
        <w:tc>
          <w:tcPr>
            <w:tcW w:w="5635" w:type="dxa"/>
          </w:tcPr>
          <w:p w14:paraId="1BC6A7A9" w14:textId="77777777" w:rsidR="0052586A" w:rsidRPr="00EC3BD7" w:rsidRDefault="0052586A" w:rsidP="00B9089D">
            <w:pPr>
              <w:pStyle w:val="EndnoteText"/>
              <w:keepNext/>
              <w:widowControl w:val="0"/>
              <w:tabs>
                <w:tab w:val="clear" w:pos="567"/>
              </w:tabs>
              <w:rPr>
                <w:color w:val="000000"/>
                <w:szCs w:val="22"/>
                <w:lang w:val="et-EE"/>
              </w:rPr>
            </w:pPr>
            <w:r w:rsidRPr="00EC3BD7">
              <w:rPr>
                <w:color w:val="000000"/>
                <w:szCs w:val="22"/>
                <w:lang w:val="et-EE"/>
              </w:rPr>
              <w:t>Maksafunktsiooni laboratoorsed näitajad</w:t>
            </w:r>
          </w:p>
        </w:tc>
      </w:tr>
      <w:tr w:rsidR="0052586A" w:rsidRPr="005D29F8" w14:paraId="75F6B1E7" w14:textId="77777777" w:rsidTr="008B1609">
        <w:trPr>
          <w:cantSplit/>
        </w:trPr>
        <w:tc>
          <w:tcPr>
            <w:tcW w:w="3652" w:type="dxa"/>
          </w:tcPr>
          <w:p w14:paraId="32149C6C" w14:textId="77777777" w:rsidR="0052586A" w:rsidRPr="00EC3BD7" w:rsidRDefault="0052586A" w:rsidP="00B9089D">
            <w:pPr>
              <w:pStyle w:val="EndnoteText"/>
              <w:keepNext/>
              <w:widowControl w:val="0"/>
              <w:tabs>
                <w:tab w:val="clear" w:pos="567"/>
              </w:tabs>
              <w:rPr>
                <w:color w:val="000000"/>
                <w:szCs w:val="22"/>
                <w:lang w:val="et-EE"/>
              </w:rPr>
            </w:pPr>
            <w:r w:rsidRPr="00EC3BD7">
              <w:rPr>
                <w:color w:val="000000"/>
                <w:szCs w:val="22"/>
                <w:lang w:val="et-EE"/>
              </w:rPr>
              <w:t>Kerge</w:t>
            </w:r>
          </w:p>
        </w:tc>
        <w:tc>
          <w:tcPr>
            <w:tcW w:w="5635" w:type="dxa"/>
          </w:tcPr>
          <w:p w14:paraId="5BC19DB2" w14:textId="77777777" w:rsidR="0052586A" w:rsidRPr="00EC3BD7" w:rsidRDefault="0052586A" w:rsidP="00B9089D">
            <w:pPr>
              <w:pStyle w:val="EndnoteText"/>
              <w:keepNext/>
              <w:widowControl w:val="0"/>
              <w:tabs>
                <w:tab w:val="clear" w:pos="567"/>
              </w:tabs>
              <w:rPr>
                <w:color w:val="000000"/>
                <w:szCs w:val="22"/>
                <w:lang w:val="et-EE"/>
              </w:rPr>
            </w:pPr>
            <w:r w:rsidRPr="00EC3BD7">
              <w:rPr>
                <w:color w:val="000000"/>
                <w:szCs w:val="22"/>
                <w:lang w:val="et-EE"/>
              </w:rPr>
              <w:t>Üldbilirubiin: = 1,5 ULN</w:t>
            </w:r>
          </w:p>
          <w:p w14:paraId="2DCB93ED" w14:textId="77777777" w:rsidR="0052586A" w:rsidRPr="00EC3BD7" w:rsidRDefault="0052586A" w:rsidP="00B9089D">
            <w:pPr>
              <w:pStyle w:val="EndnoteText"/>
              <w:keepNext/>
              <w:widowControl w:val="0"/>
              <w:tabs>
                <w:tab w:val="clear" w:pos="567"/>
              </w:tabs>
              <w:rPr>
                <w:color w:val="000000"/>
                <w:szCs w:val="22"/>
                <w:lang w:val="et-EE"/>
              </w:rPr>
            </w:pPr>
            <w:r w:rsidRPr="00EC3BD7">
              <w:rPr>
                <w:color w:val="000000"/>
                <w:szCs w:val="22"/>
                <w:lang w:val="et-EE"/>
              </w:rPr>
              <w:t>AS</w:t>
            </w:r>
            <w:r w:rsidR="009D6702" w:rsidRPr="00EC3BD7">
              <w:rPr>
                <w:color w:val="000000"/>
                <w:szCs w:val="22"/>
                <w:lang w:val="et-EE"/>
              </w:rPr>
              <w:t>A</w:t>
            </w:r>
            <w:r w:rsidRPr="00EC3BD7">
              <w:rPr>
                <w:color w:val="000000"/>
                <w:szCs w:val="22"/>
                <w:lang w:val="et-EE"/>
              </w:rPr>
              <w:t>T: &gt;ULN (võib olla normaalne või &lt;ULN kui üldbilirubiin on &gt;ULN)</w:t>
            </w:r>
          </w:p>
        </w:tc>
      </w:tr>
      <w:tr w:rsidR="0052586A" w:rsidRPr="005D29F8" w14:paraId="3A71F6E9" w14:textId="77777777" w:rsidTr="008B1609">
        <w:trPr>
          <w:cantSplit/>
        </w:trPr>
        <w:tc>
          <w:tcPr>
            <w:tcW w:w="3652" w:type="dxa"/>
          </w:tcPr>
          <w:p w14:paraId="1413DDB6" w14:textId="77777777" w:rsidR="0052586A" w:rsidRPr="00EC3BD7" w:rsidRDefault="0052586A" w:rsidP="00B9089D">
            <w:pPr>
              <w:pStyle w:val="EndnoteText"/>
              <w:keepNext/>
              <w:widowControl w:val="0"/>
              <w:tabs>
                <w:tab w:val="clear" w:pos="567"/>
              </w:tabs>
              <w:rPr>
                <w:color w:val="000000"/>
                <w:szCs w:val="22"/>
                <w:lang w:val="et-EE"/>
              </w:rPr>
            </w:pPr>
            <w:r w:rsidRPr="00EC3BD7">
              <w:rPr>
                <w:color w:val="000000"/>
                <w:szCs w:val="22"/>
                <w:lang w:val="et-EE"/>
              </w:rPr>
              <w:t>Keskmine</w:t>
            </w:r>
          </w:p>
        </w:tc>
        <w:tc>
          <w:tcPr>
            <w:tcW w:w="5635" w:type="dxa"/>
          </w:tcPr>
          <w:p w14:paraId="592D4D15" w14:textId="77777777" w:rsidR="0052586A" w:rsidRPr="00EC3BD7" w:rsidRDefault="0052586A" w:rsidP="00B9089D">
            <w:pPr>
              <w:pStyle w:val="EndnoteText"/>
              <w:keepNext/>
              <w:widowControl w:val="0"/>
              <w:tabs>
                <w:tab w:val="clear" w:pos="567"/>
              </w:tabs>
              <w:rPr>
                <w:color w:val="000000"/>
                <w:szCs w:val="22"/>
                <w:lang w:val="et-EE"/>
              </w:rPr>
            </w:pPr>
            <w:r w:rsidRPr="00EC3BD7">
              <w:rPr>
                <w:color w:val="000000"/>
                <w:szCs w:val="22"/>
                <w:lang w:val="et-EE"/>
              </w:rPr>
              <w:t>Üldbilirubiin: &gt;1,5</w:t>
            </w:r>
            <w:r w:rsidR="00F570D9" w:rsidRPr="00EC3BD7">
              <w:rPr>
                <w:color w:val="000000"/>
                <w:szCs w:val="22"/>
                <w:lang w:val="et-EE"/>
              </w:rPr>
              <w:t>...</w:t>
            </w:r>
            <w:r w:rsidRPr="00EC3BD7">
              <w:rPr>
                <w:color w:val="000000"/>
                <w:szCs w:val="22"/>
                <w:lang w:val="et-EE"/>
              </w:rPr>
              <w:t>3,0 ULN</w:t>
            </w:r>
          </w:p>
          <w:p w14:paraId="39F300C9" w14:textId="77777777" w:rsidR="0052586A" w:rsidRPr="00EC3BD7" w:rsidRDefault="0052586A" w:rsidP="00B9089D">
            <w:pPr>
              <w:pStyle w:val="EndnoteText"/>
              <w:keepNext/>
              <w:widowControl w:val="0"/>
              <w:tabs>
                <w:tab w:val="clear" w:pos="567"/>
              </w:tabs>
              <w:rPr>
                <w:color w:val="000000"/>
                <w:szCs w:val="22"/>
                <w:lang w:val="et-EE"/>
              </w:rPr>
            </w:pPr>
            <w:r w:rsidRPr="00EC3BD7">
              <w:rPr>
                <w:color w:val="000000"/>
                <w:szCs w:val="22"/>
                <w:lang w:val="et-EE"/>
              </w:rPr>
              <w:t>AS</w:t>
            </w:r>
            <w:r w:rsidR="009D6702" w:rsidRPr="00EC3BD7">
              <w:rPr>
                <w:color w:val="000000"/>
                <w:szCs w:val="22"/>
                <w:lang w:val="et-EE"/>
              </w:rPr>
              <w:t>A</w:t>
            </w:r>
            <w:r w:rsidRPr="00EC3BD7">
              <w:rPr>
                <w:color w:val="000000"/>
                <w:szCs w:val="22"/>
                <w:lang w:val="et-EE"/>
              </w:rPr>
              <w:t>T: kõik väärtused</w:t>
            </w:r>
          </w:p>
        </w:tc>
      </w:tr>
      <w:tr w:rsidR="0052586A" w:rsidRPr="005D29F8" w14:paraId="2FAB1EB7" w14:textId="77777777" w:rsidTr="008B1609">
        <w:trPr>
          <w:cantSplit/>
        </w:trPr>
        <w:tc>
          <w:tcPr>
            <w:tcW w:w="3652" w:type="dxa"/>
          </w:tcPr>
          <w:p w14:paraId="411A24F5" w14:textId="77777777" w:rsidR="0052586A" w:rsidRPr="00EC3BD7" w:rsidRDefault="0052586A" w:rsidP="00B9089D">
            <w:pPr>
              <w:pStyle w:val="EndnoteText"/>
              <w:keepNext/>
              <w:widowControl w:val="0"/>
              <w:tabs>
                <w:tab w:val="clear" w:pos="567"/>
              </w:tabs>
              <w:rPr>
                <w:color w:val="000000"/>
                <w:szCs w:val="22"/>
                <w:lang w:val="et-EE"/>
              </w:rPr>
            </w:pPr>
            <w:r w:rsidRPr="00EC3BD7">
              <w:rPr>
                <w:color w:val="000000"/>
                <w:szCs w:val="22"/>
                <w:lang w:val="et-EE"/>
              </w:rPr>
              <w:t>Raske</w:t>
            </w:r>
          </w:p>
        </w:tc>
        <w:tc>
          <w:tcPr>
            <w:tcW w:w="5635" w:type="dxa"/>
          </w:tcPr>
          <w:p w14:paraId="23089C74" w14:textId="77777777" w:rsidR="0052586A" w:rsidRPr="00EC3BD7" w:rsidRDefault="0052586A" w:rsidP="00B9089D">
            <w:pPr>
              <w:pStyle w:val="EndnoteText"/>
              <w:keepNext/>
              <w:widowControl w:val="0"/>
              <w:tabs>
                <w:tab w:val="clear" w:pos="567"/>
              </w:tabs>
              <w:rPr>
                <w:color w:val="000000"/>
                <w:szCs w:val="22"/>
                <w:lang w:val="et-EE"/>
              </w:rPr>
            </w:pPr>
            <w:r w:rsidRPr="00EC3BD7">
              <w:rPr>
                <w:color w:val="000000"/>
                <w:szCs w:val="22"/>
                <w:lang w:val="et-EE"/>
              </w:rPr>
              <w:t>Üldbilirubiin: &gt;3</w:t>
            </w:r>
            <w:r w:rsidR="00F570D9" w:rsidRPr="00EC3BD7">
              <w:rPr>
                <w:color w:val="000000"/>
                <w:szCs w:val="22"/>
                <w:lang w:val="et-EE"/>
              </w:rPr>
              <w:t>...</w:t>
            </w:r>
            <w:r w:rsidRPr="00EC3BD7">
              <w:rPr>
                <w:color w:val="000000"/>
                <w:szCs w:val="22"/>
                <w:lang w:val="et-EE"/>
              </w:rPr>
              <w:t>10 ULN</w:t>
            </w:r>
          </w:p>
          <w:p w14:paraId="1C66D2A1" w14:textId="77777777" w:rsidR="0052586A" w:rsidRPr="00EC3BD7" w:rsidRDefault="0052586A" w:rsidP="00B9089D">
            <w:pPr>
              <w:pStyle w:val="EndnoteText"/>
              <w:keepNext/>
              <w:widowControl w:val="0"/>
              <w:tabs>
                <w:tab w:val="clear" w:pos="567"/>
              </w:tabs>
              <w:rPr>
                <w:color w:val="000000"/>
                <w:szCs w:val="22"/>
                <w:lang w:val="et-EE"/>
              </w:rPr>
            </w:pPr>
            <w:r w:rsidRPr="00EC3BD7">
              <w:rPr>
                <w:color w:val="000000"/>
                <w:szCs w:val="22"/>
                <w:lang w:val="et-EE"/>
              </w:rPr>
              <w:t>AS</w:t>
            </w:r>
            <w:r w:rsidR="009D6702" w:rsidRPr="00EC3BD7">
              <w:rPr>
                <w:color w:val="000000"/>
                <w:szCs w:val="22"/>
                <w:lang w:val="et-EE"/>
              </w:rPr>
              <w:t>A</w:t>
            </w:r>
            <w:r w:rsidRPr="00EC3BD7">
              <w:rPr>
                <w:color w:val="000000"/>
                <w:szCs w:val="22"/>
                <w:lang w:val="et-EE"/>
              </w:rPr>
              <w:t>T: kõik väärtused</w:t>
            </w:r>
          </w:p>
        </w:tc>
      </w:tr>
    </w:tbl>
    <w:p w14:paraId="52C61D1C" w14:textId="77777777" w:rsidR="0052586A" w:rsidRPr="00EC3BD7" w:rsidRDefault="0052586A" w:rsidP="00B9089D">
      <w:pPr>
        <w:pStyle w:val="EndnoteText"/>
        <w:keepNext/>
        <w:widowControl w:val="0"/>
        <w:tabs>
          <w:tab w:val="clear" w:pos="567"/>
        </w:tabs>
        <w:rPr>
          <w:color w:val="000000"/>
          <w:szCs w:val="22"/>
          <w:lang w:val="et-EE"/>
        </w:rPr>
      </w:pPr>
      <w:r w:rsidRPr="00EC3BD7">
        <w:rPr>
          <w:color w:val="000000"/>
          <w:szCs w:val="22"/>
          <w:lang w:val="et-EE"/>
        </w:rPr>
        <w:t>ULN = normi ülemine piir</w:t>
      </w:r>
    </w:p>
    <w:p w14:paraId="155791B8" w14:textId="77777777" w:rsidR="0052586A" w:rsidRPr="00EC3BD7" w:rsidRDefault="0052586A" w:rsidP="0052586A">
      <w:pPr>
        <w:pStyle w:val="EndnoteText"/>
        <w:widowControl w:val="0"/>
        <w:tabs>
          <w:tab w:val="clear" w:pos="567"/>
        </w:tabs>
        <w:rPr>
          <w:color w:val="000000"/>
          <w:szCs w:val="22"/>
          <w:lang w:val="et-EE"/>
        </w:rPr>
      </w:pPr>
      <w:r w:rsidRPr="00EC3BD7">
        <w:rPr>
          <w:color w:val="000000"/>
          <w:szCs w:val="22"/>
          <w:lang w:val="et-EE"/>
        </w:rPr>
        <w:t>AS</w:t>
      </w:r>
      <w:r w:rsidR="00AD37CE" w:rsidRPr="00EC3BD7">
        <w:rPr>
          <w:color w:val="000000"/>
          <w:szCs w:val="22"/>
          <w:lang w:val="et-EE"/>
        </w:rPr>
        <w:t>A</w:t>
      </w:r>
      <w:r w:rsidRPr="00EC3BD7">
        <w:rPr>
          <w:color w:val="000000"/>
          <w:szCs w:val="22"/>
          <w:lang w:val="et-EE"/>
        </w:rPr>
        <w:t>T = aspartaadi aminotransferaas</w:t>
      </w:r>
    </w:p>
    <w:p w14:paraId="5B7DEB73" w14:textId="77777777" w:rsidR="0052586A" w:rsidRPr="00EC3BD7" w:rsidRDefault="0052586A" w:rsidP="0052586A">
      <w:pPr>
        <w:pStyle w:val="EndnoteText"/>
        <w:widowControl w:val="0"/>
        <w:tabs>
          <w:tab w:val="clear" w:pos="567"/>
        </w:tabs>
        <w:rPr>
          <w:color w:val="000000"/>
          <w:szCs w:val="22"/>
          <w:lang w:val="et-EE"/>
        </w:rPr>
      </w:pPr>
    </w:p>
    <w:p w14:paraId="08BE900B" w14:textId="77777777" w:rsidR="0052586A" w:rsidRPr="00EC3BD7" w:rsidRDefault="0052586A" w:rsidP="0052586A">
      <w:pPr>
        <w:pStyle w:val="EndnoteText"/>
        <w:widowControl w:val="0"/>
        <w:tabs>
          <w:tab w:val="clear" w:pos="567"/>
        </w:tabs>
        <w:rPr>
          <w:color w:val="000000"/>
          <w:szCs w:val="22"/>
          <w:lang w:val="et-EE"/>
        </w:rPr>
      </w:pPr>
      <w:r w:rsidRPr="00EC3BD7">
        <w:rPr>
          <w:i/>
          <w:color w:val="000000"/>
          <w:szCs w:val="22"/>
          <w:lang w:val="et-EE"/>
        </w:rPr>
        <w:t>Neerupuudulikkus:</w:t>
      </w:r>
      <w:r w:rsidRPr="00EC3BD7">
        <w:rPr>
          <w:color w:val="000000"/>
          <w:szCs w:val="22"/>
          <w:lang w:val="et-EE"/>
        </w:rPr>
        <w:t xml:space="preserve"> Neerufunktsiooni häirega või dialüüsi saavatele patsientidele tuleb algannusena manustada minimaalne soovitatav annus 400 mg ööpäevas. Siiski soovitatakse nende patsientide korral olla ettevaatlik. Talumatuse korral võib annust vähendada. Kui patsient talub ravi, võib toime puudumisel annust suurendada (vt lõigud</w:t>
      </w:r>
      <w:r w:rsidR="00F570D9" w:rsidRPr="00EC3BD7">
        <w:rPr>
          <w:color w:val="000000"/>
          <w:szCs w:val="22"/>
          <w:lang w:val="et-EE"/>
        </w:rPr>
        <w:t> </w:t>
      </w:r>
      <w:r w:rsidRPr="00EC3BD7">
        <w:rPr>
          <w:color w:val="000000"/>
          <w:szCs w:val="22"/>
          <w:lang w:val="et-EE"/>
        </w:rPr>
        <w:t>4.4 ja 5.2).</w:t>
      </w:r>
    </w:p>
    <w:p w14:paraId="11A8B3BD" w14:textId="77777777" w:rsidR="0052586A" w:rsidRPr="00EC3BD7" w:rsidRDefault="0052586A" w:rsidP="0052586A">
      <w:pPr>
        <w:pStyle w:val="EndnoteText"/>
        <w:widowControl w:val="0"/>
        <w:tabs>
          <w:tab w:val="clear" w:pos="567"/>
        </w:tabs>
        <w:rPr>
          <w:color w:val="000000"/>
          <w:szCs w:val="22"/>
          <w:lang w:val="et-EE"/>
        </w:rPr>
      </w:pPr>
    </w:p>
    <w:p w14:paraId="100426EA" w14:textId="77777777" w:rsidR="0052586A" w:rsidRPr="00EC3BD7" w:rsidRDefault="0052586A" w:rsidP="0052586A">
      <w:pPr>
        <w:pStyle w:val="EndnoteText"/>
        <w:widowControl w:val="0"/>
        <w:tabs>
          <w:tab w:val="clear" w:pos="567"/>
        </w:tabs>
        <w:rPr>
          <w:color w:val="000000"/>
          <w:szCs w:val="22"/>
          <w:lang w:val="et-EE"/>
        </w:rPr>
      </w:pPr>
      <w:r w:rsidRPr="00EC3BD7">
        <w:rPr>
          <w:i/>
          <w:color w:val="000000"/>
          <w:szCs w:val="22"/>
          <w:lang w:val="et-EE"/>
        </w:rPr>
        <w:t>Eakad:</w:t>
      </w:r>
      <w:r w:rsidRPr="00EC3BD7">
        <w:rPr>
          <w:color w:val="000000"/>
          <w:szCs w:val="22"/>
          <w:lang w:val="et-EE"/>
        </w:rPr>
        <w:t xml:space="preserve"> Eakatel ei ole uuringuid imatiniibi farmakokineetika kohta läbi viidud. Täiskasvanud patsientidel ei ole täheldatud farmakokineetikas east sõltuvaid erinevusi kliinilistes uuringutes, milles rohkem kui 20% patsientidest olid 65</w:t>
      </w:r>
      <w:r w:rsidR="00F570D9" w:rsidRPr="00EC3BD7">
        <w:rPr>
          <w:color w:val="000000"/>
          <w:szCs w:val="22"/>
          <w:lang w:val="et-EE"/>
        </w:rPr>
        <w:noBreakHyphen/>
      </w:r>
      <w:r w:rsidRPr="00EC3BD7">
        <w:rPr>
          <w:color w:val="000000"/>
          <w:szCs w:val="22"/>
          <w:lang w:val="et-EE"/>
        </w:rPr>
        <w:t>aastased ja vanemad. Eakatel ei ole vaja annuseid korrigeerida.</w:t>
      </w:r>
    </w:p>
    <w:p w14:paraId="0A559CE7" w14:textId="77777777" w:rsidR="0052586A" w:rsidRPr="00EC3BD7" w:rsidRDefault="0052586A" w:rsidP="0052586A">
      <w:pPr>
        <w:pStyle w:val="EndnoteText"/>
        <w:widowControl w:val="0"/>
        <w:tabs>
          <w:tab w:val="clear" w:pos="567"/>
        </w:tabs>
        <w:rPr>
          <w:color w:val="000000"/>
          <w:szCs w:val="22"/>
          <w:lang w:val="et-EE"/>
        </w:rPr>
      </w:pPr>
    </w:p>
    <w:p w14:paraId="1170FEBF" w14:textId="77777777" w:rsidR="00090948" w:rsidRPr="00EC3BD7" w:rsidRDefault="00090948"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4.3</w:t>
      </w:r>
      <w:r w:rsidRPr="00EC3BD7">
        <w:rPr>
          <w:b/>
          <w:color w:val="000000"/>
          <w:szCs w:val="22"/>
          <w:lang w:val="et-EE"/>
        </w:rPr>
        <w:tab/>
        <w:t>Vastunäidustused</w:t>
      </w:r>
    </w:p>
    <w:p w14:paraId="36E99B09" w14:textId="77777777" w:rsidR="00090948" w:rsidRPr="00EC3BD7" w:rsidRDefault="00090948" w:rsidP="00B9089D">
      <w:pPr>
        <w:pStyle w:val="EndnoteText"/>
        <w:keepNext/>
        <w:widowControl w:val="0"/>
        <w:tabs>
          <w:tab w:val="clear" w:pos="567"/>
        </w:tabs>
        <w:rPr>
          <w:b/>
          <w:color w:val="000000"/>
          <w:szCs w:val="22"/>
          <w:lang w:val="et-EE"/>
        </w:rPr>
      </w:pPr>
    </w:p>
    <w:p w14:paraId="3AED8435" w14:textId="77777777" w:rsidR="00090948" w:rsidRPr="00EC3BD7" w:rsidRDefault="00090948" w:rsidP="00090948">
      <w:pPr>
        <w:pStyle w:val="EndnoteText"/>
        <w:widowControl w:val="0"/>
        <w:tabs>
          <w:tab w:val="clear" w:pos="567"/>
        </w:tabs>
        <w:rPr>
          <w:color w:val="000000"/>
          <w:szCs w:val="22"/>
          <w:lang w:val="et-EE"/>
        </w:rPr>
      </w:pPr>
      <w:r w:rsidRPr="00EC3BD7">
        <w:rPr>
          <w:color w:val="000000"/>
          <w:szCs w:val="22"/>
          <w:lang w:val="et-EE"/>
        </w:rPr>
        <w:t>Ülitundlikkus toimeaine või lõigus</w:t>
      </w:r>
      <w:r w:rsidR="00F570D9" w:rsidRPr="00EC3BD7">
        <w:rPr>
          <w:color w:val="000000"/>
          <w:szCs w:val="22"/>
          <w:lang w:val="et-EE"/>
        </w:rPr>
        <w:t> </w:t>
      </w:r>
      <w:r w:rsidRPr="00EC3BD7">
        <w:rPr>
          <w:color w:val="000000"/>
          <w:szCs w:val="22"/>
          <w:lang w:val="et-EE"/>
        </w:rPr>
        <w:t>6.1 loetletud mis tahes abiaine suhtes.</w:t>
      </w:r>
    </w:p>
    <w:p w14:paraId="44F5BA39" w14:textId="77777777" w:rsidR="00090948" w:rsidRPr="00EC3BD7" w:rsidRDefault="00090948" w:rsidP="00090948">
      <w:pPr>
        <w:pStyle w:val="EndnoteText"/>
        <w:widowControl w:val="0"/>
        <w:tabs>
          <w:tab w:val="clear" w:pos="567"/>
        </w:tabs>
        <w:rPr>
          <w:color w:val="000000"/>
          <w:szCs w:val="22"/>
          <w:lang w:val="et-EE"/>
        </w:rPr>
      </w:pPr>
    </w:p>
    <w:p w14:paraId="21F5F5CD" w14:textId="77777777" w:rsidR="00E21A2F" w:rsidRPr="00EC3BD7" w:rsidRDefault="00E21A2F"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4.4</w:t>
      </w:r>
      <w:r w:rsidRPr="00EC3BD7">
        <w:rPr>
          <w:b/>
          <w:color w:val="000000"/>
          <w:szCs w:val="22"/>
          <w:lang w:val="et-EE"/>
        </w:rPr>
        <w:tab/>
        <w:t>Erihoiatused ja ettevaatusabinõud kasutamisel</w:t>
      </w:r>
    </w:p>
    <w:p w14:paraId="73E36BD2" w14:textId="77777777" w:rsidR="00E21A2F" w:rsidRPr="00EC3BD7" w:rsidRDefault="00E21A2F" w:rsidP="00B9089D">
      <w:pPr>
        <w:pStyle w:val="EndnoteText"/>
        <w:keepNext/>
        <w:widowControl w:val="0"/>
        <w:tabs>
          <w:tab w:val="clear" w:pos="567"/>
        </w:tabs>
        <w:rPr>
          <w:color w:val="000000"/>
          <w:szCs w:val="22"/>
          <w:lang w:val="et-EE"/>
        </w:rPr>
      </w:pPr>
    </w:p>
    <w:p w14:paraId="76AC59E3" w14:textId="77777777" w:rsidR="00E21A2F" w:rsidRPr="00EC3BD7" w:rsidRDefault="00E21A2F" w:rsidP="00E21A2F">
      <w:pPr>
        <w:pStyle w:val="EndnoteText"/>
        <w:widowControl w:val="0"/>
        <w:tabs>
          <w:tab w:val="clear" w:pos="567"/>
          <w:tab w:val="left" w:pos="7655"/>
        </w:tabs>
        <w:rPr>
          <w:color w:val="000000"/>
          <w:szCs w:val="22"/>
          <w:lang w:val="et-EE"/>
        </w:rPr>
      </w:pPr>
      <w:r w:rsidRPr="00EC3BD7">
        <w:rPr>
          <w:color w:val="000000"/>
          <w:szCs w:val="22"/>
          <w:lang w:val="et-EE"/>
        </w:rPr>
        <w:t>Gliveci manustamisel koos teiste ravimitega võib esineda koostoimeid. Ettevaatus on vajalik Gliveci võtmisel koos proteaasi inhibiitorite, seenevastaste asoolide, teatud makroliidide (vt lõik</w:t>
      </w:r>
      <w:r w:rsidR="00F570D9" w:rsidRPr="00EC3BD7">
        <w:rPr>
          <w:color w:val="000000"/>
          <w:szCs w:val="22"/>
          <w:lang w:val="et-EE"/>
        </w:rPr>
        <w:t> </w:t>
      </w:r>
      <w:r w:rsidRPr="00EC3BD7">
        <w:rPr>
          <w:color w:val="000000"/>
          <w:szCs w:val="22"/>
          <w:lang w:val="et-EE"/>
        </w:rPr>
        <w:t>4.5), kitsa terapeutilise aknaga CYP3A4 substraadiga (näiteks tsüklosporiin, pimosiid, takroliimus, siroliimus, ergotamiin, diergotamiin, fentanüül, alfentaniil, terfenadiin, bortesomiib, dotsetakseel, kinidiin) või varfariin ja teised kumariiniderivaadid (vt lõik</w:t>
      </w:r>
      <w:r w:rsidR="00F570D9" w:rsidRPr="00EC3BD7">
        <w:rPr>
          <w:color w:val="000000"/>
          <w:szCs w:val="22"/>
          <w:lang w:val="et-EE"/>
        </w:rPr>
        <w:t> </w:t>
      </w:r>
      <w:r w:rsidRPr="00EC3BD7">
        <w:rPr>
          <w:color w:val="000000"/>
          <w:szCs w:val="22"/>
          <w:lang w:val="et-EE"/>
        </w:rPr>
        <w:t>4.5).</w:t>
      </w:r>
    </w:p>
    <w:p w14:paraId="4D014A62" w14:textId="77777777" w:rsidR="00E21A2F" w:rsidRPr="00EC3BD7" w:rsidRDefault="00E21A2F" w:rsidP="00E21A2F">
      <w:pPr>
        <w:pStyle w:val="EndnoteText"/>
        <w:widowControl w:val="0"/>
        <w:tabs>
          <w:tab w:val="clear" w:pos="567"/>
          <w:tab w:val="left" w:pos="7655"/>
        </w:tabs>
        <w:rPr>
          <w:color w:val="000000"/>
          <w:szCs w:val="22"/>
          <w:lang w:val="et-EE"/>
        </w:rPr>
      </w:pPr>
    </w:p>
    <w:p w14:paraId="458F6140" w14:textId="77777777" w:rsidR="00E21A2F" w:rsidRPr="00EC3BD7" w:rsidRDefault="00E21A2F" w:rsidP="00E21A2F">
      <w:pPr>
        <w:pStyle w:val="EndnoteText"/>
        <w:widowControl w:val="0"/>
        <w:tabs>
          <w:tab w:val="clear" w:pos="567"/>
          <w:tab w:val="left" w:pos="7655"/>
        </w:tabs>
        <w:rPr>
          <w:color w:val="000000"/>
          <w:szCs w:val="22"/>
          <w:lang w:val="et-EE"/>
        </w:rPr>
      </w:pPr>
      <w:r w:rsidRPr="00EC3BD7">
        <w:rPr>
          <w:color w:val="000000"/>
          <w:szCs w:val="22"/>
          <w:lang w:val="et-EE"/>
        </w:rPr>
        <w:t xml:space="preserve">Imatiniibi samaaegne kasutamine koos ravimitega, mis indutseerivad CYP3A4 (näiteks deksametasoon, fenütoiin, karbamasepiin, rifampitsiin, fenobarbitaal või </w:t>
      </w:r>
      <w:r w:rsidRPr="00EC3BD7">
        <w:rPr>
          <w:i/>
          <w:color w:val="000000"/>
          <w:szCs w:val="22"/>
          <w:lang w:val="et-EE"/>
        </w:rPr>
        <w:t>Hypericum perforatum</w:t>
      </w:r>
      <w:r w:rsidRPr="00EC3BD7">
        <w:rPr>
          <w:color w:val="000000"/>
          <w:szCs w:val="22"/>
          <w:lang w:val="et-EE"/>
        </w:rPr>
        <w:t>, tuntud ka kui naistepuna), võib oluliselt vähendada Gliveci</w:t>
      </w:r>
      <w:r w:rsidR="00F570D9" w:rsidRPr="00EC3BD7">
        <w:rPr>
          <w:color w:val="000000"/>
          <w:szCs w:val="22"/>
          <w:lang w:val="et-EE"/>
        </w:rPr>
        <w:t xml:space="preserve"> plasmakontsentratsiooni</w:t>
      </w:r>
      <w:r w:rsidRPr="00EC3BD7">
        <w:rPr>
          <w:color w:val="000000"/>
          <w:szCs w:val="22"/>
          <w:lang w:val="et-EE"/>
        </w:rPr>
        <w:t>, mistõttu on oht ravi ebaõnnestumiseks. Seetõttu tuleb vältida tugevate CYP3A4 indutseerijate ja imatiniibi samaaegset kasutamist (vt lõik</w:t>
      </w:r>
      <w:r w:rsidR="00F570D9" w:rsidRPr="00EC3BD7">
        <w:rPr>
          <w:color w:val="000000"/>
          <w:szCs w:val="22"/>
          <w:lang w:val="et-EE"/>
        </w:rPr>
        <w:t> </w:t>
      </w:r>
      <w:r w:rsidRPr="00EC3BD7">
        <w:rPr>
          <w:color w:val="000000"/>
          <w:szCs w:val="22"/>
          <w:lang w:val="et-EE"/>
        </w:rPr>
        <w:t>4.5).</w:t>
      </w:r>
    </w:p>
    <w:p w14:paraId="2892B150" w14:textId="77777777" w:rsidR="00E21A2F" w:rsidRPr="00EC3BD7" w:rsidRDefault="00E21A2F" w:rsidP="00E21A2F">
      <w:pPr>
        <w:pStyle w:val="EndnoteText"/>
        <w:widowControl w:val="0"/>
        <w:tabs>
          <w:tab w:val="clear" w:pos="567"/>
          <w:tab w:val="left" w:pos="7655"/>
        </w:tabs>
        <w:rPr>
          <w:color w:val="000000"/>
          <w:szCs w:val="22"/>
          <w:lang w:val="et-EE"/>
        </w:rPr>
      </w:pPr>
    </w:p>
    <w:p w14:paraId="1EA91478" w14:textId="77777777" w:rsidR="00E21A2F" w:rsidRPr="00EC3BD7" w:rsidRDefault="00E21A2F" w:rsidP="00B9089D">
      <w:pPr>
        <w:pStyle w:val="EndnoteText"/>
        <w:keepNext/>
        <w:widowControl w:val="0"/>
        <w:tabs>
          <w:tab w:val="clear" w:pos="567"/>
          <w:tab w:val="left" w:pos="7655"/>
        </w:tabs>
        <w:rPr>
          <w:color w:val="000000"/>
          <w:szCs w:val="22"/>
          <w:lang w:val="et-EE"/>
        </w:rPr>
      </w:pPr>
      <w:r w:rsidRPr="00EC3BD7">
        <w:rPr>
          <w:color w:val="000000"/>
          <w:szCs w:val="22"/>
          <w:u w:val="single"/>
          <w:lang w:val="et-EE"/>
        </w:rPr>
        <w:t>Hüpotüreoidism</w:t>
      </w:r>
    </w:p>
    <w:p w14:paraId="5783013B" w14:textId="77777777" w:rsidR="00E21A2F" w:rsidRPr="00EC3BD7" w:rsidRDefault="00E21A2F" w:rsidP="00E21A2F">
      <w:pPr>
        <w:pStyle w:val="EndnoteText"/>
        <w:widowControl w:val="0"/>
        <w:tabs>
          <w:tab w:val="clear" w:pos="567"/>
          <w:tab w:val="left" w:pos="7655"/>
        </w:tabs>
        <w:rPr>
          <w:color w:val="000000"/>
          <w:szCs w:val="22"/>
          <w:lang w:val="et-EE"/>
        </w:rPr>
      </w:pPr>
      <w:r w:rsidRPr="00EC3BD7">
        <w:rPr>
          <w:color w:val="000000"/>
          <w:szCs w:val="22"/>
          <w:lang w:val="et-EE"/>
        </w:rPr>
        <w:t xml:space="preserve">Kliinilisi hüpotüreoidismi juhtusid on kirjeldatud türeoidektoomia läbinud patsientidel, kes saavad Glivec-ravi ajal asendusravi levotüroksiiniga (vt </w:t>
      </w:r>
      <w:r w:rsidRPr="00EC3BD7">
        <w:rPr>
          <w:lang w:val="et-EE"/>
        </w:rPr>
        <w:t>lõik</w:t>
      </w:r>
      <w:r w:rsidR="00F570D9" w:rsidRPr="00EC3BD7">
        <w:rPr>
          <w:lang w:val="et-EE"/>
        </w:rPr>
        <w:t> </w:t>
      </w:r>
      <w:r w:rsidRPr="00EC3BD7">
        <w:rPr>
          <w:lang w:val="et-EE"/>
        </w:rPr>
        <w:t>4</w:t>
      </w:r>
      <w:r w:rsidRPr="00EC3BD7">
        <w:rPr>
          <w:color w:val="000000"/>
          <w:szCs w:val="22"/>
          <w:lang w:val="et-EE"/>
        </w:rPr>
        <w:t>.5). Nendel patsientidel tuleb hoolega jälgida kilpnääret stimuleeriva hormooni (türeotropiini) sisaldust.</w:t>
      </w:r>
    </w:p>
    <w:p w14:paraId="57D312C4" w14:textId="77777777" w:rsidR="00E21A2F" w:rsidRPr="00EC3BD7" w:rsidRDefault="00E21A2F" w:rsidP="00E21A2F">
      <w:pPr>
        <w:pStyle w:val="EndnoteText"/>
        <w:widowControl w:val="0"/>
        <w:tabs>
          <w:tab w:val="clear" w:pos="567"/>
          <w:tab w:val="left" w:pos="7655"/>
        </w:tabs>
        <w:rPr>
          <w:color w:val="000000"/>
          <w:szCs w:val="22"/>
          <w:lang w:val="et-EE"/>
        </w:rPr>
      </w:pPr>
    </w:p>
    <w:p w14:paraId="5783DD57" w14:textId="77777777" w:rsidR="00E21A2F" w:rsidRPr="00EC3BD7" w:rsidRDefault="00E21A2F" w:rsidP="00B9089D">
      <w:pPr>
        <w:pStyle w:val="EndnoteText"/>
        <w:keepNext/>
        <w:widowControl w:val="0"/>
        <w:tabs>
          <w:tab w:val="clear" w:pos="567"/>
          <w:tab w:val="left" w:pos="7655"/>
        </w:tabs>
        <w:rPr>
          <w:color w:val="000000"/>
          <w:szCs w:val="22"/>
          <w:lang w:val="et-EE"/>
        </w:rPr>
      </w:pPr>
      <w:r w:rsidRPr="00EC3BD7">
        <w:rPr>
          <w:color w:val="000000"/>
          <w:szCs w:val="22"/>
          <w:u w:val="single"/>
          <w:lang w:val="et-EE"/>
        </w:rPr>
        <w:t>Hepatotoksilisus</w:t>
      </w:r>
    </w:p>
    <w:p w14:paraId="78CF4145" w14:textId="06D8A36F"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Gliveci metabolism toimub peamiselt maksas ja ainult 13% ravimist eritub neerude kaudu. Maksapuudulikkusega (kerge, keskmise või raske) patsientidel tuleb hoolikalt jälgida perifeerse verepildi näitajaid ja maksaensüüme (vt lõik</w:t>
      </w:r>
      <w:r w:rsidR="00F570D9" w:rsidRPr="00EC3BD7">
        <w:rPr>
          <w:color w:val="000000"/>
          <w:szCs w:val="22"/>
          <w:lang w:val="et-EE"/>
        </w:rPr>
        <w:t> </w:t>
      </w:r>
      <w:r w:rsidRPr="00EC3BD7">
        <w:rPr>
          <w:color w:val="000000"/>
          <w:szCs w:val="22"/>
          <w:lang w:val="et-EE"/>
        </w:rPr>
        <w:t>4.2, 4.8 ja 5.2). Tuleb märkida, et GIST</w:t>
      </w:r>
      <w:r w:rsidR="007C2360">
        <w:rPr>
          <w:color w:val="000000"/>
          <w:szCs w:val="22"/>
          <w:lang w:val="et-EE"/>
        </w:rPr>
        <w:t>-i</w:t>
      </w:r>
      <w:r w:rsidRPr="00EC3BD7">
        <w:rPr>
          <w:color w:val="000000"/>
          <w:szCs w:val="22"/>
          <w:lang w:val="et-EE"/>
        </w:rPr>
        <w:t xml:space="preserve"> patsientidel </w:t>
      </w:r>
      <w:r w:rsidRPr="00EC3BD7">
        <w:rPr>
          <w:color w:val="000000"/>
          <w:szCs w:val="22"/>
          <w:lang w:val="et-EE"/>
        </w:rPr>
        <w:lastRenderedPageBreak/>
        <w:t>võivad esineda maksametastaasid, mis võivad põhjustada maksafunktsiooni halvenemist.</w:t>
      </w:r>
    </w:p>
    <w:p w14:paraId="4207FF22" w14:textId="77777777" w:rsidR="00E21A2F" w:rsidRPr="00EC3BD7" w:rsidRDefault="00E21A2F" w:rsidP="00E21A2F">
      <w:pPr>
        <w:pStyle w:val="EndnoteText"/>
        <w:widowControl w:val="0"/>
        <w:tabs>
          <w:tab w:val="clear" w:pos="567"/>
        </w:tabs>
        <w:rPr>
          <w:color w:val="000000"/>
          <w:szCs w:val="22"/>
          <w:lang w:val="et-EE"/>
        </w:rPr>
      </w:pPr>
    </w:p>
    <w:p w14:paraId="47D399FC" w14:textId="77777777"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Imatiniibi kasutamisel on täheldatud maksakahjustuse, kaasarvatud maksapuudulikkuse ja maksanekroosi, juhte. Kui imatiniibi kombineeritakse suurte kemoteraapia annustega, on täheldatud tõsiste maksareaktsioonide sageduse tõusu. Maksafunktsiooni tuleb tähelepanelikult jälgida tingimustes, kus imatiniibi kombineeritakse kemoteraapia skeemidega, mis on teadaolevalt samuti seotud maksafunktsiooni häiretega (vt lõigud</w:t>
      </w:r>
      <w:r w:rsidR="00F570D9" w:rsidRPr="00EC3BD7">
        <w:rPr>
          <w:color w:val="000000"/>
          <w:szCs w:val="22"/>
          <w:lang w:val="et-EE"/>
        </w:rPr>
        <w:t> </w:t>
      </w:r>
      <w:r w:rsidRPr="00EC3BD7">
        <w:rPr>
          <w:color w:val="000000"/>
          <w:szCs w:val="22"/>
          <w:lang w:val="et-EE"/>
        </w:rPr>
        <w:t>4.5 ja 4.8).</w:t>
      </w:r>
    </w:p>
    <w:p w14:paraId="1BC74233" w14:textId="77777777" w:rsidR="00E21A2F" w:rsidRPr="00EC3BD7" w:rsidRDefault="00E21A2F" w:rsidP="00E21A2F">
      <w:pPr>
        <w:pStyle w:val="EndnoteText"/>
        <w:widowControl w:val="0"/>
        <w:tabs>
          <w:tab w:val="clear" w:pos="567"/>
        </w:tabs>
        <w:rPr>
          <w:color w:val="000000"/>
          <w:szCs w:val="22"/>
          <w:lang w:val="et-EE"/>
        </w:rPr>
      </w:pPr>
    </w:p>
    <w:p w14:paraId="46435659" w14:textId="77777777" w:rsidR="00E21A2F" w:rsidRPr="00EC3BD7" w:rsidRDefault="00E21A2F" w:rsidP="00B9089D">
      <w:pPr>
        <w:pStyle w:val="EndnoteText"/>
        <w:keepNext/>
        <w:widowControl w:val="0"/>
        <w:tabs>
          <w:tab w:val="clear" w:pos="567"/>
        </w:tabs>
        <w:rPr>
          <w:color w:val="000000"/>
          <w:szCs w:val="22"/>
          <w:lang w:val="et-EE"/>
        </w:rPr>
      </w:pPr>
      <w:r w:rsidRPr="00EC3BD7">
        <w:rPr>
          <w:color w:val="000000"/>
          <w:szCs w:val="22"/>
          <w:u w:val="single"/>
          <w:lang w:val="et-EE"/>
        </w:rPr>
        <w:t>Vedelikupeetus</w:t>
      </w:r>
    </w:p>
    <w:p w14:paraId="20547A89" w14:textId="1B1C8AEA"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 xml:space="preserve">Umbes 2,5% Glivecit kasutavast äsja diagnoositud </w:t>
      </w:r>
      <w:smartTag w:uri="urn:schemas-microsoft-com:office:smarttags" w:element="stockticker">
        <w:r w:rsidRPr="00EC3BD7">
          <w:rPr>
            <w:color w:val="000000"/>
            <w:szCs w:val="22"/>
            <w:lang w:val="et-EE"/>
          </w:rPr>
          <w:t>KML</w:t>
        </w:r>
        <w:r w:rsidR="007C2360">
          <w:rPr>
            <w:color w:val="000000"/>
            <w:szCs w:val="22"/>
            <w:lang w:val="et-EE"/>
          </w:rPr>
          <w:t>-i</w:t>
        </w:r>
      </w:smartTag>
      <w:r w:rsidRPr="00EC3BD7">
        <w:rPr>
          <w:color w:val="000000"/>
          <w:szCs w:val="22"/>
          <w:lang w:val="et-EE"/>
        </w:rPr>
        <w:t xml:space="preserve"> patsiendist on täheldatud rasket vedelikupeetust (pleura efusioon, tursed, kopsuturse, astsiit, pindmine turse). Seetõttu soovitatakse tungivalt patsiente korrapäraselt kaaluda. Ootamatut kiiret kaalutõusu tuleb hoolikalt uurida ja vajadusel määrata toetav ravi. Kliinilistes uuringutes täheldati taoliste juhtude suuremat esinemissagedust eakatel ja neil, kellel oli anamneesis varasem südamehaigus. Seetõttu tuleb südamehaigusega patsientidega olla ettevaatlik.</w:t>
      </w:r>
    </w:p>
    <w:p w14:paraId="63EDAA51" w14:textId="77777777" w:rsidR="00E21A2F" w:rsidRPr="00EC3BD7" w:rsidRDefault="00E21A2F" w:rsidP="00E21A2F">
      <w:pPr>
        <w:pStyle w:val="EndnoteText"/>
        <w:widowControl w:val="0"/>
        <w:tabs>
          <w:tab w:val="clear" w:pos="567"/>
        </w:tabs>
        <w:rPr>
          <w:color w:val="000000"/>
          <w:szCs w:val="22"/>
          <w:lang w:val="et-EE"/>
        </w:rPr>
      </w:pPr>
    </w:p>
    <w:p w14:paraId="2FABC962" w14:textId="77777777" w:rsidR="00E21A2F" w:rsidRPr="00EC3BD7" w:rsidRDefault="00E21A2F" w:rsidP="00B9089D">
      <w:pPr>
        <w:pStyle w:val="EndnoteText"/>
        <w:keepNext/>
        <w:widowControl w:val="0"/>
        <w:tabs>
          <w:tab w:val="clear" w:pos="567"/>
        </w:tabs>
        <w:rPr>
          <w:color w:val="000000"/>
          <w:szCs w:val="22"/>
          <w:lang w:val="et-EE"/>
        </w:rPr>
      </w:pPr>
      <w:r w:rsidRPr="00EC3BD7">
        <w:rPr>
          <w:color w:val="000000"/>
          <w:szCs w:val="22"/>
          <w:u w:val="single"/>
          <w:lang w:val="et-EE"/>
        </w:rPr>
        <w:t>Südamehaigusega patsiendid</w:t>
      </w:r>
    </w:p>
    <w:p w14:paraId="6C5973EA" w14:textId="77777777"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Südamehaiguse, südamepuudulikkuse riskifaktorite või varasema neerupuudulikkusega patsiente tuleb hoolikalt jälgida ning igat patsienti, kellel esinevad südame- või neerupuudulikkuse sümptomid või nähud, tuleb täiendavalt uurida ning ravida.</w:t>
      </w:r>
    </w:p>
    <w:p w14:paraId="3EC0C481" w14:textId="77777777" w:rsidR="00E21A2F" w:rsidRPr="00EC3BD7" w:rsidRDefault="00E21A2F" w:rsidP="00E21A2F">
      <w:pPr>
        <w:pStyle w:val="EndnoteText"/>
        <w:widowControl w:val="0"/>
        <w:tabs>
          <w:tab w:val="clear" w:pos="567"/>
        </w:tabs>
        <w:rPr>
          <w:color w:val="000000"/>
          <w:szCs w:val="22"/>
          <w:lang w:val="et-EE"/>
        </w:rPr>
      </w:pPr>
    </w:p>
    <w:p w14:paraId="043F634E" w14:textId="77777777"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Hüpereosinofiilse sündroomiga (HES) patsientidel, kellel on HES rakkude varjatud infiltratsioon müokardis, on imatiniibravi alustamise järel üksikjuhtudel tekkinud kardiogeenne šokk/vasaku vatsakese düsfunktsioon koos HES rakkude degranulatsiooniga. See seisund oli pöörduv pärast süsteemsete steroidide manustamist, vereringet toetavaid meetmeid ja imatiniibi ajutist ärajätmist. Kuna südamehäireid on imatiniibi kasutamisel esinenud aeg-ajalt, tuleb HES/KEL populatsioonil enne ravi alustamist hoolikalt kaaluda imatiniib-ravi riski/kasu suhet.</w:t>
      </w:r>
    </w:p>
    <w:p w14:paraId="0ED16408" w14:textId="77777777" w:rsidR="00E21A2F" w:rsidRPr="00EC3BD7" w:rsidRDefault="00E21A2F" w:rsidP="00E21A2F">
      <w:pPr>
        <w:pStyle w:val="EndnoteText"/>
        <w:widowControl w:val="0"/>
        <w:tabs>
          <w:tab w:val="clear" w:pos="567"/>
        </w:tabs>
        <w:rPr>
          <w:color w:val="000000"/>
          <w:szCs w:val="22"/>
          <w:lang w:val="et-EE"/>
        </w:rPr>
      </w:pPr>
    </w:p>
    <w:p w14:paraId="11F73F55" w14:textId="13EACA74"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PDGFR geneetiliste muutustega seotud müelodüsplastilised/müeloproliferatiivsed haigused võivad olla seotud kõrge eosinofiilide tasemega. Seetõttu tuleb enne imatiniibi määramist HES/KEL</w:t>
      </w:r>
      <w:r w:rsidR="007C2360">
        <w:rPr>
          <w:color w:val="000000"/>
          <w:szCs w:val="22"/>
          <w:lang w:val="et-EE"/>
        </w:rPr>
        <w:t>-i</w:t>
      </w:r>
      <w:r w:rsidR="007C2360" w:rsidRPr="00EC3BD7">
        <w:rPr>
          <w:color w:val="000000"/>
          <w:szCs w:val="22"/>
          <w:lang w:val="et-EE"/>
        </w:rPr>
        <w:t xml:space="preserve"> </w:t>
      </w:r>
      <w:r w:rsidRPr="00EC3BD7">
        <w:rPr>
          <w:color w:val="000000"/>
          <w:szCs w:val="22"/>
          <w:lang w:val="et-EE"/>
        </w:rPr>
        <w:t xml:space="preserve">patsientidel ning neil, kellel </w:t>
      </w:r>
      <w:smartTag w:uri="urn:schemas-microsoft-com:office:smarttags" w:element="stockticker">
        <w:r w:rsidRPr="00EC3BD7">
          <w:rPr>
            <w:color w:val="000000"/>
            <w:szCs w:val="22"/>
            <w:lang w:val="et-EE"/>
          </w:rPr>
          <w:t>MDS</w:t>
        </w:r>
      </w:smartTag>
      <w:r w:rsidRPr="00EC3BD7">
        <w:rPr>
          <w:color w:val="000000"/>
          <w:szCs w:val="22"/>
          <w:lang w:val="et-EE"/>
        </w:rPr>
        <w:t>/MPD kaasneb kõrge eosinofiilide tase, kaaluda elektrokardiogrammi registreerimist ja seerumi troponiini taseme määramist ning kardioloogi konsultatsiooni. Kui esineb kõrvalekaldeid, tuleb kaaluda täiendavat kardioloogi konsultatsiooni ning süsteemsete steroidide (1...2 mg/kg) profülaktilist kasutamist ravi alguses ühe kuni kahe nädala jooksul koos imatiniibiga.</w:t>
      </w:r>
    </w:p>
    <w:p w14:paraId="55454ABD" w14:textId="77777777" w:rsidR="00E21A2F" w:rsidRPr="00EC3BD7" w:rsidRDefault="00E21A2F" w:rsidP="00E21A2F">
      <w:pPr>
        <w:pStyle w:val="EndnoteText"/>
        <w:widowControl w:val="0"/>
        <w:tabs>
          <w:tab w:val="clear" w:pos="567"/>
        </w:tabs>
        <w:rPr>
          <w:color w:val="000000"/>
          <w:szCs w:val="22"/>
          <w:lang w:val="et-EE"/>
        </w:rPr>
      </w:pPr>
    </w:p>
    <w:p w14:paraId="5E510A9A" w14:textId="77777777" w:rsidR="00E21A2F" w:rsidRPr="00EC3BD7" w:rsidRDefault="00E21A2F" w:rsidP="00B9089D">
      <w:pPr>
        <w:pStyle w:val="EndnoteText"/>
        <w:keepNext/>
        <w:widowControl w:val="0"/>
        <w:tabs>
          <w:tab w:val="clear" w:pos="567"/>
        </w:tabs>
        <w:rPr>
          <w:color w:val="000000"/>
          <w:szCs w:val="22"/>
          <w:lang w:val="et-EE"/>
        </w:rPr>
      </w:pPr>
      <w:r w:rsidRPr="00EC3BD7">
        <w:rPr>
          <w:color w:val="000000"/>
          <w:szCs w:val="22"/>
          <w:u w:val="single"/>
          <w:lang w:val="et-EE"/>
        </w:rPr>
        <w:t>Seedetrakti verejooks</w:t>
      </w:r>
    </w:p>
    <w:p w14:paraId="66109CE5" w14:textId="35767995" w:rsidR="00E21A2F" w:rsidRPr="00EC3BD7" w:rsidRDefault="00E21A2F" w:rsidP="00E21A2F">
      <w:pPr>
        <w:pStyle w:val="EndnoteText"/>
        <w:widowControl w:val="0"/>
        <w:tabs>
          <w:tab w:val="clear" w:pos="567"/>
        </w:tabs>
        <w:rPr>
          <w:strike/>
          <w:color w:val="000000"/>
          <w:szCs w:val="22"/>
          <w:lang w:val="et-EE"/>
        </w:rPr>
      </w:pPr>
      <w:r w:rsidRPr="00EC3BD7">
        <w:rPr>
          <w:snapToGrid w:val="0"/>
          <w:color w:val="000000"/>
          <w:szCs w:val="22"/>
          <w:lang w:val="et-EE"/>
        </w:rPr>
        <w:t>Mitteopereeritava ja/või metastaseerunud GIST</w:t>
      </w:r>
      <w:r w:rsidR="007C2360">
        <w:rPr>
          <w:color w:val="000000"/>
          <w:szCs w:val="22"/>
          <w:lang w:val="et-EE"/>
        </w:rPr>
        <w:t>-i</w:t>
      </w:r>
      <w:r w:rsidRPr="00EC3BD7">
        <w:rPr>
          <w:snapToGrid w:val="0"/>
          <w:color w:val="000000"/>
          <w:szCs w:val="22"/>
          <w:lang w:val="et-EE"/>
        </w:rPr>
        <w:t xml:space="preserve"> uuringus täheldati nii seedetrakti verejookse kui kasvajasiseseid verejookse (vt lõik</w:t>
      </w:r>
      <w:r w:rsidR="00F570D9" w:rsidRPr="00EC3BD7">
        <w:rPr>
          <w:lang w:val="et-EE"/>
        </w:rPr>
        <w:t> </w:t>
      </w:r>
      <w:r w:rsidRPr="00EC3BD7">
        <w:rPr>
          <w:snapToGrid w:val="0"/>
          <w:color w:val="000000"/>
          <w:szCs w:val="22"/>
          <w:lang w:val="et-EE"/>
        </w:rPr>
        <w:t>4.8). Olemasolevate andmete põhjal ei ole kindlaks tehtud soodustavaid tegureid (näiteks kasvaja suurus, kasvaja paiknemine, koagulatsioonihäired), mille järgi saaks eristada GIST</w:t>
      </w:r>
      <w:r w:rsidR="007C2360">
        <w:rPr>
          <w:color w:val="000000"/>
          <w:szCs w:val="22"/>
          <w:lang w:val="et-EE"/>
        </w:rPr>
        <w:t>-i</w:t>
      </w:r>
      <w:r w:rsidRPr="00EC3BD7">
        <w:rPr>
          <w:snapToGrid w:val="0"/>
          <w:color w:val="000000"/>
          <w:szCs w:val="22"/>
          <w:lang w:val="et-EE"/>
        </w:rPr>
        <w:t xml:space="preserve"> patsiente, kellel on suurem risk ükskõik kumba tüüpi verejooksu tekkeks. Et suurenenud vaskulariseerumine ja kalduvus veritsusele on osa GIST</w:t>
      </w:r>
      <w:r w:rsidR="007C2360">
        <w:rPr>
          <w:color w:val="000000"/>
          <w:szCs w:val="22"/>
          <w:lang w:val="et-EE"/>
        </w:rPr>
        <w:t>-i</w:t>
      </w:r>
      <w:r w:rsidRPr="00EC3BD7">
        <w:rPr>
          <w:snapToGrid w:val="0"/>
          <w:color w:val="000000"/>
          <w:szCs w:val="22"/>
          <w:lang w:val="et-EE"/>
        </w:rPr>
        <w:t xml:space="preserve"> olemusest ja kliinilisest kulust, tuleb kõigil patsientidel verejooksude jälgimises ja ravis rakendada standardseid meetmeid ja protseduure.</w:t>
      </w:r>
    </w:p>
    <w:p w14:paraId="265FED10" w14:textId="77777777" w:rsidR="008F4DAA" w:rsidRPr="00EC3BD7" w:rsidRDefault="008F4DAA" w:rsidP="008F4DAA">
      <w:pPr>
        <w:pStyle w:val="EndnoteText"/>
        <w:rPr>
          <w:color w:val="000000"/>
          <w:szCs w:val="22"/>
          <w:lang w:val="et-EE"/>
        </w:rPr>
      </w:pPr>
    </w:p>
    <w:p w14:paraId="4916398E" w14:textId="4496C809" w:rsidR="008F4DAA" w:rsidRPr="00EC3BD7" w:rsidRDefault="008F4DAA" w:rsidP="008F4DAA">
      <w:pPr>
        <w:pStyle w:val="EndnoteText"/>
        <w:rPr>
          <w:color w:val="000000"/>
          <w:szCs w:val="22"/>
          <w:lang w:val="et-EE"/>
        </w:rPr>
      </w:pPr>
      <w:r w:rsidRPr="00EC3BD7">
        <w:rPr>
          <w:color w:val="000000"/>
          <w:szCs w:val="22"/>
          <w:lang w:val="et-EE"/>
        </w:rPr>
        <w:t>Lisaks on KML</w:t>
      </w:r>
      <w:r w:rsidR="007C2360">
        <w:rPr>
          <w:color w:val="000000"/>
          <w:szCs w:val="22"/>
          <w:lang w:val="et-EE"/>
        </w:rPr>
        <w:t>-i</w:t>
      </w:r>
      <w:r w:rsidRPr="00EC3BD7">
        <w:rPr>
          <w:color w:val="000000"/>
          <w:szCs w:val="22"/>
          <w:lang w:val="et-EE"/>
        </w:rPr>
        <w:t>, ALL</w:t>
      </w:r>
      <w:r w:rsidR="007C2360">
        <w:rPr>
          <w:color w:val="000000"/>
          <w:szCs w:val="22"/>
          <w:lang w:val="et-EE"/>
        </w:rPr>
        <w:t>-i</w:t>
      </w:r>
      <w:r w:rsidRPr="00EC3BD7">
        <w:rPr>
          <w:color w:val="000000"/>
          <w:szCs w:val="22"/>
          <w:lang w:val="et-EE"/>
        </w:rPr>
        <w:t xml:space="preserve"> ja teiste haigustega patsientidel turuletulekujärgselt teatatud mao </w:t>
      </w:r>
      <w:r w:rsidRPr="00EC3BD7">
        <w:rPr>
          <w:i/>
          <w:color w:val="000000"/>
          <w:szCs w:val="22"/>
          <w:lang w:val="et-EE"/>
        </w:rPr>
        <w:t>antrumi</w:t>
      </w:r>
      <w:r w:rsidRPr="00EC3BD7">
        <w:rPr>
          <w:color w:val="000000"/>
          <w:szCs w:val="22"/>
          <w:lang w:val="et-EE"/>
        </w:rPr>
        <w:t xml:space="preserve"> piirkonna vaskulaarsest ektaasiast (</w:t>
      </w:r>
      <w:r w:rsidRPr="00EC3BD7">
        <w:rPr>
          <w:i/>
          <w:color w:val="000000"/>
          <w:szCs w:val="22"/>
          <w:lang w:val="et-EE"/>
        </w:rPr>
        <w:t xml:space="preserve">gastric antral vascular ectasia, </w:t>
      </w:r>
      <w:r w:rsidRPr="00EC3BD7">
        <w:rPr>
          <w:color w:val="000000"/>
          <w:szCs w:val="22"/>
          <w:lang w:val="et-EE"/>
        </w:rPr>
        <w:t>GAVE) (vt lõik 4.8). Vajadusel tuleb kaaluda Glivec</w:t>
      </w:r>
      <w:r w:rsidRPr="00EC3BD7">
        <w:rPr>
          <w:color w:val="000000"/>
          <w:szCs w:val="22"/>
          <w:lang w:val="et-EE"/>
        </w:rPr>
        <w:noBreakHyphen/>
        <w:t>ravi katkestamist.</w:t>
      </w:r>
    </w:p>
    <w:p w14:paraId="74AAE602" w14:textId="77777777" w:rsidR="00E21A2F" w:rsidRPr="00EC3BD7" w:rsidRDefault="00E21A2F" w:rsidP="00E21A2F">
      <w:pPr>
        <w:pStyle w:val="EndnoteText"/>
        <w:widowControl w:val="0"/>
        <w:tabs>
          <w:tab w:val="clear" w:pos="567"/>
        </w:tabs>
        <w:rPr>
          <w:color w:val="000000"/>
          <w:szCs w:val="22"/>
          <w:lang w:val="et-EE"/>
        </w:rPr>
      </w:pPr>
    </w:p>
    <w:p w14:paraId="5B46CA5E" w14:textId="77777777" w:rsidR="00E21A2F" w:rsidRPr="00EC3BD7" w:rsidRDefault="00E21A2F" w:rsidP="00B9089D">
      <w:pPr>
        <w:pStyle w:val="EndnoteText"/>
        <w:keepNext/>
        <w:widowControl w:val="0"/>
        <w:tabs>
          <w:tab w:val="clear" w:pos="567"/>
        </w:tabs>
        <w:rPr>
          <w:color w:val="000000"/>
          <w:szCs w:val="22"/>
          <w:lang w:val="et-EE"/>
        </w:rPr>
      </w:pPr>
      <w:r w:rsidRPr="00EC3BD7">
        <w:rPr>
          <w:color w:val="000000"/>
          <w:szCs w:val="22"/>
          <w:u w:val="single"/>
          <w:lang w:val="et-EE"/>
        </w:rPr>
        <w:t>Tuumorilahustussündroom</w:t>
      </w:r>
    </w:p>
    <w:p w14:paraId="45CE6ADD" w14:textId="77777777"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Võimaliku tuumorilahustussündroomi tõttu on enne Glivec-ravi soovitatav kliiniliselt olulise dehüdratsiooni korrigeerimine ja kõrge kusihappesisalduse ravi (vt lõik</w:t>
      </w:r>
      <w:r w:rsidR="00F570D9" w:rsidRPr="00EC3BD7">
        <w:rPr>
          <w:color w:val="000000"/>
          <w:szCs w:val="22"/>
          <w:lang w:val="et-EE"/>
        </w:rPr>
        <w:t> </w:t>
      </w:r>
      <w:r w:rsidRPr="00EC3BD7">
        <w:rPr>
          <w:color w:val="000000"/>
          <w:szCs w:val="22"/>
          <w:lang w:val="et-EE"/>
        </w:rPr>
        <w:t>4.8).</w:t>
      </w:r>
    </w:p>
    <w:p w14:paraId="1AE67DA6" w14:textId="77777777" w:rsidR="00FE4734" w:rsidRPr="00EC3BD7" w:rsidRDefault="00FE4734" w:rsidP="00FE4734">
      <w:pPr>
        <w:widowControl w:val="0"/>
        <w:spacing w:line="240" w:lineRule="auto"/>
        <w:rPr>
          <w:szCs w:val="24"/>
          <w:lang w:val="et-EE"/>
        </w:rPr>
      </w:pPr>
    </w:p>
    <w:p w14:paraId="176F0939" w14:textId="77777777" w:rsidR="00FE4734" w:rsidRPr="00EC3BD7" w:rsidRDefault="00FE4734" w:rsidP="00FE4734">
      <w:pPr>
        <w:keepNext/>
        <w:widowControl w:val="0"/>
        <w:tabs>
          <w:tab w:val="clear" w:pos="567"/>
        </w:tabs>
        <w:spacing w:line="240" w:lineRule="auto"/>
        <w:rPr>
          <w:rFonts w:eastAsia="MS Mincho"/>
          <w:szCs w:val="22"/>
          <w:u w:val="single"/>
          <w:lang w:val="et-EE"/>
        </w:rPr>
      </w:pPr>
      <w:r w:rsidRPr="00EC3BD7">
        <w:rPr>
          <w:rFonts w:eastAsia="MS Mincho"/>
          <w:szCs w:val="22"/>
          <w:u w:val="single"/>
          <w:lang w:val="et-EE"/>
        </w:rPr>
        <w:t>B</w:t>
      </w:r>
      <w:r w:rsidRPr="00EC3BD7">
        <w:rPr>
          <w:rFonts w:eastAsia="MS Mincho"/>
          <w:szCs w:val="22"/>
          <w:u w:val="single"/>
          <w:lang w:val="et-EE"/>
        </w:rPr>
        <w:noBreakHyphen/>
        <w:t>hepatiidi reaktivatsioon</w:t>
      </w:r>
    </w:p>
    <w:p w14:paraId="19C180DD" w14:textId="77777777" w:rsidR="00FE4734" w:rsidRPr="00EC3BD7" w:rsidRDefault="00FE4734" w:rsidP="00FE4734">
      <w:pPr>
        <w:tabs>
          <w:tab w:val="clear" w:pos="567"/>
        </w:tabs>
        <w:spacing w:line="240" w:lineRule="auto"/>
        <w:rPr>
          <w:rFonts w:eastAsia="MS Mincho"/>
          <w:szCs w:val="22"/>
          <w:lang w:val="et-EE"/>
        </w:rPr>
      </w:pPr>
      <w:r w:rsidRPr="00EC3BD7">
        <w:rPr>
          <w:rFonts w:eastAsia="MS Mincho"/>
          <w:szCs w:val="22"/>
          <w:lang w:val="et-EE"/>
        </w:rPr>
        <w:t>Esinenud on B</w:t>
      </w:r>
      <w:r w:rsidRPr="00EC3BD7">
        <w:rPr>
          <w:rFonts w:eastAsia="MS Mincho"/>
          <w:szCs w:val="22"/>
          <w:lang w:val="et-EE"/>
        </w:rPr>
        <w:noBreakHyphen/>
        <w:t>hepatiidi reaktiveerumist viirust krooniliselt kandvatel patsientidel pärast BCR-ABL-türosiinkinaasiinhibiitorite kasutamist. Mõnel juhul tekkis äge maksapuudulikkus või fulminantne hepatiit, mille tõttu tekkis maksasiirdamise vajadus või patsient suri.</w:t>
      </w:r>
    </w:p>
    <w:p w14:paraId="2F7957C2" w14:textId="77777777" w:rsidR="00FE4734" w:rsidRPr="00EC3BD7" w:rsidRDefault="00FE4734" w:rsidP="00FE4734">
      <w:pPr>
        <w:tabs>
          <w:tab w:val="clear" w:pos="567"/>
        </w:tabs>
        <w:spacing w:line="240" w:lineRule="auto"/>
        <w:rPr>
          <w:rFonts w:eastAsia="MS Mincho"/>
          <w:szCs w:val="22"/>
          <w:lang w:val="et-EE"/>
        </w:rPr>
      </w:pPr>
    </w:p>
    <w:p w14:paraId="5D286D2A" w14:textId="025CDD4E" w:rsidR="00FE4734" w:rsidRPr="00EC3BD7" w:rsidRDefault="00FE4734" w:rsidP="00FE4734">
      <w:pPr>
        <w:tabs>
          <w:tab w:val="clear" w:pos="567"/>
        </w:tabs>
        <w:spacing w:line="240" w:lineRule="auto"/>
        <w:rPr>
          <w:rFonts w:eastAsia="MS Mincho"/>
          <w:szCs w:val="22"/>
          <w:lang w:val="et-EE"/>
        </w:rPr>
      </w:pPr>
      <w:r w:rsidRPr="00EC3BD7">
        <w:rPr>
          <w:rFonts w:eastAsia="MS Mincho"/>
          <w:szCs w:val="22"/>
          <w:lang w:val="et-EE"/>
        </w:rPr>
        <w:t>Enne Glivec</w:t>
      </w:r>
      <w:r w:rsidRPr="00EC3BD7">
        <w:rPr>
          <w:rFonts w:eastAsia="MS Mincho"/>
          <w:szCs w:val="22"/>
          <w:lang w:val="et-EE"/>
        </w:rPr>
        <w:noBreakHyphen/>
        <w:t>ravi alustamist tuleb patsienti uurida HBV-infektsiooni suhtes. Patsientidel, kellel leitakse positiivsed B-hepatiidi seroloogilised markerid (sh aktiivse haigusega patsiendid), tuleb enne ravi alustamist konsulteerida maksahaiguste ning B-hepatiidi ravi spetsialistidega. Patsientidel, kellel HBV-infektsiooni uuring on ravi ajal positiivne, tuleb samuti</w:t>
      </w:r>
      <w:r w:rsidRPr="00EC3BD7">
        <w:rPr>
          <w:rFonts w:ascii="Verdana" w:hAnsi="Verdana" w:cs="Verdana"/>
          <w:color w:val="000000"/>
          <w:sz w:val="18"/>
          <w:szCs w:val="18"/>
          <w:lang w:val="et-EE" w:eastAsia="en-GB"/>
        </w:rPr>
        <w:t xml:space="preserve"> </w:t>
      </w:r>
      <w:r w:rsidRPr="00EC3BD7">
        <w:rPr>
          <w:rFonts w:eastAsia="MS Mincho"/>
          <w:szCs w:val="22"/>
          <w:lang w:val="et-EE"/>
        </w:rPr>
        <w:t>konsulteerida maksahaiguste ning B</w:t>
      </w:r>
      <w:r w:rsidRPr="00EC3BD7">
        <w:rPr>
          <w:rFonts w:eastAsia="MS Mincho"/>
          <w:szCs w:val="22"/>
          <w:lang w:val="et-EE"/>
        </w:rPr>
        <w:noBreakHyphen/>
        <w:t>hepatiidi ravi spetsialistidega. Glivec</w:t>
      </w:r>
      <w:r w:rsidRPr="00EC3BD7">
        <w:rPr>
          <w:rFonts w:eastAsia="MS Mincho"/>
          <w:szCs w:val="22"/>
          <w:lang w:val="et-EE"/>
        </w:rPr>
        <w:noBreakHyphen/>
        <w:t>ravi vajavaid HBV</w:t>
      </w:r>
      <w:r w:rsidR="007C2360">
        <w:rPr>
          <w:color w:val="000000"/>
          <w:szCs w:val="22"/>
          <w:lang w:val="et-EE"/>
        </w:rPr>
        <w:t>-i</w:t>
      </w:r>
      <w:r w:rsidRPr="00EC3BD7">
        <w:rPr>
          <w:rFonts w:eastAsia="MS Mincho"/>
          <w:szCs w:val="22"/>
          <w:lang w:val="et-EE"/>
        </w:rPr>
        <w:t xml:space="preserve"> kandjaid tuleb hoolikalt jälgida aktiivse HBV-infektsiooni nähtude ja sümptomite suhtes ravi ajal ning mitme kuu jooksul pärast ravi lõppu (vt lõik 4.8).</w:t>
      </w:r>
    </w:p>
    <w:p w14:paraId="72F0CD3B" w14:textId="77777777" w:rsidR="00DB44B7" w:rsidRPr="00EC3BD7" w:rsidRDefault="00DB44B7" w:rsidP="00FE4734">
      <w:pPr>
        <w:tabs>
          <w:tab w:val="clear" w:pos="567"/>
        </w:tabs>
        <w:spacing w:line="240" w:lineRule="auto"/>
        <w:rPr>
          <w:rFonts w:eastAsia="MS Mincho"/>
          <w:szCs w:val="22"/>
          <w:lang w:val="et-EE"/>
        </w:rPr>
      </w:pPr>
    </w:p>
    <w:p w14:paraId="1AFE3CA2" w14:textId="77777777" w:rsidR="00DB44B7" w:rsidRPr="00EC3BD7" w:rsidRDefault="00DB44B7" w:rsidP="000A2EA6">
      <w:pPr>
        <w:keepNext/>
        <w:tabs>
          <w:tab w:val="clear" w:pos="567"/>
        </w:tabs>
        <w:spacing w:line="240" w:lineRule="auto"/>
        <w:rPr>
          <w:rFonts w:eastAsia="MS Mincho"/>
          <w:szCs w:val="22"/>
          <w:u w:val="single"/>
          <w:lang w:val="et-EE"/>
        </w:rPr>
      </w:pPr>
      <w:r w:rsidRPr="00EC3BD7">
        <w:rPr>
          <w:rFonts w:eastAsia="MS Mincho"/>
          <w:szCs w:val="22"/>
          <w:u w:val="single"/>
          <w:lang w:val="et-EE"/>
        </w:rPr>
        <w:t>Fototoksilisus</w:t>
      </w:r>
    </w:p>
    <w:p w14:paraId="2668D16B" w14:textId="77777777" w:rsidR="00DB44B7" w:rsidRPr="00EC3BD7" w:rsidRDefault="00DB44B7" w:rsidP="00DB44B7">
      <w:pPr>
        <w:tabs>
          <w:tab w:val="clear" w:pos="567"/>
        </w:tabs>
        <w:spacing w:line="240" w:lineRule="auto"/>
        <w:rPr>
          <w:rFonts w:eastAsia="MS Mincho"/>
          <w:szCs w:val="22"/>
          <w:lang w:val="et-EE"/>
        </w:rPr>
      </w:pPr>
      <w:r w:rsidRPr="00EC3BD7">
        <w:rPr>
          <w:rFonts w:eastAsia="MS Mincho"/>
          <w:szCs w:val="22"/>
          <w:lang w:val="et-EE"/>
        </w:rPr>
        <w:t>Imatiniibi raviga seotud fototoksilisuse riski tõttu tuleb otseses päikesekiirguses viibimist vältida või minimeerida. Patsiente tuleb juhendada, et nad kasutaksid keha katvat riietust ja nahakaitsekreeme, millel on kõrge päikesekaitsefaktori sisaldus (SPF).</w:t>
      </w:r>
    </w:p>
    <w:p w14:paraId="1E36C30D" w14:textId="77777777" w:rsidR="007A53C3" w:rsidRPr="00EC3BD7" w:rsidRDefault="007A53C3" w:rsidP="00DB44B7">
      <w:pPr>
        <w:tabs>
          <w:tab w:val="clear" w:pos="567"/>
        </w:tabs>
        <w:spacing w:line="240" w:lineRule="auto"/>
        <w:rPr>
          <w:rFonts w:eastAsia="MS Mincho"/>
          <w:szCs w:val="22"/>
          <w:lang w:val="et-EE"/>
        </w:rPr>
      </w:pPr>
    </w:p>
    <w:p w14:paraId="35E580A5" w14:textId="77777777" w:rsidR="007A53C3" w:rsidRPr="00EC3BD7" w:rsidRDefault="007A53C3" w:rsidP="00BC6B4D">
      <w:pPr>
        <w:keepNext/>
        <w:tabs>
          <w:tab w:val="clear" w:pos="567"/>
        </w:tabs>
        <w:spacing w:line="240" w:lineRule="auto"/>
        <w:rPr>
          <w:rFonts w:eastAsia="MS Mincho"/>
          <w:szCs w:val="22"/>
          <w:u w:val="single"/>
          <w:lang w:val="et-EE"/>
        </w:rPr>
      </w:pPr>
      <w:r w:rsidRPr="00EC3BD7">
        <w:rPr>
          <w:rFonts w:eastAsia="MS Mincho"/>
          <w:szCs w:val="22"/>
          <w:u w:val="single"/>
          <w:lang w:val="et-EE"/>
        </w:rPr>
        <w:t>Trombootiline mikroangiopaatia</w:t>
      </w:r>
    </w:p>
    <w:p w14:paraId="40851940" w14:textId="31657B4A" w:rsidR="007A53C3" w:rsidRPr="00EC3BD7" w:rsidRDefault="007A53C3" w:rsidP="00DB44B7">
      <w:pPr>
        <w:tabs>
          <w:tab w:val="clear" w:pos="567"/>
        </w:tabs>
        <w:spacing w:line="240" w:lineRule="auto"/>
        <w:rPr>
          <w:rFonts w:eastAsia="MS Mincho"/>
          <w:sz w:val="24"/>
          <w:szCs w:val="24"/>
          <w:lang w:val="et-EE"/>
        </w:rPr>
      </w:pPr>
      <w:r w:rsidRPr="00EC3BD7">
        <w:rPr>
          <w:rFonts w:eastAsia="MS Mincho"/>
          <w:szCs w:val="22"/>
          <w:lang w:val="et-EE"/>
        </w:rPr>
        <w:t>BCR</w:t>
      </w:r>
      <w:r w:rsidRPr="00EC3BD7">
        <w:rPr>
          <w:rFonts w:eastAsia="MS Mincho"/>
          <w:szCs w:val="22"/>
          <w:lang w:val="et-EE"/>
        </w:rPr>
        <w:noBreakHyphen/>
        <w:t>ABL</w:t>
      </w:r>
      <w:r w:rsidRPr="00EC3BD7">
        <w:rPr>
          <w:rFonts w:eastAsia="MS Mincho"/>
          <w:szCs w:val="22"/>
          <w:lang w:val="et-EE"/>
        </w:rPr>
        <w:noBreakHyphen/>
        <w:t xml:space="preserve">türosiinkinaasiinhibiitoreid (TKId) on seostatud trombootilise mikroangiopaatiaga (TMA), sealhulgas on </w:t>
      </w:r>
      <w:r w:rsidR="00844201" w:rsidRPr="00EC3BD7">
        <w:rPr>
          <w:rFonts w:eastAsia="MS Mincho"/>
          <w:szCs w:val="22"/>
          <w:lang w:val="et-EE"/>
        </w:rPr>
        <w:t>esinen</w:t>
      </w:r>
      <w:r w:rsidRPr="00EC3BD7">
        <w:rPr>
          <w:rFonts w:eastAsia="MS Mincho"/>
          <w:szCs w:val="22"/>
          <w:lang w:val="et-EE"/>
        </w:rPr>
        <w:t xml:space="preserve">ud </w:t>
      </w:r>
      <w:r w:rsidR="00844201" w:rsidRPr="00EC3BD7">
        <w:rPr>
          <w:rFonts w:eastAsia="MS Mincho"/>
          <w:szCs w:val="22"/>
          <w:lang w:val="et-EE"/>
        </w:rPr>
        <w:t>kõrvaltoime</w:t>
      </w:r>
      <w:r w:rsidRPr="00EC3BD7">
        <w:rPr>
          <w:rFonts w:eastAsia="MS Mincho"/>
          <w:szCs w:val="22"/>
          <w:lang w:val="et-EE"/>
        </w:rPr>
        <w:t xml:space="preserve"> teatisi Gliveci</w:t>
      </w:r>
      <w:r w:rsidR="00844201" w:rsidRPr="00EC3BD7">
        <w:rPr>
          <w:rFonts w:eastAsia="MS Mincho"/>
          <w:szCs w:val="22"/>
          <w:lang w:val="et-EE"/>
        </w:rPr>
        <w:t xml:space="preserve"> kasutajatelt</w:t>
      </w:r>
      <w:r w:rsidRPr="00EC3BD7">
        <w:rPr>
          <w:rFonts w:eastAsia="MS Mincho"/>
          <w:szCs w:val="22"/>
          <w:lang w:val="et-EE"/>
        </w:rPr>
        <w:t xml:space="preserve"> (vt lõik 4.8). Kui Glivecit võtval patsiendil ilmnevad TMA</w:t>
      </w:r>
      <w:r w:rsidR="007C2360">
        <w:rPr>
          <w:rFonts w:eastAsia="MS Mincho"/>
          <w:szCs w:val="22"/>
          <w:lang w:val="et-EE"/>
        </w:rPr>
        <w:t>-</w:t>
      </w:r>
      <w:r w:rsidRPr="00EC3BD7">
        <w:rPr>
          <w:rFonts w:eastAsia="MS Mincho"/>
          <w:szCs w:val="22"/>
          <w:lang w:val="et-EE"/>
        </w:rPr>
        <w:t>ga seostatud laboratoorsed või kliinilised leiud, peab ravi katkestama ja teostama täieliku TMA hindamise, sealhulgas määrama ADAMTS13 aktiivsuse ja anti</w:t>
      </w:r>
      <w:r w:rsidRPr="00EC3BD7">
        <w:rPr>
          <w:rFonts w:eastAsia="MS Mincho"/>
          <w:szCs w:val="22"/>
          <w:lang w:val="et-EE"/>
        </w:rPr>
        <w:noBreakHyphen/>
        <w:t>ADAMTS13</w:t>
      </w:r>
      <w:r w:rsidRPr="00EC3BD7">
        <w:rPr>
          <w:rFonts w:eastAsia="MS Mincho"/>
          <w:szCs w:val="22"/>
          <w:lang w:val="et-EE"/>
        </w:rPr>
        <w:noBreakHyphen/>
        <w:t xml:space="preserve">antikehad. Kui </w:t>
      </w:r>
      <w:r w:rsidR="00844201" w:rsidRPr="00EC3BD7">
        <w:rPr>
          <w:rFonts w:eastAsia="MS Mincho"/>
          <w:szCs w:val="22"/>
          <w:lang w:val="et-EE"/>
        </w:rPr>
        <w:t xml:space="preserve">analüüsidel tuvastatakse kõrgenenud </w:t>
      </w:r>
      <w:r w:rsidRPr="00EC3BD7">
        <w:rPr>
          <w:rFonts w:eastAsia="MS Mincho"/>
          <w:szCs w:val="22"/>
          <w:lang w:val="et-EE"/>
        </w:rPr>
        <w:t>anti</w:t>
      </w:r>
      <w:r w:rsidRPr="00EC3BD7">
        <w:rPr>
          <w:rFonts w:eastAsia="MS Mincho"/>
          <w:szCs w:val="22"/>
          <w:lang w:val="et-EE"/>
        </w:rPr>
        <w:noBreakHyphen/>
        <w:t>ADAMTS13</w:t>
      </w:r>
      <w:r w:rsidRPr="00EC3BD7">
        <w:rPr>
          <w:rFonts w:eastAsia="MS Mincho"/>
          <w:szCs w:val="22"/>
          <w:lang w:val="et-EE"/>
        </w:rPr>
        <w:noBreakHyphen/>
        <w:t xml:space="preserve">antikehade sisaldus </w:t>
      </w:r>
      <w:r w:rsidR="00844201" w:rsidRPr="00EC3BD7">
        <w:rPr>
          <w:rFonts w:eastAsia="MS Mincho"/>
          <w:szCs w:val="22"/>
          <w:lang w:val="et-EE"/>
        </w:rPr>
        <w:t>koos</w:t>
      </w:r>
      <w:r w:rsidRPr="00EC3BD7">
        <w:rPr>
          <w:rFonts w:eastAsia="MS Mincho"/>
          <w:szCs w:val="22"/>
          <w:lang w:val="et-EE"/>
        </w:rPr>
        <w:t xml:space="preserve"> </w:t>
      </w:r>
      <w:r w:rsidR="00347035">
        <w:rPr>
          <w:rFonts w:eastAsia="MS Mincho"/>
          <w:szCs w:val="22"/>
          <w:lang w:val="et-EE"/>
        </w:rPr>
        <w:t>väikese</w:t>
      </w:r>
      <w:r w:rsidRPr="00EC3BD7">
        <w:rPr>
          <w:rFonts w:eastAsia="MS Mincho"/>
          <w:szCs w:val="22"/>
          <w:lang w:val="et-EE"/>
        </w:rPr>
        <w:t xml:space="preserve"> ADAMTS13 aktiivsusega, </w:t>
      </w:r>
      <w:r w:rsidR="00844201" w:rsidRPr="00EC3BD7">
        <w:rPr>
          <w:rFonts w:eastAsia="MS Mincho"/>
          <w:szCs w:val="22"/>
          <w:lang w:val="et-EE"/>
        </w:rPr>
        <w:t xml:space="preserve">siis </w:t>
      </w:r>
      <w:r w:rsidRPr="00EC3BD7">
        <w:rPr>
          <w:rFonts w:eastAsia="MS Mincho"/>
          <w:szCs w:val="22"/>
          <w:lang w:val="et-EE"/>
        </w:rPr>
        <w:t>ei tohi ravi Gliveciga jätkata.</w:t>
      </w:r>
    </w:p>
    <w:p w14:paraId="4D2687E3" w14:textId="77777777" w:rsidR="00E21A2F" w:rsidRPr="00EC3BD7" w:rsidRDefault="00E21A2F" w:rsidP="00E21A2F">
      <w:pPr>
        <w:pStyle w:val="EndnoteText"/>
        <w:widowControl w:val="0"/>
        <w:tabs>
          <w:tab w:val="clear" w:pos="567"/>
        </w:tabs>
        <w:rPr>
          <w:color w:val="000000"/>
          <w:szCs w:val="22"/>
          <w:lang w:val="et-EE"/>
        </w:rPr>
      </w:pPr>
    </w:p>
    <w:p w14:paraId="5A37EEEC" w14:textId="77777777" w:rsidR="00E21A2F" w:rsidRPr="00EC3BD7" w:rsidRDefault="00E21A2F" w:rsidP="00B9089D">
      <w:pPr>
        <w:pStyle w:val="EndnoteText"/>
        <w:keepNext/>
        <w:widowControl w:val="0"/>
        <w:tabs>
          <w:tab w:val="clear" w:pos="567"/>
        </w:tabs>
        <w:rPr>
          <w:color w:val="000000"/>
          <w:szCs w:val="22"/>
          <w:lang w:val="et-EE"/>
        </w:rPr>
      </w:pPr>
      <w:r w:rsidRPr="00EC3BD7">
        <w:rPr>
          <w:color w:val="000000"/>
          <w:szCs w:val="22"/>
          <w:u w:val="single"/>
          <w:lang w:val="et-EE"/>
        </w:rPr>
        <w:t>Laboratoorsed analüüsid</w:t>
      </w:r>
    </w:p>
    <w:p w14:paraId="2ED5BD4F" w14:textId="04A50CE1"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 xml:space="preserve">Gliveci ravi ajal tuleb korrapäraselt teha täielik vereanalüüs. Ravi Gliveciga </w:t>
      </w:r>
      <w:smartTag w:uri="urn:schemas-microsoft-com:office:smarttags" w:element="stockticker">
        <w:r w:rsidRPr="00EC3BD7">
          <w:rPr>
            <w:color w:val="000000"/>
            <w:szCs w:val="22"/>
            <w:lang w:val="et-EE"/>
          </w:rPr>
          <w:t>KML</w:t>
        </w:r>
        <w:r w:rsidR="007C2360">
          <w:rPr>
            <w:color w:val="000000"/>
            <w:szCs w:val="22"/>
            <w:lang w:val="et-EE"/>
          </w:rPr>
          <w:t>-i</w:t>
        </w:r>
      </w:smartTag>
      <w:r w:rsidRPr="00EC3BD7">
        <w:rPr>
          <w:color w:val="000000"/>
          <w:szCs w:val="22"/>
          <w:lang w:val="et-EE"/>
        </w:rPr>
        <w:t xml:space="preserve"> patsientidel on seostatud neutropeenia ja trombotsütopeeniaga. Siiski on taoliste tsütopeeniate esinemine tõenäoliselt seotud ravitava haigusega ja nad esinesid sagedamini aktseleratsioonifaasis või blastses kriisis </w:t>
      </w:r>
      <w:smartTag w:uri="urn:schemas-microsoft-com:office:smarttags" w:element="stockticker">
        <w:r w:rsidRPr="00EC3BD7">
          <w:rPr>
            <w:color w:val="000000"/>
            <w:szCs w:val="22"/>
            <w:lang w:val="et-EE"/>
          </w:rPr>
          <w:t>KML</w:t>
        </w:r>
        <w:r w:rsidR="007C2360">
          <w:rPr>
            <w:color w:val="000000"/>
            <w:szCs w:val="22"/>
            <w:lang w:val="et-EE"/>
          </w:rPr>
          <w:t>-i</w:t>
        </w:r>
      </w:smartTag>
      <w:r w:rsidRPr="00EC3BD7">
        <w:rPr>
          <w:color w:val="000000"/>
          <w:szCs w:val="22"/>
          <w:lang w:val="et-EE"/>
        </w:rPr>
        <w:t xml:space="preserve"> patsientidel võrreldes kroonilises faasis </w:t>
      </w:r>
      <w:smartTag w:uri="urn:schemas-microsoft-com:office:smarttags" w:element="stockticker">
        <w:r w:rsidRPr="00EC3BD7">
          <w:rPr>
            <w:color w:val="000000"/>
            <w:szCs w:val="22"/>
            <w:lang w:val="et-EE"/>
          </w:rPr>
          <w:t>KML</w:t>
        </w:r>
        <w:r w:rsidR="007C2360">
          <w:rPr>
            <w:color w:val="000000"/>
            <w:szCs w:val="22"/>
            <w:lang w:val="et-EE"/>
          </w:rPr>
          <w:t>-i</w:t>
        </w:r>
      </w:smartTag>
      <w:r w:rsidRPr="00EC3BD7">
        <w:rPr>
          <w:color w:val="000000"/>
          <w:szCs w:val="22"/>
          <w:lang w:val="et-EE"/>
        </w:rPr>
        <w:t xml:space="preserve"> patsientidega. Ravi Gliveciga võib katkestada või annust vähendada, nagu soovitatud lõigus</w:t>
      </w:r>
      <w:r w:rsidR="00F570D9" w:rsidRPr="00EC3BD7">
        <w:rPr>
          <w:color w:val="000000"/>
          <w:szCs w:val="22"/>
          <w:lang w:val="et-EE"/>
        </w:rPr>
        <w:t> </w:t>
      </w:r>
      <w:r w:rsidRPr="00EC3BD7">
        <w:rPr>
          <w:color w:val="000000"/>
          <w:szCs w:val="22"/>
          <w:lang w:val="et-EE"/>
        </w:rPr>
        <w:t>4.2.</w:t>
      </w:r>
    </w:p>
    <w:p w14:paraId="58CC56EA" w14:textId="77777777" w:rsidR="00E21A2F" w:rsidRPr="00EC3BD7" w:rsidRDefault="00E21A2F" w:rsidP="00E21A2F">
      <w:pPr>
        <w:pStyle w:val="EndnoteText"/>
        <w:widowControl w:val="0"/>
        <w:tabs>
          <w:tab w:val="clear" w:pos="567"/>
        </w:tabs>
        <w:rPr>
          <w:color w:val="000000"/>
          <w:szCs w:val="22"/>
          <w:lang w:val="et-EE"/>
        </w:rPr>
      </w:pPr>
    </w:p>
    <w:p w14:paraId="322F3955" w14:textId="77777777"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Gliveciga ravitavatel patsientidel tuleb korrapäraselt jälgida maksafunktsiooni (transaminaasid, bilirubiin, alkaalne fosfataas).</w:t>
      </w:r>
    </w:p>
    <w:p w14:paraId="58B7420D" w14:textId="77777777" w:rsidR="00E21A2F" w:rsidRPr="00EC3BD7" w:rsidRDefault="00E21A2F" w:rsidP="00E21A2F">
      <w:pPr>
        <w:pStyle w:val="EndnoteText"/>
        <w:widowControl w:val="0"/>
        <w:tabs>
          <w:tab w:val="clear" w:pos="567"/>
        </w:tabs>
        <w:rPr>
          <w:color w:val="000000"/>
          <w:szCs w:val="22"/>
          <w:lang w:val="et-EE"/>
        </w:rPr>
      </w:pPr>
    </w:p>
    <w:p w14:paraId="096DD434" w14:textId="77777777"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 xml:space="preserve">Neerufunktsiooni häirega patsientidel on täheldatud imatiniibi kõrgemat </w:t>
      </w:r>
      <w:r w:rsidR="00F570D9" w:rsidRPr="00EC3BD7">
        <w:rPr>
          <w:color w:val="000000"/>
          <w:szCs w:val="22"/>
          <w:lang w:val="et-EE"/>
        </w:rPr>
        <w:t>plasmakontsentratsiooni</w:t>
      </w:r>
      <w:r w:rsidR="00F570D9" w:rsidRPr="00EC3BD7" w:rsidDel="00F570D9">
        <w:rPr>
          <w:color w:val="000000"/>
          <w:szCs w:val="22"/>
          <w:lang w:val="et-EE"/>
        </w:rPr>
        <w:t xml:space="preserve"> </w:t>
      </w:r>
      <w:r w:rsidRPr="00EC3BD7">
        <w:rPr>
          <w:color w:val="000000"/>
          <w:szCs w:val="22"/>
          <w:lang w:val="et-EE"/>
        </w:rPr>
        <w:t>kui normaalse neerufunktsiooniga patsientidel, mis on arvatavasti tingitud alfa-happelise glükoproteiini, imatiniibi siduva valgu, plasmakontsentratsiooni suurenemisest neil patsientidel. Neerufunktsiooni häirega patsientidel tuleb kasutada minimaalset algannust. Ettevaatus on vajalik neerufunktsiooni raske häirega patsientide ravis. Talumatuse korral võib annust vähendada (vt lõigud</w:t>
      </w:r>
      <w:r w:rsidR="00F570D9" w:rsidRPr="00EC3BD7">
        <w:rPr>
          <w:color w:val="000000"/>
          <w:szCs w:val="22"/>
          <w:lang w:val="et-EE"/>
        </w:rPr>
        <w:t> </w:t>
      </w:r>
      <w:r w:rsidRPr="00EC3BD7">
        <w:rPr>
          <w:color w:val="000000"/>
          <w:szCs w:val="22"/>
          <w:lang w:val="et-EE"/>
        </w:rPr>
        <w:t>4.2 ja 5.2).</w:t>
      </w:r>
    </w:p>
    <w:p w14:paraId="55727C72" w14:textId="77777777" w:rsidR="00DB7CA6" w:rsidRPr="00EC3BD7" w:rsidRDefault="00DB7CA6" w:rsidP="00DB7CA6">
      <w:pPr>
        <w:pStyle w:val="TOC6"/>
        <w:rPr>
          <w:noProof w:val="0"/>
          <w:u w:val="none"/>
        </w:rPr>
      </w:pPr>
    </w:p>
    <w:p w14:paraId="241D0C0A" w14:textId="77777777" w:rsidR="00DB7CA6" w:rsidRPr="00EC3BD7" w:rsidRDefault="00DB7CA6" w:rsidP="00DB7CA6">
      <w:pPr>
        <w:pStyle w:val="TOC6"/>
        <w:rPr>
          <w:noProof w:val="0"/>
          <w:u w:val="none"/>
        </w:rPr>
      </w:pPr>
      <w:r w:rsidRPr="00EC3BD7">
        <w:rPr>
          <w:noProof w:val="0"/>
          <w:u w:val="none"/>
        </w:rPr>
        <w:t>Pikaajalisel imatiniibravil võib olla seos neerufunktsiooni kliinliselt olulise langusega. Seetõttu tuleb enne imatiniibravi alustamist hinnata neerufunktsiooni ning seejärel ravi ajal hoolikalt jälgida, pöörates erilist tähelepanu patsientidele, kellel esinevad neerufunktsiooni häire riskifaktorid. Kui täheldatakse neerufunktsiooni häiret, tuleb seisundit käsitleda ja ravi määrata vastavalt standardsetele ravijuhistele.</w:t>
      </w:r>
    </w:p>
    <w:p w14:paraId="0963A152" w14:textId="77777777" w:rsidR="00E21A2F" w:rsidRPr="00EC3BD7" w:rsidRDefault="00E21A2F" w:rsidP="005F4AEF">
      <w:pPr>
        <w:pStyle w:val="TOC6"/>
        <w:rPr>
          <w:noProof w:val="0"/>
          <w:u w:val="none"/>
        </w:rPr>
      </w:pPr>
    </w:p>
    <w:p w14:paraId="4E30776B" w14:textId="77777777" w:rsidR="00E21A2F" w:rsidRPr="00EC3BD7" w:rsidRDefault="00E21A2F" w:rsidP="00B9089D">
      <w:pPr>
        <w:pStyle w:val="TOC6"/>
        <w:keepNext/>
        <w:rPr>
          <w:noProof w:val="0"/>
        </w:rPr>
      </w:pPr>
      <w:r w:rsidRPr="00EC3BD7">
        <w:rPr>
          <w:noProof w:val="0"/>
        </w:rPr>
        <w:t>Lapsed</w:t>
      </w:r>
    </w:p>
    <w:p w14:paraId="3462194A" w14:textId="77777777" w:rsidR="00E21A2F" w:rsidRPr="00EC3BD7" w:rsidRDefault="00E21A2F" w:rsidP="00E21A2F">
      <w:pPr>
        <w:pStyle w:val="EndnoteText"/>
        <w:widowControl w:val="0"/>
        <w:tabs>
          <w:tab w:val="clear" w:pos="567"/>
        </w:tabs>
        <w:rPr>
          <w:szCs w:val="22"/>
          <w:lang w:val="et-EE" w:bidi="kn-IN"/>
        </w:rPr>
      </w:pPr>
      <w:r w:rsidRPr="00EC3BD7">
        <w:rPr>
          <w:szCs w:val="22"/>
          <w:lang w:val="et-EE" w:bidi="kn-IN"/>
        </w:rPr>
        <w:t xml:space="preserve">Lastel ja puberteedieelsetel noorukitel, kes on saanud ravi imatiniibiga, on kirjeldatud kasvupeetuse esinemist. </w:t>
      </w:r>
      <w:r w:rsidR="00956269" w:rsidRPr="00EC3BD7">
        <w:rPr>
          <w:szCs w:val="22"/>
          <w:lang w:val="et-EE" w:bidi="kn-IN"/>
        </w:rPr>
        <w:t xml:space="preserve">Kroonilise müeloidse leukeemiaga laste vaatlusuuringu käigus teatati pärast 12 ja 24 ravikuud kasvu mediaani standardhälbe </w:t>
      </w:r>
      <w:r w:rsidR="00C507C6" w:rsidRPr="00EC3BD7">
        <w:rPr>
          <w:szCs w:val="22"/>
          <w:lang w:val="et-EE" w:bidi="kn-IN"/>
        </w:rPr>
        <w:t>statistiliselt olulisest</w:t>
      </w:r>
      <w:r w:rsidR="00956269" w:rsidRPr="00EC3BD7">
        <w:rPr>
          <w:szCs w:val="22"/>
          <w:lang w:val="et-EE" w:bidi="kn-IN"/>
        </w:rPr>
        <w:t xml:space="preserve"> vähenemisest (</w:t>
      </w:r>
      <w:r w:rsidR="00C507C6" w:rsidRPr="00EC3BD7">
        <w:rPr>
          <w:szCs w:val="22"/>
          <w:lang w:val="et-EE" w:bidi="kn-IN"/>
        </w:rPr>
        <w:t xml:space="preserve">selle </w:t>
      </w:r>
      <w:r w:rsidR="00956269" w:rsidRPr="00EC3BD7">
        <w:rPr>
          <w:szCs w:val="22"/>
          <w:lang w:val="et-EE" w:bidi="kn-IN"/>
        </w:rPr>
        <w:t>kliinili</w:t>
      </w:r>
      <w:r w:rsidR="00C507C6" w:rsidRPr="00EC3BD7">
        <w:rPr>
          <w:szCs w:val="22"/>
          <w:lang w:val="et-EE" w:bidi="kn-IN"/>
        </w:rPr>
        <w:t>ne tähtsus on teadmata</w:t>
      </w:r>
      <w:r w:rsidR="00956269" w:rsidRPr="00EC3BD7">
        <w:rPr>
          <w:szCs w:val="22"/>
          <w:lang w:val="et-EE" w:bidi="kn-IN"/>
        </w:rPr>
        <w:t>) kahes väiksemas alarühmas sõltumata puberteedist või soost. I</w:t>
      </w:r>
      <w:r w:rsidRPr="00EC3BD7">
        <w:rPr>
          <w:szCs w:val="22"/>
          <w:lang w:val="et-EE" w:bidi="kn-IN"/>
        </w:rPr>
        <w:t xml:space="preserve">matiniibravi saavate laste kasvu </w:t>
      </w:r>
      <w:r w:rsidR="00956269" w:rsidRPr="00EC3BD7">
        <w:rPr>
          <w:szCs w:val="22"/>
          <w:lang w:val="et-EE" w:bidi="kn-IN"/>
        </w:rPr>
        <w:t xml:space="preserve">soovitatakse </w:t>
      </w:r>
      <w:r w:rsidRPr="00EC3BD7">
        <w:rPr>
          <w:szCs w:val="22"/>
          <w:lang w:val="et-EE" w:bidi="kn-IN"/>
        </w:rPr>
        <w:t>tähelepanelikult jälgida (vt lõik</w:t>
      </w:r>
      <w:r w:rsidR="00F570D9" w:rsidRPr="00EC3BD7">
        <w:rPr>
          <w:szCs w:val="22"/>
          <w:lang w:val="et-EE" w:bidi="kn-IN"/>
        </w:rPr>
        <w:t> </w:t>
      </w:r>
      <w:r w:rsidRPr="00EC3BD7">
        <w:rPr>
          <w:szCs w:val="22"/>
          <w:lang w:val="et-EE" w:bidi="kn-IN"/>
        </w:rPr>
        <w:t>4.8).</w:t>
      </w:r>
    </w:p>
    <w:p w14:paraId="3271086C" w14:textId="77777777" w:rsidR="00E21A2F" w:rsidRPr="00EC3BD7" w:rsidRDefault="00E21A2F" w:rsidP="00E21A2F">
      <w:pPr>
        <w:pStyle w:val="EndnoteText"/>
        <w:widowControl w:val="0"/>
        <w:tabs>
          <w:tab w:val="clear" w:pos="567"/>
        </w:tabs>
        <w:rPr>
          <w:color w:val="000000"/>
          <w:szCs w:val="22"/>
          <w:lang w:val="et-EE"/>
        </w:rPr>
      </w:pPr>
    </w:p>
    <w:p w14:paraId="355CD739" w14:textId="77777777" w:rsidR="00E21A2F" w:rsidRPr="00EC3BD7" w:rsidRDefault="00E21A2F"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4.5</w:t>
      </w:r>
      <w:r w:rsidRPr="00EC3BD7">
        <w:rPr>
          <w:b/>
          <w:color w:val="000000"/>
          <w:szCs w:val="22"/>
          <w:lang w:val="et-EE"/>
        </w:rPr>
        <w:tab/>
        <w:t>Koostoimed teiste ravimitega ja muud koostoimed</w:t>
      </w:r>
    </w:p>
    <w:p w14:paraId="45B98431" w14:textId="77777777" w:rsidR="00E21A2F" w:rsidRPr="00EC3BD7" w:rsidRDefault="00E21A2F" w:rsidP="00B9089D">
      <w:pPr>
        <w:pStyle w:val="EndnoteText"/>
        <w:keepNext/>
        <w:widowControl w:val="0"/>
        <w:tabs>
          <w:tab w:val="clear" w:pos="567"/>
        </w:tabs>
        <w:rPr>
          <w:color w:val="000000"/>
          <w:szCs w:val="22"/>
          <w:lang w:val="et-EE"/>
        </w:rPr>
      </w:pPr>
    </w:p>
    <w:p w14:paraId="79112783" w14:textId="77777777" w:rsidR="00E21A2F" w:rsidRPr="00EC3BD7" w:rsidRDefault="00E21A2F" w:rsidP="00B9089D">
      <w:pPr>
        <w:pStyle w:val="Text"/>
        <w:keepNext/>
        <w:widowControl w:val="0"/>
        <w:spacing w:before="0"/>
        <w:jc w:val="left"/>
        <w:rPr>
          <w:color w:val="000000"/>
          <w:sz w:val="22"/>
          <w:szCs w:val="22"/>
          <w:u w:val="single"/>
          <w:lang w:val="et-EE"/>
        </w:rPr>
      </w:pPr>
      <w:r w:rsidRPr="00EC3BD7">
        <w:rPr>
          <w:color w:val="000000"/>
          <w:sz w:val="22"/>
          <w:szCs w:val="22"/>
          <w:u w:val="single"/>
          <w:lang w:val="et-EE"/>
        </w:rPr>
        <w:t xml:space="preserve">Toimeained, mis võivad </w:t>
      </w:r>
      <w:r w:rsidRPr="00EC3BD7">
        <w:rPr>
          <w:b/>
          <w:color w:val="000000"/>
          <w:sz w:val="22"/>
          <w:szCs w:val="22"/>
          <w:u w:val="single"/>
          <w:lang w:val="et-EE"/>
        </w:rPr>
        <w:t>suurendada</w:t>
      </w:r>
      <w:r w:rsidRPr="00EC3BD7">
        <w:rPr>
          <w:color w:val="000000"/>
          <w:sz w:val="22"/>
          <w:szCs w:val="22"/>
          <w:u w:val="single"/>
          <w:lang w:val="et-EE"/>
        </w:rPr>
        <w:t xml:space="preserve"> imatiniibi plasmakontsentratsiooni:</w:t>
      </w:r>
    </w:p>
    <w:p w14:paraId="2225B305" w14:textId="77777777" w:rsidR="00E21A2F" w:rsidRPr="00EC3BD7" w:rsidRDefault="00E21A2F" w:rsidP="00E21A2F">
      <w:pPr>
        <w:pStyle w:val="Text"/>
        <w:widowControl w:val="0"/>
        <w:spacing w:before="0"/>
        <w:jc w:val="left"/>
        <w:rPr>
          <w:color w:val="000000"/>
          <w:sz w:val="22"/>
          <w:szCs w:val="22"/>
          <w:lang w:val="et-EE"/>
        </w:rPr>
      </w:pPr>
      <w:r w:rsidRPr="00EC3BD7">
        <w:rPr>
          <w:color w:val="000000"/>
          <w:sz w:val="22"/>
          <w:szCs w:val="22"/>
          <w:lang w:val="et-EE"/>
        </w:rPr>
        <w:t xml:space="preserve">Ained, mis pärsivad tsütokroom P450 isoensüüm CYP3A4 aktiivsust (näiteks proteaasi inhibiitorid nagu indinaviir, lopinaviir/ritonaviir, ritonaviir, sakvinaviir, telapreviir, nelfinaviir, botsepreviir; seenevastased asoolid, sealhulgas ketokonasool, itrakonasool, posakonasool, vorikonasool; teatud </w:t>
      </w:r>
      <w:r w:rsidRPr="00EC3BD7">
        <w:rPr>
          <w:color w:val="000000"/>
          <w:sz w:val="22"/>
          <w:szCs w:val="22"/>
          <w:lang w:val="et-EE"/>
        </w:rPr>
        <w:lastRenderedPageBreak/>
        <w:t xml:space="preserve">makroliidid, näiteks erütromütsiin, klaritromütsiin ja telitromütsiin) võivad vähendada metabolismi ja suurendada </w:t>
      </w:r>
      <w:r w:rsidRPr="00605733">
        <w:rPr>
          <w:color w:val="000000"/>
          <w:sz w:val="22"/>
          <w:szCs w:val="22"/>
          <w:lang w:val="et-EE"/>
        </w:rPr>
        <w:t>imatiniibi kontsentratsiooni. Tervetel uuritavatel suurenes imatiniibi</w:t>
      </w:r>
      <w:r w:rsidR="00F570D9" w:rsidRPr="00605733">
        <w:rPr>
          <w:color w:val="000000"/>
          <w:sz w:val="22"/>
          <w:szCs w:val="22"/>
          <w:lang w:val="et-EE"/>
        </w:rPr>
        <w:t xml:space="preserve"> </w:t>
      </w:r>
      <w:r w:rsidR="00F570D9" w:rsidRPr="00637BB6">
        <w:rPr>
          <w:color w:val="000000"/>
          <w:sz w:val="22"/>
          <w:szCs w:val="22"/>
          <w:lang w:val="et-EE"/>
        </w:rPr>
        <w:t>plasmakontsentratsioon</w:t>
      </w:r>
      <w:r w:rsidRPr="00605733">
        <w:rPr>
          <w:color w:val="000000"/>
          <w:sz w:val="22"/>
          <w:szCs w:val="22"/>
          <w:lang w:val="et-EE"/>
        </w:rPr>
        <w:t xml:space="preserve"> oluliselt</w:t>
      </w:r>
      <w:r w:rsidRPr="00EC3BD7">
        <w:rPr>
          <w:color w:val="000000"/>
          <w:sz w:val="22"/>
          <w:szCs w:val="22"/>
          <w:lang w:val="et-EE"/>
        </w:rPr>
        <w:t xml:space="preserve"> (imatiniibi keskmine C</w:t>
      </w:r>
      <w:r w:rsidRPr="00EC3BD7">
        <w:rPr>
          <w:color w:val="000000"/>
          <w:sz w:val="22"/>
          <w:szCs w:val="22"/>
          <w:vertAlign w:val="subscript"/>
          <w:lang w:val="et-EE"/>
        </w:rPr>
        <w:t>max</w:t>
      </w:r>
      <w:r w:rsidRPr="00EC3BD7">
        <w:rPr>
          <w:color w:val="000000"/>
          <w:sz w:val="22"/>
          <w:szCs w:val="22"/>
          <w:lang w:val="et-EE"/>
        </w:rPr>
        <w:t xml:space="preserve"> ja AUC suurenesid vastavalt 26% ja 40%), kui seda manustati samaaegselt ketokonasooli (CYP3A4 inhibiitor) ühekordse annusega. Gliveci manustamisel koos CYP3A4 inhibiitoritega tuleb olla ettevaatlik.</w:t>
      </w:r>
    </w:p>
    <w:p w14:paraId="1B5185FC" w14:textId="77777777" w:rsidR="00E21A2F" w:rsidRPr="00EC3BD7" w:rsidRDefault="00E21A2F" w:rsidP="00E21A2F">
      <w:pPr>
        <w:pStyle w:val="Text"/>
        <w:widowControl w:val="0"/>
        <w:spacing w:before="0"/>
        <w:jc w:val="left"/>
        <w:rPr>
          <w:color w:val="000000"/>
          <w:sz w:val="22"/>
          <w:szCs w:val="22"/>
          <w:lang w:val="et-EE"/>
        </w:rPr>
      </w:pPr>
    </w:p>
    <w:p w14:paraId="218DCCBF" w14:textId="77777777" w:rsidR="00E21A2F" w:rsidRPr="00EC3BD7" w:rsidRDefault="00E21A2F" w:rsidP="00B9089D">
      <w:pPr>
        <w:pStyle w:val="Text"/>
        <w:keepNext/>
        <w:widowControl w:val="0"/>
        <w:spacing w:before="0"/>
        <w:jc w:val="left"/>
        <w:rPr>
          <w:color w:val="000000"/>
          <w:sz w:val="22"/>
          <w:szCs w:val="22"/>
          <w:u w:val="single"/>
          <w:lang w:val="et-EE"/>
        </w:rPr>
      </w:pPr>
      <w:r w:rsidRPr="00EC3BD7">
        <w:rPr>
          <w:color w:val="000000"/>
          <w:sz w:val="22"/>
          <w:szCs w:val="22"/>
          <w:u w:val="single"/>
          <w:lang w:val="et-EE"/>
        </w:rPr>
        <w:t xml:space="preserve">Toimeained, mis võivad </w:t>
      </w:r>
      <w:r w:rsidRPr="00EC3BD7">
        <w:rPr>
          <w:b/>
          <w:color w:val="000000"/>
          <w:sz w:val="22"/>
          <w:szCs w:val="22"/>
          <w:u w:val="single"/>
          <w:lang w:val="et-EE"/>
        </w:rPr>
        <w:t>vähendada</w:t>
      </w:r>
      <w:r w:rsidRPr="00EC3BD7">
        <w:rPr>
          <w:color w:val="000000"/>
          <w:sz w:val="22"/>
          <w:szCs w:val="22"/>
          <w:u w:val="single"/>
          <w:lang w:val="et-EE"/>
        </w:rPr>
        <w:t xml:space="preserve"> imatiniibi plasmakontsentratsiooni:</w:t>
      </w:r>
    </w:p>
    <w:p w14:paraId="57F477B4" w14:textId="60CEC2E7" w:rsidR="00E21A2F" w:rsidRPr="00EC3BD7" w:rsidRDefault="00E21A2F" w:rsidP="00E21A2F">
      <w:pPr>
        <w:rPr>
          <w:color w:val="000000"/>
          <w:szCs w:val="22"/>
          <w:lang w:val="et-EE"/>
        </w:rPr>
      </w:pPr>
      <w:r w:rsidRPr="00EC3BD7">
        <w:rPr>
          <w:color w:val="000000"/>
          <w:szCs w:val="22"/>
          <w:lang w:val="et-EE"/>
        </w:rPr>
        <w:t xml:space="preserve">Ained, mis indutseerivad CYP3A4 aktiivsust (näiteks deksametasoon, fenütoiin, karbamasepiin, rifampitsiin, fenobarbitaal või fosfenütoiin, primidoon, </w:t>
      </w:r>
      <w:r w:rsidRPr="00EC3BD7">
        <w:rPr>
          <w:i/>
          <w:color w:val="000000"/>
          <w:szCs w:val="22"/>
          <w:lang w:val="et-EE"/>
        </w:rPr>
        <w:t>Hypericum perforatum</w:t>
      </w:r>
      <w:r w:rsidRPr="00EC3BD7">
        <w:rPr>
          <w:color w:val="000000"/>
          <w:szCs w:val="22"/>
          <w:lang w:val="et-EE"/>
        </w:rPr>
        <w:t>, tuntud ka kui naistepuna), võivad oluliselt vähendada Gliveci</w:t>
      </w:r>
      <w:r w:rsidR="00F570D9" w:rsidRPr="00EC3BD7">
        <w:rPr>
          <w:color w:val="000000"/>
          <w:szCs w:val="22"/>
          <w:lang w:val="et-EE"/>
        </w:rPr>
        <w:t xml:space="preserve"> plasmakontsentratsiooni</w:t>
      </w:r>
      <w:r w:rsidRPr="00EC3BD7">
        <w:rPr>
          <w:color w:val="000000"/>
          <w:szCs w:val="22"/>
          <w:lang w:val="et-EE"/>
        </w:rPr>
        <w:t>, millega kaasneb ravi ebaõnnestumise oht. Eelnev ravi rifampitsiini korduvate annustega 600 mg, millele järgnes ühekordne Gliveci annus 400 mg, andis tulemuseks C</w:t>
      </w:r>
      <w:r w:rsidRPr="00EC3BD7">
        <w:rPr>
          <w:color w:val="000000"/>
          <w:szCs w:val="22"/>
          <w:vertAlign w:val="subscript"/>
          <w:lang w:val="et-EE"/>
        </w:rPr>
        <w:t>max</w:t>
      </w:r>
      <w:r w:rsidRPr="00EC3BD7">
        <w:rPr>
          <w:color w:val="000000"/>
          <w:szCs w:val="22"/>
          <w:lang w:val="et-EE"/>
        </w:rPr>
        <w:t xml:space="preserve"> ja AUC</w:t>
      </w:r>
      <w:r w:rsidRPr="00EC3BD7">
        <w:rPr>
          <w:color w:val="000000"/>
          <w:szCs w:val="22"/>
          <w:vertAlign w:val="subscript"/>
          <w:lang w:val="et-EE"/>
        </w:rPr>
        <w:t>(0-∞)</w:t>
      </w:r>
      <w:r w:rsidRPr="00EC3BD7">
        <w:rPr>
          <w:color w:val="000000"/>
          <w:szCs w:val="22"/>
          <w:lang w:val="et-EE"/>
        </w:rPr>
        <w:t xml:space="preserve"> vähenemise vähemalt 54% ja 74% võrreldes vastavate väärtustega, kui rifampitsiini ei kasutatud</w:t>
      </w:r>
      <w:r w:rsidRPr="00EC3BD7">
        <w:rPr>
          <w:snapToGrid w:val="0"/>
          <w:color w:val="000000"/>
          <w:szCs w:val="22"/>
          <w:lang w:val="et-EE"/>
        </w:rPr>
        <w:t xml:space="preserve">. </w:t>
      </w:r>
      <w:r w:rsidRPr="00EC3BD7">
        <w:rPr>
          <w:color w:val="000000"/>
          <w:szCs w:val="22"/>
          <w:lang w:val="et-EE"/>
        </w:rPr>
        <w:t>Sarnaseid tulemusi täheldati ka maliigse glioomiga patsientidel, keda raviti Gliveciga ning kes samaaegselt kasutasid ensüüme indutseerivaid antiepileptilisi ravimeid (EIAER), nagu näiteks karbamasepiin, okskarbasepiin ja fenütoiin. Imatiniibi plasma AUC vähenes 73% võrreldes patsientidega, kes ei saanud EIAER</w:t>
      </w:r>
      <w:r w:rsidR="00605733">
        <w:rPr>
          <w:color w:val="000000"/>
          <w:szCs w:val="22"/>
          <w:lang w:val="et-EE"/>
        </w:rPr>
        <w:t>-e</w:t>
      </w:r>
      <w:r w:rsidRPr="00EC3BD7">
        <w:rPr>
          <w:color w:val="000000"/>
          <w:szCs w:val="22"/>
          <w:lang w:val="et-EE"/>
        </w:rPr>
        <w:t>. Rifampitsiini või teiste tugevate CYP3A4 indutseerijate ja imatiniibi samaaegset kasutamist tuleb vältida.</w:t>
      </w:r>
    </w:p>
    <w:p w14:paraId="58A116B2" w14:textId="77777777" w:rsidR="00E21A2F" w:rsidRPr="00EC3BD7" w:rsidRDefault="00E21A2F" w:rsidP="00E21A2F">
      <w:pPr>
        <w:pStyle w:val="Text"/>
        <w:widowControl w:val="0"/>
        <w:spacing w:before="0"/>
        <w:jc w:val="left"/>
        <w:rPr>
          <w:color w:val="000000"/>
          <w:sz w:val="22"/>
          <w:szCs w:val="22"/>
          <w:lang w:val="et-EE"/>
        </w:rPr>
      </w:pPr>
    </w:p>
    <w:p w14:paraId="36F0907E" w14:textId="77777777" w:rsidR="00E21A2F" w:rsidRPr="00EC3BD7" w:rsidRDefault="00E21A2F" w:rsidP="00B9089D">
      <w:pPr>
        <w:pStyle w:val="Text"/>
        <w:keepNext/>
        <w:widowControl w:val="0"/>
        <w:spacing w:before="0"/>
        <w:jc w:val="left"/>
        <w:rPr>
          <w:b/>
          <w:color w:val="000000"/>
          <w:sz w:val="22"/>
          <w:szCs w:val="22"/>
          <w:lang w:val="et-EE"/>
        </w:rPr>
      </w:pPr>
      <w:r w:rsidRPr="00EC3BD7">
        <w:rPr>
          <w:b/>
          <w:color w:val="000000"/>
          <w:sz w:val="22"/>
          <w:szCs w:val="22"/>
          <w:lang w:val="et-EE"/>
        </w:rPr>
        <w:t>Toimeained, mille plasmakontsentratsiooni võib mõjutada Glivec</w:t>
      </w:r>
    </w:p>
    <w:p w14:paraId="45E405D8" w14:textId="77777777" w:rsidR="00E21A2F" w:rsidRPr="00EC3BD7" w:rsidRDefault="00E21A2F" w:rsidP="00E21A2F">
      <w:pPr>
        <w:pStyle w:val="Text"/>
        <w:widowControl w:val="0"/>
        <w:spacing w:before="0"/>
        <w:jc w:val="left"/>
        <w:rPr>
          <w:color w:val="000000"/>
          <w:sz w:val="22"/>
          <w:szCs w:val="22"/>
          <w:lang w:val="et-EE"/>
        </w:rPr>
      </w:pPr>
      <w:r w:rsidRPr="00EC3BD7">
        <w:rPr>
          <w:color w:val="000000"/>
          <w:sz w:val="22"/>
          <w:szCs w:val="22"/>
          <w:lang w:val="et-EE"/>
        </w:rPr>
        <w:t>Imatiniib suurendab simvastatiini (CYP3A4 substraat) keskmist C</w:t>
      </w:r>
      <w:r w:rsidRPr="00EC3BD7">
        <w:rPr>
          <w:color w:val="000000"/>
          <w:sz w:val="22"/>
          <w:szCs w:val="22"/>
          <w:vertAlign w:val="subscript"/>
          <w:lang w:val="et-EE"/>
        </w:rPr>
        <w:t>max</w:t>
      </w:r>
      <w:r w:rsidRPr="00EC3BD7">
        <w:rPr>
          <w:color w:val="000000"/>
          <w:sz w:val="22"/>
          <w:szCs w:val="22"/>
          <w:lang w:val="et-EE"/>
        </w:rPr>
        <w:t xml:space="preserve"> ja AUC vastavalt 2 ja 3,5 korda, mis annab tunnistust CYP3A4 pärssimisest imatiniibi poolt. Seetõttu soovitatakse olla ettevaatlik Gliveci kasutamisel koos kitsa terapeutilise vahemikuga CYP3A4 substraatidega (näiteks tsüklosporiin, pimosiid, takroliimus, siroliimus, ergotamiin, diergotamiin, fentanüül, alfentaniil,terfenadiin, bortesomiib, dotsetakseel ja kinidiin). Glivec võib suurendada teiste CYP3A4 vahendusel metaboliseeruvate ravimite plasmakontsentratsiooni (näiteks triasolobensodiasepiinid, dihüdropüridiinsed kaltsiumikanalite blokaatorid, teatud </w:t>
      </w:r>
      <w:smartTag w:uri="urn:schemas-microsoft-com:office:smarttags" w:element="stockticker">
        <w:r w:rsidRPr="00EC3BD7">
          <w:rPr>
            <w:color w:val="000000"/>
            <w:sz w:val="22"/>
            <w:szCs w:val="22"/>
            <w:lang w:val="et-EE"/>
          </w:rPr>
          <w:t>HMG</w:t>
        </w:r>
      </w:smartTag>
      <w:r w:rsidRPr="00EC3BD7">
        <w:rPr>
          <w:color w:val="000000"/>
          <w:sz w:val="22"/>
          <w:szCs w:val="22"/>
          <w:lang w:val="et-EE"/>
        </w:rPr>
        <w:t>-CoA reduktaasi inhibiitorid nagu statiinid jne).</w:t>
      </w:r>
    </w:p>
    <w:p w14:paraId="57C101AA" w14:textId="77777777" w:rsidR="00E21A2F" w:rsidRPr="00EC3BD7" w:rsidRDefault="00E21A2F" w:rsidP="00E21A2F">
      <w:pPr>
        <w:pStyle w:val="Text"/>
        <w:widowControl w:val="0"/>
        <w:spacing w:before="0"/>
        <w:jc w:val="left"/>
        <w:rPr>
          <w:color w:val="000000"/>
          <w:sz w:val="22"/>
          <w:szCs w:val="22"/>
          <w:lang w:val="et-EE"/>
        </w:rPr>
      </w:pPr>
    </w:p>
    <w:p w14:paraId="2269BA90" w14:textId="77777777" w:rsidR="00E21A2F" w:rsidRPr="00EC3BD7" w:rsidRDefault="00E21A2F" w:rsidP="00E21A2F">
      <w:pPr>
        <w:pStyle w:val="Text"/>
        <w:widowControl w:val="0"/>
        <w:spacing w:before="0"/>
        <w:jc w:val="left"/>
        <w:rPr>
          <w:color w:val="000000"/>
          <w:sz w:val="22"/>
          <w:szCs w:val="22"/>
          <w:lang w:val="et-EE"/>
        </w:rPr>
      </w:pPr>
      <w:r w:rsidRPr="00EC3BD7">
        <w:rPr>
          <w:color w:val="000000"/>
          <w:sz w:val="22"/>
          <w:szCs w:val="22"/>
          <w:lang w:val="et-EE"/>
        </w:rPr>
        <w:t>Kuna imatiniibi samaaegsel kasutamisel on teada suurenenud verejooksu risk (nt hemorraagia), tuleb antikoagulantravi vajadusel patsientidele manustada kumariini derivaatide, näiteks varfariini asemel madalmolekulaarset või tavalist hepariini.</w:t>
      </w:r>
    </w:p>
    <w:p w14:paraId="4D26FE0E" w14:textId="77777777" w:rsidR="00E21A2F" w:rsidRPr="00EC3BD7" w:rsidRDefault="00E21A2F" w:rsidP="00E21A2F">
      <w:pPr>
        <w:pStyle w:val="Text"/>
        <w:widowControl w:val="0"/>
        <w:spacing w:before="0"/>
        <w:jc w:val="left"/>
        <w:rPr>
          <w:color w:val="000000"/>
          <w:sz w:val="22"/>
          <w:szCs w:val="22"/>
          <w:lang w:val="et-EE"/>
        </w:rPr>
      </w:pPr>
    </w:p>
    <w:p w14:paraId="6BED2D75" w14:textId="77777777" w:rsidR="00E21A2F" w:rsidRPr="00EC3BD7" w:rsidRDefault="00E21A2F" w:rsidP="00E21A2F">
      <w:pPr>
        <w:rPr>
          <w:color w:val="000000"/>
          <w:szCs w:val="22"/>
          <w:lang w:val="et-EE"/>
        </w:rPr>
      </w:pPr>
      <w:r w:rsidRPr="00EC3BD7">
        <w:rPr>
          <w:i/>
          <w:color w:val="000000"/>
          <w:szCs w:val="22"/>
          <w:lang w:val="et-EE"/>
        </w:rPr>
        <w:t>In vitro</w:t>
      </w:r>
      <w:r w:rsidRPr="00EC3BD7">
        <w:rPr>
          <w:color w:val="000000"/>
          <w:szCs w:val="22"/>
          <w:lang w:val="et-EE"/>
        </w:rPr>
        <w:t xml:space="preserve"> pärsib Glivec tsütokroom P450 isoensüümi CYP2D6 aktiivsust kontsentratsioonides, mis on sarnased CYP3A4 aktiivsust mõjutavatele kontsentratsioonidele. Annuses 400 mg kaks korda päevas oli imatiniibil inhibeeriv toime CYP2D6-vahendatud metoprolooli metabolismile, metoprolooli C</w:t>
      </w:r>
      <w:r w:rsidRPr="00EC3BD7">
        <w:rPr>
          <w:color w:val="000000"/>
          <w:szCs w:val="22"/>
          <w:vertAlign w:val="subscript"/>
          <w:lang w:val="et-EE"/>
        </w:rPr>
        <w:t>max</w:t>
      </w:r>
      <w:r w:rsidRPr="00EC3BD7">
        <w:rPr>
          <w:color w:val="000000"/>
          <w:szCs w:val="22"/>
          <w:lang w:val="et-EE"/>
        </w:rPr>
        <w:t xml:space="preserve"> ja AUC suurenesid ligikaudu 23% (90%CI [1.16</w:t>
      </w:r>
      <w:r w:rsidR="00F570D9" w:rsidRPr="00EC3BD7">
        <w:rPr>
          <w:color w:val="000000"/>
          <w:szCs w:val="22"/>
          <w:lang w:val="et-EE"/>
        </w:rPr>
        <w:t>...</w:t>
      </w:r>
      <w:r w:rsidRPr="00EC3BD7">
        <w:rPr>
          <w:color w:val="000000"/>
          <w:szCs w:val="22"/>
          <w:lang w:val="et-EE"/>
        </w:rPr>
        <w:t>1.30]). Imatiniibi koosmanustamisel CYP2D6 substraatidega ei ole annuse kohaldamine vajalik; siiski peab olema ettevaatlik kui CYP2D6 substraatidel on samasugune terapeutiline laius kui metoproloolil. Metoprolool-ravi saavaid patsiente tuleks kliiniliselt jälgida.</w:t>
      </w:r>
    </w:p>
    <w:p w14:paraId="04F5E18F" w14:textId="77777777" w:rsidR="00E21A2F" w:rsidRPr="00EC3BD7" w:rsidRDefault="00E21A2F" w:rsidP="00E21A2F">
      <w:pPr>
        <w:pStyle w:val="Text"/>
        <w:widowControl w:val="0"/>
        <w:spacing w:before="0"/>
        <w:jc w:val="left"/>
        <w:rPr>
          <w:color w:val="000000"/>
          <w:sz w:val="22"/>
          <w:szCs w:val="22"/>
          <w:lang w:val="et-EE"/>
        </w:rPr>
      </w:pPr>
    </w:p>
    <w:p w14:paraId="67DAEEC2" w14:textId="77777777" w:rsidR="00E21A2F" w:rsidRPr="00EC3BD7" w:rsidRDefault="00E21A2F" w:rsidP="00E21A2F">
      <w:pPr>
        <w:pStyle w:val="Text"/>
        <w:widowControl w:val="0"/>
        <w:spacing w:before="0"/>
        <w:jc w:val="left"/>
        <w:rPr>
          <w:color w:val="000000"/>
          <w:sz w:val="22"/>
          <w:szCs w:val="22"/>
          <w:lang w:val="et-EE"/>
        </w:rPr>
      </w:pPr>
      <w:r w:rsidRPr="00EC3BD7">
        <w:rPr>
          <w:color w:val="000000"/>
          <w:sz w:val="22"/>
          <w:szCs w:val="22"/>
          <w:lang w:val="et-EE"/>
        </w:rPr>
        <w:t xml:space="preserve">Glivec inhibeerib </w:t>
      </w:r>
      <w:r w:rsidRPr="00EC3BD7">
        <w:rPr>
          <w:i/>
          <w:color w:val="000000"/>
          <w:sz w:val="22"/>
          <w:szCs w:val="22"/>
          <w:lang w:val="et-EE"/>
        </w:rPr>
        <w:t>in vitro</w:t>
      </w:r>
      <w:r w:rsidRPr="00EC3BD7">
        <w:rPr>
          <w:color w:val="000000"/>
          <w:sz w:val="22"/>
          <w:szCs w:val="22"/>
          <w:lang w:val="et-EE"/>
        </w:rPr>
        <w:t xml:space="preserve"> paratsetamooli O-glükuronisatsiooni Ki väärtusega 58,5 mikromooli/l. Glivec 400 mg ja paratsetamool 1000 mg manustamise järgselt ei ole inhibitsiooni </w:t>
      </w:r>
      <w:r w:rsidRPr="00EC3BD7">
        <w:rPr>
          <w:i/>
          <w:iCs/>
          <w:color w:val="000000"/>
          <w:sz w:val="22"/>
          <w:szCs w:val="22"/>
          <w:lang w:val="et-EE"/>
        </w:rPr>
        <w:t>in vivo</w:t>
      </w:r>
      <w:r w:rsidRPr="00EC3BD7">
        <w:rPr>
          <w:color w:val="000000"/>
          <w:sz w:val="22"/>
          <w:szCs w:val="22"/>
          <w:lang w:val="et-EE"/>
        </w:rPr>
        <w:t xml:space="preserve"> uuritud</w:t>
      </w:r>
      <w:r w:rsidRPr="00EC3BD7">
        <w:rPr>
          <w:i/>
          <w:iCs/>
          <w:color w:val="000000"/>
          <w:sz w:val="22"/>
          <w:szCs w:val="22"/>
          <w:lang w:val="et-EE"/>
        </w:rPr>
        <w:t xml:space="preserve">. </w:t>
      </w:r>
      <w:r w:rsidRPr="00EC3BD7">
        <w:rPr>
          <w:iCs/>
          <w:color w:val="000000"/>
          <w:sz w:val="22"/>
          <w:szCs w:val="22"/>
          <w:lang w:val="et-EE"/>
        </w:rPr>
        <w:t>Gliveci ja</w:t>
      </w:r>
      <w:r w:rsidRPr="00EC3BD7">
        <w:rPr>
          <w:i/>
          <w:iCs/>
          <w:color w:val="000000"/>
          <w:sz w:val="22"/>
          <w:szCs w:val="22"/>
          <w:lang w:val="et-EE"/>
        </w:rPr>
        <w:t xml:space="preserve"> </w:t>
      </w:r>
      <w:r w:rsidRPr="00EC3BD7">
        <w:rPr>
          <w:iCs/>
          <w:color w:val="000000"/>
          <w:sz w:val="22"/>
          <w:szCs w:val="22"/>
          <w:lang w:val="et-EE"/>
        </w:rPr>
        <w:t>paratsetamooli kõrgemaid annuseid ei ole uuritud.</w:t>
      </w:r>
    </w:p>
    <w:p w14:paraId="55067113" w14:textId="77777777" w:rsidR="00E21A2F" w:rsidRPr="00EC3BD7" w:rsidRDefault="00E21A2F" w:rsidP="00E21A2F">
      <w:pPr>
        <w:pStyle w:val="Text"/>
        <w:widowControl w:val="0"/>
        <w:spacing w:before="0"/>
        <w:jc w:val="left"/>
        <w:rPr>
          <w:color w:val="000000"/>
          <w:sz w:val="22"/>
          <w:szCs w:val="22"/>
          <w:lang w:val="et-EE"/>
        </w:rPr>
      </w:pPr>
    </w:p>
    <w:p w14:paraId="732CD59E" w14:textId="77777777" w:rsidR="00E21A2F" w:rsidRPr="00EC3BD7" w:rsidRDefault="00E21A2F" w:rsidP="00E21A2F">
      <w:pPr>
        <w:pStyle w:val="Text"/>
        <w:widowControl w:val="0"/>
        <w:spacing w:before="0"/>
        <w:jc w:val="left"/>
        <w:rPr>
          <w:color w:val="000000"/>
          <w:sz w:val="22"/>
          <w:szCs w:val="22"/>
          <w:lang w:val="et-EE"/>
        </w:rPr>
      </w:pPr>
      <w:r w:rsidRPr="00EC3BD7">
        <w:rPr>
          <w:color w:val="000000"/>
          <w:sz w:val="22"/>
          <w:szCs w:val="22"/>
          <w:lang w:val="et-EE"/>
        </w:rPr>
        <w:t>Seetõttu tuleb olla ettevaatlik suurte annustega paratsetamooli ja Gliveci koos kasutamisel.</w:t>
      </w:r>
    </w:p>
    <w:p w14:paraId="1A0C07EF" w14:textId="77777777" w:rsidR="00E21A2F" w:rsidRPr="00EC3BD7" w:rsidRDefault="00E21A2F" w:rsidP="00E21A2F">
      <w:pPr>
        <w:pStyle w:val="Text"/>
        <w:widowControl w:val="0"/>
        <w:spacing w:before="0"/>
        <w:jc w:val="left"/>
        <w:rPr>
          <w:color w:val="000000"/>
          <w:sz w:val="22"/>
          <w:szCs w:val="22"/>
          <w:lang w:val="et-EE"/>
        </w:rPr>
      </w:pPr>
    </w:p>
    <w:p w14:paraId="5A992747" w14:textId="77777777" w:rsidR="00E21A2F" w:rsidRPr="00EC3BD7" w:rsidRDefault="00E21A2F" w:rsidP="00E21A2F">
      <w:pPr>
        <w:rPr>
          <w:color w:val="000000"/>
          <w:szCs w:val="22"/>
          <w:lang w:val="et-EE"/>
        </w:rPr>
      </w:pPr>
      <w:r w:rsidRPr="00EC3BD7">
        <w:rPr>
          <w:color w:val="000000"/>
          <w:szCs w:val="22"/>
          <w:lang w:val="et-EE"/>
        </w:rPr>
        <w:t xml:space="preserve">Türeoidektoomia läbinud patsientidel, kes saavavad ravi levotüroksiiniga, võib samaaegsel Gliveci kasutamisel levotüroksiini </w:t>
      </w:r>
      <w:r w:rsidR="00F570D9" w:rsidRPr="00EC3BD7">
        <w:rPr>
          <w:color w:val="000000"/>
          <w:szCs w:val="22"/>
          <w:lang w:val="et-EE"/>
        </w:rPr>
        <w:t>plasmakontsentratsioon</w:t>
      </w:r>
      <w:r w:rsidR="00F570D9" w:rsidRPr="00EC3BD7" w:rsidDel="00F570D9">
        <w:rPr>
          <w:color w:val="000000"/>
          <w:szCs w:val="22"/>
          <w:lang w:val="et-EE"/>
        </w:rPr>
        <w:t xml:space="preserve"> </w:t>
      </w:r>
      <w:r w:rsidRPr="00EC3BD7">
        <w:rPr>
          <w:color w:val="000000"/>
          <w:szCs w:val="22"/>
          <w:lang w:val="et-EE"/>
        </w:rPr>
        <w:t>väheneda (vt lõik</w:t>
      </w:r>
      <w:r w:rsidR="00F570D9" w:rsidRPr="00EC3BD7">
        <w:rPr>
          <w:color w:val="000000"/>
          <w:szCs w:val="22"/>
          <w:lang w:val="et-EE"/>
        </w:rPr>
        <w:t> </w:t>
      </w:r>
      <w:r w:rsidRPr="00EC3BD7">
        <w:rPr>
          <w:color w:val="000000"/>
          <w:szCs w:val="22"/>
          <w:lang w:val="et-EE"/>
        </w:rPr>
        <w:t>4.4). Seetõttu on ettevaatus vajalik. Selle täheldatud koostoime mehhanism ei ole praeguseks selge.</w:t>
      </w:r>
    </w:p>
    <w:p w14:paraId="4084A543" w14:textId="77777777" w:rsidR="00E21A2F" w:rsidRPr="00EC3BD7" w:rsidRDefault="00E21A2F" w:rsidP="00E21A2F">
      <w:pPr>
        <w:pStyle w:val="Text"/>
        <w:widowControl w:val="0"/>
        <w:spacing w:before="0"/>
        <w:jc w:val="left"/>
        <w:rPr>
          <w:b/>
          <w:color w:val="000000"/>
          <w:sz w:val="22"/>
          <w:szCs w:val="22"/>
          <w:lang w:val="et-EE"/>
        </w:rPr>
      </w:pPr>
    </w:p>
    <w:p w14:paraId="3BC4C658" w14:textId="0E5EB8C9" w:rsidR="00E21A2F" w:rsidRPr="00EC3BD7" w:rsidRDefault="00E21A2F" w:rsidP="00E21A2F">
      <w:pPr>
        <w:pStyle w:val="Text"/>
        <w:widowControl w:val="0"/>
        <w:spacing w:before="0"/>
        <w:jc w:val="left"/>
        <w:rPr>
          <w:color w:val="000000"/>
          <w:sz w:val="22"/>
          <w:szCs w:val="22"/>
          <w:lang w:val="et-EE"/>
        </w:rPr>
      </w:pPr>
      <w:r w:rsidRPr="00EC3BD7">
        <w:rPr>
          <w:color w:val="000000"/>
          <w:sz w:val="22"/>
          <w:szCs w:val="22"/>
          <w:lang w:val="et-EE"/>
        </w:rPr>
        <w:t>Gliveci ja kemoteraapia samaaegse kasutamise kliiniline kogemus Ph+ </w:t>
      </w:r>
      <w:smartTag w:uri="urn:schemas-microsoft-com:office:smarttags" w:element="stockticker">
        <w:r w:rsidRPr="00EC3BD7">
          <w:rPr>
            <w:color w:val="000000"/>
            <w:sz w:val="22"/>
            <w:szCs w:val="22"/>
            <w:lang w:val="et-EE"/>
          </w:rPr>
          <w:t>ALL</w:t>
        </w:r>
        <w:r w:rsidR="00605733">
          <w:rPr>
            <w:color w:val="000000"/>
            <w:szCs w:val="22"/>
            <w:lang w:val="et-EE"/>
          </w:rPr>
          <w:t>-i</w:t>
        </w:r>
      </w:smartTag>
      <w:r w:rsidRPr="00EC3BD7">
        <w:rPr>
          <w:color w:val="000000"/>
          <w:sz w:val="22"/>
          <w:szCs w:val="22"/>
          <w:lang w:val="et-EE"/>
        </w:rPr>
        <w:t xml:space="preserve"> patsientidel on olemas (vt lõik</w:t>
      </w:r>
      <w:r w:rsidR="00D0680E" w:rsidRPr="00EC3BD7">
        <w:rPr>
          <w:color w:val="000000"/>
          <w:sz w:val="22"/>
          <w:szCs w:val="22"/>
          <w:lang w:val="et-EE"/>
        </w:rPr>
        <w:t> </w:t>
      </w:r>
      <w:r w:rsidRPr="00EC3BD7">
        <w:rPr>
          <w:color w:val="000000"/>
          <w:sz w:val="22"/>
          <w:szCs w:val="22"/>
          <w:lang w:val="et-EE"/>
        </w:rPr>
        <w:t>5.1), kuid imatiniibi ja kemoteraapia võimalikud koostoimed ei ole täpselt määratletud. Imatiniibi kõrvaltoimed, nagu hepatotoksilisus, müelosupressioon või teised, võivad suureneda ning on teateid, et imatiniibi samaaegsel kasutamisel koos L-asparaginaasiga võib olla seos hepatotoksilisuse suurenemisega (vt lõik</w:t>
      </w:r>
      <w:r w:rsidR="00D0680E" w:rsidRPr="00EC3BD7">
        <w:rPr>
          <w:color w:val="000000"/>
          <w:sz w:val="22"/>
          <w:szCs w:val="22"/>
          <w:lang w:val="et-EE"/>
        </w:rPr>
        <w:t> </w:t>
      </w:r>
      <w:r w:rsidRPr="00EC3BD7">
        <w:rPr>
          <w:color w:val="000000"/>
          <w:sz w:val="22"/>
          <w:szCs w:val="22"/>
          <w:lang w:val="et-EE"/>
        </w:rPr>
        <w:t>4.8). Seetõttu nõuab Gliveci kasutamine kombinatsioonravis erilist ettevaatust.</w:t>
      </w:r>
    </w:p>
    <w:p w14:paraId="06F9F0FE" w14:textId="77777777" w:rsidR="00E21A2F" w:rsidRPr="00EC3BD7" w:rsidRDefault="00E21A2F" w:rsidP="00E21A2F">
      <w:pPr>
        <w:pStyle w:val="EndnoteText"/>
        <w:widowControl w:val="0"/>
        <w:tabs>
          <w:tab w:val="clear" w:pos="567"/>
        </w:tabs>
        <w:rPr>
          <w:color w:val="000000"/>
          <w:szCs w:val="22"/>
          <w:lang w:val="et-EE"/>
        </w:rPr>
      </w:pPr>
    </w:p>
    <w:p w14:paraId="3D9EFDA4" w14:textId="77777777" w:rsidR="00E21A2F" w:rsidRPr="00EC3BD7" w:rsidRDefault="00E21A2F"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4.6</w:t>
      </w:r>
      <w:r w:rsidRPr="00EC3BD7">
        <w:rPr>
          <w:b/>
          <w:color w:val="000000"/>
          <w:szCs w:val="22"/>
          <w:lang w:val="et-EE"/>
        </w:rPr>
        <w:tab/>
        <w:t>Fertiilsus, rasedus ja imetamine</w:t>
      </w:r>
    </w:p>
    <w:p w14:paraId="17754D5B" w14:textId="77777777" w:rsidR="00E21A2F" w:rsidRPr="00EC3BD7" w:rsidRDefault="00E21A2F" w:rsidP="00B9089D">
      <w:pPr>
        <w:pStyle w:val="EndnoteText"/>
        <w:keepNext/>
        <w:widowControl w:val="0"/>
        <w:rPr>
          <w:color w:val="000000"/>
          <w:szCs w:val="22"/>
          <w:lang w:val="et-EE"/>
        </w:rPr>
      </w:pPr>
    </w:p>
    <w:p w14:paraId="0A254832" w14:textId="77777777" w:rsidR="00E21A2F" w:rsidRPr="00EC3BD7" w:rsidRDefault="00E21A2F" w:rsidP="00B9089D">
      <w:pPr>
        <w:pStyle w:val="EndnoteText"/>
        <w:keepNext/>
        <w:widowControl w:val="0"/>
        <w:rPr>
          <w:color w:val="000000"/>
          <w:szCs w:val="22"/>
          <w:u w:val="single"/>
          <w:lang w:val="et-EE"/>
        </w:rPr>
      </w:pPr>
      <w:r w:rsidRPr="00EC3BD7">
        <w:rPr>
          <w:color w:val="000000"/>
          <w:szCs w:val="22"/>
          <w:u w:val="single"/>
          <w:lang w:val="et-EE"/>
        </w:rPr>
        <w:t>Fertiilses eas naised</w:t>
      </w:r>
    </w:p>
    <w:p w14:paraId="534F591D" w14:textId="77777777" w:rsidR="00E21A2F" w:rsidRPr="00EC3BD7" w:rsidRDefault="00E21A2F" w:rsidP="00E21A2F">
      <w:pPr>
        <w:pStyle w:val="EndnoteText"/>
        <w:widowControl w:val="0"/>
        <w:rPr>
          <w:color w:val="000000"/>
          <w:szCs w:val="22"/>
          <w:lang w:val="et-EE"/>
        </w:rPr>
      </w:pPr>
      <w:r w:rsidRPr="00EC3BD7">
        <w:rPr>
          <w:color w:val="000000"/>
          <w:szCs w:val="22"/>
          <w:lang w:val="et-EE"/>
        </w:rPr>
        <w:t xml:space="preserve">Fertiilses eas naistele tuleb soovitada ravi ajal </w:t>
      </w:r>
      <w:r w:rsidR="00550B98" w:rsidRPr="00EC3BD7">
        <w:rPr>
          <w:color w:val="000000"/>
          <w:szCs w:val="22"/>
          <w:lang w:val="et-EE"/>
        </w:rPr>
        <w:t xml:space="preserve">ja vähemalt 15 päeva pärast ravi lõpetamist Gliveciga </w:t>
      </w:r>
      <w:r w:rsidRPr="00EC3BD7">
        <w:rPr>
          <w:color w:val="000000"/>
          <w:szCs w:val="22"/>
          <w:lang w:val="et-EE"/>
        </w:rPr>
        <w:t>efektiivsete rasestumisvastaste vahendite kasutamist.</w:t>
      </w:r>
    </w:p>
    <w:p w14:paraId="261A9B28" w14:textId="77777777" w:rsidR="00E21A2F" w:rsidRPr="00EC3BD7" w:rsidRDefault="00E21A2F" w:rsidP="00E21A2F">
      <w:pPr>
        <w:pStyle w:val="EndnoteText"/>
        <w:widowControl w:val="0"/>
        <w:rPr>
          <w:color w:val="000000"/>
          <w:szCs w:val="22"/>
          <w:lang w:val="et-EE"/>
        </w:rPr>
      </w:pPr>
    </w:p>
    <w:p w14:paraId="65BF1D67" w14:textId="77777777" w:rsidR="00E21A2F" w:rsidRPr="00EC3BD7" w:rsidRDefault="00E21A2F" w:rsidP="00B9089D">
      <w:pPr>
        <w:pStyle w:val="EndnoteText"/>
        <w:keepNext/>
        <w:widowControl w:val="0"/>
        <w:rPr>
          <w:color w:val="000000"/>
          <w:szCs w:val="22"/>
          <w:u w:val="single"/>
          <w:lang w:val="et-EE"/>
        </w:rPr>
      </w:pPr>
      <w:r w:rsidRPr="00EC3BD7">
        <w:rPr>
          <w:color w:val="000000"/>
          <w:szCs w:val="22"/>
          <w:u w:val="single"/>
          <w:lang w:val="et-EE"/>
        </w:rPr>
        <w:t>Rasedus</w:t>
      </w:r>
    </w:p>
    <w:p w14:paraId="6FD7EA62" w14:textId="77777777" w:rsidR="00E21A2F" w:rsidRPr="00EC3BD7" w:rsidRDefault="00E21A2F" w:rsidP="00E21A2F">
      <w:pPr>
        <w:pStyle w:val="EndnoteText"/>
        <w:widowControl w:val="0"/>
        <w:rPr>
          <w:color w:val="000000"/>
          <w:szCs w:val="22"/>
          <w:lang w:val="et-EE"/>
        </w:rPr>
      </w:pPr>
      <w:r w:rsidRPr="00EC3BD7">
        <w:rPr>
          <w:color w:val="000000"/>
          <w:szCs w:val="22"/>
          <w:lang w:val="et-EE"/>
        </w:rPr>
        <w:t xml:space="preserve">Andmed imatiniibi kasutamise kohta rasedatel on puudulikud. </w:t>
      </w:r>
      <w:r w:rsidR="001D7897" w:rsidRPr="00EC3BD7">
        <w:rPr>
          <w:color w:val="000000"/>
          <w:szCs w:val="22"/>
          <w:lang w:val="et-EE"/>
        </w:rPr>
        <w:t xml:space="preserve">Glivecit kasutanud naistel on turuletulekujärgselt teatatud spontaansetest abortidest ja kaasasündinud väärarengutest imikutel. </w:t>
      </w:r>
      <w:r w:rsidRPr="00EC3BD7">
        <w:rPr>
          <w:color w:val="000000"/>
          <w:szCs w:val="22"/>
          <w:lang w:val="et-EE"/>
        </w:rPr>
        <w:t>Loomkatsed on siiski näidanud kahjulikku toimet reproduktiivsusele (vt lõik</w:t>
      </w:r>
      <w:r w:rsidR="00D0680E" w:rsidRPr="00EC3BD7">
        <w:rPr>
          <w:color w:val="000000"/>
          <w:szCs w:val="22"/>
          <w:lang w:val="et-EE"/>
        </w:rPr>
        <w:t> </w:t>
      </w:r>
      <w:r w:rsidRPr="00EC3BD7">
        <w:rPr>
          <w:color w:val="000000"/>
          <w:szCs w:val="22"/>
          <w:lang w:val="et-EE"/>
        </w:rPr>
        <w:t>5.3). Võimalik risk lootele ei ole teada. Glivecit ei tohi kasutada raseduse ajal väljaarvatud juhul kui see on hädavajalik. Kui ravimit kasutatakse raseduse ajal, tuleb patsienti informeerida võimalikust ohust lootele.</w:t>
      </w:r>
    </w:p>
    <w:p w14:paraId="49479601" w14:textId="77777777" w:rsidR="00E21A2F" w:rsidRPr="00EC3BD7" w:rsidRDefault="00E21A2F" w:rsidP="00E21A2F">
      <w:pPr>
        <w:pStyle w:val="EndnoteText"/>
        <w:widowControl w:val="0"/>
        <w:rPr>
          <w:color w:val="000000"/>
          <w:szCs w:val="22"/>
          <w:lang w:val="et-EE"/>
        </w:rPr>
      </w:pPr>
    </w:p>
    <w:p w14:paraId="5A528D7D" w14:textId="77777777" w:rsidR="00E21A2F" w:rsidRPr="00EC3BD7" w:rsidRDefault="00E21A2F" w:rsidP="00B9089D">
      <w:pPr>
        <w:pStyle w:val="EndnoteText"/>
        <w:keepNext/>
        <w:widowControl w:val="0"/>
        <w:rPr>
          <w:color w:val="000000"/>
          <w:szCs w:val="22"/>
          <w:u w:val="single"/>
          <w:lang w:val="et-EE"/>
        </w:rPr>
      </w:pPr>
      <w:r w:rsidRPr="00EC3BD7">
        <w:rPr>
          <w:color w:val="000000"/>
          <w:szCs w:val="22"/>
          <w:u w:val="single"/>
          <w:lang w:val="et-EE"/>
        </w:rPr>
        <w:t>Imetamine</w:t>
      </w:r>
    </w:p>
    <w:p w14:paraId="2C0AC82E" w14:textId="245CEB01" w:rsidR="00E21A2F" w:rsidRPr="00EC3BD7" w:rsidRDefault="00E21A2F" w:rsidP="00E21A2F">
      <w:pPr>
        <w:pStyle w:val="EndnoteText"/>
        <w:widowControl w:val="0"/>
        <w:rPr>
          <w:color w:val="000000"/>
          <w:szCs w:val="22"/>
          <w:lang w:val="et-EE"/>
        </w:rPr>
      </w:pPr>
      <w:r w:rsidRPr="00EC3BD7">
        <w:rPr>
          <w:color w:val="000000"/>
          <w:szCs w:val="22"/>
          <w:lang w:val="et-EE"/>
        </w:rPr>
        <w:t xml:space="preserve">Ei ole piisavalt andmeid imatiniibi jaotumise kohta inimese rinnapiima. Kahel imetaval naisel läbi viidud uuringu tulemusena selgus, et nii imatiniib kui ka selle aktiivne metaboliit võivad jaotuda inimese rinnapiima. Ühel patsiendil läbi viidud uuring näitas, et ravimi sisalduse suhe piimas/plasmas oli 0,5 imatiniibi ja 0,9 metaboliidi puhul, mis näitab metaboliidi suuremat jaotumist piima. Võttes arvesse imatiniibi ja metaboliidi kombineeritud kontsentratsiooni ning maksimaalset lapse poolt joodava piima kogust päevas, on kogu </w:t>
      </w:r>
      <w:r w:rsidR="00D0680E" w:rsidRPr="00EC3BD7">
        <w:rPr>
          <w:color w:val="000000"/>
          <w:szCs w:val="22"/>
          <w:lang w:val="et-EE"/>
        </w:rPr>
        <w:t>plasmakontsentratsioon</w:t>
      </w:r>
      <w:r w:rsidR="00D0680E" w:rsidRPr="00EC3BD7" w:rsidDel="00D0680E">
        <w:rPr>
          <w:color w:val="000000"/>
          <w:szCs w:val="22"/>
          <w:lang w:val="et-EE"/>
        </w:rPr>
        <w:t xml:space="preserve"> </w:t>
      </w:r>
      <w:r w:rsidRPr="00EC3BD7">
        <w:rPr>
          <w:color w:val="000000"/>
          <w:szCs w:val="22"/>
          <w:lang w:val="et-EE"/>
        </w:rPr>
        <w:t xml:space="preserve">madal (~10% terapeutilisest annusest). Ent kuna imatiniibi väikese annusega kokkupuute mõju lapsele on teadmata, ei tohi naised </w:t>
      </w:r>
      <w:r w:rsidR="00550B98" w:rsidRPr="00EC3BD7">
        <w:rPr>
          <w:color w:val="000000"/>
          <w:szCs w:val="22"/>
          <w:lang w:val="et-EE"/>
        </w:rPr>
        <w:t xml:space="preserve">ravi ajal ja vähemalt 15 päeva pärast ravi lõpetamist Gliveciga </w:t>
      </w:r>
      <w:r w:rsidRPr="00EC3BD7">
        <w:rPr>
          <w:color w:val="000000"/>
          <w:szCs w:val="22"/>
          <w:lang w:val="et-EE"/>
        </w:rPr>
        <w:t>last rinnaga toita.</w:t>
      </w:r>
    </w:p>
    <w:p w14:paraId="34AE6966" w14:textId="77777777" w:rsidR="00E21A2F" w:rsidRPr="00EC3BD7" w:rsidRDefault="00E21A2F" w:rsidP="00E21A2F">
      <w:pPr>
        <w:pStyle w:val="EndnoteText"/>
        <w:widowControl w:val="0"/>
        <w:rPr>
          <w:color w:val="000000"/>
          <w:szCs w:val="22"/>
          <w:lang w:val="et-EE"/>
        </w:rPr>
      </w:pPr>
    </w:p>
    <w:p w14:paraId="220E3BFB" w14:textId="77777777" w:rsidR="00E21A2F" w:rsidRPr="00EC3BD7" w:rsidRDefault="00E21A2F" w:rsidP="00B9089D">
      <w:pPr>
        <w:pStyle w:val="EndnoteText"/>
        <w:keepNext/>
        <w:widowControl w:val="0"/>
        <w:rPr>
          <w:color w:val="000000"/>
          <w:szCs w:val="22"/>
          <w:u w:val="single"/>
          <w:lang w:val="et-EE"/>
        </w:rPr>
      </w:pPr>
      <w:r w:rsidRPr="00EC3BD7">
        <w:rPr>
          <w:color w:val="000000"/>
          <w:szCs w:val="22"/>
          <w:u w:val="single"/>
          <w:lang w:val="et-EE"/>
        </w:rPr>
        <w:t>Fertiilsus</w:t>
      </w:r>
    </w:p>
    <w:p w14:paraId="171FE26E" w14:textId="77777777" w:rsidR="00E21A2F" w:rsidRPr="00EC3BD7" w:rsidRDefault="00E21A2F" w:rsidP="00E21A2F">
      <w:pPr>
        <w:pStyle w:val="EndnoteText"/>
        <w:widowControl w:val="0"/>
        <w:rPr>
          <w:color w:val="000000"/>
          <w:szCs w:val="22"/>
          <w:lang w:val="et-EE"/>
        </w:rPr>
      </w:pPr>
      <w:r w:rsidRPr="00EC3BD7">
        <w:rPr>
          <w:color w:val="000000"/>
          <w:szCs w:val="22"/>
          <w:lang w:val="et-EE"/>
        </w:rPr>
        <w:t>Mittekliinilistes uuringutes ei esinenud mõju isaste ja emaste rottide fertiilsusele</w:t>
      </w:r>
      <w:r w:rsidR="00550B98" w:rsidRPr="00EC3BD7">
        <w:rPr>
          <w:color w:val="000000"/>
          <w:szCs w:val="22"/>
          <w:lang w:val="et-EE"/>
        </w:rPr>
        <w:t>, kuigi t</w:t>
      </w:r>
      <w:r w:rsidR="00942E0C" w:rsidRPr="00EC3BD7">
        <w:rPr>
          <w:color w:val="000000"/>
          <w:szCs w:val="22"/>
          <w:lang w:val="et-EE"/>
        </w:rPr>
        <w:t>äheldati mõju reproduktiivsuse</w:t>
      </w:r>
      <w:r w:rsidR="00550B98" w:rsidRPr="00EC3BD7">
        <w:rPr>
          <w:color w:val="000000"/>
          <w:szCs w:val="22"/>
          <w:lang w:val="et-EE"/>
        </w:rPr>
        <w:t xml:space="preserve"> näitajatele</w:t>
      </w:r>
      <w:r w:rsidRPr="00EC3BD7">
        <w:rPr>
          <w:color w:val="000000"/>
          <w:szCs w:val="22"/>
          <w:lang w:val="et-EE"/>
        </w:rPr>
        <w:t xml:space="preserve"> (vt lõik</w:t>
      </w:r>
      <w:r w:rsidR="00D0680E" w:rsidRPr="00EC3BD7">
        <w:rPr>
          <w:color w:val="000000"/>
          <w:szCs w:val="22"/>
          <w:lang w:val="et-EE"/>
        </w:rPr>
        <w:t> </w:t>
      </w:r>
      <w:r w:rsidRPr="00EC3BD7">
        <w:rPr>
          <w:color w:val="000000"/>
          <w:szCs w:val="22"/>
          <w:lang w:val="et-EE"/>
        </w:rPr>
        <w:t>5.3). Uuringuid patsientidel, kes on saanud Glivecit ja selle mõju kohta fertiilsusele ja gametogeneesile ei ole läbi viidud. Patsiendid, kes on mures oma fertiilsuse pärast Gliveci ravi ajal, peaksid konsulteerima oma arstiga (vt lõik</w:t>
      </w:r>
      <w:r w:rsidR="00D0680E" w:rsidRPr="00EC3BD7">
        <w:rPr>
          <w:color w:val="000000"/>
          <w:szCs w:val="22"/>
          <w:lang w:val="et-EE"/>
        </w:rPr>
        <w:t> </w:t>
      </w:r>
      <w:r w:rsidRPr="00EC3BD7">
        <w:rPr>
          <w:color w:val="000000"/>
          <w:szCs w:val="22"/>
          <w:lang w:val="et-EE"/>
        </w:rPr>
        <w:t>5.3).</w:t>
      </w:r>
    </w:p>
    <w:p w14:paraId="3D3E4C0F" w14:textId="77777777" w:rsidR="00E21A2F" w:rsidRPr="00EC3BD7" w:rsidRDefault="00E21A2F" w:rsidP="00E21A2F">
      <w:pPr>
        <w:pStyle w:val="EndnoteText"/>
        <w:widowControl w:val="0"/>
        <w:rPr>
          <w:color w:val="000000"/>
          <w:szCs w:val="22"/>
          <w:lang w:val="et-EE"/>
        </w:rPr>
      </w:pPr>
    </w:p>
    <w:p w14:paraId="19F8BAD6" w14:textId="77777777" w:rsidR="00E21A2F" w:rsidRPr="00EC3BD7" w:rsidRDefault="00E21A2F"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4.7</w:t>
      </w:r>
      <w:r w:rsidRPr="00EC3BD7">
        <w:rPr>
          <w:b/>
          <w:color w:val="000000"/>
          <w:szCs w:val="22"/>
          <w:lang w:val="et-EE"/>
        </w:rPr>
        <w:tab/>
        <w:t>Toime reaktsioonikiirusele</w:t>
      </w:r>
    </w:p>
    <w:p w14:paraId="76245FFB" w14:textId="77777777" w:rsidR="00E21A2F" w:rsidRPr="00EC3BD7" w:rsidRDefault="00E21A2F" w:rsidP="00B9089D">
      <w:pPr>
        <w:pStyle w:val="EndnoteText"/>
        <w:keepNext/>
        <w:widowControl w:val="0"/>
        <w:tabs>
          <w:tab w:val="clear" w:pos="567"/>
        </w:tabs>
        <w:rPr>
          <w:color w:val="000000"/>
          <w:szCs w:val="22"/>
          <w:lang w:val="et-EE"/>
        </w:rPr>
      </w:pPr>
    </w:p>
    <w:p w14:paraId="6C8321E2" w14:textId="77777777" w:rsidR="00E21A2F" w:rsidRPr="00EC3BD7" w:rsidRDefault="00E21A2F" w:rsidP="00E21A2F">
      <w:pPr>
        <w:pStyle w:val="EndnoteText"/>
        <w:widowControl w:val="0"/>
        <w:tabs>
          <w:tab w:val="clear" w:pos="567"/>
        </w:tabs>
        <w:rPr>
          <w:snapToGrid w:val="0"/>
          <w:color w:val="000000"/>
          <w:szCs w:val="22"/>
          <w:lang w:val="et-EE"/>
        </w:rPr>
      </w:pPr>
      <w:r w:rsidRPr="00EC3BD7">
        <w:rPr>
          <w:snapToGrid w:val="0"/>
          <w:color w:val="000000"/>
          <w:szCs w:val="22"/>
          <w:lang w:val="et-EE"/>
        </w:rPr>
        <w:t>Patsiente tuleb informeerida, et neil võib imatiniibi ravi ajal esineda kõrvaltoimeid nagu uimasus, hägune nägemine või unisus. Seetõttu soovitatakse autojuhtimisel või masinate käsitsemisel olla ettevaatlik.</w:t>
      </w:r>
    </w:p>
    <w:p w14:paraId="7DB7C51F" w14:textId="77777777" w:rsidR="00E21A2F" w:rsidRPr="00EC3BD7" w:rsidRDefault="00E21A2F" w:rsidP="00E21A2F">
      <w:pPr>
        <w:pStyle w:val="EndnoteText"/>
        <w:widowControl w:val="0"/>
        <w:tabs>
          <w:tab w:val="clear" w:pos="567"/>
        </w:tabs>
        <w:rPr>
          <w:color w:val="000000"/>
          <w:szCs w:val="22"/>
          <w:lang w:val="et-EE"/>
        </w:rPr>
      </w:pPr>
    </w:p>
    <w:p w14:paraId="0E12375E" w14:textId="77777777" w:rsidR="00E21A2F" w:rsidRPr="00EC3BD7" w:rsidRDefault="00E21A2F" w:rsidP="00B9089D">
      <w:pPr>
        <w:keepNext/>
        <w:widowControl w:val="0"/>
        <w:tabs>
          <w:tab w:val="clear" w:pos="567"/>
        </w:tabs>
        <w:spacing w:line="240" w:lineRule="auto"/>
        <w:ind w:left="567" w:hanging="567"/>
        <w:rPr>
          <w:b/>
          <w:color w:val="000000"/>
          <w:szCs w:val="22"/>
          <w:lang w:val="et-EE"/>
        </w:rPr>
      </w:pPr>
      <w:r w:rsidRPr="00EC3BD7">
        <w:rPr>
          <w:b/>
          <w:color w:val="000000"/>
          <w:szCs w:val="22"/>
          <w:lang w:val="et-EE"/>
        </w:rPr>
        <w:t>4.8</w:t>
      </w:r>
      <w:r w:rsidRPr="00EC3BD7">
        <w:rPr>
          <w:b/>
          <w:color w:val="000000"/>
          <w:szCs w:val="22"/>
          <w:lang w:val="et-EE"/>
        </w:rPr>
        <w:tab/>
        <w:t>Kõrvaltoimed</w:t>
      </w:r>
    </w:p>
    <w:p w14:paraId="6BE2C36C" w14:textId="77777777" w:rsidR="00E21A2F" w:rsidRPr="00EC3BD7" w:rsidRDefault="00E21A2F" w:rsidP="00B9089D">
      <w:pPr>
        <w:keepNext/>
        <w:widowControl w:val="0"/>
        <w:tabs>
          <w:tab w:val="clear" w:pos="567"/>
        </w:tabs>
        <w:spacing w:line="240" w:lineRule="auto"/>
        <w:rPr>
          <w:color w:val="000000"/>
          <w:szCs w:val="22"/>
          <w:lang w:val="et-EE"/>
        </w:rPr>
      </w:pPr>
    </w:p>
    <w:p w14:paraId="757001DD" w14:textId="77777777" w:rsidR="00E21A2F" w:rsidRPr="00EC3BD7" w:rsidRDefault="00E21A2F" w:rsidP="00E21A2F">
      <w:pPr>
        <w:pStyle w:val="Text"/>
        <w:widowControl w:val="0"/>
        <w:spacing w:before="0"/>
        <w:jc w:val="left"/>
        <w:rPr>
          <w:color w:val="000000"/>
          <w:sz w:val="22"/>
          <w:szCs w:val="22"/>
          <w:lang w:val="et-EE"/>
        </w:rPr>
      </w:pPr>
      <w:r w:rsidRPr="00EC3BD7">
        <w:rPr>
          <w:color w:val="000000"/>
          <w:sz w:val="22"/>
          <w:szCs w:val="22"/>
          <w:lang w:val="et-EE"/>
        </w:rPr>
        <w:t>Kaugelearenenud faasis pahaloomuliste kasvajatega patsientidel võivad esineda mitmed kaasuvad haigusseisundid. Kõrvaltoimete põhjuslikkust on raske hinnata erinevate sümptomite tõttu, mis on seotud haiguse, selle progresseerumise ja paljude ravimite samaaegse manustamisega.</w:t>
      </w:r>
    </w:p>
    <w:p w14:paraId="65047065" w14:textId="77777777" w:rsidR="00E21A2F" w:rsidRPr="00EC3BD7" w:rsidRDefault="00E21A2F" w:rsidP="00E21A2F">
      <w:pPr>
        <w:pStyle w:val="Text"/>
        <w:widowControl w:val="0"/>
        <w:spacing w:before="0"/>
        <w:jc w:val="left"/>
        <w:rPr>
          <w:color w:val="000000"/>
          <w:sz w:val="22"/>
          <w:szCs w:val="22"/>
          <w:lang w:val="et-EE"/>
        </w:rPr>
      </w:pPr>
    </w:p>
    <w:p w14:paraId="7658CF4B" w14:textId="799A30A6" w:rsidR="00E21A2F" w:rsidRPr="00EC3BD7" w:rsidRDefault="00605733" w:rsidP="00E21A2F">
      <w:pPr>
        <w:pStyle w:val="Text"/>
        <w:widowControl w:val="0"/>
        <w:spacing w:before="0"/>
        <w:jc w:val="left"/>
        <w:rPr>
          <w:color w:val="000000"/>
          <w:sz w:val="22"/>
          <w:szCs w:val="22"/>
          <w:lang w:val="et-EE"/>
        </w:rPr>
      </w:pPr>
      <w:r>
        <w:rPr>
          <w:color w:val="000000"/>
          <w:sz w:val="22"/>
          <w:szCs w:val="22"/>
          <w:lang w:val="et-EE"/>
        </w:rPr>
        <w:t>K</w:t>
      </w:r>
      <w:r w:rsidR="00E21A2F" w:rsidRPr="00EC3BD7">
        <w:rPr>
          <w:color w:val="000000"/>
          <w:sz w:val="22"/>
          <w:szCs w:val="22"/>
          <w:lang w:val="et-EE"/>
        </w:rPr>
        <w:t>ML</w:t>
      </w:r>
      <w:r>
        <w:rPr>
          <w:color w:val="000000"/>
          <w:szCs w:val="22"/>
          <w:lang w:val="et-EE"/>
        </w:rPr>
        <w:t>-i</w:t>
      </w:r>
      <w:r w:rsidR="00E21A2F" w:rsidRPr="00EC3BD7">
        <w:rPr>
          <w:color w:val="000000"/>
          <w:sz w:val="22"/>
          <w:szCs w:val="22"/>
          <w:lang w:val="et-EE"/>
        </w:rPr>
        <w:t xml:space="preserve"> kliinilistes uuringutes lõpetati ravimi manustamine ravimiga seotud kõrvaltoimete tõttu 2,4% värskelt diagnoositud patsientidel, 4% hilises kroonilises staadiumis patsientidel kellel ravi interferooniga oli ebaõnnestunud, 4% aktseleratsioonifaasis patsientidel pärast interferoonravi ebaõnnestumist ja 5% blastses kriisis patsientidel pärast interferoonravi ebaõnnestumist. GIST</w:t>
      </w:r>
      <w:r>
        <w:rPr>
          <w:color w:val="000000"/>
          <w:szCs w:val="22"/>
          <w:lang w:val="et-EE"/>
        </w:rPr>
        <w:t>-i</w:t>
      </w:r>
      <w:r w:rsidR="00E21A2F" w:rsidRPr="00EC3BD7">
        <w:rPr>
          <w:color w:val="000000"/>
          <w:sz w:val="22"/>
          <w:szCs w:val="22"/>
          <w:lang w:val="et-EE"/>
        </w:rPr>
        <w:t xml:space="preserve"> puhul lõpetati uuringuravimi manustamine ravimiga seotud kõrvaltoimete tõttu 4% patsientidest.</w:t>
      </w:r>
    </w:p>
    <w:p w14:paraId="48157312" w14:textId="77777777" w:rsidR="00E21A2F" w:rsidRPr="00EC3BD7" w:rsidRDefault="00E21A2F" w:rsidP="00E21A2F">
      <w:pPr>
        <w:pStyle w:val="Text"/>
        <w:widowControl w:val="0"/>
        <w:spacing w:before="0"/>
        <w:jc w:val="left"/>
        <w:rPr>
          <w:color w:val="000000"/>
          <w:sz w:val="22"/>
          <w:szCs w:val="22"/>
          <w:lang w:val="et-EE"/>
        </w:rPr>
      </w:pPr>
    </w:p>
    <w:p w14:paraId="79EC5912" w14:textId="3B78E460" w:rsidR="00E21A2F" w:rsidRPr="00EC3BD7" w:rsidRDefault="00E21A2F" w:rsidP="00E21A2F">
      <w:pPr>
        <w:pStyle w:val="Text"/>
        <w:widowControl w:val="0"/>
        <w:spacing w:before="0"/>
        <w:jc w:val="left"/>
        <w:rPr>
          <w:color w:val="000000"/>
          <w:sz w:val="22"/>
          <w:szCs w:val="22"/>
          <w:lang w:val="et-EE"/>
        </w:rPr>
      </w:pPr>
      <w:r w:rsidRPr="00EC3BD7">
        <w:rPr>
          <w:color w:val="000000"/>
          <w:sz w:val="22"/>
          <w:szCs w:val="22"/>
          <w:lang w:val="et-EE"/>
        </w:rPr>
        <w:t xml:space="preserve">Kõrvaltoimed olid kõigi näidustuste puhul patsientidel sarnased kahe erandiga. Müelosupressiooni täheldati sagedamini </w:t>
      </w:r>
      <w:smartTag w:uri="urn:schemas-microsoft-com:office:smarttags" w:element="stockticker">
        <w:r w:rsidRPr="00EC3BD7">
          <w:rPr>
            <w:color w:val="000000"/>
            <w:sz w:val="22"/>
            <w:szCs w:val="22"/>
            <w:lang w:val="et-EE"/>
          </w:rPr>
          <w:t>KML</w:t>
        </w:r>
        <w:r w:rsidR="00605733">
          <w:rPr>
            <w:color w:val="000000"/>
            <w:szCs w:val="22"/>
            <w:lang w:val="et-EE"/>
          </w:rPr>
          <w:t>-i</w:t>
        </w:r>
      </w:smartTag>
      <w:r w:rsidRPr="00EC3BD7">
        <w:rPr>
          <w:color w:val="000000"/>
          <w:sz w:val="22"/>
          <w:szCs w:val="22"/>
          <w:lang w:val="et-EE"/>
        </w:rPr>
        <w:t xml:space="preserve"> patsientidel võrreldes GIST</w:t>
      </w:r>
      <w:r w:rsidR="00605733">
        <w:rPr>
          <w:color w:val="000000"/>
          <w:szCs w:val="22"/>
          <w:lang w:val="et-EE"/>
        </w:rPr>
        <w:t>-i</w:t>
      </w:r>
      <w:r w:rsidRPr="00EC3BD7">
        <w:rPr>
          <w:color w:val="000000"/>
          <w:sz w:val="22"/>
          <w:szCs w:val="22"/>
          <w:lang w:val="et-EE"/>
        </w:rPr>
        <w:t xml:space="preserve"> patsientidega, mis tõenäoliselt on tingitud haiguse eripärast. Mitteopereeritava ja/või metastaseerunud GIST</w:t>
      </w:r>
      <w:r w:rsidR="00DD0F07" w:rsidRPr="00593631">
        <w:rPr>
          <w:color w:val="000000"/>
          <w:sz w:val="22"/>
          <w:szCs w:val="22"/>
          <w:lang w:val="et-EE"/>
        </w:rPr>
        <w:t>-i</w:t>
      </w:r>
      <w:r w:rsidRPr="00EC3BD7">
        <w:rPr>
          <w:color w:val="000000"/>
          <w:sz w:val="22"/>
          <w:szCs w:val="22"/>
          <w:lang w:val="et-EE"/>
        </w:rPr>
        <w:t xml:space="preserve"> uuringus täheldati kokku seitsmel patsiendil</w:t>
      </w:r>
      <w:r w:rsidRPr="00EC3BD7">
        <w:rPr>
          <w:snapToGrid w:val="0"/>
          <w:color w:val="000000"/>
          <w:sz w:val="22"/>
          <w:szCs w:val="22"/>
          <w:lang w:val="et-EE"/>
        </w:rPr>
        <w:t xml:space="preserve"> (5%) </w:t>
      </w:r>
      <w:smartTag w:uri="urn:schemas-microsoft-com:office:smarttags" w:element="stockticker">
        <w:r w:rsidRPr="00EC3BD7">
          <w:rPr>
            <w:snapToGrid w:val="0"/>
            <w:color w:val="000000"/>
            <w:sz w:val="22"/>
            <w:szCs w:val="22"/>
            <w:lang w:val="et-EE"/>
          </w:rPr>
          <w:t>III</w:t>
        </w:r>
      </w:smartTag>
      <w:r w:rsidRPr="00EC3BD7">
        <w:rPr>
          <w:snapToGrid w:val="0"/>
          <w:color w:val="000000"/>
          <w:sz w:val="22"/>
          <w:szCs w:val="22"/>
          <w:lang w:val="et-EE"/>
        </w:rPr>
        <w:t>/IV astme (</w:t>
      </w:r>
      <w:smartTag w:uri="urn:schemas-microsoft-com:office:smarttags" w:element="stockticker">
        <w:r w:rsidRPr="00EC3BD7">
          <w:rPr>
            <w:snapToGrid w:val="0"/>
            <w:color w:val="000000"/>
            <w:sz w:val="22"/>
            <w:szCs w:val="22"/>
            <w:lang w:val="et-EE"/>
          </w:rPr>
          <w:t>CTC</w:t>
        </w:r>
      </w:smartTag>
      <w:r w:rsidRPr="00EC3BD7">
        <w:rPr>
          <w:snapToGrid w:val="0"/>
          <w:color w:val="000000"/>
          <w:sz w:val="22"/>
          <w:szCs w:val="22"/>
          <w:lang w:val="et-EE"/>
        </w:rPr>
        <w:t xml:space="preserve"> järgi) seedetrakti verejookse (kolmel patsiendil), kasvajasiseseid verejookse (kolmel patsiendil) või mõlemat (ühel patsiendil). Seedetrakti verejooksud võisid pärineda seedetraktis paiknevatest kasvajatest (vt lõik</w:t>
      </w:r>
      <w:r w:rsidR="00D0680E" w:rsidRPr="00EC3BD7">
        <w:rPr>
          <w:snapToGrid w:val="0"/>
          <w:color w:val="000000"/>
          <w:sz w:val="22"/>
          <w:szCs w:val="22"/>
          <w:lang w:val="et-EE"/>
        </w:rPr>
        <w:t> </w:t>
      </w:r>
      <w:r w:rsidRPr="00EC3BD7">
        <w:rPr>
          <w:snapToGrid w:val="0"/>
          <w:color w:val="000000"/>
          <w:sz w:val="22"/>
          <w:szCs w:val="22"/>
          <w:lang w:val="et-EE"/>
        </w:rPr>
        <w:t xml:space="preserve">4.4). Seedetrakti ja kasvaja verejooksud võivad olla rasked ja mõnikord ka letaalsed. Kõige sagedamini täheldatud </w:t>
      </w:r>
      <w:r w:rsidRPr="00EC3BD7">
        <w:rPr>
          <w:color w:val="000000"/>
          <w:sz w:val="22"/>
          <w:szCs w:val="22"/>
          <w:lang w:val="et-EE"/>
        </w:rPr>
        <w:t>(</w:t>
      </w:r>
      <w:r w:rsidRPr="00EC3BD7">
        <w:rPr>
          <w:color w:val="000000"/>
          <w:sz w:val="22"/>
          <w:szCs w:val="22"/>
          <w:lang w:val="et-EE"/>
        </w:rPr>
        <w:sym w:font="Symbol" w:char="F0B3"/>
      </w:r>
      <w:r w:rsidRPr="00EC3BD7">
        <w:rPr>
          <w:color w:val="000000"/>
          <w:sz w:val="22"/>
          <w:szCs w:val="22"/>
          <w:lang w:val="et-EE"/>
        </w:rPr>
        <w:t xml:space="preserve">10%) ravimiga seotud kõrvaltoimed olid mõlemal juhul kerge iiveldus, oksendamine, kõhulahtisus, kõhuvalu, väsimus, lihasvalu, lihaskrambid ja lööve. Pindmised tursed esinesid sageli kõigis uuringutes ja neid kirjeldati peamiselt </w:t>
      </w:r>
      <w:r w:rsidRPr="00EC3BD7">
        <w:rPr>
          <w:color w:val="000000"/>
          <w:sz w:val="22"/>
          <w:szCs w:val="22"/>
          <w:lang w:val="et-EE"/>
        </w:rPr>
        <w:lastRenderedPageBreak/>
        <w:t>periorbitaalsete või alajäsemete tursetena. Siiski olid need tursed harva rasked ja neid võib vajadusel ravida diureetikumide, teiste toetavate abinõude või Gliveci annuse vähendamisega.</w:t>
      </w:r>
    </w:p>
    <w:p w14:paraId="7B21F814" w14:textId="77777777" w:rsidR="00E21A2F" w:rsidRPr="00EC3BD7" w:rsidRDefault="00E21A2F" w:rsidP="00E21A2F">
      <w:pPr>
        <w:pStyle w:val="Text"/>
        <w:widowControl w:val="0"/>
        <w:spacing w:before="0"/>
        <w:jc w:val="left"/>
        <w:rPr>
          <w:color w:val="000000"/>
          <w:sz w:val="22"/>
          <w:szCs w:val="22"/>
          <w:lang w:val="et-EE"/>
        </w:rPr>
      </w:pPr>
    </w:p>
    <w:p w14:paraId="613710DF" w14:textId="2E2E4B00" w:rsidR="00E21A2F" w:rsidRPr="00EC3BD7" w:rsidRDefault="00E21A2F" w:rsidP="00E21A2F">
      <w:pPr>
        <w:pStyle w:val="Text"/>
        <w:widowControl w:val="0"/>
        <w:spacing w:before="0"/>
        <w:jc w:val="left"/>
        <w:rPr>
          <w:color w:val="000000"/>
          <w:sz w:val="22"/>
          <w:szCs w:val="22"/>
          <w:lang w:val="et-EE"/>
        </w:rPr>
      </w:pPr>
      <w:r w:rsidRPr="00EC3BD7">
        <w:rPr>
          <w:color w:val="000000"/>
          <w:sz w:val="22"/>
          <w:szCs w:val="22"/>
          <w:lang w:val="et-EE"/>
        </w:rPr>
        <w:t>Kui Ph+ </w:t>
      </w:r>
      <w:smartTag w:uri="urn:schemas-microsoft-com:office:smarttags" w:element="stockticker">
        <w:r w:rsidRPr="00EC3BD7">
          <w:rPr>
            <w:color w:val="000000"/>
            <w:sz w:val="22"/>
            <w:szCs w:val="22"/>
            <w:lang w:val="et-EE"/>
          </w:rPr>
          <w:t>ALL</w:t>
        </w:r>
        <w:r w:rsidR="00605733">
          <w:rPr>
            <w:color w:val="000000"/>
            <w:szCs w:val="22"/>
            <w:lang w:val="et-EE"/>
          </w:rPr>
          <w:t>-i</w:t>
        </w:r>
      </w:smartTag>
      <w:r w:rsidRPr="00EC3BD7">
        <w:rPr>
          <w:color w:val="000000"/>
          <w:sz w:val="22"/>
          <w:szCs w:val="22"/>
          <w:lang w:val="et-EE"/>
        </w:rPr>
        <w:t xml:space="preserve"> patsientidel kasutati imatiniibi kombinatsioonis suurte kemoteraapia annustega, täheldati mööduvat maksatoksilisust maksaensüümide aktiivsuse suurenemise ja hüperbilirubineemiaga. Kuigi lastel on seni kirjeldatud vähe kõrvaltoimeid, on need ohutusalaste andmete vähesust arvestades sarnased ohutusprofiiliga täiskasvanud patsientidel</w:t>
      </w:r>
      <w:r w:rsidRPr="00EC3BD7">
        <w:rPr>
          <w:lang w:val="et-EE"/>
        </w:rPr>
        <w:t xml:space="preserve"> </w:t>
      </w:r>
      <w:r w:rsidRPr="00EC3BD7">
        <w:rPr>
          <w:color w:val="000000"/>
          <w:sz w:val="22"/>
          <w:szCs w:val="22"/>
          <w:lang w:val="et-EE"/>
        </w:rPr>
        <w:t>Ph+ ALL korral. Kuigi ohutusalased andmed lastel Ph+ ALL korral on piiratud, ei ole uusi ohtusid lastel idenfititseeritud.</w:t>
      </w:r>
    </w:p>
    <w:p w14:paraId="188F33B9" w14:textId="77777777" w:rsidR="00E21A2F" w:rsidRPr="00EC3BD7" w:rsidRDefault="00E21A2F" w:rsidP="00E21A2F">
      <w:pPr>
        <w:pStyle w:val="Text"/>
        <w:widowControl w:val="0"/>
        <w:spacing w:before="0"/>
        <w:jc w:val="left"/>
        <w:rPr>
          <w:color w:val="000000"/>
          <w:sz w:val="22"/>
          <w:szCs w:val="22"/>
          <w:lang w:val="et-EE"/>
        </w:rPr>
      </w:pPr>
    </w:p>
    <w:p w14:paraId="48C00B96" w14:textId="77777777" w:rsidR="00E21A2F" w:rsidRPr="00EC3BD7" w:rsidRDefault="00E21A2F" w:rsidP="00E21A2F">
      <w:pPr>
        <w:pStyle w:val="Text"/>
        <w:widowControl w:val="0"/>
        <w:spacing w:before="0"/>
        <w:jc w:val="left"/>
        <w:rPr>
          <w:color w:val="000000"/>
          <w:sz w:val="22"/>
          <w:szCs w:val="22"/>
          <w:lang w:val="et-EE"/>
        </w:rPr>
      </w:pPr>
      <w:r w:rsidRPr="00EC3BD7">
        <w:rPr>
          <w:color w:val="000000"/>
          <w:sz w:val="22"/>
          <w:szCs w:val="22"/>
          <w:lang w:val="et-EE"/>
        </w:rPr>
        <w:t>Mitmesuguseid kõrvaltoimeid nagu pleura efusioon, astsiit, kopsuturse ja kiire kaalutõus koos või ilma pindmiste turseteta, võib üheskoos kirjeldada kui “vedelikupeetust”. Neid reaktsioone saab tavaliselt ravida Gliveci ajutise ärajätmisega ja diureetikumidega ning muu toetava raviga. Siiski võivad mõned nimetatud juhtudest olla rasked või eluohtlikud ning mitmed blastses kriisis patsiendid surid pleuraefusiooni, kongestiivse südamepuudulikkuse ja neerupuudulikkuse kompleksse kliinilise pildiga. Pediaatrilistes kliinilistes uuringutes ei olnud erinevaid ohutusalaseid leide.</w:t>
      </w:r>
    </w:p>
    <w:p w14:paraId="0A8948FF" w14:textId="77777777" w:rsidR="00E21A2F" w:rsidRPr="00EC3BD7" w:rsidRDefault="00E21A2F" w:rsidP="00E21A2F">
      <w:pPr>
        <w:pStyle w:val="Text"/>
        <w:widowControl w:val="0"/>
        <w:spacing w:before="0"/>
        <w:jc w:val="left"/>
        <w:rPr>
          <w:color w:val="000000"/>
          <w:sz w:val="22"/>
          <w:szCs w:val="22"/>
          <w:lang w:val="et-EE"/>
        </w:rPr>
      </w:pPr>
    </w:p>
    <w:p w14:paraId="4FC20766" w14:textId="77777777" w:rsidR="00E21A2F" w:rsidRPr="00EC3BD7" w:rsidRDefault="00E21A2F" w:rsidP="008B1609">
      <w:pPr>
        <w:pStyle w:val="Text"/>
        <w:keepNext/>
        <w:widowControl w:val="0"/>
        <w:spacing w:before="0"/>
        <w:jc w:val="left"/>
        <w:rPr>
          <w:b/>
          <w:color w:val="000000"/>
          <w:sz w:val="22"/>
          <w:szCs w:val="22"/>
          <w:lang w:val="et-EE"/>
        </w:rPr>
      </w:pPr>
      <w:r w:rsidRPr="00EC3BD7">
        <w:rPr>
          <w:b/>
          <w:color w:val="000000"/>
          <w:sz w:val="22"/>
          <w:szCs w:val="22"/>
          <w:lang w:val="et-EE"/>
        </w:rPr>
        <w:t>Kõrvaltoimed</w:t>
      </w:r>
    </w:p>
    <w:p w14:paraId="61A2A6B3" w14:textId="77777777" w:rsidR="00E21A2F" w:rsidRPr="00EC3BD7" w:rsidRDefault="00E21A2F" w:rsidP="00E21A2F">
      <w:pPr>
        <w:pStyle w:val="Text"/>
        <w:widowControl w:val="0"/>
        <w:spacing w:before="0"/>
        <w:jc w:val="left"/>
        <w:rPr>
          <w:color w:val="000000"/>
          <w:sz w:val="22"/>
          <w:szCs w:val="22"/>
          <w:lang w:val="et-EE"/>
        </w:rPr>
      </w:pPr>
      <w:r w:rsidRPr="00EC3BD7">
        <w:rPr>
          <w:color w:val="000000"/>
          <w:sz w:val="22"/>
          <w:szCs w:val="22"/>
          <w:lang w:val="et-EE"/>
        </w:rPr>
        <w:t>Kõrvaltoimed, mida täheldati sagedamini kui üksikjuht, on toodud allpool organsüsteemi klasside ja esinemissageduse järgi. Esinemissagedus on defineeritud, kasutades järgmist konventsiooni: väga sage (≥1/10), sage (≥1/100 kuni &lt;1/10), aeg-ajalt (≥1/1000 kuni &lt;1/100), harv (≥1/10 000 kuni &lt;1/1000), väga harv (&lt;1/10 000), teadmata (ei saa hinnata olemasolevate andmete alusel).</w:t>
      </w:r>
    </w:p>
    <w:p w14:paraId="37E20848" w14:textId="77777777" w:rsidR="00E21A2F" w:rsidRPr="00EC3BD7" w:rsidRDefault="00E21A2F" w:rsidP="00E21A2F">
      <w:pPr>
        <w:pStyle w:val="Text"/>
        <w:widowControl w:val="0"/>
        <w:spacing w:before="0"/>
        <w:jc w:val="left"/>
        <w:rPr>
          <w:color w:val="000000"/>
          <w:sz w:val="22"/>
          <w:szCs w:val="22"/>
          <w:lang w:val="et-EE"/>
        </w:rPr>
      </w:pPr>
    </w:p>
    <w:p w14:paraId="7564712B" w14:textId="77777777" w:rsidR="00E21A2F" w:rsidRPr="00EC3BD7" w:rsidRDefault="00E21A2F" w:rsidP="00E21A2F">
      <w:pPr>
        <w:pStyle w:val="Text"/>
        <w:widowControl w:val="0"/>
        <w:spacing w:before="0"/>
        <w:jc w:val="left"/>
        <w:rPr>
          <w:color w:val="000000"/>
          <w:sz w:val="22"/>
          <w:szCs w:val="22"/>
          <w:lang w:val="et-EE"/>
        </w:rPr>
      </w:pPr>
      <w:r w:rsidRPr="00EC3BD7">
        <w:rPr>
          <w:color w:val="000000"/>
          <w:sz w:val="22"/>
          <w:szCs w:val="22"/>
          <w:lang w:val="et-EE"/>
        </w:rPr>
        <w:t>Igas esinemissageduse grupis on kõrvaltoimed toodud sageduse järjekorras, sagedasemad eespool.</w:t>
      </w:r>
    </w:p>
    <w:p w14:paraId="2956759C" w14:textId="77777777" w:rsidR="00E21A2F" w:rsidRPr="00EC3BD7" w:rsidRDefault="00E21A2F" w:rsidP="00E21A2F">
      <w:pPr>
        <w:pStyle w:val="Text"/>
        <w:widowControl w:val="0"/>
        <w:spacing w:before="0"/>
        <w:jc w:val="left"/>
        <w:rPr>
          <w:color w:val="000000"/>
          <w:sz w:val="22"/>
          <w:szCs w:val="22"/>
          <w:lang w:val="et-EE"/>
        </w:rPr>
      </w:pPr>
    </w:p>
    <w:p w14:paraId="74EAA63A" w14:textId="77777777" w:rsidR="00E21A2F" w:rsidRPr="00EC3BD7" w:rsidRDefault="00E21A2F" w:rsidP="00B9089D">
      <w:pPr>
        <w:keepNext/>
        <w:rPr>
          <w:color w:val="000000"/>
          <w:szCs w:val="22"/>
          <w:lang w:val="et-EE"/>
        </w:rPr>
      </w:pPr>
      <w:r w:rsidRPr="00EC3BD7">
        <w:rPr>
          <w:color w:val="000000"/>
          <w:szCs w:val="22"/>
          <w:lang w:val="et-EE" w:eastAsia="ja-JP"/>
        </w:rPr>
        <w:t xml:space="preserve">Tabelis 1 </w:t>
      </w:r>
      <w:r w:rsidR="008F4DAA" w:rsidRPr="00EC3BD7">
        <w:rPr>
          <w:color w:val="000000"/>
          <w:szCs w:val="22"/>
          <w:lang w:val="et-EE" w:eastAsia="ja-JP"/>
        </w:rPr>
        <w:t xml:space="preserve">on </w:t>
      </w:r>
      <w:r w:rsidRPr="00EC3BD7">
        <w:rPr>
          <w:color w:val="000000"/>
          <w:szCs w:val="22"/>
          <w:lang w:val="et-EE" w:eastAsia="ja-JP"/>
        </w:rPr>
        <w:t>toodud kõrvaltoimed ja nende esinemissagedused.</w:t>
      </w:r>
    </w:p>
    <w:p w14:paraId="68F806FD" w14:textId="77777777" w:rsidR="00E21A2F" w:rsidRPr="00EC3BD7" w:rsidRDefault="00E21A2F" w:rsidP="00B9089D">
      <w:pPr>
        <w:keepNext/>
        <w:rPr>
          <w:color w:val="000000"/>
          <w:szCs w:val="22"/>
          <w:lang w:val="et-EE"/>
        </w:rPr>
      </w:pPr>
    </w:p>
    <w:p w14:paraId="0E3104EF" w14:textId="77777777" w:rsidR="00E21A2F" w:rsidRPr="00EC3BD7" w:rsidRDefault="00E21A2F" w:rsidP="00B9089D">
      <w:pPr>
        <w:keepNext/>
        <w:tabs>
          <w:tab w:val="clear" w:pos="567"/>
          <w:tab w:val="left" w:pos="1134"/>
        </w:tabs>
        <w:rPr>
          <w:b/>
          <w:color w:val="000000"/>
          <w:szCs w:val="22"/>
          <w:lang w:val="et-EE"/>
        </w:rPr>
      </w:pPr>
      <w:r w:rsidRPr="00EC3BD7">
        <w:rPr>
          <w:b/>
          <w:color w:val="000000"/>
          <w:szCs w:val="22"/>
          <w:lang w:val="et-EE"/>
        </w:rPr>
        <w:t>Tabel 1</w:t>
      </w:r>
      <w:r w:rsidRPr="00EC3BD7">
        <w:rPr>
          <w:b/>
          <w:color w:val="000000"/>
          <w:szCs w:val="22"/>
          <w:lang w:val="et-EE"/>
        </w:rPr>
        <w:tab/>
        <w:t>Kõrvaltoime</w:t>
      </w:r>
      <w:r w:rsidR="008F4DAA" w:rsidRPr="00EC3BD7">
        <w:rPr>
          <w:b/>
          <w:color w:val="000000"/>
          <w:szCs w:val="22"/>
          <w:lang w:val="et-EE"/>
        </w:rPr>
        <w:t>te kokkuvõte tabelina</w:t>
      </w:r>
    </w:p>
    <w:p w14:paraId="09970351" w14:textId="77777777" w:rsidR="00E21A2F" w:rsidRPr="00EC3BD7" w:rsidRDefault="00E21A2F" w:rsidP="00B9089D">
      <w:pPr>
        <w:keepNext/>
        <w:rPr>
          <w:color w:val="000000"/>
          <w:szCs w:val="22"/>
          <w:lang w:val="et-EE"/>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E21A2F" w:rsidRPr="00EC3BD7" w14:paraId="67902842" w14:textId="77777777" w:rsidTr="00145F94">
        <w:tc>
          <w:tcPr>
            <w:tcW w:w="9322" w:type="dxa"/>
            <w:gridSpan w:val="2"/>
          </w:tcPr>
          <w:p w14:paraId="016700A3" w14:textId="77777777" w:rsidR="00E21A2F" w:rsidRPr="00EC3BD7" w:rsidRDefault="00E21A2F" w:rsidP="00B9089D">
            <w:pPr>
              <w:keepNext/>
              <w:rPr>
                <w:color w:val="000000"/>
                <w:szCs w:val="22"/>
                <w:lang w:val="et-EE"/>
              </w:rPr>
            </w:pPr>
            <w:r w:rsidRPr="00EC3BD7">
              <w:rPr>
                <w:b/>
                <w:color w:val="000000"/>
                <w:szCs w:val="22"/>
                <w:lang w:val="et-EE"/>
              </w:rPr>
              <w:t>Infektsioonid ja infestatsioonid</w:t>
            </w:r>
          </w:p>
        </w:tc>
      </w:tr>
      <w:tr w:rsidR="00E21A2F" w:rsidRPr="005D29F8" w14:paraId="023E97C1" w14:textId="77777777" w:rsidTr="00145F94">
        <w:tc>
          <w:tcPr>
            <w:tcW w:w="2235" w:type="dxa"/>
          </w:tcPr>
          <w:p w14:paraId="20654AEA" w14:textId="77777777" w:rsidR="00E21A2F" w:rsidRPr="00EC3BD7" w:rsidRDefault="00E21A2F" w:rsidP="00B9089D">
            <w:pPr>
              <w:keepNext/>
              <w:rPr>
                <w:color w:val="000000"/>
                <w:szCs w:val="22"/>
                <w:lang w:val="et-EE"/>
              </w:rPr>
            </w:pPr>
            <w:r w:rsidRPr="00EC3BD7">
              <w:rPr>
                <w:i/>
                <w:color w:val="000000"/>
                <w:szCs w:val="22"/>
                <w:lang w:val="et-EE"/>
              </w:rPr>
              <w:t>Aeg-ajalt:</w:t>
            </w:r>
          </w:p>
        </w:tc>
        <w:tc>
          <w:tcPr>
            <w:tcW w:w="7087" w:type="dxa"/>
          </w:tcPr>
          <w:p w14:paraId="68F7B744" w14:textId="77777777" w:rsidR="00E21A2F" w:rsidRPr="00EC3BD7" w:rsidRDefault="00E21A2F" w:rsidP="00B9089D">
            <w:pPr>
              <w:keepNext/>
              <w:rPr>
                <w:color w:val="000000"/>
                <w:szCs w:val="22"/>
                <w:lang w:val="et-EE"/>
              </w:rPr>
            </w:pPr>
            <w:r w:rsidRPr="00EC3BD7">
              <w:rPr>
                <w:i/>
                <w:color w:val="000000"/>
                <w:szCs w:val="22"/>
                <w:lang w:val="et-EE"/>
              </w:rPr>
              <w:t>Herpes zoster</w:t>
            </w:r>
            <w:r w:rsidRPr="00EC3BD7">
              <w:rPr>
                <w:color w:val="000000"/>
                <w:szCs w:val="22"/>
                <w:lang w:val="et-EE"/>
              </w:rPr>
              <w:t xml:space="preserve">, </w:t>
            </w:r>
            <w:r w:rsidRPr="00EC3BD7">
              <w:rPr>
                <w:i/>
                <w:color w:val="000000"/>
                <w:szCs w:val="22"/>
                <w:lang w:val="et-EE"/>
              </w:rPr>
              <w:t>herpes simplex</w:t>
            </w:r>
            <w:r w:rsidRPr="00EC3BD7">
              <w:rPr>
                <w:color w:val="000000"/>
                <w:szCs w:val="22"/>
                <w:lang w:val="et-EE"/>
              </w:rPr>
              <w:t>, nasofarüngiit, kopsupõletik</w:t>
            </w:r>
            <w:r w:rsidRPr="00EC3BD7">
              <w:rPr>
                <w:color w:val="000000"/>
                <w:szCs w:val="22"/>
                <w:vertAlign w:val="superscript"/>
                <w:lang w:val="et-EE"/>
              </w:rPr>
              <w:t>1</w:t>
            </w:r>
            <w:r w:rsidRPr="00EC3BD7">
              <w:rPr>
                <w:color w:val="000000"/>
                <w:szCs w:val="22"/>
                <w:lang w:val="et-EE"/>
              </w:rPr>
              <w:t>, sinusiit, tselluliit, ülemiste hingamisteede infektsioon, gripp, kuseteede infektsioon, gastroenteriit, sepsis</w:t>
            </w:r>
          </w:p>
        </w:tc>
      </w:tr>
      <w:tr w:rsidR="00E21A2F" w:rsidRPr="00EC3BD7" w14:paraId="70BBA796" w14:textId="77777777" w:rsidTr="00145F94">
        <w:tc>
          <w:tcPr>
            <w:tcW w:w="2235" w:type="dxa"/>
          </w:tcPr>
          <w:p w14:paraId="365077BE" w14:textId="77777777" w:rsidR="00E21A2F" w:rsidRPr="00EC3BD7" w:rsidRDefault="00E21A2F" w:rsidP="00B9089D">
            <w:pPr>
              <w:keepNext/>
              <w:rPr>
                <w:i/>
                <w:color w:val="000000"/>
                <w:szCs w:val="22"/>
                <w:lang w:val="et-EE"/>
              </w:rPr>
            </w:pPr>
            <w:r w:rsidRPr="00EC3BD7">
              <w:rPr>
                <w:i/>
                <w:color w:val="000000"/>
                <w:szCs w:val="22"/>
                <w:lang w:val="et-EE"/>
              </w:rPr>
              <w:t>Harv:</w:t>
            </w:r>
          </w:p>
        </w:tc>
        <w:tc>
          <w:tcPr>
            <w:tcW w:w="7087" w:type="dxa"/>
          </w:tcPr>
          <w:p w14:paraId="480E8972" w14:textId="77777777" w:rsidR="00E21A2F" w:rsidRPr="00EC3BD7" w:rsidRDefault="00E21A2F" w:rsidP="00B9089D">
            <w:pPr>
              <w:keepNext/>
              <w:rPr>
                <w:color w:val="000000"/>
                <w:szCs w:val="22"/>
                <w:lang w:val="et-EE"/>
              </w:rPr>
            </w:pPr>
            <w:r w:rsidRPr="00EC3BD7">
              <w:rPr>
                <w:color w:val="000000"/>
                <w:szCs w:val="22"/>
                <w:lang w:val="et-EE"/>
              </w:rPr>
              <w:t>Seeninfektsioon</w:t>
            </w:r>
          </w:p>
        </w:tc>
      </w:tr>
      <w:tr w:rsidR="00FE4734" w:rsidRPr="00EC3BD7" w14:paraId="1EDF767A" w14:textId="77777777" w:rsidTr="00D87ADB">
        <w:trPr>
          <w:cantSplit/>
        </w:trPr>
        <w:tc>
          <w:tcPr>
            <w:tcW w:w="2235" w:type="dxa"/>
          </w:tcPr>
          <w:p w14:paraId="6A192924" w14:textId="77777777" w:rsidR="00FE4734" w:rsidRPr="00EC3BD7" w:rsidRDefault="00FE4734" w:rsidP="00D87ADB">
            <w:pPr>
              <w:widowControl w:val="0"/>
              <w:rPr>
                <w:i/>
                <w:color w:val="000000"/>
                <w:szCs w:val="22"/>
                <w:lang w:val="et-EE"/>
              </w:rPr>
            </w:pPr>
            <w:r w:rsidRPr="00EC3BD7">
              <w:rPr>
                <w:i/>
                <w:color w:val="000000"/>
                <w:szCs w:val="22"/>
                <w:lang w:val="et-EE"/>
              </w:rPr>
              <w:t>Teadmata:</w:t>
            </w:r>
          </w:p>
        </w:tc>
        <w:tc>
          <w:tcPr>
            <w:tcW w:w="7087" w:type="dxa"/>
          </w:tcPr>
          <w:p w14:paraId="624C2976" w14:textId="77777777" w:rsidR="00FE4734" w:rsidRPr="00EC3BD7" w:rsidRDefault="00FE4734" w:rsidP="00D87ADB">
            <w:pPr>
              <w:widowControl w:val="0"/>
              <w:rPr>
                <w:color w:val="000000"/>
                <w:szCs w:val="22"/>
                <w:lang w:val="et-EE"/>
              </w:rPr>
            </w:pPr>
            <w:r w:rsidRPr="00EC3BD7">
              <w:rPr>
                <w:color w:val="000000"/>
                <w:szCs w:val="22"/>
                <w:lang w:val="et-EE"/>
              </w:rPr>
              <w:t>B-hepatiidi reaktivatsioon*</w:t>
            </w:r>
          </w:p>
        </w:tc>
      </w:tr>
      <w:tr w:rsidR="00E21A2F" w:rsidRPr="00EC3BD7" w14:paraId="5079B632" w14:textId="77777777" w:rsidTr="00145F94">
        <w:tc>
          <w:tcPr>
            <w:tcW w:w="9322" w:type="dxa"/>
            <w:gridSpan w:val="2"/>
          </w:tcPr>
          <w:p w14:paraId="7DD0DB4B" w14:textId="77777777" w:rsidR="00E21A2F" w:rsidRPr="00EC3BD7" w:rsidRDefault="00E21A2F" w:rsidP="00B9089D">
            <w:pPr>
              <w:keepNext/>
              <w:keepLines/>
              <w:widowControl w:val="0"/>
              <w:rPr>
                <w:b/>
                <w:color w:val="000000"/>
                <w:szCs w:val="22"/>
                <w:lang w:val="et-EE"/>
              </w:rPr>
            </w:pPr>
            <w:r w:rsidRPr="00EC3BD7">
              <w:rPr>
                <w:b/>
                <w:color w:val="000000"/>
                <w:szCs w:val="22"/>
                <w:lang w:val="et-EE"/>
              </w:rPr>
              <w:t>Hea-, pahaloomulised ja täpsustamata kasvajad (sealhulgas tsüstid ja polüübid)</w:t>
            </w:r>
          </w:p>
        </w:tc>
      </w:tr>
      <w:tr w:rsidR="00E21A2F" w:rsidRPr="00EC3BD7" w14:paraId="0014D969" w14:textId="77777777" w:rsidTr="00145F94">
        <w:tc>
          <w:tcPr>
            <w:tcW w:w="2235" w:type="dxa"/>
          </w:tcPr>
          <w:p w14:paraId="684F7002" w14:textId="77777777" w:rsidR="00E21A2F" w:rsidRPr="00EC3BD7" w:rsidRDefault="00E21A2F" w:rsidP="00B9089D">
            <w:pPr>
              <w:keepNext/>
              <w:keepLines/>
              <w:widowControl w:val="0"/>
              <w:rPr>
                <w:i/>
                <w:color w:val="000000"/>
                <w:szCs w:val="22"/>
                <w:lang w:val="et-EE"/>
              </w:rPr>
            </w:pPr>
            <w:r w:rsidRPr="00EC3BD7">
              <w:rPr>
                <w:i/>
                <w:color w:val="000000"/>
                <w:szCs w:val="22"/>
                <w:lang w:val="et-EE"/>
              </w:rPr>
              <w:t>Harv:</w:t>
            </w:r>
          </w:p>
        </w:tc>
        <w:tc>
          <w:tcPr>
            <w:tcW w:w="7087" w:type="dxa"/>
          </w:tcPr>
          <w:p w14:paraId="4A88E062" w14:textId="77777777" w:rsidR="00E21A2F" w:rsidRPr="00EC3BD7" w:rsidRDefault="00E21A2F" w:rsidP="00B9089D">
            <w:pPr>
              <w:keepNext/>
              <w:keepLines/>
              <w:widowControl w:val="0"/>
              <w:rPr>
                <w:color w:val="000000"/>
                <w:szCs w:val="22"/>
                <w:lang w:val="et-EE"/>
              </w:rPr>
            </w:pPr>
            <w:r w:rsidRPr="00EC3BD7">
              <w:rPr>
                <w:color w:val="000000"/>
                <w:szCs w:val="22"/>
                <w:lang w:val="et-EE"/>
              </w:rPr>
              <w:t>Tuumorilahustussündroom</w:t>
            </w:r>
          </w:p>
        </w:tc>
      </w:tr>
      <w:tr w:rsidR="008F4DAA" w:rsidRPr="00EC3BD7" w14:paraId="1F4E150E" w14:textId="77777777" w:rsidTr="00EA48BD">
        <w:tc>
          <w:tcPr>
            <w:tcW w:w="2235" w:type="dxa"/>
          </w:tcPr>
          <w:p w14:paraId="3AE54166" w14:textId="77777777" w:rsidR="008F4DAA" w:rsidRPr="00EC3BD7" w:rsidRDefault="008F4DAA" w:rsidP="00EA48BD">
            <w:pPr>
              <w:rPr>
                <w:i/>
                <w:color w:val="000000"/>
                <w:szCs w:val="22"/>
                <w:lang w:val="et-EE"/>
              </w:rPr>
            </w:pPr>
            <w:r w:rsidRPr="00EC3BD7">
              <w:rPr>
                <w:i/>
                <w:color w:val="000000"/>
                <w:szCs w:val="22"/>
                <w:lang w:val="et-EE"/>
              </w:rPr>
              <w:t>Teadmata:</w:t>
            </w:r>
          </w:p>
        </w:tc>
        <w:tc>
          <w:tcPr>
            <w:tcW w:w="7087" w:type="dxa"/>
          </w:tcPr>
          <w:p w14:paraId="080ABF00" w14:textId="77777777" w:rsidR="008F4DAA" w:rsidRPr="00EC3BD7" w:rsidRDefault="008F4DAA" w:rsidP="00EA48BD">
            <w:pPr>
              <w:rPr>
                <w:color w:val="000000"/>
                <w:szCs w:val="22"/>
                <w:lang w:val="et-EE"/>
              </w:rPr>
            </w:pPr>
            <w:r w:rsidRPr="00EC3BD7">
              <w:rPr>
                <w:color w:val="000000"/>
                <w:szCs w:val="22"/>
                <w:lang w:val="et-EE"/>
              </w:rPr>
              <w:t>Tuumori hemorraagia/tuumori nekroos*</w:t>
            </w:r>
          </w:p>
        </w:tc>
      </w:tr>
      <w:tr w:rsidR="008F4DAA" w:rsidRPr="00EC3BD7" w14:paraId="088868BE" w14:textId="77777777" w:rsidTr="00EA48BD">
        <w:tc>
          <w:tcPr>
            <w:tcW w:w="9322" w:type="dxa"/>
            <w:gridSpan w:val="2"/>
          </w:tcPr>
          <w:p w14:paraId="118A7A74" w14:textId="77777777" w:rsidR="008F4DAA" w:rsidRPr="00EC3BD7" w:rsidRDefault="008F4DAA" w:rsidP="00B9089D">
            <w:pPr>
              <w:keepNext/>
              <w:keepLines/>
              <w:widowControl w:val="0"/>
              <w:rPr>
                <w:b/>
                <w:color w:val="000000"/>
                <w:szCs w:val="22"/>
                <w:lang w:val="et-EE"/>
              </w:rPr>
            </w:pPr>
            <w:r w:rsidRPr="00EC3BD7">
              <w:rPr>
                <w:b/>
                <w:color w:val="000000"/>
                <w:szCs w:val="22"/>
                <w:lang w:val="et-EE"/>
              </w:rPr>
              <w:t>Immuunsüsteemi häired</w:t>
            </w:r>
          </w:p>
        </w:tc>
      </w:tr>
      <w:tr w:rsidR="008F4DAA" w:rsidRPr="00EC3BD7" w14:paraId="127D64BB" w14:textId="77777777" w:rsidTr="00EA48BD">
        <w:tc>
          <w:tcPr>
            <w:tcW w:w="2235" w:type="dxa"/>
          </w:tcPr>
          <w:p w14:paraId="74270821" w14:textId="77777777" w:rsidR="008F4DAA" w:rsidRPr="00EC3BD7" w:rsidRDefault="008F4DAA" w:rsidP="00EA48BD">
            <w:pPr>
              <w:rPr>
                <w:i/>
                <w:color w:val="000000"/>
                <w:szCs w:val="22"/>
                <w:lang w:val="et-EE"/>
              </w:rPr>
            </w:pPr>
            <w:r w:rsidRPr="00EC3BD7">
              <w:rPr>
                <w:i/>
                <w:color w:val="000000"/>
                <w:szCs w:val="22"/>
                <w:lang w:val="et-EE"/>
              </w:rPr>
              <w:t>Teadmata:</w:t>
            </w:r>
          </w:p>
        </w:tc>
        <w:tc>
          <w:tcPr>
            <w:tcW w:w="7087" w:type="dxa"/>
          </w:tcPr>
          <w:p w14:paraId="186FC24B" w14:textId="77777777" w:rsidR="008F4DAA" w:rsidRPr="00EC3BD7" w:rsidRDefault="008F4DAA" w:rsidP="00EA48BD">
            <w:pPr>
              <w:rPr>
                <w:color w:val="000000"/>
                <w:szCs w:val="22"/>
                <w:lang w:val="et-EE"/>
              </w:rPr>
            </w:pPr>
            <w:r w:rsidRPr="00EC3BD7">
              <w:rPr>
                <w:color w:val="000000"/>
                <w:szCs w:val="22"/>
                <w:lang w:val="et-EE"/>
              </w:rPr>
              <w:t>Anafülaktiline šokk*</w:t>
            </w:r>
          </w:p>
        </w:tc>
      </w:tr>
      <w:tr w:rsidR="00E21A2F" w:rsidRPr="00EC3BD7" w14:paraId="391DD5E0" w14:textId="77777777" w:rsidTr="00145F94">
        <w:tc>
          <w:tcPr>
            <w:tcW w:w="9322" w:type="dxa"/>
            <w:gridSpan w:val="2"/>
          </w:tcPr>
          <w:p w14:paraId="6F8E1739" w14:textId="77777777" w:rsidR="00E21A2F" w:rsidRPr="00EC3BD7" w:rsidRDefault="00E21A2F" w:rsidP="00B9089D">
            <w:pPr>
              <w:keepNext/>
              <w:keepLines/>
              <w:widowControl w:val="0"/>
              <w:rPr>
                <w:color w:val="000000"/>
                <w:szCs w:val="22"/>
                <w:lang w:val="et-EE"/>
              </w:rPr>
            </w:pPr>
            <w:r w:rsidRPr="00EC3BD7">
              <w:rPr>
                <w:b/>
                <w:color w:val="000000"/>
                <w:szCs w:val="22"/>
                <w:lang w:val="et-EE"/>
              </w:rPr>
              <w:t>Vere ja lümfisüsteemi häired</w:t>
            </w:r>
          </w:p>
        </w:tc>
      </w:tr>
      <w:tr w:rsidR="00E21A2F" w:rsidRPr="00EC3BD7" w14:paraId="66E71FA6" w14:textId="77777777" w:rsidTr="00145F94">
        <w:tc>
          <w:tcPr>
            <w:tcW w:w="2235" w:type="dxa"/>
          </w:tcPr>
          <w:p w14:paraId="48A2C911" w14:textId="77777777" w:rsidR="00E21A2F" w:rsidRPr="00EC3BD7" w:rsidRDefault="00E21A2F" w:rsidP="00B9089D">
            <w:pPr>
              <w:keepNext/>
              <w:keepLines/>
              <w:widowControl w:val="0"/>
              <w:rPr>
                <w:color w:val="000000"/>
                <w:szCs w:val="22"/>
                <w:lang w:val="et-EE"/>
              </w:rPr>
            </w:pPr>
            <w:r w:rsidRPr="00EC3BD7">
              <w:rPr>
                <w:i/>
                <w:color w:val="000000"/>
                <w:szCs w:val="22"/>
                <w:lang w:val="et-EE"/>
              </w:rPr>
              <w:t>Väga sage:</w:t>
            </w:r>
          </w:p>
        </w:tc>
        <w:tc>
          <w:tcPr>
            <w:tcW w:w="7087" w:type="dxa"/>
          </w:tcPr>
          <w:p w14:paraId="28087116" w14:textId="77777777" w:rsidR="00E21A2F" w:rsidRPr="00EC3BD7" w:rsidRDefault="00E21A2F" w:rsidP="00B9089D">
            <w:pPr>
              <w:keepNext/>
              <w:keepLines/>
              <w:widowControl w:val="0"/>
              <w:rPr>
                <w:color w:val="000000"/>
                <w:szCs w:val="22"/>
                <w:lang w:val="et-EE"/>
              </w:rPr>
            </w:pPr>
            <w:r w:rsidRPr="00EC3BD7">
              <w:rPr>
                <w:color w:val="000000"/>
                <w:szCs w:val="22"/>
                <w:lang w:val="et-EE"/>
              </w:rPr>
              <w:t>Neutropeenia, trombotsütopeenia, aneemia</w:t>
            </w:r>
          </w:p>
        </w:tc>
      </w:tr>
      <w:tr w:rsidR="00E21A2F" w:rsidRPr="00EC3BD7" w14:paraId="0DA66DDB" w14:textId="77777777" w:rsidTr="00145F94">
        <w:tc>
          <w:tcPr>
            <w:tcW w:w="2235" w:type="dxa"/>
          </w:tcPr>
          <w:p w14:paraId="4BB60828" w14:textId="77777777" w:rsidR="00E21A2F" w:rsidRPr="00EC3BD7" w:rsidRDefault="00E21A2F" w:rsidP="00B9089D">
            <w:pPr>
              <w:keepNext/>
              <w:keepLines/>
              <w:widowControl w:val="0"/>
              <w:rPr>
                <w:color w:val="000000"/>
                <w:szCs w:val="22"/>
                <w:lang w:val="et-EE"/>
              </w:rPr>
            </w:pPr>
            <w:r w:rsidRPr="00EC3BD7">
              <w:rPr>
                <w:i/>
                <w:color w:val="000000"/>
                <w:szCs w:val="22"/>
                <w:lang w:val="et-EE"/>
              </w:rPr>
              <w:t>Sage:</w:t>
            </w:r>
          </w:p>
        </w:tc>
        <w:tc>
          <w:tcPr>
            <w:tcW w:w="7087" w:type="dxa"/>
          </w:tcPr>
          <w:p w14:paraId="2163D31B" w14:textId="77777777" w:rsidR="00E21A2F" w:rsidRPr="00EC3BD7" w:rsidRDefault="00E21A2F" w:rsidP="00B9089D">
            <w:pPr>
              <w:keepNext/>
              <w:keepLines/>
              <w:widowControl w:val="0"/>
              <w:rPr>
                <w:color w:val="000000"/>
                <w:szCs w:val="22"/>
                <w:lang w:val="et-EE"/>
              </w:rPr>
            </w:pPr>
            <w:r w:rsidRPr="00EC3BD7">
              <w:rPr>
                <w:color w:val="000000"/>
                <w:szCs w:val="22"/>
                <w:lang w:val="et-EE"/>
              </w:rPr>
              <w:t>Pantsütopeenia, febriilne neutropeenia</w:t>
            </w:r>
          </w:p>
        </w:tc>
      </w:tr>
      <w:tr w:rsidR="00E21A2F" w:rsidRPr="005D29F8" w14:paraId="219CE782" w14:textId="77777777" w:rsidTr="00145F94">
        <w:tc>
          <w:tcPr>
            <w:tcW w:w="2235" w:type="dxa"/>
          </w:tcPr>
          <w:p w14:paraId="44D12321" w14:textId="77777777" w:rsidR="00E21A2F" w:rsidRPr="00EC3BD7" w:rsidRDefault="00E21A2F" w:rsidP="00B9089D">
            <w:pPr>
              <w:keepNext/>
              <w:keepLines/>
              <w:widowControl w:val="0"/>
              <w:rPr>
                <w:color w:val="000000"/>
                <w:szCs w:val="22"/>
                <w:lang w:val="et-EE"/>
              </w:rPr>
            </w:pPr>
            <w:r w:rsidRPr="00EC3BD7">
              <w:rPr>
                <w:i/>
                <w:color w:val="000000"/>
                <w:szCs w:val="22"/>
                <w:lang w:val="et-EE"/>
              </w:rPr>
              <w:t>Aeg-ajalt:</w:t>
            </w:r>
          </w:p>
        </w:tc>
        <w:tc>
          <w:tcPr>
            <w:tcW w:w="7087" w:type="dxa"/>
          </w:tcPr>
          <w:p w14:paraId="263D8826" w14:textId="77777777" w:rsidR="00E21A2F" w:rsidRPr="00EC3BD7" w:rsidRDefault="00E21A2F" w:rsidP="00B9089D">
            <w:pPr>
              <w:keepNext/>
              <w:keepLines/>
              <w:widowControl w:val="0"/>
              <w:rPr>
                <w:color w:val="000000"/>
                <w:szCs w:val="22"/>
                <w:lang w:val="et-EE"/>
              </w:rPr>
            </w:pPr>
            <w:r w:rsidRPr="00EC3BD7">
              <w:rPr>
                <w:color w:val="000000"/>
                <w:szCs w:val="22"/>
                <w:lang w:val="et-EE"/>
              </w:rPr>
              <w:t>Trombotsütopeenia, lümfopeenia, luuüdi depressioon, eosinofiilia, lümfadenopaatia</w:t>
            </w:r>
          </w:p>
        </w:tc>
      </w:tr>
      <w:tr w:rsidR="00E21A2F" w:rsidRPr="00EC3BD7" w14:paraId="134B24FA" w14:textId="77777777" w:rsidTr="00145F94">
        <w:tc>
          <w:tcPr>
            <w:tcW w:w="2235" w:type="dxa"/>
            <w:tcBorders>
              <w:bottom w:val="single" w:sz="4" w:space="0" w:color="auto"/>
            </w:tcBorders>
          </w:tcPr>
          <w:p w14:paraId="1B6A2791" w14:textId="77777777" w:rsidR="00E21A2F" w:rsidRPr="00EC3BD7" w:rsidRDefault="00E21A2F" w:rsidP="00145F94">
            <w:pPr>
              <w:rPr>
                <w:i/>
                <w:color w:val="000000"/>
                <w:szCs w:val="22"/>
                <w:lang w:val="et-EE"/>
              </w:rPr>
            </w:pPr>
            <w:r w:rsidRPr="00EC3BD7">
              <w:rPr>
                <w:i/>
                <w:color w:val="000000"/>
                <w:szCs w:val="22"/>
                <w:lang w:val="et-EE"/>
              </w:rPr>
              <w:t>Harv:</w:t>
            </w:r>
          </w:p>
        </w:tc>
        <w:tc>
          <w:tcPr>
            <w:tcW w:w="7087" w:type="dxa"/>
            <w:tcBorders>
              <w:bottom w:val="single" w:sz="4" w:space="0" w:color="auto"/>
            </w:tcBorders>
          </w:tcPr>
          <w:p w14:paraId="527CA823" w14:textId="77777777" w:rsidR="00E21A2F" w:rsidRPr="00EC3BD7" w:rsidRDefault="00E21A2F" w:rsidP="00145F94">
            <w:pPr>
              <w:rPr>
                <w:color w:val="000000"/>
                <w:szCs w:val="22"/>
                <w:lang w:val="et-EE"/>
              </w:rPr>
            </w:pPr>
            <w:r w:rsidRPr="00EC3BD7">
              <w:rPr>
                <w:color w:val="000000"/>
                <w:szCs w:val="22"/>
                <w:lang w:val="et-EE"/>
              </w:rPr>
              <w:t>Hemolüütiline aneemia</w:t>
            </w:r>
            <w:r w:rsidR="00D867FD" w:rsidRPr="00EC3BD7">
              <w:rPr>
                <w:color w:val="000000"/>
                <w:szCs w:val="22"/>
                <w:lang w:val="et-EE"/>
              </w:rPr>
              <w:t>, trombootiline mikroangiopaatia</w:t>
            </w:r>
          </w:p>
        </w:tc>
      </w:tr>
      <w:tr w:rsidR="00E21A2F" w:rsidRPr="00EC3BD7" w14:paraId="6D0659EA" w14:textId="77777777" w:rsidTr="00145F94">
        <w:tc>
          <w:tcPr>
            <w:tcW w:w="9322" w:type="dxa"/>
            <w:gridSpan w:val="2"/>
          </w:tcPr>
          <w:p w14:paraId="44D651A1" w14:textId="77777777" w:rsidR="00E21A2F" w:rsidRPr="00EC3BD7" w:rsidRDefault="00E21A2F" w:rsidP="00B9089D">
            <w:pPr>
              <w:keepNext/>
              <w:keepLines/>
              <w:widowControl w:val="0"/>
              <w:rPr>
                <w:color w:val="000000"/>
                <w:szCs w:val="22"/>
                <w:lang w:val="et-EE"/>
              </w:rPr>
            </w:pPr>
            <w:r w:rsidRPr="00EC3BD7">
              <w:rPr>
                <w:b/>
                <w:color w:val="000000"/>
                <w:szCs w:val="22"/>
                <w:lang w:val="et-EE"/>
              </w:rPr>
              <w:t>Ainevahetus- ja toitumishäired</w:t>
            </w:r>
          </w:p>
        </w:tc>
      </w:tr>
      <w:tr w:rsidR="00E21A2F" w:rsidRPr="00EC3BD7" w14:paraId="43E9ABD1" w14:textId="77777777" w:rsidTr="00145F94">
        <w:tc>
          <w:tcPr>
            <w:tcW w:w="2235" w:type="dxa"/>
          </w:tcPr>
          <w:p w14:paraId="27B44A57" w14:textId="77777777" w:rsidR="00E21A2F" w:rsidRPr="00EC3BD7" w:rsidRDefault="00E21A2F" w:rsidP="00B9089D">
            <w:pPr>
              <w:keepNext/>
              <w:keepLines/>
              <w:widowControl w:val="0"/>
              <w:rPr>
                <w:i/>
                <w:color w:val="000000"/>
                <w:szCs w:val="22"/>
                <w:lang w:val="et-EE"/>
              </w:rPr>
            </w:pPr>
            <w:r w:rsidRPr="00EC3BD7">
              <w:rPr>
                <w:i/>
                <w:color w:val="000000"/>
                <w:szCs w:val="22"/>
                <w:lang w:val="et-EE"/>
              </w:rPr>
              <w:t>Sage:</w:t>
            </w:r>
          </w:p>
        </w:tc>
        <w:tc>
          <w:tcPr>
            <w:tcW w:w="7087" w:type="dxa"/>
          </w:tcPr>
          <w:p w14:paraId="4A94A779" w14:textId="77777777" w:rsidR="00E21A2F" w:rsidRPr="00EC3BD7" w:rsidRDefault="00E21A2F" w:rsidP="00B9089D">
            <w:pPr>
              <w:keepNext/>
              <w:keepLines/>
              <w:widowControl w:val="0"/>
              <w:rPr>
                <w:color w:val="000000"/>
                <w:szCs w:val="22"/>
                <w:lang w:val="et-EE"/>
              </w:rPr>
            </w:pPr>
            <w:r w:rsidRPr="00EC3BD7">
              <w:rPr>
                <w:color w:val="000000"/>
                <w:szCs w:val="22"/>
                <w:lang w:val="et-EE"/>
              </w:rPr>
              <w:t>Anoreksia</w:t>
            </w:r>
          </w:p>
        </w:tc>
      </w:tr>
      <w:tr w:rsidR="00E21A2F" w:rsidRPr="005D29F8" w14:paraId="1B29DB2C" w14:textId="77777777" w:rsidTr="00145F94">
        <w:tc>
          <w:tcPr>
            <w:tcW w:w="2235" w:type="dxa"/>
          </w:tcPr>
          <w:p w14:paraId="7671491D" w14:textId="77777777" w:rsidR="00E21A2F" w:rsidRPr="00EC3BD7" w:rsidRDefault="00E21A2F" w:rsidP="00B9089D">
            <w:pPr>
              <w:keepNext/>
              <w:keepLines/>
              <w:widowControl w:val="0"/>
              <w:rPr>
                <w:i/>
                <w:color w:val="000000"/>
                <w:szCs w:val="22"/>
                <w:lang w:val="et-EE"/>
              </w:rPr>
            </w:pPr>
            <w:r w:rsidRPr="00EC3BD7">
              <w:rPr>
                <w:i/>
                <w:color w:val="000000"/>
                <w:szCs w:val="22"/>
                <w:lang w:val="et-EE"/>
              </w:rPr>
              <w:t>Aeg-ajalt:</w:t>
            </w:r>
          </w:p>
        </w:tc>
        <w:tc>
          <w:tcPr>
            <w:tcW w:w="7087" w:type="dxa"/>
          </w:tcPr>
          <w:p w14:paraId="730ED5B8" w14:textId="77777777" w:rsidR="00E21A2F" w:rsidRPr="00EC3BD7" w:rsidRDefault="00E21A2F" w:rsidP="00B9089D">
            <w:pPr>
              <w:keepNext/>
              <w:keepLines/>
              <w:widowControl w:val="0"/>
              <w:rPr>
                <w:color w:val="000000"/>
                <w:szCs w:val="22"/>
                <w:lang w:val="et-EE"/>
              </w:rPr>
            </w:pPr>
            <w:r w:rsidRPr="00EC3BD7">
              <w:rPr>
                <w:color w:val="000000"/>
                <w:szCs w:val="22"/>
                <w:lang w:val="et-EE"/>
              </w:rPr>
              <w:t>Hüpokaleemia, isu suurenemine, hüpofosfateemia, isu vähenemine, dehüdratsioon, podagra, hüperurikeemia, hüperkaltseemia, hüperglükeemia, hüponatreemia</w:t>
            </w:r>
          </w:p>
        </w:tc>
      </w:tr>
      <w:tr w:rsidR="00E21A2F" w:rsidRPr="00EC3BD7" w14:paraId="01DAC669" w14:textId="77777777" w:rsidTr="00145F94">
        <w:tc>
          <w:tcPr>
            <w:tcW w:w="2235" w:type="dxa"/>
            <w:tcBorders>
              <w:bottom w:val="nil"/>
            </w:tcBorders>
          </w:tcPr>
          <w:p w14:paraId="2FC9ED0B" w14:textId="77777777" w:rsidR="00E21A2F" w:rsidRPr="00EC3BD7" w:rsidRDefault="00E21A2F" w:rsidP="00145F94">
            <w:pPr>
              <w:rPr>
                <w:i/>
                <w:color w:val="000000"/>
                <w:szCs w:val="22"/>
                <w:lang w:val="et-EE"/>
              </w:rPr>
            </w:pPr>
            <w:r w:rsidRPr="00EC3BD7">
              <w:rPr>
                <w:i/>
                <w:color w:val="000000"/>
                <w:szCs w:val="22"/>
                <w:lang w:val="et-EE"/>
              </w:rPr>
              <w:t>Harv:</w:t>
            </w:r>
          </w:p>
        </w:tc>
        <w:tc>
          <w:tcPr>
            <w:tcW w:w="7087" w:type="dxa"/>
            <w:tcBorders>
              <w:bottom w:val="nil"/>
            </w:tcBorders>
          </w:tcPr>
          <w:p w14:paraId="70979277" w14:textId="77777777" w:rsidR="00E21A2F" w:rsidRPr="00EC3BD7" w:rsidRDefault="00E21A2F" w:rsidP="00145F94">
            <w:pPr>
              <w:rPr>
                <w:color w:val="000000"/>
                <w:szCs w:val="22"/>
                <w:lang w:val="et-EE"/>
              </w:rPr>
            </w:pPr>
            <w:r w:rsidRPr="00EC3BD7">
              <w:rPr>
                <w:color w:val="000000"/>
                <w:szCs w:val="22"/>
                <w:lang w:val="et-EE"/>
              </w:rPr>
              <w:t>Hüperkaleemia, hüpomagneseemia</w:t>
            </w:r>
          </w:p>
        </w:tc>
      </w:tr>
      <w:tr w:rsidR="00E21A2F" w:rsidRPr="00EC3BD7" w14:paraId="6098A66B" w14:textId="77777777" w:rsidTr="00145F94">
        <w:tc>
          <w:tcPr>
            <w:tcW w:w="9322" w:type="dxa"/>
            <w:gridSpan w:val="2"/>
          </w:tcPr>
          <w:p w14:paraId="40FA6244" w14:textId="77777777" w:rsidR="00E21A2F" w:rsidRPr="00EC3BD7" w:rsidRDefault="00E21A2F" w:rsidP="00B9089D">
            <w:pPr>
              <w:keepNext/>
              <w:keepLines/>
              <w:widowControl w:val="0"/>
              <w:rPr>
                <w:color w:val="000000"/>
                <w:szCs w:val="22"/>
                <w:lang w:val="et-EE"/>
              </w:rPr>
            </w:pPr>
            <w:r w:rsidRPr="00EC3BD7">
              <w:rPr>
                <w:b/>
                <w:color w:val="000000"/>
                <w:szCs w:val="22"/>
                <w:lang w:val="et-EE"/>
              </w:rPr>
              <w:lastRenderedPageBreak/>
              <w:t>Psühhiaatrilised häired</w:t>
            </w:r>
          </w:p>
        </w:tc>
      </w:tr>
      <w:tr w:rsidR="00E21A2F" w:rsidRPr="00EC3BD7" w14:paraId="2D2ADBD2" w14:textId="77777777" w:rsidTr="00145F94">
        <w:tc>
          <w:tcPr>
            <w:tcW w:w="2235" w:type="dxa"/>
          </w:tcPr>
          <w:p w14:paraId="5B352DF0" w14:textId="77777777" w:rsidR="00E21A2F" w:rsidRPr="00EC3BD7" w:rsidRDefault="00E21A2F" w:rsidP="00B9089D">
            <w:pPr>
              <w:keepNext/>
              <w:keepLines/>
              <w:widowControl w:val="0"/>
              <w:rPr>
                <w:i/>
                <w:color w:val="000000"/>
                <w:szCs w:val="22"/>
                <w:lang w:val="et-EE"/>
              </w:rPr>
            </w:pPr>
            <w:r w:rsidRPr="00EC3BD7">
              <w:rPr>
                <w:i/>
                <w:color w:val="000000"/>
                <w:szCs w:val="22"/>
                <w:lang w:val="et-EE"/>
              </w:rPr>
              <w:t>Sage:</w:t>
            </w:r>
          </w:p>
        </w:tc>
        <w:tc>
          <w:tcPr>
            <w:tcW w:w="7087" w:type="dxa"/>
          </w:tcPr>
          <w:p w14:paraId="22302C94" w14:textId="77777777" w:rsidR="00E21A2F" w:rsidRPr="00EC3BD7" w:rsidRDefault="00E21A2F" w:rsidP="00B9089D">
            <w:pPr>
              <w:keepNext/>
              <w:keepLines/>
              <w:widowControl w:val="0"/>
              <w:rPr>
                <w:color w:val="000000"/>
                <w:szCs w:val="22"/>
                <w:lang w:val="et-EE"/>
              </w:rPr>
            </w:pPr>
            <w:r w:rsidRPr="00EC3BD7">
              <w:rPr>
                <w:color w:val="000000"/>
                <w:szCs w:val="22"/>
                <w:lang w:val="et-EE"/>
              </w:rPr>
              <w:t>Unetus</w:t>
            </w:r>
          </w:p>
        </w:tc>
      </w:tr>
      <w:tr w:rsidR="00E21A2F" w:rsidRPr="00EC3BD7" w14:paraId="384C09F6" w14:textId="77777777" w:rsidTr="00145F94">
        <w:tc>
          <w:tcPr>
            <w:tcW w:w="2235" w:type="dxa"/>
          </w:tcPr>
          <w:p w14:paraId="603FC7A7" w14:textId="77777777" w:rsidR="00E21A2F" w:rsidRPr="00EC3BD7" w:rsidRDefault="00E21A2F" w:rsidP="00B9089D">
            <w:pPr>
              <w:keepNext/>
              <w:keepLines/>
              <w:widowControl w:val="0"/>
              <w:rPr>
                <w:i/>
                <w:color w:val="000000"/>
                <w:szCs w:val="22"/>
                <w:lang w:val="et-EE"/>
              </w:rPr>
            </w:pPr>
            <w:r w:rsidRPr="00EC3BD7">
              <w:rPr>
                <w:i/>
                <w:color w:val="000000"/>
                <w:szCs w:val="22"/>
                <w:lang w:val="et-EE"/>
              </w:rPr>
              <w:t>Aeg-ajalt:</w:t>
            </w:r>
          </w:p>
        </w:tc>
        <w:tc>
          <w:tcPr>
            <w:tcW w:w="7087" w:type="dxa"/>
          </w:tcPr>
          <w:p w14:paraId="09DB2CA2" w14:textId="77777777" w:rsidR="00E21A2F" w:rsidRPr="00EC3BD7" w:rsidRDefault="00E21A2F" w:rsidP="00B9089D">
            <w:pPr>
              <w:keepNext/>
              <w:keepLines/>
              <w:widowControl w:val="0"/>
              <w:rPr>
                <w:color w:val="000000"/>
                <w:szCs w:val="22"/>
                <w:lang w:val="et-EE"/>
              </w:rPr>
            </w:pPr>
            <w:r w:rsidRPr="00EC3BD7">
              <w:rPr>
                <w:color w:val="000000"/>
                <w:szCs w:val="22"/>
                <w:lang w:val="et-EE"/>
              </w:rPr>
              <w:t>Depressioon, libiido langus, ärevus</w:t>
            </w:r>
          </w:p>
        </w:tc>
      </w:tr>
      <w:tr w:rsidR="00E21A2F" w:rsidRPr="00EC3BD7" w14:paraId="1F70C05E" w14:textId="77777777" w:rsidTr="00145F94">
        <w:tc>
          <w:tcPr>
            <w:tcW w:w="2235" w:type="dxa"/>
          </w:tcPr>
          <w:p w14:paraId="5826E44E" w14:textId="77777777" w:rsidR="00E21A2F" w:rsidRPr="00EC3BD7" w:rsidRDefault="00E21A2F" w:rsidP="00145F94">
            <w:pPr>
              <w:rPr>
                <w:i/>
                <w:color w:val="000000"/>
                <w:szCs w:val="22"/>
                <w:lang w:val="et-EE"/>
              </w:rPr>
            </w:pPr>
            <w:r w:rsidRPr="00EC3BD7">
              <w:rPr>
                <w:i/>
                <w:color w:val="000000"/>
                <w:szCs w:val="22"/>
                <w:lang w:val="et-EE"/>
              </w:rPr>
              <w:t>Harv:</w:t>
            </w:r>
          </w:p>
        </w:tc>
        <w:tc>
          <w:tcPr>
            <w:tcW w:w="7087" w:type="dxa"/>
          </w:tcPr>
          <w:p w14:paraId="6711582E" w14:textId="77777777" w:rsidR="00E21A2F" w:rsidRPr="00EC3BD7" w:rsidRDefault="00E21A2F" w:rsidP="00145F94">
            <w:pPr>
              <w:rPr>
                <w:color w:val="000000"/>
                <w:szCs w:val="22"/>
                <w:lang w:val="et-EE"/>
              </w:rPr>
            </w:pPr>
            <w:r w:rsidRPr="00EC3BD7">
              <w:rPr>
                <w:color w:val="000000"/>
                <w:szCs w:val="22"/>
                <w:lang w:val="et-EE"/>
              </w:rPr>
              <w:t>Segasus</w:t>
            </w:r>
          </w:p>
        </w:tc>
      </w:tr>
      <w:tr w:rsidR="00E21A2F" w:rsidRPr="00EC3BD7" w14:paraId="1E552A43" w14:textId="77777777" w:rsidTr="00145F94">
        <w:tc>
          <w:tcPr>
            <w:tcW w:w="9322" w:type="dxa"/>
            <w:gridSpan w:val="2"/>
            <w:tcBorders>
              <w:top w:val="nil"/>
            </w:tcBorders>
          </w:tcPr>
          <w:p w14:paraId="43909FF4" w14:textId="77777777" w:rsidR="00E21A2F" w:rsidRPr="00EC3BD7" w:rsidRDefault="00E21A2F" w:rsidP="00B9089D">
            <w:pPr>
              <w:keepNext/>
              <w:keepLines/>
              <w:widowControl w:val="0"/>
              <w:rPr>
                <w:color w:val="000000"/>
                <w:szCs w:val="22"/>
                <w:lang w:val="et-EE"/>
              </w:rPr>
            </w:pPr>
            <w:r w:rsidRPr="00EC3BD7">
              <w:rPr>
                <w:b/>
                <w:color w:val="000000"/>
                <w:szCs w:val="22"/>
                <w:lang w:val="et-EE"/>
              </w:rPr>
              <w:t>Närvisüsteemi häired</w:t>
            </w:r>
          </w:p>
        </w:tc>
      </w:tr>
      <w:tr w:rsidR="00E21A2F" w:rsidRPr="00EC3BD7" w14:paraId="2BEEBE49" w14:textId="77777777" w:rsidTr="00145F94">
        <w:tc>
          <w:tcPr>
            <w:tcW w:w="2235" w:type="dxa"/>
          </w:tcPr>
          <w:p w14:paraId="4442FEEB" w14:textId="77777777" w:rsidR="00E21A2F" w:rsidRPr="00EC3BD7" w:rsidRDefault="00E21A2F" w:rsidP="00B9089D">
            <w:pPr>
              <w:keepNext/>
              <w:keepLines/>
              <w:widowControl w:val="0"/>
              <w:rPr>
                <w:color w:val="000000"/>
                <w:szCs w:val="22"/>
                <w:lang w:val="et-EE"/>
              </w:rPr>
            </w:pPr>
            <w:r w:rsidRPr="00EC3BD7">
              <w:rPr>
                <w:i/>
                <w:color w:val="000000"/>
                <w:szCs w:val="22"/>
                <w:lang w:val="et-EE"/>
              </w:rPr>
              <w:t>Väga sage:</w:t>
            </w:r>
          </w:p>
        </w:tc>
        <w:tc>
          <w:tcPr>
            <w:tcW w:w="7087" w:type="dxa"/>
          </w:tcPr>
          <w:p w14:paraId="593A4826" w14:textId="77777777" w:rsidR="00E21A2F" w:rsidRPr="00EC3BD7" w:rsidRDefault="00E21A2F" w:rsidP="00B9089D">
            <w:pPr>
              <w:keepNext/>
              <w:keepLines/>
              <w:widowControl w:val="0"/>
              <w:rPr>
                <w:color w:val="000000"/>
                <w:szCs w:val="22"/>
                <w:lang w:val="et-EE"/>
              </w:rPr>
            </w:pPr>
            <w:r w:rsidRPr="00EC3BD7">
              <w:rPr>
                <w:color w:val="000000"/>
                <w:szCs w:val="22"/>
                <w:lang w:val="et-EE"/>
              </w:rPr>
              <w:t>Peavalu</w:t>
            </w:r>
            <w:r w:rsidRPr="00EC3BD7">
              <w:rPr>
                <w:color w:val="000000"/>
                <w:szCs w:val="22"/>
                <w:vertAlign w:val="superscript"/>
                <w:lang w:val="et-EE"/>
              </w:rPr>
              <w:t>2</w:t>
            </w:r>
          </w:p>
        </w:tc>
      </w:tr>
      <w:tr w:rsidR="00E21A2F" w:rsidRPr="00EC3BD7" w14:paraId="4F83229E" w14:textId="77777777" w:rsidTr="00145F94">
        <w:tc>
          <w:tcPr>
            <w:tcW w:w="2235" w:type="dxa"/>
          </w:tcPr>
          <w:p w14:paraId="0106C041" w14:textId="77777777" w:rsidR="00E21A2F" w:rsidRPr="00EC3BD7" w:rsidRDefault="00E21A2F" w:rsidP="00B9089D">
            <w:pPr>
              <w:keepNext/>
              <w:keepLines/>
              <w:widowControl w:val="0"/>
              <w:rPr>
                <w:color w:val="000000"/>
                <w:szCs w:val="22"/>
                <w:lang w:val="et-EE"/>
              </w:rPr>
            </w:pPr>
            <w:r w:rsidRPr="00EC3BD7">
              <w:rPr>
                <w:i/>
                <w:color w:val="000000"/>
                <w:szCs w:val="22"/>
                <w:lang w:val="et-EE"/>
              </w:rPr>
              <w:t>Sage:</w:t>
            </w:r>
          </w:p>
        </w:tc>
        <w:tc>
          <w:tcPr>
            <w:tcW w:w="7087" w:type="dxa"/>
          </w:tcPr>
          <w:p w14:paraId="7B0A26E5" w14:textId="77777777" w:rsidR="00E21A2F" w:rsidRPr="00EC3BD7" w:rsidRDefault="00E21A2F" w:rsidP="00B9089D">
            <w:pPr>
              <w:keepNext/>
              <w:keepLines/>
              <w:widowControl w:val="0"/>
              <w:rPr>
                <w:color w:val="000000"/>
                <w:szCs w:val="22"/>
                <w:lang w:val="et-EE"/>
              </w:rPr>
            </w:pPr>
            <w:r w:rsidRPr="00EC3BD7">
              <w:rPr>
                <w:color w:val="000000"/>
                <w:szCs w:val="22"/>
                <w:lang w:val="et-EE"/>
              </w:rPr>
              <w:t>Pearinglus, paresteesia, maitsetundlikkuse häired, hüpoesteesia</w:t>
            </w:r>
          </w:p>
        </w:tc>
      </w:tr>
      <w:tr w:rsidR="00E21A2F" w:rsidRPr="00EC3BD7" w14:paraId="54AFEC9A" w14:textId="77777777" w:rsidTr="00145F94">
        <w:tc>
          <w:tcPr>
            <w:tcW w:w="2235" w:type="dxa"/>
          </w:tcPr>
          <w:p w14:paraId="74D3DD57" w14:textId="77777777" w:rsidR="00E21A2F" w:rsidRPr="00EC3BD7" w:rsidRDefault="00E21A2F" w:rsidP="00B9089D">
            <w:pPr>
              <w:keepNext/>
              <w:keepLines/>
              <w:widowControl w:val="0"/>
              <w:rPr>
                <w:color w:val="000000"/>
                <w:szCs w:val="22"/>
                <w:lang w:val="et-EE"/>
              </w:rPr>
            </w:pPr>
            <w:r w:rsidRPr="00EC3BD7">
              <w:rPr>
                <w:i/>
                <w:color w:val="000000"/>
                <w:szCs w:val="22"/>
                <w:lang w:val="et-EE"/>
              </w:rPr>
              <w:t>Aeg-ajalt:</w:t>
            </w:r>
          </w:p>
        </w:tc>
        <w:tc>
          <w:tcPr>
            <w:tcW w:w="7087" w:type="dxa"/>
          </w:tcPr>
          <w:p w14:paraId="7EDF398E" w14:textId="77777777" w:rsidR="00E21A2F" w:rsidRPr="00EC3BD7" w:rsidRDefault="00E21A2F" w:rsidP="00B9089D">
            <w:pPr>
              <w:keepNext/>
              <w:keepLines/>
              <w:widowControl w:val="0"/>
              <w:rPr>
                <w:color w:val="000000"/>
                <w:szCs w:val="22"/>
                <w:lang w:val="et-EE"/>
              </w:rPr>
            </w:pPr>
            <w:r w:rsidRPr="00EC3BD7">
              <w:rPr>
                <w:color w:val="000000"/>
                <w:szCs w:val="22"/>
                <w:lang w:val="et-EE"/>
              </w:rPr>
              <w:t>Migreen, somnolentsus, minestamine, perifeerne neuropaatia, mälu halvenemine, ishias, rahutute jalgade sündroom, treemor, ajuverejooks</w:t>
            </w:r>
          </w:p>
        </w:tc>
      </w:tr>
      <w:tr w:rsidR="00E21A2F" w:rsidRPr="005D29F8" w14:paraId="737BB9C9" w14:textId="77777777" w:rsidTr="00145F94">
        <w:tc>
          <w:tcPr>
            <w:tcW w:w="2235" w:type="dxa"/>
          </w:tcPr>
          <w:p w14:paraId="7C14BF10" w14:textId="77777777" w:rsidR="00E21A2F" w:rsidRPr="00EC3BD7" w:rsidRDefault="00E21A2F" w:rsidP="00B9089D">
            <w:pPr>
              <w:keepNext/>
              <w:keepLines/>
              <w:widowControl w:val="0"/>
              <w:rPr>
                <w:color w:val="000000"/>
                <w:szCs w:val="22"/>
                <w:lang w:val="et-EE"/>
              </w:rPr>
            </w:pPr>
            <w:r w:rsidRPr="00EC3BD7">
              <w:rPr>
                <w:i/>
                <w:color w:val="000000"/>
                <w:szCs w:val="22"/>
                <w:lang w:val="et-EE"/>
              </w:rPr>
              <w:t>Harv:</w:t>
            </w:r>
          </w:p>
        </w:tc>
        <w:tc>
          <w:tcPr>
            <w:tcW w:w="7087" w:type="dxa"/>
          </w:tcPr>
          <w:p w14:paraId="42F2B0F7" w14:textId="77777777" w:rsidR="00E21A2F" w:rsidRPr="00EC3BD7" w:rsidRDefault="00E21A2F" w:rsidP="00B9089D">
            <w:pPr>
              <w:keepNext/>
              <w:keepLines/>
              <w:widowControl w:val="0"/>
              <w:rPr>
                <w:color w:val="000000"/>
                <w:szCs w:val="22"/>
                <w:lang w:val="et-EE"/>
              </w:rPr>
            </w:pPr>
            <w:r w:rsidRPr="00EC3BD7">
              <w:rPr>
                <w:color w:val="000000"/>
                <w:szCs w:val="22"/>
                <w:lang w:val="et-EE"/>
              </w:rPr>
              <w:t>Kõrgenenud koljusisene rõhk, krambid, nägemisnärvi neuriit</w:t>
            </w:r>
          </w:p>
        </w:tc>
      </w:tr>
      <w:tr w:rsidR="008F4DAA" w:rsidRPr="00EC3BD7" w14:paraId="30DB59BD" w14:textId="77777777" w:rsidTr="00EA48BD">
        <w:tc>
          <w:tcPr>
            <w:tcW w:w="2235" w:type="dxa"/>
          </w:tcPr>
          <w:p w14:paraId="6C934DDA" w14:textId="77777777" w:rsidR="008F4DAA" w:rsidRPr="00EC3BD7" w:rsidRDefault="008F4DAA" w:rsidP="00EA48BD">
            <w:pPr>
              <w:rPr>
                <w:i/>
                <w:color w:val="000000"/>
                <w:szCs w:val="22"/>
                <w:lang w:val="et-EE"/>
              </w:rPr>
            </w:pPr>
            <w:r w:rsidRPr="00EC3BD7">
              <w:rPr>
                <w:i/>
                <w:color w:val="000000"/>
                <w:szCs w:val="22"/>
                <w:lang w:val="et-EE"/>
              </w:rPr>
              <w:t>Teadmata:</w:t>
            </w:r>
          </w:p>
        </w:tc>
        <w:tc>
          <w:tcPr>
            <w:tcW w:w="7087" w:type="dxa"/>
          </w:tcPr>
          <w:p w14:paraId="6A1E8B85" w14:textId="77777777" w:rsidR="008F4DAA" w:rsidRPr="00EC3BD7" w:rsidRDefault="008F4DAA" w:rsidP="00EA48BD">
            <w:pPr>
              <w:rPr>
                <w:color w:val="000000"/>
                <w:szCs w:val="22"/>
                <w:lang w:val="et-EE"/>
              </w:rPr>
            </w:pPr>
            <w:r w:rsidRPr="00EC3BD7">
              <w:rPr>
                <w:color w:val="000000"/>
                <w:szCs w:val="22"/>
                <w:lang w:val="et-EE"/>
              </w:rPr>
              <w:t>Ajuturse*</w:t>
            </w:r>
          </w:p>
        </w:tc>
      </w:tr>
      <w:tr w:rsidR="00E21A2F" w:rsidRPr="00EC3BD7" w14:paraId="4896882A" w14:textId="77777777" w:rsidTr="00145F94">
        <w:tc>
          <w:tcPr>
            <w:tcW w:w="9322" w:type="dxa"/>
            <w:gridSpan w:val="2"/>
          </w:tcPr>
          <w:p w14:paraId="6A0E7B21" w14:textId="77777777" w:rsidR="00E21A2F" w:rsidRPr="00EC3BD7" w:rsidRDefault="00E21A2F" w:rsidP="00B9089D">
            <w:pPr>
              <w:keepNext/>
              <w:keepLines/>
              <w:widowControl w:val="0"/>
              <w:rPr>
                <w:color w:val="000000"/>
                <w:szCs w:val="22"/>
                <w:lang w:val="et-EE"/>
              </w:rPr>
            </w:pPr>
            <w:r w:rsidRPr="00EC3BD7">
              <w:rPr>
                <w:b/>
                <w:color w:val="000000"/>
                <w:szCs w:val="22"/>
                <w:lang w:val="et-EE"/>
              </w:rPr>
              <w:t>Silma kahjustused</w:t>
            </w:r>
          </w:p>
        </w:tc>
      </w:tr>
      <w:tr w:rsidR="00E21A2F" w:rsidRPr="005D29F8" w14:paraId="48DF05D5" w14:textId="77777777" w:rsidTr="00145F94">
        <w:tc>
          <w:tcPr>
            <w:tcW w:w="2235" w:type="dxa"/>
          </w:tcPr>
          <w:p w14:paraId="51F291AB" w14:textId="77777777" w:rsidR="00E21A2F" w:rsidRPr="00EC3BD7" w:rsidRDefault="00E21A2F" w:rsidP="00B9089D">
            <w:pPr>
              <w:keepNext/>
              <w:keepLines/>
              <w:widowControl w:val="0"/>
              <w:rPr>
                <w:color w:val="000000"/>
                <w:szCs w:val="22"/>
                <w:lang w:val="et-EE"/>
              </w:rPr>
            </w:pPr>
            <w:r w:rsidRPr="00EC3BD7">
              <w:rPr>
                <w:i/>
                <w:color w:val="000000"/>
                <w:szCs w:val="22"/>
                <w:lang w:val="et-EE"/>
              </w:rPr>
              <w:t>Sage:</w:t>
            </w:r>
          </w:p>
        </w:tc>
        <w:tc>
          <w:tcPr>
            <w:tcW w:w="7087" w:type="dxa"/>
          </w:tcPr>
          <w:p w14:paraId="61CB21DD" w14:textId="77777777" w:rsidR="00E21A2F" w:rsidRPr="00EC3BD7" w:rsidRDefault="00E21A2F" w:rsidP="00B9089D">
            <w:pPr>
              <w:keepNext/>
              <w:keepLines/>
              <w:widowControl w:val="0"/>
              <w:rPr>
                <w:color w:val="000000"/>
                <w:szCs w:val="22"/>
                <w:lang w:val="et-EE"/>
              </w:rPr>
            </w:pPr>
            <w:r w:rsidRPr="00EC3BD7">
              <w:rPr>
                <w:color w:val="000000"/>
                <w:szCs w:val="22"/>
                <w:lang w:val="et-EE"/>
              </w:rPr>
              <w:t>Silmalaugude turse, suurenenud pisaravool, konjunktivaalne verejooks, konjunktiviit, silmade kuivus, hägune nägemine</w:t>
            </w:r>
          </w:p>
        </w:tc>
      </w:tr>
      <w:tr w:rsidR="00E21A2F" w:rsidRPr="005D29F8" w14:paraId="5AE2E271" w14:textId="77777777" w:rsidTr="00145F94">
        <w:tc>
          <w:tcPr>
            <w:tcW w:w="2235" w:type="dxa"/>
          </w:tcPr>
          <w:p w14:paraId="2EEFA175" w14:textId="77777777" w:rsidR="00E21A2F" w:rsidRPr="00EC3BD7" w:rsidRDefault="00E21A2F" w:rsidP="00B9089D">
            <w:pPr>
              <w:keepNext/>
              <w:keepLines/>
              <w:widowControl w:val="0"/>
              <w:rPr>
                <w:color w:val="000000"/>
                <w:szCs w:val="22"/>
                <w:lang w:val="et-EE"/>
              </w:rPr>
            </w:pPr>
            <w:r w:rsidRPr="00EC3BD7">
              <w:rPr>
                <w:i/>
                <w:color w:val="000000"/>
                <w:szCs w:val="22"/>
                <w:lang w:val="et-EE"/>
              </w:rPr>
              <w:t>Aeg-ajalt:</w:t>
            </w:r>
          </w:p>
        </w:tc>
        <w:tc>
          <w:tcPr>
            <w:tcW w:w="7087" w:type="dxa"/>
          </w:tcPr>
          <w:p w14:paraId="3A11E09E" w14:textId="77777777" w:rsidR="00E21A2F" w:rsidRPr="00EC3BD7" w:rsidRDefault="00E21A2F" w:rsidP="00B9089D">
            <w:pPr>
              <w:keepNext/>
              <w:keepLines/>
              <w:widowControl w:val="0"/>
              <w:rPr>
                <w:color w:val="000000"/>
                <w:szCs w:val="22"/>
                <w:lang w:val="et-EE"/>
              </w:rPr>
            </w:pPr>
            <w:r w:rsidRPr="00EC3BD7">
              <w:rPr>
                <w:color w:val="000000"/>
                <w:szCs w:val="22"/>
                <w:lang w:val="et-EE"/>
              </w:rPr>
              <w:t>Silmade ärritus, silmavalu, silmakoopa turse, kõvakesta verejooks, reetina verejooks, blefariit, maakula turse</w:t>
            </w:r>
          </w:p>
        </w:tc>
      </w:tr>
      <w:tr w:rsidR="00E21A2F" w:rsidRPr="00EC3BD7" w14:paraId="01765AD2" w14:textId="77777777" w:rsidTr="00145F94">
        <w:tc>
          <w:tcPr>
            <w:tcW w:w="2235" w:type="dxa"/>
          </w:tcPr>
          <w:p w14:paraId="4D15E91C" w14:textId="77777777" w:rsidR="00E21A2F" w:rsidRPr="00EC3BD7" w:rsidRDefault="00E21A2F" w:rsidP="00B9089D">
            <w:pPr>
              <w:keepNext/>
              <w:keepLines/>
              <w:widowControl w:val="0"/>
              <w:rPr>
                <w:color w:val="000000"/>
                <w:szCs w:val="22"/>
                <w:lang w:val="et-EE"/>
              </w:rPr>
            </w:pPr>
            <w:r w:rsidRPr="00EC3BD7">
              <w:rPr>
                <w:i/>
                <w:color w:val="000000"/>
                <w:szCs w:val="22"/>
                <w:lang w:val="et-EE"/>
              </w:rPr>
              <w:t>Harv:</w:t>
            </w:r>
          </w:p>
        </w:tc>
        <w:tc>
          <w:tcPr>
            <w:tcW w:w="7087" w:type="dxa"/>
          </w:tcPr>
          <w:p w14:paraId="5C9CABC4" w14:textId="77777777" w:rsidR="00E21A2F" w:rsidRPr="00EC3BD7" w:rsidRDefault="00E21A2F" w:rsidP="00B9089D">
            <w:pPr>
              <w:keepNext/>
              <w:keepLines/>
              <w:widowControl w:val="0"/>
              <w:rPr>
                <w:color w:val="000000"/>
                <w:szCs w:val="22"/>
                <w:lang w:val="et-EE"/>
              </w:rPr>
            </w:pPr>
            <w:r w:rsidRPr="00EC3BD7">
              <w:rPr>
                <w:color w:val="000000"/>
                <w:szCs w:val="22"/>
                <w:lang w:val="et-EE"/>
              </w:rPr>
              <w:t>Katarakt, glaukoom, papilli ödeem</w:t>
            </w:r>
          </w:p>
        </w:tc>
      </w:tr>
      <w:tr w:rsidR="008F4DAA" w:rsidRPr="00EC3BD7" w14:paraId="615E2ED1" w14:textId="77777777" w:rsidTr="00EA48BD">
        <w:tc>
          <w:tcPr>
            <w:tcW w:w="2235" w:type="dxa"/>
          </w:tcPr>
          <w:p w14:paraId="3486CAE2" w14:textId="77777777" w:rsidR="008F4DAA" w:rsidRPr="00EC3BD7" w:rsidRDefault="008F4DAA" w:rsidP="00EA48BD">
            <w:pPr>
              <w:rPr>
                <w:i/>
                <w:color w:val="000000"/>
                <w:szCs w:val="22"/>
                <w:lang w:val="et-EE"/>
              </w:rPr>
            </w:pPr>
            <w:r w:rsidRPr="00EC3BD7">
              <w:rPr>
                <w:i/>
                <w:color w:val="000000"/>
                <w:szCs w:val="22"/>
                <w:lang w:val="et-EE"/>
              </w:rPr>
              <w:t>Teadmata:</w:t>
            </w:r>
          </w:p>
        </w:tc>
        <w:tc>
          <w:tcPr>
            <w:tcW w:w="7087" w:type="dxa"/>
          </w:tcPr>
          <w:p w14:paraId="32221A78" w14:textId="77777777" w:rsidR="008F4DAA" w:rsidRPr="00EC3BD7" w:rsidRDefault="008F4DAA" w:rsidP="00EA48BD">
            <w:pPr>
              <w:rPr>
                <w:color w:val="000000"/>
                <w:szCs w:val="22"/>
                <w:lang w:val="et-EE"/>
              </w:rPr>
            </w:pPr>
            <w:r w:rsidRPr="00EC3BD7">
              <w:rPr>
                <w:color w:val="000000"/>
                <w:szCs w:val="22"/>
                <w:lang w:val="et-EE"/>
              </w:rPr>
              <w:t>Klaaskeha verejooks*</w:t>
            </w:r>
          </w:p>
        </w:tc>
      </w:tr>
      <w:tr w:rsidR="00E21A2F" w:rsidRPr="00EC3BD7" w14:paraId="590DB4E8" w14:textId="77777777" w:rsidTr="00145F94">
        <w:tc>
          <w:tcPr>
            <w:tcW w:w="9322" w:type="dxa"/>
            <w:gridSpan w:val="2"/>
          </w:tcPr>
          <w:p w14:paraId="7536F97A" w14:textId="77777777" w:rsidR="00E21A2F" w:rsidRPr="00EC3BD7" w:rsidRDefault="00E21A2F" w:rsidP="00B9089D">
            <w:pPr>
              <w:keepNext/>
              <w:keepLines/>
              <w:widowControl w:val="0"/>
              <w:rPr>
                <w:color w:val="000000"/>
                <w:szCs w:val="22"/>
                <w:lang w:val="et-EE"/>
              </w:rPr>
            </w:pPr>
            <w:r w:rsidRPr="00EC3BD7">
              <w:rPr>
                <w:b/>
                <w:color w:val="000000"/>
                <w:szCs w:val="22"/>
                <w:lang w:val="et-EE"/>
              </w:rPr>
              <w:t>Kõrva ja labürindi kahjustused</w:t>
            </w:r>
          </w:p>
        </w:tc>
      </w:tr>
      <w:tr w:rsidR="00E21A2F" w:rsidRPr="00EC3BD7" w14:paraId="51AC980C" w14:textId="77777777" w:rsidTr="00145F94">
        <w:tc>
          <w:tcPr>
            <w:tcW w:w="2235" w:type="dxa"/>
            <w:tcBorders>
              <w:bottom w:val="nil"/>
            </w:tcBorders>
          </w:tcPr>
          <w:p w14:paraId="7DE1FE38" w14:textId="77777777" w:rsidR="00E21A2F" w:rsidRPr="00EC3BD7" w:rsidRDefault="00E21A2F" w:rsidP="00145F94">
            <w:pPr>
              <w:rPr>
                <w:color w:val="000000"/>
                <w:szCs w:val="22"/>
                <w:lang w:val="et-EE"/>
              </w:rPr>
            </w:pPr>
            <w:r w:rsidRPr="00EC3BD7">
              <w:rPr>
                <w:i/>
                <w:color w:val="000000"/>
                <w:szCs w:val="22"/>
                <w:lang w:val="et-EE"/>
              </w:rPr>
              <w:t>Aeg-ajalt:</w:t>
            </w:r>
          </w:p>
        </w:tc>
        <w:tc>
          <w:tcPr>
            <w:tcW w:w="7087" w:type="dxa"/>
            <w:tcBorders>
              <w:bottom w:val="nil"/>
            </w:tcBorders>
          </w:tcPr>
          <w:p w14:paraId="61E2B7A8" w14:textId="77777777" w:rsidR="00E21A2F" w:rsidRPr="00EC3BD7" w:rsidRDefault="00E21A2F" w:rsidP="00145F94">
            <w:pPr>
              <w:rPr>
                <w:color w:val="000000"/>
                <w:szCs w:val="22"/>
                <w:lang w:val="et-EE"/>
              </w:rPr>
            </w:pPr>
            <w:r w:rsidRPr="00EC3BD7">
              <w:rPr>
                <w:color w:val="000000"/>
                <w:szCs w:val="22"/>
                <w:lang w:val="et-EE"/>
              </w:rPr>
              <w:t>Vertiigo, tinnitus, kuulmise kaotus</w:t>
            </w:r>
          </w:p>
        </w:tc>
      </w:tr>
      <w:tr w:rsidR="00E21A2F" w:rsidRPr="00EC3BD7" w14:paraId="13F3979A" w14:textId="77777777" w:rsidTr="00145F94">
        <w:tc>
          <w:tcPr>
            <w:tcW w:w="9322" w:type="dxa"/>
            <w:gridSpan w:val="2"/>
          </w:tcPr>
          <w:p w14:paraId="6551F367" w14:textId="77777777" w:rsidR="00E21A2F" w:rsidRPr="00EC3BD7" w:rsidRDefault="00E21A2F" w:rsidP="00B9089D">
            <w:pPr>
              <w:keepNext/>
              <w:keepLines/>
              <w:widowControl w:val="0"/>
              <w:rPr>
                <w:color w:val="000000"/>
                <w:szCs w:val="22"/>
                <w:lang w:val="et-EE"/>
              </w:rPr>
            </w:pPr>
            <w:r w:rsidRPr="00EC3BD7">
              <w:rPr>
                <w:b/>
                <w:color w:val="000000"/>
                <w:szCs w:val="22"/>
                <w:lang w:val="et-EE"/>
              </w:rPr>
              <w:t>Südame häired</w:t>
            </w:r>
          </w:p>
        </w:tc>
      </w:tr>
      <w:tr w:rsidR="00E21A2F" w:rsidRPr="005D29F8" w14:paraId="443F50C3" w14:textId="77777777" w:rsidTr="00145F94">
        <w:tc>
          <w:tcPr>
            <w:tcW w:w="2235" w:type="dxa"/>
          </w:tcPr>
          <w:p w14:paraId="030BB8FA" w14:textId="77777777" w:rsidR="00E21A2F" w:rsidRPr="00EC3BD7" w:rsidRDefault="00E21A2F" w:rsidP="00B9089D">
            <w:pPr>
              <w:keepNext/>
              <w:keepLines/>
              <w:widowControl w:val="0"/>
              <w:rPr>
                <w:color w:val="000000"/>
                <w:szCs w:val="22"/>
                <w:lang w:val="et-EE"/>
              </w:rPr>
            </w:pPr>
            <w:r w:rsidRPr="00EC3BD7">
              <w:rPr>
                <w:i/>
                <w:color w:val="000000"/>
                <w:szCs w:val="22"/>
                <w:lang w:val="et-EE"/>
              </w:rPr>
              <w:t>Aeg-ajalt:</w:t>
            </w:r>
          </w:p>
        </w:tc>
        <w:tc>
          <w:tcPr>
            <w:tcW w:w="7087" w:type="dxa"/>
          </w:tcPr>
          <w:p w14:paraId="73C413FA" w14:textId="77777777" w:rsidR="00E21A2F" w:rsidRPr="00EC3BD7" w:rsidRDefault="00E21A2F" w:rsidP="00B9089D">
            <w:pPr>
              <w:keepNext/>
              <w:keepLines/>
              <w:widowControl w:val="0"/>
              <w:rPr>
                <w:color w:val="000000"/>
                <w:szCs w:val="22"/>
                <w:lang w:val="et-EE"/>
              </w:rPr>
            </w:pPr>
            <w:r w:rsidRPr="00EC3BD7">
              <w:rPr>
                <w:color w:val="000000"/>
                <w:szCs w:val="22"/>
                <w:lang w:val="et-EE"/>
              </w:rPr>
              <w:t>Palpitatsioonid, tahhükardia, südame paispuudulikkus</w:t>
            </w:r>
            <w:r w:rsidRPr="00EC3BD7">
              <w:rPr>
                <w:color w:val="000000"/>
                <w:szCs w:val="22"/>
                <w:vertAlign w:val="superscript"/>
                <w:lang w:val="et-EE"/>
              </w:rPr>
              <w:t>3</w:t>
            </w:r>
            <w:r w:rsidRPr="00EC3BD7">
              <w:rPr>
                <w:color w:val="000000"/>
                <w:szCs w:val="22"/>
                <w:lang w:val="et-EE"/>
              </w:rPr>
              <w:t>, kopsuturse</w:t>
            </w:r>
          </w:p>
        </w:tc>
      </w:tr>
      <w:tr w:rsidR="00E21A2F" w:rsidRPr="005D29F8" w14:paraId="58C4B427" w14:textId="77777777" w:rsidTr="00145F94">
        <w:tc>
          <w:tcPr>
            <w:tcW w:w="2235" w:type="dxa"/>
          </w:tcPr>
          <w:p w14:paraId="4C0A2BD2" w14:textId="77777777" w:rsidR="00E21A2F" w:rsidRPr="00EC3BD7" w:rsidRDefault="00E21A2F" w:rsidP="00B9089D">
            <w:pPr>
              <w:keepNext/>
              <w:keepLines/>
              <w:widowControl w:val="0"/>
              <w:rPr>
                <w:color w:val="000000"/>
                <w:szCs w:val="22"/>
                <w:lang w:val="et-EE"/>
              </w:rPr>
            </w:pPr>
            <w:r w:rsidRPr="00EC3BD7">
              <w:rPr>
                <w:i/>
                <w:color w:val="000000"/>
                <w:szCs w:val="22"/>
                <w:lang w:val="et-EE"/>
              </w:rPr>
              <w:t>Harv:</w:t>
            </w:r>
          </w:p>
        </w:tc>
        <w:tc>
          <w:tcPr>
            <w:tcW w:w="7087" w:type="dxa"/>
          </w:tcPr>
          <w:p w14:paraId="3D3FEF1B" w14:textId="77777777" w:rsidR="00E21A2F" w:rsidRPr="00EC3BD7" w:rsidRDefault="00E21A2F" w:rsidP="00B9089D">
            <w:pPr>
              <w:keepNext/>
              <w:keepLines/>
              <w:widowControl w:val="0"/>
              <w:rPr>
                <w:color w:val="000000"/>
                <w:szCs w:val="22"/>
                <w:lang w:val="et-EE"/>
              </w:rPr>
            </w:pPr>
            <w:r w:rsidRPr="00EC3BD7">
              <w:rPr>
                <w:color w:val="000000"/>
                <w:szCs w:val="22"/>
                <w:lang w:val="et-EE"/>
              </w:rPr>
              <w:t>Arütmia, kodade fibrillatsioon, südameseiskus, müokardiinfarkt, stenokardia, perikardi efusioon</w:t>
            </w:r>
          </w:p>
        </w:tc>
      </w:tr>
      <w:tr w:rsidR="008F4DAA" w:rsidRPr="00EC3BD7" w14:paraId="7535BAAC" w14:textId="77777777" w:rsidTr="00EA48BD">
        <w:tc>
          <w:tcPr>
            <w:tcW w:w="2235" w:type="dxa"/>
          </w:tcPr>
          <w:p w14:paraId="0D4011BD" w14:textId="77777777" w:rsidR="008F4DAA" w:rsidRPr="00EC3BD7" w:rsidRDefault="008F4DAA" w:rsidP="00EA48BD">
            <w:pPr>
              <w:rPr>
                <w:i/>
                <w:color w:val="000000"/>
                <w:szCs w:val="22"/>
                <w:lang w:val="et-EE"/>
              </w:rPr>
            </w:pPr>
            <w:r w:rsidRPr="00EC3BD7">
              <w:rPr>
                <w:i/>
                <w:color w:val="000000"/>
                <w:szCs w:val="22"/>
                <w:lang w:val="et-EE"/>
              </w:rPr>
              <w:t>Teadmata:</w:t>
            </w:r>
          </w:p>
        </w:tc>
        <w:tc>
          <w:tcPr>
            <w:tcW w:w="7087" w:type="dxa"/>
          </w:tcPr>
          <w:p w14:paraId="6DF543C4" w14:textId="77777777" w:rsidR="008F4DAA" w:rsidRPr="00EC3BD7" w:rsidRDefault="008F4DAA" w:rsidP="00EA48BD">
            <w:pPr>
              <w:rPr>
                <w:color w:val="000000"/>
                <w:szCs w:val="22"/>
                <w:lang w:val="et-EE"/>
              </w:rPr>
            </w:pPr>
            <w:r w:rsidRPr="00EC3BD7">
              <w:rPr>
                <w:color w:val="000000"/>
                <w:szCs w:val="22"/>
                <w:lang w:val="et-EE"/>
              </w:rPr>
              <w:t>Perikardiit*, südame tamponaad*</w:t>
            </w:r>
          </w:p>
        </w:tc>
      </w:tr>
      <w:tr w:rsidR="00E21A2F" w:rsidRPr="00EC3BD7" w14:paraId="31F12060" w14:textId="77777777" w:rsidTr="00145F94">
        <w:tc>
          <w:tcPr>
            <w:tcW w:w="9322" w:type="dxa"/>
            <w:gridSpan w:val="2"/>
          </w:tcPr>
          <w:p w14:paraId="29475E15" w14:textId="77777777" w:rsidR="00E21A2F" w:rsidRPr="00EC3BD7" w:rsidRDefault="00E21A2F" w:rsidP="00B9089D">
            <w:pPr>
              <w:keepNext/>
              <w:keepLines/>
              <w:widowControl w:val="0"/>
              <w:rPr>
                <w:color w:val="000000"/>
                <w:szCs w:val="22"/>
                <w:lang w:val="et-EE"/>
              </w:rPr>
            </w:pPr>
            <w:r w:rsidRPr="00EC3BD7">
              <w:rPr>
                <w:b/>
                <w:color w:val="000000"/>
                <w:szCs w:val="22"/>
                <w:lang w:val="et-EE"/>
              </w:rPr>
              <w:t>Vaskulaarsed häired</w:t>
            </w:r>
            <w:r w:rsidRPr="00EC3BD7">
              <w:rPr>
                <w:color w:val="000000"/>
                <w:szCs w:val="22"/>
                <w:vertAlign w:val="superscript"/>
                <w:lang w:val="et-EE"/>
              </w:rPr>
              <w:t>4</w:t>
            </w:r>
          </w:p>
        </w:tc>
      </w:tr>
      <w:tr w:rsidR="00E21A2F" w:rsidRPr="00EC3BD7" w14:paraId="56CB6928" w14:textId="77777777" w:rsidTr="00145F94">
        <w:tc>
          <w:tcPr>
            <w:tcW w:w="2235" w:type="dxa"/>
          </w:tcPr>
          <w:p w14:paraId="0A73C710" w14:textId="77777777" w:rsidR="00E21A2F" w:rsidRPr="00EC3BD7" w:rsidRDefault="00E21A2F" w:rsidP="00B9089D">
            <w:pPr>
              <w:keepNext/>
              <w:keepLines/>
              <w:widowControl w:val="0"/>
              <w:rPr>
                <w:i/>
                <w:color w:val="000000"/>
                <w:szCs w:val="22"/>
                <w:lang w:val="et-EE"/>
              </w:rPr>
            </w:pPr>
            <w:r w:rsidRPr="00EC3BD7">
              <w:rPr>
                <w:i/>
                <w:color w:val="000000"/>
                <w:szCs w:val="22"/>
                <w:lang w:val="et-EE"/>
              </w:rPr>
              <w:t>Sage:</w:t>
            </w:r>
          </w:p>
        </w:tc>
        <w:tc>
          <w:tcPr>
            <w:tcW w:w="7087" w:type="dxa"/>
          </w:tcPr>
          <w:p w14:paraId="16A86F88" w14:textId="77777777" w:rsidR="00E21A2F" w:rsidRPr="00EC3BD7" w:rsidRDefault="00E21A2F" w:rsidP="00B9089D">
            <w:pPr>
              <w:keepNext/>
              <w:keepLines/>
              <w:widowControl w:val="0"/>
              <w:rPr>
                <w:color w:val="000000"/>
                <w:szCs w:val="22"/>
                <w:lang w:val="et-EE"/>
              </w:rPr>
            </w:pPr>
            <w:r w:rsidRPr="00EC3BD7">
              <w:rPr>
                <w:color w:val="000000"/>
                <w:szCs w:val="22"/>
                <w:lang w:val="et-EE"/>
              </w:rPr>
              <w:t>Nahaõhetus, hemorraagia</w:t>
            </w:r>
          </w:p>
        </w:tc>
      </w:tr>
      <w:tr w:rsidR="00E21A2F" w:rsidRPr="00EC3BD7" w:rsidDel="00655175" w14:paraId="60A62676" w14:textId="77777777" w:rsidTr="00145F94">
        <w:tc>
          <w:tcPr>
            <w:tcW w:w="2235" w:type="dxa"/>
          </w:tcPr>
          <w:p w14:paraId="548DF893" w14:textId="77777777" w:rsidR="00E21A2F" w:rsidRPr="00EC3BD7" w:rsidDel="00655175" w:rsidRDefault="00E21A2F" w:rsidP="00B9089D">
            <w:pPr>
              <w:keepNext/>
              <w:keepLines/>
              <w:widowControl w:val="0"/>
              <w:rPr>
                <w:i/>
                <w:color w:val="000000"/>
                <w:szCs w:val="22"/>
                <w:lang w:val="et-EE"/>
              </w:rPr>
            </w:pPr>
            <w:r w:rsidRPr="00EC3BD7">
              <w:rPr>
                <w:i/>
                <w:color w:val="000000"/>
                <w:szCs w:val="22"/>
                <w:lang w:val="et-EE"/>
              </w:rPr>
              <w:t>Aeg-ajalt:</w:t>
            </w:r>
          </w:p>
        </w:tc>
        <w:tc>
          <w:tcPr>
            <w:tcW w:w="7087" w:type="dxa"/>
          </w:tcPr>
          <w:p w14:paraId="6585FF75" w14:textId="77777777" w:rsidR="00E21A2F" w:rsidRPr="00EC3BD7" w:rsidDel="00655175" w:rsidRDefault="00E21A2F" w:rsidP="00B9089D">
            <w:pPr>
              <w:keepNext/>
              <w:keepLines/>
              <w:widowControl w:val="0"/>
              <w:rPr>
                <w:color w:val="000000"/>
                <w:szCs w:val="22"/>
                <w:lang w:val="et-EE"/>
              </w:rPr>
            </w:pPr>
            <w:r w:rsidRPr="00EC3BD7">
              <w:rPr>
                <w:color w:val="000000"/>
                <w:szCs w:val="22"/>
                <w:lang w:val="et-EE"/>
              </w:rPr>
              <w:t>Hüpertensioon, hematoom, subduraalne hematoom, perifeerse verevarustuse häired, hüpotensioon, Raynaud’ sündroom</w:t>
            </w:r>
          </w:p>
        </w:tc>
      </w:tr>
      <w:tr w:rsidR="008F4DAA" w:rsidRPr="00EC3BD7" w14:paraId="26E28FF2" w14:textId="77777777" w:rsidTr="00EA48BD">
        <w:tc>
          <w:tcPr>
            <w:tcW w:w="2235" w:type="dxa"/>
          </w:tcPr>
          <w:p w14:paraId="611E597A" w14:textId="77777777" w:rsidR="008F4DAA" w:rsidRPr="00EC3BD7" w:rsidRDefault="008F4DAA" w:rsidP="00EA48BD">
            <w:pPr>
              <w:rPr>
                <w:i/>
                <w:color w:val="000000"/>
                <w:szCs w:val="22"/>
                <w:lang w:val="et-EE"/>
              </w:rPr>
            </w:pPr>
            <w:r w:rsidRPr="00EC3BD7">
              <w:rPr>
                <w:i/>
                <w:color w:val="000000"/>
                <w:szCs w:val="22"/>
                <w:lang w:val="et-EE"/>
              </w:rPr>
              <w:t>Teadmata:</w:t>
            </w:r>
          </w:p>
        </w:tc>
        <w:tc>
          <w:tcPr>
            <w:tcW w:w="7087" w:type="dxa"/>
          </w:tcPr>
          <w:p w14:paraId="645B8AA4" w14:textId="77777777" w:rsidR="008F4DAA" w:rsidRPr="00EC3BD7" w:rsidRDefault="008F4DAA" w:rsidP="00EA48BD">
            <w:pPr>
              <w:rPr>
                <w:color w:val="000000"/>
                <w:szCs w:val="22"/>
                <w:lang w:val="et-EE"/>
              </w:rPr>
            </w:pPr>
            <w:r w:rsidRPr="00EC3BD7">
              <w:rPr>
                <w:color w:val="000000"/>
                <w:szCs w:val="22"/>
                <w:lang w:val="et-EE"/>
              </w:rPr>
              <w:t>Tromboos/emboolia*</w:t>
            </w:r>
          </w:p>
        </w:tc>
      </w:tr>
      <w:tr w:rsidR="00E21A2F" w:rsidRPr="00EC3BD7" w14:paraId="3D5B0C1F" w14:textId="77777777" w:rsidTr="00145F94">
        <w:tc>
          <w:tcPr>
            <w:tcW w:w="9322" w:type="dxa"/>
            <w:gridSpan w:val="2"/>
            <w:tcBorders>
              <w:top w:val="nil"/>
            </w:tcBorders>
          </w:tcPr>
          <w:p w14:paraId="5CB8ECA3" w14:textId="77777777" w:rsidR="00E21A2F" w:rsidRPr="00EC3BD7" w:rsidRDefault="00E21A2F" w:rsidP="00B9089D">
            <w:pPr>
              <w:keepNext/>
              <w:keepLines/>
              <w:widowControl w:val="0"/>
              <w:rPr>
                <w:color w:val="000000"/>
                <w:szCs w:val="22"/>
                <w:lang w:val="et-EE"/>
              </w:rPr>
            </w:pPr>
            <w:r w:rsidRPr="00EC3BD7">
              <w:rPr>
                <w:b/>
                <w:color w:val="000000"/>
                <w:szCs w:val="22"/>
                <w:lang w:val="et-EE"/>
              </w:rPr>
              <w:t>Respiratoorsed, rindkere ja mediastiinumi häired</w:t>
            </w:r>
          </w:p>
        </w:tc>
      </w:tr>
      <w:tr w:rsidR="00E21A2F" w:rsidRPr="00EC3BD7" w14:paraId="5EF32368" w14:textId="77777777" w:rsidTr="00145F94">
        <w:tc>
          <w:tcPr>
            <w:tcW w:w="2235" w:type="dxa"/>
          </w:tcPr>
          <w:p w14:paraId="68ECD21B" w14:textId="77777777" w:rsidR="00E21A2F" w:rsidRPr="00EC3BD7" w:rsidRDefault="00E21A2F" w:rsidP="00B9089D">
            <w:pPr>
              <w:keepNext/>
              <w:keepLines/>
              <w:widowControl w:val="0"/>
              <w:rPr>
                <w:color w:val="000000"/>
                <w:szCs w:val="22"/>
                <w:lang w:val="et-EE"/>
              </w:rPr>
            </w:pPr>
            <w:r w:rsidRPr="00EC3BD7">
              <w:rPr>
                <w:i/>
                <w:color w:val="000000"/>
                <w:szCs w:val="22"/>
                <w:lang w:val="et-EE"/>
              </w:rPr>
              <w:t>Sage:</w:t>
            </w:r>
          </w:p>
        </w:tc>
        <w:tc>
          <w:tcPr>
            <w:tcW w:w="7087" w:type="dxa"/>
          </w:tcPr>
          <w:p w14:paraId="604555A2" w14:textId="77777777" w:rsidR="00E21A2F" w:rsidRPr="00EC3BD7" w:rsidRDefault="00E21A2F" w:rsidP="00B9089D">
            <w:pPr>
              <w:keepNext/>
              <w:keepLines/>
              <w:widowControl w:val="0"/>
              <w:rPr>
                <w:color w:val="000000"/>
                <w:szCs w:val="22"/>
                <w:lang w:val="et-EE"/>
              </w:rPr>
            </w:pPr>
            <w:r w:rsidRPr="00EC3BD7">
              <w:rPr>
                <w:color w:val="000000"/>
                <w:szCs w:val="22"/>
                <w:lang w:val="et-EE"/>
              </w:rPr>
              <w:t>Düspnoe, epistaksis, köha</w:t>
            </w:r>
          </w:p>
        </w:tc>
      </w:tr>
      <w:tr w:rsidR="00E21A2F" w:rsidRPr="005D29F8" w14:paraId="0746874E" w14:textId="77777777" w:rsidTr="00145F94">
        <w:tc>
          <w:tcPr>
            <w:tcW w:w="2235" w:type="dxa"/>
          </w:tcPr>
          <w:p w14:paraId="30A23AC7" w14:textId="77777777" w:rsidR="00E21A2F" w:rsidRPr="00EC3BD7" w:rsidRDefault="00E21A2F" w:rsidP="00B9089D">
            <w:pPr>
              <w:keepNext/>
              <w:keepLines/>
              <w:widowControl w:val="0"/>
              <w:rPr>
                <w:color w:val="000000"/>
                <w:szCs w:val="22"/>
                <w:lang w:val="et-EE"/>
              </w:rPr>
            </w:pPr>
            <w:r w:rsidRPr="00EC3BD7">
              <w:rPr>
                <w:i/>
                <w:color w:val="000000"/>
                <w:szCs w:val="22"/>
                <w:lang w:val="et-EE"/>
              </w:rPr>
              <w:t>Aeg-ajalt:</w:t>
            </w:r>
          </w:p>
        </w:tc>
        <w:tc>
          <w:tcPr>
            <w:tcW w:w="7087" w:type="dxa"/>
          </w:tcPr>
          <w:p w14:paraId="5AB5B0A5" w14:textId="77777777" w:rsidR="00E21A2F" w:rsidRPr="00EC3BD7" w:rsidRDefault="00E21A2F" w:rsidP="00B9089D">
            <w:pPr>
              <w:keepNext/>
              <w:keepLines/>
              <w:widowControl w:val="0"/>
              <w:rPr>
                <w:color w:val="000000"/>
                <w:szCs w:val="22"/>
                <w:lang w:val="et-EE"/>
              </w:rPr>
            </w:pPr>
            <w:r w:rsidRPr="00EC3BD7">
              <w:rPr>
                <w:color w:val="000000"/>
                <w:szCs w:val="22"/>
                <w:lang w:val="et-EE"/>
              </w:rPr>
              <w:t>Pleura efusioon</w:t>
            </w:r>
            <w:r w:rsidRPr="00EC3BD7">
              <w:rPr>
                <w:color w:val="000000"/>
                <w:szCs w:val="22"/>
                <w:vertAlign w:val="superscript"/>
                <w:lang w:val="et-EE"/>
              </w:rPr>
              <w:t>5</w:t>
            </w:r>
            <w:r w:rsidRPr="00EC3BD7">
              <w:rPr>
                <w:color w:val="000000"/>
                <w:szCs w:val="22"/>
                <w:lang w:val="et-EE"/>
              </w:rPr>
              <w:t>, valu neelu- ja kõri piirkonnas, farüngiit</w:t>
            </w:r>
          </w:p>
        </w:tc>
      </w:tr>
      <w:tr w:rsidR="00E21A2F" w:rsidRPr="005D29F8" w14:paraId="2A5CC80A" w14:textId="77777777" w:rsidTr="00145F94">
        <w:tc>
          <w:tcPr>
            <w:tcW w:w="2235" w:type="dxa"/>
          </w:tcPr>
          <w:p w14:paraId="37C17B40" w14:textId="77777777" w:rsidR="00E21A2F" w:rsidRPr="00EC3BD7" w:rsidRDefault="00E21A2F" w:rsidP="00B9089D">
            <w:pPr>
              <w:keepNext/>
              <w:keepLines/>
              <w:widowControl w:val="0"/>
              <w:rPr>
                <w:color w:val="000000"/>
                <w:szCs w:val="22"/>
                <w:lang w:val="et-EE"/>
              </w:rPr>
            </w:pPr>
            <w:r w:rsidRPr="00EC3BD7">
              <w:rPr>
                <w:i/>
                <w:color w:val="000000"/>
                <w:szCs w:val="22"/>
                <w:lang w:val="et-EE"/>
              </w:rPr>
              <w:t>Harv:</w:t>
            </w:r>
          </w:p>
        </w:tc>
        <w:tc>
          <w:tcPr>
            <w:tcW w:w="7087" w:type="dxa"/>
          </w:tcPr>
          <w:p w14:paraId="14A21DC5" w14:textId="77777777" w:rsidR="00E21A2F" w:rsidRPr="00EC3BD7" w:rsidRDefault="00E21A2F" w:rsidP="00B9089D">
            <w:pPr>
              <w:keepNext/>
              <w:keepLines/>
              <w:widowControl w:val="0"/>
              <w:rPr>
                <w:color w:val="000000"/>
                <w:szCs w:val="22"/>
                <w:lang w:val="et-EE"/>
              </w:rPr>
            </w:pPr>
            <w:r w:rsidRPr="00EC3BD7">
              <w:rPr>
                <w:color w:val="000000"/>
                <w:szCs w:val="22"/>
                <w:lang w:val="et-EE"/>
              </w:rPr>
              <w:t>Pleuraalne valu, kopsu fibroos, pulmonaalhüpertensioon, pulmonaalverejooks</w:t>
            </w:r>
          </w:p>
        </w:tc>
      </w:tr>
      <w:tr w:rsidR="008F4DAA" w:rsidRPr="00EC3BD7" w14:paraId="1C7FAE0A" w14:textId="77777777" w:rsidTr="00EA48BD">
        <w:tc>
          <w:tcPr>
            <w:tcW w:w="2235" w:type="dxa"/>
          </w:tcPr>
          <w:p w14:paraId="4472E752" w14:textId="77777777" w:rsidR="008F4DAA" w:rsidRPr="00EC3BD7" w:rsidRDefault="008F4DAA" w:rsidP="00EA48BD">
            <w:pPr>
              <w:rPr>
                <w:i/>
                <w:color w:val="000000"/>
                <w:szCs w:val="22"/>
                <w:lang w:val="et-EE"/>
              </w:rPr>
            </w:pPr>
            <w:r w:rsidRPr="00EC3BD7">
              <w:rPr>
                <w:i/>
                <w:color w:val="000000"/>
                <w:szCs w:val="22"/>
                <w:lang w:val="et-EE"/>
              </w:rPr>
              <w:t>Teadmata:</w:t>
            </w:r>
          </w:p>
        </w:tc>
        <w:tc>
          <w:tcPr>
            <w:tcW w:w="7087" w:type="dxa"/>
          </w:tcPr>
          <w:p w14:paraId="07211DC4" w14:textId="77777777" w:rsidR="008F4DAA" w:rsidRPr="00EC3BD7" w:rsidRDefault="008F4DAA" w:rsidP="004D7075">
            <w:pPr>
              <w:rPr>
                <w:color w:val="000000"/>
                <w:szCs w:val="22"/>
                <w:lang w:val="et-EE"/>
              </w:rPr>
            </w:pPr>
            <w:r w:rsidRPr="00EC3BD7">
              <w:rPr>
                <w:color w:val="000000"/>
                <w:szCs w:val="22"/>
                <w:lang w:val="et-EE"/>
              </w:rPr>
              <w:t>Äge hingamispuudulikkus</w:t>
            </w:r>
            <w:r w:rsidRPr="00EC3BD7">
              <w:rPr>
                <w:color w:val="000000"/>
                <w:szCs w:val="22"/>
                <w:vertAlign w:val="superscript"/>
                <w:lang w:val="et-EE"/>
              </w:rPr>
              <w:t>1</w:t>
            </w:r>
            <w:r w:rsidR="004D7075" w:rsidRPr="00EC3BD7">
              <w:rPr>
                <w:color w:val="000000"/>
                <w:szCs w:val="22"/>
                <w:vertAlign w:val="superscript"/>
                <w:lang w:val="et-EE"/>
              </w:rPr>
              <w:t>1</w:t>
            </w:r>
            <w:r w:rsidRPr="00EC3BD7">
              <w:rPr>
                <w:color w:val="000000"/>
                <w:szCs w:val="22"/>
                <w:lang w:val="et-EE"/>
              </w:rPr>
              <w:t>*, interstitsiaalne kopsuhaigus*</w:t>
            </w:r>
          </w:p>
        </w:tc>
      </w:tr>
      <w:tr w:rsidR="00E21A2F" w:rsidRPr="00EC3BD7" w14:paraId="022A95B5" w14:textId="77777777" w:rsidTr="00145F94">
        <w:tc>
          <w:tcPr>
            <w:tcW w:w="9322" w:type="dxa"/>
            <w:gridSpan w:val="2"/>
          </w:tcPr>
          <w:p w14:paraId="69447432" w14:textId="77777777" w:rsidR="00E21A2F" w:rsidRPr="00EC3BD7" w:rsidRDefault="00E21A2F" w:rsidP="00B9089D">
            <w:pPr>
              <w:keepNext/>
              <w:keepLines/>
              <w:widowControl w:val="0"/>
              <w:rPr>
                <w:color w:val="000000"/>
                <w:szCs w:val="22"/>
                <w:lang w:val="et-EE"/>
              </w:rPr>
            </w:pPr>
            <w:r w:rsidRPr="00EC3BD7">
              <w:rPr>
                <w:b/>
                <w:color w:val="000000"/>
                <w:szCs w:val="22"/>
                <w:lang w:val="et-EE"/>
              </w:rPr>
              <w:t>Seedetrakti häired</w:t>
            </w:r>
          </w:p>
        </w:tc>
      </w:tr>
      <w:tr w:rsidR="00E21A2F" w:rsidRPr="005D29F8" w14:paraId="3DF4FC2C" w14:textId="77777777" w:rsidTr="00145F94">
        <w:tc>
          <w:tcPr>
            <w:tcW w:w="2235" w:type="dxa"/>
          </w:tcPr>
          <w:p w14:paraId="36BDF7AD" w14:textId="77777777" w:rsidR="00E21A2F" w:rsidRPr="00EC3BD7" w:rsidRDefault="00E21A2F" w:rsidP="00B9089D">
            <w:pPr>
              <w:keepNext/>
              <w:keepLines/>
              <w:widowControl w:val="0"/>
              <w:rPr>
                <w:color w:val="000000"/>
                <w:szCs w:val="22"/>
                <w:lang w:val="et-EE"/>
              </w:rPr>
            </w:pPr>
            <w:r w:rsidRPr="00EC3BD7">
              <w:rPr>
                <w:i/>
                <w:color w:val="000000"/>
                <w:szCs w:val="22"/>
                <w:lang w:val="et-EE"/>
              </w:rPr>
              <w:t>Väga sage:</w:t>
            </w:r>
          </w:p>
        </w:tc>
        <w:tc>
          <w:tcPr>
            <w:tcW w:w="7087" w:type="dxa"/>
          </w:tcPr>
          <w:p w14:paraId="30D38729" w14:textId="77777777" w:rsidR="00E21A2F" w:rsidRPr="00EC3BD7" w:rsidRDefault="00E21A2F" w:rsidP="00B9089D">
            <w:pPr>
              <w:keepNext/>
              <w:keepLines/>
              <w:widowControl w:val="0"/>
              <w:rPr>
                <w:color w:val="000000"/>
                <w:szCs w:val="22"/>
                <w:lang w:val="et-EE"/>
              </w:rPr>
            </w:pPr>
            <w:r w:rsidRPr="00EC3BD7">
              <w:rPr>
                <w:color w:val="000000"/>
                <w:szCs w:val="22"/>
                <w:lang w:val="et-EE"/>
              </w:rPr>
              <w:t>Iiveldus, kõhulahtisus, oksendamine, düspepsia, kõhuvalu</w:t>
            </w:r>
            <w:r w:rsidRPr="00EC3BD7">
              <w:rPr>
                <w:color w:val="000000"/>
                <w:szCs w:val="22"/>
                <w:vertAlign w:val="superscript"/>
                <w:lang w:val="et-EE"/>
              </w:rPr>
              <w:t>6</w:t>
            </w:r>
          </w:p>
        </w:tc>
      </w:tr>
      <w:tr w:rsidR="00E21A2F" w:rsidRPr="005D29F8" w14:paraId="7C909791" w14:textId="77777777" w:rsidTr="00145F94">
        <w:tc>
          <w:tcPr>
            <w:tcW w:w="2235" w:type="dxa"/>
          </w:tcPr>
          <w:p w14:paraId="7A7AFA60" w14:textId="77777777" w:rsidR="00E21A2F" w:rsidRPr="00EC3BD7" w:rsidRDefault="00E21A2F" w:rsidP="00B9089D">
            <w:pPr>
              <w:keepNext/>
              <w:keepLines/>
              <w:widowControl w:val="0"/>
              <w:rPr>
                <w:color w:val="000000"/>
                <w:szCs w:val="22"/>
                <w:lang w:val="et-EE"/>
              </w:rPr>
            </w:pPr>
            <w:r w:rsidRPr="00EC3BD7">
              <w:rPr>
                <w:i/>
                <w:color w:val="000000"/>
                <w:szCs w:val="22"/>
                <w:lang w:val="et-EE"/>
              </w:rPr>
              <w:t>Sage:</w:t>
            </w:r>
          </w:p>
        </w:tc>
        <w:tc>
          <w:tcPr>
            <w:tcW w:w="7087" w:type="dxa"/>
          </w:tcPr>
          <w:p w14:paraId="5AE41F46" w14:textId="77777777" w:rsidR="00E21A2F" w:rsidRPr="00EC3BD7" w:rsidRDefault="00E21A2F" w:rsidP="00B9089D">
            <w:pPr>
              <w:keepNext/>
              <w:keepLines/>
              <w:widowControl w:val="0"/>
              <w:rPr>
                <w:color w:val="000000"/>
                <w:szCs w:val="22"/>
                <w:lang w:val="et-EE"/>
              </w:rPr>
            </w:pPr>
            <w:r w:rsidRPr="00EC3BD7">
              <w:rPr>
                <w:color w:val="000000"/>
                <w:szCs w:val="22"/>
                <w:lang w:val="et-EE"/>
              </w:rPr>
              <w:t>Kõhupuhitus, kõhu esilevõlvumine, gastroösofageaalne refluks, kõhukinnisus, suukuivus, gastriit</w:t>
            </w:r>
          </w:p>
        </w:tc>
      </w:tr>
      <w:tr w:rsidR="00E21A2F" w:rsidRPr="005D29F8" w14:paraId="29AF9F64" w14:textId="77777777" w:rsidTr="00145F94">
        <w:tc>
          <w:tcPr>
            <w:tcW w:w="2235" w:type="dxa"/>
          </w:tcPr>
          <w:p w14:paraId="52139F65" w14:textId="77777777" w:rsidR="00E21A2F" w:rsidRPr="00EC3BD7" w:rsidRDefault="00E21A2F" w:rsidP="00B9089D">
            <w:pPr>
              <w:keepNext/>
              <w:keepLines/>
              <w:widowControl w:val="0"/>
              <w:rPr>
                <w:color w:val="000000"/>
                <w:szCs w:val="22"/>
                <w:lang w:val="et-EE"/>
              </w:rPr>
            </w:pPr>
            <w:r w:rsidRPr="00EC3BD7">
              <w:rPr>
                <w:i/>
                <w:color w:val="000000"/>
                <w:szCs w:val="22"/>
                <w:lang w:val="et-EE"/>
              </w:rPr>
              <w:t>Aeg-ajalt:</w:t>
            </w:r>
          </w:p>
        </w:tc>
        <w:tc>
          <w:tcPr>
            <w:tcW w:w="7087" w:type="dxa"/>
          </w:tcPr>
          <w:p w14:paraId="55D6BA22" w14:textId="77777777" w:rsidR="00E21A2F" w:rsidRPr="00EC3BD7" w:rsidRDefault="00E21A2F" w:rsidP="00B9089D">
            <w:pPr>
              <w:keepNext/>
              <w:keepLines/>
              <w:widowControl w:val="0"/>
              <w:rPr>
                <w:color w:val="000000"/>
                <w:szCs w:val="22"/>
                <w:lang w:val="et-EE"/>
              </w:rPr>
            </w:pPr>
            <w:r w:rsidRPr="00EC3BD7">
              <w:rPr>
                <w:color w:val="000000"/>
                <w:szCs w:val="22"/>
                <w:lang w:val="et-EE"/>
              </w:rPr>
              <w:t>Stomatiit, suu limaskesta haavandumine, seedetrakti verejooks</w:t>
            </w:r>
            <w:r w:rsidRPr="00EC3BD7">
              <w:rPr>
                <w:color w:val="000000"/>
                <w:szCs w:val="22"/>
                <w:vertAlign w:val="superscript"/>
                <w:lang w:val="et-EE"/>
              </w:rPr>
              <w:t>7</w:t>
            </w:r>
            <w:r w:rsidRPr="00EC3BD7">
              <w:rPr>
                <w:color w:val="000000"/>
                <w:szCs w:val="22"/>
                <w:lang w:val="et-EE"/>
              </w:rPr>
              <w:t>, röhitsused, veriroe, ösofagiit, astsiit, maohaavand, veriokse, keiliit, düsfaagia, pankreatiit</w:t>
            </w:r>
          </w:p>
        </w:tc>
      </w:tr>
      <w:tr w:rsidR="00E21A2F" w:rsidRPr="00EC3BD7" w14:paraId="3379D22A" w14:textId="77777777" w:rsidTr="00145F94">
        <w:tc>
          <w:tcPr>
            <w:tcW w:w="2235" w:type="dxa"/>
          </w:tcPr>
          <w:p w14:paraId="51828E87" w14:textId="77777777" w:rsidR="00E21A2F" w:rsidRPr="00EC3BD7" w:rsidRDefault="00E21A2F" w:rsidP="00B9089D">
            <w:pPr>
              <w:keepNext/>
              <w:keepLines/>
              <w:widowControl w:val="0"/>
              <w:rPr>
                <w:color w:val="000000"/>
                <w:szCs w:val="22"/>
                <w:lang w:val="et-EE"/>
              </w:rPr>
            </w:pPr>
            <w:r w:rsidRPr="00EC3BD7">
              <w:rPr>
                <w:i/>
                <w:color w:val="000000"/>
                <w:szCs w:val="22"/>
                <w:lang w:val="et-EE"/>
              </w:rPr>
              <w:t>Harv:</w:t>
            </w:r>
          </w:p>
        </w:tc>
        <w:tc>
          <w:tcPr>
            <w:tcW w:w="7087" w:type="dxa"/>
          </w:tcPr>
          <w:p w14:paraId="18A2AAA9" w14:textId="77777777" w:rsidR="00E21A2F" w:rsidRPr="00EC3BD7" w:rsidRDefault="00E21A2F" w:rsidP="00B9089D">
            <w:pPr>
              <w:keepNext/>
              <w:keepLines/>
              <w:widowControl w:val="0"/>
              <w:rPr>
                <w:snapToGrid w:val="0"/>
                <w:color w:val="000000"/>
                <w:szCs w:val="22"/>
                <w:lang w:val="et-EE"/>
              </w:rPr>
            </w:pPr>
            <w:r w:rsidRPr="00EC3BD7">
              <w:rPr>
                <w:color w:val="000000"/>
                <w:szCs w:val="22"/>
                <w:lang w:val="et-EE"/>
              </w:rPr>
              <w:t>Koliit, i</w:t>
            </w:r>
            <w:r w:rsidRPr="00EC3BD7">
              <w:rPr>
                <w:snapToGrid w:val="0"/>
                <w:color w:val="000000"/>
                <w:szCs w:val="22"/>
                <w:lang w:val="et-EE"/>
              </w:rPr>
              <w:t>ileus, soolepõletik</w:t>
            </w:r>
          </w:p>
        </w:tc>
      </w:tr>
      <w:tr w:rsidR="008F4DAA" w:rsidRPr="005D29F8" w14:paraId="1940391A" w14:textId="77777777" w:rsidTr="00EA48BD">
        <w:tc>
          <w:tcPr>
            <w:tcW w:w="2235" w:type="dxa"/>
          </w:tcPr>
          <w:p w14:paraId="638054A5" w14:textId="77777777" w:rsidR="008F4DAA" w:rsidRPr="00EC3BD7" w:rsidRDefault="008F4DAA" w:rsidP="00EA48BD">
            <w:pPr>
              <w:rPr>
                <w:i/>
                <w:color w:val="000000"/>
                <w:szCs w:val="22"/>
                <w:lang w:val="et-EE"/>
              </w:rPr>
            </w:pPr>
            <w:r w:rsidRPr="00EC3BD7">
              <w:rPr>
                <w:i/>
                <w:color w:val="000000"/>
                <w:szCs w:val="22"/>
                <w:lang w:val="et-EE"/>
              </w:rPr>
              <w:t>Teadmata:</w:t>
            </w:r>
          </w:p>
        </w:tc>
        <w:tc>
          <w:tcPr>
            <w:tcW w:w="7087" w:type="dxa"/>
          </w:tcPr>
          <w:p w14:paraId="4D3C3168" w14:textId="77777777" w:rsidR="008F4DAA" w:rsidRPr="00EC3BD7" w:rsidRDefault="008F4DAA" w:rsidP="00EA48BD">
            <w:pPr>
              <w:rPr>
                <w:color w:val="000000"/>
                <w:szCs w:val="22"/>
                <w:lang w:val="et-EE"/>
              </w:rPr>
            </w:pPr>
            <w:r w:rsidRPr="00EC3BD7">
              <w:rPr>
                <w:color w:val="000000"/>
                <w:szCs w:val="22"/>
                <w:lang w:val="et-EE"/>
              </w:rPr>
              <w:t xml:space="preserve">Iileus/soole obstruktsioon*, seedetrakti perforatsioon*, divertikuliit*, mao </w:t>
            </w:r>
            <w:r w:rsidRPr="00EC3BD7">
              <w:rPr>
                <w:i/>
                <w:color w:val="000000"/>
                <w:szCs w:val="22"/>
                <w:lang w:val="et-EE"/>
              </w:rPr>
              <w:t>antrumi</w:t>
            </w:r>
            <w:r w:rsidRPr="00EC3BD7">
              <w:rPr>
                <w:color w:val="000000"/>
                <w:szCs w:val="22"/>
                <w:lang w:val="et-EE"/>
              </w:rPr>
              <w:t xml:space="preserve"> piirkonna vaskulaarne ektaasia (</w:t>
            </w:r>
            <w:r w:rsidRPr="00EC3BD7">
              <w:rPr>
                <w:lang w:val="et-EE"/>
              </w:rPr>
              <w:t>GAVE)*</w:t>
            </w:r>
          </w:p>
        </w:tc>
      </w:tr>
      <w:tr w:rsidR="00E21A2F" w:rsidRPr="00EC3BD7" w14:paraId="2CB917DB" w14:textId="77777777" w:rsidTr="00145F94">
        <w:tc>
          <w:tcPr>
            <w:tcW w:w="9322" w:type="dxa"/>
            <w:gridSpan w:val="2"/>
          </w:tcPr>
          <w:p w14:paraId="4FDB5783" w14:textId="77777777" w:rsidR="00E21A2F" w:rsidRPr="00EC3BD7" w:rsidRDefault="00E21A2F" w:rsidP="00B9089D">
            <w:pPr>
              <w:keepNext/>
              <w:keepLines/>
              <w:widowControl w:val="0"/>
              <w:rPr>
                <w:snapToGrid w:val="0"/>
                <w:color w:val="000000"/>
                <w:szCs w:val="22"/>
                <w:lang w:val="et-EE"/>
              </w:rPr>
            </w:pPr>
            <w:r w:rsidRPr="00EC3BD7">
              <w:rPr>
                <w:b/>
                <w:color w:val="000000"/>
                <w:szCs w:val="22"/>
                <w:lang w:val="et-EE"/>
              </w:rPr>
              <w:t>Maksa ja sapiteede häired</w:t>
            </w:r>
          </w:p>
        </w:tc>
      </w:tr>
      <w:tr w:rsidR="00E21A2F" w:rsidRPr="00EC3BD7" w14:paraId="32A48F9A" w14:textId="77777777" w:rsidTr="00145F94">
        <w:tc>
          <w:tcPr>
            <w:tcW w:w="2235" w:type="dxa"/>
          </w:tcPr>
          <w:p w14:paraId="53D4E92D" w14:textId="77777777" w:rsidR="00E21A2F" w:rsidRPr="00EC3BD7" w:rsidRDefault="00E21A2F" w:rsidP="00B9089D">
            <w:pPr>
              <w:keepNext/>
              <w:keepLines/>
              <w:widowControl w:val="0"/>
              <w:rPr>
                <w:i/>
                <w:color w:val="000000"/>
                <w:szCs w:val="22"/>
                <w:lang w:val="et-EE"/>
              </w:rPr>
            </w:pPr>
            <w:r w:rsidRPr="00EC3BD7">
              <w:rPr>
                <w:i/>
                <w:color w:val="000000"/>
                <w:szCs w:val="22"/>
                <w:lang w:val="et-EE"/>
              </w:rPr>
              <w:t>Sage:</w:t>
            </w:r>
          </w:p>
        </w:tc>
        <w:tc>
          <w:tcPr>
            <w:tcW w:w="7087" w:type="dxa"/>
          </w:tcPr>
          <w:p w14:paraId="2A023B2A" w14:textId="77777777" w:rsidR="00E21A2F" w:rsidRPr="00EC3BD7" w:rsidRDefault="00E21A2F" w:rsidP="00B9089D">
            <w:pPr>
              <w:keepNext/>
              <w:keepLines/>
              <w:widowControl w:val="0"/>
              <w:rPr>
                <w:color w:val="000000"/>
                <w:szCs w:val="22"/>
                <w:lang w:val="et-EE"/>
              </w:rPr>
            </w:pPr>
            <w:r w:rsidRPr="00EC3BD7">
              <w:rPr>
                <w:color w:val="000000"/>
                <w:szCs w:val="22"/>
                <w:lang w:val="et-EE"/>
              </w:rPr>
              <w:t>Maksaensüümide aktiivsuse tõus</w:t>
            </w:r>
          </w:p>
        </w:tc>
      </w:tr>
      <w:tr w:rsidR="00E21A2F" w:rsidRPr="00EC3BD7" w14:paraId="5DCFDBFF" w14:textId="77777777" w:rsidTr="00145F94">
        <w:tc>
          <w:tcPr>
            <w:tcW w:w="2235" w:type="dxa"/>
          </w:tcPr>
          <w:p w14:paraId="6E25DC83" w14:textId="77777777" w:rsidR="00E21A2F" w:rsidRPr="00EC3BD7" w:rsidRDefault="00E21A2F" w:rsidP="00B9089D">
            <w:pPr>
              <w:keepNext/>
              <w:keepLines/>
              <w:widowControl w:val="0"/>
              <w:rPr>
                <w:i/>
                <w:color w:val="000000"/>
                <w:szCs w:val="22"/>
                <w:lang w:val="et-EE"/>
              </w:rPr>
            </w:pPr>
            <w:r w:rsidRPr="00EC3BD7">
              <w:rPr>
                <w:i/>
                <w:color w:val="000000"/>
                <w:szCs w:val="22"/>
                <w:lang w:val="et-EE"/>
              </w:rPr>
              <w:t>Aeg-ajalt:</w:t>
            </w:r>
          </w:p>
        </w:tc>
        <w:tc>
          <w:tcPr>
            <w:tcW w:w="7087" w:type="dxa"/>
          </w:tcPr>
          <w:p w14:paraId="3D897810" w14:textId="77777777" w:rsidR="00E21A2F" w:rsidRPr="00EC3BD7" w:rsidRDefault="00E21A2F" w:rsidP="00B9089D">
            <w:pPr>
              <w:keepNext/>
              <w:keepLines/>
              <w:widowControl w:val="0"/>
              <w:rPr>
                <w:color w:val="000000"/>
                <w:szCs w:val="22"/>
                <w:lang w:val="et-EE"/>
              </w:rPr>
            </w:pPr>
            <w:r w:rsidRPr="00EC3BD7">
              <w:rPr>
                <w:color w:val="000000"/>
                <w:szCs w:val="22"/>
                <w:lang w:val="et-EE"/>
              </w:rPr>
              <w:t>Hüperbilirubineemia, hepatiit, ikterus</w:t>
            </w:r>
          </w:p>
        </w:tc>
      </w:tr>
      <w:tr w:rsidR="00E21A2F" w:rsidRPr="00EC3BD7" w14:paraId="5DA6159F" w14:textId="77777777" w:rsidTr="00145F94">
        <w:tc>
          <w:tcPr>
            <w:tcW w:w="2235" w:type="dxa"/>
          </w:tcPr>
          <w:p w14:paraId="0A37ABD8" w14:textId="77777777" w:rsidR="00E21A2F" w:rsidRPr="00EC3BD7" w:rsidRDefault="00E21A2F" w:rsidP="00145F94">
            <w:pPr>
              <w:rPr>
                <w:i/>
                <w:color w:val="000000"/>
                <w:szCs w:val="22"/>
                <w:lang w:val="et-EE"/>
              </w:rPr>
            </w:pPr>
            <w:r w:rsidRPr="00EC3BD7">
              <w:rPr>
                <w:i/>
                <w:color w:val="000000"/>
                <w:szCs w:val="22"/>
                <w:lang w:val="et-EE"/>
              </w:rPr>
              <w:t>Harv:</w:t>
            </w:r>
          </w:p>
        </w:tc>
        <w:tc>
          <w:tcPr>
            <w:tcW w:w="7087" w:type="dxa"/>
          </w:tcPr>
          <w:p w14:paraId="14C827A8" w14:textId="77777777" w:rsidR="00E21A2F" w:rsidRPr="00EC3BD7" w:rsidRDefault="00E21A2F" w:rsidP="00145F94">
            <w:pPr>
              <w:rPr>
                <w:color w:val="000000"/>
                <w:szCs w:val="22"/>
                <w:lang w:val="et-EE"/>
              </w:rPr>
            </w:pPr>
            <w:r w:rsidRPr="00EC3BD7">
              <w:rPr>
                <w:color w:val="000000"/>
                <w:szCs w:val="22"/>
                <w:lang w:val="et-EE"/>
              </w:rPr>
              <w:t>Maksapuudulikkus</w:t>
            </w:r>
            <w:r w:rsidRPr="00EC3BD7">
              <w:rPr>
                <w:color w:val="000000"/>
                <w:szCs w:val="22"/>
                <w:vertAlign w:val="superscript"/>
                <w:lang w:val="et-EE"/>
              </w:rPr>
              <w:t>8</w:t>
            </w:r>
            <w:r w:rsidRPr="00EC3BD7">
              <w:rPr>
                <w:color w:val="000000"/>
                <w:szCs w:val="22"/>
                <w:lang w:val="et-EE"/>
              </w:rPr>
              <w:t>, maksanekroos</w:t>
            </w:r>
          </w:p>
        </w:tc>
      </w:tr>
      <w:tr w:rsidR="00E21A2F" w:rsidRPr="00EC3BD7" w14:paraId="3AD2672F" w14:textId="77777777" w:rsidTr="00145F94">
        <w:tc>
          <w:tcPr>
            <w:tcW w:w="9322" w:type="dxa"/>
            <w:gridSpan w:val="2"/>
          </w:tcPr>
          <w:p w14:paraId="47985A70" w14:textId="77777777" w:rsidR="00E21A2F" w:rsidRPr="00EC3BD7" w:rsidRDefault="00E21A2F" w:rsidP="00B9089D">
            <w:pPr>
              <w:keepNext/>
              <w:keepLines/>
              <w:widowControl w:val="0"/>
              <w:rPr>
                <w:color w:val="000000"/>
                <w:szCs w:val="22"/>
                <w:lang w:val="et-EE"/>
              </w:rPr>
            </w:pPr>
            <w:r w:rsidRPr="00EC3BD7">
              <w:rPr>
                <w:b/>
                <w:color w:val="000000"/>
                <w:szCs w:val="22"/>
                <w:lang w:val="et-EE"/>
              </w:rPr>
              <w:lastRenderedPageBreak/>
              <w:t>Naha ja nahaaluskoe kahjustused</w:t>
            </w:r>
          </w:p>
        </w:tc>
      </w:tr>
      <w:tr w:rsidR="00E21A2F" w:rsidRPr="00EC3BD7" w14:paraId="02D15CBB" w14:textId="77777777" w:rsidTr="00145F94">
        <w:tc>
          <w:tcPr>
            <w:tcW w:w="2235" w:type="dxa"/>
          </w:tcPr>
          <w:p w14:paraId="34CD5084" w14:textId="77777777" w:rsidR="00E21A2F" w:rsidRPr="00EC3BD7" w:rsidRDefault="00E21A2F" w:rsidP="00B9089D">
            <w:pPr>
              <w:keepNext/>
              <w:keepLines/>
              <w:widowControl w:val="0"/>
              <w:rPr>
                <w:color w:val="000000"/>
                <w:szCs w:val="22"/>
                <w:lang w:val="et-EE"/>
              </w:rPr>
            </w:pPr>
            <w:r w:rsidRPr="00EC3BD7">
              <w:rPr>
                <w:i/>
                <w:color w:val="000000"/>
                <w:szCs w:val="22"/>
                <w:lang w:val="et-EE"/>
              </w:rPr>
              <w:t>Väga sage:</w:t>
            </w:r>
          </w:p>
        </w:tc>
        <w:tc>
          <w:tcPr>
            <w:tcW w:w="7087" w:type="dxa"/>
          </w:tcPr>
          <w:p w14:paraId="439694A5" w14:textId="77777777" w:rsidR="00E21A2F" w:rsidRPr="00EC3BD7" w:rsidRDefault="00E21A2F" w:rsidP="00B9089D">
            <w:pPr>
              <w:keepNext/>
              <w:keepLines/>
              <w:widowControl w:val="0"/>
              <w:rPr>
                <w:color w:val="000000"/>
                <w:szCs w:val="22"/>
                <w:lang w:val="et-EE"/>
              </w:rPr>
            </w:pPr>
            <w:r w:rsidRPr="00EC3BD7">
              <w:rPr>
                <w:color w:val="000000"/>
                <w:szCs w:val="22"/>
                <w:lang w:val="et-EE"/>
              </w:rPr>
              <w:t>Periorbitaalne turse, dermatiit/ekseem/lööve</w:t>
            </w:r>
          </w:p>
        </w:tc>
      </w:tr>
      <w:tr w:rsidR="00E21A2F" w:rsidRPr="00EC3BD7" w14:paraId="045CF6E5" w14:textId="77777777" w:rsidTr="00145F94">
        <w:tc>
          <w:tcPr>
            <w:tcW w:w="2235" w:type="dxa"/>
          </w:tcPr>
          <w:p w14:paraId="34DF1CCB" w14:textId="77777777" w:rsidR="00E21A2F" w:rsidRPr="00EC3BD7" w:rsidRDefault="00E21A2F" w:rsidP="00B9089D">
            <w:pPr>
              <w:keepNext/>
              <w:keepLines/>
              <w:widowControl w:val="0"/>
              <w:rPr>
                <w:color w:val="000000"/>
                <w:szCs w:val="22"/>
                <w:lang w:val="et-EE"/>
              </w:rPr>
            </w:pPr>
            <w:r w:rsidRPr="00EC3BD7">
              <w:rPr>
                <w:i/>
                <w:color w:val="000000"/>
                <w:szCs w:val="22"/>
                <w:lang w:val="et-EE"/>
              </w:rPr>
              <w:t>Sage:</w:t>
            </w:r>
          </w:p>
        </w:tc>
        <w:tc>
          <w:tcPr>
            <w:tcW w:w="7087" w:type="dxa"/>
          </w:tcPr>
          <w:p w14:paraId="6E606DB0" w14:textId="77777777" w:rsidR="00E21A2F" w:rsidRPr="00EC3BD7" w:rsidRDefault="00E21A2F" w:rsidP="00B9089D">
            <w:pPr>
              <w:keepNext/>
              <w:keepLines/>
              <w:widowControl w:val="0"/>
              <w:rPr>
                <w:color w:val="000000"/>
                <w:szCs w:val="22"/>
                <w:lang w:val="et-EE"/>
              </w:rPr>
            </w:pPr>
            <w:r w:rsidRPr="00EC3BD7">
              <w:rPr>
                <w:color w:val="000000"/>
                <w:szCs w:val="22"/>
                <w:lang w:val="et-EE"/>
              </w:rPr>
              <w:t>Pruuritus, näo turse, naha kuivus, erüteem, alopeetsia, öine higistamine, fotosensibilisatsioon</w:t>
            </w:r>
          </w:p>
        </w:tc>
      </w:tr>
      <w:tr w:rsidR="00E21A2F" w:rsidRPr="005D29F8" w14:paraId="22A33D1D" w14:textId="77777777" w:rsidTr="00145F94">
        <w:tc>
          <w:tcPr>
            <w:tcW w:w="2235" w:type="dxa"/>
          </w:tcPr>
          <w:p w14:paraId="7D786FB4" w14:textId="77777777" w:rsidR="00E21A2F" w:rsidRPr="00EC3BD7" w:rsidRDefault="00E21A2F" w:rsidP="00B9089D">
            <w:pPr>
              <w:keepNext/>
              <w:keepLines/>
              <w:widowControl w:val="0"/>
              <w:rPr>
                <w:color w:val="000000"/>
                <w:szCs w:val="22"/>
                <w:lang w:val="et-EE"/>
              </w:rPr>
            </w:pPr>
            <w:r w:rsidRPr="00EC3BD7">
              <w:rPr>
                <w:i/>
                <w:color w:val="000000"/>
                <w:szCs w:val="22"/>
                <w:lang w:val="et-EE"/>
              </w:rPr>
              <w:t>Aeg-ajalt:</w:t>
            </w:r>
          </w:p>
        </w:tc>
        <w:tc>
          <w:tcPr>
            <w:tcW w:w="7087" w:type="dxa"/>
          </w:tcPr>
          <w:p w14:paraId="1062354B" w14:textId="77777777" w:rsidR="00E21A2F" w:rsidRPr="00EC3BD7" w:rsidRDefault="00E21A2F" w:rsidP="00B9089D">
            <w:pPr>
              <w:keepNext/>
              <w:keepLines/>
              <w:widowControl w:val="0"/>
              <w:rPr>
                <w:color w:val="000000"/>
                <w:szCs w:val="22"/>
                <w:lang w:val="et-EE"/>
              </w:rPr>
            </w:pPr>
            <w:r w:rsidRPr="00EC3BD7">
              <w:rPr>
                <w:color w:val="000000"/>
                <w:szCs w:val="22"/>
                <w:lang w:val="et-EE"/>
              </w:rPr>
              <w:t>Pustuloosne lööve, muljumine, suurenenud higistamine, urtikaaria, ekhümoos, verevalumite tekkimise sagenemine, hüpotrihhoos, naha hüpopigmentatsioon, eksfoliatiivne dermatiit, küünte murdumine, follikuliit, petehhiad, psoriaas, purpur, naha hüperpigmentatsioon, bulloossed kahjustused</w:t>
            </w:r>
          </w:p>
        </w:tc>
      </w:tr>
      <w:tr w:rsidR="00E21A2F" w:rsidRPr="005D29F8" w14:paraId="1F005B1C" w14:textId="77777777" w:rsidTr="00145F94">
        <w:tc>
          <w:tcPr>
            <w:tcW w:w="2235" w:type="dxa"/>
          </w:tcPr>
          <w:p w14:paraId="6B6C4438" w14:textId="77777777" w:rsidR="00E21A2F" w:rsidRPr="00EC3BD7" w:rsidRDefault="00E21A2F" w:rsidP="00B9089D">
            <w:pPr>
              <w:keepNext/>
              <w:keepLines/>
              <w:widowControl w:val="0"/>
              <w:rPr>
                <w:color w:val="000000"/>
                <w:szCs w:val="22"/>
                <w:lang w:val="et-EE"/>
              </w:rPr>
            </w:pPr>
            <w:r w:rsidRPr="00EC3BD7">
              <w:rPr>
                <w:i/>
                <w:color w:val="000000"/>
                <w:szCs w:val="22"/>
                <w:lang w:val="et-EE"/>
              </w:rPr>
              <w:t>Harv:</w:t>
            </w:r>
          </w:p>
        </w:tc>
        <w:tc>
          <w:tcPr>
            <w:tcW w:w="7087" w:type="dxa"/>
          </w:tcPr>
          <w:p w14:paraId="33820B82" w14:textId="77777777" w:rsidR="00E21A2F" w:rsidRPr="00EC3BD7" w:rsidRDefault="00E21A2F" w:rsidP="00B9089D">
            <w:pPr>
              <w:keepNext/>
              <w:keepLines/>
              <w:widowControl w:val="0"/>
              <w:rPr>
                <w:color w:val="000000"/>
                <w:szCs w:val="22"/>
                <w:lang w:val="et-EE"/>
              </w:rPr>
            </w:pPr>
            <w:r w:rsidRPr="00EC3BD7">
              <w:rPr>
                <w:color w:val="000000"/>
                <w:szCs w:val="22"/>
                <w:lang w:val="et-EE"/>
              </w:rPr>
              <w:t>Äge febriilne neutrofiilne dermatoos (Sweet’i sündroom), küünte värvuse muutus, angioödeem, vesikulaarne lööve, multiformne erüteem, leukotsütoklastiline vaskuliit, Stevens-Johnson’i sündroom, äge generaliseerunud eksantematoosne pustuloos (AGEP)</w:t>
            </w:r>
          </w:p>
        </w:tc>
      </w:tr>
      <w:tr w:rsidR="008F4DAA" w:rsidRPr="005D29F8" w14:paraId="7EE49B10" w14:textId="77777777" w:rsidTr="00EA48BD">
        <w:tc>
          <w:tcPr>
            <w:tcW w:w="2235" w:type="dxa"/>
          </w:tcPr>
          <w:p w14:paraId="6BB415B0" w14:textId="77777777" w:rsidR="008F4DAA" w:rsidRPr="00EC3BD7" w:rsidRDefault="008F4DAA" w:rsidP="00EA48BD">
            <w:pPr>
              <w:rPr>
                <w:i/>
                <w:color w:val="000000"/>
                <w:szCs w:val="22"/>
                <w:lang w:val="et-EE"/>
              </w:rPr>
            </w:pPr>
            <w:r w:rsidRPr="00EC3BD7">
              <w:rPr>
                <w:i/>
                <w:color w:val="000000"/>
                <w:szCs w:val="22"/>
                <w:lang w:val="et-EE"/>
              </w:rPr>
              <w:t>Teadmata:</w:t>
            </w:r>
          </w:p>
        </w:tc>
        <w:tc>
          <w:tcPr>
            <w:tcW w:w="7087" w:type="dxa"/>
          </w:tcPr>
          <w:p w14:paraId="76B0FCF1" w14:textId="77777777" w:rsidR="008F4DAA" w:rsidRPr="00EC3BD7" w:rsidRDefault="008F4DAA" w:rsidP="00EA48BD">
            <w:pPr>
              <w:rPr>
                <w:color w:val="000000"/>
                <w:szCs w:val="22"/>
                <w:lang w:val="et-EE"/>
              </w:rPr>
            </w:pPr>
            <w:r w:rsidRPr="00EC3BD7">
              <w:rPr>
                <w:color w:val="000000"/>
                <w:szCs w:val="22"/>
                <w:lang w:val="et-EE"/>
              </w:rPr>
              <w:t>Palmoplantaarse erütrodüsesteesia sündroom*, lihhenoidne keratoos*, lame lihhen*, toksiline epidermaalne nekrolüüs*, ravimlööve koos eosinofiilia ja süsteemsete sümptomitega (DRESS)*</w:t>
            </w:r>
            <w:r w:rsidR="00244FDC" w:rsidRPr="00EC3BD7">
              <w:rPr>
                <w:color w:val="000000"/>
                <w:szCs w:val="22"/>
                <w:lang w:val="et-EE"/>
              </w:rPr>
              <w:t>, pseudoporfüüria*</w:t>
            </w:r>
          </w:p>
        </w:tc>
      </w:tr>
      <w:tr w:rsidR="002E5BC2" w:rsidRPr="005D29F8" w14:paraId="46CA1FC9" w14:textId="77777777" w:rsidTr="00145F94">
        <w:tc>
          <w:tcPr>
            <w:tcW w:w="9322" w:type="dxa"/>
            <w:gridSpan w:val="2"/>
          </w:tcPr>
          <w:p w14:paraId="231DBC36" w14:textId="77777777" w:rsidR="002E5BC2" w:rsidRPr="00EC3BD7" w:rsidRDefault="002E5BC2" w:rsidP="002E5BC2">
            <w:pPr>
              <w:keepNext/>
              <w:keepLines/>
              <w:widowControl w:val="0"/>
              <w:rPr>
                <w:color w:val="000000"/>
                <w:szCs w:val="22"/>
                <w:lang w:val="et-EE"/>
              </w:rPr>
            </w:pPr>
            <w:r w:rsidRPr="00EC3BD7">
              <w:rPr>
                <w:b/>
                <w:color w:val="000000"/>
                <w:szCs w:val="22"/>
                <w:lang w:val="et-EE"/>
              </w:rPr>
              <w:t>Lihaste, luustiku ja sidekoe kahjustused</w:t>
            </w:r>
          </w:p>
        </w:tc>
      </w:tr>
      <w:tr w:rsidR="002E5BC2" w:rsidRPr="005D29F8" w14:paraId="4186C697" w14:textId="77777777" w:rsidTr="00145F94">
        <w:tc>
          <w:tcPr>
            <w:tcW w:w="2235" w:type="dxa"/>
          </w:tcPr>
          <w:p w14:paraId="53323663" w14:textId="77777777" w:rsidR="002E5BC2" w:rsidRPr="00EC3BD7" w:rsidRDefault="002E5BC2" w:rsidP="002E5BC2">
            <w:pPr>
              <w:keepNext/>
              <w:keepLines/>
              <w:widowControl w:val="0"/>
              <w:rPr>
                <w:i/>
                <w:color w:val="000000"/>
                <w:szCs w:val="22"/>
                <w:lang w:val="et-EE"/>
              </w:rPr>
            </w:pPr>
            <w:r w:rsidRPr="00EC3BD7">
              <w:rPr>
                <w:i/>
                <w:color w:val="000000"/>
                <w:szCs w:val="22"/>
                <w:lang w:val="et-EE"/>
              </w:rPr>
              <w:t>Väga sage:</w:t>
            </w:r>
          </w:p>
        </w:tc>
        <w:tc>
          <w:tcPr>
            <w:tcW w:w="7087" w:type="dxa"/>
          </w:tcPr>
          <w:p w14:paraId="485D6209" w14:textId="77777777" w:rsidR="002E5BC2" w:rsidRPr="00EC3BD7" w:rsidRDefault="002E5BC2" w:rsidP="002E5BC2">
            <w:pPr>
              <w:keepNext/>
              <w:keepLines/>
              <w:widowControl w:val="0"/>
              <w:rPr>
                <w:color w:val="000000"/>
                <w:szCs w:val="22"/>
                <w:lang w:val="et-EE"/>
              </w:rPr>
            </w:pPr>
            <w:r w:rsidRPr="00EC3BD7">
              <w:rPr>
                <w:color w:val="000000"/>
                <w:szCs w:val="22"/>
                <w:lang w:val="et-EE"/>
              </w:rPr>
              <w:t>Lihasspasmid ja -krambid, lihas-skeleti valu, sh lihasvalu</w:t>
            </w:r>
            <w:r w:rsidRPr="00EC3BD7">
              <w:rPr>
                <w:color w:val="000000"/>
                <w:szCs w:val="22"/>
                <w:vertAlign w:val="superscript"/>
                <w:lang w:val="et-EE"/>
              </w:rPr>
              <w:t>9</w:t>
            </w:r>
            <w:r w:rsidRPr="00EC3BD7">
              <w:rPr>
                <w:color w:val="000000"/>
                <w:szCs w:val="22"/>
                <w:lang w:val="et-EE"/>
              </w:rPr>
              <w:t>, liigesvalu, luuvalu</w:t>
            </w:r>
            <w:r w:rsidRPr="00EC3BD7">
              <w:rPr>
                <w:color w:val="000000"/>
                <w:szCs w:val="22"/>
                <w:vertAlign w:val="superscript"/>
                <w:lang w:val="et-EE"/>
              </w:rPr>
              <w:t>10</w:t>
            </w:r>
          </w:p>
        </w:tc>
      </w:tr>
      <w:tr w:rsidR="002E5BC2" w:rsidRPr="00EC3BD7" w14:paraId="2D31DB82" w14:textId="77777777" w:rsidTr="00145F94">
        <w:tc>
          <w:tcPr>
            <w:tcW w:w="2235" w:type="dxa"/>
          </w:tcPr>
          <w:p w14:paraId="6A7D6818" w14:textId="77777777" w:rsidR="002E5BC2" w:rsidRPr="00EC3BD7" w:rsidRDefault="002E5BC2" w:rsidP="002E5BC2">
            <w:pPr>
              <w:keepNext/>
              <w:keepLines/>
              <w:widowControl w:val="0"/>
              <w:rPr>
                <w:i/>
                <w:color w:val="000000"/>
                <w:szCs w:val="22"/>
                <w:lang w:val="et-EE"/>
              </w:rPr>
            </w:pPr>
            <w:r w:rsidRPr="00EC3BD7">
              <w:rPr>
                <w:i/>
                <w:color w:val="000000"/>
                <w:szCs w:val="22"/>
                <w:lang w:val="et-EE"/>
              </w:rPr>
              <w:t>Sage:</w:t>
            </w:r>
          </w:p>
        </w:tc>
        <w:tc>
          <w:tcPr>
            <w:tcW w:w="7087" w:type="dxa"/>
          </w:tcPr>
          <w:p w14:paraId="680F475E" w14:textId="77777777" w:rsidR="002E5BC2" w:rsidRPr="00EC3BD7" w:rsidRDefault="002E5BC2" w:rsidP="002E5BC2">
            <w:pPr>
              <w:keepNext/>
              <w:keepLines/>
              <w:widowControl w:val="0"/>
              <w:rPr>
                <w:color w:val="000000"/>
                <w:szCs w:val="22"/>
                <w:lang w:val="et-EE"/>
              </w:rPr>
            </w:pPr>
            <w:r w:rsidRPr="00EC3BD7">
              <w:rPr>
                <w:color w:val="000000"/>
                <w:szCs w:val="22"/>
                <w:lang w:val="et-EE"/>
              </w:rPr>
              <w:t>Liigeste tursed</w:t>
            </w:r>
          </w:p>
        </w:tc>
      </w:tr>
      <w:tr w:rsidR="002E5BC2" w:rsidRPr="00EC3BD7" w14:paraId="2422829E" w14:textId="77777777" w:rsidTr="00145F94">
        <w:tc>
          <w:tcPr>
            <w:tcW w:w="2235" w:type="dxa"/>
          </w:tcPr>
          <w:p w14:paraId="6CBED574" w14:textId="77777777" w:rsidR="002E5BC2" w:rsidRPr="00EC3BD7" w:rsidRDefault="002E5BC2" w:rsidP="002E5BC2">
            <w:pPr>
              <w:keepNext/>
              <w:keepLines/>
              <w:widowControl w:val="0"/>
              <w:rPr>
                <w:i/>
                <w:color w:val="000000"/>
                <w:szCs w:val="22"/>
                <w:lang w:val="et-EE"/>
              </w:rPr>
            </w:pPr>
            <w:r w:rsidRPr="00EC3BD7">
              <w:rPr>
                <w:i/>
                <w:color w:val="000000"/>
                <w:szCs w:val="22"/>
                <w:lang w:val="et-EE"/>
              </w:rPr>
              <w:t>Aeg-ajalt:</w:t>
            </w:r>
          </w:p>
        </w:tc>
        <w:tc>
          <w:tcPr>
            <w:tcW w:w="7087" w:type="dxa"/>
          </w:tcPr>
          <w:p w14:paraId="700FAB10" w14:textId="77777777" w:rsidR="002E5BC2" w:rsidRPr="00EC3BD7" w:rsidRDefault="002E5BC2" w:rsidP="002E5BC2">
            <w:pPr>
              <w:keepNext/>
              <w:keepLines/>
              <w:widowControl w:val="0"/>
              <w:rPr>
                <w:color w:val="000000"/>
                <w:szCs w:val="22"/>
                <w:lang w:val="et-EE"/>
              </w:rPr>
            </w:pPr>
            <w:r w:rsidRPr="00EC3BD7">
              <w:rPr>
                <w:color w:val="000000"/>
                <w:szCs w:val="22"/>
                <w:lang w:val="et-EE"/>
              </w:rPr>
              <w:t>Liigeste ja lihaste jäikus</w:t>
            </w:r>
          </w:p>
        </w:tc>
      </w:tr>
      <w:tr w:rsidR="002E5BC2" w:rsidRPr="00EC3BD7" w14:paraId="59CD5814" w14:textId="77777777" w:rsidTr="00145F94">
        <w:tc>
          <w:tcPr>
            <w:tcW w:w="2235" w:type="dxa"/>
          </w:tcPr>
          <w:p w14:paraId="5AF9C056" w14:textId="77777777" w:rsidR="002E5BC2" w:rsidRPr="00EC3BD7" w:rsidRDefault="002E5BC2" w:rsidP="002E5BC2">
            <w:pPr>
              <w:keepNext/>
              <w:keepLines/>
              <w:widowControl w:val="0"/>
              <w:rPr>
                <w:i/>
                <w:color w:val="000000"/>
                <w:szCs w:val="22"/>
                <w:lang w:val="et-EE"/>
              </w:rPr>
            </w:pPr>
            <w:r w:rsidRPr="00EC3BD7">
              <w:rPr>
                <w:i/>
                <w:color w:val="000000"/>
                <w:szCs w:val="22"/>
                <w:lang w:val="et-EE"/>
              </w:rPr>
              <w:t>Harv:</w:t>
            </w:r>
          </w:p>
        </w:tc>
        <w:tc>
          <w:tcPr>
            <w:tcW w:w="7087" w:type="dxa"/>
          </w:tcPr>
          <w:p w14:paraId="3A549462" w14:textId="77777777" w:rsidR="002E5BC2" w:rsidRPr="00EC3BD7" w:rsidRDefault="002E5BC2" w:rsidP="002E5BC2">
            <w:pPr>
              <w:keepNext/>
              <w:keepLines/>
              <w:widowControl w:val="0"/>
              <w:rPr>
                <w:color w:val="000000"/>
                <w:szCs w:val="22"/>
                <w:lang w:val="et-EE"/>
              </w:rPr>
            </w:pPr>
            <w:r w:rsidRPr="00EC3BD7">
              <w:rPr>
                <w:bCs/>
                <w:color w:val="000000"/>
                <w:szCs w:val="22"/>
                <w:lang w:val="et-EE"/>
              </w:rPr>
              <w:t xml:space="preserve">Lihasnõrkus, artriit, </w:t>
            </w:r>
            <w:r w:rsidRPr="00EC3BD7">
              <w:rPr>
                <w:color w:val="000000"/>
                <w:szCs w:val="22"/>
                <w:lang w:val="et-EE"/>
              </w:rPr>
              <w:t>rabdomolüüs/müopaatia</w:t>
            </w:r>
          </w:p>
        </w:tc>
      </w:tr>
      <w:tr w:rsidR="002E5BC2" w:rsidRPr="005D29F8" w14:paraId="70278399" w14:textId="77777777" w:rsidTr="007F6FEA">
        <w:tc>
          <w:tcPr>
            <w:tcW w:w="2235" w:type="dxa"/>
          </w:tcPr>
          <w:p w14:paraId="35B8E75C" w14:textId="77777777" w:rsidR="002E5BC2" w:rsidRPr="00EC3BD7" w:rsidRDefault="002E5BC2" w:rsidP="002E5BC2">
            <w:pPr>
              <w:rPr>
                <w:i/>
                <w:color w:val="000000"/>
                <w:szCs w:val="22"/>
                <w:lang w:val="et-EE"/>
              </w:rPr>
            </w:pPr>
            <w:r w:rsidRPr="00EC3BD7">
              <w:rPr>
                <w:i/>
                <w:color w:val="000000"/>
                <w:szCs w:val="22"/>
                <w:lang w:val="et-EE"/>
              </w:rPr>
              <w:t>Teadmata:</w:t>
            </w:r>
          </w:p>
        </w:tc>
        <w:tc>
          <w:tcPr>
            <w:tcW w:w="7087" w:type="dxa"/>
          </w:tcPr>
          <w:p w14:paraId="11908413" w14:textId="77777777" w:rsidR="002E5BC2" w:rsidRPr="00EC3BD7" w:rsidRDefault="002E5BC2" w:rsidP="002E5BC2">
            <w:pPr>
              <w:rPr>
                <w:color w:val="000000"/>
                <w:szCs w:val="22"/>
                <w:lang w:val="et-EE"/>
              </w:rPr>
            </w:pPr>
            <w:r w:rsidRPr="00EC3BD7">
              <w:rPr>
                <w:color w:val="000000"/>
                <w:szCs w:val="22"/>
                <w:lang w:val="et-EE"/>
              </w:rPr>
              <w:t>Avaskulaarne luunekroos/puusaluu nekroos*, kasvupeetus lastel*</w:t>
            </w:r>
          </w:p>
        </w:tc>
      </w:tr>
      <w:tr w:rsidR="002E5BC2" w:rsidRPr="00EC3BD7" w14:paraId="41D2BF68" w14:textId="77777777" w:rsidTr="00145F94">
        <w:tc>
          <w:tcPr>
            <w:tcW w:w="9322" w:type="dxa"/>
            <w:gridSpan w:val="2"/>
          </w:tcPr>
          <w:p w14:paraId="36F0755A" w14:textId="77777777" w:rsidR="002E5BC2" w:rsidRPr="00EC3BD7" w:rsidRDefault="002E5BC2" w:rsidP="002E5BC2">
            <w:pPr>
              <w:keepNext/>
              <w:keepLines/>
              <w:widowControl w:val="0"/>
              <w:rPr>
                <w:b/>
                <w:color w:val="000000"/>
                <w:szCs w:val="22"/>
                <w:lang w:val="et-EE"/>
              </w:rPr>
            </w:pPr>
            <w:r w:rsidRPr="00EC3BD7">
              <w:rPr>
                <w:b/>
                <w:color w:val="000000"/>
                <w:szCs w:val="22"/>
                <w:lang w:val="et-EE"/>
              </w:rPr>
              <w:t>Neerude ja kuseteede häired</w:t>
            </w:r>
          </w:p>
        </w:tc>
      </w:tr>
      <w:tr w:rsidR="002E5BC2" w:rsidRPr="00EC3BD7" w14:paraId="439C97FC" w14:textId="77777777" w:rsidTr="00145F94">
        <w:tc>
          <w:tcPr>
            <w:tcW w:w="2235" w:type="dxa"/>
          </w:tcPr>
          <w:p w14:paraId="4D05DE15" w14:textId="77777777" w:rsidR="002E5BC2" w:rsidRPr="00EC3BD7" w:rsidRDefault="002E5BC2" w:rsidP="002E5BC2">
            <w:pPr>
              <w:keepNext/>
              <w:keepLines/>
              <w:widowControl w:val="0"/>
              <w:rPr>
                <w:color w:val="000000"/>
                <w:szCs w:val="22"/>
                <w:lang w:val="et-EE"/>
              </w:rPr>
            </w:pPr>
            <w:r w:rsidRPr="00EC3BD7">
              <w:rPr>
                <w:i/>
                <w:color w:val="000000"/>
                <w:szCs w:val="22"/>
                <w:lang w:val="et-EE"/>
              </w:rPr>
              <w:t>Aeg-ajalt:</w:t>
            </w:r>
          </w:p>
        </w:tc>
        <w:tc>
          <w:tcPr>
            <w:tcW w:w="7087" w:type="dxa"/>
          </w:tcPr>
          <w:p w14:paraId="7525BBA5" w14:textId="77777777" w:rsidR="002E5BC2" w:rsidRPr="00EC3BD7" w:rsidRDefault="002E5BC2" w:rsidP="002E5BC2">
            <w:pPr>
              <w:keepNext/>
              <w:keepLines/>
              <w:widowControl w:val="0"/>
              <w:rPr>
                <w:color w:val="000000"/>
                <w:szCs w:val="22"/>
                <w:lang w:val="et-EE"/>
              </w:rPr>
            </w:pPr>
            <w:r w:rsidRPr="00EC3BD7">
              <w:rPr>
                <w:color w:val="000000"/>
                <w:szCs w:val="22"/>
                <w:lang w:val="et-EE"/>
              </w:rPr>
              <w:t>Valu neerude piirkonnas, hematuuria, äge neerupuudulikkus, urineerimissageduse suurenemine</w:t>
            </w:r>
          </w:p>
        </w:tc>
      </w:tr>
      <w:tr w:rsidR="002E5BC2" w:rsidRPr="00EC3BD7" w14:paraId="1B2986AC" w14:textId="77777777" w:rsidTr="00145F94">
        <w:tc>
          <w:tcPr>
            <w:tcW w:w="2235" w:type="dxa"/>
          </w:tcPr>
          <w:p w14:paraId="697F7FE0" w14:textId="77777777" w:rsidR="002E5BC2" w:rsidRPr="00EC3BD7" w:rsidRDefault="002E5BC2" w:rsidP="002E5BC2">
            <w:pPr>
              <w:rPr>
                <w:i/>
                <w:color w:val="000000"/>
                <w:szCs w:val="22"/>
                <w:lang w:val="et-EE"/>
              </w:rPr>
            </w:pPr>
            <w:r w:rsidRPr="00EC3BD7">
              <w:rPr>
                <w:i/>
                <w:color w:val="000000"/>
                <w:szCs w:val="22"/>
                <w:lang w:val="et-EE"/>
              </w:rPr>
              <w:t>Teadmata:</w:t>
            </w:r>
          </w:p>
        </w:tc>
        <w:tc>
          <w:tcPr>
            <w:tcW w:w="7087" w:type="dxa"/>
          </w:tcPr>
          <w:p w14:paraId="5B59B2B4" w14:textId="77777777" w:rsidR="002E5BC2" w:rsidRPr="00EC3BD7" w:rsidRDefault="002E5BC2" w:rsidP="002E5BC2">
            <w:pPr>
              <w:rPr>
                <w:color w:val="000000"/>
                <w:szCs w:val="22"/>
                <w:lang w:val="et-EE"/>
              </w:rPr>
            </w:pPr>
            <w:r w:rsidRPr="00EC3BD7">
              <w:rPr>
                <w:color w:val="000000"/>
                <w:szCs w:val="22"/>
                <w:lang w:val="et-EE"/>
              </w:rPr>
              <w:t>Krooniline neerupuudulikkus</w:t>
            </w:r>
          </w:p>
        </w:tc>
      </w:tr>
      <w:tr w:rsidR="002E5BC2" w:rsidRPr="005D29F8" w14:paraId="27898D6C" w14:textId="77777777" w:rsidTr="00145F94">
        <w:tc>
          <w:tcPr>
            <w:tcW w:w="9322" w:type="dxa"/>
            <w:gridSpan w:val="2"/>
          </w:tcPr>
          <w:p w14:paraId="232041D0" w14:textId="77777777" w:rsidR="002E5BC2" w:rsidRPr="00EC3BD7" w:rsidRDefault="002E5BC2" w:rsidP="002E5BC2">
            <w:pPr>
              <w:keepNext/>
              <w:keepLines/>
              <w:widowControl w:val="0"/>
              <w:rPr>
                <w:color w:val="000000"/>
                <w:szCs w:val="22"/>
                <w:lang w:val="et-EE"/>
              </w:rPr>
            </w:pPr>
            <w:r w:rsidRPr="00EC3BD7">
              <w:rPr>
                <w:b/>
                <w:color w:val="000000"/>
                <w:szCs w:val="22"/>
                <w:lang w:val="et-EE"/>
              </w:rPr>
              <w:t>Reproduktiivse süsteemi ja rinnanäärme häired</w:t>
            </w:r>
          </w:p>
        </w:tc>
      </w:tr>
      <w:tr w:rsidR="002E5BC2" w:rsidRPr="005D29F8" w14:paraId="362B26D7" w14:textId="77777777" w:rsidTr="00145F94">
        <w:tc>
          <w:tcPr>
            <w:tcW w:w="2235" w:type="dxa"/>
          </w:tcPr>
          <w:p w14:paraId="63033F4D" w14:textId="77777777" w:rsidR="002E5BC2" w:rsidRPr="00EC3BD7" w:rsidRDefault="002E5BC2" w:rsidP="002E5BC2">
            <w:pPr>
              <w:keepNext/>
              <w:keepLines/>
              <w:widowControl w:val="0"/>
              <w:rPr>
                <w:i/>
                <w:color w:val="000000"/>
                <w:szCs w:val="22"/>
                <w:lang w:val="et-EE"/>
              </w:rPr>
            </w:pPr>
            <w:r w:rsidRPr="00EC3BD7">
              <w:rPr>
                <w:i/>
                <w:color w:val="000000"/>
                <w:szCs w:val="22"/>
                <w:lang w:val="et-EE"/>
              </w:rPr>
              <w:t>Aeg-ajalt:</w:t>
            </w:r>
          </w:p>
        </w:tc>
        <w:tc>
          <w:tcPr>
            <w:tcW w:w="7087" w:type="dxa"/>
          </w:tcPr>
          <w:p w14:paraId="0EA0495D" w14:textId="77777777" w:rsidR="002E5BC2" w:rsidRPr="00EC3BD7" w:rsidRDefault="002E5BC2" w:rsidP="002E5BC2">
            <w:pPr>
              <w:keepNext/>
              <w:keepLines/>
              <w:widowControl w:val="0"/>
              <w:rPr>
                <w:color w:val="000000"/>
                <w:szCs w:val="22"/>
                <w:lang w:val="et-EE"/>
              </w:rPr>
            </w:pPr>
            <w:r w:rsidRPr="00EC3BD7">
              <w:rPr>
                <w:color w:val="000000"/>
                <w:szCs w:val="22"/>
                <w:lang w:val="et-EE"/>
              </w:rPr>
              <w:t>Günekomastia, erektsioonihäired, menorraagia, ebaregulaarne menstruatsioon, seksuaalne düsfunktsioon, rinnanibude valulikkus, rindade suurenemine, skrootumi turse</w:t>
            </w:r>
          </w:p>
        </w:tc>
      </w:tr>
      <w:tr w:rsidR="002E5BC2" w:rsidRPr="00EC3BD7" w14:paraId="3108690F" w14:textId="77777777" w:rsidTr="00145F94">
        <w:tc>
          <w:tcPr>
            <w:tcW w:w="2235" w:type="dxa"/>
          </w:tcPr>
          <w:p w14:paraId="307DC678" w14:textId="77777777" w:rsidR="002E5BC2" w:rsidRPr="00EC3BD7" w:rsidRDefault="002E5BC2" w:rsidP="002E5BC2">
            <w:pPr>
              <w:rPr>
                <w:i/>
                <w:color w:val="000000"/>
                <w:szCs w:val="22"/>
                <w:lang w:val="et-EE"/>
              </w:rPr>
            </w:pPr>
            <w:r w:rsidRPr="00EC3BD7">
              <w:rPr>
                <w:i/>
                <w:color w:val="000000"/>
                <w:szCs w:val="22"/>
                <w:lang w:val="et-EE"/>
              </w:rPr>
              <w:t>Harv:</w:t>
            </w:r>
          </w:p>
        </w:tc>
        <w:tc>
          <w:tcPr>
            <w:tcW w:w="7087" w:type="dxa"/>
          </w:tcPr>
          <w:p w14:paraId="6433C48E" w14:textId="77777777" w:rsidR="002E5BC2" w:rsidRPr="00EC3BD7" w:rsidRDefault="002E5BC2" w:rsidP="002E5BC2">
            <w:pPr>
              <w:rPr>
                <w:color w:val="000000"/>
                <w:szCs w:val="22"/>
                <w:lang w:val="et-EE"/>
              </w:rPr>
            </w:pPr>
            <w:r w:rsidRPr="00EC3BD7">
              <w:rPr>
                <w:color w:val="000000"/>
                <w:szCs w:val="22"/>
                <w:lang w:val="et-EE"/>
              </w:rPr>
              <w:t>Hemorraagiline kollaskeha/hemorraagiline munasarjatsüst</w:t>
            </w:r>
          </w:p>
        </w:tc>
      </w:tr>
      <w:tr w:rsidR="002E5BC2" w:rsidRPr="00EC3BD7" w14:paraId="35D477D0" w14:textId="77777777" w:rsidTr="00145F94">
        <w:tc>
          <w:tcPr>
            <w:tcW w:w="9322" w:type="dxa"/>
            <w:gridSpan w:val="2"/>
          </w:tcPr>
          <w:p w14:paraId="2AB32663" w14:textId="77777777" w:rsidR="002E5BC2" w:rsidRPr="00EC3BD7" w:rsidRDefault="002E5BC2" w:rsidP="002E5BC2">
            <w:pPr>
              <w:keepNext/>
              <w:keepLines/>
              <w:widowControl w:val="0"/>
              <w:rPr>
                <w:color w:val="000000"/>
                <w:szCs w:val="22"/>
                <w:lang w:val="et-EE"/>
              </w:rPr>
            </w:pPr>
            <w:r w:rsidRPr="00EC3BD7">
              <w:rPr>
                <w:b/>
                <w:color w:val="000000"/>
                <w:szCs w:val="22"/>
                <w:lang w:val="et-EE"/>
              </w:rPr>
              <w:t>Üldised häired ja manustamiskoha reaktsioonid</w:t>
            </w:r>
          </w:p>
        </w:tc>
      </w:tr>
      <w:tr w:rsidR="002E5BC2" w:rsidRPr="00EC3BD7" w14:paraId="368D9067" w14:textId="77777777" w:rsidTr="00145F94">
        <w:tc>
          <w:tcPr>
            <w:tcW w:w="2235" w:type="dxa"/>
          </w:tcPr>
          <w:p w14:paraId="330523DB" w14:textId="77777777" w:rsidR="002E5BC2" w:rsidRPr="00EC3BD7" w:rsidRDefault="002E5BC2" w:rsidP="002E5BC2">
            <w:pPr>
              <w:keepNext/>
              <w:keepLines/>
              <w:widowControl w:val="0"/>
              <w:rPr>
                <w:i/>
                <w:color w:val="000000"/>
                <w:szCs w:val="22"/>
                <w:lang w:val="et-EE"/>
              </w:rPr>
            </w:pPr>
            <w:r w:rsidRPr="00EC3BD7">
              <w:rPr>
                <w:i/>
                <w:color w:val="000000"/>
                <w:szCs w:val="22"/>
                <w:lang w:val="et-EE"/>
              </w:rPr>
              <w:t>Väga sage:</w:t>
            </w:r>
          </w:p>
        </w:tc>
        <w:tc>
          <w:tcPr>
            <w:tcW w:w="7087" w:type="dxa"/>
          </w:tcPr>
          <w:p w14:paraId="673D525C" w14:textId="77777777" w:rsidR="002E5BC2" w:rsidRPr="00EC3BD7" w:rsidRDefault="002E5BC2" w:rsidP="002E5BC2">
            <w:pPr>
              <w:keepNext/>
              <w:keepLines/>
              <w:widowControl w:val="0"/>
              <w:rPr>
                <w:color w:val="000000"/>
                <w:szCs w:val="22"/>
                <w:lang w:val="et-EE"/>
              </w:rPr>
            </w:pPr>
            <w:r w:rsidRPr="00EC3BD7">
              <w:rPr>
                <w:color w:val="000000"/>
                <w:szCs w:val="22"/>
                <w:lang w:val="et-EE"/>
              </w:rPr>
              <w:t>Vedelikupeetus ja tursed, väsimus</w:t>
            </w:r>
          </w:p>
        </w:tc>
      </w:tr>
      <w:tr w:rsidR="002E5BC2" w:rsidRPr="005D29F8" w14:paraId="2154A529" w14:textId="77777777" w:rsidTr="00145F94">
        <w:tc>
          <w:tcPr>
            <w:tcW w:w="2235" w:type="dxa"/>
          </w:tcPr>
          <w:p w14:paraId="6FE9985B" w14:textId="77777777" w:rsidR="002E5BC2" w:rsidRPr="00EC3BD7" w:rsidRDefault="002E5BC2" w:rsidP="002E5BC2">
            <w:pPr>
              <w:keepNext/>
              <w:keepLines/>
              <w:widowControl w:val="0"/>
              <w:rPr>
                <w:i/>
                <w:color w:val="000000"/>
                <w:szCs w:val="22"/>
                <w:lang w:val="et-EE"/>
              </w:rPr>
            </w:pPr>
            <w:r w:rsidRPr="00EC3BD7">
              <w:rPr>
                <w:i/>
                <w:color w:val="000000"/>
                <w:szCs w:val="22"/>
                <w:lang w:val="et-EE"/>
              </w:rPr>
              <w:t>Sage:</w:t>
            </w:r>
          </w:p>
        </w:tc>
        <w:tc>
          <w:tcPr>
            <w:tcW w:w="7087" w:type="dxa"/>
          </w:tcPr>
          <w:p w14:paraId="6F86CC33" w14:textId="77777777" w:rsidR="002E5BC2" w:rsidRPr="00EC3BD7" w:rsidRDefault="002E5BC2" w:rsidP="002E5BC2">
            <w:pPr>
              <w:keepNext/>
              <w:keepLines/>
              <w:widowControl w:val="0"/>
              <w:rPr>
                <w:color w:val="000000"/>
                <w:szCs w:val="22"/>
                <w:lang w:val="et-EE"/>
              </w:rPr>
            </w:pPr>
            <w:r w:rsidRPr="00EC3BD7">
              <w:rPr>
                <w:color w:val="000000"/>
                <w:szCs w:val="22"/>
                <w:lang w:val="et-EE"/>
              </w:rPr>
              <w:t>Nõrkus, püreksia, anasarka, külmavärinad, külmatunne</w:t>
            </w:r>
          </w:p>
        </w:tc>
      </w:tr>
      <w:tr w:rsidR="002E5BC2" w:rsidRPr="00EC3BD7" w14:paraId="021B3687" w14:textId="77777777" w:rsidTr="00145F94">
        <w:tc>
          <w:tcPr>
            <w:tcW w:w="2235" w:type="dxa"/>
          </w:tcPr>
          <w:p w14:paraId="4750C746" w14:textId="77777777" w:rsidR="002E5BC2" w:rsidRPr="00EC3BD7" w:rsidRDefault="002E5BC2" w:rsidP="002E5BC2">
            <w:pPr>
              <w:rPr>
                <w:i/>
                <w:color w:val="000000"/>
                <w:szCs w:val="22"/>
                <w:lang w:val="et-EE"/>
              </w:rPr>
            </w:pPr>
            <w:r w:rsidRPr="00EC3BD7">
              <w:rPr>
                <w:i/>
                <w:color w:val="000000"/>
                <w:szCs w:val="22"/>
                <w:lang w:val="et-EE"/>
              </w:rPr>
              <w:t>Aeg-ajalt:</w:t>
            </w:r>
          </w:p>
        </w:tc>
        <w:tc>
          <w:tcPr>
            <w:tcW w:w="7087" w:type="dxa"/>
          </w:tcPr>
          <w:p w14:paraId="00F996CF" w14:textId="77777777" w:rsidR="002E5BC2" w:rsidRPr="00EC3BD7" w:rsidRDefault="002E5BC2" w:rsidP="002E5BC2">
            <w:pPr>
              <w:rPr>
                <w:color w:val="000000"/>
                <w:szCs w:val="22"/>
                <w:lang w:val="et-EE"/>
              </w:rPr>
            </w:pPr>
            <w:r w:rsidRPr="00EC3BD7">
              <w:rPr>
                <w:color w:val="000000"/>
                <w:szCs w:val="22"/>
                <w:lang w:val="et-EE"/>
              </w:rPr>
              <w:t>Valu rindkeres, halb enesetunne</w:t>
            </w:r>
          </w:p>
        </w:tc>
      </w:tr>
      <w:tr w:rsidR="002E5BC2" w:rsidRPr="00EC3BD7" w14:paraId="64166B6C" w14:textId="77777777" w:rsidTr="00145F94">
        <w:tc>
          <w:tcPr>
            <w:tcW w:w="9322" w:type="dxa"/>
            <w:gridSpan w:val="2"/>
          </w:tcPr>
          <w:p w14:paraId="69079CC7" w14:textId="77777777" w:rsidR="002E5BC2" w:rsidRPr="00EC3BD7" w:rsidRDefault="002E5BC2" w:rsidP="002E5BC2">
            <w:pPr>
              <w:keepNext/>
              <w:keepLines/>
              <w:widowControl w:val="0"/>
              <w:rPr>
                <w:color w:val="000000"/>
                <w:szCs w:val="22"/>
                <w:lang w:val="et-EE"/>
              </w:rPr>
            </w:pPr>
            <w:r w:rsidRPr="00EC3BD7">
              <w:rPr>
                <w:b/>
                <w:color w:val="000000"/>
                <w:szCs w:val="22"/>
                <w:lang w:val="et-EE"/>
              </w:rPr>
              <w:lastRenderedPageBreak/>
              <w:t>Uuringud</w:t>
            </w:r>
          </w:p>
        </w:tc>
      </w:tr>
      <w:tr w:rsidR="002E5BC2" w:rsidRPr="00EC3BD7" w14:paraId="057268FE" w14:textId="77777777" w:rsidTr="00145F94">
        <w:tc>
          <w:tcPr>
            <w:tcW w:w="2235" w:type="dxa"/>
          </w:tcPr>
          <w:p w14:paraId="4B23F9C2" w14:textId="77777777" w:rsidR="002E5BC2" w:rsidRPr="00EC3BD7" w:rsidRDefault="002E5BC2" w:rsidP="002E5BC2">
            <w:pPr>
              <w:keepNext/>
              <w:keepLines/>
              <w:widowControl w:val="0"/>
              <w:rPr>
                <w:color w:val="000000"/>
                <w:szCs w:val="22"/>
                <w:lang w:val="et-EE"/>
              </w:rPr>
            </w:pPr>
            <w:r w:rsidRPr="00EC3BD7">
              <w:rPr>
                <w:i/>
                <w:color w:val="000000"/>
                <w:szCs w:val="22"/>
                <w:lang w:val="et-EE"/>
              </w:rPr>
              <w:t>Väga sage:</w:t>
            </w:r>
          </w:p>
        </w:tc>
        <w:tc>
          <w:tcPr>
            <w:tcW w:w="7087" w:type="dxa"/>
          </w:tcPr>
          <w:p w14:paraId="3E31540E" w14:textId="77777777" w:rsidR="002E5BC2" w:rsidRPr="00EC3BD7" w:rsidRDefault="002E5BC2" w:rsidP="002E5BC2">
            <w:pPr>
              <w:keepNext/>
              <w:keepLines/>
              <w:widowControl w:val="0"/>
              <w:rPr>
                <w:color w:val="000000"/>
                <w:szCs w:val="22"/>
                <w:lang w:val="et-EE"/>
              </w:rPr>
            </w:pPr>
            <w:r w:rsidRPr="00EC3BD7">
              <w:rPr>
                <w:color w:val="000000"/>
                <w:szCs w:val="22"/>
                <w:lang w:val="et-EE"/>
              </w:rPr>
              <w:t>Kehakaalu tõus</w:t>
            </w:r>
          </w:p>
        </w:tc>
      </w:tr>
      <w:tr w:rsidR="002E5BC2" w:rsidRPr="00EC3BD7" w14:paraId="1A377084" w14:textId="77777777" w:rsidTr="00145F94">
        <w:tc>
          <w:tcPr>
            <w:tcW w:w="2235" w:type="dxa"/>
          </w:tcPr>
          <w:p w14:paraId="11328BD4" w14:textId="77777777" w:rsidR="002E5BC2" w:rsidRPr="00EC3BD7" w:rsidRDefault="002E5BC2" w:rsidP="002E5BC2">
            <w:pPr>
              <w:keepNext/>
              <w:keepLines/>
              <w:widowControl w:val="0"/>
              <w:rPr>
                <w:color w:val="000000"/>
                <w:szCs w:val="22"/>
                <w:lang w:val="et-EE"/>
              </w:rPr>
            </w:pPr>
            <w:r w:rsidRPr="00EC3BD7">
              <w:rPr>
                <w:i/>
                <w:color w:val="000000"/>
                <w:szCs w:val="22"/>
                <w:lang w:val="et-EE"/>
              </w:rPr>
              <w:t>Sage</w:t>
            </w:r>
            <w:r w:rsidRPr="00EC3BD7">
              <w:rPr>
                <w:color w:val="000000"/>
                <w:szCs w:val="22"/>
                <w:lang w:val="et-EE"/>
              </w:rPr>
              <w:t>:</w:t>
            </w:r>
          </w:p>
        </w:tc>
        <w:tc>
          <w:tcPr>
            <w:tcW w:w="7087" w:type="dxa"/>
          </w:tcPr>
          <w:p w14:paraId="5B2AF64B" w14:textId="77777777" w:rsidR="002E5BC2" w:rsidRPr="00EC3BD7" w:rsidRDefault="002E5BC2" w:rsidP="002E5BC2">
            <w:pPr>
              <w:keepNext/>
              <w:keepLines/>
              <w:widowControl w:val="0"/>
              <w:rPr>
                <w:color w:val="000000"/>
                <w:szCs w:val="22"/>
                <w:lang w:val="et-EE"/>
              </w:rPr>
            </w:pPr>
            <w:r w:rsidRPr="00EC3BD7">
              <w:rPr>
                <w:color w:val="000000"/>
                <w:szCs w:val="22"/>
                <w:lang w:val="et-EE"/>
              </w:rPr>
              <w:t>Kehakaalu langus</w:t>
            </w:r>
          </w:p>
        </w:tc>
      </w:tr>
      <w:tr w:rsidR="002E5BC2" w:rsidRPr="005D29F8" w14:paraId="6CAE98A9" w14:textId="77777777" w:rsidTr="00145F94">
        <w:tc>
          <w:tcPr>
            <w:tcW w:w="2235" w:type="dxa"/>
          </w:tcPr>
          <w:p w14:paraId="5BE4468D" w14:textId="77777777" w:rsidR="002E5BC2" w:rsidRPr="00EC3BD7" w:rsidRDefault="002E5BC2" w:rsidP="002E5BC2">
            <w:pPr>
              <w:keepNext/>
              <w:keepLines/>
              <w:widowControl w:val="0"/>
              <w:rPr>
                <w:color w:val="000000"/>
                <w:szCs w:val="22"/>
                <w:lang w:val="et-EE"/>
              </w:rPr>
            </w:pPr>
            <w:r w:rsidRPr="00EC3BD7">
              <w:rPr>
                <w:i/>
                <w:color w:val="000000"/>
                <w:szCs w:val="22"/>
                <w:lang w:val="et-EE"/>
              </w:rPr>
              <w:t>Aeg-ajalt</w:t>
            </w:r>
            <w:r w:rsidRPr="00EC3BD7">
              <w:rPr>
                <w:color w:val="000000"/>
                <w:szCs w:val="22"/>
                <w:lang w:val="et-EE"/>
              </w:rPr>
              <w:t>:</w:t>
            </w:r>
          </w:p>
        </w:tc>
        <w:tc>
          <w:tcPr>
            <w:tcW w:w="7087" w:type="dxa"/>
          </w:tcPr>
          <w:p w14:paraId="5F737DD1" w14:textId="77777777" w:rsidR="002E5BC2" w:rsidRPr="00EC3BD7" w:rsidRDefault="002E5BC2" w:rsidP="002E5BC2">
            <w:pPr>
              <w:keepNext/>
              <w:keepLines/>
              <w:widowControl w:val="0"/>
              <w:rPr>
                <w:color w:val="000000"/>
                <w:szCs w:val="22"/>
                <w:lang w:val="et-EE"/>
              </w:rPr>
            </w:pPr>
            <w:r w:rsidRPr="00EC3BD7">
              <w:rPr>
                <w:color w:val="000000"/>
                <w:szCs w:val="22"/>
                <w:lang w:val="et-EE"/>
              </w:rPr>
              <w:t>Kreatiniini tõus veres, kreatiinfosfokinaasi tõus veres, laktaatdehüdrogenaasi tõus veres, alkaalse fosfataasi tõus veres</w:t>
            </w:r>
          </w:p>
        </w:tc>
      </w:tr>
      <w:tr w:rsidR="002E5BC2" w:rsidRPr="00EC3BD7" w14:paraId="52E14DB7" w14:textId="77777777" w:rsidTr="00145F94">
        <w:tc>
          <w:tcPr>
            <w:tcW w:w="2235" w:type="dxa"/>
          </w:tcPr>
          <w:p w14:paraId="01236E27" w14:textId="77777777" w:rsidR="002E5BC2" w:rsidRPr="00EC3BD7" w:rsidRDefault="002E5BC2" w:rsidP="002E5BC2">
            <w:pPr>
              <w:keepNext/>
              <w:keepLines/>
              <w:widowControl w:val="0"/>
              <w:rPr>
                <w:i/>
                <w:color w:val="000000"/>
                <w:szCs w:val="22"/>
                <w:lang w:val="et-EE"/>
              </w:rPr>
            </w:pPr>
            <w:r w:rsidRPr="00EC3BD7">
              <w:rPr>
                <w:i/>
                <w:color w:val="000000"/>
                <w:szCs w:val="22"/>
                <w:lang w:val="et-EE"/>
              </w:rPr>
              <w:t>Harv:</w:t>
            </w:r>
          </w:p>
        </w:tc>
        <w:tc>
          <w:tcPr>
            <w:tcW w:w="7087" w:type="dxa"/>
          </w:tcPr>
          <w:p w14:paraId="4745913B" w14:textId="77777777" w:rsidR="002E5BC2" w:rsidRPr="00EC3BD7" w:rsidRDefault="002E5BC2" w:rsidP="002E5BC2">
            <w:pPr>
              <w:keepNext/>
              <w:keepLines/>
              <w:widowControl w:val="0"/>
              <w:rPr>
                <w:color w:val="000000"/>
                <w:szCs w:val="22"/>
                <w:lang w:val="et-EE"/>
              </w:rPr>
            </w:pPr>
            <w:r w:rsidRPr="00EC3BD7">
              <w:rPr>
                <w:color w:val="000000"/>
                <w:szCs w:val="22"/>
                <w:lang w:val="et-EE"/>
              </w:rPr>
              <w:t>Amülaasi tõus veres</w:t>
            </w:r>
          </w:p>
        </w:tc>
      </w:tr>
    </w:tbl>
    <w:p w14:paraId="286F3D26" w14:textId="77777777" w:rsidR="008F4DAA" w:rsidRPr="00EC3BD7" w:rsidRDefault="008F4DAA" w:rsidP="00B9089D">
      <w:pPr>
        <w:keepNext/>
        <w:keepLines/>
        <w:widowControl w:val="0"/>
        <w:spacing w:line="240" w:lineRule="auto"/>
        <w:rPr>
          <w:color w:val="000000"/>
          <w:szCs w:val="22"/>
          <w:lang w:val="et-EE"/>
        </w:rPr>
      </w:pPr>
    </w:p>
    <w:p w14:paraId="4E89A236" w14:textId="77777777" w:rsidR="00E21A2F" w:rsidRPr="00EC3BD7" w:rsidRDefault="008F4DAA" w:rsidP="00B9089D">
      <w:pPr>
        <w:keepNext/>
        <w:keepLines/>
        <w:widowControl w:val="0"/>
        <w:spacing w:line="240" w:lineRule="auto"/>
        <w:ind w:left="567" w:hanging="567"/>
        <w:rPr>
          <w:color w:val="000000"/>
          <w:szCs w:val="22"/>
          <w:lang w:val="et-EE"/>
        </w:rPr>
      </w:pPr>
      <w:r w:rsidRPr="00EC3BD7">
        <w:rPr>
          <w:color w:val="000000"/>
          <w:szCs w:val="22"/>
          <w:lang w:val="et-EE"/>
        </w:rPr>
        <w:t>*</w:t>
      </w:r>
      <w:r w:rsidRPr="00EC3BD7">
        <w:rPr>
          <w:color w:val="000000"/>
          <w:szCs w:val="22"/>
          <w:lang w:val="et-EE"/>
        </w:rPr>
        <w:tab/>
        <w:t>Nendest kõrvaltoimetest on teatatud peamiselt turuletulekujärgselt. Siia kuuluvad spontaansed kõrvaltoimeteatised ja ka tõsised kõrvaltoimed hetkel käimasolevatest uuringutest, laiendatud juurdepääsu programmidest, kliinilise farmakoloogia uuringutest ja kinnitamata näidustuste uuringutest. Kuna nendest kõrvaltoimetest teatamisel on populatsiooni suurus teadmata, siis ei ole alati võimalik usaldusväärselt kindlaks määrata nende esinemissagedust või tõestada põhjuslikku seost imatiniibi plasmakontsentratsiooniga.</w:t>
      </w:r>
    </w:p>
    <w:p w14:paraId="1120CF6E" w14:textId="3F57048E" w:rsidR="00E21A2F" w:rsidRPr="00EC3BD7" w:rsidRDefault="00E21A2F" w:rsidP="00B9089D">
      <w:pPr>
        <w:keepNext/>
        <w:keepLines/>
        <w:widowControl w:val="0"/>
        <w:tabs>
          <w:tab w:val="clear" w:pos="567"/>
        </w:tabs>
        <w:spacing w:line="240" w:lineRule="auto"/>
        <w:ind w:left="567" w:hanging="567"/>
        <w:rPr>
          <w:color w:val="000000"/>
          <w:szCs w:val="22"/>
          <w:lang w:val="et-EE"/>
        </w:rPr>
      </w:pPr>
      <w:r w:rsidRPr="00EC3BD7">
        <w:rPr>
          <w:color w:val="000000"/>
          <w:szCs w:val="22"/>
          <w:lang w:val="et-EE"/>
        </w:rPr>
        <w:t>1</w:t>
      </w:r>
      <w:r w:rsidRPr="00EC3BD7">
        <w:rPr>
          <w:color w:val="000000"/>
          <w:szCs w:val="22"/>
          <w:lang w:val="et-EE"/>
        </w:rPr>
        <w:tab/>
        <w:t xml:space="preserve">Pneumooniast teatati kõige sagedamini transformeerunud </w:t>
      </w:r>
      <w:smartTag w:uri="urn:schemas-microsoft-com:office:smarttags" w:element="stockticker">
        <w:r w:rsidRPr="00EC3BD7">
          <w:rPr>
            <w:color w:val="000000"/>
            <w:szCs w:val="22"/>
            <w:lang w:val="et-EE"/>
          </w:rPr>
          <w:t>KML</w:t>
        </w:r>
        <w:r w:rsidR="00605733">
          <w:rPr>
            <w:color w:val="000000"/>
            <w:szCs w:val="22"/>
            <w:lang w:val="et-EE"/>
          </w:rPr>
          <w:t>-i</w:t>
        </w:r>
      </w:smartTag>
      <w:r w:rsidRPr="00EC3BD7">
        <w:rPr>
          <w:color w:val="000000"/>
          <w:szCs w:val="22"/>
          <w:lang w:val="et-EE"/>
        </w:rPr>
        <w:t xml:space="preserve"> patsientidel ja GIST</w:t>
      </w:r>
      <w:r w:rsidR="00605733">
        <w:rPr>
          <w:color w:val="000000"/>
          <w:szCs w:val="22"/>
          <w:lang w:val="et-EE"/>
        </w:rPr>
        <w:t>-i</w:t>
      </w:r>
      <w:r w:rsidRPr="00EC3BD7">
        <w:rPr>
          <w:color w:val="000000"/>
          <w:szCs w:val="22"/>
          <w:lang w:val="et-EE"/>
        </w:rPr>
        <w:t xml:space="preserve"> patsientidel.</w:t>
      </w:r>
    </w:p>
    <w:p w14:paraId="32C27253" w14:textId="6E97510C" w:rsidR="00E21A2F" w:rsidRPr="00EC3BD7" w:rsidRDefault="00E21A2F" w:rsidP="00B9089D">
      <w:pPr>
        <w:keepNext/>
        <w:keepLines/>
        <w:widowControl w:val="0"/>
        <w:tabs>
          <w:tab w:val="clear" w:pos="567"/>
        </w:tabs>
        <w:spacing w:line="240" w:lineRule="auto"/>
        <w:ind w:left="567" w:hanging="567"/>
        <w:rPr>
          <w:color w:val="000000"/>
          <w:szCs w:val="22"/>
          <w:lang w:val="et-EE"/>
        </w:rPr>
      </w:pPr>
      <w:r w:rsidRPr="00EC3BD7">
        <w:rPr>
          <w:color w:val="000000"/>
          <w:szCs w:val="22"/>
          <w:lang w:val="et-EE"/>
        </w:rPr>
        <w:t>2</w:t>
      </w:r>
      <w:r w:rsidRPr="00EC3BD7">
        <w:rPr>
          <w:color w:val="000000"/>
          <w:szCs w:val="22"/>
          <w:lang w:val="et-EE"/>
        </w:rPr>
        <w:tab/>
        <w:t>Peavalu oli kõige sagedasem GIST</w:t>
      </w:r>
      <w:r w:rsidR="00605733">
        <w:rPr>
          <w:color w:val="000000"/>
          <w:szCs w:val="22"/>
          <w:lang w:val="et-EE"/>
        </w:rPr>
        <w:t>-i</w:t>
      </w:r>
      <w:r w:rsidRPr="00EC3BD7">
        <w:rPr>
          <w:color w:val="000000"/>
          <w:szCs w:val="22"/>
          <w:lang w:val="et-EE"/>
        </w:rPr>
        <w:t xml:space="preserve"> patsientidel.</w:t>
      </w:r>
    </w:p>
    <w:p w14:paraId="68A898F1" w14:textId="053A3CCB" w:rsidR="00E21A2F" w:rsidRPr="00EC3BD7" w:rsidRDefault="00E21A2F" w:rsidP="00B9089D">
      <w:pPr>
        <w:keepNext/>
        <w:keepLines/>
        <w:widowControl w:val="0"/>
        <w:tabs>
          <w:tab w:val="clear" w:pos="567"/>
        </w:tabs>
        <w:spacing w:line="240" w:lineRule="auto"/>
        <w:ind w:left="567" w:hanging="567"/>
        <w:rPr>
          <w:color w:val="000000"/>
          <w:szCs w:val="22"/>
          <w:lang w:val="et-EE"/>
        </w:rPr>
      </w:pPr>
      <w:r w:rsidRPr="00EC3BD7">
        <w:rPr>
          <w:color w:val="000000"/>
          <w:szCs w:val="22"/>
          <w:lang w:val="et-EE"/>
        </w:rPr>
        <w:t>3</w:t>
      </w:r>
      <w:r w:rsidRPr="00EC3BD7">
        <w:rPr>
          <w:color w:val="000000"/>
          <w:szCs w:val="22"/>
          <w:lang w:val="et-EE"/>
        </w:rPr>
        <w:tab/>
        <w:t xml:space="preserve">Patsient aasta kohta täheldati südame häireid, sh südame paispuudulikkust sagedamini transformeerunud </w:t>
      </w:r>
      <w:smartTag w:uri="urn:schemas-microsoft-com:office:smarttags" w:element="stockticker">
        <w:r w:rsidRPr="00EC3BD7">
          <w:rPr>
            <w:color w:val="000000"/>
            <w:szCs w:val="22"/>
            <w:lang w:val="et-EE"/>
          </w:rPr>
          <w:t>KML</w:t>
        </w:r>
        <w:r w:rsidR="00605733">
          <w:rPr>
            <w:color w:val="000000"/>
            <w:szCs w:val="22"/>
            <w:lang w:val="et-EE"/>
          </w:rPr>
          <w:t>-i</w:t>
        </w:r>
      </w:smartTag>
      <w:r w:rsidRPr="00EC3BD7">
        <w:rPr>
          <w:color w:val="000000"/>
          <w:szCs w:val="22"/>
          <w:lang w:val="et-EE"/>
        </w:rPr>
        <w:t xml:space="preserve"> patsientidel kui kroonilise </w:t>
      </w:r>
      <w:smartTag w:uri="urn:schemas-microsoft-com:office:smarttags" w:element="stockticker">
        <w:r w:rsidRPr="00EC3BD7">
          <w:rPr>
            <w:color w:val="000000"/>
            <w:szCs w:val="22"/>
            <w:lang w:val="et-EE"/>
          </w:rPr>
          <w:t>KML</w:t>
        </w:r>
        <w:r w:rsidR="00605733">
          <w:rPr>
            <w:color w:val="000000"/>
            <w:szCs w:val="22"/>
            <w:lang w:val="et-EE"/>
          </w:rPr>
          <w:t>-i</w:t>
        </w:r>
      </w:smartTag>
      <w:r w:rsidRPr="00EC3BD7">
        <w:rPr>
          <w:color w:val="000000"/>
          <w:szCs w:val="22"/>
          <w:lang w:val="et-EE"/>
        </w:rPr>
        <w:t xml:space="preserve"> patsientidel.</w:t>
      </w:r>
    </w:p>
    <w:p w14:paraId="270037A2" w14:textId="30CDC37E" w:rsidR="00E21A2F" w:rsidRPr="00EC3BD7" w:rsidRDefault="00E21A2F" w:rsidP="00B9089D">
      <w:pPr>
        <w:keepNext/>
        <w:keepLines/>
        <w:widowControl w:val="0"/>
        <w:tabs>
          <w:tab w:val="clear" w:pos="567"/>
        </w:tabs>
        <w:spacing w:line="240" w:lineRule="auto"/>
        <w:ind w:left="567" w:hanging="567"/>
        <w:rPr>
          <w:color w:val="000000"/>
          <w:szCs w:val="22"/>
          <w:lang w:val="et-EE"/>
        </w:rPr>
      </w:pPr>
      <w:r w:rsidRPr="00EC3BD7">
        <w:rPr>
          <w:color w:val="000000"/>
          <w:szCs w:val="22"/>
          <w:lang w:val="et-EE"/>
        </w:rPr>
        <w:t>4</w:t>
      </w:r>
      <w:r w:rsidRPr="00EC3BD7">
        <w:rPr>
          <w:color w:val="000000"/>
          <w:szCs w:val="22"/>
          <w:lang w:val="et-EE"/>
        </w:rPr>
        <w:tab/>
        <w:t>Nahaõhetus oli kõige sagedasem GIST</w:t>
      </w:r>
      <w:r w:rsidR="00605733">
        <w:rPr>
          <w:color w:val="000000"/>
          <w:szCs w:val="22"/>
          <w:lang w:val="et-EE"/>
        </w:rPr>
        <w:t>-i</w:t>
      </w:r>
      <w:r w:rsidRPr="00EC3BD7">
        <w:rPr>
          <w:color w:val="000000"/>
          <w:szCs w:val="22"/>
          <w:lang w:val="et-EE"/>
        </w:rPr>
        <w:t xml:space="preserve"> patsientidel ja verejooks (hematoom, hemorraagia) GIST</w:t>
      </w:r>
      <w:r w:rsidR="00605733">
        <w:rPr>
          <w:color w:val="000000"/>
          <w:szCs w:val="22"/>
          <w:lang w:val="et-EE"/>
        </w:rPr>
        <w:t>-i</w:t>
      </w:r>
      <w:r w:rsidRPr="00EC3BD7">
        <w:rPr>
          <w:color w:val="000000"/>
          <w:szCs w:val="22"/>
          <w:lang w:val="et-EE"/>
        </w:rPr>
        <w:t xml:space="preserve"> ja transformeerunud </w:t>
      </w:r>
      <w:smartTag w:uri="urn:schemas-microsoft-com:office:smarttags" w:element="stockticker">
        <w:r w:rsidRPr="00EC3BD7">
          <w:rPr>
            <w:color w:val="000000"/>
            <w:szCs w:val="22"/>
            <w:lang w:val="et-EE"/>
          </w:rPr>
          <w:t>KML</w:t>
        </w:r>
        <w:r w:rsidR="00605733">
          <w:rPr>
            <w:color w:val="000000"/>
            <w:szCs w:val="22"/>
            <w:lang w:val="et-EE"/>
          </w:rPr>
          <w:t>-i</w:t>
        </w:r>
      </w:smartTag>
      <w:r w:rsidRPr="00EC3BD7">
        <w:rPr>
          <w:color w:val="000000"/>
          <w:szCs w:val="22"/>
          <w:lang w:val="et-EE"/>
        </w:rPr>
        <w:t xml:space="preserve"> (</w:t>
      </w:r>
      <w:smartTag w:uri="urn:schemas-microsoft-com:office:smarttags" w:element="stockticker">
        <w:r w:rsidRPr="00EC3BD7">
          <w:rPr>
            <w:color w:val="000000"/>
            <w:szCs w:val="22"/>
            <w:lang w:val="et-EE"/>
          </w:rPr>
          <w:t>KML</w:t>
        </w:r>
      </w:smartTag>
      <w:r w:rsidRPr="00EC3BD7">
        <w:rPr>
          <w:color w:val="000000"/>
          <w:szCs w:val="22"/>
          <w:lang w:val="et-EE"/>
        </w:rPr>
        <w:t xml:space="preserve">-AP ja </w:t>
      </w:r>
      <w:smartTag w:uri="urn:schemas-microsoft-com:office:smarttags" w:element="stockticker">
        <w:r w:rsidRPr="00EC3BD7">
          <w:rPr>
            <w:color w:val="000000"/>
            <w:szCs w:val="22"/>
            <w:lang w:val="et-EE"/>
          </w:rPr>
          <w:t>KML</w:t>
        </w:r>
      </w:smartTag>
      <w:r w:rsidRPr="00EC3BD7">
        <w:rPr>
          <w:color w:val="000000"/>
          <w:szCs w:val="22"/>
          <w:lang w:val="et-EE"/>
        </w:rPr>
        <w:t>-BC) patsientidel.</w:t>
      </w:r>
    </w:p>
    <w:p w14:paraId="4E6312C6" w14:textId="02D5124F" w:rsidR="00E21A2F" w:rsidRPr="00EC3BD7" w:rsidRDefault="00E21A2F" w:rsidP="00B9089D">
      <w:pPr>
        <w:keepNext/>
        <w:keepLines/>
        <w:widowControl w:val="0"/>
        <w:tabs>
          <w:tab w:val="clear" w:pos="567"/>
        </w:tabs>
        <w:spacing w:line="240" w:lineRule="auto"/>
        <w:ind w:left="567" w:hanging="567"/>
        <w:rPr>
          <w:color w:val="000000"/>
          <w:szCs w:val="22"/>
          <w:lang w:val="et-EE"/>
        </w:rPr>
      </w:pPr>
      <w:r w:rsidRPr="00EC3BD7">
        <w:rPr>
          <w:color w:val="000000"/>
          <w:szCs w:val="22"/>
          <w:lang w:val="et-EE"/>
        </w:rPr>
        <w:t>5</w:t>
      </w:r>
      <w:r w:rsidRPr="00EC3BD7">
        <w:rPr>
          <w:color w:val="000000"/>
          <w:szCs w:val="22"/>
          <w:lang w:val="et-EE"/>
        </w:rPr>
        <w:tab/>
        <w:t>Pleura efusioonist teatati sagedamini GIST</w:t>
      </w:r>
      <w:r w:rsidR="00605733">
        <w:rPr>
          <w:color w:val="000000"/>
          <w:szCs w:val="22"/>
          <w:lang w:val="et-EE"/>
        </w:rPr>
        <w:t>-i</w:t>
      </w:r>
      <w:r w:rsidRPr="00EC3BD7">
        <w:rPr>
          <w:color w:val="000000"/>
          <w:szCs w:val="22"/>
          <w:lang w:val="et-EE"/>
        </w:rPr>
        <w:t xml:space="preserve"> ja transformeerunud </w:t>
      </w:r>
      <w:smartTag w:uri="urn:schemas-microsoft-com:office:smarttags" w:element="stockticker">
        <w:r w:rsidRPr="00EC3BD7">
          <w:rPr>
            <w:color w:val="000000"/>
            <w:szCs w:val="22"/>
            <w:lang w:val="et-EE"/>
          </w:rPr>
          <w:t>KML</w:t>
        </w:r>
        <w:r w:rsidR="00605733">
          <w:rPr>
            <w:color w:val="000000"/>
            <w:szCs w:val="22"/>
            <w:lang w:val="et-EE"/>
          </w:rPr>
          <w:t>-i</w:t>
        </w:r>
      </w:smartTag>
      <w:r w:rsidRPr="00EC3BD7">
        <w:rPr>
          <w:color w:val="000000"/>
          <w:szCs w:val="22"/>
          <w:lang w:val="et-EE"/>
        </w:rPr>
        <w:t xml:space="preserve"> (</w:t>
      </w:r>
      <w:smartTag w:uri="urn:schemas-microsoft-com:office:smarttags" w:element="stockticker">
        <w:r w:rsidRPr="00EC3BD7">
          <w:rPr>
            <w:color w:val="000000"/>
            <w:szCs w:val="22"/>
            <w:lang w:val="et-EE"/>
          </w:rPr>
          <w:t>KML</w:t>
        </w:r>
      </w:smartTag>
      <w:r w:rsidRPr="00EC3BD7">
        <w:rPr>
          <w:color w:val="000000"/>
          <w:szCs w:val="22"/>
          <w:lang w:val="et-EE"/>
        </w:rPr>
        <w:t xml:space="preserve">-AP ja </w:t>
      </w:r>
      <w:smartTag w:uri="urn:schemas-microsoft-com:office:smarttags" w:element="stockticker">
        <w:r w:rsidRPr="00EC3BD7">
          <w:rPr>
            <w:color w:val="000000"/>
            <w:szCs w:val="22"/>
            <w:lang w:val="et-EE"/>
          </w:rPr>
          <w:t>KML</w:t>
        </w:r>
      </w:smartTag>
      <w:r w:rsidRPr="00EC3BD7">
        <w:rPr>
          <w:color w:val="000000"/>
          <w:szCs w:val="22"/>
          <w:lang w:val="et-EE"/>
        </w:rPr>
        <w:t xml:space="preserve">-BC) patsientidel kui kroonilise </w:t>
      </w:r>
      <w:smartTag w:uri="urn:schemas-microsoft-com:office:smarttags" w:element="stockticker">
        <w:r w:rsidRPr="00EC3BD7">
          <w:rPr>
            <w:color w:val="000000"/>
            <w:szCs w:val="22"/>
            <w:lang w:val="et-EE"/>
          </w:rPr>
          <w:t>KML</w:t>
        </w:r>
        <w:r w:rsidR="00605733">
          <w:rPr>
            <w:color w:val="000000"/>
            <w:szCs w:val="22"/>
            <w:lang w:val="et-EE"/>
          </w:rPr>
          <w:t>-i</w:t>
        </w:r>
      </w:smartTag>
      <w:r w:rsidRPr="00EC3BD7">
        <w:rPr>
          <w:color w:val="000000"/>
          <w:szCs w:val="22"/>
          <w:lang w:val="et-EE"/>
        </w:rPr>
        <w:t xml:space="preserve"> patsientidel.</w:t>
      </w:r>
    </w:p>
    <w:p w14:paraId="49D4165D" w14:textId="61AE2441" w:rsidR="00E21A2F" w:rsidRPr="00EC3BD7" w:rsidRDefault="00E21A2F" w:rsidP="00B9089D">
      <w:pPr>
        <w:keepNext/>
        <w:keepLines/>
        <w:widowControl w:val="0"/>
        <w:tabs>
          <w:tab w:val="clear" w:pos="567"/>
        </w:tabs>
        <w:spacing w:line="240" w:lineRule="auto"/>
        <w:ind w:left="567" w:hanging="567"/>
        <w:rPr>
          <w:color w:val="000000"/>
          <w:szCs w:val="22"/>
          <w:lang w:val="et-EE"/>
        </w:rPr>
      </w:pPr>
      <w:r w:rsidRPr="00EC3BD7">
        <w:rPr>
          <w:color w:val="000000"/>
          <w:szCs w:val="22"/>
          <w:lang w:val="et-EE"/>
        </w:rPr>
        <w:t>6+7</w:t>
      </w:r>
      <w:r w:rsidRPr="00EC3BD7">
        <w:rPr>
          <w:color w:val="000000"/>
          <w:szCs w:val="22"/>
          <w:lang w:val="et-EE"/>
        </w:rPr>
        <w:tab/>
        <w:t>Kõhuvalu ja seedetrakti verejooksu täheldati kõige sagedamini GIST</w:t>
      </w:r>
      <w:r w:rsidR="00605733">
        <w:rPr>
          <w:color w:val="000000"/>
          <w:szCs w:val="22"/>
          <w:lang w:val="et-EE"/>
        </w:rPr>
        <w:t>-i</w:t>
      </w:r>
      <w:r w:rsidRPr="00EC3BD7">
        <w:rPr>
          <w:color w:val="000000"/>
          <w:szCs w:val="22"/>
          <w:lang w:val="et-EE"/>
        </w:rPr>
        <w:t xml:space="preserve"> patsientidel.</w:t>
      </w:r>
    </w:p>
    <w:p w14:paraId="686ABEDB" w14:textId="77777777" w:rsidR="00E21A2F" w:rsidRPr="00EC3BD7" w:rsidRDefault="00E21A2F" w:rsidP="00B9089D">
      <w:pPr>
        <w:keepNext/>
        <w:keepLines/>
        <w:widowControl w:val="0"/>
        <w:tabs>
          <w:tab w:val="clear" w:pos="567"/>
        </w:tabs>
        <w:spacing w:line="240" w:lineRule="auto"/>
        <w:ind w:left="567" w:hanging="567"/>
        <w:rPr>
          <w:color w:val="000000"/>
          <w:szCs w:val="22"/>
          <w:lang w:val="et-EE"/>
        </w:rPr>
      </w:pPr>
      <w:r w:rsidRPr="00EC3BD7">
        <w:rPr>
          <w:color w:val="000000"/>
          <w:szCs w:val="22"/>
          <w:lang w:val="et-EE"/>
        </w:rPr>
        <w:t>8</w:t>
      </w:r>
      <w:r w:rsidRPr="00EC3BD7">
        <w:rPr>
          <w:color w:val="000000"/>
          <w:szCs w:val="22"/>
          <w:lang w:val="et-EE"/>
        </w:rPr>
        <w:tab/>
        <w:t>Teatatud on üksikutest letaalse lõppega maksapuudulikkuse ja maksanekroosi juhtudest.</w:t>
      </w:r>
    </w:p>
    <w:p w14:paraId="6228C5ED" w14:textId="77777777" w:rsidR="004D7075" w:rsidRPr="00EC3BD7" w:rsidRDefault="004D7075" w:rsidP="00B9089D">
      <w:pPr>
        <w:keepNext/>
        <w:keepLines/>
        <w:widowControl w:val="0"/>
        <w:tabs>
          <w:tab w:val="clear" w:pos="567"/>
        </w:tabs>
        <w:spacing w:line="240" w:lineRule="auto"/>
        <w:ind w:left="567" w:hanging="567"/>
        <w:rPr>
          <w:color w:val="000000"/>
          <w:szCs w:val="22"/>
          <w:lang w:val="et-EE"/>
        </w:rPr>
      </w:pPr>
      <w:r w:rsidRPr="00EC3BD7">
        <w:rPr>
          <w:color w:val="000000"/>
          <w:szCs w:val="22"/>
          <w:lang w:val="et-EE"/>
        </w:rPr>
        <w:t>9</w:t>
      </w:r>
      <w:r w:rsidRPr="00EC3BD7">
        <w:rPr>
          <w:color w:val="000000"/>
          <w:szCs w:val="22"/>
          <w:lang w:val="et-EE"/>
        </w:rPr>
        <w:tab/>
        <w:t>Turuletulekujärgselt on täheldatud imatiniibravi ajal või pärast ravi lõppu lihas</w:t>
      </w:r>
      <w:r w:rsidRPr="00EC3BD7">
        <w:rPr>
          <w:color w:val="000000"/>
          <w:szCs w:val="22"/>
          <w:lang w:val="et-EE"/>
        </w:rPr>
        <w:noBreakHyphen/>
        <w:t>skeletivalu.</w:t>
      </w:r>
    </w:p>
    <w:p w14:paraId="513E044A" w14:textId="2D86FD4B" w:rsidR="008F4DAA" w:rsidRPr="00EC3BD7" w:rsidRDefault="004D7075" w:rsidP="00B9089D">
      <w:pPr>
        <w:keepNext/>
        <w:keepLines/>
        <w:widowControl w:val="0"/>
        <w:tabs>
          <w:tab w:val="clear" w:pos="567"/>
        </w:tabs>
        <w:spacing w:line="240" w:lineRule="auto"/>
        <w:ind w:left="567" w:hanging="567"/>
        <w:rPr>
          <w:color w:val="000000"/>
          <w:szCs w:val="22"/>
          <w:lang w:val="et-EE"/>
        </w:rPr>
      </w:pPr>
      <w:r w:rsidRPr="00EC3BD7">
        <w:rPr>
          <w:color w:val="000000"/>
          <w:szCs w:val="22"/>
          <w:lang w:val="et-EE"/>
        </w:rPr>
        <w:t>10</w:t>
      </w:r>
      <w:r w:rsidR="00E21A2F" w:rsidRPr="00EC3BD7">
        <w:rPr>
          <w:color w:val="000000"/>
          <w:szCs w:val="22"/>
          <w:lang w:val="et-EE"/>
        </w:rPr>
        <w:tab/>
        <w:t xml:space="preserve">Lihas-skeleti valu ja sellega seotud sümptomeid täheldati sagedamini </w:t>
      </w:r>
      <w:smartTag w:uri="urn:schemas-microsoft-com:office:smarttags" w:element="stockticker">
        <w:r w:rsidR="00E21A2F" w:rsidRPr="00EC3BD7">
          <w:rPr>
            <w:color w:val="000000"/>
            <w:szCs w:val="22"/>
            <w:lang w:val="et-EE"/>
          </w:rPr>
          <w:t>KML</w:t>
        </w:r>
        <w:r w:rsidR="00605733">
          <w:rPr>
            <w:color w:val="000000"/>
            <w:szCs w:val="22"/>
            <w:lang w:val="et-EE"/>
          </w:rPr>
          <w:t>-i</w:t>
        </w:r>
      </w:smartTag>
      <w:r w:rsidR="00E21A2F" w:rsidRPr="00EC3BD7">
        <w:rPr>
          <w:color w:val="000000"/>
          <w:szCs w:val="22"/>
          <w:lang w:val="et-EE"/>
        </w:rPr>
        <w:t xml:space="preserve"> patsientidel kui GIST</w:t>
      </w:r>
      <w:r w:rsidR="00605733">
        <w:rPr>
          <w:color w:val="000000"/>
          <w:szCs w:val="22"/>
          <w:lang w:val="et-EE"/>
        </w:rPr>
        <w:t>-i</w:t>
      </w:r>
      <w:r w:rsidR="00E21A2F" w:rsidRPr="00EC3BD7">
        <w:rPr>
          <w:color w:val="000000"/>
          <w:szCs w:val="22"/>
          <w:lang w:val="et-EE"/>
        </w:rPr>
        <w:t xml:space="preserve"> patsientidel.</w:t>
      </w:r>
    </w:p>
    <w:p w14:paraId="53377A00" w14:textId="77777777" w:rsidR="00E21A2F" w:rsidRPr="00EC3BD7" w:rsidRDefault="008F4DAA" w:rsidP="008B1609">
      <w:pPr>
        <w:keepLines/>
        <w:widowControl w:val="0"/>
        <w:tabs>
          <w:tab w:val="clear" w:pos="567"/>
        </w:tabs>
        <w:spacing w:line="240" w:lineRule="auto"/>
        <w:ind w:left="567" w:hanging="567"/>
        <w:rPr>
          <w:color w:val="000000"/>
          <w:szCs w:val="22"/>
          <w:lang w:val="et-EE"/>
        </w:rPr>
      </w:pPr>
      <w:r w:rsidRPr="00EC3BD7">
        <w:rPr>
          <w:color w:val="000000"/>
          <w:szCs w:val="22"/>
          <w:lang w:val="et-EE"/>
        </w:rPr>
        <w:t>1</w:t>
      </w:r>
      <w:r w:rsidR="004D7075" w:rsidRPr="00EC3BD7">
        <w:rPr>
          <w:color w:val="000000"/>
          <w:szCs w:val="22"/>
          <w:lang w:val="et-EE"/>
        </w:rPr>
        <w:t>1</w:t>
      </w:r>
      <w:r w:rsidRPr="00EC3BD7">
        <w:rPr>
          <w:color w:val="000000"/>
          <w:szCs w:val="22"/>
          <w:lang w:val="et-EE"/>
        </w:rPr>
        <w:tab/>
        <w:t>Surmaga lõppenud juhtudest on teatatud kaugelearenenud haiguse, ägedate infektsioonide, ägeda neutropeenia ja teiste tõsiste kaasuvate seisunditega patsientidel.</w:t>
      </w:r>
    </w:p>
    <w:p w14:paraId="12503A27" w14:textId="77777777" w:rsidR="00E21A2F" w:rsidRPr="00EC3BD7" w:rsidRDefault="00E21A2F" w:rsidP="00E21A2F">
      <w:pPr>
        <w:widowControl w:val="0"/>
        <w:spacing w:line="240" w:lineRule="auto"/>
        <w:rPr>
          <w:color w:val="000000"/>
          <w:szCs w:val="22"/>
          <w:lang w:val="et-EE"/>
        </w:rPr>
      </w:pPr>
    </w:p>
    <w:p w14:paraId="2AD3B014" w14:textId="77777777" w:rsidR="00E21A2F" w:rsidRPr="00EC3BD7" w:rsidRDefault="00E21A2F" w:rsidP="00B9089D">
      <w:pPr>
        <w:pStyle w:val="Heading4"/>
        <w:widowControl w:val="0"/>
        <w:spacing w:line="240" w:lineRule="auto"/>
        <w:jc w:val="left"/>
        <w:rPr>
          <w:b w:val="0"/>
          <w:noProof w:val="0"/>
          <w:color w:val="000000"/>
          <w:szCs w:val="22"/>
          <w:u w:val="single"/>
          <w:lang w:val="et-EE"/>
        </w:rPr>
      </w:pPr>
      <w:r w:rsidRPr="00EC3BD7">
        <w:rPr>
          <w:b w:val="0"/>
          <w:noProof w:val="0"/>
          <w:color w:val="000000"/>
          <w:szCs w:val="22"/>
          <w:u w:val="single"/>
          <w:lang w:val="et-EE"/>
        </w:rPr>
        <w:t>Kõrvalekalded laboratoorsetes analüüsides</w:t>
      </w:r>
    </w:p>
    <w:p w14:paraId="1616B4CD" w14:textId="77777777" w:rsidR="00E21A2F" w:rsidRPr="00EC3BD7" w:rsidRDefault="00E21A2F" w:rsidP="00B9089D">
      <w:pPr>
        <w:pStyle w:val="Text"/>
        <w:keepNext/>
        <w:widowControl w:val="0"/>
        <w:spacing w:before="0"/>
        <w:jc w:val="left"/>
        <w:rPr>
          <w:i/>
          <w:color w:val="000000"/>
          <w:sz w:val="22"/>
          <w:szCs w:val="22"/>
          <w:lang w:val="et-EE"/>
        </w:rPr>
      </w:pPr>
      <w:r w:rsidRPr="00EC3BD7">
        <w:rPr>
          <w:i/>
          <w:color w:val="000000"/>
          <w:sz w:val="22"/>
          <w:szCs w:val="22"/>
          <w:lang w:val="et-EE"/>
        </w:rPr>
        <w:t>Hematoloogia</w:t>
      </w:r>
    </w:p>
    <w:p w14:paraId="0022E588" w14:textId="08A57439" w:rsidR="00E21A2F" w:rsidRPr="00EC3BD7" w:rsidRDefault="00E21A2F" w:rsidP="00E21A2F">
      <w:pPr>
        <w:pStyle w:val="Text"/>
        <w:widowControl w:val="0"/>
        <w:spacing w:before="0"/>
        <w:jc w:val="left"/>
        <w:rPr>
          <w:color w:val="000000"/>
          <w:sz w:val="22"/>
          <w:szCs w:val="22"/>
          <w:lang w:val="et-EE"/>
        </w:rPr>
      </w:pPr>
      <w:r w:rsidRPr="00605733">
        <w:rPr>
          <w:color w:val="000000"/>
          <w:sz w:val="22"/>
          <w:szCs w:val="22"/>
          <w:lang w:val="et-EE"/>
        </w:rPr>
        <w:t xml:space="preserve">Kõigis </w:t>
      </w:r>
      <w:smartTag w:uri="urn:schemas-microsoft-com:office:smarttags" w:element="stockticker">
        <w:r w:rsidRPr="00605733">
          <w:rPr>
            <w:color w:val="000000"/>
            <w:sz w:val="22"/>
            <w:szCs w:val="22"/>
            <w:lang w:val="et-EE"/>
          </w:rPr>
          <w:t>KML</w:t>
        </w:r>
        <w:r w:rsidR="00605733" w:rsidRPr="00637BB6">
          <w:rPr>
            <w:color w:val="000000"/>
            <w:sz w:val="22"/>
            <w:szCs w:val="22"/>
            <w:lang w:val="et-EE"/>
          </w:rPr>
          <w:t>-i</w:t>
        </w:r>
      </w:smartTag>
      <w:r w:rsidRPr="00605733">
        <w:rPr>
          <w:color w:val="000000"/>
          <w:sz w:val="22"/>
          <w:szCs w:val="22"/>
          <w:lang w:val="et-EE"/>
        </w:rPr>
        <w:t xml:space="preserve"> uuringutes on täheldatud tsütopeeniat, eriti neutropeeniat ja trombotsütopeeniat, kusjuures</w:t>
      </w:r>
      <w:r w:rsidRPr="00EC3BD7">
        <w:rPr>
          <w:color w:val="000000"/>
          <w:sz w:val="22"/>
          <w:szCs w:val="22"/>
          <w:lang w:val="et-EE"/>
        </w:rPr>
        <w:t xml:space="preserve"> esinemissagedus näib olevat suurem suuremate annuste, </w:t>
      </w:r>
      <w:r w:rsidRPr="00EC3BD7">
        <w:rPr>
          <w:color w:val="000000"/>
          <w:sz w:val="22"/>
          <w:szCs w:val="22"/>
          <w:lang w:val="et-EE"/>
        </w:rPr>
        <w:sym w:font="Symbol" w:char="F0B3"/>
      </w:r>
      <w:r w:rsidRPr="00EC3BD7">
        <w:rPr>
          <w:color w:val="000000"/>
          <w:sz w:val="22"/>
          <w:szCs w:val="22"/>
          <w:lang w:val="et-EE"/>
        </w:rPr>
        <w:t xml:space="preserve">750 mg kasutamisel (I faasi uuring). Samas oli tsütopeeniate esinemine selgelt seotud haiguse faasiga – </w:t>
      </w:r>
      <w:smartTag w:uri="urn:schemas-microsoft-com:office:smarttags" w:element="stockticker">
        <w:r w:rsidRPr="00EC3BD7">
          <w:rPr>
            <w:color w:val="000000"/>
            <w:sz w:val="22"/>
            <w:szCs w:val="22"/>
            <w:lang w:val="et-EE"/>
          </w:rPr>
          <w:t>III</w:t>
        </w:r>
      </w:smartTag>
      <w:r w:rsidRPr="00EC3BD7">
        <w:rPr>
          <w:color w:val="000000"/>
          <w:sz w:val="22"/>
          <w:szCs w:val="22"/>
          <w:lang w:val="et-EE"/>
        </w:rPr>
        <w:t xml:space="preserve"> ja IV astme neutropeenia (neutrofiilide absoluutarv &lt;1,0x10</w:t>
      </w:r>
      <w:r w:rsidRPr="00EC3BD7">
        <w:rPr>
          <w:color w:val="000000"/>
          <w:sz w:val="22"/>
          <w:szCs w:val="22"/>
          <w:vertAlign w:val="superscript"/>
          <w:lang w:val="et-EE"/>
        </w:rPr>
        <w:t>9</w:t>
      </w:r>
      <w:r w:rsidRPr="00EC3BD7">
        <w:rPr>
          <w:color w:val="000000"/>
          <w:sz w:val="22"/>
          <w:szCs w:val="22"/>
          <w:lang w:val="et-EE"/>
        </w:rPr>
        <w:t>/l) ja trombotsütopeenia (trombotsüütide arv &lt;50x10</w:t>
      </w:r>
      <w:r w:rsidRPr="00EC3BD7">
        <w:rPr>
          <w:color w:val="000000"/>
          <w:sz w:val="22"/>
          <w:szCs w:val="22"/>
          <w:vertAlign w:val="superscript"/>
          <w:lang w:val="et-EE"/>
        </w:rPr>
        <w:t>9</w:t>
      </w:r>
      <w:r w:rsidRPr="00EC3BD7">
        <w:rPr>
          <w:color w:val="000000"/>
          <w:sz w:val="22"/>
          <w:szCs w:val="22"/>
          <w:lang w:val="et-EE"/>
        </w:rPr>
        <w:t xml:space="preserve">/l) esinemissagedus oli neli kuni kuus korda kõrgem blastse kriisi ja aktseleratsioonifaasi korral (neutropeenia esines vastavalt 59...64% patsientidel ja trombotsütopeenia 44...63% patsientidel) võrreldes kroonilises faasis äsja diagnoositud </w:t>
      </w:r>
      <w:smartTag w:uri="urn:schemas-microsoft-com:office:smarttags" w:element="stockticker">
        <w:r w:rsidRPr="00605733">
          <w:rPr>
            <w:color w:val="000000"/>
            <w:sz w:val="22"/>
            <w:szCs w:val="22"/>
            <w:lang w:val="et-EE"/>
          </w:rPr>
          <w:t>KML</w:t>
        </w:r>
        <w:r w:rsidR="00605733" w:rsidRPr="00637BB6">
          <w:rPr>
            <w:color w:val="000000"/>
            <w:sz w:val="22"/>
            <w:szCs w:val="22"/>
            <w:lang w:val="et-EE"/>
          </w:rPr>
          <w:t>-i</w:t>
        </w:r>
      </w:smartTag>
      <w:r w:rsidRPr="00605733">
        <w:rPr>
          <w:color w:val="000000"/>
          <w:sz w:val="22"/>
          <w:szCs w:val="22"/>
          <w:lang w:val="et-EE"/>
        </w:rPr>
        <w:t xml:space="preserve"> patsientidega</w:t>
      </w:r>
      <w:r w:rsidRPr="00EC3BD7">
        <w:rPr>
          <w:color w:val="000000"/>
          <w:sz w:val="22"/>
          <w:szCs w:val="22"/>
          <w:lang w:val="et-EE"/>
        </w:rPr>
        <w:t xml:space="preserve"> (16,7% patsientidest esines neutropeenia ja 8,9% patsientidest trombotsütopeenia). Äsja diagnoositud kroonilises faasis </w:t>
      </w:r>
      <w:smartTag w:uri="urn:schemas-microsoft-com:office:smarttags" w:element="stockticker">
        <w:r w:rsidRPr="00EC3BD7">
          <w:rPr>
            <w:color w:val="000000"/>
            <w:sz w:val="22"/>
            <w:szCs w:val="22"/>
            <w:lang w:val="et-EE"/>
          </w:rPr>
          <w:t>KML</w:t>
        </w:r>
      </w:smartTag>
      <w:r w:rsidRPr="00EC3BD7">
        <w:rPr>
          <w:color w:val="000000"/>
          <w:sz w:val="22"/>
          <w:szCs w:val="22"/>
          <w:lang w:val="et-EE"/>
        </w:rPr>
        <w:t xml:space="preserve"> korral täheldati IV astme neutropeeniat (neutrofiilide absoluutarv &lt;0,5x10</w:t>
      </w:r>
      <w:r w:rsidRPr="00EC3BD7">
        <w:rPr>
          <w:color w:val="000000"/>
          <w:sz w:val="22"/>
          <w:szCs w:val="22"/>
          <w:vertAlign w:val="superscript"/>
          <w:lang w:val="et-EE"/>
        </w:rPr>
        <w:t>9</w:t>
      </w:r>
      <w:r w:rsidRPr="00EC3BD7">
        <w:rPr>
          <w:color w:val="000000"/>
          <w:sz w:val="22"/>
          <w:szCs w:val="22"/>
          <w:lang w:val="et-EE"/>
        </w:rPr>
        <w:t>/l) ja trombotsütopeeniat (trombotsüütide arv &lt;10x10</w:t>
      </w:r>
      <w:r w:rsidRPr="00EC3BD7">
        <w:rPr>
          <w:color w:val="000000"/>
          <w:sz w:val="22"/>
          <w:szCs w:val="22"/>
          <w:vertAlign w:val="superscript"/>
          <w:lang w:val="et-EE"/>
        </w:rPr>
        <w:t>9</w:t>
      </w:r>
      <w:r w:rsidRPr="00EC3BD7">
        <w:rPr>
          <w:color w:val="000000"/>
          <w:sz w:val="22"/>
          <w:szCs w:val="22"/>
          <w:lang w:val="et-EE"/>
        </w:rPr>
        <w:t xml:space="preserve">/l) vastavalt 3,6% ja vähem kui 1% patsientidest. Neutropeenia ja trombotsütopeenia episoodide keskmine kestus oli tavaliselt vastavalt kaks kuni kolm nädalat ja kolm kuni neli nädalat. Selliseid kõrvalekaldeid saab tavaliselt ravida kas annuse vähendamisega või Gliveci ravi ajutise katkestamisega, harva võib olla vajalik ravi lõplik lõpetamine. </w:t>
      </w:r>
      <w:smartTag w:uri="urn:schemas-microsoft-com:office:smarttags" w:element="stockticker">
        <w:r w:rsidRPr="00EC3BD7">
          <w:rPr>
            <w:color w:val="000000"/>
            <w:sz w:val="22"/>
            <w:szCs w:val="22"/>
            <w:lang w:val="et-EE"/>
          </w:rPr>
          <w:t>KML</w:t>
        </w:r>
      </w:smartTag>
      <w:r w:rsidRPr="00EC3BD7">
        <w:rPr>
          <w:color w:val="000000"/>
          <w:sz w:val="22"/>
          <w:szCs w:val="22"/>
          <w:lang w:val="et-EE"/>
        </w:rPr>
        <w:t xml:space="preserve"> korral täheldati lastel kõige sagedamini </w:t>
      </w:r>
      <w:smartTag w:uri="urn:schemas-microsoft-com:office:smarttags" w:element="stockticker">
        <w:r w:rsidRPr="00EC3BD7">
          <w:rPr>
            <w:color w:val="000000"/>
            <w:sz w:val="22"/>
            <w:szCs w:val="22"/>
            <w:lang w:val="et-EE"/>
          </w:rPr>
          <w:t>III</w:t>
        </w:r>
      </w:smartTag>
      <w:r w:rsidRPr="00EC3BD7">
        <w:rPr>
          <w:color w:val="000000"/>
          <w:sz w:val="22"/>
          <w:szCs w:val="22"/>
          <w:lang w:val="et-EE"/>
        </w:rPr>
        <w:t xml:space="preserve"> või IV astme tsütopeeniat, sealhulgas neutropeeniat, trombotsütopeeniat ja aneemiat. Tavaliselt esinesid need esimeste ravikuude jooksul.</w:t>
      </w:r>
    </w:p>
    <w:p w14:paraId="55CC49B4" w14:textId="77777777" w:rsidR="00E21A2F" w:rsidRPr="00EC3BD7" w:rsidRDefault="00E21A2F" w:rsidP="00E21A2F">
      <w:pPr>
        <w:pStyle w:val="Text"/>
        <w:widowControl w:val="0"/>
        <w:spacing w:before="0"/>
        <w:jc w:val="left"/>
        <w:rPr>
          <w:color w:val="000000"/>
          <w:sz w:val="22"/>
          <w:szCs w:val="22"/>
          <w:lang w:val="et-EE"/>
        </w:rPr>
      </w:pPr>
    </w:p>
    <w:p w14:paraId="19345A2F" w14:textId="51C4C5BB" w:rsidR="00E21A2F" w:rsidRPr="00EC3BD7" w:rsidRDefault="00E21A2F" w:rsidP="00E21A2F">
      <w:pPr>
        <w:pStyle w:val="Text"/>
        <w:widowControl w:val="0"/>
        <w:spacing w:before="0"/>
        <w:jc w:val="left"/>
        <w:rPr>
          <w:color w:val="000000"/>
          <w:sz w:val="22"/>
          <w:szCs w:val="22"/>
          <w:lang w:val="et-EE"/>
        </w:rPr>
      </w:pPr>
      <w:r w:rsidRPr="00EC3BD7">
        <w:rPr>
          <w:color w:val="000000"/>
          <w:sz w:val="22"/>
          <w:szCs w:val="22"/>
          <w:lang w:val="et-EE"/>
        </w:rPr>
        <w:t>Mitteopereeritava ja/või metastaseerunud patsientidel täheldati GIST</w:t>
      </w:r>
      <w:r w:rsidR="00605733" w:rsidRPr="00637BB6">
        <w:rPr>
          <w:color w:val="000000"/>
          <w:sz w:val="22"/>
          <w:szCs w:val="22"/>
          <w:lang w:val="et-EE"/>
        </w:rPr>
        <w:t>-i</w:t>
      </w:r>
      <w:r w:rsidRPr="00EC3BD7">
        <w:rPr>
          <w:color w:val="000000"/>
          <w:sz w:val="22"/>
          <w:szCs w:val="22"/>
          <w:lang w:val="et-EE"/>
        </w:rPr>
        <w:t xml:space="preserve"> uuringus </w:t>
      </w:r>
      <w:smartTag w:uri="urn:schemas-microsoft-com:office:smarttags" w:element="stockticker">
        <w:r w:rsidRPr="00EC3BD7">
          <w:rPr>
            <w:color w:val="000000"/>
            <w:sz w:val="22"/>
            <w:szCs w:val="22"/>
            <w:lang w:val="et-EE"/>
          </w:rPr>
          <w:t>III</w:t>
        </w:r>
      </w:smartTag>
      <w:r w:rsidRPr="00EC3BD7">
        <w:rPr>
          <w:color w:val="000000"/>
          <w:sz w:val="22"/>
          <w:szCs w:val="22"/>
          <w:lang w:val="et-EE"/>
        </w:rPr>
        <w:t xml:space="preserve"> ja IV astme aneemiat vastavalt 5,4% ja 0,7% patsientidest ja see võis vähemalt osadel patsientidest olla seotud seedetrakti või kasvajasiseste verejooksudega. </w:t>
      </w:r>
      <w:smartTag w:uri="urn:schemas-microsoft-com:office:smarttags" w:element="stockticker">
        <w:r w:rsidRPr="00EC3BD7">
          <w:rPr>
            <w:color w:val="000000"/>
            <w:sz w:val="22"/>
            <w:szCs w:val="22"/>
            <w:lang w:val="et-EE"/>
          </w:rPr>
          <w:t>III</w:t>
        </w:r>
      </w:smartTag>
      <w:r w:rsidRPr="00EC3BD7">
        <w:rPr>
          <w:color w:val="000000"/>
          <w:sz w:val="22"/>
          <w:szCs w:val="22"/>
          <w:lang w:val="et-EE"/>
        </w:rPr>
        <w:t xml:space="preserve"> ja IV astme neutropeeniat täheldati vastavalt 7,5% ja 2,7% patsientidest ning </w:t>
      </w:r>
      <w:smartTag w:uri="urn:schemas-microsoft-com:office:smarttags" w:element="stockticker">
        <w:r w:rsidRPr="00EC3BD7">
          <w:rPr>
            <w:color w:val="000000"/>
            <w:sz w:val="22"/>
            <w:szCs w:val="22"/>
            <w:lang w:val="et-EE"/>
          </w:rPr>
          <w:t>III</w:t>
        </w:r>
      </w:smartTag>
      <w:r w:rsidRPr="00EC3BD7">
        <w:rPr>
          <w:color w:val="000000"/>
          <w:sz w:val="22"/>
          <w:szCs w:val="22"/>
          <w:lang w:val="et-EE"/>
        </w:rPr>
        <w:t> astme trombotsütopeeniat 0,7% patsientidest. Ühelgi patsiendil ei tekkinud IV astme trombotsütopeeniat. Leukotsüütide ja neutrofiilide arvu langus tekkis peamiselt ravi esimese kuue nädala jooksul ja pärast seda püsisid väärtused suhteliselt stabiilsel tasemel.</w:t>
      </w:r>
    </w:p>
    <w:p w14:paraId="08746C22" w14:textId="77777777" w:rsidR="00E21A2F" w:rsidRPr="00EC3BD7" w:rsidRDefault="00E21A2F" w:rsidP="00E21A2F">
      <w:pPr>
        <w:pStyle w:val="Text"/>
        <w:widowControl w:val="0"/>
        <w:spacing w:before="0"/>
        <w:jc w:val="left"/>
        <w:rPr>
          <w:color w:val="000000"/>
          <w:sz w:val="22"/>
          <w:szCs w:val="22"/>
          <w:lang w:val="et-EE"/>
        </w:rPr>
      </w:pPr>
    </w:p>
    <w:p w14:paraId="75650A86" w14:textId="77777777" w:rsidR="00E21A2F" w:rsidRPr="00EC3BD7" w:rsidRDefault="00E21A2F" w:rsidP="008B1609">
      <w:pPr>
        <w:pStyle w:val="Text"/>
        <w:keepNext/>
        <w:widowControl w:val="0"/>
        <w:spacing w:before="0"/>
        <w:jc w:val="left"/>
        <w:rPr>
          <w:color w:val="000000"/>
          <w:sz w:val="22"/>
          <w:szCs w:val="22"/>
          <w:lang w:val="et-EE"/>
        </w:rPr>
      </w:pPr>
      <w:r w:rsidRPr="00EC3BD7">
        <w:rPr>
          <w:i/>
          <w:color w:val="000000"/>
          <w:sz w:val="22"/>
          <w:szCs w:val="22"/>
          <w:lang w:val="et-EE"/>
        </w:rPr>
        <w:t>Biokeemia</w:t>
      </w:r>
    </w:p>
    <w:p w14:paraId="40519D08" w14:textId="22AF2ED1" w:rsidR="00E21A2F" w:rsidRPr="00EC3BD7" w:rsidRDefault="00E21A2F" w:rsidP="00E21A2F">
      <w:pPr>
        <w:pStyle w:val="Text"/>
        <w:widowControl w:val="0"/>
        <w:spacing w:before="0"/>
        <w:jc w:val="left"/>
        <w:rPr>
          <w:color w:val="000000"/>
          <w:sz w:val="22"/>
          <w:szCs w:val="22"/>
          <w:lang w:val="et-EE"/>
        </w:rPr>
      </w:pPr>
      <w:r w:rsidRPr="00EC3BD7">
        <w:rPr>
          <w:color w:val="000000"/>
          <w:sz w:val="22"/>
          <w:szCs w:val="22"/>
          <w:lang w:val="et-EE"/>
        </w:rPr>
        <w:t xml:space="preserve">Transaminaaside aktiivsuse (&lt;5%) või bilirubiini (&lt;1%) taseme rasket tõusu täheldati </w:t>
      </w:r>
      <w:r w:rsidR="00605733">
        <w:rPr>
          <w:color w:val="000000"/>
          <w:sz w:val="22"/>
          <w:szCs w:val="22"/>
          <w:lang w:val="et-EE"/>
        </w:rPr>
        <w:t>K</w:t>
      </w:r>
      <w:r w:rsidRPr="00EC3BD7">
        <w:rPr>
          <w:color w:val="000000"/>
          <w:sz w:val="22"/>
          <w:szCs w:val="22"/>
          <w:lang w:val="et-EE"/>
        </w:rPr>
        <w:t>ML</w:t>
      </w:r>
      <w:r w:rsidR="00605733" w:rsidRPr="00593631">
        <w:rPr>
          <w:color w:val="000000"/>
          <w:sz w:val="22"/>
          <w:szCs w:val="22"/>
          <w:lang w:val="et-EE"/>
        </w:rPr>
        <w:t>-i</w:t>
      </w:r>
      <w:r w:rsidRPr="00EC3BD7">
        <w:rPr>
          <w:color w:val="000000"/>
          <w:sz w:val="22"/>
          <w:szCs w:val="22"/>
          <w:lang w:val="et-EE"/>
        </w:rPr>
        <w:t xml:space="preserve"> </w:t>
      </w:r>
      <w:r w:rsidRPr="00EC3BD7">
        <w:rPr>
          <w:color w:val="000000"/>
          <w:sz w:val="22"/>
          <w:szCs w:val="22"/>
          <w:lang w:val="et-EE"/>
        </w:rPr>
        <w:lastRenderedPageBreak/>
        <w:t xml:space="preserve">patsientidel ja seda raviti tavaliselt annuse vähendamisega või ravi ajutise katkestamisega (taoliste episoodide keskmine kestus oli umbes üks nädal). Maksa laboratoorsete analüüside kõrvalekallete tõttu katkestati ravi vähem kui 1% </w:t>
      </w:r>
      <w:r w:rsidR="00605733">
        <w:rPr>
          <w:color w:val="000000"/>
          <w:sz w:val="22"/>
          <w:szCs w:val="22"/>
          <w:lang w:val="et-EE"/>
        </w:rPr>
        <w:t>K</w:t>
      </w:r>
      <w:r w:rsidRPr="00EC3BD7">
        <w:rPr>
          <w:color w:val="000000"/>
          <w:sz w:val="22"/>
          <w:szCs w:val="22"/>
          <w:lang w:val="et-EE"/>
        </w:rPr>
        <w:t>ML</w:t>
      </w:r>
      <w:r w:rsidR="00605733">
        <w:rPr>
          <w:color w:val="000000"/>
          <w:sz w:val="22"/>
          <w:szCs w:val="22"/>
          <w:lang w:val="et-EE"/>
        </w:rPr>
        <w:t>-i</w:t>
      </w:r>
      <w:r w:rsidRPr="00EC3BD7">
        <w:rPr>
          <w:color w:val="000000"/>
          <w:sz w:val="22"/>
          <w:szCs w:val="22"/>
          <w:lang w:val="et-EE"/>
        </w:rPr>
        <w:t xml:space="preserve"> patsientidest. GIST</w:t>
      </w:r>
      <w:r w:rsidR="00605733" w:rsidRPr="00593631">
        <w:rPr>
          <w:color w:val="000000"/>
          <w:sz w:val="22"/>
          <w:szCs w:val="22"/>
          <w:lang w:val="et-EE"/>
        </w:rPr>
        <w:t>-i</w:t>
      </w:r>
      <w:r w:rsidRPr="00EC3BD7">
        <w:rPr>
          <w:color w:val="000000"/>
          <w:sz w:val="22"/>
          <w:szCs w:val="22"/>
          <w:lang w:val="et-EE"/>
        </w:rPr>
        <w:t xml:space="preserve"> patsientidel (uuring B2222) täheldati 6,8% juhtudest </w:t>
      </w:r>
      <w:smartTag w:uri="urn:schemas-microsoft-com:office:smarttags" w:element="stockticker">
        <w:r w:rsidRPr="00EC3BD7">
          <w:rPr>
            <w:color w:val="000000"/>
            <w:sz w:val="22"/>
            <w:szCs w:val="22"/>
            <w:lang w:val="et-EE"/>
          </w:rPr>
          <w:t>III</w:t>
        </w:r>
      </w:smartTag>
      <w:r w:rsidRPr="00EC3BD7">
        <w:rPr>
          <w:color w:val="000000"/>
          <w:sz w:val="22"/>
          <w:szCs w:val="22"/>
          <w:lang w:val="et-EE"/>
        </w:rPr>
        <w:t xml:space="preserve"> või IV astme AL</w:t>
      </w:r>
      <w:r w:rsidR="00AD37CE" w:rsidRPr="00EC3BD7">
        <w:rPr>
          <w:color w:val="000000"/>
          <w:sz w:val="22"/>
          <w:szCs w:val="22"/>
          <w:lang w:val="et-EE"/>
        </w:rPr>
        <w:t>A</w:t>
      </w:r>
      <w:r w:rsidRPr="00EC3BD7">
        <w:rPr>
          <w:color w:val="000000"/>
          <w:sz w:val="22"/>
          <w:szCs w:val="22"/>
          <w:lang w:val="et-EE"/>
        </w:rPr>
        <w:t xml:space="preserve">T (alaniini aminotransferaasi) taseme suurenemist ja 4,8% </w:t>
      </w:r>
      <w:smartTag w:uri="urn:schemas-microsoft-com:office:smarttags" w:element="stockticker">
        <w:r w:rsidRPr="00EC3BD7">
          <w:rPr>
            <w:color w:val="000000"/>
            <w:sz w:val="22"/>
            <w:szCs w:val="22"/>
            <w:lang w:val="et-EE"/>
          </w:rPr>
          <w:t>III</w:t>
        </w:r>
      </w:smartTag>
      <w:r w:rsidRPr="00EC3BD7">
        <w:rPr>
          <w:color w:val="000000"/>
          <w:sz w:val="22"/>
          <w:szCs w:val="22"/>
          <w:lang w:val="et-EE"/>
        </w:rPr>
        <w:t xml:space="preserve"> või IV astme AS</w:t>
      </w:r>
      <w:r w:rsidR="00AD37CE" w:rsidRPr="00EC3BD7">
        <w:rPr>
          <w:color w:val="000000"/>
          <w:sz w:val="22"/>
          <w:szCs w:val="22"/>
          <w:lang w:val="et-EE"/>
        </w:rPr>
        <w:t>A</w:t>
      </w:r>
      <w:r w:rsidRPr="00EC3BD7">
        <w:rPr>
          <w:color w:val="000000"/>
          <w:sz w:val="22"/>
          <w:szCs w:val="22"/>
          <w:lang w:val="et-EE"/>
        </w:rPr>
        <w:t>T (aspartaadi aminotransferaasi) taseme suurenemist. Bilirubiini taseme suurenemist esines alla 3%.</w:t>
      </w:r>
    </w:p>
    <w:p w14:paraId="16021A8B" w14:textId="77777777" w:rsidR="00E21A2F" w:rsidRPr="00EC3BD7" w:rsidRDefault="00E21A2F" w:rsidP="00E21A2F">
      <w:pPr>
        <w:pStyle w:val="Text"/>
        <w:widowControl w:val="0"/>
        <w:spacing w:before="0"/>
        <w:jc w:val="left"/>
        <w:rPr>
          <w:color w:val="000000"/>
          <w:sz w:val="22"/>
          <w:szCs w:val="22"/>
          <w:lang w:val="et-EE"/>
        </w:rPr>
      </w:pPr>
    </w:p>
    <w:p w14:paraId="69C109C8" w14:textId="77777777" w:rsidR="00E21A2F" w:rsidRPr="00EC3BD7" w:rsidRDefault="00E21A2F" w:rsidP="00E21A2F">
      <w:pPr>
        <w:pStyle w:val="Text"/>
        <w:widowControl w:val="0"/>
        <w:spacing w:before="0"/>
        <w:jc w:val="left"/>
        <w:rPr>
          <w:color w:val="000000"/>
          <w:sz w:val="22"/>
          <w:szCs w:val="22"/>
          <w:lang w:val="et-EE"/>
        </w:rPr>
      </w:pPr>
      <w:r w:rsidRPr="00EC3BD7">
        <w:rPr>
          <w:color w:val="000000"/>
          <w:sz w:val="22"/>
          <w:szCs w:val="22"/>
          <w:lang w:val="et-EE"/>
        </w:rPr>
        <w:t>Täheldati ka tsütolüütilise ja kolestaatilise hepatiidi ja maksapuudulikkuse juhte, mis mõnel juhul oli letaalse lõppega, sealhulgas ühel patsiendil, kes sai paratsetamooli suures annuses.</w:t>
      </w:r>
    </w:p>
    <w:p w14:paraId="2DA11BD8" w14:textId="77777777" w:rsidR="00FE4734" w:rsidRPr="00EC3BD7" w:rsidRDefault="00FE4734" w:rsidP="00FE4734">
      <w:pPr>
        <w:tabs>
          <w:tab w:val="clear" w:pos="567"/>
        </w:tabs>
        <w:spacing w:line="240" w:lineRule="auto"/>
        <w:rPr>
          <w:color w:val="000000"/>
          <w:szCs w:val="22"/>
          <w:lang w:val="et-EE"/>
        </w:rPr>
      </w:pPr>
    </w:p>
    <w:p w14:paraId="18B5ED4F" w14:textId="77777777" w:rsidR="00FE4734" w:rsidRPr="00EC3BD7" w:rsidRDefault="00FE4734" w:rsidP="00FE4734">
      <w:pPr>
        <w:keepNext/>
        <w:tabs>
          <w:tab w:val="clear" w:pos="567"/>
        </w:tabs>
        <w:spacing w:line="240" w:lineRule="auto"/>
        <w:rPr>
          <w:color w:val="000000"/>
          <w:szCs w:val="22"/>
          <w:u w:val="single"/>
          <w:lang w:val="et-EE"/>
        </w:rPr>
      </w:pPr>
      <w:r w:rsidRPr="00EC3BD7">
        <w:rPr>
          <w:color w:val="000000"/>
          <w:szCs w:val="22"/>
          <w:u w:val="single"/>
          <w:lang w:val="et-EE"/>
        </w:rPr>
        <w:t>Valitud kõrvaltoimete kirjeldus</w:t>
      </w:r>
    </w:p>
    <w:p w14:paraId="165DC040" w14:textId="77777777" w:rsidR="00FE4734" w:rsidRPr="00EC3BD7" w:rsidRDefault="00FE4734" w:rsidP="00FE4734">
      <w:pPr>
        <w:keepNext/>
        <w:tabs>
          <w:tab w:val="clear" w:pos="567"/>
        </w:tabs>
        <w:spacing w:line="240" w:lineRule="auto"/>
        <w:rPr>
          <w:i/>
          <w:color w:val="000000"/>
          <w:szCs w:val="22"/>
          <w:u w:val="single"/>
          <w:lang w:val="et-EE"/>
        </w:rPr>
      </w:pPr>
      <w:r w:rsidRPr="00EC3BD7">
        <w:rPr>
          <w:i/>
          <w:color w:val="000000"/>
          <w:szCs w:val="22"/>
          <w:u w:val="single"/>
          <w:lang w:val="et-EE"/>
        </w:rPr>
        <w:t>B-hepatiidi reaktivatsioon</w:t>
      </w:r>
    </w:p>
    <w:p w14:paraId="25A514D8" w14:textId="77777777" w:rsidR="00FE4734" w:rsidRPr="00EC3BD7" w:rsidRDefault="00FE4734" w:rsidP="00FE4734">
      <w:pPr>
        <w:tabs>
          <w:tab w:val="clear" w:pos="567"/>
        </w:tabs>
        <w:spacing w:line="240" w:lineRule="auto"/>
        <w:rPr>
          <w:color w:val="000000"/>
          <w:szCs w:val="22"/>
          <w:lang w:val="et-EE"/>
        </w:rPr>
      </w:pPr>
      <w:r w:rsidRPr="00EC3BD7">
        <w:rPr>
          <w:color w:val="000000"/>
          <w:szCs w:val="22"/>
          <w:lang w:val="et-EE"/>
        </w:rPr>
        <w:t>B-hepatiidi reaktivatsioonist on teatatud seoses BCR-ABL-i TKI-dega. Mõnel juhul tekkis äge maksapuudulikkus või fulminantne hepatiit, mille tõttu tekkis maksasiirdamise vajadus või patsient suri (vt lõik 4.4).</w:t>
      </w:r>
    </w:p>
    <w:p w14:paraId="491D61C8" w14:textId="77777777" w:rsidR="00E21A2F" w:rsidRPr="00EC3BD7" w:rsidRDefault="00E21A2F" w:rsidP="00E21A2F">
      <w:pPr>
        <w:autoSpaceDE w:val="0"/>
        <w:autoSpaceDN w:val="0"/>
        <w:adjustRightInd w:val="0"/>
        <w:jc w:val="both"/>
        <w:rPr>
          <w:szCs w:val="24"/>
          <w:u w:val="single"/>
          <w:lang w:val="et-EE"/>
        </w:rPr>
      </w:pPr>
    </w:p>
    <w:p w14:paraId="073D2228" w14:textId="77777777" w:rsidR="00E21A2F" w:rsidRPr="00EC3BD7" w:rsidRDefault="00E21A2F" w:rsidP="00B9089D">
      <w:pPr>
        <w:keepNext/>
        <w:autoSpaceDE w:val="0"/>
        <w:autoSpaceDN w:val="0"/>
        <w:adjustRightInd w:val="0"/>
        <w:jc w:val="both"/>
        <w:rPr>
          <w:szCs w:val="24"/>
          <w:u w:val="single"/>
          <w:lang w:val="et-EE"/>
        </w:rPr>
      </w:pPr>
      <w:r w:rsidRPr="00EC3BD7">
        <w:rPr>
          <w:szCs w:val="24"/>
          <w:u w:val="single"/>
          <w:lang w:val="et-EE"/>
        </w:rPr>
        <w:t>Võimalikest kõrvaltoimetest teavitamine</w:t>
      </w:r>
    </w:p>
    <w:p w14:paraId="4F540C9B" w14:textId="77777777" w:rsidR="00E21A2F" w:rsidRPr="00EC3BD7" w:rsidRDefault="00E21A2F" w:rsidP="00E21A2F">
      <w:pPr>
        <w:pStyle w:val="Text"/>
        <w:widowControl w:val="0"/>
        <w:spacing w:before="0"/>
        <w:jc w:val="left"/>
        <w:rPr>
          <w:sz w:val="22"/>
          <w:szCs w:val="24"/>
          <w:lang w:val="et-EE"/>
        </w:rPr>
      </w:pPr>
      <w:r w:rsidRPr="00EC3BD7">
        <w:rPr>
          <w:sz w:val="22"/>
          <w:szCs w:val="24"/>
          <w:lang w:val="et-EE"/>
        </w:rPr>
        <w:t xml:space="preserve">Ravimi võimalikest kõrvaltoimetest on oluline teavitada ka pärast ravimi müügiloa väljastamist. See võimaldab jätkuvalt hinnata ravimi kasu/riski suhet. Tervishoiutöötajatel palutakse teavitada kõigist võimalikest kõrvaltoimetest </w:t>
      </w:r>
      <w:r w:rsidRPr="00EC3BD7">
        <w:rPr>
          <w:sz w:val="22"/>
          <w:szCs w:val="24"/>
          <w:shd w:val="pct15" w:color="auto" w:fill="auto"/>
          <w:lang w:val="et-EE"/>
        </w:rPr>
        <w:t xml:space="preserve">riikliku teavitamissüsteemi, mis on loetletud </w:t>
      </w:r>
      <w:hyperlink r:id="rId15" w:history="1">
        <w:r w:rsidRPr="00EC3BD7">
          <w:rPr>
            <w:color w:val="0000FF"/>
            <w:sz w:val="22"/>
            <w:szCs w:val="24"/>
            <w:u w:val="single"/>
            <w:shd w:val="pct15" w:color="auto" w:fill="auto"/>
            <w:lang w:val="et-EE"/>
          </w:rPr>
          <w:t>V lisas</w:t>
        </w:r>
      </w:hyperlink>
      <w:r w:rsidRPr="00EC3BD7">
        <w:rPr>
          <w:sz w:val="22"/>
          <w:szCs w:val="24"/>
          <w:shd w:val="pct15" w:color="auto" w:fill="auto"/>
          <w:lang w:val="et-EE"/>
        </w:rPr>
        <w:t>,</w:t>
      </w:r>
      <w:r w:rsidRPr="00EC3BD7">
        <w:rPr>
          <w:sz w:val="22"/>
          <w:szCs w:val="24"/>
          <w:lang w:val="et-EE"/>
        </w:rPr>
        <w:t xml:space="preserve"> kaudu.</w:t>
      </w:r>
    </w:p>
    <w:p w14:paraId="6674795D" w14:textId="77777777" w:rsidR="00E21A2F" w:rsidRPr="00EC3BD7" w:rsidRDefault="00E21A2F" w:rsidP="00E21A2F">
      <w:pPr>
        <w:pStyle w:val="Text"/>
        <w:widowControl w:val="0"/>
        <w:spacing w:before="0"/>
        <w:jc w:val="left"/>
        <w:rPr>
          <w:color w:val="000000"/>
          <w:sz w:val="22"/>
          <w:szCs w:val="22"/>
          <w:lang w:val="et-EE"/>
        </w:rPr>
      </w:pPr>
    </w:p>
    <w:p w14:paraId="1D60C392" w14:textId="77777777" w:rsidR="00E21A2F" w:rsidRPr="00EC3BD7" w:rsidRDefault="00E21A2F" w:rsidP="00B9089D">
      <w:pPr>
        <w:keepNext/>
        <w:widowControl w:val="0"/>
        <w:tabs>
          <w:tab w:val="clear" w:pos="567"/>
        </w:tabs>
        <w:spacing w:line="240" w:lineRule="auto"/>
        <w:ind w:left="567" w:hanging="567"/>
        <w:rPr>
          <w:b/>
          <w:color w:val="000000"/>
          <w:szCs w:val="22"/>
          <w:lang w:val="et-EE"/>
        </w:rPr>
      </w:pPr>
      <w:r w:rsidRPr="00EC3BD7">
        <w:rPr>
          <w:b/>
          <w:color w:val="000000"/>
          <w:szCs w:val="22"/>
          <w:lang w:val="et-EE"/>
        </w:rPr>
        <w:t>4.9</w:t>
      </w:r>
      <w:r w:rsidRPr="00EC3BD7">
        <w:rPr>
          <w:b/>
          <w:color w:val="000000"/>
          <w:szCs w:val="22"/>
          <w:lang w:val="et-EE"/>
        </w:rPr>
        <w:tab/>
        <w:t>Üleannustamine</w:t>
      </w:r>
    </w:p>
    <w:p w14:paraId="243B8943" w14:textId="77777777" w:rsidR="00E21A2F" w:rsidRPr="00EC3BD7" w:rsidRDefault="00E21A2F" w:rsidP="00B9089D">
      <w:pPr>
        <w:keepNext/>
        <w:widowControl w:val="0"/>
        <w:tabs>
          <w:tab w:val="clear" w:pos="567"/>
        </w:tabs>
        <w:spacing w:line="240" w:lineRule="auto"/>
        <w:ind w:left="567" w:hanging="567"/>
        <w:rPr>
          <w:color w:val="000000"/>
          <w:szCs w:val="22"/>
          <w:lang w:val="et-EE"/>
        </w:rPr>
      </w:pPr>
    </w:p>
    <w:p w14:paraId="1B0DA549" w14:textId="77777777" w:rsidR="00E21A2F" w:rsidRPr="00EC3BD7" w:rsidRDefault="00E21A2F" w:rsidP="00E21A2F">
      <w:pPr>
        <w:widowControl w:val="0"/>
        <w:rPr>
          <w:color w:val="000000"/>
          <w:szCs w:val="22"/>
          <w:lang w:val="et-EE"/>
        </w:rPr>
      </w:pPr>
      <w:r w:rsidRPr="00EC3BD7">
        <w:rPr>
          <w:color w:val="000000"/>
          <w:szCs w:val="22"/>
          <w:lang w:val="et-EE"/>
        </w:rPr>
        <w:t>Soovitatud terapeutilisest annusest suuremate annuste kasutamise kogemus on vähene. Spontaanselt ja kirjanduses on teatatud üksikutest Gliveci üleannustamise juhtudest. Üleannustamise korral tuleb patsienti jälgida ja alustada sobivat sümptomaatilist ravi. Üldiselt oli nende juhtude puhul kirjeldatud lõpptulemus “paranenud” või “tervenenud”. Erinevate annusevahemike puhul kirjeldatud nähud on järgmised:</w:t>
      </w:r>
    </w:p>
    <w:p w14:paraId="758AA21B" w14:textId="77777777" w:rsidR="00E21A2F" w:rsidRPr="00EC3BD7" w:rsidRDefault="00E21A2F" w:rsidP="00E21A2F">
      <w:pPr>
        <w:widowControl w:val="0"/>
        <w:rPr>
          <w:color w:val="000000"/>
          <w:szCs w:val="22"/>
          <w:lang w:val="et-EE"/>
        </w:rPr>
      </w:pPr>
    </w:p>
    <w:p w14:paraId="6279D5AD" w14:textId="77777777" w:rsidR="00E21A2F" w:rsidRPr="00EC3BD7" w:rsidRDefault="00E21A2F" w:rsidP="00B9089D">
      <w:pPr>
        <w:keepNext/>
        <w:widowControl w:val="0"/>
        <w:rPr>
          <w:i/>
          <w:color w:val="000000"/>
          <w:szCs w:val="22"/>
          <w:lang w:val="et-EE"/>
        </w:rPr>
      </w:pPr>
      <w:r w:rsidRPr="00EC3BD7">
        <w:rPr>
          <w:i/>
          <w:color w:val="000000"/>
          <w:szCs w:val="22"/>
          <w:lang w:val="et-EE"/>
        </w:rPr>
        <w:t>Täiskasvanud</w:t>
      </w:r>
    </w:p>
    <w:p w14:paraId="77072F07" w14:textId="77777777" w:rsidR="00E21A2F" w:rsidRPr="00EC3BD7" w:rsidRDefault="00E21A2F" w:rsidP="00E21A2F">
      <w:pPr>
        <w:pStyle w:val="Text"/>
        <w:spacing w:before="0"/>
        <w:jc w:val="left"/>
        <w:rPr>
          <w:color w:val="000000"/>
          <w:sz w:val="22"/>
          <w:szCs w:val="22"/>
          <w:lang w:val="et-EE"/>
        </w:rPr>
      </w:pPr>
      <w:r w:rsidRPr="00EC3BD7">
        <w:rPr>
          <w:color w:val="000000"/>
          <w:sz w:val="22"/>
          <w:szCs w:val="22"/>
          <w:lang w:val="et-EE"/>
        </w:rPr>
        <w:t>1200...1600 mg (kestus vahemikus 1...10 päeva): iiveldus, oksendamine, kõhulahtisus, lööve, erüteem, ödeem, tursed, väsimus, lihasspasmid, trombotsütopeenia, pantsütopeenia, kõhuvalu, peavalu, söögiisu vähenemine.</w:t>
      </w:r>
    </w:p>
    <w:p w14:paraId="69A40FEF" w14:textId="77777777" w:rsidR="00E21A2F" w:rsidRPr="00EC3BD7" w:rsidRDefault="00E21A2F" w:rsidP="00E21A2F">
      <w:pPr>
        <w:pStyle w:val="Text"/>
        <w:spacing w:before="0"/>
        <w:jc w:val="left"/>
        <w:rPr>
          <w:color w:val="000000"/>
          <w:sz w:val="22"/>
          <w:szCs w:val="22"/>
          <w:lang w:val="et-EE"/>
        </w:rPr>
      </w:pPr>
      <w:r w:rsidRPr="00EC3BD7">
        <w:rPr>
          <w:color w:val="000000"/>
          <w:sz w:val="22"/>
          <w:szCs w:val="22"/>
          <w:lang w:val="et-EE"/>
        </w:rPr>
        <w:t>1800...3200 mg (kuni 3200 mg ööpäevas 6 päeva jooksul): nõrkus, lihasvalu, kreatiinfosfokinaasi taseme tõus, bilirubiinisisalduse suurenemine, seedetrakti valu.</w:t>
      </w:r>
    </w:p>
    <w:p w14:paraId="56042F58" w14:textId="77777777" w:rsidR="00E21A2F" w:rsidRPr="00EC3BD7" w:rsidRDefault="00E21A2F" w:rsidP="00E21A2F">
      <w:pPr>
        <w:pStyle w:val="Text"/>
        <w:spacing w:before="0"/>
        <w:jc w:val="left"/>
        <w:rPr>
          <w:color w:val="000000"/>
          <w:sz w:val="22"/>
          <w:szCs w:val="22"/>
          <w:lang w:val="et-EE"/>
        </w:rPr>
      </w:pPr>
      <w:r w:rsidRPr="00EC3BD7">
        <w:rPr>
          <w:color w:val="000000"/>
          <w:sz w:val="22"/>
          <w:szCs w:val="22"/>
          <w:lang w:val="et-EE"/>
        </w:rPr>
        <w:t>6400 mg (ühekordne annus): kirjanduses on teatatud ühest juhust ühel patsiendil, kellel tekkisid iiveldus, oksendamine, kõhuvalu, palavik, näo turse, neutrofiilide arvu langus, maksa aminotransferaaside aktiivsuse suurenemine.</w:t>
      </w:r>
    </w:p>
    <w:p w14:paraId="799935E8" w14:textId="77777777" w:rsidR="00E21A2F" w:rsidRPr="00EC3BD7" w:rsidRDefault="00E21A2F" w:rsidP="00E21A2F">
      <w:pPr>
        <w:pStyle w:val="Text"/>
        <w:spacing w:before="0"/>
        <w:jc w:val="left"/>
        <w:rPr>
          <w:color w:val="000000"/>
          <w:sz w:val="22"/>
          <w:szCs w:val="22"/>
          <w:lang w:val="et-EE"/>
        </w:rPr>
      </w:pPr>
      <w:r w:rsidRPr="00EC3BD7">
        <w:rPr>
          <w:color w:val="000000"/>
          <w:sz w:val="22"/>
          <w:szCs w:val="22"/>
          <w:lang w:val="et-EE"/>
        </w:rPr>
        <w:t>8...10 g (ühekordne annus): kirjeldatud on oksendamist ja seedetrakti valu.</w:t>
      </w:r>
    </w:p>
    <w:p w14:paraId="05B5F78D" w14:textId="77777777" w:rsidR="00E21A2F" w:rsidRPr="00EC3BD7" w:rsidRDefault="00E21A2F" w:rsidP="00E21A2F">
      <w:pPr>
        <w:widowControl w:val="0"/>
        <w:rPr>
          <w:color w:val="000000"/>
          <w:szCs w:val="22"/>
          <w:lang w:val="et-EE"/>
        </w:rPr>
      </w:pPr>
    </w:p>
    <w:p w14:paraId="30E68FD9" w14:textId="77777777" w:rsidR="00E21A2F" w:rsidRPr="00EC3BD7" w:rsidRDefault="00E21A2F" w:rsidP="00B9089D">
      <w:pPr>
        <w:keepNext/>
        <w:widowControl w:val="0"/>
        <w:rPr>
          <w:i/>
          <w:color w:val="000000"/>
          <w:szCs w:val="22"/>
          <w:lang w:val="et-EE"/>
        </w:rPr>
      </w:pPr>
      <w:r w:rsidRPr="00EC3BD7">
        <w:rPr>
          <w:i/>
          <w:color w:val="000000"/>
          <w:szCs w:val="22"/>
          <w:lang w:val="et-EE"/>
        </w:rPr>
        <w:t>Lapsed</w:t>
      </w:r>
    </w:p>
    <w:p w14:paraId="18295771" w14:textId="77777777" w:rsidR="00E21A2F" w:rsidRPr="00EC3BD7" w:rsidRDefault="00E21A2F" w:rsidP="00E21A2F">
      <w:pPr>
        <w:rPr>
          <w:color w:val="000000"/>
          <w:szCs w:val="22"/>
          <w:lang w:val="et-EE"/>
        </w:rPr>
      </w:pPr>
      <w:r w:rsidRPr="00EC3BD7">
        <w:rPr>
          <w:color w:val="000000"/>
          <w:szCs w:val="22"/>
          <w:lang w:val="et-EE"/>
        </w:rPr>
        <w:t>Ühel 3</w:t>
      </w:r>
      <w:r w:rsidRPr="00EC3BD7">
        <w:rPr>
          <w:color w:val="000000"/>
          <w:szCs w:val="22"/>
          <w:lang w:val="et-EE"/>
        </w:rPr>
        <w:noBreakHyphen/>
        <w:t>aastasel poisil, kes sai ühekordse annusena 400 mg, tekkisid oksendamine, kõhulahtisus ja isutus, ning ühel teisel 3</w:t>
      </w:r>
      <w:r w:rsidRPr="00EC3BD7">
        <w:rPr>
          <w:color w:val="000000"/>
          <w:szCs w:val="22"/>
          <w:lang w:val="et-EE"/>
        </w:rPr>
        <w:noBreakHyphen/>
        <w:t>aastasel poisil, kes sai ühekordse annusena 980 mg, tekkisid valgevereliblede arvu vähenemine ja kõhulahtisus.</w:t>
      </w:r>
    </w:p>
    <w:p w14:paraId="050C5B34" w14:textId="77777777" w:rsidR="00E21A2F" w:rsidRPr="00EC3BD7" w:rsidRDefault="00E21A2F" w:rsidP="00E21A2F">
      <w:pPr>
        <w:widowControl w:val="0"/>
        <w:tabs>
          <w:tab w:val="clear" w:pos="567"/>
        </w:tabs>
        <w:spacing w:line="240" w:lineRule="auto"/>
        <w:ind w:left="567" w:hanging="567"/>
        <w:rPr>
          <w:color w:val="000000"/>
          <w:szCs w:val="22"/>
          <w:lang w:val="et-EE"/>
        </w:rPr>
      </w:pPr>
    </w:p>
    <w:p w14:paraId="46138280" w14:textId="77777777" w:rsidR="00E21A2F" w:rsidRPr="00EC3BD7" w:rsidRDefault="00E21A2F" w:rsidP="00E21A2F">
      <w:pPr>
        <w:widowControl w:val="0"/>
        <w:tabs>
          <w:tab w:val="clear" w:pos="567"/>
        </w:tabs>
        <w:spacing w:line="240" w:lineRule="auto"/>
        <w:rPr>
          <w:color w:val="000000"/>
          <w:szCs w:val="22"/>
          <w:lang w:val="et-EE"/>
        </w:rPr>
      </w:pPr>
      <w:r w:rsidRPr="00EC3BD7">
        <w:rPr>
          <w:color w:val="000000"/>
          <w:szCs w:val="22"/>
          <w:lang w:val="et-EE"/>
        </w:rPr>
        <w:t>Üleannustamise korral tuleb patsienti jälgida ning tagada asjakohane toetav ravi.</w:t>
      </w:r>
    </w:p>
    <w:p w14:paraId="75825392" w14:textId="77777777" w:rsidR="00E21A2F" w:rsidRPr="00EC3BD7" w:rsidRDefault="00E21A2F" w:rsidP="00E21A2F">
      <w:pPr>
        <w:widowControl w:val="0"/>
        <w:tabs>
          <w:tab w:val="clear" w:pos="567"/>
        </w:tabs>
        <w:spacing w:line="240" w:lineRule="auto"/>
        <w:rPr>
          <w:color w:val="000000"/>
          <w:szCs w:val="22"/>
          <w:lang w:val="et-EE"/>
        </w:rPr>
      </w:pPr>
    </w:p>
    <w:p w14:paraId="23CCF789" w14:textId="77777777" w:rsidR="00E21A2F" w:rsidRPr="00EC3BD7" w:rsidRDefault="00E21A2F" w:rsidP="00E21A2F">
      <w:pPr>
        <w:widowControl w:val="0"/>
        <w:tabs>
          <w:tab w:val="clear" w:pos="567"/>
        </w:tabs>
        <w:spacing w:line="240" w:lineRule="auto"/>
        <w:rPr>
          <w:color w:val="000000"/>
          <w:szCs w:val="22"/>
          <w:lang w:val="et-EE"/>
        </w:rPr>
      </w:pPr>
    </w:p>
    <w:p w14:paraId="0941010A" w14:textId="77777777" w:rsidR="00E21A2F" w:rsidRPr="00EC3BD7" w:rsidRDefault="00E21A2F"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5.</w:t>
      </w:r>
      <w:r w:rsidRPr="00EC3BD7">
        <w:rPr>
          <w:b/>
          <w:color w:val="000000"/>
          <w:szCs w:val="22"/>
          <w:lang w:val="et-EE"/>
        </w:rPr>
        <w:tab/>
        <w:t>FARMAKOLOOGILISED OMADUSED</w:t>
      </w:r>
    </w:p>
    <w:p w14:paraId="1DD18DF0" w14:textId="77777777" w:rsidR="00E21A2F" w:rsidRPr="00EC3BD7" w:rsidRDefault="00E21A2F" w:rsidP="00B9089D">
      <w:pPr>
        <w:keepNext/>
        <w:widowControl w:val="0"/>
        <w:tabs>
          <w:tab w:val="clear" w:pos="567"/>
        </w:tabs>
        <w:spacing w:line="240" w:lineRule="auto"/>
        <w:rPr>
          <w:color w:val="000000"/>
          <w:szCs w:val="22"/>
          <w:lang w:val="et-EE"/>
        </w:rPr>
      </w:pPr>
    </w:p>
    <w:p w14:paraId="0B3EF799" w14:textId="77777777" w:rsidR="00E21A2F" w:rsidRPr="00EC3BD7" w:rsidRDefault="00E21A2F"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5.1</w:t>
      </w:r>
      <w:r w:rsidRPr="00EC3BD7">
        <w:rPr>
          <w:b/>
          <w:color w:val="000000"/>
          <w:szCs w:val="22"/>
          <w:lang w:val="et-EE"/>
        </w:rPr>
        <w:tab/>
        <w:t>Farmakodünaamilised omadused</w:t>
      </w:r>
    </w:p>
    <w:p w14:paraId="09AD6008" w14:textId="77777777" w:rsidR="00E21A2F" w:rsidRPr="00EC3BD7" w:rsidRDefault="00E21A2F" w:rsidP="00B9089D">
      <w:pPr>
        <w:pStyle w:val="EndnoteText"/>
        <w:keepNext/>
        <w:widowControl w:val="0"/>
        <w:tabs>
          <w:tab w:val="clear" w:pos="567"/>
        </w:tabs>
        <w:rPr>
          <w:color w:val="000000"/>
          <w:szCs w:val="22"/>
          <w:lang w:val="et-EE"/>
        </w:rPr>
      </w:pPr>
    </w:p>
    <w:p w14:paraId="5B49D644" w14:textId="77777777" w:rsidR="00E21A2F" w:rsidRPr="00EC3BD7" w:rsidRDefault="00E21A2F" w:rsidP="00E21A2F">
      <w:pPr>
        <w:widowControl w:val="0"/>
        <w:tabs>
          <w:tab w:val="clear" w:pos="567"/>
        </w:tabs>
        <w:spacing w:line="240" w:lineRule="auto"/>
        <w:rPr>
          <w:color w:val="000000"/>
          <w:szCs w:val="22"/>
          <w:lang w:val="et-EE"/>
        </w:rPr>
      </w:pPr>
      <w:r w:rsidRPr="00EC3BD7">
        <w:rPr>
          <w:color w:val="000000"/>
          <w:szCs w:val="22"/>
          <w:lang w:val="et-EE"/>
        </w:rPr>
        <w:t>Farmakoterapeutiline rühm: proteiintürosiinkinaasi inhibiitor, ATC-kood: L01XE01</w:t>
      </w:r>
    </w:p>
    <w:p w14:paraId="3AADD3DB" w14:textId="77777777" w:rsidR="00E21A2F" w:rsidRPr="00EC3BD7" w:rsidRDefault="00E21A2F" w:rsidP="00E21A2F">
      <w:pPr>
        <w:widowControl w:val="0"/>
        <w:tabs>
          <w:tab w:val="clear" w:pos="567"/>
        </w:tabs>
        <w:spacing w:line="240" w:lineRule="auto"/>
        <w:rPr>
          <w:color w:val="000000"/>
          <w:szCs w:val="22"/>
          <w:lang w:val="et-EE"/>
        </w:rPr>
      </w:pPr>
    </w:p>
    <w:p w14:paraId="39A55AA4" w14:textId="77777777" w:rsidR="00E21A2F" w:rsidRPr="00EC3BD7" w:rsidRDefault="00E21A2F" w:rsidP="00B9089D">
      <w:pPr>
        <w:keepNext/>
        <w:widowControl w:val="0"/>
        <w:tabs>
          <w:tab w:val="clear" w:pos="567"/>
        </w:tabs>
        <w:spacing w:line="240" w:lineRule="auto"/>
        <w:rPr>
          <w:color w:val="000000"/>
          <w:szCs w:val="22"/>
          <w:u w:val="single"/>
          <w:lang w:val="et-EE"/>
        </w:rPr>
      </w:pPr>
      <w:r w:rsidRPr="00EC3BD7">
        <w:rPr>
          <w:color w:val="000000"/>
          <w:szCs w:val="22"/>
          <w:u w:val="single"/>
          <w:lang w:val="et-EE"/>
        </w:rPr>
        <w:t>Toimemehhanism</w:t>
      </w:r>
    </w:p>
    <w:p w14:paraId="17931681" w14:textId="77777777" w:rsidR="00E21A2F" w:rsidRPr="00EC3BD7" w:rsidRDefault="00E21A2F" w:rsidP="00E21A2F">
      <w:pPr>
        <w:widowControl w:val="0"/>
        <w:tabs>
          <w:tab w:val="clear" w:pos="567"/>
        </w:tabs>
        <w:spacing w:line="240" w:lineRule="auto"/>
        <w:rPr>
          <w:color w:val="000000"/>
          <w:szCs w:val="22"/>
          <w:lang w:val="et-EE"/>
        </w:rPr>
      </w:pPr>
      <w:r w:rsidRPr="00EC3BD7">
        <w:rPr>
          <w:color w:val="000000"/>
          <w:szCs w:val="22"/>
          <w:lang w:val="et-EE"/>
        </w:rPr>
        <w:t xml:space="preserve">Imatiniib on väikesemolekuliline proteiintürosiinkinaasi inhibiitor, mis pärsib tugevalt nii BCR-ABL türosiinkinaasi aktiivsust kui ka mitmeid türosiinkinaasi retseptoreid: c-Kit proto-onkogeeni poolt </w:t>
      </w:r>
      <w:r w:rsidRPr="00EC3BD7">
        <w:rPr>
          <w:color w:val="000000"/>
          <w:szCs w:val="22"/>
          <w:lang w:val="et-EE"/>
        </w:rPr>
        <w:lastRenderedPageBreak/>
        <w:t>kodeeritud tüviraku faktori (SCF) retseptor Kit, diskoidiini domeeni retseptorid (DDR1 ja DDR2), kolooniaid stimuleeriva faktori retseptor (CSF-1R) ja trombotsüütide kasvuteguri retseptorid alfa ja beeta (PDGFR-alfa ja PDGFR-beeta). Imatiniib võib samuti pärssida nende retseptorite kinaaside poolt vahendatud rakulisi protsesse.</w:t>
      </w:r>
    </w:p>
    <w:p w14:paraId="00D30CF0" w14:textId="77777777" w:rsidR="00E21A2F" w:rsidRPr="00EC3BD7" w:rsidRDefault="00E21A2F" w:rsidP="00E21A2F">
      <w:pPr>
        <w:widowControl w:val="0"/>
        <w:tabs>
          <w:tab w:val="clear" w:pos="567"/>
        </w:tabs>
        <w:spacing w:line="240" w:lineRule="auto"/>
        <w:rPr>
          <w:color w:val="000000"/>
          <w:szCs w:val="22"/>
          <w:lang w:val="et-EE"/>
        </w:rPr>
      </w:pPr>
    </w:p>
    <w:p w14:paraId="3BA3FDE6" w14:textId="77777777" w:rsidR="00E21A2F" w:rsidRPr="00EC3BD7" w:rsidRDefault="00E21A2F" w:rsidP="00B9089D">
      <w:pPr>
        <w:keepNext/>
        <w:widowControl w:val="0"/>
        <w:tabs>
          <w:tab w:val="clear" w:pos="567"/>
        </w:tabs>
        <w:spacing w:line="240" w:lineRule="auto"/>
        <w:rPr>
          <w:color w:val="000000"/>
          <w:szCs w:val="22"/>
          <w:lang w:val="et-EE"/>
        </w:rPr>
      </w:pPr>
      <w:r w:rsidRPr="00EC3BD7">
        <w:rPr>
          <w:color w:val="000000"/>
          <w:szCs w:val="22"/>
          <w:u w:val="single"/>
          <w:lang w:val="et-EE"/>
        </w:rPr>
        <w:t>Farmakodünaamilised toimed</w:t>
      </w:r>
    </w:p>
    <w:p w14:paraId="1D502890" w14:textId="080A617B"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 xml:space="preserve">Imatiniib on proteiintürosiinkinaasi inhibiitor, mis pärsib tugevalt </w:t>
      </w:r>
      <w:smartTag w:uri="urn:schemas-microsoft-com:office:smarttags" w:element="stockticker">
        <w:r w:rsidRPr="00EC3BD7">
          <w:rPr>
            <w:color w:val="000000"/>
            <w:szCs w:val="22"/>
            <w:lang w:val="et-EE"/>
          </w:rPr>
          <w:t>BCR</w:t>
        </w:r>
      </w:smartTag>
      <w:r w:rsidRPr="00EC3BD7">
        <w:rPr>
          <w:color w:val="000000"/>
          <w:szCs w:val="22"/>
          <w:lang w:val="et-EE"/>
        </w:rPr>
        <w:t>-</w:t>
      </w:r>
      <w:smartTag w:uri="urn:schemas-microsoft-com:office:smarttags" w:element="stockticker">
        <w:r w:rsidRPr="00EC3BD7">
          <w:rPr>
            <w:color w:val="000000"/>
            <w:szCs w:val="22"/>
            <w:lang w:val="et-EE"/>
          </w:rPr>
          <w:t>ABL</w:t>
        </w:r>
      </w:smartTag>
      <w:r w:rsidRPr="00EC3BD7">
        <w:rPr>
          <w:color w:val="000000"/>
          <w:szCs w:val="22"/>
          <w:lang w:val="et-EE"/>
        </w:rPr>
        <w:t xml:space="preserve"> türosiinkinaasi </w:t>
      </w:r>
      <w:r w:rsidRPr="00EC3BD7">
        <w:rPr>
          <w:i/>
          <w:color w:val="000000"/>
          <w:szCs w:val="22"/>
          <w:lang w:val="et-EE"/>
        </w:rPr>
        <w:t>in vitro</w:t>
      </w:r>
      <w:r w:rsidRPr="00EC3BD7">
        <w:rPr>
          <w:color w:val="000000"/>
          <w:szCs w:val="22"/>
          <w:lang w:val="et-EE"/>
        </w:rPr>
        <w:t xml:space="preserve">, rakulisel ja </w:t>
      </w:r>
      <w:r w:rsidRPr="00EC3BD7">
        <w:rPr>
          <w:i/>
          <w:color w:val="000000"/>
          <w:szCs w:val="22"/>
          <w:lang w:val="et-EE"/>
        </w:rPr>
        <w:t>in vivo</w:t>
      </w:r>
      <w:r w:rsidRPr="00EC3BD7">
        <w:rPr>
          <w:color w:val="000000"/>
          <w:szCs w:val="22"/>
          <w:lang w:val="et-EE"/>
        </w:rPr>
        <w:t xml:space="preserve"> tasemel. Aine pärssis valikuliselt proliferatsiooni ja indutseeris apoptoosi nii </w:t>
      </w:r>
      <w:smartTag w:uri="urn:schemas-microsoft-com:office:smarttags" w:element="stockticker">
        <w:r w:rsidRPr="00EC3BD7">
          <w:rPr>
            <w:color w:val="000000"/>
            <w:szCs w:val="22"/>
            <w:lang w:val="et-EE"/>
          </w:rPr>
          <w:t>BCR</w:t>
        </w:r>
      </w:smartTag>
      <w:r w:rsidRPr="00EC3BD7">
        <w:rPr>
          <w:color w:val="000000"/>
          <w:szCs w:val="22"/>
          <w:lang w:val="et-EE"/>
        </w:rPr>
        <w:t>-</w:t>
      </w:r>
      <w:smartTag w:uri="urn:schemas-microsoft-com:office:smarttags" w:element="stockticker">
        <w:r w:rsidRPr="00EC3BD7">
          <w:rPr>
            <w:color w:val="000000"/>
            <w:szCs w:val="22"/>
            <w:lang w:val="et-EE"/>
          </w:rPr>
          <w:t>ABL</w:t>
        </w:r>
      </w:smartTag>
      <w:r w:rsidRPr="00EC3BD7">
        <w:rPr>
          <w:color w:val="000000"/>
          <w:szCs w:val="22"/>
          <w:lang w:val="et-EE"/>
        </w:rPr>
        <w:t xml:space="preserve"> positiivsetes rakukultuurides kui ka värsketes leukeemiarakkudes, mis pärinesid Philadelphia kromosoom-positiivse </w:t>
      </w:r>
      <w:smartTag w:uri="urn:schemas-microsoft-com:office:smarttags" w:element="stockticker">
        <w:r w:rsidRPr="00EC3BD7">
          <w:rPr>
            <w:color w:val="000000"/>
            <w:szCs w:val="22"/>
            <w:lang w:val="et-EE"/>
          </w:rPr>
          <w:t>KML</w:t>
        </w:r>
        <w:r w:rsidR="00605733" w:rsidRPr="00593631">
          <w:rPr>
            <w:color w:val="000000"/>
            <w:szCs w:val="22"/>
            <w:lang w:val="et-EE"/>
          </w:rPr>
          <w:t>-i</w:t>
        </w:r>
      </w:smartTag>
      <w:r w:rsidRPr="00EC3BD7">
        <w:rPr>
          <w:color w:val="000000"/>
          <w:szCs w:val="22"/>
          <w:lang w:val="et-EE"/>
        </w:rPr>
        <w:t xml:space="preserve"> ja ägeda lümfoblastse leukeemia patsientidelt.</w:t>
      </w:r>
    </w:p>
    <w:p w14:paraId="2730F09C" w14:textId="77777777" w:rsidR="00E21A2F" w:rsidRPr="00EC3BD7" w:rsidRDefault="00E21A2F" w:rsidP="00E21A2F">
      <w:pPr>
        <w:pStyle w:val="EndnoteText"/>
        <w:widowControl w:val="0"/>
        <w:tabs>
          <w:tab w:val="clear" w:pos="567"/>
        </w:tabs>
        <w:rPr>
          <w:color w:val="000000"/>
          <w:szCs w:val="22"/>
          <w:lang w:val="et-EE"/>
        </w:rPr>
      </w:pPr>
    </w:p>
    <w:p w14:paraId="1B8B516A" w14:textId="77777777" w:rsidR="00E21A2F" w:rsidRPr="00EC3BD7" w:rsidRDefault="00E21A2F" w:rsidP="00E21A2F">
      <w:pPr>
        <w:pStyle w:val="EndnoteText"/>
        <w:widowControl w:val="0"/>
        <w:tabs>
          <w:tab w:val="clear" w:pos="567"/>
        </w:tabs>
        <w:rPr>
          <w:color w:val="000000"/>
          <w:szCs w:val="22"/>
          <w:lang w:val="et-EE"/>
        </w:rPr>
      </w:pPr>
      <w:smartTag w:uri="urn:schemas-microsoft-com:office:smarttags" w:element="stockticker">
        <w:r w:rsidRPr="00EC3BD7">
          <w:rPr>
            <w:color w:val="000000"/>
            <w:szCs w:val="22"/>
            <w:lang w:val="et-EE"/>
          </w:rPr>
          <w:t>BCR</w:t>
        </w:r>
      </w:smartTag>
      <w:r w:rsidRPr="00EC3BD7">
        <w:rPr>
          <w:color w:val="000000"/>
          <w:szCs w:val="22"/>
          <w:lang w:val="et-EE"/>
        </w:rPr>
        <w:t>-</w:t>
      </w:r>
      <w:smartTag w:uri="urn:schemas-microsoft-com:office:smarttags" w:element="stockticker">
        <w:r w:rsidRPr="00EC3BD7">
          <w:rPr>
            <w:color w:val="000000"/>
            <w:szCs w:val="22"/>
            <w:lang w:val="et-EE"/>
          </w:rPr>
          <w:t>ABL</w:t>
        </w:r>
      </w:smartTag>
      <w:r w:rsidRPr="00EC3BD7">
        <w:rPr>
          <w:color w:val="000000"/>
          <w:szCs w:val="22"/>
          <w:lang w:val="et-EE"/>
        </w:rPr>
        <w:t>-positiivseid kasvajarakke</w:t>
      </w:r>
      <w:r w:rsidRPr="00EC3BD7">
        <w:rPr>
          <w:i/>
          <w:color w:val="000000"/>
          <w:szCs w:val="22"/>
          <w:lang w:val="et-EE"/>
        </w:rPr>
        <w:t xml:space="preserve"> </w:t>
      </w:r>
      <w:r w:rsidRPr="00EC3BD7">
        <w:rPr>
          <w:color w:val="000000"/>
          <w:szCs w:val="22"/>
          <w:lang w:val="et-EE"/>
        </w:rPr>
        <w:t>kasutavatel</w:t>
      </w:r>
      <w:r w:rsidRPr="00EC3BD7">
        <w:rPr>
          <w:i/>
          <w:color w:val="000000"/>
          <w:szCs w:val="22"/>
          <w:lang w:val="et-EE"/>
        </w:rPr>
        <w:t xml:space="preserve"> in vivo</w:t>
      </w:r>
      <w:r w:rsidRPr="00EC3BD7">
        <w:rPr>
          <w:color w:val="000000"/>
          <w:szCs w:val="22"/>
          <w:lang w:val="et-EE"/>
        </w:rPr>
        <w:t xml:space="preserve"> loommudelitel avaldab ta kasvajavastast toimet.</w:t>
      </w:r>
    </w:p>
    <w:p w14:paraId="4ABF0096" w14:textId="77777777" w:rsidR="00E21A2F" w:rsidRPr="00EC3BD7" w:rsidRDefault="00E21A2F" w:rsidP="00E21A2F">
      <w:pPr>
        <w:pStyle w:val="EndnoteText"/>
        <w:widowControl w:val="0"/>
        <w:tabs>
          <w:tab w:val="clear" w:pos="567"/>
        </w:tabs>
        <w:rPr>
          <w:color w:val="000000"/>
          <w:szCs w:val="22"/>
          <w:lang w:val="et-EE"/>
        </w:rPr>
      </w:pPr>
    </w:p>
    <w:p w14:paraId="1C86535C" w14:textId="416E7857"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 xml:space="preserve">Imatiniib on ühtlasi trombotsüütidelt pärineva kasvufaktori (PDGF), PDGF-Ri, tüviraku faktori (SCF) ja c-Kit retseptori türosiinkinaasi inhibiitor ja pärsib PDGFi ja SCFi vahendusel toimuvaid rakulisi protsesse. </w:t>
      </w:r>
      <w:r w:rsidRPr="00EC3BD7">
        <w:rPr>
          <w:i/>
          <w:color w:val="000000"/>
          <w:szCs w:val="22"/>
          <w:lang w:val="et-EE"/>
        </w:rPr>
        <w:t>In vitro</w:t>
      </w:r>
      <w:r w:rsidRPr="00EC3BD7">
        <w:rPr>
          <w:color w:val="000000"/>
          <w:szCs w:val="22"/>
          <w:lang w:val="et-EE"/>
        </w:rPr>
        <w:t xml:space="preserve"> pärsib imatiniib proliferatsiooni ja indutseerib apoptoosi gastrointestinaalsete stromaaltuumorite (GIST) rakkudes, millel esineb aktiveeriv </w:t>
      </w:r>
      <w:r w:rsidRPr="00EC3BD7">
        <w:rPr>
          <w:i/>
          <w:color w:val="000000"/>
          <w:szCs w:val="22"/>
          <w:lang w:val="et-EE"/>
        </w:rPr>
        <w:t>kit</w:t>
      </w:r>
      <w:r w:rsidRPr="00EC3BD7">
        <w:rPr>
          <w:color w:val="000000"/>
          <w:szCs w:val="22"/>
          <w:lang w:val="et-EE"/>
        </w:rPr>
        <w:t xml:space="preserve"> mutatsioon. Erinevate partnerproteiinide liitumise tagajärjel toimuv PDGF retseptori või Abl proteiini türosiinkinaasi konstitutiivne aktivatsioon või PDGF konstitutiivne produktsioon on seotud </w:t>
      </w:r>
      <w:smartTag w:uri="urn:schemas-microsoft-com:office:smarttags" w:element="stockticker">
        <w:r w:rsidRPr="00EC3BD7">
          <w:rPr>
            <w:color w:val="000000"/>
            <w:szCs w:val="22"/>
            <w:lang w:val="et-EE"/>
          </w:rPr>
          <w:t>MDS</w:t>
        </w:r>
      </w:smartTag>
      <w:r w:rsidRPr="00EC3BD7">
        <w:rPr>
          <w:color w:val="000000"/>
          <w:szCs w:val="22"/>
          <w:lang w:val="et-EE"/>
        </w:rPr>
        <w:t>/MPD, HES/KEL</w:t>
      </w:r>
      <w:r w:rsidR="00605733" w:rsidRPr="00593631">
        <w:rPr>
          <w:color w:val="000000"/>
          <w:szCs w:val="22"/>
          <w:lang w:val="et-EE"/>
        </w:rPr>
        <w:t>-i</w:t>
      </w:r>
      <w:r w:rsidRPr="00EC3BD7">
        <w:rPr>
          <w:color w:val="000000"/>
          <w:szCs w:val="22"/>
          <w:lang w:val="et-EE"/>
        </w:rPr>
        <w:t xml:space="preserve"> ja PDFS</w:t>
      </w:r>
      <w:r w:rsidR="00605733" w:rsidRPr="00593631">
        <w:rPr>
          <w:color w:val="000000"/>
          <w:szCs w:val="22"/>
          <w:lang w:val="et-EE"/>
        </w:rPr>
        <w:t>-i</w:t>
      </w:r>
      <w:r w:rsidRPr="00EC3BD7">
        <w:rPr>
          <w:color w:val="000000"/>
          <w:szCs w:val="22"/>
          <w:lang w:val="et-EE"/>
        </w:rPr>
        <w:t xml:space="preserve"> patogeneesiga. Imatiniib pärsib düsreguleeritud PDGFR ja Abl kinaasi poolt juhitud rakkudes signaali ülekandmist ja proliferatsiooni.</w:t>
      </w:r>
    </w:p>
    <w:p w14:paraId="6838B43B" w14:textId="77777777" w:rsidR="00E21A2F" w:rsidRPr="00EC3BD7" w:rsidRDefault="00E21A2F" w:rsidP="00E21A2F">
      <w:pPr>
        <w:pStyle w:val="EndnoteText"/>
        <w:widowControl w:val="0"/>
        <w:tabs>
          <w:tab w:val="clear" w:pos="567"/>
        </w:tabs>
        <w:rPr>
          <w:color w:val="000000"/>
          <w:szCs w:val="22"/>
          <w:lang w:val="et-EE"/>
        </w:rPr>
      </w:pPr>
    </w:p>
    <w:p w14:paraId="62672408" w14:textId="77777777" w:rsidR="00E21A2F" w:rsidRPr="00EC3BD7" w:rsidRDefault="00E21A2F" w:rsidP="00B9089D">
      <w:pPr>
        <w:pStyle w:val="EndnoteText"/>
        <w:keepNext/>
        <w:widowControl w:val="0"/>
        <w:tabs>
          <w:tab w:val="clear" w:pos="567"/>
        </w:tabs>
        <w:rPr>
          <w:color w:val="000000"/>
          <w:szCs w:val="22"/>
          <w:lang w:val="et-EE"/>
        </w:rPr>
      </w:pPr>
      <w:r w:rsidRPr="00EC3BD7">
        <w:rPr>
          <w:color w:val="000000"/>
          <w:szCs w:val="22"/>
          <w:u w:val="single"/>
          <w:lang w:val="et-EE"/>
        </w:rPr>
        <w:t xml:space="preserve">Kliinilised </w:t>
      </w:r>
      <w:smartTag w:uri="urn:schemas-microsoft-com:office:smarttags" w:element="stockticker">
        <w:r w:rsidRPr="00EC3BD7">
          <w:rPr>
            <w:color w:val="000000"/>
            <w:szCs w:val="22"/>
            <w:u w:val="single"/>
            <w:lang w:val="et-EE"/>
          </w:rPr>
          <w:t>KML</w:t>
        </w:r>
      </w:smartTag>
      <w:r w:rsidRPr="00EC3BD7">
        <w:rPr>
          <w:color w:val="000000"/>
          <w:szCs w:val="22"/>
          <w:u w:val="single"/>
          <w:lang w:val="et-EE"/>
        </w:rPr>
        <w:t xml:space="preserve"> uuringud</w:t>
      </w:r>
    </w:p>
    <w:p w14:paraId="29DE36A0" w14:textId="77777777" w:rsidR="00E21A2F" w:rsidRPr="00EC3BD7" w:rsidRDefault="00E21A2F" w:rsidP="00E21A2F">
      <w:pPr>
        <w:pStyle w:val="EndnoteText"/>
        <w:widowControl w:val="0"/>
        <w:tabs>
          <w:tab w:val="clear" w:pos="567"/>
        </w:tabs>
        <w:rPr>
          <w:color w:val="000000"/>
          <w:szCs w:val="22"/>
          <w:u w:val="single"/>
          <w:lang w:val="et-EE"/>
        </w:rPr>
      </w:pPr>
      <w:r w:rsidRPr="00EC3BD7">
        <w:rPr>
          <w:color w:val="000000"/>
          <w:szCs w:val="22"/>
          <w:lang w:val="et-EE"/>
        </w:rPr>
        <w:t xml:space="preserve">Gliveci efektiivsus põhineb üldisel hematoloogilisel ja tsütogeneetilisel ravivastusel ning progressioonivabal elulemusel. Välja arvatud äsja diagnoositud kroonilises faasis </w:t>
      </w:r>
      <w:smartTag w:uri="urn:schemas-microsoft-com:office:smarttags" w:element="stockticker">
        <w:r w:rsidRPr="00EC3BD7">
          <w:rPr>
            <w:color w:val="000000"/>
            <w:szCs w:val="22"/>
            <w:lang w:val="et-EE"/>
          </w:rPr>
          <w:t>KML</w:t>
        </w:r>
      </w:smartTag>
      <w:r w:rsidRPr="00EC3BD7">
        <w:rPr>
          <w:color w:val="000000"/>
          <w:szCs w:val="22"/>
          <w:lang w:val="et-EE"/>
        </w:rPr>
        <w:t xml:space="preserve"> puhul, ei ole tehtud kontrollrühmaga uuringuid, mis näitaksid kliinilist kasu nagu haigusega seotud sümptomite või elulemuse paranemine.</w:t>
      </w:r>
    </w:p>
    <w:p w14:paraId="4CE26B4C" w14:textId="77777777" w:rsidR="00E21A2F" w:rsidRPr="00EC3BD7" w:rsidRDefault="00E21A2F" w:rsidP="00E21A2F">
      <w:pPr>
        <w:pStyle w:val="EndnoteText"/>
        <w:widowControl w:val="0"/>
        <w:tabs>
          <w:tab w:val="clear" w:pos="567"/>
        </w:tabs>
        <w:rPr>
          <w:color w:val="000000"/>
          <w:szCs w:val="22"/>
          <w:lang w:val="et-EE"/>
        </w:rPr>
      </w:pPr>
    </w:p>
    <w:p w14:paraId="253B0DEA" w14:textId="046A4A98"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 xml:space="preserve">Läbi on viidud kolm suurt rahvusvahelist avatud kontrollgrupita II faasi uuringut Philadelphia kromosoom-positiivse (Ph+) kaugelearenenud, blastses kriisis või aktseleratsioonifaasis </w:t>
      </w:r>
      <w:smartTag w:uri="urn:schemas-microsoft-com:office:smarttags" w:element="stockticker">
        <w:r w:rsidRPr="00EC3BD7">
          <w:rPr>
            <w:color w:val="000000"/>
            <w:szCs w:val="22"/>
            <w:lang w:val="et-EE"/>
          </w:rPr>
          <w:t>KML</w:t>
        </w:r>
        <w:r w:rsidR="00605733" w:rsidRPr="00593631">
          <w:rPr>
            <w:color w:val="000000"/>
            <w:szCs w:val="22"/>
            <w:lang w:val="et-EE"/>
          </w:rPr>
          <w:t>-i</w:t>
        </w:r>
      </w:smartTag>
      <w:r w:rsidRPr="00EC3BD7">
        <w:rPr>
          <w:color w:val="000000"/>
          <w:szCs w:val="22"/>
          <w:lang w:val="et-EE"/>
        </w:rPr>
        <w:t xml:space="preserve"> patsientidel, teiste Ph+ leukeemiatega patsientidel või kroonilises staadiumis, kuid eelnevalt ebaõnnestunud α-interferoonraviga </w:t>
      </w:r>
      <w:smartTag w:uri="urn:schemas-microsoft-com:office:smarttags" w:element="stockticker">
        <w:r w:rsidRPr="00EC3BD7">
          <w:rPr>
            <w:color w:val="000000"/>
            <w:szCs w:val="22"/>
            <w:lang w:val="et-EE"/>
          </w:rPr>
          <w:t>KML</w:t>
        </w:r>
        <w:r w:rsidR="00605733" w:rsidRPr="00593631">
          <w:rPr>
            <w:color w:val="000000"/>
            <w:szCs w:val="22"/>
            <w:lang w:val="et-EE"/>
          </w:rPr>
          <w:t>-i</w:t>
        </w:r>
      </w:smartTag>
      <w:r w:rsidRPr="00EC3BD7">
        <w:rPr>
          <w:color w:val="000000"/>
          <w:szCs w:val="22"/>
          <w:lang w:val="et-EE"/>
        </w:rPr>
        <w:t xml:space="preserve"> patsientidel. Üks suur avatud mitmekeskuseline rahvusvaheline randomiseeritud </w:t>
      </w:r>
      <w:smartTag w:uri="urn:schemas-microsoft-com:office:smarttags" w:element="stockticker">
        <w:r w:rsidRPr="00EC3BD7">
          <w:rPr>
            <w:color w:val="000000"/>
            <w:szCs w:val="22"/>
            <w:lang w:val="et-EE"/>
          </w:rPr>
          <w:t>III</w:t>
        </w:r>
      </w:smartTag>
      <w:r w:rsidRPr="00EC3BD7">
        <w:rPr>
          <w:color w:val="000000"/>
          <w:szCs w:val="22"/>
          <w:lang w:val="et-EE"/>
        </w:rPr>
        <w:t xml:space="preserve"> faasi uuring on tehtud äsja diagnoositud Ph+ </w:t>
      </w:r>
      <w:smartTag w:uri="urn:schemas-microsoft-com:office:smarttags" w:element="stockticker">
        <w:r w:rsidRPr="00EC3BD7">
          <w:rPr>
            <w:color w:val="000000"/>
            <w:szCs w:val="22"/>
            <w:lang w:val="et-EE"/>
          </w:rPr>
          <w:t>KML</w:t>
        </w:r>
        <w:r w:rsidR="00605733" w:rsidRPr="00593631">
          <w:rPr>
            <w:color w:val="000000"/>
            <w:szCs w:val="22"/>
            <w:lang w:val="et-EE"/>
          </w:rPr>
          <w:t>-i</w:t>
        </w:r>
      </w:smartTag>
      <w:r w:rsidRPr="00EC3BD7">
        <w:rPr>
          <w:color w:val="000000"/>
          <w:szCs w:val="22"/>
          <w:lang w:val="et-EE"/>
        </w:rPr>
        <w:t xml:space="preserve"> patsientidel. Lisaks on kahes I faasi ja ühes II faasi uuringus ravitud lapsi.</w:t>
      </w:r>
    </w:p>
    <w:p w14:paraId="65919289" w14:textId="77777777" w:rsidR="00E21A2F" w:rsidRPr="00EC3BD7" w:rsidRDefault="00E21A2F" w:rsidP="00E21A2F">
      <w:pPr>
        <w:pStyle w:val="EndnoteText"/>
        <w:widowControl w:val="0"/>
        <w:tabs>
          <w:tab w:val="clear" w:pos="567"/>
        </w:tabs>
        <w:rPr>
          <w:color w:val="000000"/>
          <w:szCs w:val="22"/>
          <w:lang w:val="et-EE"/>
        </w:rPr>
      </w:pPr>
    </w:p>
    <w:p w14:paraId="1CAF8B61" w14:textId="77777777"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Kõigis kliinilistes uuringutes olid 38...40% patsientidest üle 60</w:t>
      </w:r>
      <w:r w:rsidR="00D0680E" w:rsidRPr="00EC3BD7">
        <w:rPr>
          <w:color w:val="000000"/>
          <w:szCs w:val="22"/>
          <w:lang w:val="et-EE"/>
        </w:rPr>
        <w:noBreakHyphen/>
      </w:r>
      <w:r w:rsidRPr="00EC3BD7">
        <w:rPr>
          <w:color w:val="000000"/>
          <w:szCs w:val="22"/>
          <w:lang w:val="et-EE"/>
        </w:rPr>
        <w:t>aastased ja 10...12% patsientidest olid 70</w:t>
      </w:r>
      <w:r w:rsidR="00D0680E" w:rsidRPr="00EC3BD7">
        <w:rPr>
          <w:color w:val="000000"/>
          <w:szCs w:val="22"/>
          <w:lang w:val="et-EE"/>
        </w:rPr>
        <w:noBreakHyphen/>
      </w:r>
      <w:r w:rsidRPr="00EC3BD7">
        <w:rPr>
          <w:color w:val="000000"/>
          <w:szCs w:val="22"/>
          <w:lang w:val="et-EE"/>
        </w:rPr>
        <w:t>aastased või vanemad.</w:t>
      </w:r>
    </w:p>
    <w:p w14:paraId="1582DA83" w14:textId="77777777" w:rsidR="00E21A2F" w:rsidRPr="00EC3BD7" w:rsidRDefault="00E21A2F" w:rsidP="00E21A2F">
      <w:pPr>
        <w:pStyle w:val="EndnoteText"/>
        <w:widowControl w:val="0"/>
        <w:tabs>
          <w:tab w:val="clear" w:pos="567"/>
        </w:tabs>
        <w:rPr>
          <w:color w:val="000000"/>
          <w:szCs w:val="22"/>
          <w:lang w:val="et-EE"/>
        </w:rPr>
      </w:pPr>
    </w:p>
    <w:p w14:paraId="58059800" w14:textId="77777777" w:rsidR="00E21A2F" w:rsidRPr="00EC3BD7" w:rsidRDefault="00E21A2F" w:rsidP="00E21A2F">
      <w:pPr>
        <w:pStyle w:val="EndnoteText"/>
        <w:widowControl w:val="0"/>
        <w:rPr>
          <w:color w:val="000000"/>
          <w:szCs w:val="22"/>
          <w:lang w:val="et-EE"/>
        </w:rPr>
      </w:pPr>
      <w:r w:rsidRPr="00EC3BD7">
        <w:rPr>
          <w:i/>
          <w:color w:val="000000"/>
          <w:szCs w:val="22"/>
          <w:lang w:val="et-EE"/>
        </w:rPr>
        <w:t>Krooniline staadium, äsja diagnoositud.</w:t>
      </w:r>
      <w:r w:rsidRPr="00EC3BD7">
        <w:rPr>
          <w:color w:val="000000"/>
          <w:szCs w:val="22"/>
          <w:lang w:val="et-EE"/>
        </w:rPr>
        <w:t xml:space="preserve"> Selles </w:t>
      </w:r>
      <w:smartTag w:uri="urn:schemas-microsoft-com:office:smarttags" w:element="stockticker">
        <w:r w:rsidRPr="00EC3BD7">
          <w:rPr>
            <w:color w:val="000000"/>
            <w:szCs w:val="22"/>
            <w:lang w:val="et-EE"/>
          </w:rPr>
          <w:t>III</w:t>
        </w:r>
      </w:smartTag>
      <w:r w:rsidRPr="00EC3BD7">
        <w:rPr>
          <w:color w:val="000000"/>
          <w:szCs w:val="22"/>
          <w:lang w:val="et-EE"/>
        </w:rPr>
        <w:t xml:space="preserve"> faasi uuringus täiskasvanud patsientidel võrreldi Gliveci monoteraapiat α-interferooni (IFN) ja tsütarabiini (Ara-C) kombinatsiooniga. Patsiendid, kellel puudus ravivastus (täieliku hematoloogilise vastuse puudumine kuue kuu möödudes, leukotsüütide arvu suurenemine, olulise tsütogeneetilise vastuse puudumine 24 kuu möödudes), kellel ravivastus kadus (täieliku hematoloogilise ravivastuse või olulise tsütogeneetilise ravivastuse kadu) või kellel arenes raske ravitalumatus, võidi üle viia alternatiivsesse ravirühma. Gliveci rühmas raviti patsiente annusega 400 mg ööpäevas. IFNi rühmas raviti patsiente IFNi sihtannusega 5 MRÜ/m</w:t>
      </w:r>
      <w:r w:rsidRPr="00EC3BD7">
        <w:rPr>
          <w:color w:val="000000"/>
          <w:szCs w:val="22"/>
          <w:vertAlign w:val="superscript"/>
          <w:lang w:val="et-EE"/>
        </w:rPr>
        <w:t>2</w:t>
      </w:r>
      <w:r w:rsidRPr="00EC3BD7">
        <w:rPr>
          <w:color w:val="000000"/>
          <w:szCs w:val="22"/>
          <w:lang w:val="et-EE"/>
        </w:rPr>
        <w:t>/ööpäevas subkutaanselt kombinatsioonis subkutaanse Ara-C annusega 20 mg/m</w:t>
      </w:r>
      <w:r w:rsidRPr="00EC3BD7">
        <w:rPr>
          <w:color w:val="000000"/>
          <w:szCs w:val="22"/>
          <w:vertAlign w:val="superscript"/>
          <w:lang w:val="et-EE"/>
        </w:rPr>
        <w:t>2</w:t>
      </w:r>
      <w:r w:rsidRPr="00EC3BD7">
        <w:rPr>
          <w:color w:val="000000"/>
          <w:szCs w:val="22"/>
          <w:lang w:val="et-EE"/>
        </w:rPr>
        <w:t>/ööpäevas 10 päeva/kuus.</w:t>
      </w:r>
    </w:p>
    <w:p w14:paraId="69A50B9E" w14:textId="77777777" w:rsidR="00E21A2F" w:rsidRPr="00EC3BD7" w:rsidRDefault="00E21A2F" w:rsidP="00E21A2F">
      <w:pPr>
        <w:pStyle w:val="EndnoteText"/>
        <w:widowControl w:val="0"/>
        <w:rPr>
          <w:color w:val="000000"/>
          <w:szCs w:val="22"/>
          <w:lang w:val="et-EE"/>
        </w:rPr>
      </w:pPr>
    </w:p>
    <w:p w14:paraId="7BBBA182" w14:textId="77777777" w:rsidR="00E21A2F" w:rsidRPr="00EC3BD7" w:rsidRDefault="00E21A2F" w:rsidP="00E21A2F">
      <w:pPr>
        <w:pStyle w:val="EndnoteText"/>
        <w:widowControl w:val="0"/>
        <w:rPr>
          <w:color w:val="000000"/>
          <w:szCs w:val="22"/>
          <w:lang w:val="et-EE"/>
        </w:rPr>
      </w:pPr>
      <w:r w:rsidRPr="00EC3BD7">
        <w:rPr>
          <w:color w:val="000000"/>
          <w:szCs w:val="22"/>
          <w:lang w:val="et-EE"/>
        </w:rPr>
        <w:t xml:space="preserve">Kokku randomiseeriti 1106 patsienti, 553 kumbagi rühma. Rühmad olid esialgsete näitajate põhjal hästi tasakaalus. Keskmine vanus oli 51 aastat (vahemik 18...70 aastat), kusjuures 21,9% patsientidest olid 60-aastased ja vanemad. Mehi oli 59% ja naisi 41%; valgeid oli 89,9% ja mustanahalisi 4,7%. Seitse aastat pärast viimase patsiendi uuringusse värbamist oli esmavaliku ravi keskmine kestus 82 ja 8 kuud vastavalt Gliveci ja IFNi rühmas. Teisese valiku Glivec-ravi keskmine kestus oli 64 kuud. Esmavaliku Glivec-ravi saavatel patsientidel oli keskmine ööpäevane annus üldjuhul 406±76 mg. Uuringu esmane tulemusnäitaja oli progressioonivaba elulemus. Progresseerumine defineeriti kui ükskõik milline järgmistest sündmustest: progresseerumine aktseleratsioonifaasi või blastsesse kriisi, surm, täieliku hematoloogilise ravivastuse või olulise tsütogeneetilise ravivastuse kadu või suurenenud </w:t>
      </w:r>
      <w:r w:rsidRPr="00EC3BD7">
        <w:rPr>
          <w:color w:val="000000"/>
          <w:szCs w:val="22"/>
          <w:lang w:val="et-EE"/>
        </w:rPr>
        <w:lastRenderedPageBreak/>
        <w:t>leukotsüütide arv patsientidel, kellel ei saavutatud täielikku hematoloogilist ravivastust asjakohasest ravist hoolimata. Oluline tsütogeneetiline ravivastus, hematoloogiline ravivastus, molekulaarne ravivastus (minimaalse residuaalhaiguse hindamine), ajavahemik aktseleratsioonifaasi või blastse kriisini ja elulemus olid peamised teisesed tulemusnäitajad. Tulemused on toodud tabelis </w:t>
      </w:r>
      <w:r w:rsidR="008F4DAA" w:rsidRPr="00EC3BD7">
        <w:rPr>
          <w:color w:val="000000"/>
          <w:szCs w:val="22"/>
          <w:lang w:val="et-EE"/>
        </w:rPr>
        <w:t>2</w:t>
      </w:r>
      <w:r w:rsidRPr="00EC3BD7">
        <w:rPr>
          <w:color w:val="000000"/>
          <w:szCs w:val="22"/>
          <w:lang w:val="et-EE"/>
        </w:rPr>
        <w:t>.</w:t>
      </w:r>
    </w:p>
    <w:p w14:paraId="682FF4C1" w14:textId="77777777" w:rsidR="00E21A2F" w:rsidRPr="00EC3BD7" w:rsidRDefault="00E21A2F" w:rsidP="00E21A2F">
      <w:pPr>
        <w:pStyle w:val="EndnoteText"/>
        <w:widowControl w:val="0"/>
        <w:rPr>
          <w:color w:val="000000"/>
          <w:szCs w:val="22"/>
          <w:lang w:val="et-EE"/>
        </w:rPr>
      </w:pPr>
    </w:p>
    <w:p w14:paraId="12CD8C1F" w14:textId="6A0BB8E8" w:rsidR="00E21A2F" w:rsidRPr="00EC3BD7" w:rsidRDefault="00E21A2F" w:rsidP="008B1609">
      <w:pPr>
        <w:pStyle w:val="EndnoteText"/>
        <w:keepNext/>
        <w:widowControl w:val="0"/>
        <w:tabs>
          <w:tab w:val="clear" w:pos="567"/>
          <w:tab w:val="left" w:pos="1134"/>
        </w:tabs>
        <w:rPr>
          <w:b/>
          <w:color w:val="000000"/>
          <w:szCs w:val="22"/>
          <w:lang w:val="et-EE"/>
        </w:rPr>
      </w:pPr>
      <w:r w:rsidRPr="00EC3BD7">
        <w:rPr>
          <w:b/>
          <w:color w:val="000000"/>
          <w:szCs w:val="22"/>
          <w:lang w:val="et-EE"/>
        </w:rPr>
        <w:t>Tabel </w:t>
      </w:r>
      <w:r w:rsidR="008F4DAA" w:rsidRPr="00EC3BD7">
        <w:rPr>
          <w:b/>
          <w:color w:val="000000"/>
          <w:szCs w:val="22"/>
          <w:lang w:val="et-EE"/>
        </w:rPr>
        <w:t>2</w:t>
      </w:r>
      <w:r w:rsidRPr="00EC3BD7">
        <w:rPr>
          <w:b/>
          <w:color w:val="000000"/>
          <w:szCs w:val="22"/>
          <w:lang w:val="et-EE"/>
        </w:rPr>
        <w:tab/>
        <w:t xml:space="preserve">Ravivastus äsja diagnoositud </w:t>
      </w:r>
      <w:smartTag w:uri="urn:schemas-microsoft-com:office:smarttags" w:element="stockticker">
        <w:r w:rsidRPr="00EC3BD7">
          <w:rPr>
            <w:b/>
            <w:color w:val="000000"/>
            <w:szCs w:val="22"/>
            <w:lang w:val="et-EE"/>
          </w:rPr>
          <w:t>KML</w:t>
        </w:r>
        <w:r w:rsidR="00605733" w:rsidRPr="00637BB6">
          <w:rPr>
            <w:b/>
            <w:color w:val="000000"/>
            <w:szCs w:val="22"/>
            <w:lang w:val="et-EE"/>
          </w:rPr>
          <w:t>-i</w:t>
        </w:r>
      </w:smartTag>
      <w:r w:rsidRPr="00EC3BD7">
        <w:rPr>
          <w:b/>
          <w:color w:val="000000"/>
          <w:szCs w:val="22"/>
          <w:lang w:val="et-EE"/>
        </w:rPr>
        <w:t xml:space="preserve"> uuringus (84 kuu andmed)</w:t>
      </w:r>
    </w:p>
    <w:p w14:paraId="72854C56" w14:textId="77777777" w:rsidR="00E21A2F" w:rsidRPr="00EC3BD7" w:rsidRDefault="00E21A2F" w:rsidP="008B1609">
      <w:pPr>
        <w:pStyle w:val="EndnoteText"/>
        <w:keepNext/>
        <w:widowControl w:val="0"/>
        <w:rPr>
          <w:color w:val="000000"/>
          <w:szCs w:val="22"/>
          <w:lang w:val="et-EE"/>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E21A2F" w:rsidRPr="00EC3BD7" w14:paraId="7B9EB2FE" w14:textId="77777777" w:rsidTr="008B1609">
        <w:trPr>
          <w:cantSplit/>
        </w:trPr>
        <w:tc>
          <w:tcPr>
            <w:tcW w:w="3794" w:type="dxa"/>
            <w:tcBorders>
              <w:top w:val="single" w:sz="4" w:space="0" w:color="auto"/>
              <w:left w:val="single" w:sz="4" w:space="0" w:color="auto"/>
              <w:bottom w:val="nil"/>
            </w:tcBorders>
          </w:tcPr>
          <w:p w14:paraId="7ECE7F97" w14:textId="77777777" w:rsidR="00E21A2F" w:rsidRPr="00EC3BD7" w:rsidRDefault="00E21A2F" w:rsidP="008B1609">
            <w:pPr>
              <w:pStyle w:val="Table"/>
              <w:keepLines w:val="0"/>
              <w:widowControl w:val="0"/>
              <w:spacing w:before="0" w:after="0"/>
              <w:rPr>
                <w:rFonts w:ascii="Times New Roman" w:hAnsi="Times New Roman"/>
                <w:color w:val="000000"/>
                <w:sz w:val="22"/>
                <w:szCs w:val="22"/>
                <w:lang w:val="et-EE"/>
              </w:rPr>
            </w:pPr>
          </w:p>
        </w:tc>
        <w:tc>
          <w:tcPr>
            <w:tcW w:w="2693" w:type="dxa"/>
            <w:tcBorders>
              <w:top w:val="single" w:sz="4" w:space="0" w:color="auto"/>
              <w:bottom w:val="nil"/>
            </w:tcBorders>
          </w:tcPr>
          <w:p w14:paraId="5301C9E7" w14:textId="77777777" w:rsidR="00E21A2F" w:rsidRPr="00EC3BD7" w:rsidRDefault="00E21A2F" w:rsidP="008B1609">
            <w:pPr>
              <w:pStyle w:val="Table"/>
              <w:keepLines w:val="0"/>
              <w:widowControl w:val="0"/>
              <w:spacing w:before="0" w:after="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Glivec</w:t>
            </w:r>
          </w:p>
        </w:tc>
        <w:tc>
          <w:tcPr>
            <w:tcW w:w="2718" w:type="dxa"/>
            <w:tcBorders>
              <w:top w:val="single" w:sz="4" w:space="0" w:color="auto"/>
              <w:bottom w:val="nil"/>
              <w:right w:val="single" w:sz="4" w:space="0" w:color="auto"/>
            </w:tcBorders>
          </w:tcPr>
          <w:p w14:paraId="06AB7B1D" w14:textId="77777777" w:rsidR="00E21A2F" w:rsidRPr="00EC3BD7" w:rsidRDefault="00E21A2F" w:rsidP="008B1609">
            <w:pPr>
              <w:pStyle w:val="Table"/>
              <w:keepLines w:val="0"/>
              <w:widowControl w:val="0"/>
              <w:spacing w:before="0" w:after="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IFN+Ara-C</w:t>
            </w:r>
          </w:p>
        </w:tc>
      </w:tr>
      <w:tr w:rsidR="00E21A2F" w:rsidRPr="00EC3BD7" w14:paraId="3D15968E" w14:textId="77777777" w:rsidTr="008B1609">
        <w:trPr>
          <w:cantSplit/>
        </w:trPr>
        <w:tc>
          <w:tcPr>
            <w:tcW w:w="3794" w:type="dxa"/>
            <w:tcBorders>
              <w:top w:val="nil"/>
              <w:left w:val="single" w:sz="4" w:space="0" w:color="auto"/>
              <w:bottom w:val="single" w:sz="4" w:space="0" w:color="auto"/>
            </w:tcBorders>
          </w:tcPr>
          <w:p w14:paraId="1245A19A" w14:textId="77777777" w:rsidR="00E21A2F" w:rsidRPr="00EC3BD7" w:rsidRDefault="00E21A2F" w:rsidP="008B1609">
            <w:pPr>
              <w:pStyle w:val="Table"/>
              <w:keepLines w:val="0"/>
              <w:widowControl w:val="0"/>
              <w:spacing w:before="0" w:after="0"/>
              <w:rPr>
                <w:rFonts w:ascii="Times New Roman" w:hAnsi="Times New Roman"/>
                <w:b/>
                <w:color w:val="000000"/>
                <w:sz w:val="22"/>
                <w:szCs w:val="22"/>
                <w:lang w:val="et-EE"/>
              </w:rPr>
            </w:pPr>
            <w:r w:rsidRPr="00EC3BD7">
              <w:rPr>
                <w:rFonts w:ascii="Times New Roman" w:hAnsi="Times New Roman"/>
                <w:b/>
                <w:color w:val="000000"/>
                <w:sz w:val="22"/>
                <w:szCs w:val="22"/>
                <w:lang w:val="et-EE"/>
              </w:rPr>
              <w:t>(Parim reaktsioon)</w:t>
            </w:r>
          </w:p>
        </w:tc>
        <w:tc>
          <w:tcPr>
            <w:tcW w:w="2693" w:type="dxa"/>
            <w:tcBorders>
              <w:top w:val="nil"/>
              <w:bottom w:val="single" w:sz="4" w:space="0" w:color="auto"/>
            </w:tcBorders>
          </w:tcPr>
          <w:p w14:paraId="14555702" w14:textId="77777777" w:rsidR="00E21A2F" w:rsidRPr="00EC3BD7" w:rsidRDefault="00E21A2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n=553</w:t>
            </w:r>
          </w:p>
        </w:tc>
        <w:tc>
          <w:tcPr>
            <w:tcW w:w="2718" w:type="dxa"/>
            <w:tcBorders>
              <w:top w:val="nil"/>
              <w:bottom w:val="single" w:sz="4" w:space="0" w:color="auto"/>
              <w:right w:val="single" w:sz="4" w:space="0" w:color="auto"/>
            </w:tcBorders>
          </w:tcPr>
          <w:p w14:paraId="28F794D6" w14:textId="77777777" w:rsidR="00E21A2F" w:rsidRPr="00EC3BD7" w:rsidRDefault="00E21A2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N=553</w:t>
            </w:r>
          </w:p>
        </w:tc>
      </w:tr>
      <w:tr w:rsidR="00E21A2F" w:rsidRPr="00EC3BD7" w14:paraId="47F4AB7C" w14:textId="77777777" w:rsidTr="008B1609">
        <w:trPr>
          <w:cantSplit/>
        </w:trPr>
        <w:tc>
          <w:tcPr>
            <w:tcW w:w="3794" w:type="dxa"/>
            <w:tcBorders>
              <w:top w:val="nil"/>
              <w:left w:val="single" w:sz="4" w:space="0" w:color="auto"/>
            </w:tcBorders>
          </w:tcPr>
          <w:p w14:paraId="003DA400" w14:textId="77777777" w:rsidR="00E21A2F" w:rsidRPr="00EC3BD7" w:rsidRDefault="00E21A2F" w:rsidP="008B1609">
            <w:pPr>
              <w:pStyle w:val="Table"/>
              <w:keepLines w:val="0"/>
              <w:widowControl w:val="0"/>
              <w:spacing w:before="0" w:after="0"/>
              <w:rPr>
                <w:rFonts w:ascii="Times New Roman" w:hAnsi="Times New Roman"/>
                <w:b/>
                <w:color w:val="000000"/>
                <w:sz w:val="22"/>
                <w:szCs w:val="22"/>
                <w:lang w:val="et-EE"/>
              </w:rPr>
            </w:pPr>
            <w:r w:rsidRPr="00EC3BD7">
              <w:rPr>
                <w:rFonts w:ascii="Times New Roman" w:hAnsi="Times New Roman"/>
                <w:b/>
                <w:color w:val="000000"/>
                <w:sz w:val="22"/>
                <w:szCs w:val="22"/>
                <w:lang w:val="et-EE"/>
              </w:rPr>
              <w:t>Hematoloogiline vastus</w:t>
            </w:r>
          </w:p>
        </w:tc>
        <w:tc>
          <w:tcPr>
            <w:tcW w:w="2693" w:type="dxa"/>
            <w:tcBorders>
              <w:top w:val="nil"/>
            </w:tcBorders>
          </w:tcPr>
          <w:p w14:paraId="57C94261" w14:textId="77777777" w:rsidR="00E21A2F" w:rsidRPr="00EC3BD7" w:rsidRDefault="00E21A2F" w:rsidP="008B1609">
            <w:pPr>
              <w:pStyle w:val="Table"/>
              <w:keepLines w:val="0"/>
              <w:widowControl w:val="0"/>
              <w:spacing w:before="0" w:after="0"/>
              <w:jc w:val="center"/>
              <w:rPr>
                <w:rFonts w:ascii="Times New Roman" w:hAnsi="Times New Roman"/>
                <w:b/>
                <w:color w:val="000000"/>
                <w:sz w:val="22"/>
                <w:szCs w:val="22"/>
                <w:lang w:val="et-EE"/>
              </w:rPr>
            </w:pPr>
          </w:p>
        </w:tc>
        <w:tc>
          <w:tcPr>
            <w:tcW w:w="2718" w:type="dxa"/>
            <w:tcBorders>
              <w:top w:val="nil"/>
              <w:right w:val="single" w:sz="4" w:space="0" w:color="auto"/>
            </w:tcBorders>
          </w:tcPr>
          <w:p w14:paraId="5F046DC9" w14:textId="77777777" w:rsidR="00E21A2F" w:rsidRPr="00EC3BD7" w:rsidRDefault="00E21A2F" w:rsidP="008B1609">
            <w:pPr>
              <w:pStyle w:val="Table"/>
              <w:keepLines w:val="0"/>
              <w:widowControl w:val="0"/>
              <w:spacing w:before="0" w:after="0"/>
              <w:jc w:val="center"/>
              <w:rPr>
                <w:rFonts w:ascii="Times New Roman" w:hAnsi="Times New Roman"/>
                <w:b/>
                <w:color w:val="000000"/>
                <w:sz w:val="22"/>
                <w:szCs w:val="22"/>
                <w:lang w:val="et-EE"/>
              </w:rPr>
            </w:pPr>
          </w:p>
        </w:tc>
      </w:tr>
      <w:tr w:rsidR="00E21A2F" w:rsidRPr="00EC3BD7" w14:paraId="6A0E9F80" w14:textId="77777777" w:rsidTr="008B1609">
        <w:trPr>
          <w:cantSplit/>
        </w:trPr>
        <w:tc>
          <w:tcPr>
            <w:tcW w:w="3794" w:type="dxa"/>
            <w:tcBorders>
              <w:top w:val="nil"/>
              <w:left w:val="single" w:sz="4" w:space="0" w:color="auto"/>
            </w:tcBorders>
          </w:tcPr>
          <w:p w14:paraId="10638A5E" w14:textId="77777777" w:rsidR="00E21A2F" w:rsidRPr="00EC3BD7" w:rsidRDefault="00E21A2F" w:rsidP="008B1609">
            <w:pPr>
              <w:pStyle w:val="Table"/>
              <w:keepLines w:val="0"/>
              <w:widowControl w:val="0"/>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Täielik hematoloogiline ravivastus n (%)</w:t>
            </w:r>
          </w:p>
        </w:tc>
        <w:tc>
          <w:tcPr>
            <w:tcW w:w="2693" w:type="dxa"/>
            <w:tcBorders>
              <w:top w:val="nil"/>
            </w:tcBorders>
          </w:tcPr>
          <w:p w14:paraId="55BFF537" w14:textId="77777777" w:rsidR="00E21A2F" w:rsidRPr="00EC3BD7" w:rsidRDefault="00E21A2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534 (96,6%)*</w:t>
            </w:r>
          </w:p>
        </w:tc>
        <w:tc>
          <w:tcPr>
            <w:tcW w:w="2718" w:type="dxa"/>
            <w:tcBorders>
              <w:top w:val="nil"/>
              <w:right w:val="single" w:sz="4" w:space="0" w:color="auto"/>
            </w:tcBorders>
          </w:tcPr>
          <w:p w14:paraId="402F1A3E" w14:textId="77777777" w:rsidR="00E21A2F" w:rsidRPr="00EC3BD7" w:rsidRDefault="00E21A2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313 (56,6%)*</w:t>
            </w:r>
          </w:p>
        </w:tc>
      </w:tr>
      <w:tr w:rsidR="00E21A2F" w:rsidRPr="00EC3BD7" w14:paraId="6F831ECA" w14:textId="77777777" w:rsidTr="008B1609">
        <w:trPr>
          <w:cantSplit/>
        </w:trPr>
        <w:tc>
          <w:tcPr>
            <w:tcW w:w="3794" w:type="dxa"/>
            <w:tcBorders>
              <w:left w:val="single" w:sz="4" w:space="0" w:color="auto"/>
            </w:tcBorders>
          </w:tcPr>
          <w:p w14:paraId="4E09EFAE" w14:textId="77777777" w:rsidR="00E21A2F" w:rsidRPr="00EC3BD7" w:rsidRDefault="00E21A2F" w:rsidP="008B1609">
            <w:pPr>
              <w:pStyle w:val="Table"/>
              <w:keepLines w:val="0"/>
              <w:widowControl w:val="0"/>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ab/>
              <w:t>[95% CI]</w:t>
            </w:r>
          </w:p>
        </w:tc>
        <w:tc>
          <w:tcPr>
            <w:tcW w:w="2693" w:type="dxa"/>
          </w:tcPr>
          <w:p w14:paraId="6E3CBB8D" w14:textId="77777777" w:rsidR="00E21A2F" w:rsidRPr="00EC3BD7" w:rsidRDefault="00E21A2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[94,7%, 97,9%]</w:t>
            </w:r>
          </w:p>
        </w:tc>
        <w:tc>
          <w:tcPr>
            <w:tcW w:w="2718" w:type="dxa"/>
            <w:tcBorders>
              <w:right w:val="single" w:sz="4" w:space="0" w:color="auto"/>
            </w:tcBorders>
          </w:tcPr>
          <w:p w14:paraId="2AF40C28" w14:textId="77777777" w:rsidR="00E21A2F" w:rsidRPr="00EC3BD7" w:rsidRDefault="00E21A2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[52,4%, 60,8%]</w:t>
            </w:r>
          </w:p>
        </w:tc>
      </w:tr>
      <w:tr w:rsidR="00E21A2F" w:rsidRPr="00EC3BD7" w14:paraId="7F7ED2C3" w14:textId="77777777" w:rsidTr="008B1609">
        <w:trPr>
          <w:cantSplit/>
        </w:trPr>
        <w:tc>
          <w:tcPr>
            <w:tcW w:w="3794" w:type="dxa"/>
            <w:tcBorders>
              <w:left w:val="single" w:sz="4" w:space="0" w:color="auto"/>
            </w:tcBorders>
          </w:tcPr>
          <w:p w14:paraId="1441176F" w14:textId="77777777" w:rsidR="00E21A2F" w:rsidRPr="00EC3BD7" w:rsidRDefault="00E21A2F" w:rsidP="008B1609">
            <w:pPr>
              <w:pStyle w:val="Table"/>
              <w:keepLines w:val="0"/>
              <w:widowControl w:val="0"/>
              <w:spacing w:before="0" w:after="0"/>
              <w:rPr>
                <w:rFonts w:ascii="Times New Roman" w:hAnsi="Times New Roman"/>
                <w:color w:val="000000"/>
                <w:sz w:val="22"/>
                <w:szCs w:val="22"/>
                <w:lang w:val="et-EE"/>
              </w:rPr>
            </w:pPr>
          </w:p>
        </w:tc>
        <w:tc>
          <w:tcPr>
            <w:tcW w:w="2693" w:type="dxa"/>
          </w:tcPr>
          <w:p w14:paraId="202CAE1B" w14:textId="77777777" w:rsidR="00E21A2F" w:rsidRPr="00EC3BD7" w:rsidRDefault="00E21A2F" w:rsidP="008B1609">
            <w:pPr>
              <w:pStyle w:val="Table"/>
              <w:keepLines w:val="0"/>
              <w:widowControl w:val="0"/>
              <w:spacing w:before="0" w:after="0"/>
              <w:jc w:val="center"/>
              <w:rPr>
                <w:rFonts w:ascii="Times New Roman" w:hAnsi="Times New Roman"/>
                <w:color w:val="000000"/>
                <w:sz w:val="22"/>
                <w:szCs w:val="22"/>
                <w:lang w:val="et-EE"/>
              </w:rPr>
            </w:pPr>
          </w:p>
        </w:tc>
        <w:tc>
          <w:tcPr>
            <w:tcW w:w="2718" w:type="dxa"/>
            <w:tcBorders>
              <w:right w:val="single" w:sz="4" w:space="0" w:color="auto"/>
            </w:tcBorders>
          </w:tcPr>
          <w:p w14:paraId="6D1FFECC" w14:textId="77777777" w:rsidR="00E21A2F" w:rsidRPr="00EC3BD7" w:rsidRDefault="00E21A2F" w:rsidP="008B1609">
            <w:pPr>
              <w:pStyle w:val="Table"/>
              <w:keepLines w:val="0"/>
              <w:widowControl w:val="0"/>
              <w:spacing w:before="0" w:after="0"/>
              <w:jc w:val="center"/>
              <w:rPr>
                <w:rFonts w:ascii="Times New Roman" w:hAnsi="Times New Roman"/>
                <w:color w:val="000000"/>
                <w:sz w:val="22"/>
                <w:szCs w:val="22"/>
                <w:lang w:val="et-EE"/>
              </w:rPr>
            </w:pPr>
          </w:p>
        </w:tc>
      </w:tr>
      <w:tr w:rsidR="00E21A2F" w:rsidRPr="00EC3BD7" w14:paraId="78FF90CC" w14:textId="77777777" w:rsidTr="008B1609">
        <w:trPr>
          <w:cantSplit/>
        </w:trPr>
        <w:tc>
          <w:tcPr>
            <w:tcW w:w="3794" w:type="dxa"/>
            <w:tcBorders>
              <w:left w:val="single" w:sz="4" w:space="0" w:color="auto"/>
            </w:tcBorders>
          </w:tcPr>
          <w:p w14:paraId="3F689061" w14:textId="77777777" w:rsidR="00E21A2F" w:rsidRPr="00EC3BD7" w:rsidRDefault="00E21A2F" w:rsidP="008B1609">
            <w:pPr>
              <w:pStyle w:val="Table"/>
              <w:keepLines w:val="0"/>
              <w:widowControl w:val="0"/>
              <w:spacing w:before="0" w:after="0"/>
              <w:rPr>
                <w:rFonts w:ascii="Times New Roman" w:hAnsi="Times New Roman"/>
                <w:b/>
                <w:color w:val="000000"/>
                <w:sz w:val="22"/>
                <w:szCs w:val="22"/>
                <w:lang w:val="et-EE"/>
              </w:rPr>
            </w:pPr>
            <w:r w:rsidRPr="00EC3BD7">
              <w:rPr>
                <w:rFonts w:ascii="Times New Roman" w:hAnsi="Times New Roman"/>
                <w:b/>
                <w:color w:val="000000"/>
                <w:sz w:val="22"/>
                <w:szCs w:val="22"/>
                <w:lang w:val="et-EE"/>
              </w:rPr>
              <w:t>Tsütogeneetiline vastus</w:t>
            </w:r>
          </w:p>
        </w:tc>
        <w:tc>
          <w:tcPr>
            <w:tcW w:w="2693" w:type="dxa"/>
          </w:tcPr>
          <w:p w14:paraId="2977B7B9" w14:textId="77777777" w:rsidR="00E21A2F" w:rsidRPr="00EC3BD7" w:rsidRDefault="00E21A2F" w:rsidP="008B1609">
            <w:pPr>
              <w:pStyle w:val="Table"/>
              <w:keepLines w:val="0"/>
              <w:widowControl w:val="0"/>
              <w:spacing w:before="0" w:after="0"/>
              <w:jc w:val="center"/>
              <w:rPr>
                <w:rFonts w:ascii="Times New Roman" w:hAnsi="Times New Roman"/>
                <w:b/>
                <w:color w:val="000000"/>
                <w:sz w:val="22"/>
                <w:szCs w:val="22"/>
                <w:lang w:val="et-EE"/>
              </w:rPr>
            </w:pPr>
          </w:p>
        </w:tc>
        <w:tc>
          <w:tcPr>
            <w:tcW w:w="2718" w:type="dxa"/>
            <w:tcBorders>
              <w:right w:val="single" w:sz="4" w:space="0" w:color="auto"/>
            </w:tcBorders>
          </w:tcPr>
          <w:p w14:paraId="70D00FEB" w14:textId="77777777" w:rsidR="00E21A2F" w:rsidRPr="00EC3BD7" w:rsidRDefault="00E21A2F" w:rsidP="008B1609">
            <w:pPr>
              <w:pStyle w:val="Table"/>
              <w:keepLines w:val="0"/>
              <w:widowControl w:val="0"/>
              <w:spacing w:before="0" w:after="0"/>
              <w:jc w:val="center"/>
              <w:rPr>
                <w:rFonts w:ascii="Times New Roman" w:hAnsi="Times New Roman"/>
                <w:b/>
                <w:color w:val="000000"/>
                <w:sz w:val="22"/>
                <w:szCs w:val="22"/>
                <w:lang w:val="et-EE"/>
              </w:rPr>
            </w:pPr>
          </w:p>
        </w:tc>
      </w:tr>
      <w:tr w:rsidR="00E21A2F" w:rsidRPr="00EC3BD7" w14:paraId="3403E8BD" w14:textId="77777777" w:rsidTr="008B1609">
        <w:trPr>
          <w:cantSplit/>
        </w:trPr>
        <w:tc>
          <w:tcPr>
            <w:tcW w:w="3794" w:type="dxa"/>
            <w:tcBorders>
              <w:left w:val="single" w:sz="4" w:space="0" w:color="auto"/>
            </w:tcBorders>
          </w:tcPr>
          <w:p w14:paraId="7F62C7A2" w14:textId="77777777" w:rsidR="00E21A2F" w:rsidRPr="00EC3BD7" w:rsidRDefault="00E21A2F" w:rsidP="008B1609">
            <w:pPr>
              <w:pStyle w:val="Table"/>
              <w:keepLines w:val="0"/>
              <w:widowControl w:val="0"/>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Oluline ravivastus n (%)</w:t>
            </w:r>
          </w:p>
        </w:tc>
        <w:tc>
          <w:tcPr>
            <w:tcW w:w="2693" w:type="dxa"/>
          </w:tcPr>
          <w:p w14:paraId="0B9196DA" w14:textId="77777777" w:rsidR="00E21A2F" w:rsidRPr="00EC3BD7" w:rsidRDefault="00E21A2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490 (88,6%)*</w:t>
            </w:r>
          </w:p>
        </w:tc>
        <w:tc>
          <w:tcPr>
            <w:tcW w:w="2718" w:type="dxa"/>
            <w:tcBorders>
              <w:right w:val="single" w:sz="4" w:space="0" w:color="auto"/>
            </w:tcBorders>
          </w:tcPr>
          <w:p w14:paraId="6B54EC8E" w14:textId="77777777" w:rsidR="00E21A2F" w:rsidRPr="00EC3BD7" w:rsidRDefault="00E21A2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129 (23,3%)*</w:t>
            </w:r>
          </w:p>
        </w:tc>
      </w:tr>
      <w:tr w:rsidR="00E21A2F" w:rsidRPr="00EC3BD7" w14:paraId="312A98D0" w14:textId="77777777" w:rsidTr="008B1609">
        <w:trPr>
          <w:cantSplit/>
        </w:trPr>
        <w:tc>
          <w:tcPr>
            <w:tcW w:w="3794" w:type="dxa"/>
            <w:tcBorders>
              <w:left w:val="single" w:sz="4" w:space="0" w:color="auto"/>
            </w:tcBorders>
          </w:tcPr>
          <w:p w14:paraId="15047CE5" w14:textId="77777777" w:rsidR="00E21A2F" w:rsidRPr="00EC3BD7" w:rsidRDefault="00E21A2F" w:rsidP="008B1609">
            <w:pPr>
              <w:pStyle w:val="Table"/>
              <w:keepLines w:val="0"/>
              <w:widowControl w:val="0"/>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ab/>
              <w:t>[95% CI]</w:t>
            </w:r>
          </w:p>
        </w:tc>
        <w:tc>
          <w:tcPr>
            <w:tcW w:w="2693" w:type="dxa"/>
          </w:tcPr>
          <w:p w14:paraId="683815AF" w14:textId="77777777" w:rsidR="00E21A2F" w:rsidRPr="00EC3BD7" w:rsidRDefault="00E21A2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[85,7%, 91,1%]</w:t>
            </w:r>
          </w:p>
        </w:tc>
        <w:tc>
          <w:tcPr>
            <w:tcW w:w="2718" w:type="dxa"/>
            <w:tcBorders>
              <w:right w:val="single" w:sz="4" w:space="0" w:color="auto"/>
            </w:tcBorders>
          </w:tcPr>
          <w:p w14:paraId="4AA4D921" w14:textId="77777777" w:rsidR="00E21A2F" w:rsidRPr="00EC3BD7" w:rsidRDefault="00E21A2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[19,9%, 27,1%]</w:t>
            </w:r>
          </w:p>
        </w:tc>
      </w:tr>
      <w:tr w:rsidR="00E21A2F" w:rsidRPr="00EC3BD7" w14:paraId="0A1CE35F" w14:textId="77777777" w:rsidTr="008B1609">
        <w:trPr>
          <w:cantSplit/>
        </w:trPr>
        <w:tc>
          <w:tcPr>
            <w:tcW w:w="3794" w:type="dxa"/>
            <w:tcBorders>
              <w:left w:val="single" w:sz="4" w:space="0" w:color="auto"/>
            </w:tcBorders>
          </w:tcPr>
          <w:p w14:paraId="4A352486" w14:textId="77777777" w:rsidR="00E21A2F" w:rsidRPr="00EC3BD7" w:rsidRDefault="00E21A2F" w:rsidP="008B1609">
            <w:pPr>
              <w:pStyle w:val="Table"/>
              <w:keepLines w:val="0"/>
              <w:widowControl w:val="0"/>
              <w:spacing w:before="0" w:after="0"/>
              <w:ind w:left="284" w:hanging="284"/>
              <w:rPr>
                <w:rFonts w:ascii="Times New Roman" w:hAnsi="Times New Roman"/>
                <w:color w:val="000000"/>
                <w:sz w:val="22"/>
                <w:szCs w:val="22"/>
                <w:lang w:val="et-EE"/>
              </w:rPr>
            </w:pPr>
            <w:r w:rsidRPr="00EC3BD7">
              <w:rPr>
                <w:rFonts w:ascii="Times New Roman" w:hAnsi="Times New Roman"/>
                <w:color w:val="000000"/>
                <w:sz w:val="22"/>
                <w:szCs w:val="22"/>
                <w:lang w:val="et-EE"/>
              </w:rPr>
              <w:tab/>
              <w:t>Täielik tsütogeneetiline ravivastus CyR n (%)</w:t>
            </w:r>
          </w:p>
        </w:tc>
        <w:tc>
          <w:tcPr>
            <w:tcW w:w="2693" w:type="dxa"/>
          </w:tcPr>
          <w:p w14:paraId="73C71506" w14:textId="77777777" w:rsidR="00E21A2F" w:rsidRPr="00EC3BD7" w:rsidRDefault="00E21A2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456 (82,5%)*</w:t>
            </w:r>
          </w:p>
        </w:tc>
        <w:tc>
          <w:tcPr>
            <w:tcW w:w="2718" w:type="dxa"/>
            <w:tcBorders>
              <w:right w:val="single" w:sz="4" w:space="0" w:color="auto"/>
            </w:tcBorders>
          </w:tcPr>
          <w:p w14:paraId="377E7A0C" w14:textId="77777777" w:rsidR="00E21A2F" w:rsidRPr="00EC3BD7" w:rsidRDefault="00E21A2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64 (11,6%)*</w:t>
            </w:r>
          </w:p>
        </w:tc>
      </w:tr>
      <w:tr w:rsidR="00E21A2F" w:rsidRPr="00EC3BD7" w14:paraId="3F0D94C1" w14:textId="77777777" w:rsidTr="008B1609">
        <w:trPr>
          <w:cantSplit/>
        </w:trPr>
        <w:tc>
          <w:tcPr>
            <w:tcW w:w="3794" w:type="dxa"/>
            <w:tcBorders>
              <w:left w:val="single" w:sz="4" w:space="0" w:color="auto"/>
            </w:tcBorders>
          </w:tcPr>
          <w:p w14:paraId="114B7228" w14:textId="77777777" w:rsidR="00E21A2F" w:rsidRPr="00EC3BD7" w:rsidRDefault="00E21A2F" w:rsidP="008B1609">
            <w:pPr>
              <w:pStyle w:val="Table"/>
              <w:keepLines w:val="0"/>
              <w:widowControl w:val="0"/>
              <w:spacing w:before="0" w:after="0"/>
              <w:ind w:left="284" w:hanging="284"/>
              <w:rPr>
                <w:rFonts w:ascii="Times New Roman" w:hAnsi="Times New Roman"/>
                <w:color w:val="000000"/>
                <w:sz w:val="22"/>
                <w:szCs w:val="22"/>
                <w:lang w:val="et-EE"/>
              </w:rPr>
            </w:pPr>
            <w:r w:rsidRPr="00EC3BD7">
              <w:rPr>
                <w:rFonts w:ascii="Times New Roman" w:hAnsi="Times New Roman"/>
                <w:color w:val="000000"/>
                <w:sz w:val="22"/>
                <w:szCs w:val="22"/>
                <w:lang w:val="et-EE"/>
              </w:rPr>
              <w:tab/>
              <w:t>Osaline tsütogeneetiline ravivastus n (%)</w:t>
            </w:r>
          </w:p>
        </w:tc>
        <w:tc>
          <w:tcPr>
            <w:tcW w:w="2693" w:type="dxa"/>
          </w:tcPr>
          <w:p w14:paraId="16671651" w14:textId="77777777" w:rsidR="00E21A2F" w:rsidRPr="00EC3BD7" w:rsidRDefault="00E21A2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34 (6,1%)</w:t>
            </w:r>
          </w:p>
        </w:tc>
        <w:tc>
          <w:tcPr>
            <w:tcW w:w="2718" w:type="dxa"/>
            <w:tcBorders>
              <w:right w:val="single" w:sz="4" w:space="0" w:color="auto"/>
            </w:tcBorders>
          </w:tcPr>
          <w:p w14:paraId="0BCFD43B" w14:textId="77777777" w:rsidR="00E21A2F" w:rsidRPr="00EC3BD7" w:rsidRDefault="00E21A2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65 (11,8%)</w:t>
            </w:r>
          </w:p>
        </w:tc>
      </w:tr>
      <w:tr w:rsidR="00E21A2F" w:rsidRPr="00EC3BD7" w14:paraId="3D8758B4" w14:textId="77777777" w:rsidTr="008B1609">
        <w:trPr>
          <w:cantSplit/>
        </w:trPr>
        <w:tc>
          <w:tcPr>
            <w:tcW w:w="3794" w:type="dxa"/>
            <w:tcBorders>
              <w:left w:val="single" w:sz="4" w:space="0" w:color="auto"/>
              <w:bottom w:val="nil"/>
            </w:tcBorders>
          </w:tcPr>
          <w:p w14:paraId="0710883C" w14:textId="77777777" w:rsidR="00E21A2F" w:rsidRPr="00EC3BD7" w:rsidRDefault="00E21A2F" w:rsidP="008B1609">
            <w:pPr>
              <w:pStyle w:val="Table"/>
              <w:keepLines w:val="0"/>
              <w:widowControl w:val="0"/>
              <w:spacing w:before="0" w:after="0"/>
              <w:rPr>
                <w:rFonts w:ascii="Times New Roman" w:hAnsi="Times New Roman"/>
                <w:color w:val="000000"/>
                <w:sz w:val="22"/>
                <w:szCs w:val="22"/>
                <w:lang w:val="et-EE"/>
              </w:rPr>
            </w:pPr>
          </w:p>
        </w:tc>
        <w:tc>
          <w:tcPr>
            <w:tcW w:w="2693" w:type="dxa"/>
            <w:tcBorders>
              <w:bottom w:val="nil"/>
            </w:tcBorders>
          </w:tcPr>
          <w:p w14:paraId="20470A4A" w14:textId="77777777" w:rsidR="00E21A2F" w:rsidRPr="00EC3BD7" w:rsidRDefault="00E21A2F" w:rsidP="008B1609">
            <w:pPr>
              <w:pStyle w:val="Table"/>
              <w:keepLines w:val="0"/>
              <w:widowControl w:val="0"/>
              <w:spacing w:before="0" w:after="0"/>
              <w:rPr>
                <w:rFonts w:ascii="Times New Roman" w:hAnsi="Times New Roman"/>
                <w:color w:val="000000"/>
                <w:sz w:val="22"/>
                <w:szCs w:val="22"/>
                <w:lang w:val="et-EE"/>
              </w:rPr>
            </w:pPr>
          </w:p>
        </w:tc>
        <w:tc>
          <w:tcPr>
            <w:tcW w:w="2718" w:type="dxa"/>
            <w:tcBorders>
              <w:bottom w:val="nil"/>
              <w:right w:val="single" w:sz="4" w:space="0" w:color="auto"/>
            </w:tcBorders>
          </w:tcPr>
          <w:p w14:paraId="60627DF7" w14:textId="77777777" w:rsidR="00E21A2F" w:rsidRPr="00EC3BD7" w:rsidRDefault="00E21A2F" w:rsidP="008B1609">
            <w:pPr>
              <w:pStyle w:val="Table"/>
              <w:keepLines w:val="0"/>
              <w:widowControl w:val="0"/>
              <w:spacing w:before="0" w:after="0"/>
              <w:rPr>
                <w:rFonts w:ascii="Times New Roman" w:hAnsi="Times New Roman"/>
                <w:color w:val="000000"/>
                <w:sz w:val="22"/>
                <w:szCs w:val="22"/>
                <w:lang w:val="et-EE"/>
              </w:rPr>
            </w:pPr>
          </w:p>
        </w:tc>
      </w:tr>
      <w:tr w:rsidR="00E21A2F" w:rsidRPr="00EC3BD7" w14:paraId="58754130" w14:textId="77777777" w:rsidTr="008B1609">
        <w:trPr>
          <w:cantSplit/>
        </w:trPr>
        <w:tc>
          <w:tcPr>
            <w:tcW w:w="3794" w:type="dxa"/>
            <w:tcBorders>
              <w:left w:val="single" w:sz="4" w:space="0" w:color="auto"/>
              <w:bottom w:val="nil"/>
            </w:tcBorders>
          </w:tcPr>
          <w:p w14:paraId="0C62C16B" w14:textId="77777777" w:rsidR="00E21A2F" w:rsidRPr="00EC3BD7" w:rsidRDefault="00E21A2F" w:rsidP="008B1609">
            <w:pPr>
              <w:pStyle w:val="Table"/>
              <w:keepLines w:val="0"/>
              <w:widowControl w:val="0"/>
              <w:spacing w:before="0" w:after="0"/>
              <w:rPr>
                <w:rFonts w:ascii="Times New Roman" w:hAnsi="Times New Roman"/>
                <w:b/>
                <w:color w:val="000000"/>
                <w:sz w:val="22"/>
                <w:szCs w:val="22"/>
                <w:lang w:val="et-EE"/>
              </w:rPr>
            </w:pPr>
            <w:r w:rsidRPr="00EC3BD7">
              <w:rPr>
                <w:rFonts w:ascii="Times New Roman" w:hAnsi="Times New Roman"/>
                <w:b/>
                <w:color w:val="000000"/>
                <w:sz w:val="22"/>
                <w:szCs w:val="22"/>
                <w:lang w:val="et-EE"/>
              </w:rPr>
              <w:t>Molekulaarne ravivastus</w:t>
            </w:r>
            <w:r w:rsidRPr="00EC3BD7">
              <w:rPr>
                <w:rFonts w:ascii="Times New Roman" w:hAnsi="Times New Roman"/>
                <w:color w:val="000000"/>
                <w:sz w:val="22"/>
                <w:szCs w:val="22"/>
                <w:lang w:val="et-EE"/>
              </w:rPr>
              <w:t>**</w:t>
            </w:r>
          </w:p>
        </w:tc>
        <w:tc>
          <w:tcPr>
            <w:tcW w:w="2693" w:type="dxa"/>
            <w:tcBorders>
              <w:bottom w:val="nil"/>
            </w:tcBorders>
          </w:tcPr>
          <w:p w14:paraId="43A2D90C" w14:textId="77777777" w:rsidR="00E21A2F" w:rsidRPr="00EC3BD7" w:rsidRDefault="00E21A2F" w:rsidP="008B1609">
            <w:pPr>
              <w:pStyle w:val="Table"/>
              <w:keepLines w:val="0"/>
              <w:widowControl w:val="0"/>
              <w:spacing w:before="0" w:after="0"/>
              <w:rPr>
                <w:rFonts w:ascii="Times New Roman" w:hAnsi="Times New Roman"/>
                <w:color w:val="000000"/>
                <w:sz w:val="22"/>
                <w:szCs w:val="22"/>
                <w:lang w:val="et-EE"/>
              </w:rPr>
            </w:pPr>
          </w:p>
        </w:tc>
        <w:tc>
          <w:tcPr>
            <w:tcW w:w="2718" w:type="dxa"/>
            <w:tcBorders>
              <w:bottom w:val="nil"/>
              <w:right w:val="single" w:sz="4" w:space="0" w:color="auto"/>
            </w:tcBorders>
          </w:tcPr>
          <w:p w14:paraId="596D7D85" w14:textId="77777777" w:rsidR="00E21A2F" w:rsidRPr="00EC3BD7" w:rsidRDefault="00E21A2F" w:rsidP="008B1609">
            <w:pPr>
              <w:pStyle w:val="Table"/>
              <w:keepLines w:val="0"/>
              <w:widowControl w:val="0"/>
              <w:spacing w:before="0" w:after="0"/>
              <w:rPr>
                <w:rFonts w:ascii="Times New Roman" w:hAnsi="Times New Roman"/>
                <w:color w:val="000000"/>
                <w:sz w:val="22"/>
                <w:szCs w:val="22"/>
                <w:lang w:val="et-EE"/>
              </w:rPr>
            </w:pPr>
          </w:p>
        </w:tc>
      </w:tr>
      <w:tr w:rsidR="00E21A2F" w:rsidRPr="00EC3BD7" w14:paraId="023C9179" w14:textId="77777777" w:rsidTr="008B1609">
        <w:trPr>
          <w:cantSplit/>
        </w:trPr>
        <w:tc>
          <w:tcPr>
            <w:tcW w:w="3794" w:type="dxa"/>
            <w:tcBorders>
              <w:left w:val="single" w:sz="4" w:space="0" w:color="auto"/>
              <w:bottom w:val="nil"/>
            </w:tcBorders>
          </w:tcPr>
          <w:p w14:paraId="2552C188" w14:textId="77777777" w:rsidR="00E21A2F" w:rsidRPr="00EC3BD7" w:rsidRDefault="00E21A2F" w:rsidP="008B1609">
            <w:pPr>
              <w:pStyle w:val="Table"/>
              <w:keepLines w:val="0"/>
              <w:widowControl w:val="0"/>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Oluline ravivastus 12. kuuks (%)</w:t>
            </w:r>
          </w:p>
        </w:tc>
        <w:tc>
          <w:tcPr>
            <w:tcW w:w="2693" w:type="dxa"/>
            <w:tcBorders>
              <w:bottom w:val="nil"/>
            </w:tcBorders>
          </w:tcPr>
          <w:p w14:paraId="72D731E1" w14:textId="77777777" w:rsidR="00E21A2F" w:rsidRPr="00EC3BD7" w:rsidRDefault="00E21A2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153/305=50,2%</w:t>
            </w:r>
          </w:p>
        </w:tc>
        <w:tc>
          <w:tcPr>
            <w:tcW w:w="2718" w:type="dxa"/>
            <w:tcBorders>
              <w:bottom w:val="nil"/>
              <w:right w:val="single" w:sz="4" w:space="0" w:color="auto"/>
            </w:tcBorders>
          </w:tcPr>
          <w:p w14:paraId="44A17CC6" w14:textId="77777777" w:rsidR="00E21A2F" w:rsidRPr="00EC3BD7" w:rsidRDefault="00E21A2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8/83=9,6%</w:t>
            </w:r>
          </w:p>
        </w:tc>
      </w:tr>
      <w:tr w:rsidR="00E21A2F" w:rsidRPr="00EC3BD7" w14:paraId="4E7CAE5A" w14:textId="77777777" w:rsidTr="008B1609">
        <w:trPr>
          <w:cantSplit/>
        </w:trPr>
        <w:tc>
          <w:tcPr>
            <w:tcW w:w="3794" w:type="dxa"/>
            <w:tcBorders>
              <w:left w:val="single" w:sz="4" w:space="0" w:color="auto"/>
              <w:bottom w:val="nil"/>
            </w:tcBorders>
          </w:tcPr>
          <w:p w14:paraId="68A584C1" w14:textId="77777777" w:rsidR="00E21A2F" w:rsidRPr="00EC3BD7" w:rsidRDefault="00E21A2F" w:rsidP="008B1609">
            <w:pPr>
              <w:pStyle w:val="Table"/>
              <w:keepLines w:val="0"/>
              <w:widowControl w:val="0"/>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Oluline ravivastus 24. kuuks (%)</w:t>
            </w:r>
          </w:p>
        </w:tc>
        <w:tc>
          <w:tcPr>
            <w:tcW w:w="2693" w:type="dxa"/>
            <w:tcBorders>
              <w:bottom w:val="nil"/>
            </w:tcBorders>
          </w:tcPr>
          <w:p w14:paraId="30E2C9FE" w14:textId="77777777" w:rsidR="00E21A2F" w:rsidRPr="00EC3BD7" w:rsidRDefault="00E21A2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73/104=70,2%</w:t>
            </w:r>
          </w:p>
        </w:tc>
        <w:tc>
          <w:tcPr>
            <w:tcW w:w="2718" w:type="dxa"/>
            <w:tcBorders>
              <w:bottom w:val="nil"/>
              <w:right w:val="single" w:sz="4" w:space="0" w:color="auto"/>
            </w:tcBorders>
          </w:tcPr>
          <w:p w14:paraId="076BD2A5" w14:textId="77777777" w:rsidR="00E21A2F" w:rsidRPr="00EC3BD7" w:rsidRDefault="00E21A2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3/12=25%</w:t>
            </w:r>
          </w:p>
        </w:tc>
      </w:tr>
      <w:tr w:rsidR="00E21A2F" w:rsidRPr="00EC3BD7" w14:paraId="6ACC4E67" w14:textId="77777777" w:rsidTr="008B1609">
        <w:trPr>
          <w:cantSplit/>
        </w:trPr>
        <w:tc>
          <w:tcPr>
            <w:tcW w:w="3794" w:type="dxa"/>
            <w:tcBorders>
              <w:left w:val="single" w:sz="4" w:space="0" w:color="auto"/>
              <w:bottom w:val="nil"/>
            </w:tcBorders>
          </w:tcPr>
          <w:p w14:paraId="20398532" w14:textId="77777777" w:rsidR="00E21A2F" w:rsidRPr="00EC3BD7" w:rsidRDefault="00E21A2F" w:rsidP="008B1609">
            <w:pPr>
              <w:pStyle w:val="Table"/>
              <w:keepLines w:val="0"/>
              <w:widowControl w:val="0"/>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Oluline ravivastus 84. kuuks (%)</w:t>
            </w:r>
          </w:p>
        </w:tc>
        <w:tc>
          <w:tcPr>
            <w:tcW w:w="2693" w:type="dxa"/>
            <w:tcBorders>
              <w:bottom w:val="nil"/>
            </w:tcBorders>
          </w:tcPr>
          <w:p w14:paraId="59B7821D" w14:textId="77777777" w:rsidR="00E21A2F" w:rsidRPr="00EC3BD7" w:rsidRDefault="00E21A2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102/116=87,9%</w:t>
            </w:r>
          </w:p>
        </w:tc>
        <w:tc>
          <w:tcPr>
            <w:tcW w:w="2718" w:type="dxa"/>
            <w:tcBorders>
              <w:bottom w:val="nil"/>
              <w:right w:val="single" w:sz="4" w:space="0" w:color="auto"/>
            </w:tcBorders>
          </w:tcPr>
          <w:p w14:paraId="70078027" w14:textId="77777777" w:rsidR="00E21A2F" w:rsidRPr="00EC3BD7" w:rsidRDefault="00E21A2F" w:rsidP="008B1609">
            <w:pPr>
              <w:pStyle w:val="Table"/>
              <w:keepLines w:val="0"/>
              <w:widowControl w:val="0"/>
              <w:spacing w:before="0" w:after="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3/4=75%</w:t>
            </w:r>
          </w:p>
        </w:tc>
      </w:tr>
      <w:tr w:rsidR="00E21A2F" w:rsidRPr="005D29F8" w14:paraId="539CE6E7" w14:textId="77777777" w:rsidTr="008B1609">
        <w:trPr>
          <w:cantSplit/>
        </w:trPr>
        <w:tc>
          <w:tcPr>
            <w:tcW w:w="9205" w:type="dxa"/>
            <w:gridSpan w:val="3"/>
            <w:tcBorders>
              <w:top w:val="single" w:sz="4" w:space="0" w:color="auto"/>
              <w:left w:val="single" w:sz="4" w:space="0" w:color="auto"/>
              <w:bottom w:val="single" w:sz="4" w:space="0" w:color="auto"/>
              <w:right w:val="single" w:sz="4" w:space="0" w:color="auto"/>
            </w:tcBorders>
          </w:tcPr>
          <w:p w14:paraId="3AE8B789" w14:textId="77777777" w:rsidR="00E21A2F" w:rsidRPr="00EC3BD7" w:rsidRDefault="00E21A2F" w:rsidP="008B1609">
            <w:pPr>
              <w:pStyle w:val="Table"/>
              <w:keepNext w:val="0"/>
              <w:keepLines w:val="0"/>
              <w:widowControl w:val="0"/>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 p&lt;0,001, Fischeri täpne test</w:t>
            </w:r>
          </w:p>
          <w:p w14:paraId="0CD5CED3" w14:textId="77777777" w:rsidR="00E21A2F" w:rsidRPr="00EC3BD7" w:rsidRDefault="00E21A2F" w:rsidP="008B1609">
            <w:pPr>
              <w:pStyle w:val="Table"/>
              <w:keepNext w:val="0"/>
              <w:keepLines w:val="0"/>
              <w:widowControl w:val="0"/>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 Molekulaarse ravivastuse</w:t>
            </w:r>
            <w:r w:rsidRPr="00EC3BD7">
              <w:rPr>
                <w:rFonts w:ascii="Times New Roman" w:hAnsi="Times New Roman"/>
                <w:b/>
                <w:color w:val="000000"/>
                <w:sz w:val="22"/>
                <w:szCs w:val="22"/>
                <w:lang w:val="et-EE"/>
              </w:rPr>
              <w:t xml:space="preserve"> </w:t>
            </w:r>
            <w:r w:rsidRPr="00EC3BD7">
              <w:rPr>
                <w:rFonts w:ascii="Times New Roman" w:hAnsi="Times New Roman"/>
                <w:color w:val="000000"/>
                <w:sz w:val="22"/>
                <w:szCs w:val="22"/>
                <w:lang w:val="et-EE"/>
              </w:rPr>
              <w:t>protsendiline osakaal baseerub kättesaadavatel näidetel</w:t>
            </w:r>
          </w:p>
          <w:p w14:paraId="016C3625" w14:textId="77777777" w:rsidR="00E21A2F" w:rsidRPr="00EC3BD7" w:rsidRDefault="00E21A2F" w:rsidP="008B1609">
            <w:pPr>
              <w:pStyle w:val="Table"/>
              <w:keepNext w:val="0"/>
              <w:keepLines w:val="0"/>
              <w:widowControl w:val="0"/>
              <w:spacing w:before="0" w:after="0"/>
              <w:rPr>
                <w:rFonts w:ascii="Times New Roman" w:hAnsi="Times New Roman"/>
                <w:b/>
                <w:color w:val="000000"/>
                <w:sz w:val="22"/>
                <w:szCs w:val="22"/>
                <w:lang w:val="et-EE"/>
              </w:rPr>
            </w:pPr>
            <w:r w:rsidRPr="00EC3BD7">
              <w:rPr>
                <w:rFonts w:ascii="Times New Roman" w:hAnsi="Times New Roman"/>
                <w:b/>
                <w:color w:val="000000"/>
                <w:sz w:val="22"/>
                <w:szCs w:val="22"/>
                <w:lang w:val="et-EE"/>
              </w:rPr>
              <w:t xml:space="preserve">Hematoloogilise ravivastuse kriteeriumid (kõik ravivastused kinnituvad pärast </w:t>
            </w:r>
            <w:r w:rsidRPr="00EC3BD7">
              <w:rPr>
                <w:rFonts w:ascii="Times New Roman" w:hAnsi="Times New Roman"/>
                <w:b/>
                <w:color w:val="000000"/>
                <w:sz w:val="22"/>
                <w:szCs w:val="22"/>
                <w:lang w:val="et-EE"/>
              </w:rPr>
              <w:sym w:font="Symbol" w:char="F0B3"/>
            </w:r>
            <w:r w:rsidRPr="00EC3BD7">
              <w:rPr>
                <w:rFonts w:ascii="Times New Roman" w:hAnsi="Times New Roman"/>
                <w:b/>
                <w:color w:val="000000"/>
                <w:sz w:val="22"/>
                <w:szCs w:val="22"/>
                <w:lang w:val="et-EE"/>
              </w:rPr>
              <w:t>4 nädalat):</w:t>
            </w:r>
          </w:p>
          <w:p w14:paraId="2F65D37A" w14:textId="77777777" w:rsidR="00E21A2F" w:rsidRPr="00EC3BD7" w:rsidRDefault="00E21A2F" w:rsidP="008B1609">
            <w:pPr>
              <w:pStyle w:val="Table"/>
              <w:keepNext w:val="0"/>
              <w:keepLines w:val="0"/>
              <w:widowControl w:val="0"/>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Leukotsüütide arv &lt;10x10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 trombotsüüte &lt;450x10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 müelotsüüte+metamüelotsüüte veres &lt;5%, veres puuduvad blastid ja promüelotsüüdid, basofiile &lt;20%, puudub ekstramedullaarne haigus</w:t>
            </w:r>
          </w:p>
          <w:p w14:paraId="706EC556" w14:textId="77777777" w:rsidR="00E21A2F" w:rsidRPr="00EC3BD7" w:rsidRDefault="00E21A2F" w:rsidP="008B1609">
            <w:pPr>
              <w:pStyle w:val="Table"/>
              <w:keepNext w:val="0"/>
              <w:keepLines w:val="0"/>
              <w:widowControl w:val="0"/>
              <w:spacing w:before="0" w:after="0"/>
              <w:rPr>
                <w:rFonts w:ascii="Times New Roman" w:hAnsi="Times New Roman"/>
                <w:color w:val="000000"/>
                <w:sz w:val="22"/>
                <w:szCs w:val="22"/>
                <w:lang w:val="et-EE"/>
              </w:rPr>
            </w:pPr>
            <w:r w:rsidRPr="00EC3BD7">
              <w:rPr>
                <w:rFonts w:ascii="Times New Roman" w:hAnsi="Times New Roman"/>
                <w:b/>
                <w:color w:val="000000"/>
                <w:sz w:val="22"/>
                <w:szCs w:val="22"/>
                <w:lang w:val="et-EE"/>
              </w:rPr>
              <w:t xml:space="preserve">Tsütogeneetilise ravivastuse kriteeriumid: </w:t>
            </w:r>
            <w:r w:rsidRPr="00EC3BD7">
              <w:rPr>
                <w:rFonts w:ascii="Times New Roman" w:hAnsi="Times New Roman"/>
                <w:color w:val="000000"/>
                <w:sz w:val="22"/>
                <w:szCs w:val="22"/>
                <w:lang w:val="et-EE"/>
              </w:rPr>
              <w:t>täielik (0% Ph+ metafaase), osaline (1...35%), vähene (36...65%) või minimaalne (66...95%). Oluline ravivastus (0...35%) hõlmab nii täieliku kui osalise ravivastuse.</w:t>
            </w:r>
          </w:p>
          <w:p w14:paraId="64956DA9" w14:textId="77777777" w:rsidR="00E21A2F" w:rsidRPr="00EC3BD7" w:rsidRDefault="00E21A2F" w:rsidP="008B1609">
            <w:pPr>
              <w:pStyle w:val="Table"/>
              <w:keepNext w:val="0"/>
              <w:keepLines w:val="0"/>
              <w:widowControl w:val="0"/>
              <w:spacing w:before="0" w:after="0"/>
              <w:rPr>
                <w:rFonts w:ascii="Times New Roman" w:hAnsi="Times New Roman"/>
                <w:color w:val="000000"/>
                <w:sz w:val="22"/>
                <w:szCs w:val="22"/>
                <w:lang w:val="et-EE"/>
              </w:rPr>
            </w:pPr>
            <w:r w:rsidRPr="00EC3BD7">
              <w:rPr>
                <w:rFonts w:ascii="Times New Roman" w:hAnsi="Times New Roman"/>
                <w:b/>
                <w:color w:val="000000"/>
                <w:sz w:val="22"/>
                <w:szCs w:val="22"/>
                <w:lang w:val="et-EE"/>
              </w:rPr>
              <w:t>Olulise molekulaarse ravivastuse kriteeriumid:</w:t>
            </w:r>
            <w:r w:rsidRPr="00EC3BD7">
              <w:rPr>
                <w:rFonts w:ascii="Times New Roman" w:hAnsi="Times New Roman"/>
                <w:color w:val="000000"/>
                <w:sz w:val="22"/>
                <w:szCs w:val="22"/>
                <w:lang w:val="et-EE"/>
              </w:rPr>
              <w:t xml:space="preserve"> Bcr-Ab1 transkriptide arvu ≥3 logaritmiline vähenemine perifeerses veres pärast 12</w:t>
            </w:r>
            <w:r w:rsidR="00D0680E" w:rsidRPr="00EC3BD7">
              <w:rPr>
                <w:rFonts w:ascii="Times New Roman" w:hAnsi="Times New Roman"/>
                <w:color w:val="000000"/>
                <w:sz w:val="22"/>
                <w:szCs w:val="22"/>
                <w:lang w:val="et-EE"/>
              </w:rPr>
              <w:noBreakHyphen/>
            </w:r>
            <w:r w:rsidRPr="00EC3BD7">
              <w:rPr>
                <w:rFonts w:ascii="Times New Roman" w:hAnsi="Times New Roman"/>
                <w:color w:val="000000"/>
                <w:sz w:val="22"/>
                <w:szCs w:val="22"/>
                <w:lang w:val="et-EE"/>
              </w:rPr>
              <w:t xml:space="preserve">kuulist ravi võrrelduna algväärtusega (mõõdetud reaalajas kvantitatiivse pöördtranskriptaasi </w:t>
            </w:r>
            <w:smartTag w:uri="urn:schemas-microsoft-com:office:smarttags" w:element="stockticker">
              <w:r w:rsidRPr="00EC3BD7">
                <w:rPr>
                  <w:rFonts w:ascii="Times New Roman" w:hAnsi="Times New Roman"/>
                  <w:color w:val="000000"/>
                  <w:sz w:val="22"/>
                  <w:szCs w:val="22"/>
                  <w:lang w:val="et-EE"/>
                </w:rPr>
                <w:t>PCR</w:t>
              </w:r>
            </w:smartTag>
            <w:r w:rsidRPr="00EC3BD7">
              <w:rPr>
                <w:rFonts w:ascii="Times New Roman" w:hAnsi="Times New Roman"/>
                <w:color w:val="000000"/>
                <w:sz w:val="22"/>
                <w:szCs w:val="22"/>
                <w:lang w:val="et-EE"/>
              </w:rPr>
              <w:t xml:space="preserve"> meetodil).</w:t>
            </w:r>
          </w:p>
        </w:tc>
      </w:tr>
    </w:tbl>
    <w:p w14:paraId="45530515" w14:textId="77777777" w:rsidR="00E21A2F" w:rsidRPr="00EC3BD7" w:rsidRDefault="00E21A2F" w:rsidP="00E21A2F">
      <w:pPr>
        <w:pStyle w:val="Text"/>
        <w:widowControl w:val="0"/>
        <w:spacing w:before="0"/>
        <w:jc w:val="left"/>
        <w:rPr>
          <w:color w:val="000000"/>
          <w:sz w:val="22"/>
          <w:szCs w:val="22"/>
          <w:lang w:val="et-EE"/>
        </w:rPr>
      </w:pPr>
    </w:p>
    <w:p w14:paraId="1CF6D651" w14:textId="77777777" w:rsidR="00E21A2F" w:rsidRPr="00EC3BD7" w:rsidRDefault="00E21A2F" w:rsidP="00E21A2F">
      <w:pPr>
        <w:pStyle w:val="EndnoteText"/>
        <w:rPr>
          <w:color w:val="000000"/>
          <w:szCs w:val="22"/>
          <w:lang w:val="et-EE"/>
        </w:rPr>
      </w:pPr>
      <w:r w:rsidRPr="00EC3BD7">
        <w:rPr>
          <w:color w:val="000000"/>
          <w:szCs w:val="22"/>
          <w:lang w:val="et-EE"/>
        </w:rPr>
        <w:t>Täieliku hematoloogilise ravivastuse, olulise tsütogeneetilise ravivastuse ja täieliku tsütogeneetilise ravivastuse sagedused esmavaliku ravi puhul leiti Kaplan-Meieri hinnangfunktsiooni kasutades, mille puhul ravivastuse puudumised tsenseeriti viimase läbivaatuse kuupäeval. Seda hinnangfunktsiooni kasutades saadud kumulatiivsed ravivastuse sagedused esmavaliku Glivec-ravi puhul vahemikus 12 kuni 84 kuud paranesid järgmiselt: täielik hematoloogiline ravivastus vastavalt 96,4% ning 98,4% ja täielik tsütoloogiline ravivastus vastavalt 69,5% ning 87,2%.</w:t>
      </w:r>
    </w:p>
    <w:p w14:paraId="4488932E" w14:textId="77777777" w:rsidR="00E21A2F" w:rsidRPr="00EC3BD7" w:rsidRDefault="00E21A2F" w:rsidP="00E21A2F">
      <w:pPr>
        <w:pStyle w:val="EndnoteText"/>
        <w:rPr>
          <w:color w:val="000000"/>
          <w:szCs w:val="22"/>
          <w:lang w:val="et-EE"/>
        </w:rPr>
      </w:pPr>
    </w:p>
    <w:p w14:paraId="46831690" w14:textId="41657AB5" w:rsidR="00E21A2F" w:rsidRPr="00EC3BD7" w:rsidRDefault="00E21A2F" w:rsidP="00E21A2F">
      <w:pPr>
        <w:pStyle w:val="EndnoteText"/>
        <w:rPr>
          <w:color w:val="000000"/>
          <w:szCs w:val="22"/>
          <w:lang w:val="et-EE"/>
        </w:rPr>
      </w:pPr>
      <w:r w:rsidRPr="00EC3BD7">
        <w:rPr>
          <w:color w:val="000000"/>
          <w:szCs w:val="22"/>
          <w:lang w:val="et-EE"/>
        </w:rPr>
        <w:t xml:space="preserve">7-aastase järelkontrolli jooksul täheldati Gliveci rühmas 93 (16,8%) progresseerumise juhtu: 37 (6,7%) juhul oli tegemist progresseerumisega aktseleratsioonifaasi/blastsesse kriisi, 31 (5,6%) juhul olulise tsütogeneetilise ravivastuse kaoga, 15 (2,7%) juhul täieliku hematoloogilise ravivastuse kaoga või leukotsüütide arvu suurenemisega ning 10 (1,8%) juhul </w:t>
      </w:r>
      <w:smartTag w:uri="urn:schemas-microsoft-com:office:smarttags" w:element="stockticker">
        <w:r w:rsidRPr="00EC3BD7">
          <w:rPr>
            <w:color w:val="000000"/>
            <w:szCs w:val="22"/>
            <w:lang w:val="et-EE"/>
          </w:rPr>
          <w:t>KML</w:t>
        </w:r>
      </w:smartTag>
      <w:r w:rsidR="00605733">
        <w:rPr>
          <w:color w:val="000000"/>
          <w:szCs w:val="22"/>
          <w:lang w:val="et-EE"/>
        </w:rPr>
        <w:t>-</w:t>
      </w:r>
      <w:r w:rsidRPr="00EC3BD7">
        <w:rPr>
          <w:color w:val="000000"/>
          <w:szCs w:val="22"/>
          <w:lang w:val="et-EE"/>
        </w:rPr>
        <w:t>ga mitteseotud surmadega. IFN+Ara-C rühmas täheldati aga 165 (29,8%) progresseerumise juhtu, millest 130 ilmnesid esmavaliku IFN+Ara-C ravi ajal.</w:t>
      </w:r>
    </w:p>
    <w:p w14:paraId="2E057DC3" w14:textId="77777777" w:rsidR="00E21A2F" w:rsidRPr="00EC3BD7" w:rsidRDefault="00E21A2F" w:rsidP="00E21A2F">
      <w:pPr>
        <w:pStyle w:val="Text"/>
        <w:widowControl w:val="0"/>
        <w:spacing w:before="0"/>
        <w:jc w:val="left"/>
        <w:rPr>
          <w:color w:val="000000"/>
          <w:sz w:val="22"/>
          <w:szCs w:val="22"/>
          <w:lang w:val="et-EE"/>
        </w:rPr>
      </w:pPr>
    </w:p>
    <w:p w14:paraId="23B66773" w14:textId="77777777" w:rsidR="00E21A2F" w:rsidRPr="00EC3BD7" w:rsidRDefault="00E21A2F" w:rsidP="00E21A2F">
      <w:pPr>
        <w:pStyle w:val="EndnoteText"/>
        <w:widowControl w:val="0"/>
        <w:rPr>
          <w:color w:val="000000"/>
          <w:szCs w:val="22"/>
          <w:lang w:val="et-EE"/>
        </w:rPr>
      </w:pPr>
      <w:r w:rsidRPr="00EC3BD7">
        <w:rPr>
          <w:color w:val="000000"/>
          <w:szCs w:val="22"/>
          <w:lang w:val="et-EE"/>
        </w:rPr>
        <w:t xml:space="preserve">Patsientide osa, kelle haigus ei progresseerunud 84 kuu möödudes aktseleratsioonifaasi või blastsesse kriisi, oli Gliveci rühmas oluliselt kõrgem kui IFNi rühmas (92,5% </w:t>
      </w:r>
      <w:r w:rsidRPr="00EC3BD7">
        <w:rPr>
          <w:i/>
          <w:color w:val="000000"/>
          <w:szCs w:val="22"/>
          <w:lang w:val="et-EE"/>
        </w:rPr>
        <w:t>versus</w:t>
      </w:r>
      <w:r w:rsidRPr="00EC3BD7">
        <w:rPr>
          <w:color w:val="000000"/>
          <w:szCs w:val="22"/>
          <w:lang w:val="et-EE"/>
        </w:rPr>
        <w:t xml:space="preserve"> 85,1%, p&lt;0,001). Aktseleratsioonifaasi või blastsesse kriisi progresseerumise aastane määr vähenes ajas ning oli neljandal ja viiendal aastal vähem kui 1%. Progressioonivaba elulemus 84 kuu möödudes oli 81,2% Gliveci rühmas ja 60,6% kontrollrühmas (p&lt;0,001). Gliveci kasutamisel vähenes progresseerumise </w:t>
      </w:r>
      <w:r w:rsidRPr="00EC3BD7">
        <w:rPr>
          <w:color w:val="000000"/>
          <w:szCs w:val="22"/>
          <w:lang w:val="et-EE"/>
        </w:rPr>
        <w:lastRenderedPageBreak/>
        <w:t>aastane määr ajas ka kõigil teistel juhtudel.</w:t>
      </w:r>
    </w:p>
    <w:p w14:paraId="27AB76CD" w14:textId="77777777" w:rsidR="00E21A2F" w:rsidRPr="00EC3BD7" w:rsidRDefault="00E21A2F" w:rsidP="00E21A2F">
      <w:pPr>
        <w:pStyle w:val="EndnoteText"/>
        <w:widowControl w:val="0"/>
        <w:rPr>
          <w:color w:val="000000"/>
          <w:szCs w:val="22"/>
          <w:lang w:val="et-EE"/>
        </w:rPr>
      </w:pPr>
    </w:p>
    <w:p w14:paraId="77F97002" w14:textId="77777777" w:rsidR="00E21A2F" w:rsidRPr="00EC3BD7" w:rsidRDefault="00E21A2F" w:rsidP="00E21A2F">
      <w:pPr>
        <w:pStyle w:val="EndnoteText"/>
        <w:rPr>
          <w:color w:val="000000"/>
          <w:szCs w:val="22"/>
          <w:lang w:val="et-EE"/>
        </w:rPr>
      </w:pPr>
      <w:r w:rsidRPr="00EC3BD7">
        <w:rPr>
          <w:color w:val="000000"/>
          <w:szCs w:val="22"/>
          <w:lang w:val="et-EE"/>
        </w:rPr>
        <w:t xml:space="preserve">Gliveci ja IFN+Ara-C rühmas suri kokku vastavalt 71 (12,8%) ja 85 (15,4%) patsienti. 84 kuu möödudes oli hinnatud üldine elulemus vastavalt 86,4% (83, 90) </w:t>
      </w:r>
      <w:r w:rsidRPr="00EC3BD7">
        <w:rPr>
          <w:i/>
          <w:color w:val="000000"/>
          <w:szCs w:val="22"/>
          <w:lang w:val="et-EE"/>
        </w:rPr>
        <w:t>vs.</w:t>
      </w:r>
      <w:r w:rsidRPr="00EC3BD7">
        <w:rPr>
          <w:color w:val="000000"/>
          <w:szCs w:val="22"/>
          <w:lang w:val="et-EE"/>
        </w:rPr>
        <w:t xml:space="preserve"> 83,3% (80, 87) randomiseeritud Gliveci ja IFN+Ara-C rühmas (p=0,073, logaritmiline astaktest). Tulemusnäitajat – haiguse progresseerumiseni kuluvat aega – mõjutab oluliselt suur IFN+Ara-C ravilt Glivec-ravile üleviimise sagedus. Glivec-ravi toimet elulemusele kroonilises faasis, äsja diagnoositud </w:t>
      </w:r>
      <w:smartTag w:uri="urn:schemas-microsoft-com:office:smarttags" w:element="stockticker">
        <w:r w:rsidRPr="00EC3BD7">
          <w:rPr>
            <w:color w:val="000000"/>
            <w:szCs w:val="22"/>
            <w:lang w:val="et-EE"/>
          </w:rPr>
          <w:t>KML</w:t>
        </w:r>
      </w:smartTag>
      <w:r w:rsidRPr="00EC3BD7">
        <w:rPr>
          <w:color w:val="000000"/>
          <w:szCs w:val="22"/>
          <w:lang w:val="et-EE"/>
        </w:rPr>
        <w:t xml:space="preserve"> puhul on täiendavalt uuritud ülaltoodud Gliveci andmete retrospektiivses analüüsis koos esmaste andmetega ühest teisest </w:t>
      </w:r>
      <w:smartTag w:uri="urn:schemas-microsoft-com:office:smarttags" w:element="stockticker">
        <w:r w:rsidRPr="00EC3BD7">
          <w:rPr>
            <w:color w:val="000000"/>
            <w:szCs w:val="22"/>
            <w:lang w:val="et-EE"/>
          </w:rPr>
          <w:t>III</w:t>
        </w:r>
      </w:smartTag>
      <w:r w:rsidRPr="00EC3BD7">
        <w:rPr>
          <w:color w:val="000000"/>
          <w:szCs w:val="22"/>
          <w:lang w:val="et-EE"/>
        </w:rPr>
        <w:t xml:space="preserve"> faasi uuringust, kus IFN+Ara-C (n=325) kasutati samasuguse skeemi alusel. Selles retrospektiivses analüüsis demonstreeriti Gliveci paremust IFN+Ara-C ees üldise elulemuse suhtes (p&lt;0,001); 42 kuu jooksul suri 47 (8,5%) Gliveci patsienti ja 63 (19,4%) IFN+Ara-C patsienti.</w:t>
      </w:r>
    </w:p>
    <w:p w14:paraId="374AFF41" w14:textId="77777777" w:rsidR="00E21A2F" w:rsidRPr="00EC3BD7" w:rsidRDefault="00E21A2F" w:rsidP="00E21A2F">
      <w:pPr>
        <w:pStyle w:val="EndnoteText"/>
        <w:rPr>
          <w:color w:val="000000"/>
          <w:szCs w:val="22"/>
          <w:lang w:val="et-EE"/>
        </w:rPr>
      </w:pPr>
    </w:p>
    <w:p w14:paraId="532F2446" w14:textId="77777777" w:rsidR="00E21A2F" w:rsidRPr="00EC3BD7" w:rsidRDefault="00E21A2F" w:rsidP="00E21A2F">
      <w:pPr>
        <w:pStyle w:val="EndnoteText"/>
        <w:rPr>
          <w:color w:val="000000"/>
          <w:szCs w:val="22"/>
          <w:lang w:val="et-EE"/>
        </w:rPr>
      </w:pPr>
      <w:r w:rsidRPr="00EC3BD7">
        <w:rPr>
          <w:color w:val="000000"/>
          <w:szCs w:val="22"/>
          <w:lang w:val="et-EE"/>
        </w:rPr>
        <w:t>Tsütogeneetilise ravivastuse ja molekulaarse ravivastuse määral oli ilmne toime pikaajalistele ravitulemustele Glivec-ravi saanud patsientidel. 84. kuuks ei olnud aktseleratsioonifaasi/blastsesse kriisi progresseerunud 96% (93%) patsientidest, kes olid 12. kuuks saavutanud täieliku (osalise) ts</w:t>
      </w:r>
      <w:r w:rsidR="009D6702" w:rsidRPr="00EC3BD7">
        <w:rPr>
          <w:color w:val="000000"/>
          <w:szCs w:val="22"/>
          <w:lang w:val="et-EE"/>
        </w:rPr>
        <w:t>ü</w:t>
      </w:r>
      <w:r w:rsidRPr="00EC3BD7">
        <w:rPr>
          <w:color w:val="000000"/>
          <w:szCs w:val="22"/>
          <w:lang w:val="et-EE"/>
        </w:rPr>
        <w:t>togeneetilise ravivastuse, ning ainult 81% patsientidest, kellel puudus 84. kuul oluline tsütogeneetiline ravivastus (p&lt;0,001 üldiselt, p=0,25 võrreldes täielikku ja osalist tsütogeneetilist ravivastust). Patsientidel, kellel esines täielik Bcr-Abl transkriptide arvu vähemalt 3-logaritmiline vähenemine pärast 12</w:t>
      </w:r>
      <w:r w:rsidRPr="00EC3BD7">
        <w:rPr>
          <w:color w:val="000000"/>
          <w:szCs w:val="22"/>
          <w:lang w:val="et-EE"/>
        </w:rPr>
        <w:noBreakHyphen/>
        <w:t>kuulist ravi, oli 99% tõenäosus jääda 84 kuuks aktseleratsioonifaasi/blastse kriisi progressioonivabaks. Samasugused tulemused saadi ka 18 kuu andmete analüüsil.</w:t>
      </w:r>
    </w:p>
    <w:p w14:paraId="528F6C18" w14:textId="77777777" w:rsidR="00E21A2F" w:rsidRPr="00EC3BD7" w:rsidRDefault="00E21A2F" w:rsidP="00E21A2F">
      <w:pPr>
        <w:pStyle w:val="EndnoteText"/>
        <w:widowControl w:val="0"/>
        <w:rPr>
          <w:color w:val="000000"/>
          <w:szCs w:val="22"/>
          <w:lang w:val="et-EE"/>
        </w:rPr>
      </w:pPr>
    </w:p>
    <w:p w14:paraId="6332A650" w14:textId="77777777" w:rsidR="00E21A2F" w:rsidRPr="00EC3BD7" w:rsidRDefault="00E21A2F" w:rsidP="00E21A2F">
      <w:pPr>
        <w:pStyle w:val="EndnoteText"/>
        <w:widowControl w:val="0"/>
        <w:rPr>
          <w:color w:val="000000"/>
          <w:szCs w:val="22"/>
          <w:lang w:val="et-EE"/>
        </w:rPr>
      </w:pPr>
      <w:r w:rsidRPr="00EC3BD7">
        <w:rPr>
          <w:color w:val="000000"/>
          <w:szCs w:val="22"/>
          <w:lang w:val="et-EE"/>
        </w:rPr>
        <w:t>Annuse suurendamine oli selles uuringus lubatud annuselt 400 mg päevas kuni 600 mg päevas, seejärel 600 mg päevas kuni 800 mg päevas. Pärast 42 kuulist jälgimist leidis 11 patsiendil kinnitust tsütogeneetilise ravivastuse kadumine (nelja nädala jooksul). Nendest 11-st patsiendist neljal suurendati annust 800 mg-ni päevas, nendest kaks saavutasid uuesti tsütogeneetilise ravivastuse (üks osalise ja teine täieliku, hiljem ka molekulaarse ravivastuse). Annust ei suurendatud 7 patsiendil ning neist ainult ühel taastus tsütogeneetiline ravivastus. Kõrvaltoimete esinemissagedus oli suurem nendel 40 patsiendil, kellel annust suurendati 800 mg-ni päevas võrrelduna patsientide populatsiooniga enne annuse suurendamist (n=551). Kõige sagedasemateks kõrvaltoimeteks olid gastrointestinaalsed hemorraagiad, konjunktiviit ja transaminaaside või bilirubiini taseme tõus. Teised kõrvaltoimed esinesid kas sama või väiksema sagedusega.</w:t>
      </w:r>
    </w:p>
    <w:p w14:paraId="292343D9" w14:textId="77777777" w:rsidR="00E21A2F" w:rsidRPr="00EC3BD7" w:rsidRDefault="00E21A2F" w:rsidP="00E21A2F">
      <w:pPr>
        <w:pStyle w:val="EndnoteText"/>
        <w:widowControl w:val="0"/>
        <w:rPr>
          <w:color w:val="000000"/>
          <w:szCs w:val="22"/>
          <w:lang w:val="et-EE"/>
        </w:rPr>
      </w:pPr>
    </w:p>
    <w:p w14:paraId="48EEAE2E" w14:textId="77777777" w:rsidR="00E21A2F" w:rsidRPr="00EC3BD7" w:rsidRDefault="00E21A2F" w:rsidP="00E21A2F">
      <w:pPr>
        <w:pStyle w:val="EndnoteText"/>
        <w:widowControl w:val="0"/>
        <w:tabs>
          <w:tab w:val="clear" w:pos="567"/>
        </w:tabs>
        <w:rPr>
          <w:color w:val="000000"/>
          <w:szCs w:val="22"/>
          <w:lang w:val="et-EE"/>
        </w:rPr>
      </w:pPr>
      <w:r w:rsidRPr="00EC3BD7">
        <w:rPr>
          <w:i/>
          <w:color w:val="000000"/>
          <w:szCs w:val="22"/>
          <w:lang w:val="et-EE"/>
        </w:rPr>
        <w:t>Krooniline staadium, interferoonravi ebaõnnestumine.</w:t>
      </w:r>
      <w:r w:rsidRPr="00EC3BD7">
        <w:rPr>
          <w:color w:val="000000"/>
          <w:szCs w:val="22"/>
          <w:lang w:val="et-EE"/>
        </w:rPr>
        <w:t xml:space="preserve"> 532 täiskasvanud patsiendil alustati ravi annusega 400 mg. Patsiendid jaotusid kolme peamisse rühma: hematoloogiline ebaõnnestumine (29%), tsütogeneetiline ebaõnnestumine (35%) või interferooni talumatus (36%). Patsiendid olid eelnevalt saanud keskmiselt 14 kuud (mediaan) IFNi ravi annustega </w:t>
      </w:r>
      <w:r w:rsidRPr="00EC3BD7">
        <w:rPr>
          <w:color w:val="000000"/>
          <w:szCs w:val="22"/>
          <w:lang w:val="et-EE"/>
        </w:rPr>
        <w:sym w:font="Symbol" w:char="F0B3"/>
      </w:r>
      <w:r w:rsidRPr="00EC3BD7">
        <w:rPr>
          <w:color w:val="000000"/>
          <w:szCs w:val="22"/>
          <w:lang w:val="et-EE"/>
        </w:rPr>
        <w:t>25x10</w:t>
      </w:r>
      <w:r w:rsidRPr="00EC3BD7">
        <w:rPr>
          <w:color w:val="000000"/>
          <w:szCs w:val="22"/>
          <w:vertAlign w:val="superscript"/>
          <w:lang w:val="et-EE"/>
        </w:rPr>
        <w:t>6</w:t>
      </w:r>
      <w:r w:rsidRPr="00EC3BD7">
        <w:rPr>
          <w:color w:val="000000"/>
          <w:szCs w:val="22"/>
          <w:lang w:val="et-EE"/>
        </w:rPr>
        <w:t xml:space="preserve"> RÜ/nädalas ja olid kõik hilises kroonilises staadiumis; diagnoosist oli möödunud keskmiselt 32 kuud. Uuringu esmane tulemusväljund oli oluline tsütogeneetiline vastus (täielik pluss osaline ravivastus, 0 kuni 35% Ph+ metafaase luuüdis).</w:t>
      </w:r>
    </w:p>
    <w:p w14:paraId="079CE618" w14:textId="77777777" w:rsidR="00E21A2F" w:rsidRPr="00EC3BD7" w:rsidRDefault="00E21A2F" w:rsidP="00E21A2F">
      <w:pPr>
        <w:pStyle w:val="EndnoteText"/>
        <w:widowControl w:val="0"/>
        <w:tabs>
          <w:tab w:val="clear" w:pos="567"/>
        </w:tabs>
        <w:rPr>
          <w:color w:val="000000"/>
          <w:szCs w:val="22"/>
          <w:lang w:val="et-EE"/>
        </w:rPr>
      </w:pPr>
    </w:p>
    <w:p w14:paraId="2933CFDB" w14:textId="77777777"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Selles uuringus saavutas 65% patsientidest olulise tsütogeneetilise vastuse, mis 53%-l patsientidest oli täielik (kinnitunud 43%) (tabel </w:t>
      </w:r>
      <w:r w:rsidR="008F4DAA" w:rsidRPr="00EC3BD7">
        <w:rPr>
          <w:color w:val="000000"/>
          <w:szCs w:val="22"/>
          <w:lang w:val="et-EE"/>
        </w:rPr>
        <w:t>3</w:t>
      </w:r>
      <w:r w:rsidRPr="00EC3BD7">
        <w:rPr>
          <w:color w:val="000000"/>
          <w:szCs w:val="22"/>
          <w:lang w:val="et-EE"/>
        </w:rPr>
        <w:t>). Täielik hematoloogiline vastus saavutati 95%-l patsientidest.</w:t>
      </w:r>
    </w:p>
    <w:p w14:paraId="43B9D3AF" w14:textId="77777777" w:rsidR="00E21A2F" w:rsidRPr="00EC3BD7" w:rsidRDefault="00E21A2F" w:rsidP="00E21A2F">
      <w:pPr>
        <w:pStyle w:val="EndnoteText"/>
        <w:widowControl w:val="0"/>
        <w:tabs>
          <w:tab w:val="clear" w:pos="567"/>
        </w:tabs>
        <w:rPr>
          <w:color w:val="000000"/>
          <w:szCs w:val="22"/>
          <w:lang w:val="et-EE"/>
        </w:rPr>
      </w:pPr>
    </w:p>
    <w:p w14:paraId="4AFAB338" w14:textId="14E998FE" w:rsidR="00E21A2F" w:rsidRPr="00EC3BD7" w:rsidRDefault="00E21A2F" w:rsidP="00E21A2F">
      <w:pPr>
        <w:pStyle w:val="EndnoteText"/>
        <w:widowControl w:val="0"/>
        <w:tabs>
          <w:tab w:val="clear" w:pos="567"/>
        </w:tabs>
        <w:rPr>
          <w:color w:val="000000"/>
          <w:szCs w:val="22"/>
          <w:lang w:val="et-EE"/>
        </w:rPr>
      </w:pPr>
      <w:r w:rsidRPr="00EC3BD7">
        <w:rPr>
          <w:i/>
          <w:color w:val="000000"/>
          <w:szCs w:val="22"/>
          <w:lang w:val="et-EE"/>
        </w:rPr>
        <w:t>Aktseleratsioonifaas</w:t>
      </w:r>
      <w:r w:rsidRPr="00EC3BD7">
        <w:rPr>
          <w:color w:val="000000"/>
          <w:szCs w:val="22"/>
          <w:lang w:val="et-EE"/>
        </w:rPr>
        <w:t xml:space="preserve">. Osales 235 täiskasvanud patsienti </w:t>
      </w:r>
      <w:smartTag w:uri="urn:schemas-microsoft-com:office:smarttags" w:element="stockticker">
        <w:r w:rsidRPr="00EC3BD7">
          <w:rPr>
            <w:color w:val="000000"/>
            <w:szCs w:val="22"/>
            <w:lang w:val="et-EE"/>
          </w:rPr>
          <w:t>KML</w:t>
        </w:r>
        <w:r w:rsidR="00605733" w:rsidRPr="00593631">
          <w:rPr>
            <w:color w:val="000000"/>
            <w:szCs w:val="22"/>
            <w:lang w:val="et-EE"/>
          </w:rPr>
          <w:t>-i</w:t>
        </w:r>
      </w:smartTag>
      <w:r w:rsidRPr="00EC3BD7">
        <w:rPr>
          <w:color w:val="000000"/>
          <w:szCs w:val="22"/>
          <w:lang w:val="et-EE"/>
        </w:rPr>
        <w:t xml:space="preserve"> aktseleratsioonifaasis. Esimesed 77 patsienti alustasid ravi annusega 400 mg, kuid seejärel muudeti protokolli, et saaks kasutada suuremaid annuseid ning ülejäänud 158 patsienti alustasid annusega 600 mg.</w:t>
      </w:r>
    </w:p>
    <w:p w14:paraId="0EBA5299" w14:textId="77777777" w:rsidR="00E21A2F" w:rsidRPr="00EC3BD7" w:rsidRDefault="00E21A2F" w:rsidP="00E21A2F">
      <w:pPr>
        <w:pStyle w:val="EndnoteText"/>
        <w:widowControl w:val="0"/>
        <w:tabs>
          <w:tab w:val="clear" w:pos="567"/>
        </w:tabs>
        <w:rPr>
          <w:color w:val="000000"/>
          <w:szCs w:val="22"/>
          <w:lang w:val="et-EE"/>
        </w:rPr>
      </w:pPr>
    </w:p>
    <w:p w14:paraId="1CFF7699" w14:textId="0B621EE4"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 xml:space="preserve">Esmane tulemusnäitaja oli hematoloogiline ravivastus, mis väljendus kas täieliku hematoloogilise vastusena, leukeemia tunnuste puudumisena (st blastid kadunud luuüdist ja verest, kuid ilma täieliku perifeerse vere normaliseerumiseta nagu täieliku reaktsiooni puhul) või </w:t>
      </w:r>
      <w:smartTag w:uri="urn:schemas-microsoft-com:office:smarttags" w:element="stockticker">
        <w:r w:rsidRPr="00EC3BD7">
          <w:rPr>
            <w:color w:val="000000"/>
            <w:szCs w:val="22"/>
            <w:lang w:val="et-EE"/>
          </w:rPr>
          <w:t>KML</w:t>
        </w:r>
        <w:r w:rsidR="00605733" w:rsidRPr="00593631">
          <w:rPr>
            <w:color w:val="000000"/>
            <w:szCs w:val="22"/>
            <w:lang w:val="et-EE"/>
          </w:rPr>
          <w:t>-i</w:t>
        </w:r>
      </w:smartTag>
      <w:r w:rsidRPr="00EC3BD7">
        <w:rPr>
          <w:color w:val="000000"/>
          <w:szCs w:val="22"/>
          <w:lang w:val="et-EE"/>
        </w:rPr>
        <w:t xml:space="preserve"> kroonilise faasi taastumisena. Kinnitunud hematoloogiline vastus saavutati 71,5% patsientidel (tabel </w:t>
      </w:r>
      <w:r w:rsidR="008F4DAA" w:rsidRPr="00EC3BD7">
        <w:rPr>
          <w:color w:val="000000"/>
          <w:szCs w:val="22"/>
          <w:lang w:val="et-EE"/>
        </w:rPr>
        <w:t>3</w:t>
      </w:r>
      <w:r w:rsidRPr="00EC3BD7">
        <w:rPr>
          <w:color w:val="000000"/>
          <w:szCs w:val="22"/>
          <w:lang w:val="et-EE"/>
        </w:rPr>
        <w:t>). Oluline oli, et 27,7% patsientidest saavutasid ka olulise tsütogeneetilise vastuse, mis oli täielik 20,4% patsientidel (kinnitus 16% patsientidest). Annusega 600 mg ravitud patsientide progressioonivaba elulemus ja üleüldine elulemus olid hinnanguliselt keskmiselt vastavalt 22,9 ja 42,5 kuud.</w:t>
      </w:r>
    </w:p>
    <w:p w14:paraId="0F759C35" w14:textId="77777777" w:rsidR="00E21A2F" w:rsidRPr="00EC3BD7" w:rsidRDefault="00E21A2F" w:rsidP="00E21A2F">
      <w:pPr>
        <w:pStyle w:val="EndnoteText"/>
        <w:widowControl w:val="0"/>
        <w:tabs>
          <w:tab w:val="clear" w:pos="567"/>
        </w:tabs>
        <w:rPr>
          <w:color w:val="000000"/>
          <w:szCs w:val="22"/>
          <w:lang w:val="et-EE"/>
        </w:rPr>
      </w:pPr>
    </w:p>
    <w:p w14:paraId="2DF661D1" w14:textId="77777777" w:rsidR="00E21A2F" w:rsidRPr="00EC3BD7" w:rsidRDefault="00E21A2F" w:rsidP="00E21A2F">
      <w:pPr>
        <w:pStyle w:val="EndnoteText"/>
        <w:widowControl w:val="0"/>
        <w:tabs>
          <w:tab w:val="clear" w:pos="567"/>
        </w:tabs>
        <w:rPr>
          <w:color w:val="000000"/>
          <w:szCs w:val="22"/>
          <w:lang w:val="et-EE"/>
        </w:rPr>
      </w:pPr>
      <w:r w:rsidRPr="00EC3BD7">
        <w:rPr>
          <w:i/>
          <w:color w:val="000000"/>
          <w:szCs w:val="22"/>
          <w:lang w:val="et-EE"/>
        </w:rPr>
        <w:t xml:space="preserve">Müeloidne blastne kriis. </w:t>
      </w:r>
      <w:r w:rsidRPr="00EC3BD7">
        <w:rPr>
          <w:color w:val="000000"/>
          <w:szCs w:val="22"/>
          <w:lang w:val="et-EE"/>
        </w:rPr>
        <w:t xml:space="preserve">Osales 260 patsienti müeloidse blastse kriisiga. 95 patsienti (37%) olid eelnevalt saanud kemoteraapiat kas aktseleratsioonifaasi või blastse kriisi raviks (“eelnevalt ravitud </w:t>
      </w:r>
      <w:r w:rsidRPr="00EC3BD7">
        <w:rPr>
          <w:color w:val="000000"/>
          <w:szCs w:val="22"/>
          <w:lang w:val="et-EE"/>
        </w:rPr>
        <w:lastRenderedPageBreak/>
        <w:t>patsiendid”) ja 165 (63%) ei olnud ravi saanud (“ravimata patsiendid”). Esimesed 37 patsienti alustasid ravi annusega 400 mg, kuid seejärel muudeti protokolli, et saaks kasutada suuremaid annuseid ja ülejäänud 223 patsienti alustasid annusega 600 mg.</w:t>
      </w:r>
    </w:p>
    <w:p w14:paraId="60134A1E" w14:textId="77777777" w:rsidR="00E21A2F" w:rsidRPr="00EC3BD7" w:rsidRDefault="00E21A2F" w:rsidP="00E21A2F">
      <w:pPr>
        <w:pStyle w:val="EndnoteText"/>
        <w:widowControl w:val="0"/>
        <w:tabs>
          <w:tab w:val="clear" w:pos="567"/>
        </w:tabs>
        <w:rPr>
          <w:color w:val="000000"/>
          <w:szCs w:val="22"/>
          <w:lang w:val="et-EE"/>
        </w:rPr>
      </w:pPr>
    </w:p>
    <w:p w14:paraId="5F0F4DC5" w14:textId="5C7F6333"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 xml:space="preserve">Esmane tulemusnäitaja oli hematoloogilise vastuse saavutamine, mis väljendus kas täieliku hematoloogilise vastusena, leukeemia tunnuste puudumisena või </w:t>
      </w:r>
      <w:smartTag w:uri="urn:schemas-microsoft-com:office:smarttags" w:element="stockticker">
        <w:r w:rsidRPr="00EC3BD7">
          <w:rPr>
            <w:color w:val="000000"/>
            <w:szCs w:val="22"/>
            <w:lang w:val="et-EE"/>
          </w:rPr>
          <w:t>KML</w:t>
        </w:r>
        <w:r w:rsidR="00605733" w:rsidRPr="00593631">
          <w:rPr>
            <w:color w:val="000000"/>
            <w:szCs w:val="22"/>
            <w:lang w:val="et-EE"/>
          </w:rPr>
          <w:t>-i</w:t>
        </w:r>
      </w:smartTag>
      <w:r w:rsidRPr="00EC3BD7">
        <w:rPr>
          <w:color w:val="000000"/>
          <w:szCs w:val="22"/>
          <w:lang w:val="et-EE"/>
        </w:rPr>
        <w:t xml:space="preserve"> kroonilise faasi taastumisena (kasutati samu kriteeriume nagu aktseleratsioonifaasi uuringus). Selles uuringus saavutasid 31% patsientidest hematoloogilise vastuse (36% eelnevalt ravitud patsientidest ja 22% ravimata patsientidest). Ravivastus esines sagedamini patsientidel, keda raviti annusega 600 mg (33%) võrreldes patsientidega, keda raviti annusega 400 mg (16%, p=0,0220). Keskmiseks elulemuseks (mediaan) hinnati 7,7 ja 4,7 kuud vastavalt eelnevalt ravitud patsientidel ja ravimata patsientidel.</w:t>
      </w:r>
    </w:p>
    <w:p w14:paraId="6927557B" w14:textId="77777777" w:rsidR="00E21A2F" w:rsidRPr="00EC3BD7" w:rsidRDefault="00E21A2F" w:rsidP="00E21A2F">
      <w:pPr>
        <w:pStyle w:val="EndnoteText"/>
        <w:widowControl w:val="0"/>
        <w:tabs>
          <w:tab w:val="clear" w:pos="567"/>
        </w:tabs>
        <w:rPr>
          <w:color w:val="000000"/>
          <w:szCs w:val="22"/>
          <w:lang w:val="et-EE"/>
        </w:rPr>
      </w:pPr>
    </w:p>
    <w:p w14:paraId="25074480" w14:textId="77777777" w:rsidR="00E21A2F" w:rsidRPr="00EC3BD7" w:rsidRDefault="00E21A2F" w:rsidP="00E21A2F">
      <w:pPr>
        <w:pStyle w:val="BodyText"/>
        <w:widowControl w:val="0"/>
        <w:spacing w:line="240" w:lineRule="auto"/>
        <w:rPr>
          <w:b w:val="0"/>
          <w:i w:val="0"/>
          <w:color w:val="000000"/>
          <w:szCs w:val="22"/>
          <w:lang w:val="et-EE"/>
        </w:rPr>
      </w:pPr>
      <w:r w:rsidRPr="00EC3BD7">
        <w:rPr>
          <w:b w:val="0"/>
          <w:color w:val="000000"/>
          <w:szCs w:val="22"/>
          <w:lang w:val="et-EE"/>
        </w:rPr>
        <w:t>Lümfoidne blastne kriis</w:t>
      </w:r>
      <w:r w:rsidRPr="00EC3BD7">
        <w:rPr>
          <w:b w:val="0"/>
          <w:i w:val="0"/>
          <w:color w:val="000000"/>
          <w:szCs w:val="22"/>
          <w:lang w:val="et-EE"/>
        </w:rPr>
        <w:t>. I faasi uuringutes osales piiratud arv patsiente (n=10). Hematoloogiline vastus esines 70% patsientidel kestusega 2...3 kuud.</w:t>
      </w:r>
    </w:p>
    <w:p w14:paraId="22DB9CCC" w14:textId="77777777" w:rsidR="00E21A2F" w:rsidRPr="00EC3BD7" w:rsidRDefault="00E21A2F" w:rsidP="00E21A2F">
      <w:pPr>
        <w:pStyle w:val="EndnoteText"/>
        <w:widowControl w:val="0"/>
        <w:tabs>
          <w:tab w:val="clear" w:pos="567"/>
        </w:tabs>
        <w:rPr>
          <w:color w:val="000000"/>
          <w:szCs w:val="22"/>
          <w:lang w:val="et-EE"/>
        </w:rPr>
      </w:pPr>
    </w:p>
    <w:p w14:paraId="5E1AFDB9" w14:textId="0999C668" w:rsidR="00E21A2F" w:rsidRPr="00EC3BD7" w:rsidRDefault="00E21A2F" w:rsidP="008B1609">
      <w:pPr>
        <w:pStyle w:val="EndnoteText"/>
        <w:keepNext/>
        <w:widowControl w:val="0"/>
        <w:tabs>
          <w:tab w:val="clear" w:pos="567"/>
          <w:tab w:val="left" w:pos="1134"/>
        </w:tabs>
        <w:rPr>
          <w:color w:val="000000"/>
          <w:szCs w:val="22"/>
          <w:lang w:val="et-EE"/>
        </w:rPr>
      </w:pPr>
      <w:r w:rsidRPr="00EC3BD7">
        <w:rPr>
          <w:b/>
          <w:color w:val="000000"/>
          <w:szCs w:val="22"/>
          <w:lang w:val="et-EE"/>
        </w:rPr>
        <w:t>Tabel </w:t>
      </w:r>
      <w:r w:rsidR="008F4DAA" w:rsidRPr="00EC3BD7">
        <w:rPr>
          <w:b/>
          <w:color w:val="000000"/>
          <w:szCs w:val="22"/>
          <w:lang w:val="et-EE"/>
        </w:rPr>
        <w:t>3</w:t>
      </w:r>
      <w:r w:rsidRPr="00EC3BD7">
        <w:rPr>
          <w:b/>
          <w:color w:val="000000"/>
          <w:szCs w:val="22"/>
          <w:lang w:val="et-EE"/>
        </w:rPr>
        <w:tab/>
        <w:t xml:space="preserve">Reaktsioon </w:t>
      </w:r>
      <w:smartTag w:uri="urn:schemas-microsoft-com:office:smarttags" w:element="stockticker">
        <w:r w:rsidRPr="00EC3BD7">
          <w:rPr>
            <w:b/>
            <w:color w:val="000000"/>
            <w:szCs w:val="22"/>
            <w:lang w:val="et-EE"/>
          </w:rPr>
          <w:t>KML</w:t>
        </w:r>
        <w:r w:rsidR="00605733" w:rsidRPr="00637BB6">
          <w:rPr>
            <w:b/>
            <w:color w:val="000000"/>
            <w:szCs w:val="22"/>
            <w:lang w:val="et-EE"/>
          </w:rPr>
          <w:t>-i</w:t>
        </w:r>
      </w:smartTag>
      <w:r w:rsidRPr="00EC3BD7">
        <w:rPr>
          <w:b/>
          <w:color w:val="000000"/>
          <w:szCs w:val="22"/>
          <w:lang w:val="et-EE"/>
        </w:rPr>
        <w:t xml:space="preserve"> uuringutes täiskasvanutel</w:t>
      </w:r>
    </w:p>
    <w:p w14:paraId="4C848436" w14:textId="77777777" w:rsidR="00E21A2F" w:rsidRPr="00EC3BD7" w:rsidRDefault="00E21A2F" w:rsidP="008B1609">
      <w:pPr>
        <w:pStyle w:val="EndnoteText"/>
        <w:keepNext/>
        <w:widowControl w:val="0"/>
        <w:tabs>
          <w:tab w:val="clear" w:pos="567"/>
        </w:tabs>
        <w:rPr>
          <w:color w:val="000000"/>
          <w:szCs w:val="22"/>
          <w:lang w:val="et-EE"/>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983"/>
        <w:gridCol w:w="2126"/>
        <w:gridCol w:w="1986"/>
      </w:tblGrid>
      <w:tr w:rsidR="00E21A2F" w:rsidRPr="005D29F8" w14:paraId="383D6073" w14:textId="77777777" w:rsidTr="008B1609">
        <w:trPr>
          <w:cantSplit/>
        </w:trPr>
        <w:tc>
          <w:tcPr>
            <w:tcW w:w="3227" w:type="dxa"/>
            <w:tcBorders>
              <w:bottom w:val="nil"/>
            </w:tcBorders>
          </w:tcPr>
          <w:p w14:paraId="12D0FBF0" w14:textId="77777777" w:rsidR="00E21A2F" w:rsidRPr="00EC3BD7" w:rsidRDefault="00E21A2F" w:rsidP="008B1609">
            <w:pPr>
              <w:pStyle w:val="EndnoteText"/>
              <w:keepNext/>
              <w:widowControl w:val="0"/>
              <w:tabs>
                <w:tab w:val="clear" w:pos="567"/>
              </w:tabs>
              <w:rPr>
                <w:color w:val="000000"/>
                <w:szCs w:val="22"/>
                <w:lang w:val="et-EE"/>
              </w:rPr>
            </w:pPr>
          </w:p>
        </w:tc>
        <w:tc>
          <w:tcPr>
            <w:tcW w:w="1983" w:type="dxa"/>
            <w:tcBorders>
              <w:bottom w:val="nil"/>
            </w:tcBorders>
          </w:tcPr>
          <w:p w14:paraId="765DE460"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Uuring 0110</w:t>
            </w:r>
          </w:p>
          <w:p w14:paraId="0B0F2DF1"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37 kuu andmed</w:t>
            </w:r>
          </w:p>
          <w:p w14:paraId="60621BCA"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Krooniline staadium, IFN ebaõnnestumine</w:t>
            </w:r>
          </w:p>
          <w:p w14:paraId="2ED0F8CA"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(n=532)</w:t>
            </w:r>
          </w:p>
        </w:tc>
        <w:tc>
          <w:tcPr>
            <w:tcW w:w="2126" w:type="dxa"/>
            <w:tcBorders>
              <w:bottom w:val="nil"/>
            </w:tcBorders>
          </w:tcPr>
          <w:p w14:paraId="21E52025"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Uuring 0109</w:t>
            </w:r>
          </w:p>
          <w:p w14:paraId="6E0EFF35"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40,5 kuu andmed</w:t>
            </w:r>
          </w:p>
          <w:p w14:paraId="5061974E"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Aktseleratsioonifaas</w:t>
            </w:r>
          </w:p>
          <w:p w14:paraId="4AF65956"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(n=235)</w:t>
            </w:r>
          </w:p>
        </w:tc>
        <w:tc>
          <w:tcPr>
            <w:tcW w:w="1986" w:type="dxa"/>
            <w:tcBorders>
              <w:bottom w:val="nil"/>
            </w:tcBorders>
          </w:tcPr>
          <w:p w14:paraId="67CE1573"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Uuring 0102</w:t>
            </w:r>
          </w:p>
          <w:p w14:paraId="6819DB7B"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38 kuu andmed</w:t>
            </w:r>
          </w:p>
          <w:p w14:paraId="4305DD71"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Müeloidne blastne kriis</w:t>
            </w:r>
          </w:p>
          <w:p w14:paraId="530D1722"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(n=260)</w:t>
            </w:r>
          </w:p>
        </w:tc>
      </w:tr>
      <w:tr w:rsidR="00E21A2F" w:rsidRPr="00EC3BD7" w14:paraId="0EAD89AC" w14:textId="77777777" w:rsidTr="008B1609">
        <w:trPr>
          <w:cantSplit/>
        </w:trPr>
        <w:tc>
          <w:tcPr>
            <w:tcW w:w="3227" w:type="dxa"/>
            <w:tcBorders>
              <w:bottom w:val="nil"/>
            </w:tcBorders>
          </w:tcPr>
          <w:p w14:paraId="25A9E13D" w14:textId="77777777" w:rsidR="00E21A2F" w:rsidRPr="00EC3BD7" w:rsidRDefault="00E21A2F" w:rsidP="008B1609">
            <w:pPr>
              <w:pStyle w:val="EndnoteText"/>
              <w:keepNext/>
              <w:widowControl w:val="0"/>
              <w:tabs>
                <w:tab w:val="clear" w:pos="567"/>
              </w:tabs>
              <w:rPr>
                <w:color w:val="000000"/>
                <w:szCs w:val="22"/>
                <w:lang w:val="et-EE"/>
              </w:rPr>
            </w:pPr>
          </w:p>
        </w:tc>
        <w:tc>
          <w:tcPr>
            <w:tcW w:w="6095" w:type="dxa"/>
            <w:gridSpan w:val="3"/>
            <w:tcBorders>
              <w:bottom w:val="nil"/>
            </w:tcBorders>
          </w:tcPr>
          <w:p w14:paraId="0132A340"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Patsientide % (CI</w:t>
            </w:r>
            <w:r w:rsidRPr="00EC3BD7">
              <w:rPr>
                <w:color w:val="000000"/>
                <w:szCs w:val="22"/>
                <w:vertAlign w:val="subscript"/>
                <w:lang w:val="et-EE"/>
              </w:rPr>
              <w:t>95%</w:t>
            </w:r>
            <w:r w:rsidRPr="00EC3BD7">
              <w:rPr>
                <w:color w:val="000000"/>
                <w:szCs w:val="22"/>
                <w:lang w:val="et-EE"/>
              </w:rPr>
              <w:t>)</w:t>
            </w:r>
          </w:p>
        </w:tc>
      </w:tr>
      <w:tr w:rsidR="00E21A2F" w:rsidRPr="00EC3BD7" w14:paraId="7A477167" w14:textId="77777777" w:rsidTr="008B1609">
        <w:trPr>
          <w:cantSplit/>
        </w:trPr>
        <w:tc>
          <w:tcPr>
            <w:tcW w:w="3227" w:type="dxa"/>
            <w:tcBorders>
              <w:bottom w:val="nil"/>
            </w:tcBorders>
          </w:tcPr>
          <w:p w14:paraId="32874089" w14:textId="77777777" w:rsidR="00E21A2F" w:rsidRPr="00EC3BD7" w:rsidRDefault="00E21A2F" w:rsidP="008B1609">
            <w:pPr>
              <w:pStyle w:val="EndnoteText"/>
              <w:keepNext/>
              <w:widowControl w:val="0"/>
              <w:tabs>
                <w:tab w:val="clear" w:pos="567"/>
              </w:tabs>
              <w:rPr>
                <w:color w:val="000000"/>
                <w:szCs w:val="22"/>
                <w:lang w:val="et-EE"/>
              </w:rPr>
            </w:pPr>
            <w:r w:rsidRPr="00EC3BD7">
              <w:rPr>
                <w:color w:val="000000"/>
                <w:szCs w:val="22"/>
                <w:lang w:val="et-EE"/>
              </w:rPr>
              <w:t>Hematoloogiline ravivastus</w:t>
            </w:r>
            <w:r w:rsidRPr="00EC3BD7">
              <w:rPr>
                <w:color w:val="000000"/>
                <w:szCs w:val="22"/>
                <w:vertAlign w:val="superscript"/>
                <w:lang w:val="et-EE"/>
              </w:rPr>
              <w:t>1</w:t>
            </w:r>
          </w:p>
        </w:tc>
        <w:tc>
          <w:tcPr>
            <w:tcW w:w="1983" w:type="dxa"/>
            <w:tcBorders>
              <w:bottom w:val="nil"/>
            </w:tcBorders>
          </w:tcPr>
          <w:p w14:paraId="09C39DD4"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95% (92,3...96,3)</w:t>
            </w:r>
          </w:p>
        </w:tc>
        <w:tc>
          <w:tcPr>
            <w:tcW w:w="2126" w:type="dxa"/>
            <w:tcBorders>
              <w:bottom w:val="nil"/>
            </w:tcBorders>
          </w:tcPr>
          <w:p w14:paraId="308A85E0"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71% (65,3...77,2)</w:t>
            </w:r>
          </w:p>
        </w:tc>
        <w:tc>
          <w:tcPr>
            <w:tcW w:w="1986" w:type="dxa"/>
            <w:tcBorders>
              <w:bottom w:val="nil"/>
            </w:tcBorders>
          </w:tcPr>
          <w:p w14:paraId="4D3EB8E1"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31% (25,2...36,8)</w:t>
            </w:r>
          </w:p>
        </w:tc>
      </w:tr>
      <w:tr w:rsidR="00E21A2F" w:rsidRPr="00EC3BD7" w14:paraId="6407470F" w14:textId="77777777" w:rsidTr="008B1609">
        <w:trPr>
          <w:cantSplit/>
        </w:trPr>
        <w:tc>
          <w:tcPr>
            <w:tcW w:w="3227" w:type="dxa"/>
            <w:tcBorders>
              <w:top w:val="nil"/>
              <w:bottom w:val="nil"/>
            </w:tcBorders>
          </w:tcPr>
          <w:p w14:paraId="21D686E3" w14:textId="77777777" w:rsidR="00E21A2F" w:rsidRPr="00EC3BD7" w:rsidRDefault="00E21A2F" w:rsidP="008B1609">
            <w:pPr>
              <w:pStyle w:val="EndnoteText"/>
              <w:keepNext/>
              <w:widowControl w:val="0"/>
              <w:tabs>
                <w:tab w:val="clear" w:pos="567"/>
              </w:tabs>
              <w:ind w:left="284"/>
              <w:rPr>
                <w:color w:val="000000"/>
                <w:szCs w:val="22"/>
                <w:lang w:val="et-EE"/>
              </w:rPr>
            </w:pPr>
            <w:r w:rsidRPr="00EC3BD7">
              <w:rPr>
                <w:color w:val="000000"/>
                <w:szCs w:val="22"/>
                <w:lang w:val="et-EE"/>
              </w:rPr>
              <w:t>Täielik hematoloogiline ravivastus</w:t>
            </w:r>
          </w:p>
        </w:tc>
        <w:tc>
          <w:tcPr>
            <w:tcW w:w="1983" w:type="dxa"/>
            <w:tcBorders>
              <w:top w:val="nil"/>
              <w:bottom w:val="nil"/>
            </w:tcBorders>
          </w:tcPr>
          <w:p w14:paraId="3E017FB7"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95%</w:t>
            </w:r>
          </w:p>
        </w:tc>
        <w:tc>
          <w:tcPr>
            <w:tcW w:w="2126" w:type="dxa"/>
            <w:tcBorders>
              <w:top w:val="nil"/>
              <w:bottom w:val="nil"/>
            </w:tcBorders>
          </w:tcPr>
          <w:p w14:paraId="5A8D73BC"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42%</w:t>
            </w:r>
          </w:p>
        </w:tc>
        <w:tc>
          <w:tcPr>
            <w:tcW w:w="1986" w:type="dxa"/>
            <w:tcBorders>
              <w:top w:val="nil"/>
              <w:bottom w:val="nil"/>
            </w:tcBorders>
          </w:tcPr>
          <w:p w14:paraId="7F9DCE7B"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8%</w:t>
            </w:r>
          </w:p>
        </w:tc>
      </w:tr>
      <w:tr w:rsidR="00E21A2F" w:rsidRPr="00EC3BD7" w14:paraId="778D0371" w14:textId="77777777" w:rsidTr="008B1609">
        <w:trPr>
          <w:cantSplit/>
        </w:trPr>
        <w:tc>
          <w:tcPr>
            <w:tcW w:w="3227" w:type="dxa"/>
            <w:tcBorders>
              <w:top w:val="nil"/>
              <w:bottom w:val="nil"/>
            </w:tcBorders>
          </w:tcPr>
          <w:p w14:paraId="063DE664" w14:textId="77777777" w:rsidR="00E21A2F" w:rsidRPr="00EC3BD7" w:rsidRDefault="00E21A2F" w:rsidP="008B1609">
            <w:pPr>
              <w:pStyle w:val="EndnoteText"/>
              <w:keepNext/>
              <w:widowControl w:val="0"/>
              <w:tabs>
                <w:tab w:val="clear" w:pos="567"/>
              </w:tabs>
              <w:ind w:left="284"/>
              <w:rPr>
                <w:color w:val="000000"/>
                <w:szCs w:val="22"/>
                <w:lang w:val="et-EE"/>
              </w:rPr>
            </w:pPr>
            <w:r w:rsidRPr="00EC3BD7">
              <w:rPr>
                <w:color w:val="000000"/>
                <w:szCs w:val="22"/>
                <w:lang w:val="et-EE"/>
              </w:rPr>
              <w:t>Leukeemia tunnuste puudumine</w:t>
            </w:r>
          </w:p>
        </w:tc>
        <w:tc>
          <w:tcPr>
            <w:tcW w:w="1983" w:type="dxa"/>
            <w:tcBorders>
              <w:top w:val="nil"/>
              <w:bottom w:val="nil"/>
            </w:tcBorders>
          </w:tcPr>
          <w:p w14:paraId="0FBC38F0"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Ei ole kohaldatav</w:t>
            </w:r>
          </w:p>
        </w:tc>
        <w:tc>
          <w:tcPr>
            <w:tcW w:w="2126" w:type="dxa"/>
            <w:tcBorders>
              <w:top w:val="nil"/>
              <w:bottom w:val="nil"/>
            </w:tcBorders>
          </w:tcPr>
          <w:p w14:paraId="42E101EA"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12%</w:t>
            </w:r>
          </w:p>
        </w:tc>
        <w:tc>
          <w:tcPr>
            <w:tcW w:w="1986" w:type="dxa"/>
            <w:tcBorders>
              <w:top w:val="nil"/>
              <w:bottom w:val="nil"/>
            </w:tcBorders>
          </w:tcPr>
          <w:p w14:paraId="4D1346B9"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5%</w:t>
            </w:r>
          </w:p>
        </w:tc>
      </w:tr>
      <w:tr w:rsidR="00E21A2F" w:rsidRPr="00EC3BD7" w14:paraId="5B7A246A" w14:textId="77777777" w:rsidTr="008B1609">
        <w:trPr>
          <w:cantSplit/>
        </w:trPr>
        <w:tc>
          <w:tcPr>
            <w:tcW w:w="3227" w:type="dxa"/>
            <w:tcBorders>
              <w:top w:val="nil"/>
              <w:bottom w:val="nil"/>
            </w:tcBorders>
          </w:tcPr>
          <w:p w14:paraId="77C9F6E4" w14:textId="77777777" w:rsidR="00E21A2F" w:rsidRPr="00EC3BD7" w:rsidRDefault="00E21A2F" w:rsidP="008B1609">
            <w:pPr>
              <w:pStyle w:val="EndnoteText"/>
              <w:keepNext/>
              <w:widowControl w:val="0"/>
              <w:tabs>
                <w:tab w:val="clear" w:pos="567"/>
              </w:tabs>
              <w:ind w:left="284"/>
              <w:rPr>
                <w:color w:val="000000"/>
                <w:szCs w:val="22"/>
                <w:lang w:val="et-EE"/>
              </w:rPr>
            </w:pPr>
            <w:r w:rsidRPr="00EC3BD7">
              <w:rPr>
                <w:color w:val="000000"/>
                <w:szCs w:val="22"/>
                <w:lang w:val="et-EE"/>
              </w:rPr>
              <w:t>Kroonilise staadiumi taastumine</w:t>
            </w:r>
          </w:p>
        </w:tc>
        <w:tc>
          <w:tcPr>
            <w:tcW w:w="1983" w:type="dxa"/>
            <w:tcBorders>
              <w:top w:val="nil"/>
              <w:bottom w:val="nil"/>
            </w:tcBorders>
          </w:tcPr>
          <w:p w14:paraId="1A1177F3"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Ei ole kohaldatav</w:t>
            </w:r>
          </w:p>
        </w:tc>
        <w:tc>
          <w:tcPr>
            <w:tcW w:w="2126" w:type="dxa"/>
            <w:tcBorders>
              <w:top w:val="nil"/>
              <w:bottom w:val="nil"/>
            </w:tcBorders>
          </w:tcPr>
          <w:p w14:paraId="2B336724"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17%</w:t>
            </w:r>
          </w:p>
        </w:tc>
        <w:tc>
          <w:tcPr>
            <w:tcW w:w="1986" w:type="dxa"/>
            <w:tcBorders>
              <w:top w:val="nil"/>
              <w:bottom w:val="nil"/>
            </w:tcBorders>
          </w:tcPr>
          <w:p w14:paraId="6E089CF4"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18%</w:t>
            </w:r>
          </w:p>
        </w:tc>
      </w:tr>
      <w:tr w:rsidR="00E21A2F" w:rsidRPr="00EC3BD7" w14:paraId="596C8CD7" w14:textId="77777777" w:rsidTr="008B1609">
        <w:trPr>
          <w:cantSplit/>
        </w:trPr>
        <w:tc>
          <w:tcPr>
            <w:tcW w:w="3227" w:type="dxa"/>
            <w:tcBorders>
              <w:bottom w:val="nil"/>
            </w:tcBorders>
          </w:tcPr>
          <w:p w14:paraId="77D3E65F" w14:textId="77777777" w:rsidR="00E21A2F" w:rsidRPr="00EC3BD7" w:rsidRDefault="00E21A2F" w:rsidP="008B1609">
            <w:pPr>
              <w:pStyle w:val="EndnoteText"/>
              <w:keepNext/>
              <w:widowControl w:val="0"/>
              <w:tabs>
                <w:tab w:val="clear" w:pos="567"/>
              </w:tabs>
              <w:rPr>
                <w:color w:val="000000"/>
                <w:szCs w:val="22"/>
                <w:lang w:val="et-EE"/>
              </w:rPr>
            </w:pPr>
            <w:r w:rsidRPr="00EC3BD7">
              <w:rPr>
                <w:color w:val="000000"/>
                <w:szCs w:val="22"/>
                <w:lang w:val="et-EE"/>
              </w:rPr>
              <w:t>Oluline tsütogeneetiline raviastus</w:t>
            </w:r>
            <w:r w:rsidRPr="00EC3BD7">
              <w:rPr>
                <w:color w:val="000000"/>
                <w:szCs w:val="22"/>
                <w:vertAlign w:val="superscript"/>
                <w:lang w:val="et-EE"/>
              </w:rPr>
              <w:t>2</w:t>
            </w:r>
          </w:p>
        </w:tc>
        <w:tc>
          <w:tcPr>
            <w:tcW w:w="1983" w:type="dxa"/>
            <w:tcBorders>
              <w:bottom w:val="nil"/>
            </w:tcBorders>
          </w:tcPr>
          <w:p w14:paraId="1739D1FC"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65% (61,2...69,5)</w:t>
            </w:r>
          </w:p>
        </w:tc>
        <w:tc>
          <w:tcPr>
            <w:tcW w:w="2126" w:type="dxa"/>
            <w:tcBorders>
              <w:bottom w:val="nil"/>
            </w:tcBorders>
          </w:tcPr>
          <w:p w14:paraId="2039739C"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28% (22,0...33,9)</w:t>
            </w:r>
          </w:p>
        </w:tc>
        <w:tc>
          <w:tcPr>
            <w:tcW w:w="1986" w:type="dxa"/>
            <w:tcBorders>
              <w:bottom w:val="nil"/>
            </w:tcBorders>
          </w:tcPr>
          <w:p w14:paraId="5714F0F3"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15% (11,2...20,4)</w:t>
            </w:r>
          </w:p>
        </w:tc>
      </w:tr>
      <w:tr w:rsidR="00E21A2F" w:rsidRPr="00EC3BD7" w14:paraId="2A457BA6" w14:textId="77777777" w:rsidTr="008B1609">
        <w:trPr>
          <w:cantSplit/>
        </w:trPr>
        <w:tc>
          <w:tcPr>
            <w:tcW w:w="3227" w:type="dxa"/>
            <w:tcBorders>
              <w:top w:val="nil"/>
              <w:bottom w:val="nil"/>
            </w:tcBorders>
          </w:tcPr>
          <w:p w14:paraId="346409E5" w14:textId="77777777" w:rsidR="00E21A2F" w:rsidRPr="00EC3BD7" w:rsidRDefault="00E21A2F" w:rsidP="008B1609">
            <w:pPr>
              <w:pStyle w:val="EndnoteText"/>
              <w:keepNext/>
              <w:widowControl w:val="0"/>
              <w:tabs>
                <w:tab w:val="clear" w:pos="567"/>
              </w:tabs>
              <w:ind w:left="284"/>
              <w:rPr>
                <w:color w:val="000000"/>
                <w:szCs w:val="22"/>
                <w:lang w:val="et-EE"/>
              </w:rPr>
            </w:pPr>
            <w:r w:rsidRPr="00EC3BD7">
              <w:rPr>
                <w:color w:val="000000"/>
                <w:szCs w:val="22"/>
                <w:lang w:val="et-EE"/>
              </w:rPr>
              <w:t>Täielik</w:t>
            </w:r>
          </w:p>
        </w:tc>
        <w:tc>
          <w:tcPr>
            <w:tcW w:w="1983" w:type="dxa"/>
            <w:tcBorders>
              <w:top w:val="nil"/>
              <w:bottom w:val="nil"/>
            </w:tcBorders>
          </w:tcPr>
          <w:p w14:paraId="7CDC5E58"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53%</w:t>
            </w:r>
          </w:p>
        </w:tc>
        <w:tc>
          <w:tcPr>
            <w:tcW w:w="2126" w:type="dxa"/>
            <w:tcBorders>
              <w:top w:val="nil"/>
              <w:bottom w:val="nil"/>
            </w:tcBorders>
          </w:tcPr>
          <w:p w14:paraId="2D1C531A"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20%</w:t>
            </w:r>
          </w:p>
        </w:tc>
        <w:tc>
          <w:tcPr>
            <w:tcW w:w="1986" w:type="dxa"/>
            <w:tcBorders>
              <w:top w:val="nil"/>
              <w:bottom w:val="nil"/>
            </w:tcBorders>
          </w:tcPr>
          <w:p w14:paraId="32ACCD1C"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7%</w:t>
            </w:r>
          </w:p>
        </w:tc>
      </w:tr>
      <w:tr w:rsidR="00E21A2F" w:rsidRPr="00EC3BD7" w14:paraId="5E81A17A" w14:textId="77777777" w:rsidTr="008B1609">
        <w:trPr>
          <w:cantSplit/>
        </w:trPr>
        <w:tc>
          <w:tcPr>
            <w:tcW w:w="3227" w:type="dxa"/>
            <w:tcBorders>
              <w:top w:val="nil"/>
              <w:bottom w:val="nil"/>
            </w:tcBorders>
          </w:tcPr>
          <w:p w14:paraId="46A545ED" w14:textId="77777777" w:rsidR="00E21A2F" w:rsidRPr="00EC3BD7" w:rsidRDefault="00E21A2F" w:rsidP="008B1609">
            <w:pPr>
              <w:pStyle w:val="BodyTextIndent2"/>
              <w:keepNext/>
              <w:widowControl w:val="0"/>
              <w:tabs>
                <w:tab w:val="clear" w:pos="567"/>
              </w:tabs>
              <w:spacing w:line="240" w:lineRule="auto"/>
              <w:ind w:left="284" w:firstLine="0"/>
              <w:jc w:val="left"/>
              <w:rPr>
                <w:b w:val="0"/>
                <w:color w:val="000000"/>
                <w:szCs w:val="22"/>
                <w:lang w:val="et-EE"/>
              </w:rPr>
            </w:pPr>
            <w:r w:rsidRPr="00EC3BD7">
              <w:rPr>
                <w:b w:val="0"/>
                <w:color w:val="000000"/>
                <w:szCs w:val="22"/>
                <w:lang w:val="et-EE"/>
              </w:rPr>
              <w:t>(Kinnitunud</w:t>
            </w:r>
            <w:r w:rsidRPr="00EC3BD7">
              <w:rPr>
                <w:b w:val="0"/>
                <w:color w:val="000000"/>
                <w:szCs w:val="22"/>
                <w:vertAlign w:val="superscript"/>
                <w:lang w:val="et-EE"/>
              </w:rPr>
              <w:t>3</w:t>
            </w:r>
            <w:r w:rsidRPr="00EC3BD7">
              <w:rPr>
                <w:b w:val="0"/>
                <w:color w:val="000000"/>
                <w:szCs w:val="22"/>
                <w:lang w:val="et-EE"/>
              </w:rPr>
              <w:t>) [95% CI]</w:t>
            </w:r>
          </w:p>
        </w:tc>
        <w:tc>
          <w:tcPr>
            <w:tcW w:w="1983" w:type="dxa"/>
            <w:tcBorders>
              <w:top w:val="nil"/>
              <w:bottom w:val="nil"/>
            </w:tcBorders>
          </w:tcPr>
          <w:p w14:paraId="4D787EE5" w14:textId="77777777" w:rsidR="00E21A2F" w:rsidRPr="00EC3BD7" w:rsidRDefault="00E21A2F" w:rsidP="008B1609">
            <w:pPr>
              <w:pStyle w:val="BodyTextIndent2"/>
              <w:keepNext/>
              <w:widowControl w:val="0"/>
              <w:tabs>
                <w:tab w:val="clear" w:pos="567"/>
              </w:tabs>
              <w:spacing w:line="240" w:lineRule="auto"/>
              <w:ind w:left="0" w:firstLine="0"/>
              <w:jc w:val="center"/>
              <w:rPr>
                <w:b w:val="0"/>
                <w:color w:val="000000"/>
                <w:szCs w:val="22"/>
                <w:lang w:val="et-EE"/>
              </w:rPr>
            </w:pPr>
            <w:r w:rsidRPr="00EC3BD7">
              <w:rPr>
                <w:b w:val="0"/>
                <w:color w:val="000000"/>
                <w:szCs w:val="22"/>
                <w:lang w:val="et-EE"/>
              </w:rPr>
              <w:t>(43%) [38,6...47,2]</w:t>
            </w:r>
          </w:p>
        </w:tc>
        <w:tc>
          <w:tcPr>
            <w:tcW w:w="2126" w:type="dxa"/>
            <w:tcBorders>
              <w:top w:val="nil"/>
              <w:bottom w:val="nil"/>
            </w:tcBorders>
          </w:tcPr>
          <w:p w14:paraId="22A90351" w14:textId="77777777" w:rsidR="00E21A2F" w:rsidRPr="00EC3BD7" w:rsidRDefault="00E21A2F" w:rsidP="008B1609">
            <w:pPr>
              <w:pStyle w:val="BodyTextIndent2"/>
              <w:keepNext/>
              <w:widowControl w:val="0"/>
              <w:tabs>
                <w:tab w:val="clear" w:pos="567"/>
              </w:tabs>
              <w:spacing w:line="240" w:lineRule="auto"/>
              <w:jc w:val="center"/>
              <w:rPr>
                <w:b w:val="0"/>
                <w:color w:val="000000"/>
                <w:szCs w:val="22"/>
                <w:lang w:val="et-EE"/>
              </w:rPr>
            </w:pPr>
            <w:r w:rsidRPr="00EC3BD7">
              <w:rPr>
                <w:b w:val="0"/>
                <w:color w:val="000000"/>
                <w:szCs w:val="22"/>
                <w:lang w:val="et-EE"/>
              </w:rPr>
              <w:t>(16%) [11,3...21,0]</w:t>
            </w:r>
          </w:p>
        </w:tc>
        <w:tc>
          <w:tcPr>
            <w:tcW w:w="1986" w:type="dxa"/>
            <w:tcBorders>
              <w:top w:val="nil"/>
              <w:bottom w:val="nil"/>
            </w:tcBorders>
          </w:tcPr>
          <w:p w14:paraId="48F0F206" w14:textId="77777777" w:rsidR="00E21A2F" w:rsidRPr="00EC3BD7" w:rsidRDefault="00E21A2F" w:rsidP="008B1609">
            <w:pPr>
              <w:pStyle w:val="BodyTextIndent2"/>
              <w:keepNext/>
              <w:widowControl w:val="0"/>
              <w:tabs>
                <w:tab w:val="clear" w:pos="567"/>
              </w:tabs>
              <w:spacing w:line="240" w:lineRule="auto"/>
              <w:jc w:val="center"/>
              <w:rPr>
                <w:b w:val="0"/>
                <w:color w:val="000000"/>
                <w:szCs w:val="22"/>
                <w:lang w:val="et-EE"/>
              </w:rPr>
            </w:pPr>
            <w:r w:rsidRPr="00EC3BD7">
              <w:rPr>
                <w:b w:val="0"/>
                <w:color w:val="000000"/>
                <w:szCs w:val="22"/>
                <w:lang w:val="et-EE"/>
              </w:rPr>
              <w:t>(2%) [0,6...4,4]</w:t>
            </w:r>
          </w:p>
        </w:tc>
      </w:tr>
      <w:tr w:rsidR="00E21A2F" w:rsidRPr="00EC3BD7" w14:paraId="2B1E3C4D" w14:textId="77777777" w:rsidTr="008B1609">
        <w:trPr>
          <w:cantSplit/>
        </w:trPr>
        <w:tc>
          <w:tcPr>
            <w:tcW w:w="3227" w:type="dxa"/>
            <w:tcBorders>
              <w:top w:val="nil"/>
              <w:bottom w:val="nil"/>
            </w:tcBorders>
          </w:tcPr>
          <w:p w14:paraId="2E1CA23C" w14:textId="77777777" w:rsidR="00E21A2F" w:rsidRPr="00EC3BD7" w:rsidRDefault="00E21A2F" w:rsidP="008B1609">
            <w:pPr>
              <w:pStyle w:val="EndnoteText"/>
              <w:keepNext/>
              <w:widowControl w:val="0"/>
              <w:tabs>
                <w:tab w:val="clear" w:pos="567"/>
              </w:tabs>
              <w:ind w:left="284"/>
              <w:rPr>
                <w:color w:val="000000"/>
                <w:szCs w:val="22"/>
                <w:lang w:val="et-EE"/>
              </w:rPr>
            </w:pPr>
            <w:r w:rsidRPr="00EC3BD7">
              <w:rPr>
                <w:color w:val="000000"/>
                <w:szCs w:val="22"/>
                <w:lang w:val="et-EE"/>
              </w:rPr>
              <w:t>Osaline</w:t>
            </w:r>
          </w:p>
        </w:tc>
        <w:tc>
          <w:tcPr>
            <w:tcW w:w="1983" w:type="dxa"/>
            <w:tcBorders>
              <w:top w:val="nil"/>
              <w:bottom w:val="nil"/>
            </w:tcBorders>
          </w:tcPr>
          <w:p w14:paraId="1B889444"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12%</w:t>
            </w:r>
          </w:p>
        </w:tc>
        <w:tc>
          <w:tcPr>
            <w:tcW w:w="2126" w:type="dxa"/>
            <w:tcBorders>
              <w:top w:val="nil"/>
              <w:bottom w:val="nil"/>
            </w:tcBorders>
          </w:tcPr>
          <w:p w14:paraId="61ACBE95"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7%</w:t>
            </w:r>
          </w:p>
        </w:tc>
        <w:tc>
          <w:tcPr>
            <w:tcW w:w="1986" w:type="dxa"/>
            <w:tcBorders>
              <w:top w:val="nil"/>
              <w:bottom w:val="nil"/>
            </w:tcBorders>
          </w:tcPr>
          <w:p w14:paraId="3B1837B7" w14:textId="77777777" w:rsidR="00E21A2F" w:rsidRPr="00EC3BD7" w:rsidRDefault="00E21A2F" w:rsidP="008B1609">
            <w:pPr>
              <w:pStyle w:val="EndnoteText"/>
              <w:keepNext/>
              <w:widowControl w:val="0"/>
              <w:tabs>
                <w:tab w:val="clear" w:pos="567"/>
              </w:tabs>
              <w:jc w:val="center"/>
              <w:rPr>
                <w:color w:val="000000"/>
                <w:szCs w:val="22"/>
                <w:lang w:val="et-EE"/>
              </w:rPr>
            </w:pPr>
            <w:r w:rsidRPr="00EC3BD7">
              <w:rPr>
                <w:color w:val="000000"/>
                <w:szCs w:val="22"/>
                <w:lang w:val="et-EE"/>
              </w:rPr>
              <w:t>8%</w:t>
            </w:r>
          </w:p>
        </w:tc>
      </w:tr>
      <w:tr w:rsidR="00E21A2F" w:rsidRPr="005D29F8" w14:paraId="47C6309C" w14:textId="77777777" w:rsidTr="008B1609">
        <w:trPr>
          <w:cantSplit/>
        </w:trPr>
        <w:tc>
          <w:tcPr>
            <w:tcW w:w="9322" w:type="dxa"/>
            <w:gridSpan w:val="4"/>
            <w:tcBorders>
              <w:top w:val="single" w:sz="4" w:space="0" w:color="auto"/>
              <w:bottom w:val="single" w:sz="4" w:space="0" w:color="auto"/>
            </w:tcBorders>
          </w:tcPr>
          <w:p w14:paraId="41FC2120" w14:textId="77777777" w:rsidR="00E21A2F" w:rsidRPr="00EC3BD7" w:rsidRDefault="00E21A2F" w:rsidP="008B1609">
            <w:pPr>
              <w:pStyle w:val="Table"/>
              <w:keepNext w:val="0"/>
              <w:keepLines w:val="0"/>
              <w:widowControl w:val="0"/>
              <w:spacing w:before="0" w:after="0"/>
              <w:rPr>
                <w:rFonts w:ascii="Times New Roman" w:hAnsi="Times New Roman"/>
                <w:b/>
                <w:color w:val="000000"/>
                <w:sz w:val="22"/>
                <w:szCs w:val="22"/>
                <w:lang w:val="et-EE"/>
              </w:rPr>
            </w:pPr>
            <w:r w:rsidRPr="00EC3BD7">
              <w:rPr>
                <w:rFonts w:ascii="Times New Roman" w:hAnsi="Times New Roman"/>
                <w:b/>
                <w:color w:val="000000"/>
                <w:sz w:val="22"/>
                <w:szCs w:val="22"/>
                <w:vertAlign w:val="superscript"/>
                <w:lang w:val="et-EE"/>
              </w:rPr>
              <w:t xml:space="preserve">1 </w:t>
            </w:r>
            <w:r w:rsidRPr="00EC3BD7">
              <w:rPr>
                <w:rFonts w:ascii="Times New Roman" w:hAnsi="Times New Roman"/>
                <w:b/>
                <w:color w:val="000000"/>
                <w:sz w:val="22"/>
                <w:szCs w:val="22"/>
                <w:lang w:val="et-EE"/>
              </w:rPr>
              <w:t xml:space="preserve">Hematoloogilise ravivastuse kriteeriumid (kõik ravivastused kinnituvad pärast </w:t>
            </w:r>
            <w:r w:rsidRPr="00EC3BD7">
              <w:rPr>
                <w:rFonts w:ascii="Times New Roman" w:hAnsi="Times New Roman"/>
                <w:b/>
                <w:color w:val="000000"/>
                <w:sz w:val="22"/>
                <w:szCs w:val="22"/>
                <w:lang w:val="et-EE"/>
              </w:rPr>
              <w:sym w:font="Symbol" w:char="F0B3"/>
            </w:r>
            <w:r w:rsidRPr="00EC3BD7">
              <w:rPr>
                <w:rFonts w:ascii="Times New Roman" w:hAnsi="Times New Roman"/>
                <w:b/>
                <w:color w:val="000000"/>
                <w:sz w:val="22"/>
                <w:szCs w:val="22"/>
                <w:lang w:val="et-EE"/>
              </w:rPr>
              <w:t>4 nädalat):</w:t>
            </w:r>
          </w:p>
          <w:p w14:paraId="008FA996" w14:textId="77777777" w:rsidR="00E21A2F" w:rsidRPr="00EC3BD7" w:rsidRDefault="00E21A2F" w:rsidP="008B1609">
            <w:pPr>
              <w:pStyle w:val="Table"/>
              <w:keepNext w:val="0"/>
              <w:keepLines w:val="0"/>
              <w:widowControl w:val="0"/>
              <w:tabs>
                <w:tab w:val="clear" w:pos="284"/>
              </w:tab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Täielik hematoloogiline vastus: Uuring 0110 [leukotsüütide arv &lt;10x10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 trombotsüüte &lt;450x10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 xml:space="preserve">/l, müelotsüüte+metamüelotsüüte veres &lt;5%, veres puuduvad blastid ja promüelotsüüdid, basofiile &lt;20%, puudub ekstramedullaarne haaratus] ja uuringutes 0102 ja 0109 [absoluutne neutrofiilide arv </w:t>
            </w:r>
            <w:r w:rsidRPr="00EC3BD7">
              <w:rPr>
                <w:rFonts w:ascii="Times New Roman" w:hAnsi="Times New Roman"/>
                <w:color w:val="000000"/>
                <w:sz w:val="22"/>
                <w:szCs w:val="22"/>
                <w:lang w:val="et-EE"/>
              </w:rPr>
              <w:sym w:font="Symbol" w:char="F0B3"/>
            </w:r>
            <w:r w:rsidRPr="00EC3BD7">
              <w:rPr>
                <w:rFonts w:ascii="Times New Roman" w:hAnsi="Times New Roman"/>
                <w:color w:val="000000"/>
                <w:sz w:val="22"/>
                <w:szCs w:val="22"/>
                <w:lang w:val="et-EE"/>
              </w:rPr>
              <w:t>1,5x10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 xml:space="preserve">/l, trombotsüüte </w:t>
            </w:r>
            <w:r w:rsidRPr="00EC3BD7">
              <w:rPr>
                <w:rFonts w:ascii="Times New Roman" w:hAnsi="Times New Roman"/>
                <w:color w:val="000000"/>
                <w:sz w:val="22"/>
                <w:szCs w:val="22"/>
                <w:lang w:val="et-EE"/>
              </w:rPr>
              <w:sym w:font="Symbol" w:char="F0B3"/>
            </w:r>
            <w:r w:rsidRPr="00EC3BD7">
              <w:rPr>
                <w:rFonts w:ascii="Times New Roman" w:hAnsi="Times New Roman"/>
                <w:color w:val="000000"/>
                <w:sz w:val="22"/>
                <w:szCs w:val="22"/>
                <w:lang w:val="et-EE"/>
              </w:rPr>
              <w:t>100x10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 veres puuduvad blastid, luuüdis blaste &lt;5% ja puudub ekstramedullaarne haaratus]</w:t>
            </w:r>
          </w:p>
          <w:p w14:paraId="2269949E" w14:textId="77777777" w:rsidR="00E21A2F" w:rsidRPr="00EC3BD7" w:rsidRDefault="00E21A2F" w:rsidP="008B1609">
            <w:pPr>
              <w:pStyle w:val="Table"/>
              <w:keepNext w:val="0"/>
              <w:keepLines w:val="0"/>
              <w:widowControl w:val="0"/>
              <w:tabs>
                <w:tab w:val="clear" w:pos="284"/>
              </w:tab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 xml:space="preserve">Leukeemia tunnuste puudumine: Samad, nagu ülal, kuid neutrofiilide absoluutarv </w:t>
            </w:r>
            <w:r w:rsidRPr="00EC3BD7">
              <w:rPr>
                <w:rFonts w:ascii="Times New Roman" w:hAnsi="Times New Roman"/>
                <w:color w:val="000000"/>
                <w:sz w:val="22"/>
                <w:szCs w:val="22"/>
                <w:lang w:val="et-EE"/>
              </w:rPr>
              <w:sym w:font="Symbol" w:char="F0B3"/>
            </w:r>
            <w:r w:rsidRPr="00EC3BD7">
              <w:rPr>
                <w:rFonts w:ascii="Times New Roman" w:hAnsi="Times New Roman"/>
                <w:color w:val="000000"/>
                <w:sz w:val="22"/>
                <w:szCs w:val="22"/>
                <w:lang w:val="et-EE"/>
              </w:rPr>
              <w:t>1x10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 xml:space="preserve">/l ja trombotsüüte </w:t>
            </w:r>
            <w:r w:rsidRPr="00EC3BD7">
              <w:rPr>
                <w:rFonts w:ascii="Times New Roman" w:hAnsi="Times New Roman"/>
                <w:color w:val="000000"/>
                <w:sz w:val="22"/>
                <w:szCs w:val="22"/>
                <w:lang w:val="et-EE"/>
              </w:rPr>
              <w:sym w:font="Symbol" w:char="F0B3"/>
            </w:r>
            <w:r w:rsidRPr="00EC3BD7">
              <w:rPr>
                <w:rFonts w:ascii="Times New Roman" w:hAnsi="Times New Roman"/>
                <w:color w:val="000000"/>
                <w:sz w:val="22"/>
                <w:szCs w:val="22"/>
                <w:lang w:val="et-EE"/>
              </w:rPr>
              <w:t>20x10</w:t>
            </w:r>
            <w:r w:rsidRPr="00EC3BD7">
              <w:rPr>
                <w:rFonts w:ascii="Times New Roman" w:hAnsi="Times New Roman"/>
                <w:color w:val="000000"/>
                <w:sz w:val="22"/>
                <w:szCs w:val="22"/>
                <w:vertAlign w:val="superscript"/>
                <w:lang w:val="et-EE"/>
              </w:rPr>
              <w:t>9</w:t>
            </w:r>
            <w:r w:rsidRPr="00EC3BD7">
              <w:rPr>
                <w:rFonts w:ascii="Times New Roman" w:hAnsi="Times New Roman"/>
                <w:color w:val="000000"/>
                <w:sz w:val="22"/>
                <w:szCs w:val="22"/>
                <w:lang w:val="et-EE"/>
              </w:rPr>
              <w:t>/l (ainult 0102 ja 0109)</w:t>
            </w:r>
          </w:p>
          <w:p w14:paraId="477742EC" w14:textId="77777777" w:rsidR="00E21A2F" w:rsidRPr="00EC3BD7" w:rsidRDefault="00E21A2F" w:rsidP="008B1609">
            <w:pPr>
              <w:pStyle w:val="Table"/>
              <w:keepNext w:val="0"/>
              <w:keepLines w:val="0"/>
              <w:widowControl w:val="0"/>
              <w:tabs>
                <w:tab w:val="clear" w:pos="284"/>
              </w:tabs>
              <w:spacing w:before="0" w:after="0"/>
              <w:rPr>
                <w:rFonts w:ascii="Times New Roman" w:hAnsi="Times New Roman"/>
                <w:color w:val="000000"/>
                <w:sz w:val="22"/>
                <w:szCs w:val="22"/>
                <w:lang w:val="et-EE"/>
              </w:rPr>
            </w:pPr>
            <w:r w:rsidRPr="00EC3BD7">
              <w:rPr>
                <w:rFonts w:ascii="Times New Roman" w:hAnsi="Times New Roman"/>
                <w:color w:val="000000"/>
                <w:sz w:val="22"/>
                <w:szCs w:val="22"/>
                <w:lang w:val="et-EE"/>
              </w:rPr>
              <w:t>Kroonilise staadiumi taastumine: luuüdis ja perifeerses veres blaste &lt;15%, blaste+promüelotsüüte luuüdis ja perifeerses veres &lt;30%, perifeerses veres basofiile &lt;20%, puuduvad ekstramedullaarsed haiguskolded, välja arvatud põrnas ja maksas (ainult 0102 ja 0109).</w:t>
            </w:r>
          </w:p>
          <w:p w14:paraId="454F2EB0" w14:textId="77777777" w:rsidR="00E21A2F" w:rsidRPr="00EC3BD7" w:rsidRDefault="00E21A2F" w:rsidP="008B1609">
            <w:pPr>
              <w:pStyle w:val="Table"/>
              <w:keepNext w:val="0"/>
              <w:keepLines w:val="0"/>
              <w:widowControl w:val="0"/>
              <w:spacing w:before="0" w:after="0"/>
              <w:rPr>
                <w:rFonts w:ascii="Times New Roman" w:hAnsi="Times New Roman"/>
                <w:color w:val="000000"/>
                <w:sz w:val="22"/>
                <w:szCs w:val="22"/>
                <w:lang w:val="et-EE"/>
              </w:rPr>
            </w:pPr>
            <w:r w:rsidRPr="00EC3BD7">
              <w:rPr>
                <w:rFonts w:ascii="Times New Roman" w:hAnsi="Times New Roman"/>
                <w:b/>
                <w:color w:val="000000"/>
                <w:sz w:val="22"/>
                <w:szCs w:val="22"/>
                <w:vertAlign w:val="superscript"/>
                <w:lang w:val="et-EE"/>
              </w:rPr>
              <w:t xml:space="preserve">2 </w:t>
            </w:r>
            <w:r w:rsidRPr="00EC3BD7">
              <w:rPr>
                <w:rFonts w:ascii="Times New Roman" w:hAnsi="Times New Roman"/>
                <w:b/>
                <w:color w:val="000000"/>
                <w:sz w:val="22"/>
                <w:szCs w:val="22"/>
                <w:lang w:val="et-EE"/>
              </w:rPr>
              <w:t>Tsütogeneetilise vastuse kriteeriumid:</w:t>
            </w:r>
          </w:p>
          <w:p w14:paraId="09BEFB18" w14:textId="77777777" w:rsidR="00E21A2F" w:rsidRPr="00EC3BD7" w:rsidRDefault="00E21A2F" w:rsidP="008B1609">
            <w:pPr>
              <w:pStyle w:val="EndnoteText"/>
              <w:widowControl w:val="0"/>
              <w:tabs>
                <w:tab w:val="clear" w:pos="567"/>
              </w:tabs>
              <w:rPr>
                <w:color w:val="000000"/>
                <w:szCs w:val="22"/>
                <w:lang w:val="et-EE"/>
              </w:rPr>
            </w:pPr>
            <w:r w:rsidRPr="00EC3BD7">
              <w:rPr>
                <w:color w:val="000000"/>
                <w:szCs w:val="22"/>
                <w:lang w:val="et-EE"/>
              </w:rPr>
              <w:t>Oluline vastus hõlmab nii täieliku kui osalise vastuse: täielik (0% Ph+ metafaase), osaline (1...35%)</w:t>
            </w:r>
          </w:p>
          <w:p w14:paraId="7EB3836F" w14:textId="77777777" w:rsidR="00E21A2F" w:rsidRPr="00EC3BD7" w:rsidRDefault="00E21A2F" w:rsidP="008B1609">
            <w:pPr>
              <w:pStyle w:val="EndnoteText"/>
              <w:widowControl w:val="0"/>
              <w:tabs>
                <w:tab w:val="clear" w:pos="567"/>
              </w:tabs>
              <w:rPr>
                <w:color w:val="000000"/>
                <w:szCs w:val="22"/>
                <w:lang w:val="et-EE"/>
              </w:rPr>
            </w:pPr>
            <w:r w:rsidRPr="00EC3BD7">
              <w:rPr>
                <w:color w:val="000000"/>
                <w:szCs w:val="22"/>
                <w:vertAlign w:val="superscript"/>
                <w:lang w:val="et-EE"/>
              </w:rPr>
              <w:t>3</w:t>
            </w:r>
            <w:r w:rsidRPr="00EC3BD7">
              <w:rPr>
                <w:color w:val="000000"/>
                <w:szCs w:val="22"/>
                <w:lang w:val="et-EE"/>
              </w:rPr>
              <w:t xml:space="preserve"> Täielik tsütogeneetiline vastus kinnitunud teisel luuüdi tsütogeneetilisel hindamisel vähemalt üks kuu pärast esialgset luuüdi uuringut.</w:t>
            </w:r>
          </w:p>
        </w:tc>
      </w:tr>
    </w:tbl>
    <w:p w14:paraId="1943B11B" w14:textId="77777777" w:rsidR="00E21A2F" w:rsidRPr="00EC3BD7" w:rsidRDefault="00E21A2F" w:rsidP="00E21A2F">
      <w:pPr>
        <w:pStyle w:val="EndnoteText"/>
        <w:widowControl w:val="0"/>
        <w:tabs>
          <w:tab w:val="clear" w:pos="567"/>
        </w:tabs>
        <w:rPr>
          <w:color w:val="000000"/>
          <w:szCs w:val="22"/>
          <w:lang w:val="et-EE"/>
        </w:rPr>
      </w:pPr>
    </w:p>
    <w:p w14:paraId="54EE29E1" w14:textId="77777777" w:rsidR="00E21A2F" w:rsidRPr="00EC3BD7" w:rsidRDefault="00E21A2F" w:rsidP="00E21A2F">
      <w:pPr>
        <w:pStyle w:val="EndnoteText"/>
        <w:widowControl w:val="0"/>
        <w:rPr>
          <w:color w:val="000000"/>
          <w:szCs w:val="22"/>
          <w:lang w:val="et-EE"/>
        </w:rPr>
      </w:pPr>
      <w:r w:rsidRPr="00EC3BD7">
        <w:rPr>
          <w:i/>
          <w:color w:val="000000"/>
          <w:szCs w:val="22"/>
          <w:lang w:val="et-EE"/>
        </w:rPr>
        <w:t>Pediaatrilised patsiendid</w:t>
      </w:r>
      <w:r w:rsidRPr="00EC3BD7">
        <w:rPr>
          <w:color w:val="000000"/>
          <w:szCs w:val="22"/>
          <w:lang w:val="et-EE"/>
        </w:rPr>
        <w:t xml:space="preserve">. Kokku osales annuse suurendamise I faasi uuringus 26 pediaatrilist patsienti vanuses alla 18 aasta, kellel esines kas kroonilises staadiumis </w:t>
      </w:r>
      <w:smartTag w:uri="urn:schemas-microsoft-com:office:smarttags" w:element="stockticker">
        <w:r w:rsidRPr="00EC3BD7">
          <w:rPr>
            <w:color w:val="000000"/>
            <w:szCs w:val="22"/>
            <w:lang w:val="et-EE"/>
          </w:rPr>
          <w:t>KML</w:t>
        </w:r>
      </w:smartTag>
      <w:r w:rsidRPr="00EC3BD7">
        <w:rPr>
          <w:color w:val="000000"/>
          <w:szCs w:val="22"/>
          <w:lang w:val="et-EE"/>
        </w:rPr>
        <w:t xml:space="preserve"> (n=11) või blastses kriisis </w:t>
      </w:r>
      <w:smartTag w:uri="urn:schemas-microsoft-com:office:smarttags" w:element="stockticker">
        <w:r w:rsidRPr="00EC3BD7">
          <w:rPr>
            <w:color w:val="000000"/>
            <w:szCs w:val="22"/>
            <w:lang w:val="et-EE"/>
          </w:rPr>
          <w:t>KML</w:t>
        </w:r>
      </w:smartTag>
      <w:r w:rsidRPr="00EC3BD7">
        <w:rPr>
          <w:color w:val="000000"/>
          <w:szCs w:val="22"/>
          <w:lang w:val="et-EE"/>
        </w:rPr>
        <w:t xml:space="preserve"> või Ph+ äge leukeemia (n=15). Kõiki patsiente oli varem olulisel määral ravitud – 46% patsientidest oli tehtud eelnev luuüdi siirdamine ja 73% olid saanud eelnevat kemoteraapiat mitme ravimiga. Patsiente raviti Gliveci annustega 260 mg/m</w:t>
      </w:r>
      <w:r w:rsidRPr="00EC3BD7">
        <w:rPr>
          <w:color w:val="000000"/>
          <w:szCs w:val="22"/>
          <w:vertAlign w:val="superscript"/>
          <w:lang w:val="et-EE"/>
        </w:rPr>
        <w:t>2</w:t>
      </w:r>
      <w:r w:rsidRPr="00EC3BD7">
        <w:rPr>
          <w:color w:val="000000"/>
          <w:szCs w:val="22"/>
          <w:lang w:val="et-EE"/>
        </w:rPr>
        <w:t>/ööpäevas (n=5), 340 mg/m</w:t>
      </w:r>
      <w:r w:rsidRPr="00EC3BD7">
        <w:rPr>
          <w:color w:val="000000"/>
          <w:szCs w:val="22"/>
          <w:vertAlign w:val="superscript"/>
          <w:lang w:val="et-EE"/>
        </w:rPr>
        <w:t>2</w:t>
      </w:r>
      <w:r w:rsidRPr="00EC3BD7">
        <w:rPr>
          <w:color w:val="000000"/>
          <w:szCs w:val="22"/>
          <w:lang w:val="et-EE"/>
        </w:rPr>
        <w:t xml:space="preserve">/ööpäevas (n=9), </w:t>
      </w:r>
      <w:r w:rsidRPr="00EC3BD7">
        <w:rPr>
          <w:color w:val="000000"/>
          <w:szCs w:val="22"/>
          <w:lang w:val="et-EE"/>
        </w:rPr>
        <w:lastRenderedPageBreak/>
        <w:t>440 mg/m</w:t>
      </w:r>
      <w:r w:rsidRPr="00EC3BD7">
        <w:rPr>
          <w:color w:val="000000"/>
          <w:szCs w:val="22"/>
          <w:vertAlign w:val="superscript"/>
          <w:lang w:val="et-EE"/>
        </w:rPr>
        <w:t>2</w:t>
      </w:r>
      <w:r w:rsidRPr="00EC3BD7">
        <w:rPr>
          <w:color w:val="000000"/>
          <w:szCs w:val="22"/>
          <w:lang w:val="et-EE"/>
        </w:rPr>
        <w:t>/ööpäevas (n=7) ja 570 mg/m</w:t>
      </w:r>
      <w:r w:rsidRPr="00EC3BD7">
        <w:rPr>
          <w:color w:val="000000"/>
          <w:szCs w:val="22"/>
          <w:vertAlign w:val="superscript"/>
          <w:lang w:val="et-EE"/>
        </w:rPr>
        <w:t>2</w:t>
      </w:r>
      <w:r w:rsidRPr="00EC3BD7">
        <w:rPr>
          <w:color w:val="000000"/>
          <w:szCs w:val="22"/>
          <w:lang w:val="et-EE"/>
        </w:rPr>
        <w:t xml:space="preserve">/ööpäevas (n=5). Üheksa patsiendi seas, kellel esines kroonilises staadiumis </w:t>
      </w:r>
      <w:smartTag w:uri="urn:schemas-microsoft-com:office:smarttags" w:element="stockticker">
        <w:r w:rsidRPr="00EC3BD7">
          <w:rPr>
            <w:color w:val="000000"/>
            <w:szCs w:val="22"/>
            <w:lang w:val="et-EE"/>
          </w:rPr>
          <w:t>KML</w:t>
        </w:r>
      </w:smartTag>
      <w:r w:rsidRPr="00EC3BD7">
        <w:rPr>
          <w:color w:val="000000"/>
          <w:szCs w:val="22"/>
          <w:lang w:val="et-EE"/>
        </w:rPr>
        <w:t xml:space="preserve"> ja kelle kohta on olemas tsütogeneetilised andmed, saavutasid vastavalt neli (44%) ja kolm (33%) patsienti täieliku ja osalise tsütogeneetilise vastuse; oluline tsütogeneetiline vastus esines seega 77% patsientidest.</w:t>
      </w:r>
    </w:p>
    <w:p w14:paraId="4FC98B1B" w14:textId="77777777" w:rsidR="00E21A2F" w:rsidRPr="00EC3BD7" w:rsidRDefault="00E21A2F" w:rsidP="00E21A2F">
      <w:pPr>
        <w:pStyle w:val="EndnoteText"/>
        <w:widowControl w:val="0"/>
        <w:tabs>
          <w:tab w:val="clear" w:pos="567"/>
        </w:tabs>
        <w:rPr>
          <w:color w:val="000000"/>
          <w:szCs w:val="22"/>
          <w:lang w:val="et-EE"/>
        </w:rPr>
      </w:pPr>
    </w:p>
    <w:p w14:paraId="01EA7A02" w14:textId="74337841"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 xml:space="preserve">Avatud mitmekeskuselises, ühe haruga II faasi uuringus osales 51 äsjase </w:t>
      </w:r>
      <w:smartTag w:uri="urn:schemas-microsoft-com:office:smarttags" w:element="stockticker">
        <w:r w:rsidRPr="00EC3BD7">
          <w:rPr>
            <w:color w:val="000000"/>
            <w:szCs w:val="22"/>
            <w:lang w:val="et-EE"/>
          </w:rPr>
          <w:t>KML</w:t>
        </w:r>
      </w:smartTag>
      <w:r w:rsidRPr="00EC3BD7">
        <w:rPr>
          <w:color w:val="000000"/>
          <w:szCs w:val="22"/>
          <w:lang w:val="et-EE"/>
        </w:rPr>
        <w:t xml:space="preserve"> diagnoosiga last, kes varem ei olnud saanud ravi. Patsiente raviti Gliveci annusega 340 mg/m</w:t>
      </w:r>
      <w:r w:rsidRPr="00EC3BD7">
        <w:rPr>
          <w:color w:val="000000"/>
          <w:szCs w:val="22"/>
          <w:vertAlign w:val="superscript"/>
          <w:lang w:val="et-EE"/>
        </w:rPr>
        <w:t>2</w:t>
      </w:r>
      <w:r w:rsidRPr="00EC3BD7">
        <w:rPr>
          <w:color w:val="000000"/>
          <w:szCs w:val="22"/>
          <w:lang w:val="et-EE"/>
        </w:rPr>
        <w:t xml:space="preserve">/ööpäevas ilma katkestuseta, kui ei olnud vajalik annuse vähendamine toksilisuse tõttu. Gliveci ravi tulemusel tekkis äsjase </w:t>
      </w:r>
      <w:smartTag w:uri="urn:schemas-microsoft-com:office:smarttags" w:element="stockticker">
        <w:r w:rsidRPr="00EC3BD7">
          <w:rPr>
            <w:color w:val="000000"/>
            <w:szCs w:val="22"/>
            <w:lang w:val="et-EE"/>
          </w:rPr>
          <w:t>KML</w:t>
        </w:r>
      </w:smartTag>
      <w:r w:rsidRPr="00EC3BD7">
        <w:rPr>
          <w:color w:val="000000"/>
          <w:szCs w:val="22"/>
          <w:lang w:val="et-EE"/>
        </w:rPr>
        <w:t xml:space="preserve"> diagnoosiga patsientidel kiire ravivastus, pärast 8 nädalast ravi saavutasid täieliku hematoloogilise ravivastuse 78% patsientidest. Täieliku hematoloogilise ravivastusega kaasnes 65% juhtudest ka täielik tsütogeneetiline ravivastus, mis on võrreldav täiskasvanutel saadud tulemusega. Lisaks sellele täheldati olulist tsütogeneetilist ravivastust 81% patsientidest, kellest 16% saavutasid osalise tsütogeneetilise ravivastuse. Enamusel täieliku tsütogeneetilise ravivastuse saavutanud patsientidest tekkis see vahemikus 3 kuni 10 ravikuud, keskmine oli Kaplan-Meieri hinnangufunktsiooni põhjal 5,6 kuud.</w:t>
      </w:r>
    </w:p>
    <w:p w14:paraId="1B57411F" w14:textId="77777777" w:rsidR="00E21A2F" w:rsidRPr="00EC3BD7" w:rsidRDefault="00E21A2F" w:rsidP="00E21A2F">
      <w:pPr>
        <w:autoSpaceDE w:val="0"/>
        <w:autoSpaceDN w:val="0"/>
        <w:adjustRightInd w:val="0"/>
        <w:rPr>
          <w:color w:val="000000"/>
          <w:szCs w:val="22"/>
          <w:lang w:val="et-EE"/>
        </w:rPr>
      </w:pPr>
    </w:p>
    <w:p w14:paraId="7D6A040C" w14:textId="77777777" w:rsidR="00E21A2F" w:rsidRPr="00EC3BD7" w:rsidRDefault="00E21A2F" w:rsidP="00E21A2F">
      <w:pPr>
        <w:autoSpaceDE w:val="0"/>
        <w:autoSpaceDN w:val="0"/>
        <w:adjustRightInd w:val="0"/>
        <w:rPr>
          <w:color w:val="000000"/>
          <w:szCs w:val="22"/>
          <w:lang w:val="et-EE"/>
        </w:rPr>
      </w:pPr>
      <w:r w:rsidRPr="00EC3BD7">
        <w:rPr>
          <w:color w:val="000000"/>
          <w:szCs w:val="22"/>
          <w:lang w:val="et-EE"/>
        </w:rPr>
        <w:t>Euroopa Ravimiamet ei kohusta esitama Gliveciga läbi viidud uuringute tulemusi laste kõikide alarühmade kohta Philadelphia kromosoomi (bcr-abl-translokatsiooni) suhtes positiivse kroonilise müeloidleukeemia korral (teave lastel kasutamise kohta: vt lõik 4.2).</w:t>
      </w:r>
    </w:p>
    <w:p w14:paraId="672A43A2" w14:textId="77777777" w:rsidR="00E21A2F" w:rsidRPr="00EC3BD7" w:rsidRDefault="00E21A2F" w:rsidP="00E21A2F">
      <w:pPr>
        <w:pStyle w:val="EndnoteText"/>
        <w:widowControl w:val="0"/>
        <w:tabs>
          <w:tab w:val="clear" w:pos="567"/>
        </w:tabs>
        <w:rPr>
          <w:color w:val="000000"/>
          <w:szCs w:val="22"/>
          <w:lang w:val="et-EE"/>
        </w:rPr>
      </w:pPr>
    </w:p>
    <w:p w14:paraId="5B7180AE" w14:textId="77777777" w:rsidR="00E21A2F" w:rsidRPr="00EC3BD7" w:rsidRDefault="00E21A2F" w:rsidP="00B9089D">
      <w:pPr>
        <w:pStyle w:val="EndnoteText"/>
        <w:keepNext/>
        <w:widowControl w:val="0"/>
        <w:tabs>
          <w:tab w:val="clear" w:pos="567"/>
        </w:tabs>
        <w:rPr>
          <w:color w:val="000000"/>
          <w:szCs w:val="22"/>
          <w:lang w:val="et-EE"/>
        </w:rPr>
      </w:pPr>
      <w:r w:rsidRPr="00EC3BD7">
        <w:rPr>
          <w:color w:val="000000"/>
          <w:szCs w:val="22"/>
          <w:u w:val="single"/>
          <w:lang w:val="et-EE"/>
        </w:rPr>
        <w:t>Kliinilised Ph+ </w:t>
      </w:r>
      <w:smartTag w:uri="urn:schemas-microsoft-com:office:smarttags" w:element="stockticker">
        <w:r w:rsidRPr="00EC3BD7">
          <w:rPr>
            <w:color w:val="000000"/>
            <w:szCs w:val="22"/>
            <w:u w:val="single"/>
            <w:lang w:val="et-EE"/>
          </w:rPr>
          <w:t>ALL</w:t>
        </w:r>
      </w:smartTag>
      <w:r w:rsidRPr="00EC3BD7">
        <w:rPr>
          <w:color w:val="000000"/>
          <w:szCs w:val="22"/>
          <w:u w:val="single"/>
          <w:lang w:val="et-EE"/>
        </w:rPr>
        <w:t xml:space="preserve"> uuringud</w:t>
      </w:r>
    </w:p>
    <w:p w14:paraId="2C628374" w14:textId="77777777" w:rsidR="00E21A2F" w:rsidRPr="00EC3BD7" w:rsidRDefault="00E21A2F" w:rsidP="00E21A2F">
      <w:pPr>
        <w:pStyle w:val="EndnoteText"/>
        <w:widowControl w:val="0"/>
        <w:tabs>
          <w:tab w:val="clear" w:pos="567"/>
        </w:tabs>
        <w:rPr>
          <w:color w:val="000000"/>
          <w:szCs w:val="22"/>
          <w:lang w:val="et-EE"/>
        </w:rPr>
      </w:pPr>
      <w:r w:rsidRPr="00EC3BD7">
        <w:rPr>
          <w:i/>
          <w:color w:val="000000"/>
          <w:szCs w:val="22"/>
          <w:lang w:val="et-EE"/>
        </w:rPr>
        <w:t>Äsja diagnoositud Ph+ </w:t>
      </w:r>
      <w:smartTag w:uri="urn:schemas-microsoft-com:office:smarttags" w:element="stockticker">
        <w:r w:rsidRPr="00EC3BD7">
          <w:rPr>
            <w:i/>
            <w:color w:val="000000"/>
            <w:szCs w:val="22"/>
            <w:lang w:val="et-EE"/>
          </w:rPr>
          <w:t>ALL</w:t>
        </w:r>
      </w:smartTag>
      <w:r w:rsidRPr="00EC3BD7">
        <w:rPr>
          <w:i/>
          <w:color w:val="000000"/>
          <w:szCs w:val="22"/>
          <w:lang w:val="et-EE"/>
        </w:rPr>
        <w:t xml:space="preserve">. </w:t>
      </w:r>
      <w:r w:rsidRPr="00EC3BD7">
        <w:rPr>
          <w:color w:val="000000"/>
          <w:szCs w:val="22"/>
          <w:lang w:val="et-EE"/>
        </w:rPr>
        <w:t xml:space="preserve">Kontrollitud uuringus (ADE10), kus imatiniibi võrreldi induktsioon-kemoteraapiaga 55 äsja diagnoositud patsiendil vanuses 55 ja enam aastat, saavutati imatiniibi monoteraapia korral oluliselt suurem täielik hematoloogiline ravivastus kui kemoteraapia puhul (96,3% vs. 50%; p=0,0001). Kui ravi imatiniibiga kasutati patsientidel, kes ei reageerinud üldse või reageerisid kemoteraapiale vähesel määral, saavutasid 9 patsienti (81,8%) 11-st täieliku hematoloogilise ravivastuse. See kliinilise efektiivsuse näitaja oli seotud </w:t>
      </w:r>
      <w:smartTag w:uri="urn:schemas-microsoft-com:office:smarttags" w:element="stockticker">
        <w:r w:rsidRPr="00EC3BD7">
          <w:rPr>
            <w:color w:val="000000"/>
            <w:szCs w:val="22"/>
            <w:lang w:val="et-EE"/>
          </w:rPr>
          <w:t>BCR</w:t>
        </w:r>
      </w:smartTag>
      <w:r w:rsidRPr="00EC3BD7">
        <w:rPr>
          <w:color w:val="000000"/>
          <w:szCs w:val="22"/>
          <w:lang w:val="et-EE"/>
        </w:rPr>
        <w:t>-</w:t>
      </w:r>
      <w:smartTag w:uri="urn:schemas-microsoft-com:office:smarttags" w:element="stockticker">
        <w:r w:rsidRPr="00EC3BD7">
          <w:rPr>
            <w:color w:val="000000"/>
            <w:szCs w:val="22"/>
            <w:lang w:val="et-EE"/>
          </w:rPr>
          <w:t>ABL</w:t>
        </w:r>
      </w:smartTag>
      <w:r w:rsidRPr="00EC3BD7">
        <w:rPr>
          <w:color w:val="000000"/>
          <w:szCs w:val="22"/>
          <w:lang w:val="et-EE"/>
        </w:rPr>
        <w:t xml:space="preserve"> transkriptide ulatuslikuma vähenemisega imatiniibiga ravitud patsientidel kui kemoteraapia grupis pärast 2 nädalat kestnud ravi (p=0,02). Kõik patsiendid said imatiniibi ja pärast induktsiooni säilituskemoteraapiat (tabel </w:t>
      </w:r>
      <w:r w:rsidR="008F4DAA" w:rsidRPr="00EC3BD7">
        <w:rPr>
          <w:color w:val="000000"/>
          <w:szCs w:val="22"/>
          <w:lang w:val="et-EE"/>
        </w:rPr>
        <w:t>4</w:t>
      </w:r>
      <w:r w:rsidRPr="00EC3BD7">
        <w:rPr>
          <w:color w:val="000000"/>
          <w:szCs w:val="22"/>
          <w:lang w:val="et-EE"/>
        </w:rPr>
        <w:t xml:space="preserve">) ning 8. nädalal oli </w:t>
      </w:r>
      <w:smartTag w:uri="urn:schemas-microsoft-com:office:smarttags" w:element="stockticker">
        <w:r w:rsidRPr="00EC3BD7">
          <w:rPr>
            <w:color w:val="000000"/>
            <w:szCs w:val="22"/>
            <w:lang w:val="et-EE"/>
          </w:rPr>
          <w:t>BCR</w:t>
        </w:r>
      </w:smartTag>
      <w:r w:rsidRPr="00EC3BD7">
        <w:rPr>
          <w:color w:val="000000"/>
          <w:szCs w:val="22"/>
          <w:lang w:val="et-EE"/>
        </w:rPr>
        <w:t>-</w:t>
      </w:r>
      <w:smartTag w:uri="urn:schemas-microsoft-com:office:smarttags" w:element="stockticker">
        <w:r w:rsidRPr="00EC3BD7">
          <w:rPr>
            <w:color w:val="000000"/>
            <w:szCs w:val="22"/>
            <w:lang w:val="et-EE"/>
          </w:rPr>
          <w:t>ABL</w:t>
        </w:r>
      </w:smartTag>
      <w:r w:rsidRPr="00EC3BD7">
        <w:rPr>
          <w:color w:val="000000"/>
          <w:szCs w:val="22"/>
          <w:lang w:val="et-EE"/>
        </w:rPr>
        <w:t xml:space="preserve"> transkriptide tase mõlemas grupis ühesugune. Nagu võis oodata uuringu ülesehituse põhjal, ei täheldatud erinevust remissiooni kestuse, haigusvaba elulemuse või üldise elulemuse osas, kuigi täieliku molekulaarse ravivastuse ja minimaalse residuaalhaigusega patsiendid saavutasid parema lõpptulemuse nii remissiooni kestuse (p=0,01) kui haigusvaba elulemuse osas (p=0,02).</w:t>
      </w:r>
    </w:p>
    <w:p w14:paraId="5A59D6BA" w14:textId="77777777" w:rsidR="00E21A2F" w:rsidRPr="00EC3BD7" w:rsidRDefault="00E21A2F" w:rsidP="00E21A2F">
      <w:pPr>
        <w:pStyle w:val="EndnoteText"/>
        <w:widowControl w:val="0"/>
        <w:tabs>
          <w:tab w:val="clear" w:pos="567"/>
        </w:tabs>
        <w:rPr>
          <w:color w:val="000000"/>
          <w:szCs w:val="22"/>
          <w:lang w:val="et-EE"/>
        </w:rPr>
      </w:pPr>
    </w:p>
    <w:p w14:paraId="438F7264" w14:textId="5A69FE96"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Tulemused, mis saadi neljas mittekontrollitud kliinilises uuringus (AAU02, ADE04, AJP01 ja AUS01) osalenud 211 äsja diagnoositud Ph+ </w:t>
      </w:r>
      <w:smartTag w:uri="urn:schemas-microsoft-com:office:smarttags" w:element="stockticker">
        <w:r w:rsidRPr="00EC3BD7">
          <w:rPr>
            <w:color w:val="000000"/>
            <w:szCs w:val="22"/>
            <w:lang w:val="et-EE"/>
          </w:rPr>
          <w:t>ALL</w:t>
        </w:r>
        <w:r w:rsidR="00B43A79" w:rsidRPr="00593631">
          <w:rPr>
            <w:color w:val="000000"/>
            <w:szCs w:val="22"/>
            <w:lang w:val="et-EE"/>
          </w:rPr>
          <w:t>-i</w:t>
        </w:r>
      </w:smartTag>
      <w:r w:rsidRPr="00EC3BD7">
        <w:rPr>
          <w:color w:val="000000"/>
          <w:szCs w:val="22"/>
          <w:lang w:val="et-EE"/>
        </w:rPr>
        <w:t xml:space="preserve"> patsiendilt, olid kooskõlas ülalkirjeldatud tulemustega. Imatiniib kombinatsioonis induktsioon-kemoteraapiaga (tabel </w:t>
      </w:r>
      <w:r w:rsidR="008F4DAA" w:rsidRPr="00EC3BD7">
        <w:rPr>
          <w:color w:val="000000"/>
          <w:szCs w:val="22"/>
          <w:lang w:val="et-EE"/>
        </w:rPr>
        <w:t>4</w:t>
      </w:r>
      <w:r w:rsidRPr="00EC3BD7">
        <w:rPr>
          <w:color w:val="000000"/>
          <w:szCs w:val="22"/>
          <w:lang w:val="et-EE"/>
        </w:rPr>
        <w:t>) viis täieliku hematoloogilise ravivastuse saavutamiseni 93% (147/158) patsientidest ning olulise tsütogeneetilise ravivastuse saavutamiseni 90% (19/21) patsientidest. Täieliku molekulaarse ravivastuse saavutas 48% (49/102). Haigusvaba elulemus ja üldine elulemus ületasid konstantselt ühe aasta ja olid kõrgemad varasema kontrollgrupi näitajatest (haigusvaba elulemus p&lt;0,001; üldine elulemus p&lt;0,0001) kahes uuringus (AJP01 ja AUS01).</w:t>
      </w:r>
    </w:p>
    <w:p w14:paraId="7124317B" w14:textId="77777777" w:rsidR="00E21A2F" w:rsidRPr="00EC3BD7" w:rsidRDefault="00E21A2F" w:rsidP="00E21A2F">
      <w:pPr>
        <w:pStyle w:val="EndnoteText"/>
        <w:widowControl w:val="0"/>
        <w:tabs>
          <w:tab w:val="clear" w:pos="567"/>
        </w:tabs>
        <w:rPr>
          <w:color w:val="000000"/>
          <w:szCs w:val="22"/>
          <w:lang w:val="et-EE"/>
        </w:rPr>
      </w:pPr>
    </w:p>
    <w:p w14:paraId="148B1CA5" w14:textId="77777777" w:rsidR="00E21A2F" w:rsidRPr="00EC3BD7" w:rsidRDefault="00E21A2F" w:rsidP="008B1609">
      <w:pPr>
        <w:pStyle w:val="EndnoteText"/>
        <w:keepNext/>
        <w:widowControl w:val="0"/>
        <w:rPr>
          <w:b/>
          <w:bCs/>
          <w:color w:val="000000"/>
          <w:szCs w:val="22"/>
          <w:lang w:val="et-EE"/>
        </w:rPr>
      </w:pPr>
      <w:r w:rsidRPr="00EC3BD7">
        <w:rPr>
          <w:b/>
          <w:bCs/>
          <w:color w:val="000000"/>
          <w:szCs w:val="22"/>
          <w:lang w:val="et-EE"/>
        </w:rPr>
        <w:lastRenderedPageBreak/>
        <w:t>Tabel </w:t>
      </w:r>
      <w:r w:rsidR="008F4DAA" w:rsidRPr="00EC3BD7">
        <w:rPr>
          <w:b/>
          <w:bCs/>
          <w:color w:val="000000"/>
          <w:szCs w:val="22"/>
          <w:lang w:val="et-EE"/>
        </w:rPr>
        <w:t>4</w:t>
      </w:r>
      <w:r w:rsidRPr="00EC3BD7">
        <w:rPr>
          <w:b/>
          <w:bCs/>
          <w:color w:val="000000"/>
          <w:szCs w:val="22"/>
          <w:lang w:val="et-EE"/>
        </w:rPr>
        <w:tab/>
        <w:t xml:space="preserve">Kemoteraapia raviskeem samaaegsel kasutamisel koos </w:t>
      </w:r>
      <w:r w:rsidRPr="00EC3BD7">
        <w:rPr>
          <w:b/>
          <w:color w:val="000000"/>
          <w:szCs w:val="22"/>
          <w:lang w:val="et-EE"/>
        </w:rPr>
        <w:t>imatiniibiga</w:t>
      </w:r>
    </w:p>
    <w:p w14:paraId="37D69B37" w14:textId="77777777" w:rsidR="00E21A2F" w:rsidRPr="00EC3BD7" w:rsidRDefault="00E21A2F" w:rsidP="008B1609">
      <w:pPr>
        <w:pStyle w:val="EndnoteText"/>
        <w:keepNext/>
        <w:widowControl w:val="0"/>
        <w:rPr>
          <w:color w:val="000000"/>
          <w:szCs w:val="22"/>
          <w:lang w:val="et-EE"/>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E21A2F" w:rsidRPr="00EC3BD7" w14:paraId="5B92578E" w14:textId="77777777" w:rsidTr="00145F94">
        <w:tc>
          <w:tcPr>
            <w:tcW w:w="2148" w:type="dxa"/>
            <w:tcBorders>
              <w:top w:val="single" w:sz="4" w:space="0" w:color="auto"/>
              <w:bottom w:val="single" w:sz="4" w:space="0" w:color="auto"/>
            </w:tcBorders>
          </w:tcPr>
          <w:p w14:paraId="3F0D6C71"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b/>
                <w:color w:val="000000"/>
                <w:sz w:val="22"/>
                <w:szCs w:val="22"/>
                <w:lang w:val="et-EE"/>
              </w:rPr>
              <w:t>Uuring ADE10</w:t>
            </w:r>
          </w:p>
        </w:tc>
        <w:tc>
          <w:tcPr>
            <w:tcW w:w="6732" w:type="dxa"/>
            <w:gridSpan w:val="4"/>
            <w:tcBorders>
              <w:top w:val="single" w:sz="4" w:space="0" w:color="auto"/>
              <w:bottom w:val="single" w:sz="4" w:space="0" w:color="auto"/>
            </w:tcBorders>
          </w:tcPr>
          <w:p w14:paraId="0105EE44" w14:textId="77777777" w:rsidR="00E21A2F" w:rsidRPr="00EC3BD7" w:rsidRDefault="00E21A2F" w:rsidP="008B1609">
            <w:pPr>
              <w:pStyle w:val="Table"/>
              <w:keepLines w:val="0"/>
              <w:widowControl w:val="0"/>
              <w:rPr>
                <w:rFonts w:ascii="Times New Roman" w:hAnsi="Times New Roman"/>
                <w:color w:val="000000"/>
                <w:sz w:val="22"/>
                <w:szCs w:val="22"/>
                <w:lang w:val="et-EE"/>
              </w:rPr>
            </w:pPr>
          </w:p>
        </w:tc>
      </w:tr>
      <w:tr w:rsidR="00E21A2F" w:rsidRPr="00EC3BD7" w14:paraId="29F802E4" w14:textId="77777777" w:rsidTr="00145F94">
        <w:tc>
          <w:tcPr>
            <w:tcW w:w="2148" w:type="dxa"/>
            <w:tcBorders>
              <w:top w:val="single" w:sz="4" w:space="0" w:color="auto"/>
              <w:bottom w:val="single" w:sz="4" w:space="0" w:color="auto"/>
            </w:tcBorders>
          </w:tcPr>
          <w:p w14:paraId="1835CCEA"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Eelfaas</w:t>
            </w:r>
          </w:p>
        </w:tc>
        <w:tc>
          <w:tcPr>
            <w:tcW w:w="6732" w:type="dxa"/>
            <w:gridSpan w:val="4"/>
            <w:tcBorders>
              <w:top w:val="single" w:sz="4" w:space="0" w:color="auto"/>
              <w:bottom w:val="single" w:sz="4" w:space="0" w:color="auto"/>
            </w:tcBorders>
          </w:tcPr>
          <w:p w14:paraId="6302E248"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DEX 10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suukaudselt, päevadel 1</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5;</w:t>
            </w:r>
          </w:p>
          <w:p w14:paraId="00AFC39E"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CP 200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päevadel 3, 4, 5;</w:t>
            </w:r>
          </w:p>
          <w:p w14:paraId="71F0479B"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MTX 12 mg intratekaalselt, päev 1</w:t>
            </w:r>
          </w:p>
        </w:tc>
      </w:tr>
      <w:tr w:rsidR="00E21A2F" w:rsidRPr="00EC3BD7" w14:paraId="4A689BAB" w14:textId="77777777" w:rsidTr="00145F94">
        <w:tc>
          <w:tcPr>
            <w:tcW w:w="2148" w:type="dxa"/>
            <w:tcBorders>
              <w:top w:val="single" w:sz="4" w:space="0" w:color="auto"/>
              <w:bottom w:val="single" w:sz="4" w:space="0" w:color="auto"/>
            </w:tcBorders>
          </w:tcPr>
          <w:p w14:paraId="2A93B454"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Remissiooni induktsioon</w:t>
            </w:r>
          </w:p>
        </w:tc>
        <w:tc>
          <w:tcPr>
            <w:tcW w:w="6732" w:type="dxa"/>
            <w:gridSpan w:val="4"/>
            <w:tcBorders>
              <w:top w:val="single" w:sz="4" w:space="0" w:color="auto"/>
              <w:bottom w:val="single" w:sz="4" w:space="0" w:color="auto"/>
            </w:tcBorders>
          </w:tcPr>
          <w:p w14:paraId="7F79C9A3"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DEX 10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suukaudselt, päevadel 6</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7, 13</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16;</w:t>
            </w:r>
          </w:p>
          <w:p w14:paraId="7E396B38"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VCR 1 mg i.v., päevadel 7, 14;</w:t>
            </w:r>
          </w:p>
          <w:p w14:paraId="7BD35108"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IDA 8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(0,5 h), päevadel 7, 8, 14, 15;</w:t>
            </w:r>
          </w:p>
          <w:p w14:paraId="74D88C53"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CP 500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i.v.(1 h) päev 1;</w:t>
            </w:r>
          </w:p>
          <w:p w14:paraId="328C4610"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Ara-C 60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päevadel 22</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25, 29</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32</w:t>
            </w:r>
          </w:p>
        </w:tc>
      </w:tr>
      <w:tr w:rsidR="00E21A2F" w:rsidRPr="005D29F8" w14:paraId="773E5C7A" w14:textId="77777777" w:rsidTr="00145F94">
        <w:tc>
          <w:tcPr>
            <w:tcW w:w="2148" w:type="dxa"/>
            <w:tcBorders>
              <w:top w:val="single" w:sz="4" w:space="0" w:color="auto"/>
              <w:bottom w:val="single" w:sz="4" w:space="0" w:color="auto"/>
            </w:tcBorders>
          </w:tcPr>
          <w:p w14:paraId="2A28D061"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 xml:space="preserve">Konsolidatsioonravi I, </w:t>
            </w:r>
            <w:smartTag w:uri="urn:schemas-microsoft-com:office:smarttags" w:element="stockticker">
              <w:r w:rsidRPr="00EC3BD7">
                <w:rPr>
                  <w:rFonts w:ascii="Times New Roman" w:hAnsi="Times New Roman"/>
                  <w:color w:val="000000"/>
                  <w:sz w:val="22"/>
                  <w:szCs w:val="22"/>
                  <w:lang w:val="et-EE"/>
                </w:rPr>
                <w:t>III</w:t>
              </w:r>
            </w:smartTag>
            <w:r w:rsidRPr="00EC3BD7">
              <w:rPr>
                <w:rFonts w:ascii="Times New Roman" w:hAnsi="Times New Roman"/>
                <w:color w:val="000000"/>
                <w:sz w:val="22"/>
                <w:szCs w:val="22"/>
                <w:lang w:val="et-EE"/>
              </w:rPr>
              <w:t>, V</w:t>
            </w:r>
          </w:p>
        </w:tc>
        <w:tc>
          <w:tcPr>
            <w:tcW w:w="6732" w:type="dxa"/>
            <w:gridSpan w:val="4"/>
            <w:tcBorders>
              <w:top w:val="single" w:sz="4" w:space="0" w:color="auto"/>
              <w:bottom w:val="single" w:sz="4" w:space="0" w:color="auto"/>
            </w:tcBorders>
          </w:tcPr>
          <w:p w14:paraId="7ACEEA3C" w14:textId="77777777" w:rsidR="00E21A2F" w:rsidRPr="00EC3BD7" w:rsidRDefault="00E21A2F" w:rsidP="008B1609">
            <w:pPr>
              <w:pStyle w:val="Table"/>
              <w:keepLines w:val="0"/>
              <w:widowControl w:val="0"/>
              <w:rPr>
                <w:rFonts w:ascii="Times New Roman" w:hAnsi="Times New Roman"/>
                <w:color w:val="000000"/>
                <w:sz w:val="22"/>
                <w:szCs w:val="22"/>
                <w:lang w:val="et-EE"/>
              </w:rPr>
            </w:pPr>
            <w:smartTag w:uri="urn:schemas-microsoft-com:office:smarttags" w:element="stockticker">
              <w:r w:rsidRPr="00EC3BD7">
                <w:rPr>
                  <w:rFonts w:ascii="Times New Roman" w:hAnsi="Times New Roman"/>
                  <w:color w:val="000000"/>
                  <w:sz w:val="22"/>
                  <w:szCs w:val="22"/>
                  <w:lang w:val="et-EE"/>
                </w:rPr>
                <w:t>MTX</w:t>
              </w:r>
            </w:smartTag>
            <w:r w:rsidRPr="00EC3BD7">
              <w:rPr>
                <w:rFonts w:ascii="Times New Roman" w:hAnsi="Times New Roman"/>
                <w:color w:val="000000"/>
                <w:sz w:val="22"/>
                <w:szCs w:val="22"/>
                <w:lang w:val="et-EE"/>
              </w:rPr>
              <w:t xml:space="preserve"> 500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(24 h), päevadel 1, 15;</w:t>
            </w:r>
          </w:p>
          <w:p w14:paraId="6EFCE732"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6-MP 25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suukaudselt, päevadel 1</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20</w:t>
            </w:r>
          </w:p>
        </w:tc>
      </w:tr>
      <w:tr w:rsidR="00E21A2F" w:rsidRPr="005D29F8" w14:paraId="3EEF2D11" w14:textId="77777777" w:rsidTr="00145F94">
        <w:tc>
          <w:tcPr>
            <w:tcW w:w="2148" w:type="dxa"/>
            <w:tcBorders>
              <w:top w:val="single" w:sz="4" w:space="0" w:color="auto"/>
              <w:bottom w:val="single" w:sz="4" w:space="0" w:color="auto"/>
            </w:tcBorders>
          </w:tcPr>
          <w:p w14:paraId="2E6EA324" w14:textId="77777777" w:rsidR="00E21A2F" w:rsidRPr="00EC3BD7" w:rsidRDefault="00E21A2F"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Konsolidatsioonravi II, IV</w:t>
            </w:r>
          </w:p>
        </w:tc>
        <w:tc>
          <w:tcPr>
            <w:tcW w:w="6732" w:type="dxa"/>
            <w:gridSpan w:val="4"/>
            <w:tcBorders>
              <w:top w:val="single" w:sz="4" w:space="0" w:color="auto"/>
              <w:bottom w:val="single" w:sz="4" w:space="0" w:color="auto"/>
            </w:tcBorders>
          </w:tcPr>
          <w:p w14:paraId="6575686E" w14:textId="77777777" w:rsidR="00E21A2F" w:rsidRPr="00EC3BD7" w:rsidRDefault="00E21A2F"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Ara-C 75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(1 h), päevadel 1</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5;</w:t>
            </w:r>
          </w:p>
          <w:p w14:paraId="64342152" w14:textId="77777777" w:rsidR="00E21A2F" w:rsidRPr="00EC3BD7" w:rsidRDefault="00E21A2F"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VM26 60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(1 h), päevadel 1</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5</w:t>
            </w:r>
          </w:p>
        </w:tc>
      </w:tr>
      <w:tr w:rsidR="00E21A2F" w:rsidRPr="00EC3BD7" w14:paraId="2E1BB18E" w14:textId="77777777" w:rsidTr="00145F94">
        <w:tc>
          <w:tcPr>
            <w:tcW w:w="2148" w:type="dxa"/>
            <w:tcBorders>
              <w:top w:val="single" w:sz="4" w:space="0" w:color="auto"/>
              <w:bottom w:val="single" w:sz="4" w:space="0" w:color="auto"/>
            </w:tcBorders>
          </w:tcPr>
          <w:p w14:paraId="78A0BCB0" w14:textId="77777777" w:rsidR="00E21A2F" w:rsidRPr="00EC3BD7" w:rsidRDefault="00E21A2F" w:rsidP="008B1609">
            <w:pPr>
              <w:pStyle w:val="Table"/>
              <w:keepLines w:val="0"/>
              <w:widowControl w:val="0"/>
              <w:rPr>
                <w:rFonts w:ascii="Times New Roman" w:hAnsi="Times New Roman"/>
                <w:b/>
                <w:color w:val="000000"/>
                <w:sz w:val="22"/>
                <w:szCs w:val="22"/>
                <w:lang w:val="et-EE"/>
              </w:rPr>
            </w:pPr>
            <w:r w:rsidRPr="00EC3BD7">
              <w:rPr>
                <w:rFonts w:ascii="Times New Roman" w:hAnsi="Times New Roman"/>
                <w:b/>
                <w:color w:val="000000"/>
                <w:sz w:val="22"/>
                <w:szCs w:val="22"/>
                <w:lang w:val="et-EE"/>
              </w:rPr>
              <w:t>Uuring AAU02</w:t>
            </w:r>
          </w:p>
        </w:tc>
        <w:tc>
          <w:tcPr>
            <w:tcW w:w="2652" w:type="dxa"/>
            <w:tcBorders>
              <w:top w:val="single" w:sz="4" w:space="0" w:color="auto"/>
              <w:bottom w:val="single" w:sz="4" w:space="0" w:color="auto"/>
            </w:tcBorders>
          </w:tcPr>
          <w:p w14:paraId="4973B222" w14:textId="77777777" w:rsidR="00E21A2F" w:rsidRPr="00EC3BD7" w:rsidRDefault="00E21A2F" w:rsidP="008B1609">
            <w:pPr>
              <w:pStyle w:val="Table"/>
              <w:keepLines w:val="0"/>
              <w:widowControl w:val="0"/>
              <w:rPr>
                <w:rFonts w:ascii="Times New Roman" w:hAnsi="Times New Roman"/>
                <w:color w:val="000000"/>
                <w:sz w:val="22"/>
                <w:szCs w:val="22"/>
                <w:lang w:val="et-EE"/>
              </w:rPr>
            </w:pPr>
          </w:p>
        </w:tc>
        <w:tc>
          <w:tcPr>
            <w:tcW w:w="1080" w:type="dxa"/>
            <w:tcBorders>
              <w:top w:val="single" w:sz="4" w:space="0" w:color="auto"/>
              <w:bottom w:val="single" w:sz="4" w:space="0" w:color="auto"/>
            </w:tcBorders>
          </w:tcPr>
          <w:p w14:paraId="7685A87A" w14:textId="77777777" w:rsidR="00E21A2F" w:rsidRPr="00EC3BD7" w:rsidRDefault="00E21A2F" w:rsidP="008B1609">
            <w:pPr>
              <w:pStyle w:val="Table"/>
              <w:keepLines w:val="0"/>
              <w:widowControl w:val="0"/>
              <w:rPr>
                <w:rFonts w:ascii="Times New Roman" w:hAnsi="Times New Roman"/>
                <w:color w:val="000000"/>
                <w:sz w:val="22"/>
                <w:szCs w:val="22"/>
                <w:lang w:val="et-EE"/>
              </w:rPr>
            </w:pPr>
          </w:p>
        </w:tc>
        <w:tc>
          <w:tcPr>
            <w:tcW w:w="1380" w:type="dxa"/>
            <w:tcBorders>
              <w:top w:val="single" w:sz="4" w:space="0" w:color="auto"/>
              <w:bottom w:val="single" w:sz="4" w:space="0" w:color="auto"/>
            </w:tcBorders>
          </w:tcPr>
          <w:p w14:paraId="009D4044" w14:textId="77777777" w:rsidR="00E21A2F" w:rsidRPr="00EC3BD7" w:rsidRDefault="00E21A2F" w:rsidP="008B1609">
            <w:pPr>
              <w:pStyle w:val="Table"/>
              <w:keepLines w:val="0"/>
              <w:widowControl w:val="0"/>
              <w:rPr>
                <w:rFonts w:ascii="Times New Roman" w:hAnsi="Times New Roman"/>
                <w:color w:val="000000"/>
                <w:sz w:val="22"/>
                <w:szCs w:val="22"/>
                <w:lang w:val="et-EE"/>
              </w:rPr>
            </w:pPr>
          </w:p>
        </w:tc>
        <w:tc>
          <w:tcPr>
            <w:tcW w:w="1620" w:type="dxa"/>
            <w:tcBorders>
              <w:top w:val="single" w:sz="4" w:space="0" w:color="auto"/>
              <w:bottom w:val="single" w:sz="4" w:space="0" w:color="auto"/>
            </w:tcBorders>
          </w:tcPr>
          <w:p w14:paraId="2BB73291" w14:textId="77777777" w:rsidR="00E21A2F" w:rsidRPr="00EC3BD7" w:rsidRDefault="00E21A2F" w:rsidP="008B1609">
            <w:pPr>
              <w:pStyle w:val="Table"/>
              <w:keepLines w:val="0"/>
              <w:widowControl w:val="0"/>
              <w:rPr>
                <w:rFonts w:ascii="Times New Roman" w:hAnsi="Times New Roman"/>
                <w:color w:val="000000"/>
                <w:sz w:val="22"/>
                <w:szCs w:val="22"/>
                <w:lang w:val="et-EE"/>
              </w:rPr>
            </w:pPr>
          </w:p>
        </w:tc>
      </w:tr>
      <w:tr w:rsidR="00E21A2F" w:rsidRPr="00EC3BD7" w14:paraId="3E5B866D" w14:textId="77777777" w:rsidTr="00145F94">
        <w:tc>
          <w:tcPr>
            <w:tcW w:w="2148" w:type="dxa"/>
            <w:tcBorders>
              <w:top w:val="single" w:sz="4" w:space="0" w:color="auto"/>
              <w:bottom w:val="single" w:sz="4" w:space="0" w:color="auto"/>
            </w:tcBorders>
          </w:tcPr>
          <w:p w14:paraId="7777617F"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Induktsioonravi (</w:t>
            </w:r>
            <w:r w:rsidRPr="00EC3BD7">
              <w:rPr>
                <w:rFonts w:ascii="Times New Roman" w:hAnsi="Times New Roman"/>
                <w:i/>
                <w:color w:val="000000"/>
                <w:sz w:val="22"/>
                <w:szCs w:val="22"/>
                <w:lang w:val="et-EE"/>
              </w:rPr>
              <w:t>de novo</w:t>
            </w:r>
            <w:r w:rsidRPr="00EC3BD7">
              <w:rPr>
                <w:rFonts w:ascii="Times New Roman" w:hAnsi="Times New Roman"/>
                <w:color w:val="000000"/>
                <w:sz w:val="22"/>
                <w:szCs w:val="22"/>
                <w:lang w:val="et-EE"/>
              </w:rPr>
              <w:t xml:space="preserve"> Ph+ </w:t>
            </w:r>
            <w:smartTag w:uri="urn:schemas-microsoft-com:office:smarttags" w:element="stockticker">
              <w:r w:rsidRPr="00EC3BD7">
                <w:rPr>
                  <w:rFonts w:ascii="Times New Roman" w:hAnsi="Times New Roman"/>
                  <w:color w:val="000000"/>
                  <w:sz w:val="22"/>
                  <w:szCs w:val="22"/>
                  <w:lang w:val="et-EE"/>
                </w:rPr>
                <w:t>ALL</w:t>
              </w:r>
            </w:smartTag>
            <w:r w:rsidRPr="00EC3BD7">
              <w:rPr>
                <w:rFonts w:ascii="Times New Roman" w:hAnsi="Times New Roman"/>
                <w:color w:val="000000"/>
                <w:sz w:val="22"/>
                <w:szCs w:val="22"/>
                <w:lang w:val="et-EE"/>
              </w:rPr>
              <w:t>)</w:t>
            </w:r>
          </w:p>
        </w:tc>
        <w:tc>
          <w:tcPr>
            <w:tcW w:w="6732" w:type="dxa"/>
            <w:gridSpan w:val="4"/>
            <w:tcBorders>
              <w:top w:val="single" w:sz="4" w:space="0" w:color="auto"/>
              <w:bottom w:val="single" w:sz="4" w:space="0" w:color="auto"/>
            </w:tcBorders>
          </w:tcPr>
          <w:p w14:paraId="39E44394"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Daunorubitsiin 30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päevadel 1</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3, 15</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16;</w:t>
            </w:r>
          </w:p>
          <w:p w14:paraId="05015F5C"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VCR koguannus 2 mg i.v., päevadel 1, 8, 15, 22;</w:t>
            </w:r>
          </w:p>
          <w:p w14:paraId="20B3F0B0"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CP 750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päevadel 1, 8;</w:t>
            </w:r>
          </w:p>
          <w:p w14:paraId="3225667B"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Prednisoon 60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suukaudselt, päevadel 1</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7, 15</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21;</w:t>
            </w:r>
          </w:p>
          <w:p w14:paraId="5FD94EA7"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IDA 9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suukaudselt, päevadel 1</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28;</w:t>
            </w:r>
          </w:p>
          <w:p w14:paraId="2EAB51EF"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MTX 15 mg intratekaalselt, päevadel 1, 8, 15, 22;</w:t>
            </w:r>
          </w:p>
          <w:p w14:paraId="7D72FB90"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Ara-C 40 mg intratekaalselt, päevadel 1, 8, 15, 22;</w:t>
            </w:r>
          </w:p>
          <w:p w14:paraId="3F29B6ED"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Metüülprednisoloon 40 mg intratekaalselt, päevadel 1, 8, 15, 22</w:t>
            </w:r>
          </w:p>
        </w:tc>
      </w:tr>
      <w:tr w:rsidR="00E21A2F" w:rsidRPr="00EC3BD7" w14:paraId="0A7E3876" w14:textId="77777777" w:rsidTr="00145F94">
        <w:tc>
          <w:tcPr>
            <w:tcW w:w="2148" w:type="dxa"/>
            <w:tcBorders>
              <w:top w:val="single" w:sz="4" w:space="0" w:color="auto"/>
              <w:bottom w:val="single" w:sz="4" w:space="0" w:color="auto"/>
            </w:tcBorders>
          </w:tcPr>
          <w:p w14:paraId="5840E5C1" w14:textId="77777777" w:rsidR="00E21A2F" w:rsidRPr="00EC3BD7" w:rsidRDefault="00E21A2F"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Konsolidatsioon (</w:t>
            </w:r>
            <w:r w:rsidRPr="00EC3BD7">
              <w:rPr>
                <w:rFonts w:ascii="Times New Roman" w:hAnsi="Times New Roman"/>
                <w:i/>
                <w:color w:val="000000"/>
                <w:sz w:val="22"/>
                <w:szCs w:val="22"/>
                <w:lang w:val="et-EE"/>
              </w:rPr>
              <w:t>de novo</w:t>
            </w:r>
            <w:r w:rsidRPr="00EC3BD7">
              <w:rPr>
                <w:rFonts w:ascii="Times New Roman" w:hAnsi="Times New Roman"/>
                <w:color w:val="000000"/>
                <w:sz w:val="22"/>
                <w:szCs w:val="22"/>
                <w:lang w:val="et-EE"/>
              </w:rPr>
              <w:t xml:space="preserve"> Ph+ ALL)</w:t>
            </w:r>
          </w:p>
        </w:tc>
        <w:tc>
          <w:tcPr>
            <w:tcW w:w="6732" w:type="dxa"/>
            <w:gridSpan w:val="4"/>
            <w:tcBorders>
              <w:top w:val="single" w:sz="4" w:space="0" w:color="auto"/>
              <w:bottom w:val="single" w:sz="4" w:space="0" w:color="auto"/>
            </w:tcBorders>
          </w:tcPr>
          <w:p w14:paraId="4CBAF501" w14:textId="77777777" w:rsidR="00E21A2F" w:rsidRPr="00EC3BD7" w:rsidRDefault="00E21A2F"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Ara-C 1000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/12 h i.v.(3 h), päevadel 1</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4;</w:t>
            </w:r>
          </w:p>
          <w:p w14:paraId="3B5603AD" w14:textId="77777777" w:rsidR="00E21A2F" w:rsidRPr="00EC3BD7" w:rsidRDefault="00E21A2F"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Mitoksantroon 10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päevadel 3</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5;</w:t>
            </w:r>
          </w:p>
          <w:p w14:paraId="6DD7D54B" w14:textId="77777777" w:rsidR="00E21A2F" w:rsidRPr="00EC3BD7" w:rsidRDefault="00E21A2F"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MTX 15 mg intratekaalselt, päev 1;</w:t>
            </w:r>
          </w:p>
          <w:p w14:paraId="0C1E8919" w14:textId="77777777" w:rsidR="00E21A2F" w:rsidRPr="00EC3BD7" w:rsidRDefault="00E21A2F"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Metüülprednisoloon 40 mg intratekaalselt, päev 1</w:t>
            </w:r>
          </w:p>
        </w:tc>
      </w:tr>
      <w:tr w:rsidR="00E21A2F" w:rsidRPr="00EC3BD7" w14:paraId="3BFF8B45" w14:textId="77777777" w:rsidTr="00145F94">
        <w:tc>
          <w:tcPr>
            <w:tcW w:w="4800" w:type="dxa"/>
            <w:gridSpan w:val="2"/>
            <w:tcBorders>
              <w:top w:val="single" w:sz="4" w:space="0" w:color="auto"/>
              <w:bottom w:val="single" w:sz="4" w:space="0" w:color="auto"/>
            </w:tcBorders>
          </w:tcPr>
          <w:p w14:paraId="2748B912" w14:textId="77777777" w:rsidR="00E21A2F" w:rsidRPr="00EC3BD7" w:rsidRDefault="00E21A2F" w:rsidP="008B1609">
            <w:pPr>
              <w:pStyle w:val="Table"/>
              <w:keepLines w:val="0"/>
              <w:widowControl w:val="0"/>
              <w:rPr>
                <w:rFonts w:ascii="Times New Roman" w:hAnsi="Times New Roman"/>
                <w:b/>
                <w:color w:val="000000"/>
                <w:sz w:val="22"/>
                <w:szCs w:val="22"/>
                <w:lang w:val="et-EE"/>
              </w:rPr>
            </w:pPr>
            <w:r w:rsidRPr="00EC3BD7">
              <w:rPr>
                <w:rFonts w:ascii="Times New Roman" w:hAnsi="Times New Roman"/>
                <w:b/>
                <w:color w:val="000000"/>
                <w:sz w:val="22"/>
                <w:szCs w:val="22"/>
                <w:lang w:val="et-EE"/>
              </w:rPr>
              <w:t>Uuring ADE04</w:t>
            </w:r>
          </w:p>
        </w:tc>
        <w:tc>
          <w:tcPr>
            <w:tcW w:w="1080" w:type="dxa"/>
            <w:tcBorders>
              <w:top w:val="single" w:sz="4" w:space="0" w:color="auto"/>
              <w:bottom w:val="single" w:sz="4" w:space="0" w:color="auto"/>
            </w:tcBorders>
          </w:tcPr>
          <w:p w14:paraId="2BF0B5D7" w14:textId="77777777" w:rsidR="00E21A2F" w:rsidRPr="00EC3BD7" w:rsidRDefault="00E21A2F" w:rsidP="008B1609">
            <w:pPr>
              <w:pStyle w:val="Table"/>
              <w:keepLines w:val="0"/>
              <w:widowControl w:val="0"/>
              <w:rPr>
                <w:rFonts w:ascii="Times New Roman" w:hAnsi="Times New Roman"/>
                <w:color w:val="000000"/>
                <w:sz w:val="22"/>
                <w:szCs w:val="22"/>
                <w:lang w:val="et-EE"/>
              </w:rPr>
            </w:pPr>
          </w:p>
        </w:tc>
        <w:tc>
          <w:tcPr>
            <w:tcW w:w="1380" w:type="dxa"/>
            <w:tcBorders>
              <w:top w:val="single" w:sz="4" w:space="0" w:color="auto"/>
              <w:bottom w:val="single" w:sz="4" w:space="0" w:color="auto"/>
            </w:tcBorders>
          </w:tcPr>
          <w:p w14:paraId="4C7CCBD3" w14:textId="77777777" w:rsidR="00E21A2F" w:rsidRPr="00EC3BD7" w:rsidRDefault="00E21A2F" w:rsidP="008B1609">
            <w:pPr>
              <w:pStyle w:val="Table"/>
              <w:keepLines w:val="0"/>
              <w:widowControl w:val="0"/>
              <w:rPr>
                <w:rFonts w:ascii="Times New Roman" w:hAnsi="Times New Roman"/>
                <w:color w:val="000000"/>
                <w:sz w:val="22"/>
                <w:szCs w:val="22"/>
                <w:lang w:val="et-EE"/>
              </w:rPr>
            </w:pPr>
          </w:p>
        </w:tc>
        <w:tc>
          <w:tcPr>
            <w:tcW w:w="1620" w:type="dxa"/>
            <w:tcBorders>
              <w:top w:val="single" w:sz="4" w:space="0" w:color="auto"/>
              <w:bottom w:val="single" w:sz="4" w:space="0" w:color="auto"/>
            </w:tcBorders>
          </w:tcPr>
          <w:p w14:paraId="6AA44BDF" w14:textId="77777777" w:rsidR="00E21A2F" w:rsidRPr="00EC3BD7" w:rsidRDefault="00E21A2F" w:rsidP="008B1609">
            <w:pPr>
              <w:pStyle w:val="Table"/>
              <w:keepLines w:val="0"/>
              <w:widowControl w:val="0"/>
              <w:rPr>
                <w:rFonts w:ascii="Times New Roman" w:hAnsi="Times New Roman"/>
                <w:color w:val="000000"/>
                <w:sz w:val="22"/>
                <w:szCs w:val="22"/>
                <w:lang w:val="et-EE"/>
              </w:rPr>
            </w:pPr>
          </w:p>
        </w:tc>
      </w:tr>
      <w:tr w:rsidR="00E21A2F" w:rsidRPr="00EC3BD7" w14:paraId="0574FD91" w14:textId="77777777" w:rsidTr="00145F94">
        <w:tc>
          <w:tcPr>
            <w:tcW w:w="2148" w:type="dxa"/>
            <w:tcBorders>
              <w:top w:val="single" w:sz="4" w:space="0" w:color="auto"/>
              <w:bottom w:val="single" w:sz="4" w:space="0" w:color="auto"/>
            </w:tcBorders>
          </w:tcPr>
          <w:p w14:paraId="558EA710"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Eelfaas</w:t>
            </w:r>
          </w:p>
        </w:tc>
        <w:tc>
          <w:tcPr>
            <w:tcW w:w="6732" w:type="dxa"/>
            <w:gridSpan w:val="4"/>
            <w:tcBorders>
              <w:top w:val="single" w:sz="4" w:space="0" w:color="auto"/>
              <w:bottom w:val="single" w:sz="4" w:space="0" w:color="auto"/>
            </w:tcBorders>
          </w:tcPr>
          <w:p w14:paraId="5CABF836"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DEX 10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suukaudselt, päevadel 1</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5;</w:t>
            </w:r>
          </w:p>
          <w:p w14:paraId="4C5E22EE"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CP 200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päevadel 3</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5;</w:t>
            </w:r>
          </w:p>
          <w:p w14:paraId="526EF334"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MTX 15 mg intratekaalselt, päev 1</w:t>
            </w:r>
          </w:p>
        </w:tc>
      </w:tr>
      <w:tr w:rsidR="00E21A2F" w:rsidRPr="005D29F8" w14:paraId="392D029F" w14:textId="77777777" w:rsidTr="00145F94">
        <w:tc>
          <w:tcPr>
            <w:tcW w:w="2148" w:type="dxa"/>
            <w:tcBorders>
              <w:top w:val="single" w:sz="4" w:space="0" w:color="auto"/>
              <w:bottom w:val="single" w:sz="4" w:space="0" w:color="auto"/>
            </w:tcBorders>
          </w:tcPr>
          <w:p w14:paraId="743057D3"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Induktsioonravi I</w:t>
            </w:r>
          </w:p>
        </w:tc>
        <w:tc>
          <w:tcPr>
            <w:tcW w:w="6732" w:type="dxa"/>
            <w:gridSpan w:val="4"/>
            <w:tcBorders>
              <w:top w:val="single" w:sz="4" w:space="0" w:color="auto"/>
              <w:bottom w:val="single" w:sz="4" w:space="0" w:color="auto"/>
            </w:tcBorders>
          </w:tcPr>
          <w:p w14:paraId="7DA623AC"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DEX 10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suukaudselt, päevadel 1</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5;</w:t>
            </w:r>
          </w:p>
          <w:p w14:paraId="69B37E95"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VCR 2 mg i.v., päevadel 6, 13, 20;</w:t>
            </w:r>
          </w:p>
          <w:p w14:paraId="260C1922"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Daunorubitsiin 45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päevadel 6</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7, 13</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14</w:t>
            </w:r>
          </w:p>
        </w:tc>
      </w:tr>
      <w:tr w:rsidR="00E21A2F" w:rsidRPr="005D29F8" w14:paraId="7143A813" w14:textId="77777777" w:rsidTr="00145F94">
        <w:tc>
          <w:tcPr>
            <w:tcW w:w="2148" w:type="dxa"/>
            <w:tcBorders>
              <w:top w:val="single" w:sz="4" w:space="0" w:color="auto"/>
              <w:bottom w:val="single" w:sz="4" w:space="0" w:color="auto"/>
            </w:tcBorders>
          </w:tcPr>
          <w:p w14:paraId="0ECA5C5D"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Induktsioonravi II</w:t>
            </w:r>
          </w:p>
        </w:tc>
        <w:tc>
          <w:tcPr>
            <w:tcW w:w="6732" w:type="dxa"/>
            <w:gridSpan w:val="4"/>
            <w:tcBorders>
              <w:top w:val="single" w:sz="4" w:space="0" w:color="auto"/>
              <w:bottom w:val="single" w:sz="4" w:space="0" w:color="auto"/>
            </w:tcBorders>
          </w:tcPr>
          <w:p w14:paraId="04462405"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CP 1 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(1 h), päevadel 26, 46;</w:t>
            </w:r>
          </w:p>
          <w:p w14:paraId="11E08B31"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Ara-C 75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(1 h), päevadel 28</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31, 35</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38, 42</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45;</w:t>
            </w:r>
          </w:p>
          <w:p w14:paraId="6E489331"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6-MP 60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suukaudselt, päevadel 26</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46</w:t>
            </w:r>
          </w:p>
        </w:tc>
      </w:tr>
      <w:tr w:rsidR="00E21A2F" w:rsidRPr="00EC3BD7" w14:paraId="2EF4E1F9" w14:textId="77777777" w:rsidTr="008B1609">
        <w:tc>
          <w:tcPr>
            <w:tcW w:w="2148" w:type="dxa"/>
            <w:tcBorders>
              <w:top w:val="nil"/>
              <w:bottom w:val="single" w:sz="4" w:space="0" w:color="auto"/>
            </w:tcBorders>
          </w:tcPr>
          <w:p w14:paraId="4B93C2AF" w14:textId="77777777" w:rsidR="00E21A2F" w:rsidRPr="00EC3BD7" w:rsidRDefault="00E21A2F"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Konsolidatsioonravi</w:t>
            </w:r>
          </w:p>
        </w:tc>
        <w:tc>
          <w:tcPr>
            <w:tcW w:w="6732" w:type="dxa"/>
            <w:gridSpan w:val="4"/>
            <w:tcBorders>
              <w:top w:val="nil"/>
              <w:bottom w:val="single" w:sz="4" w:space="0" w:color="auto"/>
            </w:tcBorders>
          </w:tcPr>
          <w:p w14:paraId="7EA08F0F" w14:textId="77777777" w:rsidR="00E21A2F" w:rsidRPr="00EC3BD7" w:rsidRDefault="00E21A2F"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DEX 10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suukaudselt, päevadel 1</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5;</w:t>
            </w:r>
          </w:p>
          <w:p w14:paraId="709D2A55" w14:textId="77777777" w:rsidR="00E21A2F" w:rsidRPr="00EC3BD7" w:rsidRDefault="00E21A2F"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Vindesiin 3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päev 1;</w:t>
            </w:r>
          </w:p>
          <w:p w14:paraId="586DF0B2" w14:textId="77777777" w:rsidR="00E21A2F" w:rsidRPr="00EC3BD7" w:rsidRDefault="00E21A2F"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MTX 1.5 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(24 h), päev 1;</w:t>
            </w:r>
          </w:p>
          <w:p w14:paraId="0CB7B336" w14:textId="77777777" w:rsidR="00E21A2F" w:rsidRPr="00EC3BD7" w:rsidRDefault="00E21A2F"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Etoposiid 250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(1 h) päevadel 4</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5;</w:t>
            </w:r>
          </w:p>
          <w:p w14:paraId="7E62CA39" w14:textId="77777777" w:rsidR="00E21A2F" w:rsidRPr="00EC3BD7" w:rsidRDefault="00E21A2F"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Ara-C 2x 2 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(3 h, q 12 h), päev 5</w:t>
            </w:r>
          </w:p>
        </w:tc>
      </w:tr>
      <w:tr w:rsidR="00E21A2F" w:rsidRPr="00EC3BD7" w14:paraId="081F9140" w14:textId="77777777" w:rsidTr="008B1609">
        <w:tc>
          <w:tcPr>
            <w:tcW w:w="2148" w:type="dxa"/>
            <w:tcBorders>
              <w:top w:val="single" w:sz="4" w:space="0" w:color="auto"/>
              <w:bottom w:val="single" w:sz="4" w:space="0" w:color="auto"/>
            </w:tcBorders>
          </w:tcPr>
          <w:p w14:paraId="038DCB47" w14:textId="77777777" w:rsidR="00E21A2F" w:rsidRPr="00EC3BD7" w:rsidRDefault="00E21A2F" w:rsidP="008B1609">
            <w:pPr>
              <w:pStyle w:val="Table"/>
              <w:keepLines w:val="0"/>
              <w:widowControl w:val="0"/>
              <w:rPr>
                <w:rFonts w:ascii="Times New Roman" w:hAnsi="Times New Roman"/>
                <w:b/>
                <w:color w:val="000000"/>
                <w:sz w:val="22"/>
                <w:szCs w:val="22"/>
                <w:lang w:val="et-EE"/>
              </w:rPr>
            </w:pPr>
            <w:r w:rsidRPr="00EC3BD7">
              <w:rPr>
                <w:rFonts w:ascii="Times New Roman" w:hAnsi="Times New Roman"/>
                <w:b/>
                <w:color w:val="000000"/>
                <w:sz w:val="22"/>
                <w:szCs w:val="22"/>
                <w:lang w:val="et-EE"/>
              </w:rPr>
              <w:lastRenderedPageBreak/>
              <w:t>Uuring AJP01</w:t>
            </w:r>
          </w:p>
        </w:tc>
        <w:tc>
          <w:tcPr>
            <w:tcW w:w="2652" w:type="dxa"/>
            <w:tcBorders>
              <w:top w:val="single" w:sz="4" w:space="0" w:color="auto"/>
              <w:bottom w:val="single" w:sz="4" w:space="0" w:color="auto"/>
            </w:tcBorders>
          </w:tcPr>
          <w:p w14:paraId="71BC10A5" w14:textId="77777777" w:rsidR="00E21A2F" w:rsidRPr="00EC3BD7" w:rsidRDefault="00E21A2F" w:rsidP="008B1609">
            <w:pPr>
              <w:pStyle w:val="Table"/>
              <w:keepLines w:val="0"/>
              <w:widowControl w:val="0"/>
              <w:rPr>
                <w:rFonts w:ascii="Times New Roman" w:hAnsi="Times New Roman"/>
                <w:color w:val="000000"/>
                <w:sz w:val="22"/>
                <w:szCs w:val="22"/>
                <w:lang w:val="et-EE"/>
              </w:rPr>
            </w:pPr>
          </w:p>
        </w:tc>
        <w:tc>
          <w:tcPr>
            <w:tcW w:w="1080" w:type="dxa"/>
            <w:tcBorders>
              <w:top w:val="single" w:sz="4" w:space="0" w:color="auto"/>
              <w:bottom w:val="single" w:sz="4" w:space="0" w:color="auto"/>
            </w:tcBorders>
          </w:tcPr>
          <w:p w14:paraId="56D79070" w14:textId="77777777" w:rsidR="00E21A2F" w:rsidRPr="00EC3BD7" w:rsidRDefault="00E21A2F" w:rsidP="008B1609">
            <w:pPr>
              <w:pStyle w:val="Table"/>
              <w:keepLines w:val="0"/>
              <w:widowControl w:val="0"/>
              <w:rPr>
                <w:rFonts w:ascii="Times New Roman" w:hAnsi="Times New Roman"/>
                <w:color w:val="000000"/>
                <w:sz w:val="22"/>
                <w:szCs w:val="22"/>
                <w:lang w:val="et-EE"/>
              </w:rPr>
            </w:pPr>
          </w:p>
        </w:tc>
        <w:tc>
          <w:tcPr>
            <w:tcW w:w="1380" w:type="dxa"/>
            <w:tcBorders>
              <w:top w:val="single" w:sz="4" w:space="0" w:color="auto"/>
              <w:bottom w:val="single" w:sz="4" w:space="0" w:color="auto"/>
            </w:tcBorders>
          </w:tcPr>
          <w:p w14:paraId="26CCF454" w14:textId="77777777" w:rsidR="00E21A2F" w:rsidRPr="00EC3BD7" w:rsidRDefault="00E21A2F" w:rsidP="008B1609">
            <w:pPr>
              <w:pStyle w:val="Table"/>
              <w:keepLines w:val="0"/>
              <w:widowControl w:val="0"/>
              <w:rPr>
                <w:rFonts w:ascii="Times New Roman" w:hAnsi="Times New Roman"/>
                <w:color w:val="000000"/>
                <w:sz w:val="22"/>
                <w:szCs w:val="22"/>
                <w:lang w:val="et-EE"/>
              </w:rPr>
            </w:pPr>
          </w:p>
        </w:tc>
        <w:tc>
          <w:tcPr>
            <w:tcW w:w="1620" w:type="dxa"/>
            <w:tcBorders>
              <w:top w:val="single" w:sz="4" w:space="0" w:color="auto"/>
              <w:bottom w:val="single" w:sz="4" w:space="0" w:color="auto"/>
            </w:tcBorders>
          </w:tcPr>
          <w:p w14:paraId="1FC5F39D" w14:textId="77777777" w:rsidR="00E21A2F" w:rsidRPr="00EC3BD7" w:rsidRDefault="00E21A2F" w:rsidP="008B1609">
            <w:pPr>
              <w:pStyle w:val="Table"/>
              <w:keepLines w:val="0"/>
              <w:widowControl w:val="0"/>
              <w:rPr>
                <w:rFonts w:ascii="Times New Roman" w:hAnsi="Times New Roman"/>
                <w:color w:val="000000"/>
                <w:sz w:val="22"/>
                <w:szCs w:val="22"/>
                <w:lang w:val="et-EE"/>
              </w:rPr>
            </w:pPr>
          </w:p>
        </w:tc>
      </w:tr>
      <w:tr w:rsidR="00E21A2F" w:rsidRPr="00EC3BD7" w14:paraId="3435BE7A" w14:textId="77777777" w:rsidTr="00145F94">
        <w:tc>
          <w:tcPr>
            <w:tcW w:w="2148" w:type="dxa"/>
            <w:tcBorders>
              <w:top w:val="nil"/>
              <w:bottom w:val="single" w:sz="4" w:space="0" w:color="auto"/>
            </w:tcBorders>
          </w:tcPr>
          <w:p w14:paraId="3E13F51B" w14:textId="77777777" w:rsidR="00E21A2F" w:rsidRPr="00EC3BD7" w:rsidRDefault="00E21A2F" w:rsidP="008B1609">
            <w:pPr>
              <w:pStyle w:val="Table"/>
              <w:keepLines w:val="0"/>
              <w:widowControl w:val="0"/>
              <w:jc w:val="both"/>
              <w:rPr>
                <w:rFonts w:ascii="Times New Roman" w:hAnsi="Times New Roman"/>
                <w:color w:val="000000"/>
                <w:sz w:val="22"/>
                <w:szCs w:val="22"/>
                <w:lang w:val="et-EE"/>
              </w:rPr>
            </w:pPr>
            <w:r w:rsidRPr="00EC3BD7">
              <w:rPr>
                <w:rFonts w:ascii="Times New Roman" w:hAnsi="Times New Roman"/>
                <w:color w:val="000000"/>
                <w:sz w:val="22"/>
                <w:szCs w:val="22"/>
                <w:lang w:val="et-EE"/>
              </w:rPr>
              <w:t>Induktsioonravi</w:t>
            </w:r>
          </w:p>
        </w:tc>
        <w:tc>
          <w:tcPr>
            <w:tcW w:w="6732" w:type="dxa"/>
            <w:gridSpan w:val="4"/>
            <w:tcBorders>
              <w:top w:val="nil"/>
              <w:bottom w:val="single" w:sz="4" w:space="0" w:color="auto"/>
            </w:tcBorders>
          </w:tcPr>
          <w:p w14:paraId="1EAED0C5"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CP 1,2 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(3 h), päev 1;</w:t>
            </w:r>
          </w:p>
          <w:p w14:paraId="338BE5BE"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Daunorubitsiin 60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(1 h), päevadel 1</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3;</w:t>
            </w:r>
          </w:p>
          <w:p w14:paraId="18F96B24"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Vinkristiin 1,3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päevadel 1, 8, 15, 21;</w:t>
            </w:r>
          </w:p>
          <w:p w14:paraId="338FF1A3"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Prednisoloon 60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/päevas suukaudselt</w:t>
            </w:r>
          </w:p>
        </w:tc>
      </w:tr>
      <w:tr w:rsidR="00E21A2F" w:rsidRPr="005D29F8" w14:paraId="2295157B" w14:textId="77777777" w:rsidTr="00145F94">
        <w:tc>
          <w:tcPr>
            <w:tcW w:w="2148" w:type="dxa"/>
            <w:tcBorders>
              <w:top w:val="single" w:sz="4" w:space="0" w:color="auto"/>
              <w:bottom w:val="single" w:sz="4" w:space="0" w:color="auto"/>
            </w:tcBorders>
          </w:tcPr>
          <w:p w14:paraId="0CD91402" w14:textId="77777777" w:rsidR="00E21A2F" w:rsidRPr="00EC3BD7" w:rsidRDefault="00E21A2F" w:rsidP="008B1609">
            <w:pPr>
              <w:pStyle w:val="Table"/>
              <w:keepLines w:val="0"/>
              <w:widowControl w:val="0"/>
              <w:tabs>
                <w:tab w:val="left" w:pos="0"/>
              </w:tabs>
              <w:rPr>
                <w:rFonts w:ascii="Times New Roman" w:hAnsi="Times New Roman"/>
                <w:color w:val="000000"/>
                <w:sz w:val="22"/>
                <w:szCs w:val="22"/>
                <w:lang w:val="et-EE"/>
              </w:rPr>
            </w:pPr>
            <w:r w:rsidRPr="00EC3BD7">
              <w:rPr>
                <w:rFonts w:ascii="Times New Roman" w:hAnsi="Times New Roman"/>
                <w:color w:val="000000"/>
                <w:sz w:val="22"/>
                <w:szCs w:val="22"/>
                <w:lang w:val="et-EE"/>
              </w:rPr>
              <w:t>Konsolidatsioonravi</w:t>
            </w:r>
          </w:p>
        </w:tc>
        <w:tc>
          <w:tcPr>
            <w:tcW w:w="6732" w:type="dxa"/>
            <w:gridSpan w:val="4"/>
            <w:tcBorders>
              <w:top w:val="single" w:sz="4" w:space="0" w:color="auto"/>
              <w:bottom w:val="single" w:sz="4" w:space="0" w:color="auto"/>
            </w:tcBorders>
          </w:tcPr>
          <w:p w14:paraId="7EE1415A"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 xml:space="preserve">Vahelduva skeemiga kemoteraapia: kemoteraapia suurtes annustes koos </w:t>
            </w:r>
            <w:smartTag w:uri="urn:schemas-microsoft-com:office:smarttags" w:element="stockticker">
              <w:r w:rsidRPr="00EC3BD7">
                <w:rPr>
                  <w:rFonts w:ascii="Times New Roman" w:hAnsi="Times New Roman"/>
                  <w:color w:val="000000"/>
                  <w:sz w:val="22"/>
                  <w:szCs w:val="22"/>
                  <w:lang w:val="et-EE"/>
                </w:rPr>
                <w:t>MTX</w:t>
              </w:r>
            </w:smartTag>
            <w:r w:rsidRPr="00EC3BD7">
              <w:rPr>
                <w:rFonts w:ascii="Times New Roman" w:hAnsi="Times New Roman"/>
                <w:color w:val="000000"/>
                <w:sz w:val="22"/>
                <w:szCs w:val="22"/>
                <w:lang w:val="et-EE"/>
              </w:rPr>
              <w:t xml:space="preserve"> 1 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(24 h), päev 1, ja Ara-C 2 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(q 12 h), päevadel 2</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3, kasutatakse 4 tsüklit</w:t>
            </w:r>
          </w:p>
        </w:tc>
      </w:tr>
      <w:tr w:rsidR="00E21A2F" w:rsidRPr="00EC3BD7" w14:paraId="12285AC7" w14:textId="77777777" w:rsidTr="00145F94">
        <w:tc>
          <w:tcPr>
            <w:tcW w:w="2148" w:type="dxa"/>
            <w:tcBorders>
              <w:top w:val="single" w:sz="4" w:space="0" w:color="auto"/>
              <w:bottom w:val="single" w:sz="4" w:space="0" w:color="auto"/>
            </w:tcBorders>
          </w:tcPr>
          <w:p w14:paraId="4C65C5DB" w14:textId="77777777" w:rsidR="00E21A2F" w:rsidRPr="00EC3BD7" w:rsidRDefault="00E21A2F" w:rsidP="00B9089D">
            <w:pPr>
              <w:pStyle w:val="Table"/>
              <w:keepNext w:val="0"/>
              <w:keepLines w:val="0"/>
              <w:widowControl w:val="0"/>
              <w:tabs>
                <w:tab w:val="left" w:pos="0"/>
              </w:tabs>
              <w:rPr>
                <w:rFonts w:ascii="Times New Roman" w:hAnsi="Times New Roman"/>
                <w:color w:val="000000"/>
                <w:sz w:val="22"/>
                <w:szCs w:val="22"/>
                <w:lang w:val="et-EE"/>
              </w:rPr>
            </w:pPr>
            <w:r w:rsidRPr="00EC3BD7">
              <w:rPr>
                <w:rFonts w:ascii="Times New Roman" w:hAnsi="Times New Roman"/>
                <w:color w:val="000000"/>
                <w:sz w:val="22"/>
                <w:szCs w:val="22"/>
                <w:lang w:val="et-EE"/>
              </w:rPr>
              <w:t>Säilitusravi</w:t>
            </w:r>
          </w:p>
        </w:tc>
        <w:tc>
          <w:tcPr>
            <w:tcW w:w="6732" w:type="dxa"/>
            <w:gridSpan w:val="4"/>
            <w:tcBorders>
              <w:top w:val="single" w:sz="4" w:space="0" w:color="auto"/>
              <w:bottom w:val="single" w:sz="4" w:space="0" w:color="auto"/>
            </w:tcBorders>
          </w:tcPr>
          <w:p w14:paraId="776448E8" w14:textId="77777777" w:rsidR="00E21A2F" w:rsidRPr="00EC3BD7" w:rsidRDefault="00E21A2F" w:rsidP="00B9089D">
            <w:pPr>
              <w:pStyle w:val="Table"/>
              <w:keepNext w:val="0"/>
              <w:keepLines w:val="0"/>
              <w:widowControl w:val="0"/>
              <w:rPr>
                <w:rFonts w:ascii="Times New Roman" w:hAnsi="Times New Roman"/>
                <w:color w:val="000000"/>
                <w:sz w:val="22"/>
                <w:szCs w:val="22"/>
                <w:lang w:val="et-EE"/>
              </w:rPr>
            </w:pPr>
            <w:smartTag w:uri="urn:schemas-microsoft-com:office:smarttags" w:element="stockticker">
              <w:r w:rsidRPr="00EC3BD7">
                <w:rPr>
                  <w:rFonts w:ascii="Times New Roman" w:hAnsi="Times New Roman"/>
                  <w:color w:val="000000"/>
                  <w:sz w:val="22"/>
                  <w:szCs w:val="22"/>
                  <w:lang w:val="et-EE"/>
                </w:rPr>
                <w:t>VCR</w:t>
              </w:r>
            </w:smartTag>
            <w:r w:rsidRPr="00EC3BD7">
              <w:rPr>
                <w:rFonts w:ascii="Times New Roman" w:hAnsi="Times New Roman"/>
                <w:color w:val="000000"/>
                <w:sz w:val="22"/>
                <w:szCs w:val="22"/>
                <w:lang w:val="et-EE"/>
              </w:rPr>
              <w:t xml:space="preserve"> 1,3 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päev 1;</w:t>
            </w:r>
          </w:p>
          <w:p w14:paraId="5D4DF121" w14:textId="77777777" w:rsidR="00E21A2F" w:rsidRPr="00EC3BD7" w:rsidRDefault="00E21A2F" w:rsidP="00B9089D">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Prednisoloon 60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suukaudselt, päevadel 1</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5</w:t>
            </w:r>
          </w:p>
        </w:tc>
      </w:tr>
      <w:tr w:rsidR="00E21A2F" w:rsidRPr="00EC3BD7" w14:paraId="5C726C94" w14:textId="77777777" w:rsidTr="00145F94">
        <w:tc>
          <w:tcPr>
            <w:tcW w:w="4800" w:type="dxa"/>
            <w:gridSpan w:val="2"/>
            <w:tcBorders>
              <w:top w:val="single" w:sz="4" w:space="0" w:color="auto"/>
              <w:bottom w:val="single" w:sz="4" w:space="0" w:color="auto"/>
            </w:tcBorders>
          </w:tcPr>
          <w:p w14:paraId="312F4B54"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b/>
                <w:color w:val="000000"/>
                <w:sz w:val="22"/>
                <w:szCs w:val="22"/>
                <w:lang w:val="et-EE"/>
              </w:rPr>
              <w:t>Uuring AUS01</w:t>
            </w:r>
          </w:p>
        </w:tc>
        <w:tc>
          <w:tcPr>
            <w:tcW w:w="1080" w:type="dxa"/>
            <w:tcBorders>
              <w:top w:val="single" w:sz="4" w:space="0" w:color="auto"/>
              <w:bottom w:val="single" w:sz="4" w:space="0" w:color="auto"/>
            </w:tcBorders>
          </w:tcPr>
          <w:p w14:paraId="7E69907B" w14:textId="77777777" w:rsidR="00E21A2F" w:rsidRPr="00EC3BD7" w:rsidRDefault="00E21A2F" w:rsidP="008B1609">
            <w:pPr>
              <w:pStyle w:val="Table"/>
              <w:keepLines w:val="0"/>
              <w:widowControl w:val="0"/>
              <w:rPr>
                <w:rFonts w:ascii="Times New Roman" w:hAnsi="Times New Roman"/>
                <w:color w:val="000000"/>
                <w:sz w:val="22"/>
                <w:szCs w:val="22"/>
                <w:lang w:val="et-EE"/>
              </w:rPr>
            </w:pPr>
          </w:p>
        </w:tc>
        <w:tc>
          <w:tcPr>
            <w:tcW w:w="1380" w:type="dxa"/>
            <w:tcBorders>
              <w:top w:val="single" w:sz="4" w:space="0" w:color="auto"/>
              <w:bottom w:val="single" w:sz="4" w:space="0" w:color="auto"/>
            </w:tcBorders>
          </w:tcPr>
          <w:p w14:paraId="32D8BD04" w14:textId="77777777" w:rsidR="00E21A2F" w:rsidRPr="00EC3BD7" w:rsidRDefault="00E21A2F" w:rsidP="008B1609">
            <w:pPr>
              <w:pStyle w:val="Table"/>
              <w:keepLines w:val="0"/>
              <w:widowControl w:val="0"/>
              <w:rPr>
                <w:rFonts w:ascii="Times New Roman" w:hAnsi="Times New Roman"/>
                <w:color w:val="000000"/>
                <w:sz w:val="22"/>
                <w:szCs w:val="22"/>
                <w:lang w:val="et-EE"/>
              </w:rPr>
            </w:pPr>
          </w:p>
        </w:tc>
        <w:tc>
          <w:tcPr>
            <w:tcW w:w="1620" w:type="dxa"/>
            <w:tcBorders>
              <w:top w:val="single" w:sz="4" w:space="0" w:color="auto"/>
              <w:bottom w:val="single" w:sz="4" w:space="0" w:color="auto"/>
            </w:tcBorders>
          </w:tcPr>
          <w:p w14:paraId="3FD7FF85" w14:textId="77777777" w:rsidR="00E21A2F" w:rsidRPr="00EC3BD7" w:rsidRDefault="00E21A2F" w:rsidP="008B1609">
            <w:pPr>
              <w:pStyle w:val="Table"/>
              <w:keepLines w:val="0"/>
              <w:widowControl w:val="0"/>
              <w:rPr>
                <w:rFonts w:ascii="Times New Roman" w:hAnsi="Times New Roman"/>
                <w:color w:val="000000"/>
                <w:sz w:val="22"/>
                <w:szCs w:val="22"/>
                <w:lang w:val="et-EE"/>
              </w:rPr>
            </w:pPr>
          </w:p>
        </w:tc>
      </w:tr>
      <w:tr w:rsidR="00E21A2F" w:rsidRPr="005D29F8" w14:paraId="586801D4" w14:textId="77777777" w:rsidTr="00145F94">
        <w:tc>
          <w:tcPr>
            <w:tcW w:w="2148" w:type="dxa"/>
            <w:tcBorders>
              <w:top w:val="single" w:sz="4" w:space="0" w:color="auto"/>
              <w:bottom w:val="single" w:sz="4" w:space="0" w:color="auto"/>
            </w:tcBorders>
          </w:tcPr>
          <w:p w14:paraId="2CBC4CBF"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Induktsioon-konsolidatsioonravi</w:t>
            </w:r>
          </w:p>
        </w:tc>
        <w:tc>
          <w:tcPr>
            <w:tcW w:w="6732" w:type="dxa"/>
            <w:gridSpan w:val="4"/>
            <w:tcBorders>
              <w:top w:val="single" w:sz="4" w:space="0" w:color="auto"/>
              <w:bottom w:val="single" w:sz="4" w:space="0" w:color="auto"/>
            </w:tcBorders>
          </w:tcPr>
          <w:p w14:paraId="4ED91334"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Hüper-CVAD skeem: CP 300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(3 h, q 12 h), päevadel 1</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3;</w:t>
            </w:r>
          </w:p>
          <w:p w14:paraId="78C2873B"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Vinkristiin 2 mg i.v., päevadel 4, 11;</w:t>
            </w:r>
          </w:p>
          <w:p w14:paraId="59CADE5D"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Doksorubitsiin 50 mg/m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(24 h), päev 4;</w:t>
            </w:r>
          </w:p>
          <w:p w14:paraId="56C18068"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DEX 40 mg/päevas päevadel 1</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4 ja 11</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 xml:space="preserve">14, vaheldumisi koos </w:t>
            </w:r>
            <w:smartTag w:uri="urn:schemas-microsoft-com:office:smarttags" w:element="stockticker">
              <w:r w:rsidRPr="00EC3BD7">
                <w:rPr>
                  <w:rFonts w:ascii="Times New Roman" w:hAnsi="Times New Roman"/>
                  <w:color w:val="000000"/>
                  <w:sz w:val="22"/>
                  <w:szCs w:val="22"/>
                  <w:lang w:val="et-EE"/>
                </w:rPr>
                <w:t>MTX</w:t>
              </w:r>
            </w:smartTag>
            <w:r w:rsidRPr="00EC3BD7">
              <w:rPr>
                <w:rFonts w:ascii="Times New Roman" w:hAnsi="Times New Roman"/>
                <w:color w:val="000000"/>
                <w:sz w:val="22"/>
                <w:szCs w:val="22"/>
                <w:lang w:val="et-EE"/>
              </w:rPr>
              <w:t xml:space="preserve"> 1 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(24 h), päev 1, Ara-C 1 g/m</w:t>
            </w:r>
            <w:r w:rsidRPr="00EC3BD7">
              <w:rPr>
                <w:rFonts w:ascii="Times New Roman" w:hAnsi="Times New Roman"/>
                <w:color w:val="000000"/>
                <w:sz w:val="22"/>
                <w:szCs w:val="22"/>
                <w:vertAlign w:val="superscript"/>
                <w:lang w:val="et-EE"/>
              </w:rPr>
              <w:t>2</w:t>
            </w:r>
            <w:r w:rsidRPr="00EC3BD7">
              <w:rPr>
                <w:rFonts w:ascii="Times New Roman" w:hAnsi="Times New Roman"/>
                <w:color w:val="000000"/>
                <w:sz w:val="22"/>
                <w:szCs w:val="22"/>
                <w:lang w:val="et-EE"/>
              </w:rPr>
              <w:t xml:space="preserve"> i.v. (2 h, q 12 h), päevadel 2</w:t>
            </w:r>
            <w:r w:rsidR="00D0680E" w:rsidRPr="00EC3BD7">
              <w:rPr>
                <w:rFonts w:ascii="Times New Roman" w:hAnsi="Times New Roman"/>
                <w:color w:val="000000"/>
                <w:sz w:val="22"/>
                <w:szCs w:val="22"/>
                <w:lang w:val="et-EE"/>
              </w:rPr>
              <w:t>...</w:t>
            </w:r>
            <w:r w:rsidRPr="00EC3BD7">
              <w:rPr>
                <w:rFonts w:ascii="Times New Roman" w:hAnsi="Times New Roman"/>
                <w:color w:val="000000"/>
                <w:sz w:val="22"/>
                <w:szCs w:val="22"/>
                <w:lang w:val="et-EE"/>
              </w:rPr>
              <w:t>3 (kokku 8 tsüklit)</w:t>
            </w:r>
          </w:p>
        </w:tc>
      </w:tr>
      <w:tr w:rsidR="00E21A2F" w:rsidRPr="005D29F8" w14:paraId="14A4572D" w14:textId="77777777" w:rsidTr="00145F94">
        <w:tc>
          <w:tcPr>
            <w:tcW w:w="2148" w:type="dxa"/>
            <w:tcBorders>
              <w:top w:val="single" w:sz="4" w:space="0" w:color="auto"/>
              <w:bottom w:val="single" w:sz="4" w:space="0" w:color="auto"/>
            </w:tcBorders>
          </w:tcPr>
          <w:p w14:paraId="291AF902"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Säilitusravi</w:t>
            </w:r>
          </w:p>
        </w:tc>
        <w:tc>
          <w:tcPr>
            <w:tcW w:w="6732" w:type="dxa"/>
            <w:gridSpan w:val="4"/>
            <w:tcBorders>
              <w:top w:val="single" w:sz="4" w:space="0" w:color="auto"/>
              <w:bottom w:val="single" w:sz="4" w:space="0" w:color="auto"/>
            </w:tcBorders>
          </w:tcPr>
          <w:p w14:paraId="0ACF9726" w14:textId="77777777" w:rsidR="00E21A2F" w:rsidRPr="00EC3BD7" w:rsidRDefault="00E21A2F" w:rsidP="008B1609">
            <w:pPr>
              <w:pStyle w:val="Table"/>
              <w:keepLines w:val="0"/>
              <w:widowControl w:val="0"/>
              <w:rPr>
                <w:rFonts w:ascii="Times New Roman" w:hAnsi="Times New Roman"/>
                <w:color w:val="000000"/>
                <w:sz w:val="22"/>
                <w:szCs w:val="22"/>
                <w:lang w:val="et-EE"/>
              </w:rPr>
            </w:pPr>
            <w:smartTag w:uri="urn:schemas-microsoft-com:office:smarttags" w:element="stockticker">
              <w:r w:rsidRPr="00EC3BD7">
                <w:rPr>
                  <w:rFonts w:ascii="Times New Roman" w:hAnsi="Times New Roman"/>
                  <w:color w:val="000000"/>
                  <w:sz w:val="22"/>
                  <w:szCs w:val="22"/>
                  <w:lang w:val="et-EE"/>
                </w:rPr>
                <w:t>VCR</w:t>
              </w:r>
            </w:smartTag>
            <w:r w:rsidRPr="00EC3BD7">
              <w:rPr>
                <w:rFonts w:ascii="Times New Roman" w:hAnsi="Times New Roman"/>
                <w:color w:val="000000"/>
                <w:sz w:val="22"/>
                <w:szCs w:val="22"/>
                <w:lang w:val="et-EE"/>
              </w:rPr>
              <w:t xml:space="preserve"> 2 mg i.v. igakuiselt 13 kuu jooksul;</w:t>
            </w:r>
          </w:p>
          <w:p w14:paraId="58E642FA"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Prednisoloon 200 mg suukaudselt, 5 päeva kuus 13 kuu jooksul</w:t>
            </w:r>
          </w:p>
        </w:tc>
      </w:tr>
      <w:tr w:rsidR="00E21A2F" w:rsidRPr="00EC3BD7" w14:paraId="46F8044E" w14:textId="77777777" w:rsidTr="00145F94">
        <w:tc>
          <w:tcPr>
            <w:tcW w:w="8880" w:type="dxa"/>
            <w:gridSpan w:val="5"/>
            <w:tcBorders>
              <w:top w:val="single" w:sz="4" w:space="0" w:color="auto"/>
              <w:bottom w:val="single" w:sz="4" w:space="0" w:color="auto"/>
            </w:tcBorders>
          </w:tcPr>
          <w:p w14:paraId="7FB11177"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 xml:space="preserve">Kõikides raviskeemides on kasutusel steroidid </w:t>
            </w:r>
            <w:smartTag w:uri="urn:schemas-microsoft-com:office:smarttags" w:element="stockticker">
              <w:r w:rsidRPr="00EC3BD7">
                <w:rPr>
                  <w:rFonts w:ascii="Times New Roman" w:hAnsi="Times New Roman"/>
                  <w:color w:val="000000"/>
                  <w:sz w:val="22"/>
                  <w:szCs w:val="22"/>
                  <w:lang w:val="et-EE"/>
                </w:rPr>
                <w:t>CNS</w:t>
              </w:r>
            </w:smartTag>
            <w:r w:rsidRPr="00EC3BD7">
              <w:rPr>
                <w:rFonts w:ascii="Times New Roman" w:hAnsi="Times New Roman"/>
                <w:color w:val="000000"/>
                <w:sz w:val="22"/>
                <w:szCs w:val="22"/>
                <w:lang w:val="et-EE"/>
              </w:rPr>
              <w:t xml:space="preserve"> profülaktikaks.</w:t>
            </w:r>
          </w:p>
        </w:tc>
      </w:tr>
      <w:tr w:rsidR="00E21A2F" w:rsidRPr="00EC3BD7" w14:paraId="690BC04A" w14:textId="77777777" w:rsidTr="00145F94">
        <w:tc>
          <w:tcPr>
            <w:tcW w:w="8880" w:type="dxa"/>
            <w:gridSpan w:val="5"/>
            <w:tcBorders>
              <w:top w:val="single" w:sz="4" w:space="0" w:color="auto"/>
              <w:bottom w:val="single" w:sz="4" w:space="0" w:color="auto"/>
            </w:tcBorders>
          </w:tcPr>
          <w:p w14:paraId="33CA0AC4" w14:textId="77777777" w:rsidR="00E21A2F" w:rsidRPr="00EC3BD7" w:rsidRDefault="00E21A2F" w:rsidP="008B1609">
            <w:pPr>
              <w:pStyle w:val="Table"/>
              <w:keepNext w:val="0"/>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 xml:space="preserve">Ara-C: tsütosiinarabinosiid; CP: tsüklofosfamiid; DEX: deksametasoon; </w:t>
            </w:r>
            <w:smartTag w:uri="urn:schemas-microsoft-com:office:smarttags" w:element="stockticker">
              <w:r w:rsidRPr="00EC3BD7">
                <w:rPr>
                  <w:rFonts w:ascii="Times New Roman" w:hAnsi="Times New Roman"/>
                  <w:color w:val="000000"/>
                  <w:sz w:val="22"/>
                  <w:szCs w:val="22"/>
                  <w:lang w:val="et-EE"/>
                </w:rPr>
                <w:t>MTX</w:t>
              </w:r>
            </w:smartTag>
            <w:r w:rsidRPr="00EC3BD7">
              <w:rPr>
                <w:rFonts w:ascii="Times New Roman" w:hAnsi="Times New Roman"/>
                <w:color w:val="000000"/>
                <w:sz w:val="22"/>
                <w:szCs w:val="22"/>
                <w:lang w:val="et-EE"/>
              </w:rPr>
              <w:t xml:space="preserve">: metotreksaat; 6-MP: 6-merkaptopuriin; VM26: teniposiid; </w:t>
            </w:r>
            <w:smartTag w:uri="urn:schemas-microsoft-com:office:smarttags" w:element="stockticker">
              <w:r w:rsidRPr="00EC3BD7">
                <w:rPr>
                  <w:rFonts w:ascii="Times New Roman" w:hAnsi="Times New Roman"/>
                  <w:color w:val="000000"/>
                  <w:sz w:val="22"/>
                  <w:szCs w:val="22"/>
                  <w:lang w:val="et-EE"/>
                </w:rPr>
                <w:t>VCR</w:t>
              </w:r>
            </w:smartTag>
            <w:r w:rsidRPr="00EC3BD7">
              <w:rPr>
                <w:rFonts w:ascii="Times New Roman" w:hAnsi="Times New Roman"/>
                <w:color w:val="000000"/>
                <w:sz w:val="22"/>
                <w:szCs w:val="22"/>
                <w:lang w:val="et-EE"/>
              </w:rPr>
              <w:t xml:space="preserve">: vinkristiin; </w:t>
            </w:r>
            <w:smartTag w:uri="urn:schemas-microsoft-com:office:smarttags" w:element="stockticker">
              <w:r w:rsidRPr="00EC3BD7">
                <w:rPr>
                  <w:rFonts w:ascii="Times New Roman" w:hAnsi="Times New Roman"/>
                  <w:color w:val="000000"/>
                  <w:sz w:val="22"/>
                  <w:szCs w:val="22"/>
                  <w:lang w:val="et-EE"/>
                </w:rPr>
                <w:t>IDA</w:t>
              </w:r>
            </w:smartTag>
            <w:r w:rsidRPr="00EC3BD7">
              <w:rPr>
                <w:rFonts w:ascii="Times New Roman" w:hAnsi="Times New Roman"/>
                <w:color w:val="000000"/>
                <w:sz w:val="22"/>
                <w:szCs w:val="22"/>
                <w:lang w:val="et-EE"/>
              </w:rPr>
              <w:t>: idarubitsiin; i.v.: intravenoosne</w:t>
            </w:r>
          </w:p>
        </w:tc>
      </w:tr>
    </w:tbl>
    <w:p w14:paraId="02DCD4D7" w14:textId="77777777" w:rsidR="00E21A2F" w:rsidRPr="00EC3BD7" w:rsidRDefault="00E21A2F" w:rsidP="00E21A2F">
      <w:pPr>
        <w:pStyle w:val="EndnoteText"/>
        <w:widowControl w:val="0"/>
        <w:rPr>
          <w:color w:val="000000"/>
          <w:szCs w:val="22"/>
          <w:lang w:val="et-EE"/>
        </w:rPr>
      </w:pPr>
    </w:p>
    <w:p w14:paraId="6CDDFC8B" w14:textId="583D48CC" w:rsidR="00E21A2F" w:rsidRPr="00EC3BD7" w:rsidRDefault="00E21A2F" w:rsidP="00E21A2F">
      <w:pPr>
        <w:pStyle w:val="EndnoteText"/>
        <w:widowControl w:val="0"/>
        <w:rPr>
          <w:color w:val="000000"/>
          <w:lang w:val="et-EE"/>
        </w:rPr>
      </w:pPr>
      <w:r w:rsidRPr="00EC3BD7">
        <w:rPr>
          <w:i/>
          <w:color w:val="000000"/>
          <w:lang w:val="et-EE"/>
        </w:rPr>
        <w:t>Lapspatsiendid</w:t>
      </w:r>
      <w:r w:rsidRPr="00EC3BD7">
        <w:rPr>
          <w:color w:val="000000"/>
          <w:lang w:val="et-EE"/>
        </w:rPr>
        <w:t>:</w:t>
      </w:r>
      <w:r w:rsidRPr="00EC3BD7">
        <w:rPr>
          <w:lang w:val="et-EE"/>
        </w:rPr>
        <w:t xml:space="preserve"> Uuringus I2301 (avatud mitmekeskuseline järjestikuste kohortidega mitterandomiseeritud III faasi uuring) osales kokku 93 Ph+ ALL–ga last, noorukit ja noort täiskasvanut (vanuses 1 kuni 22 aastat), kes said Glivecit (340 mg/m</w:t>
      </w:r>
      <w:r w:rsidRPr="00EC3BD7">
        <w:rPr>
          <w:vertAlign w:val="superscript"/>
          <w:lang w:val="et-EE"/>
        </w:rPr>
        <w:t>2</w:t>
      </w:r>
      <w:r w:rsidRPr="00EC3BD7">
        <w:rPr>
          <w:lang w:val="et-EE"/>
        </w:rPr>
        <w:t>/ööpäev) kombinatsioonis intensiivse kemoteraapiaga pärast induktsioonravi. Glivecit manustati kohortides 1</w:t>
      </w:r>
      <w:r w:rsidR="00D0680E" w:rsidRPr="00EC3BD7">
        <w:rPr>
          <w:lang w:val="et-EE"/>
        </w:rPr>
        <w:t>...</w:t>
      </w:r>
      <w:r w:rsidRPr="00EC3BD7">
        <w:rPr>
          <w:lang w:val="et-EE"/>
        </w:rPr>
        <w:t xml:space="preserve">5 vahelduvalt, kusjuures Gliveciga ravi kestus oli kohortides järjest pikem ja ravi algus varajasem; kohort 1 sai kõige väiksema ja kohort 5 kõige suurema intensiivsusega Glivec-ravi (kõige pikem pideva ööpäevase annusega Glivec-ravi kestus päevades esimese kemoteraapiakuuri ajal). Pidev ööpäevane Gliveci ekspositsioon koos kemoteraapiaga ravi algfaasis parandas kohort 5 patsientidel (n=50) 4-aastast tüsistustevaba elulemust võrreldes varasema kontrollrühmaga (n=120), kes said standardset kemoteraapiat ilma Glivecita (vastavalt 69,9% </w:t>
      </w:r>
      <w:r w:rsidRPr="00EC3BD7">
        <w:rPr>
          <w:i/>
          <w:lang w:val="et-EE"/>
        </w:rPr>
        <w:t>vs.</w:t>
      </w:r>
      <w:r w:rsidRPr="00EC3BD7">
        <w:rPr>
          <w:lang w:val="et-EE"/>
        </w:rPr>
        <w:t xml:space="preserve"> 31,6%). 4 aasta eeldatav üldine elulemus kohort 5 patsientide hulgas oli 83,6% võrreldes 44,8%-ga varasemas kontrollrühmas. Kohort 5-s said 20 patsienti 50-st (40%) hematopoeetiliste tüvirakkude siirdamist.</w:t>
      </w:r>
    </w:p>
    <w:p w14:paraId="1B2E426F" w14:textId="77777777" w:rsidR="00E21A2F" w:rsidRPr="00EC3BD7" w:rsidRDefault="00E21A2F" w:rsidP="00E21A2F">
      <w:pPr>
        <w:pStyle w:val="EndnoteText"/>
        <w:widowControl w:val="0"/>
        <w:rPr>
          <w:color w:val="000000"/>
          <w:lang w:val="et-EE"/>
        </w:rPr>
      </w:pPr>
    </w:p>
    <w:p w14:paraId="58B74FF3" w14:textId="77777777" w:rsidR="00E21A2F" w:rsidRPr="00EC3BD7" w:rsidRDefault="00E21A2F" w:rsidP="00B9089D">
      <w:pPr>
        <w:pStyle w:val="EndnoteText"/>
        <w:keepNext/>
        <w:widowControl w:val="0"/>
        <w:tabs>
          <w:tab w:val="clear" w:pos="567"/>
        </w:tabs>
        <w:ind w:left="1134" w:hanging="1134"/>
        <w:rPr>
          <w:b/>
          <w:color w:val="000000"/>
          <w:lang w:val="et-EE"/>
        </w:rPr>
      </w:pPr>
      <w:r w:rsidRPr="00EC3BD7">
        <w:rPr>
          <w:b/>
          <w:color w:val="000000"/>
          <w:lang w:val="et-EE"/>
        </w:rPr>
        <w:t>Tabel </w:t>
      </w:r>
      <w:r w:rsidR="008F4DAA" w:rsidRPr="00EC3BD7">
        <w:rPr>
          <w:b/>
          <w:color w:val="000000"/>
          <w:lang w:val="et-EE"/>
        </w:rPr>
        <w:t>5</w:t>
      </w:r>
      <w:r w:rsidRPr="00EC3BD7">
        <w:rPr>
          <w:b/>
          <w:color w:val="000000"/>
          <w:lang w:val="et-EE"/>
        </w:rPr>
        <w:tab/>
        <w:t>Kemoteraapia raviskeem kasutamisel koos imatiniibiga uuringus I2301</w:t>
      </w:r>
    </w:p>
    <w:p w14:paraId="0B82FCE4" w14:textId="77777777" w:rsidR="00E21A2F" w:rsidRPr="00EC3BD7" w:rsidRDefault="00E21A2F" w:rsidP="00B9089D">
      <w:pPr>
        <w:pStyle w:val="EndnoteText"/>
        <w:keepNext/>
        <w:widowControl w:val="0"/>
        <w:rPr>
          <w:color w:val="000000"/>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703"/>
      </w:tblGrid>
      <w:tr w:rsidR="00E21A2F" w:rsidRPr="005D29F8" w14:paraId="7EFD9F21" w14:textId="77777777" w:rsidTr="00F53D51">
        <w:trPr>
          <w:cantSplit/>
        </w:trPr>
        <w:tc>
          <w:tcPr>
            <w:tcW w:w="2358" w:type="dxa"/>
            <w:shd w:val="clear" w:color="auto" w:fill="auto"/>
          </w:tcPr>
          <w:p w14:paraId="3B2C619D" w14:textId="77777777" w:rsidR="00E21A2F" w:rsidRPr="00EC3BD7" w:rsidRDefault="00E21A2F" w:rsidP="00145F94">
            <w:pPr>
              <w:pStyle w:val="EndnoteText"/>
              <w:widowControl w:val="0"/>
              <w:rPr>
                <w:color w:val="000000"/>
                <w:lang w:val="et-EE"/>
              </w:rPr>
            </w:pPr>
            <w:r w:rsidRPr="00EC3BD7">
              <w:rPr>
                <w:color w:val="000000"/>
                <w:lang w:val="et-EE"/>
              </w:rPr>
              <w:t>Konsolidatsioonirühm 1</w:t>
            </w:r>
          </w:p>
          <w:p w14:paraId="30A99303" w14:textId="77777777" w:rsidR="00E21A2F" w:rsidRPr="00EC3BD7" w:rsidRDefault="00E21A2F" w:rsidP="00145F94">
            <w:pPr>
              <w:pStyle w:val="EndnoteText"/>
              <w:widowControl w:val="0"/>
              <w:rPr>
                <w:color w:val="000000"/>
                <w:lang w:val="et-EE"/>
              </w:rPr>
            </w:pPr>
            <w:r w:rsidRPr="00EC3BD7">
              <w:rPr>
                <w:color w:val="000000"/>
                <w:lang w:val="et-EE"/>
              </w:rPr>
              <w:t>(3 nädalat)</w:t>
            </w:r>
          </w:p>
        </w:tc>
        <w:tc>
          <w:tcPr>
            <w:tcW w:w="6929" w:type="dxa"/>
            <w:shd w:val="clear" w:color="auto" w:fill="auto"/>
          </w:tcPr>
          <w:p w14:paraId="74799ECC" w14:textId="77777777" w:rsidR="00E21A2F" w:rsidRPr="00EC3BD7" w:rsidRDefault="00E21A2F" w:rsidP="00145F94">
            <w:pPr>
              <w:pStyle w:val="EndnoteText"/>
              <w:widowControl w:val="0"/>
              <w:rPr>
                <w:color w:val="000000"/>
                <w:lang w:val="et-EE"/>
              </w:rPr>
            </w:pPr>
            <w:r w:rsidRPr="00EC3BD7">
              <w:rPr>
                <w:color w:val="000000"/>
                <w:lang w:val="et-EE"/>
              </w:rPr>
              <w:t>VP-16 (100 mg/m</w:t>
            </w:r>
            <w:r w:rsidRPr="00EC3BD7">
              <w:rPr>
                <w:color w:val="000000"/>
                <w:vertAlign w:val="superscript"/>
                <w:lang w:val="et-EE"/>
              </w:rPr>
              <w:t>2</w:t>
            </w:r>
            <w:r w:rsidRPr="00EC3BD7">
              <w:rPr>
                <w:color w:val="000000"/>
                <w:lang w:val="et-EE"/>
              </w:rPr>
              <w:t>/ööpäev, IV): päevadel 1</w:t>
            </w:r>
            <w:r w:rsidR="00D0680E" w:rsidRPr="00EC3BD7">
              <w:rPr>
                <w:color w:val="000000"/>
                <w:lang w:val="et-EE"/>
              </w:rPr>
              <w:t>…</w:t>
            </w:r>
            <w:r w:rsidRPr="00EC3BD7">
              <w:rPr>
                <w:color w:val="000000"/>
                <w:lang w:val="et-EE"/>
              </w:rPr>
              <w:t>5</w:t>
            </w:r>
          </w:p>
          <w:p w14:paraId="78CDE799" w14:textId="77777777" w:rsidR="00E21A2F" w:rsidRPr="00EC3BD7" w:rsidRDefault="00E21A2F" w:rsidP="00145F94">
            <w:pPr>
              <w:pStyle w:val="EndnoteText"/>
              <w:widowControl w:val="0"/>
              <w:rPr>
                <w:color w:val="000000"/>
                <w:lang w:val="et-EE"/>
              </w:rPr>
            </w:pPr>
            <w:r w:rsidRPr="00EC3BD7">
              <w:rPr>
                <w:color w:val="000000"/>
                <w:lang w:val="et-EE"/>
              </w:rPr>
              <w:t>Ifosfamiid (1,8 g/m</w:t>
            </w:r>
            <w:r w:rsidRPr="00EC3BD7">
              <w:rPr>
                <w:color w:val="000000"/>
                <w:vertAlign w:val="superscript"/>
                <w:lang w:val="et-EE"/>
              </w:rPr>
              <w:t>2</w:t>
            </w:r>
            <w:r w:rsidRPr="00EC3BD7">
              <w:rPr>
                <w:color w:val="000000"/>
                <w:lang w:val="et-EE"/>
              </w:rPr>
              <w:t>/ööpäev, IV): päevadel 1</w:t>
            </w:r>
            <w:r w:rsidR="00D0680E" w:rsidRPr="00EC3BD7">
              <w:rPr>
                <w:color w:val="000000"/>
                <w:lang w:val="et-EE"/>
              </w:rPr>
              <w:t>…</w:t>
            </w:r>
            <w:r w:rsidRPr="00EC3BD7">
              <w:rPr>
                <w:color w:val="000000"/>
                <w:lang w:val="et-EE"/>
              </w:rPr>
              <w:t>5</w:t>
            </w:r>
          </w:p>
          <w:p w14:paraId="0E3AE394" w14:textId="77777777" w:rsidR="00E21A2F" w:rsidRPr="00EC3BD7" w:rsidRDefault="00E21A2F" w:rsidP="00145F94">
            <w:pPr>
              <w:pStyle w:val="EndnoteText"/>
              <w:widowControl w:val="0"/>
              <w:rPr>
                <w:color w:val="000000"/>
                <w:lang w:val="et-EE"/>
              </w:rPr>
            </w:pPr>
            <w:r w:rsidRPr="00EC3BD7">
              <w:rPr>
                <w:color w:val="000000"/>
                <w:lang w:val="et-EE"/>
              </w:rPr>
              <w:t>MESNA (360 mg/m</w:t>
            </w:r>
            <w:r w:rsidRPr="00EC3BD7">
              <w:rPr>
                <w:color w:val="000000"/>
                <w:vertAlign w:val="superscript"/>
                <w:lang w:val="et-EE"/>
              </w:rPr>
              <w:t>2</w:t>
            </w:r>
            <w:r w:rsidRPr="00EC3BD7">
              <w:rPr>
                <w:color w:val="000000"/>
                <w:lang w:val="et-EE"/>
              </w:rPr>
              <w:t>/annus q3h, x 8 annust/ööpäevas, IV): päevadel 1</w:t>
            </w:r>
            <w:r w:rsidR="00D0680E" w:rsidRPr="00EC3BD7">
              <w:rPr>
                <w:color w:val="000000"/>
                <w:lang w:val="et-EE"/>
              </w:rPr>
              <w:t>…</w:t>
            </w:r>
            <w:r w:rsidRPr="00EC3BD7">
              <w:rPr>
                <w:color w:val="000000"/>
                <w:lang w:val="et-EE"/>
              </w:rPr>
              <w:t>5</w:t>
            </w:r>
          </w:p>
          <w:p w14:paraId="04395626" w14:textId="77777777" w:rsidR="00E21A2F" w:rsidRPr="00EC3BD7" w:rsidRDefault="00E21A2F" w:rsidP="00145F94">
            <w:pPr>
              <w:pStyle w:val="EndnoteText"/>
              <w:widowControl w:val="0"/>
              <w:rPr>
                <w:color w:val="000000"/>
                <w:lang w:val="et-EE"/>
              </w:rPr>
            </w:pPr>
            <w:r w:rsidRPr="00EC3BD7">
              <w:rPr>
                <w:color w:val="000000"/>
                <w:lang w:val="et-EE"/>
              </w:rPr>
              <w:t>G-CSF (5 μg/kg, SC): päevadel 6</w:t>
            </w:r>
            <w:r w:rsidR="00D0680E" w:rsidRPr="00EC3BD7">
              <w:rPr>
                <w:color w:val="000000"/>
                <w:lang w:val="et-EE"/>
              </w:rPr>
              <w:t>…</w:t>
            </w:r>
            <w:r w:rsidRPr="00EC3BD7">
              <w:rPr>
                <w:color w:val="000000"/>
                <w:lang w:val="et-EE"/>
              </w:rPr>
              <w:t>15 või kuni neutrofiilide absoluutarv &gt;1500 üle minimaalse väärtuse</w:t>
            </w:r>
          </w:p>
          <w:p w14:paraId="26AA97D1" w14:textId="77777777" w:rsidR="00E21A2F" w:rsidRPr="00EC3BD7" w:rsidRDefault="00E21A2F" w:rsidP="00145F94">
            <w:pPr>
              <w:pStyle w:val="EndnoteText"/>
              <w:widowControl w:val="0"/>
              <w:rPr>
                <w:color w:val="000000"/>
                <w:lang w:val="et-EE"/>
              </w:rPr>
            </w:pPr>
            <w:r w:rsidRPr="00EC3BD7">
              <w:rPr>
                <w:color w:val="000000"/>
                <w:lang w:val="et-EE"/>
              </w:rPr>
              <w:t>IT metotreksaat (vanusele kohandatud): AINULT 1. päeval</w:t>
            </w:r>
          </w:p>
          <w:p w14:paraId="798F069D" w14:textId="77777777" w:rsidR="00E21A2F" w:rsidRPr="00EC3BD7" w:rsidRDefault="00E21A2F" w:rsidP="00145F94">
            <w:pPr>
              <w:pStyle w:val="EndnoteText"/>
              <w:widowControl w:val="0"/>
              <w:rPr>
                <w:color w:val="000000"/>
                <w:lang w:val="et-EE"/>
              </w:rPr>
            </w:pPr>
            <w:r w:rsidRPr="00EC3BD7">
              <w:rPr>
                <w:color w:val="000000"/>
                <w:lang w:val="et-EE"/>
              </w:rPr>
              <w:t>Kolmekordne IT ravi (vanusele kohandatud): päevadel 8, 15</w:t>
            </w:r>
          </w:p>
        </w:tc>
      </w:tr>
      <w:tr w:rsidR="00E21A2F" w:rsidRPr="005D29F8" w14:paraId="2D0E854A" w14:textId="77777777" w:rsidTr="00F53D51">
        <w:trPr>
          <w:cantSplit/>
        </w:trPr>
        <w:tc>
          <w:tcPr>
            <w:tcW w:w="2358" w:type="dxa"/>
            <w:shd w:val="clear" w:color="auto" w:fill="auto"/>
          </w:tcPr>
          <w:p w14:paraId="62CEBCFB" w14:textId="77777777" w:rsidR="00E21A2F" w:rsidRPr="00EC3BD7" w:rsidRDefault="00E21A2F" w:rsidP="00145F94">
            <w:pPr>
              <w:pStyle w:val="EndnoteText"/>
              <w:widowControl w:val="0"/>
              <w:rPr>
                <w:color w:val="000000"/>
                <w:lang w:val="et-EE"/>
              </w:rPr>
            </w:pPr>
            <w:r w:rsidRPr="00EC3BD7">
              <w:rPr>
                <w:color w:val="000000"/>
                <w:lang w:val="et-EE"/>
              </w:rPr>
              <w:t>Konsolidatsioonirühm 2</w:t>
            </w:r>
          </w:p>
          <w:p w14:paraId="3034DD19" w14:textId="77777777" w:rsidR="00E21A2F" w:rsidRPr="00EC3BD7" w:rsidRDefault="00E21A2F" w:rsidP="00145F94">
            <w:pPr>
              <w:pStyle w:val="EndnoteText"/>
              <w:widowControl w:val="0"/>
              <w:rPr>
                <w:color w:val="000000"/>
                <w:lang w:val="et-EE"/>
              </w:rPr>
            </w:pPr>
            <w:r w:rsidRPr="00EC3BD7">
              <w:rPr>
                <w:color w:val="000000"/>
                <w:lang w:val="et-EE"/>
              </w:rPr>
              <w:t>(3 nädalat)</w:t>
            </w:r>
          </w:p>
        </w:tc>
        <w:tc>
          <w:tcPr>
            <w:tcW w:w="6929" w:type="dxa"/>
            <w:shd w:val="clear" w:color="auto" w:fill="auto"/>
          </w:tcPr>
          <w:p w14:paraId="7712E1D8" w14:textId="77777777" w:rsidR="00E21A2F" w:rsidRPr="00EC3BD7" w:rsidRDefault="00E21A2F" w:rsidP="00145F94">
            <w:pPr>
              <w:pStyle w:val="EndnoteText"/>
              <w:widowControl w:val="0"/>
              <w:rPr>
                <w:color w:val="000000"/>
                <w:lang w:val="et-EE"/>
              </w:rPr>
            </w:pPr>
            <w:r w:rsidRPr="00EC3BD7">
              <w:rPr>
                <w:color w:val="000000"/>
                <w:lang w:val="et-EE"/>
              </w:rPr>
              <w:t>Metotreksaat (5 g/m</w:t>
            </w:r>
            <w:r w:rsidRPr="00EC3BD7">
              <w:rPr>
                <w:color w:val="000000"/>
                <w:vertAlign w:val="superscript"/>
                <w:lang w:val="et-EE"/>
              </w:rPr>
              <w:t>2</w:t>
            </w:r>
            <w:r w:rsidRPr="00EC3BD7">
              <w:rPr>
                <w:color w:val="000000"/>
                <w:lang w:val="et-EE"/>
              </w:rPr>
              <w:t xml:space="preserve"> 24 tunni jooksul, IV): 1. päeval</w:t>
            </w:r>
          </w:p>
          <w:p w14:paraId="2A6F0C8A" w14:textId="77777777" w:rsidR="00E21A2F" w:rsidRPr="00EC3BD7" w:rsidRDefault="00E21A2F" w:rsidP="00145F94">
            <w:pPr>
              <w:pStyle w:val="EndnoteText"/>
              <w:widowControl w:val="0"/>
              <w:rPr>
                <w:color w:val="000000"/>
                <w:lang w:val="et-EE"/>
              </w:rPr>
            </w:pPr>
            <w:r w:rsidRPr="00EC3BD7">
              <w:rPr>
                <w:color w:val="000000"/>
                <w:lang w:val="et-EE"/>
              </w:rPr>
              <w:t>Leukovoriin (75 mg/m</w:t>
            </w:r>
            <w:r w:rsidRPr="00EC3BD7">
              <w:rPr>
                <w:color w:val="000000"/>
                <w:vertAlign w:val="superscript"/>
                <w:lang w:val="et-EE"/>
              </w:rPr>
              <w:t>2</w:t>
            </w:r>
            <w:r w:rsidRPr="00EC3BD7">
              <w:rPr>
                <w:color w:val="000000"/>
                <w:lang w:val="et-EE"/>
              </w:rPr>
              <w:t xml:space="preserve"> 36. tunnil, IV; 15 mg/m</w:t>
            </w:r>
            <w:r w:rsidRPr="00EC3BD7">
              <w:rPr>
                <w:color w:val="000000"/>
                <w:vertAlign w:val="superscript"/>
                <w:lang w:val="et-EE"/>
              </w:rPr>
              <w:t>2</w:t>
            </w:r>
            <w:r w:rsidRPr="00EC3BD7">
              <w:rPr>
                <w:color w:val="000000"/>
                <w:lang w:val="et-EE"/>
              </w:rPr>
              <w:t xml:space="preserve"> IV või PO q6h x 6 annust)iii: päevadel 2 ja 3</w:t>
            </w:r>
          </w:p>
          <w:p w14:paraId="0140C15C" w14:textId="77777777" w:rsidR="00E21A2F" w:rsidRPr="00EC3BD7" w:rsidRDefault="00E21A2F" w:rsidP="00145F94">
            <w:pPr>
              <w:pStyle w:val="EndnoteText"/>
              <w:widowControl w:val="0"/>
              <w:rPr>
                <w:color w:val="000000"/>
                <w:lang w:val="et-EE"/>
              </w:rPr>
            </w:pPr>
            <w:r w:rsidRPr="00EC3BD7">
              <w:rPr>
                <w:color w:val="000000"/>
                <w:lang w:val="et-EE"/>
              </w:rPr>
              <w:t>Kolmekordne IT ravi (vanusele kohandatud): 1. päeval</w:t>
            </w:r>
          </w:p>
          <w:p w14:paraId="2C4694E1" w14:textId="77777777" w:rsidR="00E21A2F" w:rsidRPr="00EC3BD7" w:rsidRDefault="00E21A2F" w:rsidP="00145F94">
            <w:pPr>
              <w:pStyle w:val="EndnoteText"/>
              <w:widowControl w:val="0"/>
              <w:rPr>
                <w:color w:val="000000"/>
                <w:lang w:val="et-EE"/>
              </w:rPr>
            </w:pPr>
            <w:r w:rsidRPr="00EC3BD7">
              <w:rPr>
                <w:color w:val="000000"/>
                <w:lang w:val="et-EE"/>
              </w:rPr>
              <w:t>ARA-C (3 g/m</w:t>
            </w:r>
            <w:r w:rsidRPr="00EC3BD7">
              <w:rPr>
                <w:color w:val="000000"/>
                <w:vertAlign w:val="superscript"/>
                <w:lang w:val="et-EE"/>
              </w:rPr>
              <w:t>2</w:t>
            </w:r>
            <w:r w:rsidRPr="00EC3BD7">
              <w:rPr>
                <w:color w:val="000000"/>
                <w:lang w:val="et-EE"/>
              </w:rPr>
              <w:t>/annus q 12 h x 4, IV): päevadel 2 ja 3</w:t>
            </w:r>
          </w:p>
          <w:p w14:paraId="2ACA46E5" w14:textId="77777777" w:rsidR="00E21A2F" w:rsidRPr="00EC3BD7" w:rsidRDefault="00E21A2F" w:rsidP="003C71AD">
            <w:pPr>
              <w:pStyle w:val="EndnoteText"/>
              <w:widowControl w:val="0"/>
              <w:rPr>
                <w:color w:val="000000"/>
                <w:lang w:val="et-EE"/>
              </w:rPr>
            </w:pPr>
            <w:r w:rsidRPr="00EC3BD7">
              <w:rPr>
                <w:color w:val="000000"/>
                <w:lang w:val="et-EE"/>
              </w:rPr>
              <w:t>G-CSF (5 μg/kg, SC): päevadel 4</w:t>
            </w:r>
            <w:r w:rsidR="003C71AD" w:rsidRPr="00EC3BD7">
              <w:rPr>
                <w:color w:val="000000"/>
                <w:lang w:val="et-EE"/>
              </w:rPr>
              <w:t>…</w:t>
            </w:r>
            <w:r w:rsidRPr="00EC3BD7">
              <w:rPr>
                <w:color w:val="000000"/>
                <w:lang w:val="et-EE"/>
              </w:rPr>
              <w:t>13 või kuni neutrofiilide absoluutarv &gt;1500 üle nadiirväärtuse</w:t>
            </w:r>
          </w:p>
        </w:tc>
      </w:tr>
      <w:tr w:rsidR="00E21A2F" w:rsidRPr="005D29F8" w14:paraId="2BD2EA14" w14:textId="77777777" w:rsidTr="00F53D51">
        <w:trPr>
          <w:cantSplit/>
        </w:trPr>
        <w:tc>
          <w:tcPr>
            <w:tcW w:w="2358" w:type="dxa"/>
            <w:shd w:val="clear" w:color="auto" w:fill="auto"/>
          </w:tcPr>
          <w:p w14:paraId="211C2BA8" w14:textId="77777777" w:rsidR="00E21A2F" w:rsidRPr="00EC3BD7" w:rsidRDefault="00E21A2F" w:rsidP="00145F94">
            <w:pPr>
              <w:pStyle w:val="EndnoteText"/>
              <w:widowControl w:val="0"/>
              <w:rPr>
                <w:color w:val="000000"/>
                <w:lang w:val="et-EE"/>
              </w:rPr>
            </w:pPr>
            <w:r w:rsidRPr="00EC3BD7">
              <w:rPr>
                <w:color w:val="000000"/>
                <w:lang w:val="et-EE"/>
              </w:rPr>
              <w:lastRenderedPageBreak/>
              <w:t>Reinduktsioonirühm 1</w:t>
            </w:r>
          </w:p>
          <w:p w14:paraId="50C39DF7" w14:textId="77777777" w:rsidR="00E21A2F" w:rsidRPr="00EC3BD7" w:rsidRDefault="00E21A2F" w:rsidP="00145F94">
            <w:pPr>
              <w:pStyle w:val="EndnoteText"/>
              <w:widowControl w:val="0"/>
              <w:rPr>
                <w:color w:val="000000"/>
                <w:lang w:val="et-EE"/>
              </w:rPr>
            </w:pPr>
            <w:r w:rsidRPr="00EC3BD7">
              <w:rPr>
                <w:color w:val="000000"/>
                <w:lang w:val="et-EE"/>
              </w:rPr>
              <w:t>(3 nädalat)</w:t>
            </w:r>
          </w:p>
        </w:tc>
        <w:tc>
          <w:tcPr>
            <w:tcW w:w="6929" w:type="dxa"/>
            <w:shd w:val="clear" w:color="auto" w:fill="auto"/>
          </w:tcPr>
          <w:p w14:paraId="7B8FEB53" w14:textId="77777777" w:rsidR="00E21A2F" w:rsidRPr="00EC3BD7" w:rsidRDefault="00E21A2F" w:rsidP="00145F94">
            <w:pPr>
              <w:pStyle w:val="EndnoteText"/>
              <w:widowControl w:val="0"/>
              <w:rPr>
                <w:color w:val="000000"/>
                <w:lang w:val="et-EE"/>
              </w:rPr>
            </w:pPr>
            <w:r w:rsidRPr="00EC3BD7">
              <w:rPr>
                <w:color w:val="000000"/>
                <w:lang w:val="et-EE"/>
              </w:rPr>
              <w:t>VCR (1,5 mg/m</w:t>
            </w:r>
            <w:r w:rsidRPr="00EC3BD7">
              <w:rPr>
                <w:color w:val="000000"/>
                <w:vertAlign w:val="superscript"/>
                <w:lang w:val="et-EE"/>
              </w:rPr>
              <w:t>2</w:t>
            </w:r>
            <w:r w:rsidRPr="00EC3BD7">
              <w:rPr>
                <w:color w:val="000000"/>
                <w:lang w:val="et-EE"/>
              </w:rPr>
              <w:t>/ööpäev, IV): päevadel 1, 8 ja 15</w:t>
            </w:r>
          </w:p>
          <w:p w14:paraId="5B43C889" w14:textId="77777777" w:rsidR="00E21A2F" w:rsidRPr="00EC3BD7" w:rsidRDefault="00E21A2F" w:rsidP="00145F94">
            <w:pPr>
              <w:pStyle w:val="EndnoteText"/>
              <w:widowControl w:val="0"/>
              <w:rPr>
                <w:color w:val="000000"/>
                <w:lang w:val="et-EE"/>
              </w:rPr>
            </w:pPr>
            <w:r w:rsidRPr="00EC3BD7">
              <w:rPr>
                <w:color w:val="000000"/>
                <w:lang w:val="et-EE"/>
              </w:rPr>
              <w:t>DAUN (45 mg/m</w:t>
            </w:r>
            <w:r w:rsidRPr="00EC3BD7">
              <w:rPr>
                <w:color w:val="000000"/>
                <w:vertAlign w:val="superscript"/>
                <w:lang w:val="et-EE"/>
              </w:rPr>
              <w:t>2</w:t>
            </w:r>
            <w:r w:rsidRPr="00EC3BD7">
              <w:rPr>
                <w:color w:val="000000"/>
                <w:lang w:val="et-EE"/>
              </w:rPr>
              <w:t>/ööpäev boolusena, IV): päevadel 1 ja 2</w:t>
            </w:r>
          </w:p>
          <w:p w14:paraId="52711380" w14:textId="77777777" w:rsidR="00E21A2F" w:rsidRPr="00EC3BD7" w:rsidRDefault="00E21A2F" w:rsidP="00145F94">
            <w:pPr>
              <w:pStyle w:val="EndnoteText"/>
              <w:widowControl w:val="0"/>
              <w:rPr>
                <w:color w:val="000000"/>
                <w:lang w:val="et-EE"/>
              </w:rPr>
            </w:pPr>
            <w:r w:rsidRPr="00EC3BD7">
              <w:rPr>
                <w:color w:val="000000"/>
                <w:lang w:val="et-EE"/>
              </w:rPr>
              <w:t>CPM (250 mg/m</w:t>
            </w:r>
            <w:r w:rsidRPr="00EC3BD7">
              <w:rPr>
                <w:color w:val="000000"/>
                <w:vertAlign w:val="superscript"/>
                <w:lang w:val="et-EE"/>
              </w:rPr>
              <w:t>2</w:t>
            </w:r>
            <w:r w:rsidRPr="00EC3BD7">
              <w:rPr>
                <w:color w:val="000000"/>
                <w:lang w:val="et-EE"/>
              </w:rPr>
              <w:t>/annus q12h x 4 annust, IV): päevadel 3 ja 4</w:t>
            </w:r>
          </w:p>
          <w:p w14:paraId="5705E646" w14:textId="77777777" w:rsidR="00E21A2F" w:rsidRPr="00EC3BD7" w:rsidRDefault="00E21A2F" w:rsidP="00145F94">
            <w:pPr>
              <w:pStyle w:val="EndnoteText"/>
              <w:widowControl w:val="0"/>
              <w:rPr>
                <w:color w:val="000000"/>
                <w:lang w:val="et-EE"/>
              </w:rPr>
            </w:pPr>
            <w:r w:rsidRPr="00EC3BD7">
              <w:rPr>
                <w:color w:val="000000"/>
                <w:lang w:val="et-EE"/>
              </w:rPr>
              <w:t>PEG-ASP (2500 RÜ/m</w:t>
            </w:r>
            <w:r w:rsidRPr="00EC3BD7">
              <w:rPr>
                <w:color w:val="000000"/>
                <w:vertAlign w:val="superscript"/>
                <w:lang w:val="et-EE"/>
              </w:rPr>
              <w:t>2</w:t>
            </w:r>
            <w:r w:rsidRPr="00EC3BD7">
              <w:rPr>
                <w:color w:val="000000"/>
                <w:lang w:val="et-EE"/>
              </w:rPr>
              <w:t>, IM): 4. päeval</w:t>
            </w:r>
          </w:p>
          <w:p w14:paraId="185FDDEE" w14:textId="77777777" w:rsidR="00E21A2F" w:rsidRPr="00EC3BD7" w:rsidRDefault="00E21A2F" w:rsidP="00145F94">
            <w:pPr>
              <w:pStyle w:val="EndnoteText"/>
              <w:widowControl w:val="0"/>
              <w:rPr>
                <w:color w:val="000000"/>
                <w:lang w:val="et-EE"/>
              </w:rPr>
            </w:pPr>
            <w:r w:rsidRPr="00EC3BD7">
              <w:rPr>
                <w:color w:val="000000"/>
                <w:lang w:val="et-EE"/>
              </w:rPr>
              <w:t>G-CSF (5 μg/kg, SC): päevadel 5</w:t>
            </w:r>
            <w:r w:rsidR="003C71AD" w:rsidRPr="00EC3BD7">
              <w:rPr>
                <w:color w:val="000000"/>
                <w:lang w:val="et-EE"/>
              </w:rPr>
              <w:t>...</w:t>
            </w:r>
            <w:r w:rsidRPr="00EC3BD7">
              <w:rPr>
                <w:color w:val="000000"/>
                <w:lang w:val="et-EE"/>
              </w:rPr>
              <w:t>14 või kuni neutrofiilide absoluutarv &gt;1500 üle minimaalse väärtuse</w:t>
            </w:r>
          </w:p>
          <w:p w14:paraId="30D1A66A" w14:textId="77777777" w:rsidR="00E21A2F" w:rsidRPr="00EC3BD7" w:rsidRDefault="00E21A2F" w:rsidP="00145F94">
            <w:pPr>
              <w:pStyle w:val="EndnoteText"/>
              <w:widowControl w:val="0"/>
              <w:rPr>
                <w:color w:val="000000"/>
                <w:lang w:val="et-EE"/>
              </w:rPr>
            </w:pPr>
            <w:r w:rsidRPr="00EC3BD7">
              <w:rPr>
                <w:color w:val="000000"/>
                <w:lang w:val="et-EE"/>
              </w:rPr>
              <w:t>Kolmekordne IT ravi (vanusele kohandatud): päevadel 1 ja 15</w:t>
            </w:r>
          </w:p>
          <w:p w14:paraId="75E9F7C3" w14:textId="77777777" w:rsidR="00E21A2F" w:rsidRPr="00EC3BD7" w:rsidRDefault="00E21A2F" w:rsidP="003C71AD">
            <w:pPr>
              <w:pStyle w:val="EndnoteText"/>
              <w:widowControl w:val="0"/>
              <w:rPr>
                <w:color w:val="000000"/>
                <w:lang w:val="et-EE"/>
              </w:rPr>
            </w:pPr>
            <w:r w:rsidRPr="00EC3BD7">
              <w:rPr>
                <w:color w:val="000000"/>
                <w:lang w:val="et-EE"/>
              </w:rPr>
              <w:t>DEX (6 mg/m</w:t>
            </w:r>
            <w:r w:rsidRPr="00EC3BD7">
              <w:rPr>
                <w:color w:val="000000"/>
                <w:vertAlign w:val="superscript"/>
                <w:lang w:val="et-EE"/>
              </w:rPr>
              <w:t>2</w:t>
            </w:r>
            <w:r w:rsidRPr="00EC3BD7">
              <w:rPr>
                <w:color w:val="000000"/>
                <w:lang w:val="et-EE"/>
              </w:rPr>
              <w:t>/ööpäev, PO): päevadel 1</w:t>
            </w:r>
            <w:r w:rsidR="003C71AD" w:rsidRPr="00EC3BD7">
              <w:rPr>
                <w:color w:val="000000"/>
                <w:lang w:val="et-EE"/>
              </w:rPr>
              <w:t>...</w:t>
            </w:r>
            <w:r w:rsidRPr="00EC3BD7">
              <w:rPr>
                <w:color w:val="000000"/>
                <w:lang w:val="et-EE"/>
              </w:rPr>
              <w:t>7 ja 15</w:t>
            </w:r>
            <w:r w:rsidR="003C71AD" w:rsidRPr="00EC3BD7">
              <w:rPr>
                <w:color w:val="000000"/>
                <w:lang w:val="et-EE"/>
              </w:rPr>
              <w:t>...</w:t>
            </w:r>
            <w:r w:rsidRPr="00EC3BD7">
              <w:rPr>
                <w:color w:val="000000"/>
                <w:lang w:val="et-EE"/>
              </w:rPr>
              <w:t>21</w:t>
            </w:r>
          </w:p>
        </w:tc>
      </w:tr>
      <w:tr w:rsidR="00E21A2F" w:rsidRPr="005D29F8" w14:paraId="67F117AD" w14:textId="77777777" w:rsidTr="00F53D51">
        <w:trPr>
          <w:cantSplit/>
        </w:trPr>
        <w:tc>
          <w:tcPr>
            <w:tcW w:w="2358" w:type="dxa"/>
            <w:shd w:val="clear" w:color="auto" w:fill="auto"/>
          </w:tcPr>
          <w:p w14:paraId="556ACD04" w14:textId="77777777" w:rsidR="00E21A2F" w:rsidRPr="00EC3BD7" w:rsidRDefault="00E21A2F" w:rsidP="00145F94">
            <w:pPr>
              <w:pStyle w:val="EndnoteText"/>
              <w:widowControl w:val="0"/>
              <w:rPr>
                <w:color w:val="000000"/>
                <w:lang w:val="et-EE"/>
              </w:rPr>
            </w:pPr>
            <w:r w:rsidRPr="00EC3BD7">
              <w:rPr>
                <w:color w:val="000000"/>
                <w:lang w:val="et-EE"/>
              </w:rPr>
              <w:t>Intensiivrühm 1</w:t>
            </w:r>
          </w:p>
          <w:p w14:paraId="7D4804CA" w14:textId="77777777" w:rsidR="00E21A2F" w:rsidRPr="00EC3BD7" w:rsidRDefault="00E21A2F" w:rsidP="00145F94">
            <w:pPr>
              <w:pStyle w:val="EndnoteText"/>
              <w:widowControl w:val="0"/>
              <w:rPr>
                <w:color w:val="000000"/>
                <w:lang w:val="et-EE"/>
              </w:rPr>
            </w:pPr>
            <w:r w:rsidRPr="00EC3BD7">
              <w:rPr>
                <w:color w:val="000000"/>
                <w:lang w:val="et-EE"/>
              </w:rPr>
              <w:t>(9 nädalat)</w:t>
            </w:r>
          </w:p>
        </w:tc>
        <w:tc>
          <w:tcPr>
            <w:tcW w:w="6929" w:type="dxa"/>
            <w:shd w:val="clear" w:color="auto" w:fill="auto"/>
          </w:tcPr>
          <w:p w14:paraId="4EECC0A1" w14:textId="77777777" w:rsidR="00E21A2F" w:rsidRPr="00EC3BD7" w:rsidRDefault="00E21A2F" w:rsidP="00145F94">
            <w:pPr>
              <w:pStyle w:val="EndnoteText"/>
              <w:widowControl w:val="0"/>
              <w:rPr>
                <w:color w:val="000000"/>
                <w:lang w:val="et-EE"/>
              </w:rPr>
            </w:pPr>
            <w:r w:rsidRPr="00EC3BD7">
              <w:rPr>
                <w:color w:val="000000"/>
                <w:lang w:val="et-EE"/>
              </w:rPr>
              <w:t>Metotreksaat (5 g/m</w:t>
            </w:r>
            <w:r w:rsidRPr="00EC3BD7">
              <w:rPr>
                <w:color w:val="000000"/>
                <w:vertAlign w:val="superscript"/>
                <w:lang w:val="et-EE"/>
              </w:rPr>
              <w:t>2</w:t>
            </w:r>
            <w:r w:rsidRPr="00EC3BD7">
              <w:rPr>
                <w:color w:val="000000"/>
                <w:lang w:val="et-EE"/>
              </w:rPr>
              <w:t xml:space="preserve"> 24 tunni jooksul, IV): päevadel 1 ja 15</w:t>
            </w:r>
          </w:p>
          <w:p w14:paraId="6BA6B514" w14:textId="77777777" w:rsidR="00E21A2F" w:rsidRPr="00EC3BD7" w:rsidRDefault="00E21A2F" w:rsidP="00145F94">
            <w:pPr>
              <w:pStyle w:val="EndnoteText"/>
              <w:widowControl w:val="0"/>
              <w:rPr>
                <w:color w:val="000000"/>
                <w:lang w:val="et-EE"/>
              </w:rPr>
            </w:pPr>
            <w:r w:rsidRPr="00EC3BD7">
              <w:rPr>
                <w:color w:val="000000"/>
                <w:lang w:val="et-EE"/>
              </w:rPr>
              <w:t>Leukovoriin (75 mg/m</w:t>
            </w:r>
            <w:r w:rsidRPr="00EC3BD7">
              <w:rPr>
                <w:color w:val="000000"/>
                <w:vertAlign w:val="superscript"/>
                <w:lang w:val="et-EE"/>
              </w:rPr>
              <w:t>2</w:t>
            </w:r>
            <w:r w:rsidRPr="00EC3BD7">
              <w:rPr>
                <w:color w:val="000000"/>
                <w:lang w:val="et-EE"/>
              </w:rPr>
              <w:t xml:space="preserve"> 36. tunnil, IV; 15 mg/m</w:t>
            </w:r>
            <w:r w:rsidRPr="00EC3BD7">
              <w:rPr>
                <w:color w:val="000000"/>
                <w:vertAlign w:val="superscript"/>
                <w:lang w:val="et-EE"/>
              </w:rPr>
              <w:t>2</w:t>
            </w:r>
            <w:r w:rsidRPr="00EC3BD7">
              <w:rPr>
                <w:color w:val="000000"/>
                <w:lang w:val="et-EE"/>
              </w:rPr>
              <w:t xml:space="preserve"> IV või PO q6h x 6 annust)iii: päevadel 2, 3, 16 ja 17</w:t>
            </w:r>
          </w:p>
          <w:p w14:paraId="757DC33D" w14:textId="77777777" w:rsidR="00E21A2F" w:rsidRPr="00EC3BD7" w:rsidRDefault="00E21A2F" w:rsidP="00145F94">
            <w:pPr>
              <w:pStyle w:val="EndnoteText"/>
              <w:widowControl w:val="0"/>
              <w:rPr>
                <w:color w:val="000000"/>
                <w:lang w:val="et-EE"/>
              </w:rPr>
            </w:pPr>
            <w:r w:rsidRPr="00EC3BD7">
              <w:rPr>
                <w:color w:val="000000"/>
                <w:lang w:val="et-EE"/>
              </w:rPr>
              <w:t>Kolmekordne IT ravi (vanusele kohandatud): päevadel 1 ja 22</w:t>
            </w:r>
          </w:p>
          <w:p w14:paraId="74B7E87A" w14:textId="77777777" w:rsidR="00E21A2F" w:rsidRPr="00EC3BD7" w:rsidRDefault="00E21A2F" w:rsidP="00145F94">
            <w:pPr>
              <w:pStyle w:val="EndnoteText"/>
              <w:widowControl w:val="0"/>
              <w:rPr>
                <w:color w:val="000000"/>
                <w:lang w:val="et-EE"/>
              </w:rPr>
            </w:pPr>
            <w:r w:rsidRPr="00EC3BD7">
              <w:rPr>
                <w:color w:val="000000"/>
                <w:lang w:val="et-EE"/>
              </w:rPr>
              <w:t>VP-16 (100 mg/m</w:t>
            </w:r>
            <w:r w:rsidRPr="00EC3BD7">
              <w:rPr>
                <w:color w:val="000000"/>
                <w:vertAlign w:val="superscript"/>
                <w:lang w:val="et-EE"/>
              </w:rPr>
              <w:t>2</w:t>
            </w:r>
            <w:r w:rsidRPr="00EC3BD7">
              <w:rPr>
                <w:color w:val="000000"/>
                <w:lang w:val="et-EE"/>
              </w:rPr>
              <w:t>/ööpäev, IV): päevadel 22</w:t>
            </w:r>
            <w:r w:rsidR="003C71AD" w:rsidRPr="00EC3BD7">
              <w:rPr>
                <w:color w:val="000000"/>
                <w:lang w:val="et-EE"/>
              </w:rPr>
              <w:t>…</w:t>
            </w:r>
            <w:r w:rsidRPr="00EC3BD7">
              <w:rPr>
                <w:color w:val="000000"/>
                <w:lang w:val="et-EE"/>
              </w:rPr>
              <w:t>26</w:t>
            </w:r>
          </w:p>
          <w:p w14:paraId="4E5E911F" w14:textId="77777777" w:rsidR="00E21A2F" w:rsidRPr="00EC3BD7" w:rsidRDefault="00E21A2F" w:rsidP="00145F94">
            <w:pPr>
              <w:pStyle w:val="EndnoteText"/>
              <w:widowControl w:val="0"/>
              <w:rPr>
                <w:color w:val="000000"/>
                <w:lang w:val="et-EE"/>
              </w:rPr>
            </w:pPr>
            <w:r w:rsidRPr="00EC3BD7">
              <w:rPr>
                <w:color w:val="000000"/>
                <w:lang w:val="et-EE"/>
              </w:rPr>
              <w:t>CPM (300 mg/m</w:t>
            </w:r>
            <w:r w:rsidRPr="00EC3BD7">
              <w:rPr>
                <w:color w:val="000000"/>
                <w:vertAlign w:val="superscript"/>
                <w:lang w:val="et-EE"/>
              </w:rPr>
              <w:t>2</w:t>
            </w:r>
            <w:r w:rsidRPr="00EC3BD7">
              <w:rPr>
                <w:color w:val="000000"/>
                <w:lang w:val="et-EE"/>
              </w:rPr>
              <w:t>/ööpäev, IV): päevadel 22</w:t>
            </w:r>
            <w:r w:rsidR="003C71AD" w:rsidRPr="00EC3BD7">
              <w:rPr>
                <w:color w:val="000000"/>
                <w:lang w:val="et-EE"/>
              </w:rPr>
              <w:t>…</w:t>
            </w:r>
            <w:r w:rsidRPr="00EC3BD7">
              <w:rPr>
                <w:color w:val="000000"/>
                <w:lang w:val="et-EE"/>
              </w:rPr>
              <w:t>26</w:t>
            </w:r>
          </w:p>
          <w:p w14:paraId="1CF23565" w14:textId="77777777" w:rsidR="00E21A2F" w:rsidRPr="00EC3BD7" w:rsidRDefault="00E21A2F" w:rsidP="00145F94">
            <w:pPr>
              <w:pStyle w:val="EndnoteText"/>
              <w:widowControl w:val="0"/>
              <w:rPr>
                <w:color w:val="000000"/>
                <w:lang w:val="et-EE"/>
              </w:rPr>
            </w:pPr>
            <w:r w:rsidRPr="00EC3BD7">
              <w:rPr>
                <w:color w:val="000000"/>
                <w:lang w:val="et-EE"/>
              </w:rPr>
              <w:t>MESNA (150 mg/m</w:t>
            </w:r>
            <w:r w:rsidRPr="00EC3BD7">
              <w:rPr>
                <w:color w:val="000000"/>
                <w:vertAlign w:val="superscript"/>
                <w:lang w:val="et-EE"/>
              </w:rPr>
              <w:t>2</w:t>
            </w:r>
            <w:r w:rsidRPr="00EC3BD7">
              <w:rPr>
                <w:color w:val="000000"/>
                <w:lang w:val="et-EE"/>
              </w:rPr>
              <w:t>/ööpäev, IV): päevadel 22</w:t>
            </w:r>
            <w:r w:rsidR="003C71AD" w:rsidRPr="00EC3BD7">
              <w:rPr>
                <w:color w:val="000000"/>
                <w:lang w:val="et-EE"/>
              </w:rPr>
              <w:t>…</w:t>
            </w:r>
            <w:r w:rsidRPr="00EC3BD7">
              <w:rPr>
                <w:color w:val="000000"/>
                <w:lang w:val="et-EE"/>
              </w:rPr>
              <w:t>26</w:t>
            </w:r>
          </w:p>
          <w:p w14:paraId="12F72315" w14:textId="77777777" w:rsidR="00E21A2F" w:rsidRPr="00EC3BD7" w:rsidRDefault="00E21A2F" w:rsidP="00145F94">
            <w:pPr>
              <w:pStyle w:val="EndnoteText"/>
              <w:widowControl w:val="0"/>
              <w:rPr>
                <w:color w:val="000000"/>
                <w:lang w:val="et-EE"/>
              </w:rPr>
            </w:pPr>
            <w:r w:rsidRPr="00EC3BD7">
              <w:rPr>
                <w:color w:val="000000"/>
                <w:lang w:val="et-EE"/>
              </w:rPr>
              <w:t>G-CSF (5 μg/kg, SC): päevadel 27</w:t>
            </w:r>
            <w:r w:rsidR="003C71AD" w:rsidRPr="00EC3BD7">
              <w:rPr>
                <w:color w:val="000000"/>
                <w:lang w:val="et-EE"/>
              </w:rPr>
              <w:t>…</w:t>
            </w:r>
            <w:r w:rsidRPr="00EC3BD7">
              <w:rPr>
                <w:color w:val="000000"/>
                <w:lang w:val="et-EE"/>
              </w:rPr>
              <w:t>36 või kuni neutrofiilide absoluutarv &gt;1500 üle minimaalse väärtuse</w:t>
            </w:r>
          </w:p>
          <w:p w14:paraId="2E09A9BB" w14:textId="77777777" w:rsidR="00E21A2F" w:rsidRPr="00EC3BD7" w:rsidRDefault="00E21A2F" w:rsidP="00145F94">
            <w:pPr>
              <w:pStyle w:val="EndnoteText"/>
              <w:widowControl w:val="0"/>
              <w:rPr>
                <w:color w:val="000000"/>
                <w:lang w:val="et-EE"/>
              </w:rPr>
            </w:pPr>
            <w:r w:rsidRPr="00EC3BD7">
              <w:rPr>
                <w:color w:val="000000"/>
                <w:lang w:val="et-EE"/>
              </w:rPr>
              <w:t>ARA-C (3 g/m</w:t>
            </w:r>
            <w:r w:rsidRPr="00EC3BD7">
              <w:rPr>
                <w:color w:val="000000"/>
                <w:vertAlign w:val="superscript"/>
                <w:lang w:val="et-EE"/>
              </w:rPr>
              <w:t>2</w:t>
            </w:r>
            <w:r w:rsidRPr="00EC3BD7">
              <w:rPr>
                <w:color w:val="000000"/>
                <w:lang w:val="et-EE"/>
              </w:rPr>
              <w:t>, q12h, IV): päevadel 43, 44</w:t>
            </w:r>
          </w:p>
          <w:p w14:paraId="43C14140" w14:textId="77777777" w:rsidR="00E21A2F" w:rsidRPr="00EC3BD7" w:rsidRDefault="00E21A2F" w:rsidP="00145F94">
            <w:pPr>
              <w:pStyle w:val="EndnoteText"/>
              <w:widowControl w:val="0"/>
              <w:rPr>
                <w:color w:val="000000"/>
                <w:lang w:val="et-EE"/>
              </w:rPr>
            </w:pPr>
            <w:r w:rsidRPr="00EC3BD7">
              <w:rPr>
                <w:color w:val="000000"/>
                <w:lang w:val="et-EE"/>
              </w:rPr>
              <w:t>L-ASP (6000 RÜ/m</w:t>
            </w:r>
            <w:r w:rsidRPr="00EC3BD7">
              <w:rPr>
                <w:color w:val="000000"/>
                <w:vertAlign w:val="superscript"/>
                <w:lang w:val="et-EE"/>
              </w:rPr>
              <w:t>2</w:t>
            </w:r>
            <w:r w:rsidRPr="00EC3BD7">
              <w:rPr>
                <w:color w:val="000000"/>
                <w:lang w:val="et-EE"/>
              </w:rPr>
              <w:t>, IM): 44. päeval</w:t>
            </w:r>
          </w:p>
        </w:tc>
      </w:tr>
      <w:tr w:rsidR="00E21A2F" w:rsidRPr="005D29F8" w14:paraId="3E4F8B35" w14:textId="77777777" w:rsidTr="00F53D51">
        <w:trPr>
          <w:cantSplit/>
        </w:trPr>
        <w:tc>
          <w:tcPr>
            <w:tcW w:w="2358" w:type="dxa"/>
            <w:shd w:val="clear" w:color="auto" w:fill="auto"/>
          </w:tcPr>
          <w:p w14:paraId="2726497A" w14:textId="77777777" w:rsidR="00E21A2F" w:rsidRPr="00EC3BD7" w:rsidRDefault="00E21A2F" w:rsidP="00145F94">
            <w:pPr>
              <w:pStyle w:val="EndnoteText"/>
              <w:widowControl w:val="0"/>
              <w:rPr>
                <w:color w:val="000000"/>
                <w:lang w:val="et-EE"/>
              </w:rPr>
            </w:pPr>
            <w:r w:rsidRPr="00EC3BD7">
              <w:rPr>
                <w:color w:val="000000"/>
                <w:lang w:val="et-EE"/>
              </w:rPr>
              <w:t>Reinduktsioonirühm 2</w:t>
            </w:r>
          </w:p>
          <w:p w14:paraId="02DD89F1" w14:textId="77777777" w:rsidR="00E21A2F" w:rsidRPr="00EC3BD7" w:rsidRDefault="00E21A2F" w:rsidP="00145F94">
            <w:pPr>
              <w:pStyle w:val="EndnoteText"/>
              <w:widowControl w:val="0"/>
              <w:rPr>
                <w:color w:val="000000"/>
                <w:lang w:val="et-EE"/>
              </w:rPr>
            </w:pPr>
            <w:r w:rsidRPr="00EC3BD7">
              <w:rPr>
                <w:color w:val="000000"/>
                <w:lang w:val="et-EE"/>
              </w:rPr>
              <w:t>(3 nädalat)</w:t>
            </w:r>
          </w:p>
        </w:tc>
        <w:tc>
          <w:tcPr>
            <w:tcW w:w="6929" w:type="dxa"/>
            <w:shd w:val="clear" w:color="auto" w:fill="auto"/>
          </w:tcPr>
          <w:p w14:paraId="08019402" w14:textId="77777777" w:rsidR="00E21A2F" w:rsidRPr="00EC3BD7" w:rsidRDefault="00E21A2F" w:rsidP="00145F94">
            <w:pPr>
              <w:pStyle w:val="EndnoteText"/>
              <w:widowControl w:val="0"/>
              <w:rPr>
                <w:color w:val="000000"/>
                <w:lang w:val="et-EE"/>
              </w:rPr>
            </w:pPr>
            <w:r w:rsidRPr="00EC3BD7">
              <w:rPr>
                <w:color w:val="000000"/>
                <w:lang w:val="et-EE"/>
              </w:rPr>
              <w:t>VCR (1,5 mg/m</w:t>
            </w:r>
            <w:r w:rsidRPr="00EC3BD7">
              <w:rPr>
                <w:color w:val="000000"/>
                <w:vertAlign w:val="superscript"/>
                <w:lang w:val="et-EE"/>
              </w:rPr>
              <w:t>2</w:t>
            </w:r>
            <w:r w:rsidRPr="00EC3BD7">
              <w:rPr>
                <w:color w:val="000000"/>
                <w:lang w:val="et-EE"/>
              </w:rPr>
              <w:t>/ööpäev, IV): päevadel 1, 8 ja 15</w:t>
            </w:r>
          </w:p>
          <w:p w14:paraId="3F97BFB6" w14:textId="77777777" w:rsidR="00E21A2F" w:rsidRPr="00EC3BD7" w:rsidRDefault="00E21A2F" w:rsidP="00145F94">
            <w:pPr>
              <w:pStyle w:val="EndnoteText"/>
              <w:widowControl w:val="0"/>
              <w:rPr>
                <w:color w:val="000000"/>
                <w:lang w:val="et-EE"/>
              </w:rPr>
            </w:pPr>
            <w:r w:rsidRPr="00EC3BD7">
              <w:rPr>
                <w:color w:val="000000"/>
                <w:lang w:val="et-EE"/>
              </w:rPr>
              <w:t>DAUN (45 mg/m</w:t>
            </w:r>
            <w:r w:rsidRPr="00EC3BD7">
              <w:rPr>
                <w:color w:val="000000"/>
                <w:vertAlign w:val="superscript"/>
                <w:lang w:val="et-EE"/>
              </w:rPr>
              <w:t>2</w:t>
            </w:r>
            <w:r w:rsidRPr="00EC3BD7">
              <w:rPr>
                <w:color w:val="000000"/>
                <w:lang w:val="et-EE"/>
              </w:rPr>
              <w:t>/ööpäev boolusena, IV): päevadel 1 ja 2</w:t>
            </w:r>
          </w:p>
          <w:p w14:paraId="3BA26F51" w14:textId="77777777" w:rsidR="00E21A2F" w:rsidRPr="00EC3BD7" w:rsidRDefault="00E21A2F" w:rsidP="00145F94">
            <w:pPr>
              <w:pStyle w:val="EndnoteText"/>
              <w:widowControl w:val="0"/>
              <w:rPr>
                <w:color w:val="000000"/>
                <w:lang w:val="et-EE"/>
              </w:rPr>
            </w:pPr>
            <w:r w:rsidRPr="00EC3BD7">
              <w:rPr>
                <w:color w:val="000000"/>
                <w:lang w:val="et-EE"/>
              </w:rPr>
              <w:t>CPM (250 mg/m</w:t>
            </w:r>
            <w:r w:rsidRPr="00EC3BD7">
              <w:rPr>
                <w:color w:val="000000"/>
                <w:vertAlign w:val="superscript"/>
                <w:lang w:val="et-EE"/>
              </w:rPr>
              <w:t>2</w:t>
            </w:r>
            <w:r w:rsidRPr="00EC3BD7">
              <w:rPr>
                <w:color w:val="000000"/>
                <w:lang w:val="et-EE"/>
              </w:rPr>
              <w:t>/anus q12h x 4 annust, iv): päevadel 3 ja 4</w:t>
            </w:r>
          </w:p>
          <w:p w14:paraId="6195488C" w14:textId="77777777" w:rsidR="00E21A2F" w:rsidRPr="00EC3BD7" w:rsidRDefault="00E21A2F" w:rsidP="00145F94">
            <w:pPr>
              <w:pStyle w:val="EndnoteText"/>
              <w:widowControl w:val="0"/>
              <w:rPr>
                <w:color w:val="000000"/>
                <w:lang w:val="et-EE"/>
              </w:rPr>
            </w:pPr>
            <w:r w:rsidRPr="00EC3BD7">
              <w:rPr>
                <w:color w:val="000000"/>
                <w:lang w:val="et-EE"/>
              </w:rPr>
              <w:t>PEG-ASP (2500 RÜ/m</w:t>
            </w:r>
            <w:r w:rsidRPr="00EC3BD7">
              <w:rPr>
                <w:color w:val="000000"/>
                <w:vertAlign w:val="superscript"/>
                <w:lang w:val="et-EE"/>
              </w:rPr>
              <w:t>2</w:t>
            </w:r>
            <w:r w:rsidRPr="00EC3BD7">
              <w:rPr>
                <w:color w:val="000000"/>
                <w:lang w:val="et-EE"/>
              </w:rPr>
              <w:t>, IM): 4. päev</w:t>
            </w:r>
          </w:p>
          <w:p w14:paraId="370CFFB2" w14:textId="77777777" w:rsidR="00E21A2F" w:rsidRPr="00EC3BD7" w:rsidRDefault="00E21A2F" w:rsidP="00145F94">
            <w:pPr>
              <w:pStyle w:val="EndnoteText"/>
              <w:widowControl w:val="0"/>
              <w:rPr>
                <w:color w:val="000000"/>
                <w:lang w:val="et-EE"/>
              </w:rPr>
            </w:pPr>
            <w:r w:rsidRPr="00EC3BD7">
              <w:rPr>
                <w:color w:val="000000"/>
                <w:lang w:val="et-EE"/>
              </w:rPr>
              <w:t>G-CSF (5 μg/kg, SC): päevadel 5</w:t>
            </w:r>
            <w:r w:rsidR="003C71AD" w:rsidRPr="00EC3BD7">
              <w:rPr>
                <w:color w:val="000000"/>
                <w:lang w:val="et-EE"/>
              </w:rPr>
              <w:t>...</w:t>
            </w:r>
            <w:r w:rsidRPr="00EC3BD7">
              <w:rPr>
                <w:color w:val="000000"/>
                <w:lang w:val="et-EE"/>
              </w:rPr>
              <w:t>14 või kuni neutrofiilide absoluutarv &gt;1500 üle minimaalse väärtuse</w:t>
            </w:r>
          </w:p>
          <w:p w14:paraId="08BA2B88" w14:textId="77777777" w:rsidR="00E21A2F" w:rsidRPr="00EC3BD7" w:rsidRDefault="00E21A2F" w:rsidP="00145F94">
            <w:pPr>
              <w:pStyle w:val="EndnoteText"/>
              <w:widowControl w:val="0"/>
              <w:rPr>
                <w:color w:val="000000"/>
                <w:lang w:val="et-EE"/>
              </w:rPr>
            </w:pPr>
            <w:r w:rsidRPr="00EC3BD7">
              <w:rPr>
                <w:color w:val="000000"/>
                <w:lang w:val="et-EE"/>
              </w:rPr>
              <w:t>Kolmekordne IT ravi (vanusele kohandatud): päevadel 1 ja 15</w:t>
            </w:r>
          </w:p>
          <w:p w14:paraId="6924A80B" w14:textId="77777777" w:rsidR="00E21A2F" w:rsidRPr="00EC3BD7" w:rsidRDefault="00E21A2F" w:rsidP="003C71AD">
            <w:pPr>
              <w:pStyle w:val="EndnoteText"/>
              <w:widowControl w:val="0"/>
              <w:rPr>
                <w:color w:val="000000"/>
                <w:lang w:val="et-EE"/>
              </w:rPr>
            </w:pPr>
            <w:r w:rsidRPr="00EC3BD7">
              <w:rPr>
                <w:color w:val="000000"/>
                <w:lang w:val="et-EE"/>
              </w:rPr>
              <w:t>DEX (6 mg/m</w:t>
            </w:r>
            <w:r w:rsidRPr="00EC3BD7">
              <w:rPr>
                <w:color w:val="000000"/>
                <w:vertAlign w:val="superscript"/>
                <w:lang w:val="et-EE"/>
              </w:rPr>
              <w:t>2</w:t>
            </w:r>
            <w:r w:rsidRPr="00EC3BD7">
              <w:rPr>
                <w:color w:val="000000"/>
                <w:lang w:val="et-EE"/>
              </w:rPr>
              <w:t>/ööpäev, PO): päevadel 1</w:t>
            </w:r>
            <w:r w:rsidR="003C71AD" w:rsidRPr="00EC3BD7">
              <w:rPr>
                <w:color w:val="000000"/>
                <w:lang w:val="et-EE"/>
              </w:rPr>
              <w:t>...</w:t>
            </w:r>
            <w:r w:rsidRPr="00EC3BD7">
              <w:rPr>
                <w:color w:val="000000"/>
                <w:lang w:val="et-EE"/>
              </w:rPr>
              <w:t>7 ja 15</w:t>
            </w:r>
            <w:r w:rsidR="003C71AD" w:rsidRPr="00EC3BD7">
              <w:rPr>
                <w:color w:val="000000"/>
                <w:lang w:val="et-EE"/>
              </w:rPr>
              <w:t>...</w:t>
            </w:r>
            <w:r w:rsidRPr="00EC3BD7">
              <w:rPr>
                <w:color w:val="000000"/>
                <w:lang w:val="et-EE"/>
              </w:rPr>
              <w:t>21</w:t>
            </w:r>
          </w:p>
        </w:tc>
      </w:tr>
      <w:tr w:rsidR="00E21A2F" w:rsidRPr="005D29F8" w14:paraId="7A56364A" w14:textId="77777777" w:rsidTr="00F53D51">
        <w:trPr>
          <w:cantSplit/>
        </w:trPr>
        <w:tc>
          <w:tcPr>
            <w:tcW w:w="2358" w:type="dxa"/>
            <w:shd w:val="clear" w:color="auto" w:fill="auto"/>
          </w:tcPr>
          <w:p w14:paraId="0C9C4899" w14:textId="77777777" w:rsidR="00E21A2F" w:rsidRPr="00EC3BD7" w:rsidRDefault="00E21A2F" w:rsidP="00145F94">
            <w:pPr>
              <w:pStyle w:val="EndnoteText"/>
              <w:widowControl w:val="0"/>
              <w:rPr>
                <w:color w:val="000000"/>
                <w:lang w:val="et-EE"/>
              </w:rPr>
            </w:pPr>
            <w:r w:rsidRPr="00EC3BD7">
              <w:rPr>
                <w:color w:val="000000"/>
                <w:lang w:val="et-EE"/>
              </w:rPr>
              <w:t>Intensiivrühm 2</w:t>
            </w:r>
          </w:p>
          <w:p w14:paraId="6299CEFA" w14:textId="77777777" w:rsidR="00E21A2F" w:rsidRPr="00EC3BD7" w:rsidRDefault="00E21A2F" w:rsidP="00145F94">
            <w:pPr>
              <w:pStyle w:val="EndnoteText"/>
              <w:widowControl w:val="0"/>
              <w:rPr>
                <w:color w:val="000000"/>
                <w:lang w:val="et-EE"/>
              </w:rPr>
            </w:pPr>
            <w:r w:rsidRPr="00EC3BD7">
              <w:rPr>
                <w:color w:val="000000"/>
                <w:lang w:val="et-EE"/>
              </w:rPr>
              <w:t>(9 nädalat)</w:t>
            </w:r>
          </w:p>
        </w:tc>
        <w:tc>
          <w:tcPr>
            <w:tcW w:w="6929" w:type="dxa"/>
            <w:shd w:val="clear" w:color="auto" w:fill="auto"/>
          </w:tcPr>
          <w:p w14:paraId="41A62BE8" w14:textId="77777777" w:rsidR="00E21A2F" w:rsidRPr="00EC3BD7" w:rsidRDefault="00E21A2F" w:rsidP="00145F94">
            <w:pPr>
              <w:pStyle w:val="EndnoteText"/>
              <w:widowControl w:val="0"/>
              <w:rPr>
                <w:color w:val="000000"/>
                <w:lang w:val="et-EE"/>
              </w:rPr>
            </w:pPr>
            <w:r w:rsidRPr="00EC3BD7">
              <w:rPr>
                <w:color w:val="000000"/>
                <w:lang w:val="et-EE"/>
              </w:rPr>
              <w:t>Metotreksaat (5 g/m</w:t>
            </w:r>
            <w:r w:rsidRPr="00EC3BD7">
              <w:rPr>
                <w:color w:val="000000"/>
                <w:vertAlign w:val="superscript"/>
                <w:lang w:val="et-EE"/>
              </w:rPr>
              <w:t>2</w:t>
            </w:r>
            <w:r w:rsidRPr="00EC3BD7">
              <w:rPr>
                <w:color w:val="000000"/>
                <w:lang w:val="et-EE"/>
              </w:rPr>
              <w:t xml:space="preserve"> 24 tunni jooksul, IV): päevadel 1 ja 15</w:t>
            </w:r>
          </w:p>
          <w:p w14:paraId="1EEF2A04" w14:textId="77777777" w:rsidR="00E21A2F" w:rsidRPr="00EC3BD7" w:rsidRDefault="00E21A2F" w:rsidP="00145F94">
            <w:pPr>
              <w:pStyle w:val="EndnoteText"/>
              <w:widowControl w:val="0"/>
              <w:rPr>
                <w:color w:val="000000"/>
                <w:lang w:val="et-EE"/>
              </w:rPr>
            </w:pPr>
            <w:r w:rsidRPr="00EC3BD7">
              <w:rPr>
                <w:color w:val="000000"/>
                <w:lang w:val="et-EE"/>
              </w:rPr>
              <w:t>Leukovoriin (75 mg/m</w:t>
            </w:r>
            <w:r w:rsidRPr="00EC3BD7">
              <w:rPr>
                <w:color w:val="000000"/>
                <w:vertAlign w:val="superscript"/>
                <w:lang w:val="et-EE"/>
              </w:rPr>
              <w:t>2</w:t>
            </w:r>
            <w:r w:rsidRPr="00EC3BD7">
              <w:rPr>
                <w:color w:val="000000"/>
                <w:lang w:val="et-EE"/>
              </w:rPr>
              <w:t xml:space="preserve"> 36. tunnil, IV; 15 mg/m</w:t>
            </w:r>
            <w:r w:rsidRPr="00EC3BD7">
              <w:rPr>
                <w:color w:val="000000"/>
                <w:vertAlign w:val="superscript"/>
                <w:lang w:val="et-EE"/>
              </w:rPr>
              <w:t>2</w:t>
            </w:r>
            <w:r w:rsidRPr="00EC3BD7">
              <w:rPr>
                <w:color w:val="000000"/>
                <w:lang w:val="et-EE"/>
              </w:rPr>
              <w:t xml:space="preserve"> IV või PO q6h x 6 annust)iii: päevadel 2, 3, 16 ja 17</w:t>
            </w:r>
          </w:p>
          <w:p w14:paraId="582BA0E9" w14:textId="77777777" w:rsidR="00E21A2F" w:rsidRPr="00EC3BD7" w:rsidRDefault="00E21A2F" w:rsidP="00145F94">
            <w:pPr>
              <w:pStyle w:val="EndnoteText"/>
              <w:widowControl w:val="0"/>
              <w:rPr>
                <w:color w:val="000000"/>
                <w:lang w:val="et-EE"/>
              </w:rPr>
            </w:pPr>
            <w:r w:rsidRPr="00EC3BD7">
              <w:rPr>
                <w:color w:val="000000"/>
                <w:lang w:val="et-EE"/>
              </w:rPr>
              <w:t>Kolmekordne IT ravi (vanusele kohandatud): päevadel 1 ja 22</w:t>
            </w:r>
          </w:p>
          <w:p w14:paraId="1CC8F319" w14:textId="77777777" w:rsidR="00E21A2F" w:rsidRPr="00EC3BD7" w:rsidRDefault="00E21A2F" w:rsidP="00145F94">
            <w:pPr>
              <w:pStyle w:val="EndnoteText"/>
              <w:widowControl w:val="0"/>
              <w:rPr>
                <w:color w:val="000000"/>
                <w:lang w:val="et-EE"/>
              </w:rPr>
            </w:pPr>
            <w:r w:rsidRPr="00EC3BD7">
              <w:rPr>
                <w:color w:val="000000"/>
                <w:lang w:val="et-EE"/>
              </w:rPr>
              <w:t>VP-16 (100 mg/m</w:t>
            </w:r>
            <w:r w:rsidRPr="00EC3BD7">
              <w:rPr>
                <w:color w:val="000000"/>
                <w:vertAlign w:val="superscript"/>
                <w:lang w:val="et-EE"/>
              </w:rPr>
              <w:t>2</w:t>
            </w:r>
            <w:r w:rsidRPr="00EC3BD7">
              <w:rPr>
                <w:color w:val="000000"/>
                <w:lang w:val="et-EE"/>
              </w:rPr>
              <w:t>/ööpäev, IV): päevadel 22</w:t>
            </w:r>
            <w:r w:rsidR="003C71AD" w:rsidRPr="00EC3BD7">
              <w:rPr>
                <w:color w:val="000000"/>
                <w:lang w:val="et-EE"/>
              </w:rPr>
              <w:t>…</w:t>
            </w:r>
            <w:r w:rsidRPr="00EC3BD7">
              <w:rPr>
                <w:color w:val="000000"/>
                <w:lang w:val="et-EE"/>
              </w:rPr>
              <w:t>26</w:t>
            </w:r>
          </w:p>
          <w:p w14:paraId="6422C180" w14:textId="77777777" w:rsidR="00E21A2F" w:rsidRPr="00EC3BD7" w:rsidRDefault="00E21A2F" w:rsidP="00145F94">
            <w:pPr>
              <w:pStyle w:val="EndnoteText"/>
              <w:widowControl w:val="0"/>
              <w:rPr>
                <w:color w:val="000000"/>
                <w:lang w:val="et-EE"/>
              </w:rPr>
            </w:pPr>
            <w:r w:rsidRPr="00EC3BD7">
              <w:rPr>
                <w:color w:val="000000"/>
                <w:lang w:val="et-EE"/>
              </w:rPr>
              <w:t>CPM (300 mg/m</w:t>
            </w:r>
            <w:r w:rsidRPr="00EC3BD7">
              <w:rPr>
                <w:color w:val="000000"/>
                <w:vertAlign w:val="superscript"/>
                <w:lang w:val="et-EE"/>
              </w:rPr>
              <w:t>2</w:t>
            </w:r>
            <w:r w:rsidRPr="00EC3BD7">
              <w:rPr>
                <w:color w:val="000000"/>
                <w:lang w:val="et-EE"/>
              </w:rPr>
              <w:t>/ööpäev, IV): päevadel 22</w:t>
            </w:r>
            <w:r w:rsidR="003C71AD" w:rsidRPr="00EC3BD7">
              <w:rPr>
                <w:color w:val="000000"/>
                <w:lang w:val="et-EE"/>
              </w:rPr>
              <w:t>…</w:t>
            </w:r>
            <w:r w:rsidRPr="00EC3BD7">
              <w:rPr>
                <w:color w:val="000000"/>
                <w:lang w:val="et-EE"/>
              </w:rPr>
              <w:t>26</w:t>
            </w:r>
          </w:p>
          <w:p w14:paraId="246626EA" w14:textId="77777777" w:rsidR="00E21A2F" w:rsidRPr="00EC3BD7" w:rsidRDefault="00E21A2F" w:rsidP="00145F94">
            <w:pPr>
              <w:pStyle w:val="EndnoteText"/>
              <w:widowControl w:val="0"/>
              <w:rPr>
                <w:color w:val="000000"/>
                <w:lang w:val="et-EE"/>
              </w:rPr>
            </w:pPr>
            <w:r w:rsidRPr="00EC3BD7">
              <w:rPr>
                <w:color w:val="000000"/>
                <w:lang w:val="et-EE"/>
              </w:rPr>
              <w:t>MESNA (150 mg/m</w:t>
            </w:r>
            <w:r w:rsidRPr="00EC3BD7">
              <w:rPr>
                <w:color w:val="000000"/>
                <w:vertAlign w:val="superscript"/>
                <w:lang w:val="et-EE"/>
              </w:rPr>
              <w:t>2</w:t>
            </w:r>
            <w:r w:rsidRPr="00EC3BD7">
              <w:rPr>
                <w:color w:val="000000"/>
                <w:lang w:val="et-EE"/>
              </w:rPr>
              <w:t>/ööpäev, IV): päevadel 22</w:t>
            </w:r>
            <w:r w:rsidR="003C71AD" w:rsidRPr="00EC3BD7">
              <w:rPr>
                <w:color w:val="000000"/>
                <w:lang w:val="et-EE"/>
              </w:rPr>
              <w:t>…</w:t>
            </w:r>
            <w:r w:rsidRPr="00EC3BD7">
              <w:rPr>
                <w:color w:val="000000"/>
                <w:lang w:val="et-EE"/>
              </w:rPr>
              <w:t>26</w:t>
            </w:r>
          </w:p>
          <w:p w14:paraId="7DEFA98F" w14:textId="77777777" w:rsidR="00E21A2F" w:rsidRPr="00EC3BD7" w:rsidRDefault="00E21A2F" w:rsidP="00145F94">
            <w:pPr>
              <w:pStyle w:val="EndnoteText"/>
              <w:widowControl w:val="0"/>
              <w:rPr>
                <w:color w:val="000000"/>
                <w:lang w:val="et-EE"/>
              </w:rPr>
            </w:pPr>
            <w:r w:rsidRPr="00EC3BD7">
              <w:rPr>
                <w:color w:val="000000"/>
                <w:lang w:val="et-EE"/>
              </w:rPr>
              <w:t>G-CSF (5 μg/kg, SC): päevadel 27</w:t>
            </w:r>
            <w:r w:rsidR="003C71AD" w:rsidRPr="00EC3BD7">
              <w:rPr>
                <w:color w:val="000000"/>
                <w:lang w:val="et-EE"/>
              </w:rPr>
              <w:t>…</w:t>
            </w:r>
            <w:r w:rsidRPr="00EC3BD7">
              <w:rPr>
                <w:color w:val="000000"/>
                <w:lang w:val="et-EE"/>
              </w:rPr>
              <w:t>36 või kuni neutrofiilide absoluutarv &gt;1500 üle minimaalse väärtuse</w:t>
            </w:r>
          </w:p>
          <w:p w14:paraId="6E48C8E2" w14:textId="77777777" w:rsidR="00E21A2F" w:rsidRPr="00EC3BD7" w:rsidRDefault="00E21A2F" w:rsidP="00145F94">
            <w:pPr>
              <w:pStyle w:val="EndnoteText"/>
              <w:widowControl w:val="0"/>
              <w:rPr>
                <w:color w:val="000000"/>
                <w:lang w:val="et-EE"/>
              </w:rPr>
            </w:pPr>
            <w:r w:rsidRPr="00EC3BD7">
              <w:rPr>
                <w:color w:val="000000"/>
                <w:lang w:val="et-EE"/>
              </w:rPr>
              <w:t>ARA-C (3 g/m</w:t>
            </w:r>
            <w:r w:rsidRPr="00EC3BD7">
              <w:rPr>
                <w:color w:val="000000"/>
                <w:vertAlign w:val="superscript"/>
                <w:lang w:val="et-EE"/>
              </w:rPr>
              <w:t>2</w:t>
            </w:r>
            <w:r w:rsidRPr="00EC3BD7">
              <w:rPr>
                <w:color w:val="000000"/>
                <w:lang w:val="et-EE"/>
              </w:rPr>
              <w:t>, q12h, IV): päevadel 43, 44</w:t>
            </w:r>
          </w:p>
          <w:p w14:paraId="794F82B4" w14:textId="77777777" w:rsidR="00E21A2F" w:rsidRPr="00EC3BD7" w:rsidRDefault="00E21A2F" w:rsidP="00145F94">
            <w:pPr>
              <w:pStyle w:val="EndnoteText"/>
              <w:widowControl w:val="0"/>
              <w:rPr>
                <w:color w:val="000000"/>
                <w:lang w:val="et-EE"/>
              </w:rPr>
            </w:pPr>
            <w:r w:rsidRPr="00EC3BD7">
              <w:rPr>
                <w:color w:val="000000"/>
                <w:lang w:val="et-EE"/>
              </w:rPr>
              <w:t>L-ASP (6000 RÜ/m</w:t>
            </w:r>
            <w:r w:rsidRPr="00EC3BD7">
              <w:rPr>
                <w:color w:val="000000"/>
                <w:vertAlign w:val="superscript"/>
                <w:lang w:val="et-EE"/>
              </w:rPr>
              <w:t>2</w:t>
            </w:r>
            <w:r w:rsidRPr="00EC3BD7">
              <w:rPr>
                <w:color w:val="000000"/>
                <w:lang w:val="et-EE"/>
              </w:rPr>
              <w:t>, IM): 44. päeval</w:t>
            </w:r>
          </w:p>
        </w:tc>
      </w:tr>
      <w:tr w:rsidR="00E21A2F" w:rsidRPr="005D29F8" w14:paraId="69BC89B7" w14:textId="77777777" w:rsidTr="00F53D51">
        <w:trPr>
          <w:cantSplit/>
        </w:trPr>
        <w:tc>
          <w:tcPr>
            <w:tcW w:w="2358" w:type="dxa"/>
            <w:shd w:val="clear" w:color="auto" w:fill="auto"/>
          </w:tcPr>
          <w:p w14:paraId="586D9B4F" w14:textId="77777777" w:rsidR="00E21A2F" w:rsidRPr="00EC3BD7" w:rsidRDefault="00E21A2F" w:rsidP="00145F94">
            <w:pPr>
              <w:pStyle w:val="EndnoteText"/>
              <w:widowControl w:val="0"/>
              <w:rPr>
                <w:color w:val="000000"/>
                <w:lang w:val="et-EE"/>
              </w:rPr>
            </w:pPr>
            <w:r w:rsidRPr="00EC3BD7">
              <w:rPr>
                <w:color w:val="000000"/>
                <w:lang w:val="et-EE"/>
              </w:rPr>
              <w:t>Säilitusravi</w:t>
            </w:r>
          </w:p>
          <w:p w14:paraId="7FEC0B39" w14:textId="77777777" w:rsidR="00E21A2F" w:rsidRPr="00EC3BD7" w:rsidRDefault="00E21A2F" w:rsidP="00145F94">
            <w:pPr>
              <w:pStyle w:val="EndnoteText"/>
              <w:widowControl w:val="0"/>
              <w:rPr>
                <w:color w:val="000000"/>
                <w:lang w:val="et-EE"/>
              </w:rPr>
            </w:pPr>
            <w:r w:rsidRPr="00EC3BD7">
              <w:rPr>
                <w:color w:val="000000"/>
                <w:lang w:val="et-EE"/>
              </w:rPr>
              <w:t>(8-nädalased tsüklid)</w:t>
            </w:r>
          </w:p>
          <w:p w14:paraId="1D778EA2" w14:textId="77777777" w:rsidR="00E21A2F" w:rsidRPr="00EC3BD7" w:rsidRDefault="00E21A2F" w:rsidP="003C71AD">
            <w:pPr>
              <w:pStyle w:val="EndnoteText"/>
              <w:widowControl w:val="0"/>
              <w:rPr>
                <w:color w:val="000000"/>
                <w:lang w:val="et-EE"/>
              </w:rPr>
            </w:pPr>
            <w:r w:rsidRPr="00EC3BD7">
              <w:rPr>
                <w:color w:val="000000"/>
                <w:lang w:val="et-EE"/>
              </w:rPr>
              <w:t>Tsüklid 1</w:t>
            </w:r>
            <w:r w:rsidR="003C71AD" w:rsidRPr="00EC3BD7">
              <w:rPr>
                <w:color w:val="000000"/>
                <w:lang w:val="et-EE"/>
              </w:rPr>
              <w:t>...</w:t>
            </w:r>
            <w:r w:rsidRPr="00EC3BD7">
              <w:rPr>
                <w:color w:val="000000"/>
                <w:lang w:val="et-EE"/>
              </w:rPr>
              <w:t>4</w:t>
            </w:r>
          </w:p>
        </w:tc>
        <w:tc>
          <w:tcPr>
            <w:tcW w:w="6929" w:type="dxa"/>
            <w:shd w:val="clear" w:color="auto" w:fill="auto"/>
          </w:tcPr>
          <w:p w14:paraId="0EA79952" w14:textId="77777777" w:rsidR="00E21A2F" w:rsidRPr="00EC3BD7" w:rsidRDefault="00E21A2F" w:rsidP="00145F94">
            <w:pPr>
              <w:pStyle w:val="EndnoteText"/>
              <w:widowControl w:val="0"/>
              <w:rPr>
                <w:color w:val="000000"/>
                <w:lang w:val="et-EE"/>
              </w:rPr>
            </w:pPr>
            <w:r w:rsidRPr="00EC3BD7">
              <w:rPr>
                <w:color w:val="000000"/>
                <w:lang w:val="et-EE"/>
              </w:rPr>
              <w:t>MTX (5 g/m</w:t>
            </w:r>
            <w:r w:rsidRPr="00EC3BD7">
              <w:rPr>
                <w:color w:val="000000"/>
                <w:vertAlign w:val="superscript"/>
                <w:lang w:val="et-EE"/>
              </w:rPr>
              <w:t>2</w:t>
            </w:r>
            <w:r w:rsidRPr="00EC3BD7">
              <w:rPr>
                <w:color w:val="000000"/>
                <w:lang w:val="et-EE"/>
              </w:rPr>
              <w:t xml:space="preserve"> 24 tunni jooksul, IV): 1. päeval</w:t>
            </w:r>
          </w:p>
          <w:p w14:paraId="4EB1A8AB" w14:textId="77777777" w:rsidR="00E21A2F" w:rsidRPr="00EC3BD7" w:rsidRDefault="00E21A2F" w:rsidP="00145F94">
            <w:pPr>
              <w:pStyle w:val="EndnoteText"/>
              <w:widowControl w:val="0"/>
              <w:rPr>
                <w:color w:val="000000"/>
                <w:lang w:val="et-EE"/>
              </w:rPr>
            </w:pPr>
            <w:r w:rsidRPr="00EC3BD7">
              <w:rPr>
                <w:color w:val="000000"/>
                <w:lang w:val="et-EE"/>
              </w:rPr>
              <w:t>Leukovoriin (75 mg/m</w:t>
            </w:r>
            <w:r w:rsidRPr="00EC3BD7">
              <w:rPr>
                <w:color w:val="000000"/>
                <w:vertAlign w:val="superscript"/>
                <w:lang w:val="et-EE"/>
              </w:rPr>
              <w:t>2</w:t>
            </w:r>
            <w:r w:rsidRPr="00EC3BD7">
              <w:rPr>
                <w:color w:val="000000"/>
                <w:lang w:val="et-EE"/>
              </w:rPr>
              <w:t xml:space="preserve"> 36. tunnil, IV; 15 mg/m</w:t>
            </w:r>
            <w:r w:rsidRPr="00EC3BD7">
              <w:rPr>
                <w:color w:val="000000"/>
                <w:vertAlign w:val="superscript"/>
                <w:lang w:val="et-EE"/>
              </w:rPr>
              <w:t>2</w:t>
            </w:r>
            <w:r w:rsidRPr="00EC3BD7">
              <w:rPr>
                <w:color w:val="000000"/>
                <w:lang w:val="et-EE"/>
              </w:rPr>
              <w:t xml:space="preserve"> IV või PO q6h x 6 annust)iii: päevadel 2 ja 3</w:t>
            </w:r>
          </w:p>
          <w:p w14:paraId="10A085B6" w14:textId="77777777" w:rsidR="00E21A2F" w:rsidRPr="00EC3BD7" w:rsidRDefault="00E21A2F" w:rsidP="00145F94">
            <w:pPr>
              <w:pStyle w:val="EndnoteText"/>
              <w:widowControl w:val="0"/>
              <w:rPr>
                <w:color w:val="000000"/>
                <w:lang w:val="et-EE"/>
              </w:rPr>
            </w:pPr>
            <w:r w:rsidRPr="00EC3BD7">
              <w:rPr>
                <w:color w:val="000000"/>
                <w:lang w:val="et-EE"/>
              </w:rPr>
              <w:t>Kolmekordne IT ravi (vanusele kohandatud): päevadel 1, 29</w:t>
            </w:r>
          </w:p>
          <w:p w14:paraId="79364592" w14:textId="77777777" w:rsidR="00E21A2F" w:rsidRPr="00EC3BD7" w:rsidRDefault="00E21A2F" w:rsidP="00145F94">
            <w:pPr>
              <w:pStyle w:val="EndnoteText"/>
              <w:widowControl w:val="0"/>
              <w:rPr>
                <w:color w:val="000000"/>
                <w:lang w:val="et-EE"/>
              </w:rPr>
            </w:pPr>
            <w:r w:rsidRPr="00EC3BD7">
              <w:rPr>
                <w:color w:val="000000"/>
                <w:lang w:val="et-EE"/>
              </w:rPr>
              <w:t>VCR (1,5 mg/m</w:t>
            </w:r>
            <w:r w:rsidRPr="00EC3BD7">
              <w:rPr>
                <w:color w:val="000000"/>
                <w:vertAlign w:val="superscript"/>
                <w:lang w:val="et-EE"/>
              </w:rPr>
              <w:t>2</w:t>
            </w:r>
            <w:r w:rsidRPr="00EC3BD7">
              <w:rPr>
                <w:color w:val="000000"/>
                <w:lang w:val="et-EE"/>
              </w:rPr>
              <w:t>, IV): päevadel 1, 29</w:t>
            </w:r>
          </w:p>
          <w:p w14:paraId="3217E38E" w14:textId="77777777" w:rsidR="00E21A2F" w:rsidRPr="00EC3BD7" w:rsidRDefault="00E21A2F" w:rsidP="00145F94">
            <w:pPr>
              <w:pStyle w:val="EndnoteText"/>
              <w:widowControl w:val="0"/>
              <w:rPr>
                <w:color w:val="000000"/>
                <w:lang w:val="et-EE"/>
              </w:rPr>
            </w:pPr>
            <w:r w:rsidRPr="00EC3BD7">
              <w:rPr>
                <w:color w:val="000000"/>
                <w:lang w:val="et-EE"/>
              </w:rPr>
              <w:t>DEX (6 mg/m</w:t>
            </w:r>
            <w:r w:rsidRPr="00EC3BD7">
              <w:rPr>
                <w:color w:val="000000"/>
                <w:vertAlign w:val="superscript"/>
                <w:lang w:val="et-EE"/>
              </w:rPr>
              <w:t>2</w:t>
            </w:r>
            <w:r w:rsidRPr="00EC3BD7">
              <w:rPr>
                <w:color w:val="000000"/>
                <w:lang w:val="et-EE"/>
              </w:rPr>
              <w:t>/ööpäev PO): päevadel 1</w:t>
            </w:r>
            <w:r w:rsidR="003C71AD" w:rsidRPr="00EC3BD7">
              <w:rPr>
                <w:color w:val="000000"/>
                <w:lang w:val="et-EE"/>
              </w:rPr>
              <w:t>...</w:t>
            </w:r>
            <w:r w:rsidRPr="00EC3BD7">
              <w:rPr>
                <w:color w:val="000000"/>
                <w:lang w:val="et-EE"/>
              </w:rPr>
              <w:t>5; 29</w:t>
            </w:r>
            <w:r w:rsidR="003C71AD" w:rsidRPr="00EC3BD7">
              <w:rPr>
                <w:color w:val="000000"/>
                <w:lang w:val="et-EE"/>
              </w:rPr>
              <w:t>…</w:t>
            </w:r>
            <w:r w:rsidRPr="00EC3BD7">
              <w:rPr>
                <w:color w:val="000000"/>
                <w:lang w:val="et-EE"/>
              </w:rPr>
              <w:t>33</w:t>
            </w:r>
          </w:p>
          <w:p w14:paraId="59819F9E" w14:textId="77777777" w:rsidR="00E21A2F" w:rsidRPr="00EC3BD7" w:rsidRDefault="00E21A2F" w:rsidP="00145F94">
            <w:pPr>
              <w:pStyle w:val="EndnoteText"/>
              <w:widowControl w:val="0"/>
              <w:rPr>
                <w:color w:val="000000"/>
                <w:lang w:val="et-EE"/>
              </w:rPr>
            </w:pPr>
            <w:r w:rsidRPr="00EC3BD7">
              <w:rPr>
                <w:color w:val="000000"/>
                <w:lang w:val="et-EE"/>
              </w:rPr>
              <w:t>6-MP (75 mg/m</w:t>
            </w:r>
            <w:r w:rsidRPr="00EC3BD7">
              <w:rPr>
                <w:color w:val="000000"/>
                <w:vertAlign w:val="superscript"/>
                <w:lang w:val="et-EE"/>
              </w:rPr>
              <w:t>2</w:t>
            </w:r>
            <w:r w:rsidRPr="00EC3BD7">
              <w:rPr>
                <w:color w:val="000000"/>
                <w:lang w:val="et-EE"/>
              </w:rPr>
              <w:t>/ööpäev, PO): päevadel 8</w:t>
            </w:r>
            <w:r w:rsidR="003C71AD" w:rsidRPr="00EC3BD7">
              <w:rPr>
                <w:color w:val="000000"/>
                <w:lang w:val="et-EE"/>
              </w:rPr>
              <w:t>…</w:t>
            </w:r>
            <w:r w:rsidRPr="00EC3BD7">
              <w:rPr>
                <w:color w:val="000000"/>
                <w:lang w:val="et-EE"/>
              </w:rPr>
              <w:t>28</w:t>
            </w:r>
          </w:p>
          <w:p w14:paraId="5CD552DA" w14:textId="77777777" w:rsidR="00E21A2F" w:rsidRPr="00EC3BD7" w:rsidRDefault="00E21A2F" w:rsidP="00145F94">
            <w:pPr>
              <w:pStyle w:val="EndnoteText"/>
              <w:widowControl w:val="0"/>
              <w:rPr>
                <w:color w:val="000000"/>
                <w:lang w:val="et-EE"/>
              </w:rPr>
            </w:pPr>
            <w:r w:rsidRPr="00EC3BD7">
              <w:rPr>
                <w:color w:val="000000"/>
                <w:lang w:val="et-EE"/>
              </w:rPr>
              <w:t>Metotreksaat (20 mg/m</w:t>
            </w:r>
            <w:r w:rsidRPr="00EC3BD7">
              <w:rPr>
                <w:color w:val="000000"/>
                <w:vertAlign w:val="superscript"/>
                <w:lang w:val="et-EE"/>
              </w:rPr>
              <w:t>2</w:t>
            </w:r>
            <w:r w:rsidRPr="00EC3BD7">
              <w:rPr>
                <w:color w:val="000000"/>
                <w:lang w:val="et-EE"/>
              </w:rPr>
              <w:t>/nädal, PO): päevadel 8, 15, 22</w:t>
            </w:r>
          </w:p>
          <w:p w14:paraId="7ED868F5" w14:textId="77777777" w:rsidR="00E21A2F" w:rsidRPr="00EC3BD7" w:rsidRDefault="00E21A2F" w:rsidP="00145F94">
            <w:pPr>
              <w:pStyle w:val="EndnoteText"/>
              <w:widowControl w:val="0"/>
              <w:rPr>
                <w:color w:val="000000"/>
                <w:lang w:val="et-EE"/>
              </w:rPr>
            </w:pPr>
            <w:r w:rsidRPr="00EC3BD7">
              <w:rPr>
                <w:color w:val="000000"/>
                <w:lang w:val="et-EE"/>
              </w:rPr>
              <w:t>VP-16 (100 mg/m</w:t>
            </w:r>
            <w:r w:rsidRPr="00EC3BD7">
              <w:rPr>
                <w:color w:val="000000"/>
                <w:vertAlign w:val="superscript"/>
                <w:lang w:val="et-EE"/>
              </w:rPr>
              <w:t>2</w:t>
            </w:r>
            <w:r w:rsidRPr="00EC3BD7">
              <w:rPr>
                <w:color w:val="000000"/>
                <w:lang w:val="et-EE"/>
              </w:rPr>
              <w:t>, IV): päevadel 29</w:t>
            </w:r>
            <w:r w:rsidR="003C71AD" w:rsidRPr="00EC3BD7">
              <w:rPr>
                <w:color w:val="000000"/>
                <w:lang w:val="et-EE"/>
              </w:rPr>
              <w:t>…</w:t>
            </w:r>
            <w:r w:rsidRPr="00EC3BD7">
              <w:rPr>
                <w:color w:val="000000"/>
                <w:lang w:val="et-EE"/>
              </w:rPr>
              <w:t>33</w:t>
            </w:r>
          </w:p>
          <w:p w14:paraId="4F3F7132" w14:textId="77777777" w:rsidR="00E21A2F" w:rsidRPr="00EC3BD7" w:rsidRDefault="00E21A2F" w:rsidP="00145F94">
            <w:pPr>
              <w:pStyle w:val="EndnoteText"/>
              <w:widowControl w:val="0"/>
              <w:rPr>
                <w:color w:val="000000"/>
                <w:lang w:val="et-EE"/>
              </w:rPr>
            </w:pPr>
            <w:r w:rsidRPr="00EC3BD7">
              <w:rPr>
                <w:color w:val="000000"/>
                <w:lang w:val="et-EE"/>
              </w:rPr>
              <w:t>CPM (300 mg/m</w:t>
            </w:r>
            <w:r w:rsidRPr="00EC3BD7">
              <w:rPr>
                <w:color w:val="000000"/>
                <w:vertAlign w:val="superscript"/>
                <w:lang w:val="et-EE"/>
              </w:rPr>
              <w:t>2</w:t>
            </w:r>
            <w:r w:rsidRPr="00EC3BD7">
              <w:rPr>
                <w:color w:val="000000"/>
                <w:lang w:val="et-EE"/>
              </w:rPr>
              <w:t>, IV): päevadel 29</w:t>
            </w:r>
            <w:r w:rsidR="003C71AD" w:rsidRPr="00EC3BD7">
              <w:rPr>
                <w:color w:val="000000"/>
                <w:lang w:val="et-EE"/>
              </w:rPr>
              <w:t>…</w:t>
            </w:r>
            <w:r w:rsidRPr="00EC3BD7">
              <w:rPr>
                <w:color w:val="000000"/>
                <w:lang w:val="et-EE"/>
              </w:rPr>
              <w:t>33</w:t>
            </w:r>
          </w:p>
          <w:p w14:paraId="4FE65E1C" w14:textId="77777777" w:rsidR="00E21A2F" w:rsidRPr="00EC3BD7" w:rsidRDefault="00E21A2F" w:rsidP="00145F94">
            <w:pPr>
              <w:pStyle w:val="EndnoteText"/>
              <w:widowControl w:val="0"/>
              <w:rPr>
                <w:color w:val="000000"/>
                <w:lang w:val="et-EE"/>
              </w:rPr>
            </w:pPr>
            <w:r w:rsidRPr="00EC3BD7">
              <w:rPr>
                <w:color w:val="000000"/>
                <w:lang w:val="et-EE"/>
              </w:rPr>
              <w:t>MESNA IV päevadel 29</w:t>
            </w:r>
            <w:r w:rsidR="003C71AD" w:rsidRPr="00EC3BD7">
              <w:rPr>
                <w:color w:val="000000"/>
                <w:lang w:val="et-EE"/>
              </w:rPr>
              <w:t>…</w:t>
            </w:r>
            <w:r w:rsidRPr="00EC3BD7">
              <w:rPr>
                <w:color w:val="000000"/>
                <w:lang w:val="et-EE"/>
              </w:rPr>
              <w:t>33</w:t>
            </w:r>
          </w:p>
          <w:p w14:paraId="53B534EF" w14:textId="77777777" w:rsidR="00E21A2F" w:rsidRPr="00EC3BD7" w:rsidRDefault="00E21A2F" w:rsidP="003C71AD">
            <w:pPr>
              <w:pStyle w:val="EndnoteText"/>
              <w:widowControl w:val="0"/>
              <w:rPr>
                <w:color w:val="000000"/>
                <w:lang w:val="et-EE"/>
              </w:rPr>
            </w:pPr>
            <w:r w:rsidRPr="00EC3BD7">
              <w:rPr>
                <w:color w:val="000000"/>
                <w:lang w:val="et-EE"/>
              </w:rPr>
              <w:t>G-CSF (5 μg/kg, SC): päevadel 34</w:t>
            </w:r>
            <w:r w:rsidR="003C71AD" w:rsidRPr="00EC3BD7">
              <w:rPr>
                <w:color w:val="000000"/>
                <w:lang w:val="et-EE"/>
              </w:rPr>
              <w:t>…</w:t>
            </w:r>
            <w:r w:rsidRPr="00EC3BD7">
              <w:rPr>
                <w:color w:val="000000"/>
                <w:lang w:val="et-EE"/>
              </w:rPr>
              <w:t>43</w:t>
            </w:r>
          </w:p>
        </w:tc>
      </w:tr>
      <w:tr w:rsidR="00E21A2F" w:rsidRPr="005D29F8" w14:paraId="5A26A26B" w14:textId="77777777" w:rsidTr="00F53D51">
        <w:trPr>
          <w:cantSplit/>
        </w:trPr>
        <w:tc>
          <w:tcPr>
            <w:tcW w:w="2358" w:type="dxa"/>
            <w:shd w:val="clear" w:color="auto" w:fill="auto"/>
          </w:tcPr>
          <w:p w14:paraId="00FC29F8" w14:textId="77777777" w:rsidR="00E21A2F" w:rsidRPr="00EC3BD7" w:rsidRDefault="00E21A2F" w:rsidP="00145F94">
            <w:pPr>
              <w:pStyle w:val="EndnoteText"/>
              <w:widowControl w:val="0"/>
              <w:rPr>
                <w:color w:val="000000"/>
                <w:lang w:val="et-EE"/>
              </w:rPr>
            </w:pPr>
            <w:r w:rsidRPr="00EC3BD7">
              <w:rPr>
                <w:color w:val="000000"/>
                <w:lang w:val="et-EE"/>
              </w:rPr>
              <w:lastRenderedPageBreak/>
              <w:t>Säilitusravi</w:t>
            </w:r>
          </w:p>
          <w:p w14:paraId="64E2C591" w14:textId="77777777" w:rsidR="00E21A2F" w:rsidRPr="00EC3BD7" w:rsidRDefault="00E21A2F" w:rsidP="00145F94">
            <w:pPr>
              <w:pStyle w:val="EndnoteText"/>
              <w:widowControl w:val="0"/>
              <w:rPr>
                <w:color w:val="000000"/>
                <w:lang w:val="et-EE"/>
              </w:rPr>
            </w:pPr>
            <w:r w:rsidRPr="00EC3BD7">
              <w:rPr>
                <w:color w:val="000000"/>
                <w:lang w:val="et-EE"/>
              </w:rPr>
              <w:t>(8-nädalased tsüklid)</w:t>
            </w:r>
          </w:p>
          <w:p w14:paraId="6AC22789" w14:textId="77777777" w:rsidR="00E21A2F" w:rsidRPr="00EC3BD7" w:rsidRDefault="00E21A2F" w:rsidP="00145F94">
            <w:pPr>
              <w:pStyle w:val="EndnoteText"/>
              <w:widowControl w:val="0"/>
              <w:rPr>
                <w:color w:val="000000"/>
                <w:lang w:val="et-EE"/>
              </w:rPr>
            </w:pPr>
            <w:r w:rsidRPr="00EC3BD7">
              <w:rPr>
                <w:color w:val="000000"/>
                <w:lang w:val="et-EE"/>
              </w:rPr>
              <w:t>Tsükkel 5</w:t>
            </w:r>
          </w:p>
        </w:tc>
        <w:tc>
          <w:tcPr>
            <w:tcW w:w="6929" w:type="dxa"/>
            <w:shd w:val="clear" w:color="auto" w:fill="auto"/>
          </w:tcPr>
          <w:p w14:paraId="3573B299" w14:textId="77777777" w:rsidR="00E21A2F" w:rsidRPr="00EC3BD7" w:rsidRDefault="00E21A2F" w:rsidP="00145F94">
            <w:pPr>
              <w:pStyle w:val="EndnoteText"/>
              <w:widowControl w:val="0"/>
              <w:rPr>
                <w:color w:val="000000"/>
                <w:lang w:val="et-EE"/>
              </w:rPr>
            </w:pPr>
            <w:r w:rsidRPr="00EC3BD7">
              <w:rPr>
                <w:color w:val="000000"/>
                <w:lang w:val="et-EE"/>
              </w:rPr>
              <w:t>Kraniaalkiiritus (ainult rühm 5)</w:t>
            </w:r>
          </w:p>
          <w:p w14:paraId="32976CC7" w14:textId="77777777" w:rsidR="00E21A2F" w:rsidRPr="00EC3BD7" w:rsidRDefault="00E21A2F" w:rsidP="00145F94">
            <w:pPr>
              <w:pStyle w:val="EndnoteText"/>
              <w:widowControl w:val="0"/>
              <w:rPr>
                <w:color w:val="000000"/>
                <w:lang w:val="et-EE"/>
              </w:rPr>
            </w:pPr>
            <w:r w:rsidRPr="00EC3BD7">
              <w:rPr>
                <w:color w:val="000000"/>
                <w:lang w:val="et-EE"/>
              </w:rPr>
              <w:t>12 Gy 8 fraktsioonina kõigil patsientidel, kellel oli diagnoosimisel CNS1 ja CNS2</w:t>
            </w:r>
          </w:p>
          <w:p w14:paraId="7634D5EC" w14:textId="77777777" w:rsidR="00E21A2F" w:rsidRPr="00EC3BD7" w:rsidRDefault="00E21A2F" w:rsidP="00145F94">
            <w:pPr>
              <w:pStyle w:val="EndnoteText"/>
              <w:widowControl w:val="0"/>
              <w:rPr>
                <w:color w:val="000000"/>
                <w:lang w:val="et-EE"/>
              </w:rPr>
            </w:pPr>
            <w:r w:rsidRPr="00EC3BD7">
              <w:rPr>
                <w:color w:val="000000"/>
                <w:lang w:val="et-EE"/>
              </w:rPr>
              <w:t>18 Gy 10 fraktsioonina patsientidel, kellel oli diagnoosimisel CNS3</w:t>
            </w:r>
          </w:p>
          <w:p w14:paraId="63FFB173" w14:textId="77777777" w:rsidR="00E21A2F" w:rsidRPr="00EC3BD7" w:rsidRDefault="00E21A2F" w:rsidP="00145F94">
            <w:pPr>
              <w:pStyle w:val="EndnoteText"/>
              <w:widowControl w:val="0"/>
              <w:rPr>
                <w:color w:val="000000"/>
                <w:lang w:val="et-EE"/>
              </w:rPr>
            </w:pPr>
            <w:r w:rsidRPr="00EC3BD7">
              <w:rPr>
                <w:color w:val="000000"/>
                <w:lang w:val="et-EE"/>
              </w:rPr>
              <w:t>VCR (1,5 mg/m</w:t>
            </w:r>
            <w:r w:rsidRPr="00EC3BD7">
              <w:rPr>
                <w:color w:val="000000"/>
                <w:vertAlign w:val="superscript"/>
                <w:lang w:val="et-EE"/>
              </w:rPr>
              <w:t>2</w:t>
            </w:r>
            <w:r w:rsidRPr="00EC3BD7">
              <w:rPr>
                <w:color w:val="000000"/>
                <w:lang w:val="et-EE"/>
              </w:rPr>
              <w:t>/ööpäev, IV): päevadel 1, 29</w:t>
            </w:r>
          </w:p>
          <w:p w14:paraId="63476636" w14:textId="77777777" w:rsidR="00E21A2F" w:rsidRPr="00EC3BD7" w:rsidRDefault="00E21A2F" w:rsidP="00145F94">
            <w:pPr>
              <w:pStyle w:val="EndnoteText"/>
              <w:widowControl w:val="0"/>
              <w:rPr>
                <w:color w:val="000000"/>
                <w:lang w:val="et-EE"/>
              </w:rPr>
            </w:pPr>
            <w:r w:rsidRPr="00EC3BD7">
              <w:rPr>
                <w:color w:val="000000"/>
                <w:lang w:val="et-EE"/>
              </w:rPr>
              <w:t>DEX (6 mg/m</w:t>
            </w:r>
            <w:r w:rsidRPr="00EC3BD7">
              <w:rPr>
                <w:color w:val="000000"/>
                <w:vertAlign w:val="superscript"/>
                <w:lang w:val="et-EE"/>
              </w:rPr>
              <w:t>2</w:t>
            </w:r>
            <w:r w:rsidRPr="00EC3BD7">
              <w:rPr>
                <w:color w:val="000000"/>
                <w:lang w:val="et-EE"/>
              </w:rPr>
              <w:t>/ööpäev, PO): päevadel 1</w:t>
            </w:r>
            <w:r w:rsidR="003C71AD" w:rsidRPr="00EC3BD7">
              <w:rPr>
                <w:color w:val="000000"/>
                <w:lang w:val="et-EE"/>
              </w:rPr>
              <w:t>…</w:t>
            </w:r>
            <w:r w:rsidRPr="00EC3BD7">
              <w:rPr>
                <w:color w:val="000000"/>
                <w:lang w:val="et-EE"/>
              </w:rPr>
              <w:t>5; 29</w:t>
            </w:r>
            <w:r w:rsidR="003C71AD" w:rsidRPr="00EC3BD7">
              <w:rPr>
                <w:color w:val="000000"/>
                <w:lang w:val="et-EE"/>
              </w:rPr>
              <w:t>…</w:t>
            </w:r>
            <w:r w:rsidRPr="00EC3BD7">
              <w:rPr>
                <w:color w:val="000000"/>
                <w:lang w:val="et-EE"/>
              </w:rPr>
              <w:t>33</w:t>
            </w:r>
          </w:p>
          <w:p w14:paraId="452912DD" w14:textId="77777777" w:rsidR="00E21A2F" w:rsidRPr="00EC3BD7" w:rsidRDefault="00E21A2F" w:rsidP="00145F94">
            <w:pPr>
              <w:pStyle w:val="EndnoteText"/>
              <w:widowControl w:val="0"/>
              <w:rPr>
                <w:color w:val="000000"/>
                <w:lang w:val="et-EE"/>
              </w:rPr>
            </w:pPr>
            <w:r w:rsidRPr="00EC3BD7">
              <w:rPr>
                <w:color w:val="000000"/>
                <w:lang w:val="et-EE"/>
              </w:rPr>
              <w:t>6-MP (75 mg/m</w:t>
            </w:r>
            <w:r w:rsidRPr="00EC3BD7">
              <w:rPr>
                <w:color w:val="000000"/>
                <w:vertAlign w:val="superscript"/>
                <w:lang w:val="et-EE"/>
              </w:rPr>
              <w:t>2</w:t>
            </w:r>
            <w:r w:rsidRPr="00EC3BD7">
              <w:rPr>
                <w:color w:val="000000"/>
                <w:lang w:val="et-EE"/>
              </w:rPr>
              <w:t>/ööpäev, PO): päevadel 11</w:t>
            </w:r>
            <w:r w:rsidR="003C71AD" w:rsidRPr="00EC3BD7">
              <w:rPr>
                <w:color w:val="000000"/>
                <w:lang w:val="et-EE"/>
              </w:rPr>
              <w:t>…</w:t>
            </w:r>
            <w:r w:rsidRPr="00EC3BD7">
              <w:rPr>
                <w:color w:val="000000"/>
                <w:lang w:val="et-EE"/>
              </w:rPr>
              <w:t>56 (6-MP ei manustata kraniaalse kiiritusravi päevadel 6</w:t>
            </w:r>
            <w:r w:rsidR="003C71AD" w:rsidRPr="00EC3BD7">
              <w:rPr>
                <w:color w:val="000000"/>
                <w:lang w:val="et-EE"/>
              </w:rPr>
              <w:t>…</w:t>
            </w:r>
            <w:r w:rsidRPr="00EC3BD7">
              <w:rPr>
                <w:color w:val="000000"/>
                <w:lang w:val="et-EE"/>
              </w:rPr>
              <w:t>10 alates 5. tsükli 1. päevast. Alustada 6-MP manustamist 1. päeval pärast kraniaalse kiiritusravi lõpetamist.)</w:t>
            </w:r>
          </w:p>
          <w:p w14:paraId="53C57BAE" w14:textId="77777777" w:rsidR="00E21A2F" w:rsidRPr="00EC3BD7" w:rsidRDefault="00E21A2F" w:rsidP="00145F94">
            <w:pPr>
              <w:pStyle w:val="EndnoteText"/>
              <w:widowControl w:val="0"/>
              <w:rPr>
                <w:color w:val="000000"/>
                <w:lang w:val="et-EE"/>
              </w:rPr>
            </w:pPr>
            <w:r w:rsidRPr="00EC3BD7">
              <w:rPr>
                <w:color w:val="000000"/>
                <w:lang w:val="et-EE"/>
              </w:rPr>
              <w:t>Metotreksaat (20 mg/m</w:t>
            </w:r>
            <w:r w:rsidRPr="00EC3BD7">
              <w:rPr>
                <w:color w:val="000000"/>
                <w:vertAlign w:val="superscript"/>
                <w:lang w:val="et-EE"/>
              </w:rPr>
              <w:t>2</w:t>
            </w:r>
            <w:r w:rsidRPr="00EC3BD7">
              <w:rPr>
                <w:color w:val="000000"/>
                <w:lang w:val="et-EE"/>
              </w:rPr>
              <w:t>/nädal, PO): päevadel 8, 15, 22, 29, 36, 43, 50</w:t>
            </w:r>
          </w:p>
        </w:tc>
      </w:tr>
      <w:tr w:rsidR="00E21A2F" w:rsidRPr="005D29F8" w14:paraId="24FC04C9" w14:textId="77777777" w:rsidTr="00F53D51">
        <w:trPr>
          <w:cantSplit/>
        </w:trPr>
        <w:tc>
          <w:tcPr>
            <w:tcW w:w="2358" w:type="dxa"/>
            <w:shd w:val="clear" w:color="auto" w:fill="auto"/>
          </w:tcPr>
          <w:p w14:paraId="1731C568" w14:textId="77777777" w:rsidR="00E21A2F" w:rsidRPr="00EC3BD7" w:rsidRDefault="00E21A2F" w:rsidP="008B1609">
            <w:pPr>
              <w:pStyle w:val="EndnoteText"/>
              <w:keepNext/>
              <w:widowControl w:val="0"/>
              <w:rPr>
                <w:color w:val="000000"/>
                <w:lang w:val="et-EE"/>
              </w:rPr>
            </w:pPr>
            <w:r w:rsidRPr="00EC3BD7">
              <w:rPr>
                <w:color w:val="000000"/>
                <w:lang w:val="et-EE"/>
              </w:rPr>
              <w:t>Säilitusravi</w:t>
            </w:r>
          </w:p>
          <w:p w14:paraId="6B6ED4C9" w14:textId="77777777" w:rsidR="00E21A2F" w:rsidRPr="00EC3BD7" w:rsidRDefault="00E21A2F" w:rsidP="008B1609">
            <w:pPr>
              <w:pStyle w:val="EndnoteText"/>
              <w:keepNext/>
              <w:widowControl w:val="0"/>
              <w:rPr>
                <w:color w:val="000000"/>
                <w:lang w:val="et-EE"/>
              </w:rPr>
            </w:pPr>
            <w:r w:rsidRPr="00EC3BD7">
              <w:rPr>
                <w:color w:val="000000"/>
                <w:lang w:val="et-EE"/>
              </w:rPr>
              <w:t>(8-nädalased tsüklid)</w:t>
            </w:r>
          </w:p>
          <w:p w14:paraId="15E61118" w14:textId="77777777" w:rsidR="00E21A2F" w:rsidRPr="00EC3BD7" w:rsidRDefault="00E21A2F" w:rsidP="008B1609">
            <w:pPr>
              <w:pStyle w:val="EndnoteText"/>
              <w:keepNext/>
              <w:widowControl w:val="0"/>
              <w:rPr>
                <w:color w:val="000000"/>
                <w:lang w:val="et-EE"/>
              </w:rPr>
            </w:pPr>
            <w:r w:rsidRPr="00EC3BD7">
              <w:rPr>
                <w:color w:val="000000"/>
                <w:lang w:val="et-EE"/>
              </w:rPr>
              <w:t>Tsüklid 6</w:t>
            </w:r>
            <w:r w:rsidR="003C71AD" w:rsidRPr="00EC3BD7">
              <w:rPr>
                <w:color w:val="000000"/>
                <w:lang w:val="et-EE"/>
              </w:rPr>
              <w:t>…</w:t>
            </w:r>
            <w:r w:rsidRPr="00EC3BD7">
              <w:rPr>
                <w:color w:val="000000"/>
                <w:lang w:val="et-EE"/>
              </w:rPr>
              <w:t>12</w:t>
            </w:r>
          </w:p>
        </w:tc>
        <w:tc>
          <w:tcPr>
            <w:tcW w:w="6929" w:type="dxa"/>
            <w:shd w:val="clear" w:color="auto" w:fill="auto"/>
          </w:tcPr>
          <w:p w14:paraId="362A72C0" w14:textId="77777777" w:rsidR="00E21A2F" w:rsidRPr="00EC3BD7" w:rsidRDefault="00E21A2F" w:rsidP="008B1609">
            <w:pPr>
              <w:pStyle w:val="EndnoteText"/>
              <w:keepNext/>
              <w:widowControl w:val="0"/>
              <w:rPr>
                <w:color w:val="000000"/>
                <w:lang w:val="et-EE"/>
              </w:rPr>
            </w:pPr>
            <w:r w:rsidRPr="00EC3BD7">
              <w:rPr>
                <w:color w:val="000000"/>
                <w:lang w:val="et-EE"/>
              </w:rPr>
              <w:t>VCR (1,5 mg/m</w:t>
            </w:r>
            <w:r w:rsidRPr="00EC3BD7">
              <w:rPr>
                <w:color w:val="000000"/>
                <w:vertAlign w:val="superscript"/>
                <w:lang w:val="et-EE"/>
              </w:rPr>
              <w:t>2</w:t>
            </w:r>
            <w:r w:rsidRPr="00EC3BD7">
              <w:rPr>
                <w:color w:val="000000"/>
                <w:lang w:val="et-EE"/>
              </w:rPr>
              <w:t>/ööpäev, IV): päevadel 1, 29</w:t>
            </w:r>
          </w:p>
          <w:p w14:paraId="15810FF6" w14:textId="77777777" w:rsidR="00E21A2F" w:rsidRPr="00EC3BD7" w:rsidRDefault="00E21A2F" w:rsidP="008B1609">
            <w:pPr>
              <w:pStyle w:val="EndnoteText"/>
              <w:keepNext/>
              <w:widowControl w:val="0"/>
              <w:rPr>
                <w:color w:val="000000"/>
                <w:lang w:val="et-EE"/>
              </w:rPr>
            </w:pPr>
            <w:r w:rsidRPr="00EC3BD7">
              <w:rPr>
                <w:color w:val="000000"/>
                <w:lang w:val="et-EE"/>
              </w:rPr>
              <w:t>DEX (6 mg/m</w:t>
            </w:r>
            <w:r w:rsidRPr="00EC3BD7">
              <w:rPr>
                <w:color w:val="000000"/>
                <w:vertAlign w:val="superscript"/>
                <w:lang w:val="et-EE"/>
              </w:rPr>
              <w:t>2</w:t>
            </w:r>
            <w:r w:rsidRPr="00EC3BD7">
              <w:rPr>
                <w:color w:val="000000"/>
                <w:lang w:val="et-EE"/>
              </w:rPr>
              <w:t>/ööpäev, PO): päevadel 1</w:t>
            </w:r>
            <w:r w:rsidR="003C71AD" w:rsidRPr="00EC3BD7">
              <w:rPr>
                <w:color w:val="000000"/>
                <w:lang w:val="et-EE"/>
              </w:rPr>
              <w:t>…</w:t>
            </w:r>
            <w:r w:rsidRPr="00EC3BD7">
              <w:rPr>
                <w:color w:val="000000"/>
                <w:lang w:val="et-EE"/>
              </w:rPr>
              <w:t>5; 29</w:t>
            </w:r>
            <w:r w:rsidR="003C71AD" w:rsidRPr="00EC3BD7">
              <w:rPr>
                <w:color w:val="000000"/>
                <w:lang w:val="et-EE"/>
              </w:rPr>
              <w:t>…</w:t>
            </w:r>
            <w:r w:rsidRPr="00EC3BD7">
              <w:rPr>
                <w:color w:val="000000"/>
                <w:lang w:val="et-EE"/>
              </w:rPr>
              <w:t>33</w:t>
            </w:r>
          </w:p>
          <w:p w14:paraId="134E0C8A" w14:textId="77777777" w:rsidR="00E21A2F" w:rsidRPr="00EC3BD7" w:rsidRDefault="00E21A2F" w:rsidP="008B1609">
            <w:pPr>
              <w:pStyle w:val="EndnoteText"/>
              <w:keepNext/>
              <w:widowControl w:val="0"/>
              <w:rPr>
                <w:color w:val="000000"/>
                <w:lang w:val="et-EE"/>
              </w:rPr>
            </w:pPr>
            <w:r w:rsidRPr="00EC3BD7">
              <w:rPr>
                <w:color w:val="000000"/>
                <w:lang w:val="et-EE"/>
              </w:rPr>
              <w:t>6-MP (75 mg/m</w:t>
            </w:r>
            <w:r w:rsidRPr="00EC3BD7">
              <w:rPr>
                <w:color w:val="000000"/>
                <w:vertAlign w:val="superscript"/>
                <w:lang w:val="et-EE"/>
              </w:rPr>
              <w:t>2</w:t>
            </w:r>
            <w:r w:rsidRPr="00EC3BD7">
              <w:rPr>
                <w:color w:val="000000"/>
                <w:lang w:val="et-EE"/>
              </w:rPr>
              <w:t>/ööpäev, PO): päevadel 1</w:t>
            </w:r>
            <w:r w:rsidR="003C71AD" w:rsidRPr="00EC3BD7">
              <w:rPr>
                <w:color w:val="000000"/>
                <w:lang w:val="et-EE"/>
              </w:rPr>
              <w:t>…</w:t>
            </w:r>
            <w:r w:rsidRPr="00EC3BD7">
              <w:rPr>
                <w:color w:val="000000"/>
                <w:lang w:val="et-EE"/>
              </w:rPr>
              <w:t>56</w:t>
            </w:r>
          </w:p>
          <w:p w14:paraId="3443B824" w14:textId="77777777" w:rsidR="00E21A2F" w:rsidRPr="00EC3BD7" w:rsidRDefault="00E21A2F" w:rsidP="008B1609">
            <w:pPr>
              <w:pStyle w:val="EndnoteText"/>
              <w:keepNext/>
              <w:widowControl w:val="0"/>
              <w:rPr>
                <w:color w:val="000000"/>
                <w:lang w:val="et-EE"/>
              </w:rPr>
            </w:pPr>
            <w:r w:rsidRPr="00EC3BD7">
              <w:rPr>
                <w:color w:val="000000"/>
                <w:lang w:val="et-EE"/>
              </w:rPr>
              <w:t>Metotreksaat (20 mg/m</w:t>
            </w:r>
            <w:r w:rsidRPr="00EC3BD7">
              <w:rPr>
                <w:color w:val="000000"/>
                <w:vertAlign w:val="superscript"/>
                <w:lang w:val="et-EE"/>
              </w:rPr>
              <w:t>2</w:t>
            </w:r>
            <w:r w:rsidRPr="00EC3BD7">
              <w:rPr>
                <w:color w:val="000000"/>
                <w:lang w:val="et-EE"/>
              </w:rPr>
              <w:t>/nädal, PO): päevadel 1, 8, 15, 22, 29, 36, 43, 50</w:t>
            </w:r>
          </w:p>
        </w:tc>
      </w:tr>
    </w:tbl>
    <w:p w14:paraId="73506656" w14:textId="77777777" w:rsidR="00E21A2F" w:rsidRPr="00EC3BD7" w:rsidRDefault="00E21A2F" w:rsidP="008B1609">
      <w:pPr>
        <w:pStyle w:val="EndnoteText"/>
        <w:keepLines/>
        <w:widowControl w:val="0"/>
        <w:rPr>
          <w:color w:val="000000"/>
          <w:szCs w:val="22"/>
          <w:lang w:val="et-EE"/>
        </w:rPr>
      </w:pPr>
      <w:r w:rsidRPr="00EC3BD7">
        <w:rPr>
          <w:color w:val="000000"/>
          <w:szCs w:val="22"/>
          <w:lang w:val="et-EE"/>
        </w:rPr>
        <w:t>G-CSF = granulotsüütide kolooniaid stimuleeriv faktor, VP-16 = etoposiid, MTX = metotreksaat, IV = intravenoosne, SC = subkutaanne, IT = intratekaalne, PO = suukaudne, IM = intramuskulaarne, ARA-C = tsütarabiin, CPM = tsüklofosfamiid, VCR = vinkristiin, DEX = deksametasoon, DAUN = daunorubitsiin, 6-MP = 6-merkaptopuriin, E.Coli L-ASP = L-asparaginaas, PEG-ASP = PEG asparaginaas, MESNA= 2-merkaptoetaan naatriumsulfonaat, iii= või kuni MTX tase on &lt;0,1 µM, q6h = iga 6 tunni järel, Gy= Grei</w:t>
      </w:r>
    </w:p>
    <w:p w14:paraId="6E72F0D8" w14:textId="77777777" w:rsidR="00E21A2F" w:rsidRPr="00EC3BD7" w:rsidRDefault="00E21A2F" w:rsidP="00E21A2F">
      <w:pPr>
        <w:pStyle w:val="EndnoteText"/>
        <w:widowControl w:val="0"/>
        <w:jc w:val="both"/>
        <w:rPr>
          <w:color w:val="000000"/>
          <w:sz w:val="20"/>
          <w:lang w:val="et-EE"/>
        </w:rPr>
      </w:pPr>
    </w:p>
    <w:p w14:paraId="4A8E7532" w14:textId="74FB6A8F" w:rsidR="00E21A2F" w:rsidRPr="00EC3BD7" w:rsidRDefault="00E21A2F" w:rsidP="00E21A2F">
      <w:pPr>
        <w:pStyle w:val="EndnoteText"/>
        <w:widowControl w:val="0"/>
        <w:rPr>
          <w:color w:val="000000"/>
          <w:lang w:val="et-EE"/>
        </w:rPr>
      </w:pPr>
      <w:r w:rsidRPr="00EC3BD7">
        <w:rPr>
          <w:color w:val="000000"/>
          <w:szCs w:val="22"/>
          <w:lang w:val="et-EE"/>
        </w:rPr>
        <w:t>Uuring AIT07 oli mitmekeskuseline avatud randomiseeritud II/III faasi uuring, kus osales 128 patsienti (vanuses 1 kuni &lt;18 aastat), kes said imatiniibi kombinatsioonis kemoteraapiaga. Sellest uuringust pärinevad ohutusandmed on kooskõlas imatiniibi ohutusprofiiliga Ph+ ALL</w:t>
      </w:r>
      <w:r w:rsidR="00B43A79" w:rsidRPr="00593631">
        <w:rPr>
          <w:color w:val="000000"/>
          <w:szCs w:val="22"/>
          <w:lang w:val="et-EE"/>
        </w:rPr>
        <w:t>-i</w:t>
      </w:r>
      <w:r w:rsidRPr="00EC3BD7">
        <w:rPr>
          <w:color w:val="000000"/>
          <w:szCs w:val="22"/>
          <w:lang w:val="et-EE"/>
        </w:rPr>
        <w:t xml:space="preserve"> patsientidel.</w:t>
      </w:r>
    </w:p>
    <w:p w14:paraId="5632DA33" w14:textId="77777777" w:rsidR="00E21A2F" w:rsidRPr="00EC3BD7" w:rsidRDefault="00E21A2F" w:rsidP="00E21A2F">
      <w:pPr>
        <w:pStyle w:val="EndnoteText"/>
        <w:widowControl w:val="0"/>
        <w:tabs>
          <w:tab w:val="clear" w:pos="567"/>
        </w:tabs>
        <w:rPr>
          <w:color w:val="000000"/>
          <w:szCs w:val="22"/>
          <w:lang w:val="et-EE"/>
        </w:rPr>
      </w:pPr>
    </w:p>
    <w:p w14:paraId="77E9CAF6" w14:textId="5F0FAE9D" w:rsidR="00E21A2F" w:rsidRPr="00EC3BD7" w:rsidRDefault="00E21A2F" w:rsidP="00E21A2F">
      <w:pPr>
        <w:pStyle w:val="EndnoteText"/>
        <w:widowControl w:val="0"/>
        <w:tabs>
          <w:tab w:val="clear" w:pos="567"/>
        </w:tabs>
        <w:rPr>
          <w:color w:val="000000"/>
          <w:szCs w:val="22"/>
          <w:lang w:val="et-EE"/>
        </w:rPr>
      </w:pPr>
      <w:r w:rsidRPr="00EC3BD7">
        <w:rPr>
          <w:i/>
          <w:color w:val="000000"/>
          <w:szCs w:val="22"/>
          <w:lang w:val="et-EE"/>
        </w:rPr>
        <w:t>Retsidiveerunud/refraktaarne Ph+ </w:t>
      </w:r>
      <w:smartTag w:uri="urn:schemas-microsoft-com:office:smarttags" w:element="stockticker">
        <w:r w:rsidRPr="00EC3BD7">
          <w:rPr>
            <w:i/>
            <w:color w:val="000000"/>
            <w:szCs w:val="22"/>
            <w:lang w:val="et-EE"/>
          </w:rPr>
          <w:t>ALL</w:t>
        </w:r>
      </w:smartTag>
      <w:r w:rsidRPr="00EC3BD7">
        <w:rPr>
          <w:i/>
          <w:color w:val="000000"/>
          <w:szCs w:val="22"/>
          <w:lang w:val="et-EE"/>
        </w:rPr>
        <w:t>.</w:t>
      </w:r>
      <w:r w:rsidRPr="00EC3BD7">
        <w:rPr>
          <w:color w:val="000000"/>
          <w:szCs w:val="22"/>
          <w:lang w:val="et-EE"/>
        </w:rPr>
        <w:t xml:space="preserve"> Kui imatiniibi kasutati monoteraapiana retsidiveerunud/refraktaarse Ph+ </w:t>
      </w:r>
      <w:smartTag w:uri="urn:schemas-microsoft-com:office:smarttags" w:element="stockticker">
        <w:r w:rsidRPr="00EC3BD7">
          <w:rPr>
            <w:color w:val="000000"/>
            <w:szCs w:val="22"/>
            <w:lang w:val="et-EE"/>
          </w:rPr>
          <w:t>ALL</w:t>
        </w:r>
        <w:r w:rsidR="00B43A79" w:rsidRPr="00593631">
          <w:rPr>
            <w:color w:val="000000"/>
            <w:szCs w:val="22"/>
            <w:lang w:val="et-EE"/>
          </w:rPr>
          <w:t>-i</w:t>
        </w:r>
      </w:smartTag>
      <w:r w:rsidRPr="00EC3BD7">
        <w:rPr>
          <w:color w:val="000000"/>
          <w:szCs w:val="22"/>
          <w:lang w:val="et-EE"/>
        </w:rPr>
        <w:t xml:space="preserve"> patsientidel, saavutasid 411 uuritust 53 patsienti hematoloogilise ravivastuse 30% (9% täielik ravivastus) ja 23% olulise tsütogeneetilise ravivastuse. (Tuleb märkida, et 411 patsiendist 353 said ravi laiendatud juurdepääsuprogrammi alusel ilma, et oleks kogutud esmase ravivastuse andmeid.) 411 retsidiveerunud/refraktaarse Ph+ </w:t>
      </w:r>
      <w:smartTag w:uri="urn:schemas-microsoft-com:office:smarttags" w:element="stockticker">
        <w:r w:rsidRPr="00EC3BD7">
          <w:rPr>
            <w:color w:val="000000"/>
            <w:szCs w:val="22"/>
            <w:lang w:val="et-EE"/>
          </w:rPr>
          <w:t>ALL</w:t>
        </w:r>
        <w:r w:rsidR="00B43A79" w:rsidRPr="00593631">
          <w:rPr>
            <w:color w:val="000000"/>
            <w:szCs w:val="22"/>
            <w:lang w:val="et-EE"/>
          </w:rPr>
          <w:t>-i</w:t>
        </w:r>
      </w:smartTag>
      <w:r w:rsidRPr="00EC3BD7">
        <w:rPr>
          <w:color w:val="000000"/>
          <w:szCs w:val="22"/>
          <w:lang w:val="et-EE"/>
        </w:rPr>
        <w:t xml:space="preserve"> patsiendi seas jäi keskmine haiguse progresseerumiseni kulunud aeg vahemikku 2,6...3,1 kuud ning keskmine üldine elulemus 401 uuritud patsiendi seas oli 4,9...9 kuud. Andmed olid samad täiendavas analüüsis, mis hõlmas patsiente vanuses 55 aastat ja vanemad.</w:t>
      </w:r>
    </w:p>
    <w:p w14:paraId="5F1C49E8" w14:textId="77777777" w:rsidR="00E21A2F" w:rsidRPr="00EC3BD7" w:rsidRDefault="00E21A2F" w:rsidP="00E21A2F">
      <w:pPr>
        <w:pStyle w:val="EndnoteText"/>
        <w:widowControl w:val="0"/>
        <w:tabs>
          <w:tab w:val="clear" w:pos="567"/>
        </w:tabs>
        <w:rPr>
          <w:color w:val="000000"/>
          <w:szCs w:val="22"/>
          <w:lang w:val="et-EE"/>
        </w:rPr>
      </w:pPr>
    </w:p>
    <w:p w14:paraId="5B4C43F0" w14:textId="77777777" w:rsidR="00E21A2F" w:rsidRPr="00EC3BD7" w:rsidRDefault="00E21A2F" w:rsidP="00B9089D">
      <w:pPr>
        <w:pStyle w:val="EndnoteText"/>
        <w:keepNext/>
        <w:widowControl w:val="0"/>
        <w:tabs>
          <w:tab w:val="clear" w:pos="567"/>
        </w:tabs>
        <w:rPr>
          <w:color w:val="000000"/>
          <w:szCs w:val="22"/>
          <w:lang w:val="et-EE"/>
        </w:rPr>
      </w:pPr>
      <w:r w:rsidRPr="00EC3BD7">
        <w:rPr>
          <w:color w:val="000000"/>
          <w:szCs w:val="22"/>
          <w:u w:val="single"/>
          <w:lang w:val="et-EE"/>
        </w:rPr>
        <w:t xml:space="preserve">Kliinilised </w:t>
      </w:r>
      <w:smartTag w:uri="urn:schemas-microsoft-com:office:smarttags" w:element="stockticker">
        <w:r w:rsidRPr="00EC3BD7">
          <w:rPr>
            <w:color w:val="000000"/>
            <w:szCs w:val="22"/>
            <w:u w:val="single"/>
            <w:lang w:val="et-EE"/>
          </w:rPr>
          <w:t>MDS</w:t>
        </w:r>
      </w:smartTag>
      <w:r w:rsidRPr="00EC3BD7">
        <w:rPr>
          <w:color w:val="000000"/>
          <w:szCs w:val="22"/>
          <w:u w:val="single"/>
          <w:lang w:val="et-EE"/>
        </w:rPr>
        <w:t>/MPD uuringud</w:t>
      </w:r>
    </w:p>
    <w:p w14:paraId="17D7354B" w14:textId="244ED1F1" w:rsidR="001D7897" w:rsidRPr="00EC3BD7" w:rsidRDefault="00E21A2F" w:rsidP="001E0581">
      <w:pPr>
        <w:pStyle w:val="EndnoteText"/>
        <w:widowControl w:val="0"/>
        <w:tabs>
          <w:tab w:val="clear" w:pos="567"/>
        </w:tabs>
        <w:rPr>
          <w:color w:val="000000"/>
          <w:szCs w:val="22"/>
          <w:lang w:val="et-EE"/>
        </w:rPr>
      </w:pPr>
      <w:r w:rsidRPr="00EC3BD7">
        <w:rPr>
          <w:color w:val="000000"/>
          <w:szCs w:val="22"/>
          <w:lang w:val="et-EE"/>
        </w:rPr>
        <w:t xml:space="preserve">Gliveci kasutamise kogemused sellel näidustusel on väga vähesed ning põhinevad hematoloogilise ja tsütogeneetilise ravivastuse määral. Kliinilist kasu või elulemuse suurenemist tõestavaid kontrollgrupiga uuringuid ei ole. Avatud, mitmekeskuselises II faasi kliinilises uuringus (uuring B2225) hinnati Gliveci kasutamist erinevatel patsientidel, kellel esinesid </w:t>
      </w:r>
      <w:smartTag w:uri="urn:schemas-microsoft-com:office:smarttags" w:element="stockticker">
        <w:r w:rsidRPr="00EC3BD7">
          <w:rPr>
            <w:color w:val="000000"/>
            <w:szCs w:val="22"/>
            <w:lang w:val="et-EE"/>
          </w:rPr>
          <w:t>ABL</w:t>
        </w:r>
      </w:smartTag>
      <w:r w:rsidRPr="00EC3BD7">
        <w:rPr>
          <w:color w:val="000000"/>
          <w:szCs w:val="22"/>
          <w:lang w:val="et-EE"/>
        </w:rPr>
        <w:t>, Kit või PDGFR valgu türosiinkinaasiga seotud eluohtlikud haigused. Selles uuringus osales 7 </w:t>
      </w:r>
      <w:smartTag w:uri="urn:schemas-microsoft-com:office:smarttags" w:element="stockticker">
        <w:r w:rsidRPr="00EC3BD7">
          <w:rPr>
            <w:color w:val="000000"/>
            <w:szCs w:val="22"/>
            <w:lang w:val="et-EE"/>
          </w:rPr>
          <w:t>MDS</w:t>
        </w:r>
      </w:smartTag>
      <w:r w:rsidRPr="00EC3BD7">
        <w:rPr>
          <w:color w:val="000000"/>
          <w:szCs w:val="22"/>
          <w:lang w:val="et-EE"/>
        </w:rPr>
        <w:t>/MPD patsienti, keda raviti Gliveci annusega 400 mg ööpäevas. Kolm patsienti saavutasid täieliku hematoloogilise ravivastuse ning üks patsient osalise hematoloogilise ravivastuse. Neljast PDGFR</w:t>
      </w:r>
      <w:r w:rsidR="00B43A79" w:rsidRPr="00593631">
        <w:rPr>
          <w:color w:val="000000"/>
          <w:szCs w:val="22"/>
          <w:lang w:val="et-EE"/>
        </w:rPr>
        <w:t>-i</w:t>
      </w:r>
      <w:r w:rsidRPr="00EC3BD7">
        <w:rPr>
          <w:color w:val="000000"/>
          <w:szCs w:val="22"/>
          <w:lang w:val="et-EE"/>
        </w:rPr>
        <w:t xml:space="preserve"> geneetilise rekombinatsiooniga patsiendist kolm saavutasid andmete analüüsi ajaks hematoloogilise ravivastuse (2 täieliku ja 1 osalise). Patsientide vanus oli 20…72 aastat.</w:t>
      </w:r>
    </w:p>
    <w:p w14:paraId="36242F53" w14:textId="77777777" w:rsidR="001D7897" w:rsidRPr="00EC3BD7" w:rsidRDefault="001D7897" w:rsidP="001E0581">
      <w:pPr>
        <w:pStyle w:val="EndnoteText"/>
        <w:widowControl w:val="0"/>
        <w:tabs>
          <w:tab w:val="clear" w:pos="567"/>
        </w:tabs>
        <w:rPr>
          <w:color w:val="000000"/>
          <w:szCs w:val="22"/>
          <w:lang w:val="et-EE"/>
        </w:rPr>
      </w:pPr>
    </w:p>
    <w:p w14:paraId="25385C05" w14:textId="77777777" w:rsidR="001D7897" w:rsidRPr="00EC3BD7" w:rsidRDefault="001D7897" w:rsidP="001D7897">
      <w:pPr>
        <w:pStyle w:val="EndnoteText"/>
        <w:rPr>
          <w:color w:val="000000"/>
          <w:szCs w:val="22"/>
          <w:lang w:val="et-EE"/>
        </w:rPr>
      </w:pPr>
      <w:r w:rsidRPr="00EC3BD7">
        <w:rPr>
          <w:color w:val="000000"/>
          <w:szCs w:val="22"/>
          <w:lang w:val="et-EE"/>
        </w:rPr>
        <w:t>Pikaajaliste ohutuse ja efektiivsuse andmete kogumiseks Gliveci patsientidelt, kellel on müeloproliferatiivsed kasvajad PDGFR- β rekombinatsiooniga, loodi vaatlusandmetel põhinev register (uuring L2401). Registrisse võetud 23 Glivecit kasutanud patsiendi ööpäevane  annuse mediaan oli 264 mg (vahemik: 100 kuni 400 mg) ning kestuse mediaan 7,2 aastat (vahemik 0,1 kuni 12,7 aastat). Vaatlusandmetel põhineva registri omaduste tõttu saadi hematoloogilise, tsütogeneetilise ja molekulaarse hindamise andmed vastavalt 22</w:t>
      </w:r>
      <w:r w:rsidRPr="00EC3BD7">
        <w:rPr>
          <w:color w:val="000000"/>
          <w:szCs w:val="22"/>
          <w:lang w:val="et-EE"/>
        </w:rPr>
        <w:noBreakHyphen/>
        <w:t>lt, 9</w:t>
      </w:r>
      <w:r w:rsidRPr="00EC3BD7">
        <w:rPr>
          <w:color w:val="000000"/>
          <w:szCs w:val="22"/>
          <w:lang w:val="et-EE"/>
        </w:rPr>
        <w:noBreakHyphen/>
        <w:t>lt ja 17</w:t>
      </w:r>
      <w:r w:rsidRPr="00EC3BD7">
        <w:rPr>
          <w:color w:val="000000"/>
          <w:szCs w:val="22"/>
          <w:lang w:val="et-EE"/>
        </w:rPr>
        <w:noBreakHyphen/>
        <w:t>lt patsiendilt 23</w:t>
      </w:r>
      <w:r w:rsidRPr="00EC3BD7">
        <w:rPr>
          <w:color w:val="000000"/>
          <w:szCs w:val="22"/>
          <w:lang w:val="et-EE"/>
        </w:rPr>
        <w:noBreakHyphen/>
        <w:t xml:space="preserve">st. Andmete konservatiivsel käsitlemisel, mille korral loeti andmete puudumist ravivastuse puudumiseks, täheldati 20/23 (87%) patsientidest täielikku hematoloogilist ravivastust, 9/23 (39,1%) täielikku tsütogeneetilist ravivastust ning 11/23 (47,8%) molekulaarset ravivastust. Kui ravivastuse määra arvutamisel võeti arvesse patsiente, kellel oli vähemalt üks valiidne hindamine, olid täieliku hematoloogilise, täieliku </w:t>
      </w:r>
      <w:r w:rsidRPr="00EC3BD7">
        <w:rPr>
          <w:color w:val="000000"/>
          <w:szCs w:val="22"/>
          <w:lang w:val="et-EE"/>
        </w:rPr>
        <w:lastRenderedPageBreak/>
        <w:t>tsütogeneetilise ja molekulaarse ravivastuse määrad vastavalt 20/22 (90,9%), 9/9 (100%) ja 11/17 (64,7%).</w:t>
      </w:r>
    </w:p>
    <w:p w14:paraId="7E2EEF9F" w14:textId="77777777" w:rsidR="001D7897" w:rsidRPr="00EC3BD7" w:rsidRDefault="001D7897" w:rsidP="001D7897">
      <w:pPr>
        <w:pStyle w:val="EndnoteText"/>
        <w:rPr>
          <w:color w:val="000000"/>
          <w:szCs w:val="22"/>
          <w:lang w:val="et-EE"/>
        </w:rPr>
      </w:pPr>
    </w:p>
    <w:p w14:paraId="69ABB5B9" w14:textId="7858437B"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Lisaks sellele on 13 publikatsioonis teateid veel 24 </w:t>
      </w:r>
      <w:smartTag w:uri="urn:schemas-microsoft-com:office:smarttags" w:element="stockticker">
        <w:r w:rsidRPr="00EC3BD7">
          <w:rPr>
            <w:color w:val="000000"/>
            <w:szCs w:val="22"/>
            <w:lang w:val="et-EE"/>
          </w:rPr>
          <w:t>MDS</w:t>
        </w:r>
      </w:smartTag>
      <w:r w:rsidRPr="00EC3BD7">
        <w:rPr>
          <w:color w:val="000000"/>
          <w:szCs w:val="22"/>
          <w:lang w:val="et-EE"/>
        </w:rPr>
        <w:t>/MPD patsiendi kohta. Neist 21 patsienti said raviks 400 mg Glivecit ööpäevas, ülejäänud 3 patsienti väiksemaid annuseid. Üheteistkümnel patsiendil tuvastati PDGFR</w:t>
      </w:r>
      <w:r w:rsidR="00B43A79" w:rsidRPr="00593631">
        <w:rPr>
          <w:color w:val="000000"/>
          <w:szCs w:val="22"/>
          <w:lang w:val="et-EE"/>
        </w:rPr>
        <w:t>-i</w:t>
      </w:r>
      <w:r w:rsidRPr="00EC3BD7">
        <w:rPr>
          <w:color w:val="000000"/>
          <w:szCs w:val="22"/>
          <w:lang w:val="et-EE"/>
        </w:rPr>
        <w:t xml:space="preserve"> geneetiline rekombinatsioon, neist 9 saavutasid täieliku ja 1 osalise hematoloogilise ravivastuse. Nende patsientide vanus oli vahemikus 2…79 aastat. Hilisemates publikatsioonides on täiendavaid teateid, et üheteistkümnest patsiendist 6 on jätkuvalt tsütogeneetilises remissioonis (vahemikus 32…38 kuud). Samas publikatsioonis on täiendavad andmed 12 </w:t>
      </w:r>
      <w:smartTag w:uri="urn:schemas-microsoft-com:office:smarttags" w:element="stockticker">
        <w:r w:rsidRPr="00EC3BD7">
          <w:rPr>
            <w:color w:val="000000"/>
            <w:szCs w:val="22"/>
            <w:lang w:val="et-EE"/>
          </w:rPr>
          <w:t>MDS</w:t>
        </w:r>
      </w:smartTag>
      <w:r w:rsidRPr="00EC3BD7">
        <w:rPr>
          <w:color w:val="000000"/>
          <w:szCs w:val="22"/>
          <w:lang w:val="et-EE"/>
        </w:rPr>
        <w:t>/MPD PDGFR</w:t>
      </w:r>
      <w:r w:rsidR="00B43A79" w:rsidRPr="00593631">
        <w:rPr>
          <w:color w:val="000000"/>
          <w:szCs w:val="22"/>
          <w:lang w:val="et-EE"/>
        </w:rPr>
        <w:t>-i</w:t>
      </w:r>
      <w:r w:rsidRPr="00EC3BD7">
        <w:rPr>
          <w:color w:val="000000"/>
          <w:szCs w:val="22"/>
          <w:lang w:val="et-EE"/>
        </w:rPr>
        <w:t xml:space="preserve"> geneetilise rekombinatsiooniga patsiendi (5 patsienti uuringust B2225) pikaaegsest jälgimisest. Need patsiendid said Glivecit keskmiselt 47 kuud (vahemikus 24 päeva kuni 60 kuud). Nendest patsientidest kuuel ületab jälgimisperiood 4 aastat. Üksteist patsienti saavutasid kiire täieliku hematoloogilise ravivastuse; kümnel kadusid täielikult tsütogeneetilised kahjustused ja kadusid või vähenesid liittranskriptid RT-</w:t>
      </w:r>
      <w:smartTag w:uri="urn:schemas-microsoft-com:office:smarttags" w:element="stockticker">
        <w:r w:rsidRPr="00EC3BD7">
          <w:rPr>
            <w:color w:val="000000"/>
            <w:szCs w:val="22"/>
            <w:lang w:val="et-EE"/>
          </w:rPr>
          <w:t>PCR</w:t>
        </w:r>
      </w:smartTag>
      <w:r w:rsidRPr="00EC3BD7">
        <w:rPr>
          <w:color w:val="000000"/>
          <w:szCs w:val="22"/>
          <w:lang w:val="et-EE"/>
        </w:rPr>
        <w:t xml:space="preserve"> mõõtmisel. Hematoloogiline ja tsütogeneetiline ravivastus püsis keskmiselt 49 kuud (vahemikus 19…60) ja 47 kuud (vahemikus 16…59). Üleüldine elulemus oli 65 kuud alates diagnoosimisest (vahemikus 25…234). Ilma geneetilise traslokatsioonita patsientidel ei andnud Gliveci kasutamine paranemisele viitavaid tulemusi.</w:t>
      </w:r>
    </w:p>
    <w:p w14:paraId="7B6769EC" w14:textId="77777777" w:rsidR="00E21A2F" w:rsidRPr="00EC3BD7" w:rsidRDefault="00E21A2F" w:rsidP="00E21A2F">
      <w:pPr>
        <w:pStyle w:val="EndnoteText"/>
        <w:widowControl w:val="0"/>
        <w:tabs>
          <w:tab w:val="clear" w:pos="567"/>
        </w:tabs>
        <w:rPr>
          <w:color w:val="000000"/>
          <w:szCs w:val="22"/>
          <w:lang w:val="et-EE"/>
        </w:rPr>
      </w:pPr>
    </w:p>
    <w:p w14:paraId="49577C45" w14:textId="70C62913" w:rsidR="00E21A2F" w:rsidRPr="00EC3BD7" w:rsidRDefault="00E21A2F" w:rsidP="00E21A2F">
      <w:pPr>
        <w:pStyle w:val="EndnoteText"/>
        <w:widowControl w:val="0"/>
        <w:tabs>
          <w:tab w:val="clear" w:pos="567"/>
        </w:tabs>
        <w:rPr>
          <w:color w:val="000000"/>
          <w:szCs w:val="22"/>
          <w:lang w:val="et-EE"/>
        </w:rPr>
      </w:pPr>
      <w:smartTag w:uri="urn:schemas-microsoft-com:office:smarttags" w:element="stockticker">
        <w:r w:rsidRPr="00EC3BD7">
          <w:rPr>
            <w:color w:val="000000"/>
            <w:szCs w:val="22"/>
            <w:lang w:val="et-EE"/>
          </w:rPr>
          <w:t>MDS</w:t>
        </w:r>
      </w:smartTag>
      <w:r w:rsidRPr="00EC3BD7">
        <w:rPr>
          <w:color w:val="000000"/>
          <w:szCs w:val="22"/>
          <w:lang w:val="et-EE"/>
        </w:rPr>
        <w:t>/MPD pediaatrilistel patsientidel ei ole kontrollitud kliinilisi uuringuid läbi viidud. 4-s publikatsioonis kirjeldati 5 </w:t>
      </w:r>
      <w:smartTag w:uri="urn:schemas-microsoft-com:office:smarttags" w:element="stockticker">
        <w:r w:rsidRPr="00EC3BD7">
          <w:rPr>
            <w:color w:val="000000"/>
            <w:szCs w:val="22"/>
            <w:lang w:val="et-EE"/>
          </w:rPr>
          <w:t>MDS</w:t>
        </w:r>
      </w:smartTag>
      <w:r w:rsidRPr="00EC3BD7">
        <w:rPr>
          <w:color w:val="000000"/>
          <w:szCs w:val="22"/>
          <w:lang w:val="et-EE"/>
        </w:rPr>
        <w:t>/MPD PDGFR</w:t>
      </w:r>
      <w:r w:rsidR="00B43A79" w:rsidRPr="00593631">
        <w:rPr>
          <w:color w:val="000000"/>
          <w:szCs w:val="22"/>
          <w:lang w:val="et-EE"/>
        </w:rPr>
        <w:t>-i</w:t>
      </w:r>
      <w:r w:rsidRPr="00EC3BD7">
        <w:rPr>
          <w:color w:val="000000"/>
          <w:szCs w:val="22"/>
          <w:lang w:val="et-EE"/>
        </w:rPr>
        <w:t xml:space="preserve"> geneetilise rekombinatsiooniga patsienti. Nende patsientide vanus oli 3 kuud kuni 4 aastat ja imatiniibi manustati annuses 50 mg ööpäevas või annuses 92,5 kuni 340 mg/m</w:t>
      </w:r>
      <w:r w:rsidRPr="00EC3BD7">
        <w:rPr>
          <w:color w:val="000000"/>
          <w:szCs w:val="22"/>
          <w:vertAlign w:val="superscript"/>
          <w:lang w:val="et-EE"/>
        </w:rPr>
        <w:t>2</w:t>
      </w:r>
      <w:r w:rsidRPr="00EC3BD7">
        <w:rPr>
          <w:color w:val="000000"/>
          <w:szCs w:val="22"/>
          <w:lang w:val="et-EE"/>
        </w:rPr>
        <w:t xml:space="preserve"> ööpäevas. Kõigil patsientidel saavutati täielik hematoloogiline, tsütogeneetiline ja/või kliiniline ravivastus.</w:t>
      </w:r>
    </w:p>
    <w:p w14:paraId="3C472E85" w14:textId="77777777" w:rsidR="00E21A2F" w:rsidRPr="00EC3BD7" w:rsidRDefault="00E21A2F" w:rsidP="00E21A2F">
      <w:pPr>
        <w:pStyle w:val="EndnoteText"/>
        <w:widowControl w:val="0"/>
        <w:tabs>
          <w:tab w:val="clear" w:pos="567"/>
        </w:tabs>
        <w:rPr>
          <w:color w:val="000000"/>
          <w:szCs w:val="22"/>
          <w:lang w:val="et-EE"/>
        </w:rPr>
      </w:pPr>
    </w:p>
    <w:p w14:paraId="11D07AC9" w14:textId="7AE0AF65" w:rsidR="00E21A2F" w:rsidRPr="00EC3BD7" w:rsidRDefault="00E21A2F" w:rsidP="00B9089D">
      <w:pPr>
        <w:pStyle w:val="EndnoteText"/>
        <w:keepNext/>
        <w:widowControl w:val="0"/>
        <w:tabs>
          <w:tab w:val="clear" w:pos="567"/>
        </w:tabs>
        <w:rPr>
          <w:color w:val="000000"/>
          <w:szCs w:val="22"/>
          <w:u w:val="single"/>
          <w:lang w:val="et-EE"/>
        </w:rPr>
      </w:pPr>
      <w:r w:rsidRPr="00EC3BD7">
        <w:rPr>
          <w:color w:val="000000"/>
          <w:szCs w:val="22"/>
          <w:u w:val="single"/>
          <w:lang w:val="et-EE"/>
        </w:rPr>
        <w:t>HES/KEL</w:t>
      </w:r>
      <w:r w:rsidR="00B43A79" w:rsidRPr="00593631">
        <w:rPr>
          <w:color w:val="000000"/>
          <w:szCs w:val="22"/>
          <w:lang w:val="et-EE"/>
        </w:rPr>
        <w:t>-i</w:t>
      </w:r>
      <w:r w:rsidRPr="00EC3BD7">
        <w:rPr>
          <w:color w:val="000000"/>
          <w:szCs w:val="22"/>
          <w:u w:val="single"/>
          <w:lang w:val="et-EE"/>
        </w:rPr>
        <w:t xml:space="preserve"> kliinilised uuringud</w:t>
      </w:r>
    </w:p>
    <w:p w14:paraId="06033C07" w14:textId="6D299DED" w:rsidR="00E21A2F" w:rsidRPr="00EC3BD7" w:rsidRDefault="00E21A2F" w:rsidP="00E21A2F">
      <w:pPr>
        <w:rPr>
          <w:color w:val="000000"/>
          <w:szCs w:val="22"/>
          <w:lang w:val="et-EE"/>
        </w:rPr>
      </w:pPr>
      <w:r w:rsidRPr="00EC3BD7">
        <w:rPr>
          <w:color w:val="000000"/>
          <w:szCs w:val="22"/>
          <w:lang w:val="et-EE"/>
        </w:rPr>
        <w:t>Ühes mitmekeskuselises II faasi avatud uuringus (uuring B2225) hinnati Gliveci toimet erinevatele Abl, Kit või PDGFR proteiin-türosiinkinaasiga seotud eluohtlike haigustega patsientide populatsioonidele. Selles uuringus raviti 14 HES/KEL</w:t>
      </w:r>
      <w:r w:rsidR="00B43A79" w:rsidRPr="00593631">
        <w:rPr>
          <w:color w:val="000000"/>
          <w:szCs w:val="22"/>
          <w:lang w:val="et-EE"/>
        </w:rPr>
        <w:t>-i</w:t>
      </w:r>
      <w:r w:rsidRPr="00EC3BD7">
        <w:rPr>
          <w:color w:val="000000"/>
          <w:szCs w:val="22"/>
          <w:lang w:val="et-EE"/>
        </w:rPr>
        <w:t xml:space="preserve"> patsienti Gliveciga annuses 100 mg kuni 1000 mg. Lisaks sellele on 35-s publikatsioonis teateid 162 HES/KEL</w:t>
      </w:r>
      <w:r w:rsidR="00B43A79" w:rsidRPr="00593631">
        <w:rPr>
          <w:color w:val="000000"/>
          <w:szCs w:val="22"/>
          <w:lang w:val="et-EE"/>
        </w:rPr>
        <w:t>-i</w:t>
      </w:r>
      <w:r w:rsidRPr="00EC3BD7">
        <w:rPr>
          <w:color w:val="000000"/>
          <w:szCs w:val="22"/>
          <w:lang w:val="et-EE"/>
        </w:rPr>
        <w:t xml:space="preserve"> patsiendi andmetest, kes said Glivecit annuses 75 mg kuni 800 mg ööpäevas. Tsütogeneetilisi muutusi täheldati 117-l patsiendil 176-st. Nendest 117 patsiendist 61 patsienti olid FIP1L1-PDGFRα liit-kinaas-positiivsed. Kolmes publikatsioonis olid andmed veel nelja FIP1L1-PDGFRα positiivsed HES patsiendi kohta. Kõigil 65-l FIP1L1-PDGFRα liit-kinaas-positiivsetel patsientidel saavutati täielik hematoloogiline ravivastus, mis püsis kuid (vahemik teatamise ajal ulatus ühest kuust kuni rohkem kui 44 kuuni). Hiljutistes publikatsioonides on teateid, et nendest 65-st patsiendist 21 saavutasid ka täieliku molekulaarse remissiooni keskmiselt 28 kuuks (vahemik 13…67 kuud). Patsientide vanus oli vahemikus 25…72 aastat. Peale selle kirjeldasid uurijad haigusjuhtude aruannetes sümptomaatika ja teiste organite funktsioonihäirete paranemist. Paranemist kirjeldati järgmiste organite/organsüsteemide häirete osas: südame, närvisüsteemi, naha- ja nahaaluskoe, respiratoorsed, rindkere ja mediastiinumi, lihas-skeleti ja sidekoe, vaskulaarsed ja seedetrakti häired.</w:t>
      </w:r>
    </w:p>
    <w:p w14:paraId="45228533" w14:textId="77777777" w:rsidR="00E21A2F" w:rsidRPr="00EC3BD7" w:rsidRDefault="00E21A2F" w:rsidP="00E21A2F">
      <w:pPr>
        <w:pStyle w:val="EndnoteText"/>
        <w:widowControl w:val="0"/>
        <w:tabs>
          <w:tab w:val="clear" w:pos="567"/>
        </w:tabs>
        <w:rPr>
          <w:color w:val="000000"/>
          <w:szCs w:val="22"/>
          <w:lang w:val="et-EE"/>
        </w:rPr>
      </w:pPr>
    </w:p>
    <w:p w14:paraId="585CD941" w14:textId="5539E246"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HES/KEL</w:t>
      </w:r>
      <w:r w:rsidR="00B43A79" w:rsidRPr="00593631">
        <w:rPr>
          <w:color w:val="000000"/>
          <w:szCs w:val="22"/>
          <w:lang w:val="et-EE"/>
        </w:rPr>
        <w:t>-i</w:t>
      </w:r>
      <w:r w:rsidRPr="00EC3BD7">
        <w:rPr>
          <w:color w:val="000000"/>
          <w:szCs w:val="22"/>
          <w:lang w:val="et-EE"/>
        </w:rPr>
        <w:t xml:space="preserve"> pediaatrilistel patsientidel ei ole kontrollitud kliinilisi uuringuid läbi viidud. 3-s publikatsioonis kirjeldati 3 HES ja KEL PDGFR</w:t>
      </w:r>
      <w:r w:rsidR="00B43A79" w:rsidRPr="00593631">
        <w:rPr>
          <w:color w:val="000000"/>
          <w:szCs w:val="22"/>
          <w:lang w:val="et-EE"/>
        </w:rPr>
        <w:t>-i</w:t>
      </w:r>
      <w:r w:rsidRPr="00EC3BD7">
        <w:rPr>
          <w:color w:val="000000"/>
          <w:szCs w:val="22"/>
          <w:lang w:val="et-EE"/>
        </w:rPr>
        <w:t xml:space="preserve"> geneetilise rekombinatsiooniga patsienti. Nende patsientide vanus oli 2 kuni 16 aastat ja imatiniibi manustati annuses 300 mg/m</w:t>
      </w:r>
      <w:r w:rsidRPr="00EC3BD7">
        <w:rPr>
          <w:color w:val="000000"/>
          <w:szCs w:val="22"/>
          <w:vertAlign w:val="superscript"/>
          <w:lang w:val="et-EE"/>
        </w:rPr>
        <w:t>2</w:t>
      </w:r>
      <w:r w:rsidRPr="00EC3BD7">
        <w:rPr>
          <w:color w:val="000000"/>
          <w:szCs w:val="22"/>
          <w:lang w:val="et-EE"/>
        </w:rPr>
        <w:t xml:space="preserve"> ööpäevas või annuses 200 kuni 400 mg ööpäevas. Kõigil patsientidel saavutati täielik hematoloogiline, täielik tsütogeneetiline ja/või täielik molekulaarne ravivastus.</w:t>
      </w:r>
    </w:p>
    <w:p w14:paraId="7D0789BF" w14:textId="77777777" w:rsidR="00E21A2F" w:rsidRPr="00EC3BD7" w:rsidRDefault="00E21A2F" w:rsidP="00E21A2F">
      <w:pPr>
        <w:pStyle w:val="EndnoteText"/>
        <w:widowControl w:val="0"/>
        <w:tabs>
          <w:tab w:val="clear" w:pos="567"/>
        </w:tabs>
        <w:rPr>
          <w:color w:val="000000"/>
          <w:szCs w:val="22"/>
          <w:lang w:val="et-EE"/>
        </w:rPr>
      </w:pPr>
    </w:p>
    <w:p w14:paraId="253C5D3F" w14:textId="08FFD8DD" w:rsidR="00E21A2F" w:rsidRPr="00EC3BD7" w:rsidRDefault="00E21A2F" w:rsidP="00B9089D">
      <w:pPr>
        <w:pStyle w:val="EndnoteText"/>
        <w:keepNext/>
        <w:widowControl w:val="0"/>
        <w:tabs>
          <w:tab w:val="clear" w:pos="567"/>
        </w:tabs>
        <w:rPr>
          <w:color w:val="000000"/>
          <w:szCs w:val="22"/>
          <w:u w:val="single"/>
          <w:lang w:val="et-EE"/>
        </w:rPr>
      </w:pPr>
      <w:r w:rsidRPr="00EC3BD7">
        <w:rPr>
          <w:color w:val="000000"/>
          <w:szCs w:val="22"/>
          <w:u w:val="single"/>
          <w:lang w:val="et-EE"/>
        </w:rPr>
        <w:t>Kliinilised mitteopereeritava ja/või metastaseerunud GIST</w:t>
      </w:r>
      <w:r w:rsidR="00B43A79" w:rsidRPr="00593631">
        <w:rPr>
          <w:color w:val="000000"/>
          <w:szCs w:val="22"/>
          <w:lang w:val="et-EE"/>
        </w:rPr>
        <w:t>-i</w:t>
      </w:r>
      <w:r w:rsidRPr="00EC3BD7">
        <w:rPr>
          <w:color w:val="000000"/>
          <w:szCs w:val="22"/>
          <w:u w:val="single"/>
          <w:lang w:val="et-EE"/>
        </w:rPr>
        <w:t xml:space="preserve"> uuringud</w:t>
      </w:r>
    </w:p>
    <w:p w14:paraId="17D21347" w14:textId="77777777"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Mitteopereeritava või metastaseerunud pahaloomuliste gastrointestinaalsete stromaaltuumoritega (GIST) patsientidel on tehtud üks II faasi avatud randomiseeritud kontrollgrupita rahvusvaheline uuring. Selles uuringus osales 147 patsienti, kes randomiseeriti rühmadesse ja said ravimit kas 400 mg või 600 mg suu kaudu üks kord päevas kuni 36 kuu jooksul. Patsiendid olid vanuses 18...83 aastat ja neil oli patoloogiliselt diagnoositud Kit-positiivne pahaloomuline mitteopereeritav ja/või metastaseerunud GIST. Immunohistokeemia tehti Kit antikehadega (A-4502, küüliku polüklonaalne antiseerum, 1:100; DAKO Corporation, Carpinteria, CA) vastavalt analüüsile avidiin-biotiin-peroksüdaaskompleksi meetodiga pärast antigeeni võtmist.</w:t>
      </w:r>
    </w:p>
    <w:p w14:paraId="713A5904" w14:textId="77777777" w:rsidR="00E21A2F" w:rsidRPr="00EC3BD7" w:rsidRDefault="00E21A2F" w:rsidP="00E21A2F">
      <w:pPr>
        <w:pStyle w:val="EndnoteText"/>
        <w:widowControl w:val="0"/>
        <w:tabs>
          <w:tab w:val="clear" w:pos="567"/>
        </w:tabs>
        <w:rPr>
          <w:color w:val="000000"/>
          <w:szCs w:val="22"/>
          <w:lang w:val="et-EE"/>
        </w:rPr>
      </w:pPr>
    </w:p>
    <w:p w14:paraId="6675E091" w14:textId="77777777"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lastRenderedPageBreak/>
        <w:t>Esmane tulemusnäitaja põhines objektiivsel ravivastusel. Kasvajad pidid olema mõõdetavad vähemalt haiguse ühe paikme osas ning vastuse iseloomustus põhines Southwestern Oncology Group’i (SWOG) kriteeriumitel. Tulemused on toodud tabelis </w:t>
      </w:r>
      <w:r w:rsidR="008F4DAA" w:rsidRPr="00EC3BD7">
        <w:rPr>
          <w:color w:val="000000"/>
          <w:szCs w:val="22"/>
          <w:lang w:val="et-EE"/>
        </w:rPr>
        <w:t>6</w:t>
      </w:r>
      <w:r w:rsidRPr="00EC3BD7">
        <w:rPr>
          <w:color w:val="000000"/>
          <w:szCs w:val="22"/>
          <w:lang w:val="et-EE"/>
        </w:rPr>
        <w:t>.</w:t>
      </w:r>
    </w:p>
    <w:p w14:paraId="53350D17" w14:textId="77777777" w:rsidR="00E21A2F" w:rsidRPr="00EC3BD7" w:rsidRDefault="00E21A2F" w:rsidP="00E21A2F">
      <w:pPr>
        <w:pStyle w:val="EndnoteText"/>
        <w:widowControl w:val="0"/>
        <w:tabs>
          <w:tab w:val="clear" w:pos="567"/>
        </w:tabs>
        <w:rPr>
          <w:color w:val="000000"/>
          <w:szCs w:val="22"/>
          <w:lang w:val="et-EE"/>
        </w:rPr>
      </w:pPr>
    </w:p>
    <w:p w14:paraId="35441335" w14:textId="77777777" w:rsidR="00E21A2F" w:rsidRPr="00EC3BD7" w:rsidRDefault="00E21A2F" w:rsidP="00B9089D">
      <w:pPr>
        <w:pStyle w:val="EndnoteText"/>
        <w:keepNext/>
        <w:widowControl w:val="0"/>
        <w:tabs>
          <w:tab w:val="clear" w:pos="567"/>
          <w:tab w:val="left" w:pos="1134"/>
        </w:tabs>
        <w:rPr>
          <w:b/>
          <w:color w:val="000000"/>
          <w:szCs w:val="22"/>
          <w:lang w:val="et-EE"/>
        </w:rPr>
      </w:pPr>
      <w:r w:rsidRPr="00EC3BD7">
        <w:rPr>
          <w:b/>
          <w:color w:val="000000"/>
          <w:szCs w:val="22"/>
          <w:lang w:val="et-EE"/>
        </w:rPr>
        <w:t>Tabel </w:t>
      </w:r>
      <w:r w:rsidR="008F4DAA" w:rsidRPr="00EC3BD7">
        <w:rPr>
          <w:b/>
          <w:color w:val="000000"/>
          <w:szCs w:val="22"/>
          <w:lang w:val="et-EE"/>
        </w:rPr>
        <w:t>6</w:t>
      </w:r>
      <w:r w:rsidRPr="00EC3BD7">
        <w:rPr>
          <w:b/>
          <w:color w:val="000000"/>
          <w:szCs w:val="22"/>
          <w:lang w:val="et-EE"/>
        </w:rPr>
        <w:tab/>
        <w:t>Parim kasvaja ravivastus uuringus STIB2222 (GIST)</w:t>
      </w:r>
    </w:p>
    <w:p w14:paraId="0FA1A8A8" w14:textId="77777777" w:rsidR="00E21A2F" w:rsidRPr="00EC3BD7" w:rsidRDefault="00E21A2F" w:rsidP="00B9089D">
      <w:pPr>
        <w:pStyle w:val="EndnoteText"/>
        <w:keepNext/>
        <w:widowControl w:val="0"/>
        <w:tabs>
          <w:tab w:val="clear" w:pos="567"/>
        </w:tabs>
        <w:rPr>
          <w:color w:val="000000"/>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E21A2F" w:rsidRPr="00EC3BD7" w14:paraId="3CA9E691" w14:textId="77777777" w:rsidTr="008B1609">
        <w:trPr>
          <w:cantSplit/>
        </w:trPr>
        <w:tc>
          <w:tcPr>
            <w:tcW w:w="4643" w:type="dxa"/>
            <w:tcBorders>
              <w:left w:val="nil"/>
              <w:bottom w:val="single" w:sz="4" w:space="0" w:color="auto"/>
              <w:right w:val="nil"/>
            </w:tcBorders>
          </w:tcPr>
          <w:p w14:paraId="47CFE4AF" w14:textId="77777777" w:rsidR="00E21A2F" w:rsidRPr="00EC3BD7" w:rsidRDefault="00E21A2F" w:rsidP="00B9089D">
            <w:pPr>
              <w:pStyle w:val="EndnoteText"/>
              <w:keepNext/>
              <w:widowControl w:val="0"/>
              <w:tabs>
                <w:tab w:val="clear" w:pos="567"/>
              </w:tabs>
              <w:rPr>
                <w:color w:val="000000"/>
                <w:szCs w:val="22"/>
                <w:lang w:val="et-EE"/>
              </w:rPr>
            </w:pPr>
          </w:p>
          <w:p w14:paraId="0D84FB7F" w14:textId="77777777" w:rsidR="00E21A2F" w:rsidRPr="00EC3BD7" w:rsidRDefault="00E21A2F" w:rsidP="00B9089D">
            <w:pPr>
              <w:pStyle w:val="EndnoteText"/>
              <w:keepNext/>
              <w:widowControl w:val="0"/>
              <w:tabs>
                <w:tab w:val="clear" w:pos="567"/>
              </w:tabs>
              <w:rPr>
                <w:color w:val="000000"/>
                <w:szCs w:val="22"/>
                <w:lang w:val="et-EE"/>
              </w:rPr>
            </w:pPr>
          </w:p>
          <w:p w14:paraId="41B0FC85" w14:textId="77777777" w:rsidR="00E21A2F" w:rsidRPr="00EC3BD7" w:rsidRDefault="00E21A2F" w:rsidP="00B9089D">
            <w:pPr>
              <w:pStyle w:val="EndnoteText"/>
              <w:keepNext/>
              <w:widowControl w:val="0"/>
              <w:tabs>
                <w:tab w:val="clear" w:pos="567"/>
              </w:tabs>
              <w:rPr>
                <w:color w:val="000000"/>
                <w:szCs w:val="22"/>
                <w:lang w:val="et-EE"/>
              </w:rPr>
            </w:pPr>
          </w:p>
          <w:p w14:paraId="3DD45BCC" w14:textId="77777777" w:rsidR="00E21A2F" w:rsidRPr="00EC3BD7" w:rsidRDefault="00E21A2F" w:rsidP="00B9089D">
            <w:pPr>
              <w:pStyle w:val="EndnoteText"/>
              <w:keepNext/>
              <w:widowControl w:val="0"/>
              <w:tabs>
                <w:tab w:val="clear" w:pos="567"/>
              </w:tabs>
              <w:rPr>
                <w:color w:val="000000"/>
                <w:szCs w:val="22"/>
                <w:lang w:val="et-EE"/>
              </w:rPr>
            </w:pPr>
            <w:r w:rsidRPr="00EC3BD7">
              <w:rPr>
                <w:color w:val="000000"/>
                <w:szCs w:val="22"/>
                <w:lang w:val="et-EE"/>
              </w:rPr>
              <w:t>Parim ravivastus</w:t>
            </w:r>
          </w:p>
        </w:tc>
        <w:tc>
          <w:tcPr>
            <w:tcW w:w="4643" w:type="dxa"/>
            <w:tcBorders>
              <w:left w:val="nil"/>
              <w:bottom w:val="single" w:sz="4" w:space="0" w:color="auto"/>
              <w:right w:val="nil"/>
            </w:tcBorders>
          </w:tcPr>
          <w:p w14:paraId="16D28704" w14:textId="77777777" w:rsidR="00E21A2F" w:rsidRPr="00EC3BD7" w:rsidRDefault="00E21A2F" w:rsidP="00B9089D">
            <w:pPr>
              <w:pStyle w:val="EndnoteText"/>
              <w:keepNext/>
              <w:widowControl w:val="0"/>
              <w:tabs>
                <w:tab w:val="clear" w:pos="567"/>
              </w:tabs>
              <w:jc w:val="center"/>
              <w:rPr>
                <w:color w:val="000000"/>
                <w:szCs w:val="22"/>
                <w:lang w:val="et-EE"/>
              </w:rPr>
            </w:pPr>
            <w:r w:rsidRPr="00EC3BD7">
              <w:rPr>
                <w:color w:val="000000"/>
                <w:szCs w:val="22"/>
                <w:lang w:val="et-EE"/>
              </w:rPr>
              <w:t>Kõik annused (n=147)</w:t>
            </w:r>
          </w:p>
          <w:p w14:paraId="25925921" w14:textId="77777777" w:rsidR="00E21A2F" w:rsidRPr="00EC3BD7" w:rsidRDefault="00E21A2F" w:rsidP="00B9089D">
            <w:pPr>
              <w:pStyle w:val="EndnoteText"/>
              <w:keepNext/>
              <w:widowControl w:val="0"/>
              <w:tabs>
                <w:tab w:val="clear" w:pos="567"/>
              </w:tabs>
              <w:jc w:val="center"/>
              <w:rPr>
                <w:color w:val="000000"/>
                <w:szCs w:val="22"/>
                <w:lang w:val="et-EE"/>
              </w:rPr>
            </w:pPr>
            <w:r w:rsidRPr="00EC3BD7">
              <w:rPr>
                <w:color w:val="000000"/>
                <w:szCs w:val="22"/>
                <w:lang w:val="et-EE"/>
              </w:rPr>
              <w:t>400 mg (n=73)</w:t>
            </w:r>
          </w:p>
          <w:p w14:paraId="7A72150F" w14:textId="77777777" w:rsidR="00E21A2F" w:rsidRPr="00EC3BD7" w:rsidRDefault="00E21A2F" w:rsidP="00B9089D">
            <w:pPr>
              <w:pStyle w:val="EndnoteText"/>
              <w:keepNext/>
              <w:widowControl w:val="0"/>
              <w:tabs>
                <w:tab w:val="clear" w:pos="567"/>
              </w:tabs>
              <w:jc w:val="center"/>
              <w:rPr>
                <w:color w:val="000000"/>
                <w:szCs w:val="22"/>
                <w:lang w:val="et-EE"/>
              </w:rPr>
            </w:pPr>
            <w:r w:rsidRPr="00EC3BD7">
              <w:rPr>
                <w:color w:val="000000"/>
                <w:szCs w:val="22"/>
                <w:lang w:val="et-EE"/>
              </w:rPr>
              <w:t>600 mg (n=74)</w:t>
            </w:r>
          </w:p>
          <w:p w14:paraId="059EEAFF" w14:textId="77777777" w:rsidR="00E21A2F" w:rsidRPr="00EC3BD7" w:rsidRDefault="00E21A2F" w:rsidP="00B9089D">
            <w:pPr>
              <w:pStyle w:val="EndnoteText"/>
              <w:keepNext/>
              <w:widowControl w:val="0"/>
              <w:tabs>
                <w:tab w:val="clear" w:pos="567"/>
              </w:tabs>
              <w:jc w:val="center"/>
              <w:rPr>
                <w:color w:val="000000"/>
                <w:szCs w:val="22"/>
                <w:lang w:val="et-EE"/>
              </w:rPr>
            </w:pPr>
            <w:r w:rsidRPr="00EC3BD7">
              <w:rPr>
                <w:color w:val="000000"/>
                <w:szCs w:val="22"/>
                <w:lang w:val="et-EE"/>
              </w:rPr>
              <w:t>n (%)</w:t>
            </w:r>
          </w:p>
        </w:tc>
      </w:tr>
      <w:tr w:rsidR="00E21A2F" w:rsidRPr="00EC3BD7" w14:paraId="49CD5129" w14:textId="77777777" w:rsidTr="008B1609">
        <w:trPr>
          <w:cantSplit/>
        </w:trPr>
        <w:tc>
          <w:tcPr>
            <w:tcW w:w="4643" w:type="dxa"/>
            <w:tcBorders>
              <w:top w:val="nil"/>
              <w:left w:val="nil"/>
              <w:bottom w:val="nil"/>
              <w:right w:val="nil"/>
            </w:tcBorders>
          </w:tcPr>
          <w:p w14:paraId="5CFF2FC7" w14:textId="77777777" w:rsidR="00E21A2F" w:rsidRPr="00EC3BD7" w:rsidRDefault="00E21A2F" w:rsidP="00B9089D">
            <w:pPr>
              <w:pStyle w:val="EndnoteText"/>
              <w:keepNext/>
              <w:widowControl w:val="0"/>
              <w:tabs>
                <w:tab w:val="clear" w:pos="567"/>
              </w:tabs>
              <w:rPr>
                <w:color w:val="000000"/>
                <w:szCs w:val="22"/>
                <w:lang w:val="et-EE"/>
              </w:rPr>
            </w:pPr>
            <w:r w:rsidRPr="00EC3BD7">
              <w:rPr>
                <w:color w:val="000000"/>
                <w:szCs w:val="22"/>
                <w:lang w:val="et-EE"/>
              </w:rPr>
              <w:t>Täielik ravivastus</w:t>
            </w:r>
          </w:p>
        </w:tc>
        <w:tc>
          <w:tcPr>
            <w:tcW w:w="4643" w:type="dxa"/>
            <w:tcBorders>
              <w:top w:val="nil"/>
              <w:left w:val="nil"/>
              <w:bottom w:val="nil"/>
              <w:right w:val="nil"/>
            </w:tcBorders>
          </w:tcPr>
          <w:p w14:paraId="44D8BCBC" w14:textId="77777777" w:rsidR="00E21A2F" w:rsidRPr="00EC3BD7" w:rsidRDefault="00E21A2F" w:rsidP="00B9089D">
            <w:pPr>
              <w:pStyle w:val="EndnoteText"/>
              <w:keepNext/>
              <w:widowControl w:val="0"/>
              <w:tabs>
                <w:tab w:val="clear" w:pos="567"/>
              </w:tabs>
              <w:jc w:val="center"/>
              <w:rPr>
                <w:color w:val="000000"/>
                <w:szCs w:val="22"/>
                <w:lang w:val="et-EE"/>
              </w:rPr>
            </w:pPr>
            <w:r w:rsidRPr="00EC3BD7">
              <w:rPr>
                <w:color w:val="000000"/>
                <w:szCs w:val="22"/>
                <w:lang w:val="et-EE"/>
              </w:rPr>
              <w:t>1 (0,7)</w:t>
            </w:r>
          </w:p>
        </w:tc>
      </w:tr>
      <w:tr w:rsidR="00E21A2F" w:rsidRPr="00EC3BD7" w14:paraId="5B541BA5" w14:textId="77777777" w:rsidTr="008B1609">
        <w:trPr>
          <w:cantSplit/>
        </w:trPr>
        <w:tc>
          <w:tcPr>
            <w:tcW w:w="4643" w:type="dxa"/>
            <w:tcBorders>
              <w:top w:val="nil"/>
              <w:left w:val="nil"/>
              <w:bottom w:val="nil"/>
              <w:right w:val="nil"/>
            </w:tcBorders>
          </w:tcPr>
          <w:p w14:paraId="64AF7C11" w14:textId="77777777" w:rsidR="00E21A2F" w:rsidRPr="00EC3BD7" w:rsidRDefault="00E21A2F" w:rsidP="00B9089D">
            <w:pPr>
              <w:pStyle w:val="EndnoteText"/>
              <w:keepNext/>
              <w:widowControl w:val="0"/>
              <w:tabs>
                <w:tab w:val="clear" w:pos="567"/>
              </w:tabs>
              <w:rPr>
                <w:color w:val="000000"/>
                <w:szCs w:val="22"/>
                <w:lang w:val="et-EE"/>
              </w:rPr>
            </w:pPr>
            <w:r w:rsidRPr="00EC3BD7">
              <w:rPr>
                <w:color w:val="000000"/>
                <w:szCs w:val="22"/>
                <w:lang w:val="et-EE"/>
              </w:rPr>
              <w:t>Osaline ravivastus</w:t>
            </w:r>
          </w:p>
        </w:tc>
        <w:tc>
          <w:tcPr>
            <w:tcW w:w="4643" w:type="dxa"/>
            <w:tcBorders>
              <w:top w:val="nil"/>
              <w:left w:val="nil"/>
              <w:bottom w:val="nil"/>
              <w:right w:val="nil"/>
            </w:tcBorders>
          </w:tcPr>
          <w:p w14:paraId="3B3780C7" w14:textId="77777777" w:rsidR="00E21A2F" w:rsidRPr="00EC3BD7" w:rsidRDefault="00E21A2F" w:rsidP="00B9089D">
            <w:pPr>
              <w:pStyle w:val="EndnoteText"/>
              <w:keepNext/>
              <w:widowControl w:val="0"/>
              <w:tabs>
                <w:tab w:val="clear" w:pos="567"/>
              </w:tabs>
              <w:jc w:val="center"/>
              <w:rPr>
                <w:color w:val="000000"/>
                <w:szCs w:val="22"/>
                <w:lang w:val="et-EE"/>
              </w:rPr>
            </w:pPr>
            <w:r w:rsidRPr="00EC3BD7">
              <w:rPr>
                <w:color w:val="000000"/>
                <w:szCs w:val="22"/>
                <w:lang w:val="et-EE"/>
              </w:rPr>
              <w:t>98 (66,7)</w:t>
            </w:r>
          </w:p>
        </w:tc>
      </w:tr>
      <w:tr w:rsidR="00E21A2F" w:rsidRPr="00EC3BD7" w14:paraId="03BDBBA9" w14:textId="77777777" w:rsidTr="008B1609">
        <w:trPr>
          <w:cantSplit/>
        </w:trPr>
        <w:tc>
          <w:tcPr>
            <w:tcW w:w="4643" w:type="dxa"/>
            <w:tcBorders>
              <w:top w:val="nil"/>
              <w:left w:val="nil"/>
              <w:bottom w:val="nil"/>
              <w:right w:val="nil"/>
            </w:tcBorders>
          </w:tcPr>
          <w:p w14:paraId="44B5827A" w14:textId="77777777" w:rsidR="00E21A2F" w:rsidRPr="00EC3BD7" w:rsidRDefault="00E21A2F" w:rsidP="00B9089D">
            <w:pPr>
              <w:pStyle w:val="EndnoteText"/>
              <w:keepNext/>
              <w:widowControl w:val="0"/>
              <w:tabs>
                <w:tab w:val="clear" w:pos="567"/>
              </w:tabs>
              <w:rPr>
                <w:color w:val="000000"/>
                <w:szCs w:val="22"/>
                <w:lang w:val="et-EE"/>
              </w:rPr>
            </w:pPr>
            <w:r w:rsidRPr="00EC3BD7">
              <w:rPr>
                <w:color w:val="000000"/>
                <w:szCs w:val="22"/>
                <w:lang w:val="et-EE"/>
              </w:rPr>
              <w:t>Stabiilne haigus</w:t>
            </w:r>
          </w:p>
        </w:tc>
        <w:tc>
          <w:tcPr>
            <w:tcW w:w="4643" w:type="dxa"/>
            <w:tcBorders>
              <w:top w:val="nil"/>
              <w:left w:val="nil"/>
              <w:bottom w:val="nil"/>
              <w:right w:val="nil"/>
            </w:tcBorders>
          </w:tcPr>
          <w:p w14:paraId="025B4DA1" w14:textId="77777777" w:rsidR="00E21A2F" w:rsidRPr="00EC3BD7" w:rsidRDefault="00E21A2F" w:rsidP="00B9089D">
            <w:pPr>
              <w:pStyle w:val="EndnoteText"/>
              <w:keepNext/>
              <w:widowControl w:val="0"/>
              <w:tabs>
                <w:tab w:val="clear" w:pos="567"/>
              </w:tabs>
              <w:jc w:val="center"/>
              <w:rPr>
                <w:color w:val="000000"/>
                <w:szCs w:val="22"/>
                <w:lang w:val="et-EE"/>
              </w:rPr>
            </w:pPr>
            <w:r w:rsidRPr="00EC3BD7">
              <w:rPr>
                <w:color w:val="000000"/>
                <w:szCs w:val="22"/>
                <w:lang w:val="et-EE"/>
              </w:rPr>
              <w:t>23 (15,6)</w:t>
            </w:r>
          </w:p>
        </w:tc>
      </w:tr>
      <w:tr w:rsidR="00E21A2F" w:rsidRPr="00EC3BD7" w14:paraId="3E2DF1E9" w14:textId="77777777" w:rsidTr="008B1609">
        <w:trPr>
          <w:cantSplit/>
        </w:trPr>
        <w:tc>
          <w:tcPr>
            <w:tcW w:w="4643" w:type="dxa"/>
            <w:tcBorders>
              <w:top w:val="nil"/>
              <w:left w:val="nil"/>
              <w:bottom w:val="nil"/>
              <w:right w:val="nil"/>
            </w:tcBorders>
          </w:tcPr>
          <w:p w14:paraId="20D4EF48" w14:textId="77777777" w:rsidR="00E21A2F" w:rsidRPr="00EC3BD7" w:rsidRDefault="00E21A2F" w:rsidP="00B9089D">
            <w:pPr>
              <w:pStyle w:val="EndnoteText"/>
              <w:keepNext/>
              <w:widowControl w:val="0"/>
              <w:tabs>
                <w:tab w:val="clear" w:pos="567"/>
              </w:tabs>
              <w:rPr>
                <w:color w:val="000000"/>
                <w:szCs w:val="22"/>
                <w:lang w:val="et-EE"/>
              </w:rPr>
            </w:pPr>
            <w:r w:rsidRPr="00EC3BD7">
              <w:rPr>
                <w:color w:val="000000"/>
                <w:szCs w:val="22"/>
                <w:lang w:val="et-EE"/>
              </w:rPr>
              <w:t>Progresseeruv haigus</w:t>
            </w:r>
          </w:p>
        </w:tc>
        <w:tc>
          <w:tcPr>
            <w:tcW w:w="4643" w:type="dxa"/>
            <w:tcBorders>
              <w:top w:val="nil"/>
              <w:left w:val="nil"/>
              <w:bottom w:val="nil"/>
              <w:right w:val="nil"/>
            </w:tcBorders>
          </w:tcPr>
          <w:p w14:paraId="23EC600F" w14:textId="77777777" w:rsidR="00E21A2F" w:rsidRPr="00EC3BD7" w:rsidRDefault="00E21A2F" w:rsidP="00B9089D">
            <w:pPr>
              <w:pStyle w:val="EndnoteText"/>
              <w:keepNext/>
              <w:widowControl w:val="0"/>
              <w:tabs>
                <w:tab w:val="clear" w:pos="567"/>
              </w:tabs>
              <w:jc w:val="center"/>
              <w:rPr>
                <w:color w:val="000000"/>
                <w:szCs w:val="22"/>
                <w:lang w:val="et-EE"/>
              </w:rPr>
            </w:pPr>
            <w:r w:rsidRPr="00EC3BD7">
              <w:rPr>
                <w:color w:val="000000"/>
                <w:szCs w:val="22"/>
                <w:lang w:val="et-EE"/>
              </w:rPr>
              <w:t>18 (12,2)</w:t>
            </w:r>
          </w:p>
        </w:tc>
      </w:tr>
      <w:tr w:rsidR="00E21A2F" w:rsidRPr="00EC3BD7" w14:paraId="62F49E23" w14:textId="77777777" w:rsidTr="008B1609">
        <w:trPr>
          <w:cantSplit/>
        </w:trPr>
        <w:tc>
          <w:tcPr>
            <w:tcW w:w="4643" w:type="dxa"/>
            <w:tcBorders>
              <w:top w:val="nil"/>
              <w:left w:val="nil"/>
              <w:bottom w:val="nil"/>
              <w:right w:val="nil"/>
            </w:tcBorders>
          </w:tcPr>
          <w:p w14:paraId="03A63A4C" w14:textId="77777777" w:rsidR="00E21A2F" w:rsidRPr="00EC3BD7" w:rsidRDefault="00E21A2F" w:rsidP="00B9089D">
            <w:pPr>
              <w:pStyle w:val="EndnoteText"/>
              <w:keepNext/>
              <w:widowControl w:val="0"/>
              <w:tabs>
                <w:tab w:val="clear" w:pos="567"/>
              </w:tabs>
              <w:rPr>
                <w:color w:val="000000"/>
                <w:szCs w:val="22"/>
                <w:lang w:val="et-EE"/>
              </w:rPr>
            </w:pPr>
            <w:r w:rsidRPr="00EC3BD7">
              <w:rPr>
                <w:color w:val="000000"/>
                <w:szCs w:val="22"/>
                <w:lang w:val="et-EE"/>
              </w:rPr>
              <w:t>Ei ole hinnatav</w:t>
            </w:r>
          </w:p>
        </w:tc>
        <w:tc>
          <w:tcPr>
            <w:tcW w:w="4643" w:type="dxa"/>
            <w:tcBorders>
              <w:top w:val="nil"/>
              <w:left w:val="nil"/>
              <w:bottom w:val="nil"/>
              <w:right w:val="nil"/>
            </w:tcBorders>
          </w:tcPr>
          <w:p w14:paraId="1B172BB6" w14:textId="77777777" w:rsidR="00E21A2F" w:rsidRPr="00EC3BD7" w:rsidRDefault="00E21A2F" w:rsidP="00B9089D">
            <w:pPr>
              <w:pStyle w:val="EndnoteText"/>
              <w:keepNext/>
              <w:widowControl w:val="0"/>
              <w:tabs>
                <w:tab w:val="clear" w:pos="567"/>
              </w:tabs>
              <w:jc w:val="center"/>
              <w:rPr>
                <w:color w:val="000000"/>
                <w:szCs w:val="22"/>
                <w:lang w:val="et-EE"/>
              </w:rPr>
            </w:pPr>
            <w:r w:rsidRPr="00EC3BD7">
              <w:rPr>
                <w:color w:val="000000"/>
                <w:szCs w:val="22"/>
                <w:lang w:val="et-EE"/>
              </w:rPr>
              <w:t>5 (3,4)</w:t>
            </w:r>
          </w:p>
        </w:tc>
      </w:tr>
      <w:tr w:rsidR="00E21A2F" w:rsidRPr="00EC3BD7" w14:paraId="35822593" w14:textId="77777777" w:rsidTr="008B1609">
        <w:trPr>
          <w:cantSplit/>
        </w:trPr>
        <w:tc>
          <w:tcPr>
            <w:tcW w:w="4643" w:type="dxa"/>
            <w:tcBorders>
              <w:top w:val="nil"/>
              <w:left w:val="nil"/>
              <w:right w:val="nil"/>
            </w:tcBorders>
          </w:tcPr>
          <w:p w14:paraId="5D638752" w14:textId="77777777" w:rsidR="00E21A2F" w:rsidRPr="00EC3BD7" w:rsidRDefault="00E21A2F" w:rsidP="00145F94">
            <w:pPr>
              <w:pStyle w:val="EndnoteText"/>
              <w:widowControl w:val="0"/>
              <w:tabs>
                <w:tab w:val="clear" w:pos="567"/>
              </w:tabs>
              <w:rPr>
                <w:color w:val="000000"/>
                <w:szCs w:val="22"/>
                <w:lang w:val="et-EE"/>
              </w:rPr>
            </w:pPr>
            <w:r w:rsidRPr="00EC3BD7">
              <w:rPr>
                <w:color w:val="000000"/>
                <w:szCs w:val="22"/>
                <w:lang w:val="et-EE"/>
              </w:rPr>
              <w:t>Ei ole teada</w:t>
            </w:r>
          </w:p>
        </w:tc>
        <w:tc>
          <w:tcPr>
            <w:tcW w:w="4643" w:type="dxa"/>
            <w:tcBorders>
              <w:top w:val="nil"/>
              <w:left w:val="nil"/>
              <w:right w:val="nil"/>
            </w:tcBorders>
          </w:tcPr>
          <w:p w14:paraId="4E4B3020" w14:textId="77777777" w:rsidR="00E21A2F" w:rsidRPr="00EC3BD7" w:rsidRDefault="00E21A2F" w:rsidP="00145F94">
            <w:pPr>
              <w:pStyle w:val="EndnoteText"/>
              <w:widowControl w:val="0"/>
              <w:tabs>
                <w:tab w:val="clear" w:pos="567"/>
              </w:tabs>
              <w:jc w:val="center"/>
              <w:rPr>
                <w:color w:val="000000"/>
                <w:szCs w:val="22"/>
                <w:lang w:val="et-EE"/>
              </w:rPr>
            </w:pPr>
            <w:r w:rsidRPr="00EC3BD7">
              <w:rPr>
                <w:color w:val="000000"/>
                <w:szCs w:val="22"/>
                <w:lang w:val="et-EE"/>
              </w:rPr>
              <w:t>2 (1,4)</w:t>
            </w:r>
          </w:p>
        </w:tc>
      </w:tr>
    </w:tbl>
    <w:p w14:paraId="5CE84C19" w14:textId="77777777" w:rsidR="00E21A2F" w:rsidRPr="00EC3BD7" w:rsidRDefault="00E21A2F" w:rsidP="00E21A2F">
      <w:pPr>
        <w:pStyle w:val="EndnoteText"/>
        <w:widowControl w:val="0"/>
        <w:tabs>
          <w:tab w:val="clear" w:pos="567"/>
        </w:tabs>
        <w:rPr>
          <w:color w:val="000000"/>
          <w:szCs w:val="22"/>
          <w:lang w:val="et-EE"/>
        </w:rPr>
      </w:pPr>
    </w:p>
    <w:p w14:paraId="56BC30CD" w14:textId="77777777"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Kahe annustamisrühma vahel puudusid erinevused. Oluline hulk patsiente, kellel vaheanalüüsi tegemise ajal oli haigus stabiilne, saavutasid osalise ravivastuse pikema ravi jooksul (keskmine jälgimisaeg 31 kuud). Keskmine aeg ravivastuse saavutamiseni oli 13 nädalat (95% CI 12…23). Keskmine aeg ravi ebaõnnestumiseni nendel, kes saavutasid ravivastuse oli 122 nädalat (95% CI 106…147), uuringu üldpopulatsioonis oli see 84 nädalat (95% CI 71…109). Keskmist elulemuse taset ei saavutatud. Pärast 36-kuulist jälgimist oli Kaplan-Meieri hinnangufunktsioon 68%.</w:t>
      </w:r>
    </w:p>
    <w:p w14:paraId="0CA8FA86" w14:textId="77777777" w:rsidR="00E21A2F" w:rsidRPr="00EC3BD7" w:rsidRDefault="00E21A2F" w:rsidP="00E21A2F">
      <w:pPr>
        <w:pStyle w:val="EndnoteText"/>
        <w:widowControl w:val="0"/>
        <w:tabs>
          <w:tab w:val="clear" w:pos="567"/>
        </w:tabs>
        <w:rPr>
          <w:color w:val="000000"/>
          <w:szCs w:val="22"/>
          <w:lang w:val="et-EE"/>
        </w:rPr>
      </w:pPr>
    </w:p>
    <w:p w14:paraId="499F962F" w14:textId="77777777"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Kahes kliinilises uuringus (uuring B2222 ja rühmadevaheline uuring S0033) suurendati Gliveci annust 800 mg-ni patsientidel, kellel haigus progresseerus annuste 400 mg ja 600 mg kasutamisel. Päevast annust suurendati 800 mg-ni kokku 103 patsiendil. Nendest patsientidest saavutasid annuse suurendamise järel 6 osalise ravivastuse ja 21 haiguse stabiliseerumise, üleüldine kliiniline kasu oli 26%. Olemasolevate ohutusandmete kohaselt ei mõjuta Gliveci ohutusprofiili annuse suurendamine 400 mg-lt või 600 mg-lt 800 mg-ni haigetel, kellel haigus progresseerub väiksemate annuste kasutamisel.</w:t>
      </w:r>
    </w:p>
    <w:p w14:paraId="0A516910" w14:textId="77777777" w:rsidR="00E21A2F" w:rsidRPr="00EC3BD7" w:rsidRDefault="00E21A2F" w:rsidP="00E21A2F">
      <w:pPr>
        <w:pStyle w:val="EndnoteText"/>
        <w:widowControl w:val="0"/>
        <w:tabs>
          <w:tab w:val="clear" w:pos="567"/>
        </w:tabs>
        <w:rPr>
          <w:color w:val="000000"/>
          <w:szCs w:val="22"/>
          <w:lang w:val="et-EE"/>
        </w:rPr>
      </w:pPr>
    </w:p>
    <w:p w14:paraId="70383213" w14:textId="77777777" w:rsidR="00E21A2F" w:rsidRPr="00EC3BD7" w:rsidRDefault="00E21A2F" w:rsidP="00B9089D">
      <w:pPr>
        <w:keepNext/>
        <w:rPr>
          <w:color w:val="000000"/>
          <w:szCs w:val="22"/>
          <w:lang w:val="et-EE"/>
        </w:rPr>
      </w:pPr>
      <w:r w:rsidRPr="00EC3BD7">
        <w:rPr>
          <w:color w:val="000000"/>
          <w:szCs w:val="22"/>
          <w:u w:val="single"/>
          <w:lang w:val="et-EE"/>
        </w:rPr>
        <w:t>Adjuvantravi kliinilised uuringud</w:t>
      </w:r>
    </w:p>
    <w:p w14:paraId="36E5E3A3" w14:textId="2152D666" w:rsidR="00E21A2F" w:rsidRPr="00EC3BD7" w:rsidRDefault="00E21A2F" w:rsidP="00E21A2F">
      <w:pPr>
        <w:rPr>
          <w:color w:val="000000"/>
          <w:szCs w:val="22"/>
          <w:lang w:val="et-EE"/>
        </w:rPr>
      </w:pPr>
      <w:r w:rsidRPr="00EC3BD7">
        <w:rPr>
          <w:color w:val="000000"/>
          <w:szCs w:val="22"/>
          <w:lang w:val="et-EE"/>
        </w:rPr>
        <w:t xml:space="preserve">Adjuvantraviks kasutatuna uuriti Glivecit mitmekeskuselises, topeltpimedas, pikaajalises platseebokontrollitud </w:t>
      </w:r>
      <w:smartTag w:uri="urn:schemas-microsoft-com:office:smarttags" w:element="stockticker">
        <w:r w:rsidRPr="00EC3BD7">
          <w:rPr>
            <w:color w:val="000000"/>
            <w:szCs w:val="22"/>
            <w:lang w:val="et-EE"/>
          </w:rPr>
          <w:t>III</w:t>
        </w:r>
      </w:smartTag>
      <w:r w:rsidRPr="00EC3BD7">
        <w:rPr>
          <w:color w:val="000000"/>
          <w:szCs w:val="22"/>
          <w:lang w:val="et-EE"/>
        </w:rPr>
        <w:t xml:space="preserve"> faasi uuringus (Z9001), kus osales 773 patsienti. Patsientide vanus jäi vahemikku 18...91 aastat. Uuringusse kaasati patsiendid, kellel oli immunokeemilisel meetodil kindlaks tehtud Kit</w:t>
      </w:r>
      <w:r w:rsidRPr="00EC3BD7">
        <w:rPr>
          <w:color w:val="000000"/>
          <w:szCs w:val="22"/>
          <w:lang w:val="et-EE"/>
        </w:rPr>
        <w:noBreakHyphen/>
        <w:t>valgu ekspressiooniga primaarse GIST</w:t>
      </w:r>
      <w:r w:rsidR="00B43A79" w:rsidRPr="00593631">
        <w:rPr>
          <w:color w:val="000000"/>
          <w:szCs w:val="22"/>
          <w:lang w:val="et-EE"/>
        </w:rPr>
        <w:t>-i</w:t>
      </w:r>
      <w:r w:rsidRPr="00EC3BD7">
        <w:rPr>
          <w:color w:val="000000"/>
          <w:szCs w:val="22"/>
          <w:lang w:val="et-EE"/>
        </w:rPr>
        <w:t xml:space="preserve"> histoloogiline diagnoos ja tuumori suurus ≥ 3 cm (maksimaalne mõõde) ning kellele oli 14</w:t>
      </w:r>
      <w:r w:rsidR="003C71AD" w:rsidRPr="00EC3BD7">
        <w:rPr>
          <w:color w:val="000000"/>
          <w:szCs w:val="22"/>
          <w:lang w:val="et-EE"/>
        </w:rPr>
        <w:t>...</w:t>
      </w:r>
      <w:r w:rsidRPr="00EC3BD7">
        <w:rPr>
          <w:color w:val="000000"/>
          <w:szCs w:val="22"/>
          <w:lang w:val="et-EE"/>
        </w:rPr>
        <w:t>70 päeva enne uuringusse registreerimist tehtud primaarse GIST</w:t>
      </w:r>
      <w:r w:rsidR="00DD0F07" w:rsidRPr="00593631">
        <w:rPr>
          <w:color w:val="000000"/>
          <w:szCs w:val="22"/>
          <w:lang w:val="et-EE"/>
        </w:rPr>
        <w:t>-i</w:t>
      </w:r>
      <w:r w:rsidRPr="00EC3BD7">
        <w:rPr>
          <w:color w:val="000000"/>
          <w:szCs w:val="22"/>
          <w:lang w:val="et-EE"/>
        </w:rPr>
        <w:t xml:space="preserve"> täielik resektsioon. Pärast primaarse GIST</w:t>
      </w:r>
      <w:r w:rsidR="00B43A79" w:rsidRPr="00593631">
        <w:rPr>
          <w:color w:val="000000"/>
          <w:szCs w:val="22"/>
          <w:lang w:val="et-EE"/>
        </w:rPr>
        <w:t>-i</w:t>
      </w:r>
      <w:r w:rsidRPr="00EC3BD7">
        <w:rPr>
          <w:color w:val="000000"/>
          <w:szCs w:val="22"/>
          <w:lang w:val="et-EE"/>
        </w:rPr>
        <w:t xml:space="preserve"> resektsiooni randomiseeriti patsiendid ühte kahest rühmast: Glivec annuses 400 mg ööpäevas või vastav platseebo ühe aasta jooksul.</w:t>
      </w:r>
    </w:p>
    <w:p w14:paraId="2C5AAAE0" w14:textId="77777777" w:rsidR="00E21A2F" w:rsidRPr="00EC3BD7" w:rsidRDefault="00E21A2F" w:rsidP="00E21A2F">
      <w:pPr>
        <w:rPr>
          <w:color w:val="000000"/>
          <w:szCs w:val="22"/>
          <w:lang w:val="et-EE"/>
        </w:rPr>
      </w:pPr>
    </w:p>
    <w:p w14:paraId="2D5A11DE" w14:textId="77777777" w:rsidR="00E21A2F" w:rsidRPr="00EC3BD7" w:rsidRDefault="00E21A2F" w:rsidP="00E21A2F">
      <w:pPr>
        <w:rPr>
          <w:color w:val="000000"/>
          <w:szCs w:val="22"/>
          <w:lang w:val="et-EE"/>
        </w:rPr>
      </w:pPr>
      <w:r w:rsidRPr="00EC3BD7">
        <w:rPr>
          <w:color w:val="000000"/>
          <w:szCs w:val="22"/>
          <w:lang w:val="et-EE"/>
        </w:rPr>
        <w:t>Uuringu esmane tulemusnäitaja oli retsidiivivaba elulemus (RVE), mida defineeriti kui aega randomiseerimise kuupäevast kuni retsidiivi või mis tahes põhjusel surma tekkimise kuupäevani.</w:t>
      </w:r>
    </w:p>
    <w:p w14:paraId="736C37DA" w14:textId="77777777" w:rsidR="00E21A2F" w:rsidRPr="00EC3BD7" w:rsidRDefault="00E21A2F" w:rsidP="00E21A2F">
      <w:pPr>
        <w:rPr>
          <w:color w:val="000000"/>
          <w:szCs w:val="22"/>
          <w:lang w:val="et-EE"/>
        </w:rPr>
      </w:pPr>
    </w:p>
    <w:p w14:paraId="19A7ADF8" w14:textId="77777777" w:rsidR="00E21A2F" w:rsidRPr="00EC3BD7" w:rsidRDefault="00E21A2F" w:rsidP="00E21A2F">
      <w:pPr>
        <w:rPr>
          <w:color w:val="000000"/>
          <w:szCs w:val="22"/>
          <w:lang w:val="et-EE"/>
        </w:rPr>
      </w:pPr>
      <w:r w:rsidRPr="00EC3BD7">
        <w:rPr>
          <w:color w:val="000000"/>
          <w:szCs w:val="22"/>
          <w:lang w:val="et-EE"/>
        </w:rPr>
        <w:t>Gliveci toimel pikenes oluliselt retsidiivivaba elulemus: Gliveci rühmas olid 75% patsientidest retsidiivivabad 38. kuul võrreldes 20 kuuga platseeborühmas (95% usaldusvahemikud vastavalt [30</w:t>
      </w:r>
      <w:r w:rsidR="003C71AD" w:rsidRPr="00EC3BD7">
        <w:rPr>
          <w:color w:val="000000"/>
          <w:szCs w:val="22"/>
          <w:lang w:val="et-EE"/>
        </w:rPr>
        <w:t>...</w:t>
      </w:r>
      <w:r w:rsidRPr="00EC3BD7">
        <w:rPr>
          <w:color w:val="000000"/>
          <w:szCs w:val="22"/>
          <w:lang w:val="et-EE"/>
        </w:rPr>
        <w:t>mittehinnatav]; [14</w:t>
      </w:r>
      <w:r w:rsidR="003C71AD" w:rsidRPr="00EC3BD7">
        <w:rPr>
          <w:color w:val="000000"/>
          <w:szCs w:val="22"/>
          <w:lang w:val="et-EE"/>
        </w:rPr>
        <w:t>...</w:t>
      </w:r>
      <w:r w:rsidRPr="00EC3BD7">
        <w:rPr>
          <w:color w:val="000000"/>
          <w:szCs w:val="22"/>
          <w:lang w:val="et-EE"/>
        </w:rPr>
        <w:t>mittehinnatav]; (riskimäär = 0,398 [0,259...0,610], p&lt;0,0001). Ühe aasta möödudes oli üldine RVE oluliselt parem Gliveci (97,7%) kui platseebo puhul (82,3%), (p&lt;0,0001). Seega vähenes retsidiivi risk umbes 89% võrreldes platseeboga (riskimäär = 0,113 [0,049...0,264]).</w:t>
      </w:r>
    </w:p>
    <w:p w14:paraId="50C9BBAA" w14:textId="77777777" w:rsidR="00E21A2F" w:rsidRPr="00EC3BD7" w:rsidRDefault="00E21A2F" w:rsidP="00E21A2F">
      <w:pPr>
        <w:pStyle w:val="EndnoteText"/>
        <w:widowControl w:val="0"/>
        <w:tabs>
          <w:tab w:val="clear" w:pos="567"/>
        </w:tabs>
        <w:rPr>
          <w:color w:val="000000"/>
          <w:szCs w:val="22"/>
          <w:lang w:val="et-EE"/>
        </w:rPr>
      </w:pPr>
    </w:p>
    <w:p w14:paraId="663147EA" w14:textId="25650AC6" w:rsidR="00E21A2F" w:rsidRPr="00EC3BD7" w:rsidRDefault="00E21A2F" w:rsidP="00E21A2F">
      <w:pPr>
        <w:rPr>
          <w:color w:val="000000"/>
          <w:szCs w:val="22"/>
          <w:lang w:val="et-EE"/>
        </w:rPr>
      </w:pPr>
      <w:r w:rsidRPr="00EC3BD7">
        <w:rPr>
          <w:color w:val="000000"/>
          <w:szCs w:val="22"/>
          <w:lang w:val="et-EE"/>
        </w:rPr>
        <w:t>Esmase GIST</w:t>
      </w:r>
      <w:r w:rsidR="00B43A79" w:rsidRPr="00593631">
        <w:rPr>
          <w:color w:val="000000"/>
          <w:szCs w:val="22"/>
          <w:lang w:val="et-EE"/>
        </w:rPr>
        <w:t>-i</w:t>
      </w:r>
      <w:r w:rsidRPr="00EC3BD7">
        <w:rPr>
          <w:color w:val="000000"/>
          <w:szCs w:val="22"/>
          <w:lang w:val="et-EE"/>
        </w:rPr>
        <w:t xml:space="preserve"> operatsiooni järgse retsidiivi riski hinnati retrospektiivselt järgmiste prognostiliste tegurite alusel: tuumori suurus, mitootiline indeks, tuumori lokalisatsioon. Mitootilise indeksi andmed olid saadud 556 patsiendi kohta 713-st </w:t>
      </w:r>
      <w:smartTag w:uri="urn:schemas-microsoft-com:office:smarttags" w:element="stockticker">
        <w:r w:rsidRPr="00EC3BD7">
          <w:rPr>
            <w:color w:val="000000"/>
            <w:szCs w:val="22"/>
            <w:lang w:val="et-EE"/>
          </w:rPr>
          <w:t>ITT</w:t>
        </w:r>
      </w:smartTag>
      <w:r w:rsidRPr="00EC3BD7">
        <w:rPr>
          <w:color w:val="000000"/>
          <w:szCs w:val="22"/>
          <w:lang w:val="et-EE"/>
        </w:rPr>
        <w:t xml:space="preserve"> (</w:t>
      </w:r>
      <w:r w:rsidRPr="00EC3BD7">
        <w:rPr>
          <w:i/>
          <w:color w:val="000000"/>
          <w:szCs w:val="22"/>
          <w:lang w:val="et-EE"/>
        </w:rPr>
        <w:t>intention-to-treat</w:t>
      </w:r>
      <w:r w:rsidRPr="00EC3BD7">
        <w:rPr>
          <w:color w:val="000000"/>
          <w:szCs w:val="22"/>
          <w:lang w:val="et-EE"/>
        </w:rPr>
        <w:t>) populatsioonis. Tabelis </w:t>
      </w:r>
      <w:r w:rsidR="008F4DAA" w:rsidRPr="00EC3BD7">
        <w:rPr>
          <w:color w:val="000000"/>
          <w:szCs w:val="22"/>
          <w:lang w:val="et-EE"/>
        </w:rPr>
        <w:t>7</w:t>
      </w:r>
      <w:r w:rsidRPr="00EC3BD7">
        <w:rPr>
          <w:color w:val="000000"/>
          <w:szCs w:val="22"/>
          <w:lang w:val="et-EE"/>
        </w:rPr>
        <w:t xml:space="preserve"> on toodud alagrupi analüüside tulemused vastaval</w:t>
      </w:r>
      <w:r w:rsidRPr="00EC3BD7">
        <w:rPr>
          <w:rFonts w:eastAsia="MS Mincho"/>
          <w:color w:val="000000"/>
          <w:szCs w:val="22"/>
          <w:lang w:val="et-EE" w:eastAsia="ja-JP"/>
        </w:rPr>
        <w:t>t NIH (</w:t>
      </w:r>
      <w:r w:rsidRPr="00EC3BD7">
        <w:rPr>
          <w:rFonts w:eastAsia="MS Mincho"/>
          <w:i/>
          <w:iCs/>
          <w:color w:val="000000"/>
          <w:szCs w:val="22"/>
          <w:lang w:val="et-EE" w:eastAsia="ja-JP"/>
        </w:rPr>
        <w:t>United States National Institutes of Health,</w:t>
      </w:r>
      <w:r w:rsidRPr="00EC3BD7">
        <w:rPr>
          <w:rFonts w:eastAsia="MS Mincho"/>
          <w:color w:val="000000"/>
          <w:szCs w:val="22"/>
          <w:lang w:val="et-EE" w:eastAsia="ja-JP"/>
        </w:rPr>
        <w:t xml:space="preserve"> Ühendriikide Riiklik Tervishoiu Instituut) </w:t>
      </w:r>
      <w:r w:rsidRPr="00EC3BD7">
        <w:rPr>
          <w:color w:val="000000"/>
          <w:szCs w:val="22"/>
          <w:lang w:val="et-EE"/>
        </w:rPr>
        <w:t>ja AFIP (</w:t>
      </w:r>
      <w:r w:rsidRPr="00EC3BD7">
        <w:rPr>
          <w:i/>
          <w:color w:val="000000"/>
          <w:szCs w:val="22"/>
          <w:lang w:val="et-EE"/>
        </w:rPr>
        <w:t>Armed Forces Institute of Pathology</w:t>
      </w:r>
      <w:r w:rsidRPr="00EC3BD7">
        <w:rPr>
          <w:color w:val="000000"/>
          <w:szCs w:val="22"/>
          <w:lang w:val="et-EE"/>
        </w:rPr>
        <w:t xml:space="preserve">, </w:t>
      </w:r>
      <w:r w:rsidRPr="00EC3BD7">
        <w:rPr>
          <w:color w:val="000000"/>
          <w:szCs w:val="22"/>
          <w:lang w:val="et-EE"/>
        </w:rPr>
        <w:lastRenderedPageBreak/>
        <w:t xml:space="preserve">Kaitsejõudude Patoloogia Instituut) riski klassifikatsioonile. Kasu ei täheldatud ei </w:t>
      </w:r>
      <w:r w:rsidR="00347035">
        <w:rPr>
          <w:color w:val="000000"/>
          <w:szCs w:val="22"/>
          <w:lang w:val="et-EE"/>
        </w:rPr>
        <w:t>väikese</w:t>
      </w:r>
      <w:r w:rsidRPr="00EC3BD7">
        <w:rPr>
          <w:color w:val="000000"/>
          <w:szCs w:val="22"/>
          <w:lang w:val="et-EE"/>
        </w:rPr>
        <w:t xml:space="preserve"> ega ka väga </w:t>
      </w:r>
      <w:r w:rsidR="00347035">
        <w:rPr>
          <w:color w:val="000000"/>
          <w:szCs w:val="22"/>
          <w:lang w:val="et-EE"/>
        </w:rPr>
        <w:t>väikese</w:t>
      </w:r>
      <w:r w:rsidRPr="00EC3BD7">
        <w:rPr>
          <w:color w:val="000000"/>
          <w:szCs w:val="22"/>
          <w:lang w:val="et-EE"/>
        </w:rPr>
        <w:t xml:space="preserve"> riski</w:t>
      </w:r>
      <w:r w:rsidR="00347035">
        <w:rPr>
          <w:color w:val="000000"/>
          <w:szCs w:val="22"/>
          <w:lang w:val="et-EE"/>
        </w:rPr>
        <w:t xml:space="preserve"> </w:t>
      </w:r>
      <w:r w:rsidRPr="00EC3BD7">
        <w:rPr>
          <w:color w:val="000000"/>
          <w:szCs w:val="22"/>
          <w:lang w:val="et-EE"/>
        </w:rPr>
        <w:t>gru</w:t>
      </w:r>
      <w:r w:rsidR="00347035">
        <w:rPr>
          <w:color w:val="000000"/>
          <w:szCs w:val="22"/>
          <w:lang w:val="et-EE"/>
        </w:rPr>
        <w:t>p</w:t>
      </w:r>
      <w:r w:rsidRPr="00EC3BD7">
        <w:rPr>
          <w:color w:val="000000"/>
          <w:szCs w:val="22"/>
          <w:lang w:val="et-EE"/>
        </w:rPr>
        <w:t>pi</w:t>
      </w:r>
      <w:r w:rsidR="00347035">
        <w:rPr>
          <w:color w:val="000000"/>
          <w:szCs w:val="22"/>
          <w:lang w:val="et-EE"/>
        </w:rPr>
        <w:t>de</w:t>
      </w:r>
      <w:r w:rsidRPr="00EC3BD7">
        <w:rPr>
          <w:color w:val="000000"/>
          <w:szCs w:val="22"/>
          <w:lang w:val="et-EE"/>
        </w:rPr>
        <w:t>s. Üleüldist kasu elulemusele ei ole täheldatud.</w:t>
      </w:r>
    </w:p>
    <w:p w14:paraId="0BA0D013" w14:textId="77777777" w:rsidR="00E21A2F" w:rsidRPr="00EC3BD7" w:rsidRDefault="00E21A2F" w:rsidP="00E21A2F">
      <w:pPr>
        <w:rPr>
          <w:color w:val="000000"/>
          <w:szCs w:val="22"/>
          <w:lang w:val="et-EE"/>
        </w:rPr>
      </w:pPr>
    </w:p>
    <w:p w14:paraId="335B2A3E" w14:textId="77777777" w:rsidR="00E21A2F" w:rsidRPr="00EC3BD7" w:rsidRDefault="00E21A2F" w:rsidP="008B1609">
      <w:pPr>
        <w:pStyle w:val="Heading6"/>
        <w:keepLines/>
        <w:tabs>
          <w:tab w:val="clear" w:pos="567"/>
          <w:tab w:val="clear" w:pos="4536"/>
        </w:tabs>
        <w:suppressAutoHyphens w:val="0"/>
        <w:spacing w:line="240" w:lineRule="auto"/>
        <w:ind w:left="1134" w:hanging="1134"/>
        <w:rPr>
          <w:rFonts w:eastAsia="MS Mincho"/>
          <w:b/>
          <w:i w:val="0"/>
          <w:color w:val="000000"/>
          <w:szCs w:val="22"/>
          <w:lang w:val="et-EE" w:eastAsia="ja-JP"/>
        </w:rPr>
      </w:pPr>
      <w:r w:rsidRPr="00EC3BD7">
        <w:rPr>
          <w:rFonts w:eastAsia="MS Mincho"/>
          <w:b/>
          <w:i w:val="0"/>
          <w:iCs/>
          <w:color w:val="000000"/>
          <w:szCs w:val="22"/>
          <w:lang w:val="et-EE" w:eastAsia="ja-JP"/>
        </w:rPr>
        <w:t>Tabel </w:t>
      </w:r>
      <w:r w:rsidR="008F4DAA" w:rsidRPr="00EC3BD7">
        <w:rPr>
          <w:rFonts w:eastAsia="MS Mincho"/>
          <w:b/>
          <w:i w:val="0"/>
          <w:iCs/>
          <w:color w:val="000000"/>
          <w:szCs w:val="22"/>
          <w:lang w:val="et-EE" w:eastAsia="ja-JP"/>
        </w:rPr>
        <w:t>7</w:t>
      </w:r>
      <w:r w:rsidRPr="00EC3BD7">
        <w:rPr>
          <w:rFonts w:eastAsia="MS Mincho"/>
          <w:b/>
          <w:color w:val="000000"/>
          <w:szCs w:val="22"/>
          <w:lang w:val="et-EE" w:eastAsia="ja-JP"/>
        </w:rPr>
        <w:tab/>
      </w:r>
      <w:r w:rsidRPr="00EC3BD7">
        <w:rPr>
          <w:rFonts w:eastAsia="MS Mincho"/>
          <w:b/>
          <w:i w:val="0"/>
          <w:color w:val="000000"/>
          <w:szCs w:val="22"/>
          <w:lang w:val="et-EE" w:eastAsia="ja-JP"/>
        </w:rPr>
        <w:t>Uuringu Z9001 retsidiivivaba elulemuse (RVE) analüüside kokkuvõte AFIP riski klassifikatsiooni järgi</w:t>
      </w:r>
    </w:p>
    <w:p w14:paraId="4B704EFC" w14:textId="77777777" w:rsidR="00E21A2F" w:rsidRPr="00EC3BD7" w:rsidRDefault="00E21A2F" w:rsidP="008B1609">
      <w:pPr>
        <w:keepNext/>
        <w:widowControl w:val="0"/>
        <w:rPr>
          <w:rFonts w:eastAsia="MS Mincho"/>
          <w:color w:val="000000"/>
          <w:szCs w:val="22"/>
          <w:lang w:val="et-EE" w:eastAsia="ja-JP"/>
        </w:rPr>
      </w:pPr>
    </w:p>
    <w:tbl>
      <w:tblPr>
        <w:tblW w:w="9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109"/>
        <w:gridCol w:w="1301"/>
        <w:gridCol w:w="1768"/>
        <w:gridCol w:w="1800"/>
        <w:gridCol w:w="1357"/>
        <w:gridCol w:w="1360"/>
      </w:tblGrid>
      <w:tr w:rsidR="00E21A2F" w:rsidRPr="00EC3BD7" w14:paraId="5E368BFD" w14:textId="77777777" w:rsidTr="008B1609">
        <w:trPr>
          <w:cantSplit/>
        </w:trPr>
        <w:tc>
          <w:tcPr>
            <w:tcW w:w="1242" w:type="dxa"/>
            <w:vMerge w:val="restart"/>
          </w:tcPr>
          <w:p w14:paraId="2E92F7CF" w14:textId="77777777" w:rsidR="00E21A2F" w:rsidRPr="00EC3BD7" w:rsidRDefault="00E21A2F" w:rsidP="008B1609">
            <w:pPr>
              <w:pStyle w:val="Table"/>
              <w:keepLines w:val="0"/>
              <w:widowControl w:val="0"/>
              <w:spacing w:before="12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Riski-kriteerium</w:t>
            </w:r>
          </w:p>
        </w:tc>
        <w:tc>
          <w:tcPr>
            <w:tcW w:w="1109" w:type="dxa"/>
            <w:vMerge w:val="restart"/>
            <w:tcBorders>
              <w:right w:val="single" w:sz="4" w:space="0" w:color="auto"/>
            </w:tcBorders>
          </w:tcPr>
          <w:p w14:paraId="57398701" w14:textId="77777777" w:rsidR="00E21A2F" w:rsidRPr="00EC3BD7" w:rsidRDefault="00E21A2F" w:rsidP="009A3C30">
            <w:pPr>
              <w:pStyle w:val="Table"/>
              <w:keepLines w:val="0"/>
              <w:widowControl w:val="0"/>
              <w:spacing w:before="120"/>
              <w:rPr>
                <w:rFonts w:ascii="Times New Roman" w:hAnsi="Times New Roman"/>
                <w:b/>
                <w:color w:val="000000"/>
                <w:sz w:val="22"/>
                <w:szCs w:val="22"/>
                <w:lang w:val="et-EE"/>
              </w:rPr>
            </w:pPr>
            <w:r w:rsidRPr="00EC3BD7">
              <w:rPr>
                <w:rFonts w:ascii="Times New Roman" w:hAnsi="Times New Roman"/>
                <w:b/>
                <w:color w:val="000000"/>
                <w:sz w:val="22"/>
                <w:szCs w:val="22"/>
                <w:lang w:val="et-EE"/>
              </w:rPr>
              <w:t>Riskitase</w:t>
            </w:r>
          </w:p>
        </w:tc>
        <w:tc>
          <w:tcPr>
            <w:tcW w:w="1301" w:type="dxa"/>
            <w:vMerge w:val="restart"/>
            <w:tcBorders>
              <w:left w:val="single" w:sz="4" w:space="0" w:color="auto"/>
              <w:right w:val="single" w:sz="4" w:space="0" w:color="auto"/>
            </w:tcBorders>
          </w:tcPr>
          <w:p w14:paraId="54FD2427" w14:textId="77777777" w:rsidR="00E21A2F" w:rsidRPr="00EC3BD7" w:rsidRDefault="00E21A2F" w:rsidP="008B1609">
            <w:pPr>
              <w:pStyle w:val="Table"/>
              <w:keepLines w:val="0"/>
              <w:widowControl w:val="0"/>
              <w:spacing w:before="12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Patsientide määr (%)</w:t>
            </w:r>
          </w:p>
        </w:tc>
        <w:tc>
          <w:tcPr>
            <w:tcW w:w="1768" w:type="dxa"/>
            <w:vMerge w:val="restart"/>
            <w:tcBorders>
              <w:left w:val="single" w:sz="4" w:space="0" w:color="auto"/>
              <w:right w:val="single" w:sz="4" w:space="0" w:color="auto"/>
            </w:tcBorders>
          </w:tcPr>
          <w:p w14:paraId="0E60D080" w14:textId="77777777" w:rsidR="00E21A2F" w:rsidRPr="00EC3BD7" w:rsidRDefault="00E21A2F" w:rsidP="008B1609">
            <w:pPr>
              <w:keepNext/>
              <w:widowControl w:val="0"/>
              <w:jc w:val="center"/>
              <w:rPr>
                <w:b/>
                <w:color w:val="000000"/>
                <w:szCs w:val="22"/>
                <w:lang w:val="et-EE"/>
              </w:rPr>
            </w:pPr>
            <w:r w:rsidRPr="00EC3BD7">
              <w:rPr>
                <w:b/>
                <w:color w:val="000000"/>
                <w:szCs w:val="22"/>
                <w:lang w:val="et-EE"/>
              </w:rPr>
              <w:t>Juhtumite arv /</w:t>
            </w:r>
          </w:p>
          <w:p w14:paraId="332B7A4B" w14:textId="77777777" w:rsidR="00E21A2F" w:rsidRPr="00EC3BD7" w:rsidRDefault="00E21A2F" w:rsidP="008B1609">
            <w:pPr>
              <w:pStyle w:val="Table"/>
              <w:keepLines w:val="0"/>
              <w:widowControl w:val="0"/>
              <w:spacing w:before="0" w:after="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patsientide arv</w:t>
            </w:r>
          </w:p>
        </w:tc>
        <w:tc>
          <w:tcPr>
            <w:tcW w:w="1800" w:type="dxa"/>
            <w:vMerge w:val="restart"/>
            <w:tcBorders>
              <w:left w:val="single" w:sz="4" w:space="0" w:color="auto"/>
              <w:right w:val="single" w:sz="4" w:space="0" w:color="auto"/>
            </w:tcBorders>
          </w:tcPr>
          <w:p w14:paraId="25FF6724" w14:textId="77777777" w:rsidR="00E21A2F" w:rsidRPr="00EC3BD7" w:rsidRDefault="00E21A2F" w:rsidP="008B1609">
            <w:pPr>
              <w:pStyle w:val="Table"/>
              <w:keepLines w:val="0"/>
              <w:widowControl w:val="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Üldine riskisuhe (95%CI)*</w:t>
            </w:r>
          </w:p>
        </w:tc>
        <w:tc>
          <w:tcPr>
            <w:tcW w:w="2717" w:type="dxa"/>
            <w:gridSpan w:val="2"/>
            <w:tcBorders>
              <w:left w:val="single" w:sz="4" w:space="0" w:color="auto"/>
            </w:tcBorders>
          </w:tcPr>
          <w:p w14:paraId="52248607" w14:textId="77777777" w:rsidR="00E21A2F" w:rsidRPr="00EC3BD7" w:rsidRDefault="00E21A2F" w:rsidP="008B1609">
            <w:pPr>
              <w:pStyle w:val="Table"/>
              <w:keepLines w:val="0"/>
              <w:widowControl w:val="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RVE määr (%)</w:t>
            </w:r>
          </w:p>
        </w:tc>
      </w:tr>
      <w:tr w:rsidR="00E21A2F" w:rsidRPr="00EC3BD7" w14:paraId="56055720" w14:textId="77777777" w:rsidTr="008B1609">
        <w:trPr>
          <w:cantSplit/>
        </w:trPr>
        <w:tc>
          <w:tcPr>
            <w:tcW w:w="1242" w:type="dxa"/>
            <w:vMerge/>
          </w:tcPr>
          <w:p w14:paraId="6DA553C1" w14:textId="77777777" w:rsidR="00E21A2F" w:rsidRPr="00EC3BD7" w:rsidRDefault="00E21A2F" w:rsidP="008B1609">
            <w:pPr>
              <w:pStyle w:val="Table"/>
              <w:keepLines w:val="0"/>
              <w:widowControl w:val="0"/>
              <w:rPr>
                <w:rFonts w:ascii="Times New Roman" w:hAnsi="Times New Roman"/>
                <w:b/>
                <w:color w:val="000000"/>
                <w:sz w:val="22"/>
                <w:szCs w:val="22"/>
                <w:lang w:val="et-EE"/>
              </w:rPr>
            </w:pPr>
          </w:p>
        </w:tc>
        <w:tc>
          <w:tcPr>
            <w:tcW w:w="1109" w:type="dxa"/>
            <w:vMerge/>
            <w:tcBorders>
              <w:right w:val="single" w:sz="4" w:space="0" w:color="auto"/>
            </w:tcBorders>
          </w:tcPr>
          <w:p w14:paraId="7A8B1410" w14:textId="77777777" w:rsidR="00E21A2F" w:rsidRPr="00EC3BD7" w:rsidRDefault="00E21A2F" w:rsidP="008B1609">
            <w:pPr>
              <w:pStyle w:val="Table"/>
              <w:keepLines w:val="0"/>
              <w:widowControl w:val="0"/>
              <w:rPr>
                <w:rFonts w:ascii="Times New Roman" w:hAnsi="Times New Roman"/>
                <w:b/>
                <w:color w:val="000000"/>
                <w:sz w:val="22"/>
                <w:szCs w:val="22"/>
                <w:lang w:val="et-EE"/>
              </w:rPr>
            </w:pPr>
          </w:p>
        </w:tc>
        <w:tc>
          <w:tcPr>
            <w:tcW w:w="1301" w:type="dxa"/>
            <w:vMerge/>
            <w:tcBorders>
              <w:left w:val="single" w:sz="4" w:space="0" w:color="auto"/>
              <w:right w:val="single" w:sz="4" w:space="0" w:color="auto"/>
            </w:tcBorders>
          </w:tcPr>
          <w:p w14:paraId="448D9AE1" w14:textId="77777777" w:rsidR="00E21A2F" w:rsidRPr="00EC3BD7" w:rsidRDefault="00E21A2F" w:rsidP="008B1609">
            <w:pPr>
              <w:pStyle w:val="Table"/>
              <w:keepLines w:val="0"/>
              <w:widowControl w:val="0"/>
              <w:jc w:val="center"/>
              <w:rPr>
                <w:rFonts w:ascii="Times New Roman" w:hAnsi="Times New Roman"/>
                <w:b/>
                <w:color w:val="000000"/>
                <w:sz w:val="22"/>
                <w:szCs w:val="22"/>
                <w:lang w:val="et-EE"/>
              </w:rPr>
            </w:pPr>
          </w:p>
        </w:tc>
        <w:tc>
          <w:tcPr>
            <w:tcW w:w="1768" w:type="dxa"/>
            <w:vMerge/>
            <w:tcBorders>
              <w:left w:val="single" w:sz="4" w:space="0" w:color="auto"/>
              <w:right w:val="single" w:sz="4" w:space="0" w:color="auto"/>
            </w:tcBorders>
          </w:tcPr>
          <w:p w14:paraId="077B8754" w14:textId="77777777" w:rsidR="00E21A2F" w:rsidRPr="00EC3BD7" w:rsidRDefault="00E21A2F" w:rsidP="008B1609">
            <w:pPr>
              <w:pStyle w:val="Table"/>
              <w:keepLines w:val="0"/>
              <w:widowControl w:val="0"/>
              <w:jc w:val="center"/>
              <w:rPr>
                <w:rFonts w:ascii="Times New Roman" w:hAnsi="Times New Roman"/>
                <w:b/>
                <w:color w:val="000000"/>
                <w:sz w:val="22"/>
                <w:szCs w:val="22"/>
                <w:lang w:val="et-EE"/>
              </w:rPr>
            </w:pPr>
          </w:p>
        </w:tc>
        <w:tc>
          <w:tcPr>
            <w:tcW w:w="1800" w:type="dxa"/>
            <w:vMerge/>
            <w:tcBorders>
              <w:left w:val="single" w:sz="4" w:space="0" w:color="auto"/>
              <w:right w:val="single" w:sz="4" w:space="0" w:color="auto"/>
            </w:tcBorders>
          </w:tcPr>
          <w:p w14:paraId="29034FF9" w14:textId="77777777" w:rsidR="00E21A2F" w:rsidRPr="00EC3BD7" w:rsidRDefault="00E21A2F" w:rsidP="008B1609">
            <w:pPr>
              <w:pStyle w:val="Table"/>
              <w:keepLines w:val="0"/>
              <w:widowControl w:val="0"/>
              <w:rPr>
                <w:rFonts w:ascii="Times New Roman" w:hAnsi="Times New Roman"/>
                <w:b/>
                <w:color w:val="000000"/>
                <w:sz w:val="22"/>
                <w:szCs w:val="22"/>
                <w:lang w:val="et-EE"/>
              </w:rPr>
            </w:pPr>
          </w:p>
        </w:tc>
        <w:tc>
          <w:tcPr>
            <w:tcW w:w="1357" w:type="dxa"/>
            <w:tcBorders>
              <w:left w:val="single" w:sz="4" w:space="0" w:color="auto"/>
              <w:right w:val="single" w:sz="4" w:space="0" w:color="auto"/>
            </w:tcBorders>
          </w:tcPr>
          <w:p w14:paraId="7F1FCE9B" w14:textId="77777777" w:rsidR="00E21A2F" w:rsidRPr="00EC3BD7" w:rsidRDefault="00E21A2F" w:rsidP="008B1609">
            <w:pPr>
              <w:pStyle w:val="Table"/>
              <w:keepLines w:val="0"/>
              <w:widowControl w:val="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12. kuu</w:t>
            </w:r>
          </w:p>
        </w:tc>
        <w:tc>
          <w:tcPr>
            <w:tcW w:w="1360" w:type="dxa"/>
            <w:tcBorders>
              <w:left w:val="single" w:sz="4" w:space="0" w:color="auto"/>
            </w:tcBorders>
          </w:tcPr>
          <w:p w14:paraId="024617A2" w14:textId="77777777" w:rsidR="00E21A2F" w:rsidRPr="00EC3BD7" w:rsidRDefault="00E21A2F" w:rsidP="008B1609">
            <w:pPr>
              <w:pStyle w:val="Table"/>
              <w:keepLines w:val="0"/>
              <w:widowControl w:val="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24. kuu</w:t>
            </w:r>
          </w:p>
        </w:tc>
      </w:tr>
      <w:tr w:rsidR="00E21A2F" w:rsidRPr="00EC3BD7" w14:paraId="46D4000F" w14:textId="77777777" w:rsidTr="008B1609">
        <w:trPr>
          <w:cantSplit/>
        </w:trPr>
        <w:tc>
          <w:tcPr>
            <w:tcW w:w="1242" w:type="dxa"/>
            <w:vMerge/>
          </w:tcPr>
          <w:p w14:paraId="25EC4617" w14:textId="77777777" w:rsidR="00E21A2F" w:rsidRPr="00EC3BD7" w:rsidRDefault="00E21A2F" w:rsidP="008B1609">
            <w:pPr>
              <w:pStyle w:val="Table"/>
              <w:keepLines w:val="0"/>
              <w:widowControl w:val="0"/>
              <w:rPr>
                <w:rFonts w:ascii="Times New Roman" w:hAnsi="Times New Roman"/>
                <w:b/>
                <w:color w:val="000000"/>
                <w:sz w:val="22"/>
                <w:szCs w:val="22"/>
                <w:lang w:val="et-EE"/>
              </w:rPr>
            </w:pPr>
          </w:p>
        </w:tc>
        <w:tc>
          <w:tcPr>
            <w:tcW w:w="1109" w:type="dxa"/>
            <w:vMerge/>
            <w:tcBorders>
              <w:right w:val="single" w:sz="4" w:space="0" w:color="auto"/>
            </w:tcBorders>
          </w:tcPr>
          <w:p w14:paraId="74499434" w14:textId="77777777" w:rsidR="00E21A2F" w:rsidRPr="00EC3BD7" w:rsidRDefault="00E21A2F" w:rsidP="008B1609">
            <w:pPr>
              <w:pStyle w:val="Table"/>
              <w:keepLines w:val="0"/>
              <w:widowControl w:val="0"/>
              <w:rPr>
                <w:rFonts w:ascii="Times New Roman" w:hAnsi="Times New Roman"/>
                <w:b/>
                <w:color w:val="000000"/>
                <w:sz w:val="22"/>
                <w:szCs w:val="22"/>
                <w:lang w:val="et-EE"/>
              </w:rPr>
            </w:pPr>
          </w:p>
        </w:tc>
        <w:tc>
          <w:tcPr>
            <w:tcW w:w="1301" w:type="dxa"/>
            <w:vMerge/>
            <w:tcBorders>
              <w:left w:val="single" w:sz="4" w:space="0" w:color="auto"/>
              <w:right w:val="single" w:sz="4" w:space="0" w:color="auto"/>
            </w:tcBorders>
          </w:tcPr>
          <w:p w14:paraId="45C78367" w14:textId="77777777" w:rsidR="00E21A2F" w:rsidRPr="00EC3BD7" w:rsidRDefault="00E21A2F" w:rsidP="008B1609">
            <w:pPr>
              <w:pStyle w:val="Table"/>
              <w:keepLines w:val="0"/>
              <w:widowControl w:val="0"/>
              <w:jc w:val="center"/>
              <w:rPr>
                <w:rFonts w:ascii="Times New Roman" w:hAnsi="Times New Roman"/>
                <w:b/>
                <w:color w:val="000000"/>
                <w:sz w:val="22"/>
                <w:szCs w:val="22"/>
                <w:lang w:val="et-EE"/>
              </w:rPr>
            </w:pPr>
          </w:p>
        </w:tc>
        <w:tc>
          <w:tcPr>
            <w:tcW w:w="1768" w:type="dxa"/>
            <w:tcBorders>
              <w:left w:val="single" w:sz="4" w:space="0" w:color="auto"/>
              <w:bottom w:val="single" w:sz="4" w:space="0" w:color="auto"/>
              <w:right w:val="single" w:sz="4" w:space="0" w:color="auto"/>
            </w:tcBorders>
          </w:tcPr>
          <w:p w14:paraId="1208F1A5" w14:textId="77777777" w:rsidR="00E21A2F" w:rsidRPr="00EC3BD7" w:rsidRDefault="00E21A2F" w:rsidP="008B1609">
            <w:pPr>
              <w:pStyle w:val="Table"/>
              <w:keepLines w:val="0"/>
              <w:widowControl w:val="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Glivec vs. platseebo</w:t>
            </w:r>
          </w:p>
        </w:tc>
        <w:tc>
          <w:tcPr>
            <w:tcW w:w="1800" w:type="dxa"/>
            <w:vMerge/>
            <w:tcBorders>
              <w:left w:val="single" w:sz="4" w:space="0" w:color="auto"/>
              <w:bottom w:val="single" w:sz="4" w:space="0" w:color="auto"/>
              <w:right w:val="single" w:sz="4" w:space="0" w:color="auto"/>
            </w:tcBorders>
          </w:tcPr>
          <w:p w14:paraId="7C2AF7A4" w14:textId="77777777" w:rsidR="00E21A2F" w:rsidRPr="00EC3BD7" w:rsidRDefault="00E21A2F" w:rsidP="008B1609">
            <w:pPr>
              <w:pStyle w:val="Table"/>
              <w:keepLines w:val="0"/>
              <w:widowControl w:val="0"/>
              <w:jc w:val="center"/>
              <w:rPr>
                <w:rFonts w:ascii="Times New Roman" w:hAnsi="Times New Roman"/>
                <w:b/>
                <w:color w:val="000000"/>
                <w:sz w:val="22"/>
                <w:szCs w:val="22"/>
                <w:lang w:val="et-EE"/>
              </w:rPr>
            </w:pPr>
          </w:p>
        </w:tc>
        <w:tc>
          <w:tcPr>
            <w:tcW w:w="1357" w:type="dxa"/>
            <w:tcBorders>
              <w:left w:val="single" w:sz="4" w:space="0" w:color="auto"/>
              <w:bottom w:val="single" w:sz="4" w:space="0" w:color="auto"/>
              <w:right w:val="single" w:sz="4" w:space="0" w:color="auto"/>
            </w:tcBorders>
          </w:tcPr>
          <w:p w14:paraId="176B5155" w14:textId="77777777" w:rsidR="00E21A2F" w:rsidRPr="00EC3BD7" w:rsidRDefault="00E21A2F" w:rsidP="008B1609">
            <w:pPr>
              <w:pStyle w:val="Table"/>
              <w:keepLines w:val="0"/>
              <w:widowControl w:val="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Glivec vs. platseebo</w:t>
            </w:r>
          </w:p>
        </w:tc>
        <w:tc>
          <w:tcPr>
            <w:tcW w:w="1360" w:type="dxa"/>
            <w:tcBorders>
              <w:left w:val="single" w:sz="4" w:space="0" w:color="auto"/>
            </w:tcBorders>
          </w:tcPr>
          <w:p w14:paraId="0B1BDC02" w14:textId="77777777" w:rsidR="00E21A2F" w:rsidRPr="00EC3BD7" w:rsidRDefault="00E21A2F" w:rsidP="008B1609">
            <w:pPr>
              <w:pStyle w:val="Table"/>
              <w:keepLines w:val="0"/>
              <w:widowControl w:val="0"/>
              <w:jc w:val="center"/>
              <w:rPr>
                <w:rFonts w:ascii="Times New Roman" w:hAnsi="Times New Roman"/>
                <w:b/>
                <w:color w:val="000000"/>
                <w:sz w:val="22"/>
                <w:szCs w:val="22"/>
                <w:lang w:val="et-EE"/>
              </w:rPr>
            </w:pPr>
            <w:r w:rsidRPr="00EC3BD7">
              <w:rPr>
                <w:rFonts w:ascii="Times New Roman" w:hAnsi="Times New Roman"/>
                <w:b/>
                <w:color w:val="000000"/>
                <w:sz w:val="22"/>
                <w:szCs w:val="22"/>
                <w:lang w:val="et-EE"/>
              </w:rPr>
              <w:t>Glivec vs. platseebo</w:t>
            </w:r>
          </w:p>
        </w:tc>
      </w:tr>
      <w:tr w:rsidR="00E21A2F" w:rsidRPr="00EC3BD7" w14:paraId="6ADC118D" w14:textId="77777777" w:rsidTr="008B1609">
        <w:trPr>
          <w:cantSplit/>
        </w:trPr>
        <w:tc>
          <w:tcPr>
            <w:tcW w:w="1242" w:type="dxa"/>
            <w:vMerge w:val="restart"/>
            <w:shd w:val="clear" w:color="auto" w:fill="auto"/>
          </w:tcPr>
          <w:p w14:paraId="4E13164A" w14:textId="77777777" w:rsidR="00E21A2F" w:rsidRPr="00EC3BD7" w:rsidRDefault="00E21A2F" w:rsidP="008B1609">
            <w:pPr>
              <w:keepNext/>
              <w:widowControl w:val="0"/>
              <w:spacing w:before="360"/>
              <w:rPr>
                <w:color w:val="000000"/>
                <w:szCs w:val="22"/>
                <w:lang w:val="et-EE"/>
              </w:rPr>
            </w:pPr>
            <w:r w:rsidRPr="00EC3BD7">
              <w:rPr>
                <w:color w:val="000000"/>
                <w:szCs w:val="22"/>
                <w:lang w:val="et-EE"/>
              </w:rPr>
              <w:t>NIH</w:t>
            </w:r>
          </w:p>
        </w:tc>
        <w:tc>
          <w:tcPr>
            <w:tcW w:w="1109" w:type="dxa"/>
            <w:tcBorders>
              <w:bottom w:val="nil"/>
              <w:right w:val="single" w:sz="4" w:space="0" w:color="auto"/>
            </w:tcBorders>
            <w:vAlign w:val="bottom"/>
          </w:tcPr>
          <w:p w14:paraId="4D4B02BA" w14:textId="305B0C45" w:rsidR="00E21A2F" w:rsidRPr="00EC3BD7" w:rsidRDefault="00347035" w:rsidP="008B1609">
            <w:pPr>
              <w:keepNext/>
              <w:widowControl w:val="0"/>
              <w:spacing w:before="40" w:after="20"/>
              <w:ind w:left="57" w:hanging="57"/>
              <w:rPr>
                <w:color w:val="000000"/>
                <w:szCs w:val="22"/>
                <w:lang w:val="et-EE"/>
              </w:rPr>
            </w:pPr>
            <w:r>
              <w:rPr>
                <w:color w:val="000000"/>
                <w:szCs w:val="22"/>
                <w:lang w:val="et-EE"/>
              </w:rPr>
              <w:t>Väike</w:t>
            </w:r>
          </w:p>
        </w:tc>
        <w:tc>
          <w:tcPr>
            <w:tcW w:w="1301" w:type="dxa"/>
            <w:tcBorders>
              <w:left w:val="single" w:sz="4" w:space="0" w:color="auto"/>
              <w:bottom w:val="nil"/>
              <w:right w:val="single" w:sz="4" w:space="0" w:color="auto"/>
            </w:tcBorders>
            <w:vAlign w:val="bottom"/>
          </w:tcPr>
          <w:p w14:paraId="51B47E59" w14:textId="77777777" w:rsidR="00E21A2F" w:rsidRPr="00EC3BD7" w:rsidRDefault="00E21A2F" w:rsidP="008B1609">
            <w:pPr>
              <w:keepNext/>
              <w:widowControl w:val="0"/>
              <w:spacing w:before="40" w:after="20"/>
              <w:ind w:left="57" w:hanging="57"/>
              <w:jc w:val="center"/>
              <w:rPr>
                <w:color w:val="000000"/>
                <w:szCs w:val="22"/>
                <w:lang w:val="et-EE"/>
              </w:rPr>
            </w:pPr>
            <w:r w:rsidRPr="00EC3BD7">
              <w:rPr>
                <w:color w:val="000000"/>
                <w:szCs w:val="22"/>
                <w:lang w:val="et-EE"/>
              </w:rPr>
              <w:t>29,5</w:t>
            </w:r>
          </w:p>
        </w:tc>
        <w:tc>
          <w:tcPr>
            <w:tcW w:w="1768" w:type="dxa"/>
            <w:tcBorders>
              <w:left w:val="single" w:sz="4" w:space="0" w:color="auto"/>
              <w:bottom w:val="nil"/>
              <w:right w:val="single" w:sz="4" w:space="0" w:color="auto"/>
            </w:tcBorders>
            <w:vAlign w:val="bottom"/>
          </w:tcPr>
          <w:p w14:paraId="146001F0" w14:textId="77777777" w:rsidR="00E21A2F" w:rsidRPr="00EC3BD7" w:rsidRDefault="00E21A2F" w:rsidP="008B1609">
            <w:pPr>
              <w:keepNext/>
              <w:widowControl w:val="0"/>
              <w:spacing w:before="40" w:after="20"/>
              <w:ind w:left="57" w:hanging="57"/>
              <w:rPr>
                <w:color w:val="000000"/>
                <w:szCs w:val="22"/>
                <w:lang w:val="et-EE"/>
              </w:rPr>
            </w:pPr>
            <w:r w:rsidRPr="00EC3BD7">
              <w:rPr>
                <w:color w:val="000000"/>
                <w:szCs w:val="22"/>
                <w:lang w:val="et-EE"/>
              </w:rPr>
              <w:t>0/86 vs. 2/90</w:t>
            </w:r>
          </w:p>
        </w:tc>
        <w:tc>
          <w:tcPr>
            <w:tcW w:w="1800" w:type="dxa"/>
            <w:tcBorders>
              <w:left w:val="single" w:sz="4" w:space="0" w:color="auto"/>
              <w:bottom w:val="nil"/>
              <w:right w:val="single" w:sz="4" w:space="0" w:color="auto"/>
            </w:tcBorders>
            <w:vAlign w:val="bottom"/>
          </w:tcPr>
          <w:p w14:paraId="4237135A" w14:textId="77777777" w:rsidR="00E21A2F" w:rsidRPr="00EC3BD7" w:rsidRDefault="00E21A2F" w:rsidP="008B1609">
            <w:pPr>
              <w:keepNext/>
              <w:widowControl w:val="0"/>
              <w:spacing w:before="40" w:after="20"/>
              <w:ind w:left="57" w:hanging="57"/>
              <w:rPr>
                <w:color w:val="000000"/>
                <w:szCs w:val="22"/>
                <w:lang w:val="et-EE"/>
              </w:rPr>
            </w:pPr>
            <w:r w:rsidRPr="00EC3BD7">
              <w:rPr>
                <w:color w:val="000000"/>
                <w:szCs w:val="22"/>
                <w:lang w:val="et-EE"/>
              </w:rPr>
              <w:t>N.E.</w:t>
            </w:r>
          </w:p>
        </w:tc>
        <w:tc>
          <w:tcPr>
            <w:tcW w:w="1357" w:type="dxa"/>
            <w:tcBorders>
              <w:left w:val="single" w:sz="4" w:space="0" w:color="auto"/>
              <w:bottom w:val="nil"/>
              <w:right w:val="single" w:sz="4" w:space="0" w:color="auto"/>
            </w:tcBorders>
            <w:vAlign w:val="bottom"/>
          </w:tcPr>
          <w:p w14:paraId="55EE4241" w14:textId="77777777" w:rsidR="00E21A2F" w:rsidRPr="00EC3BD7" w:rsidRDefault="00E21A2F" w:rsidP="008B1609">
            <w:pPr>
              <w:keepNext/>
              <w:widowControl w:val="0"/>
              <w:spacing w:before="40" w:after="20"/>
              <w:ind w:left="57" w:hanging="57"/>
              <w:rPr>
                <w:color w:val="000000"/>
                <w:szCs w:val="22"/>
                <w:lang w:val="et-EE"/>
              </w:rPr>
            </w:pPr>
            <w:r w:rsidRPr="00EC3BD7">
              <w:rPr>
                <w:color w:val="000000"/>
                <w:szCs w:val="22"/>
                <w:lang w:val="et-EE"/>
              </w:rPr>
              <w:t>100 vs. 98,7</w:t>
            </w:r>
          </w:p>
        </w:tc>
        <w:tc>
          <w:tcPr>
            <w:tcW w:w="1360" w:type="dxa"/>
            <w:tcBorders>
              <w:left w:val="single" w:sz="4" w:space="0" w:color="auto"/>
              <w:bottom w:val="nil"/>
            </w:tcBorders>
            <w:vAlign w:val="bottom"/>
          </w:tcPr>
          <w:p w14:paraId="30709A4C" w14:textId="77777777" w:rsidR="00E21A2F" w:rsidRPr="00EC3BD7" w:rsidRDefault="00E21A2F" w:rsidP="008B1609">
            <w:pPr>
              <w:keepNext/>
              <w:widowControl w:val="0"/>
              <w:spacing w:before="40" w:after="20"/>
              <w:ind w:left="57" w:hanging="57"/>
              <w:rPr>
                <w:color w:val="000000"/>
                <w:szCs w:val="22"/>
                <w:lang w:val="et-EE"/>
              </w:rPr>
            </w:pPr>
            <w:r w:rsidRPr="00EC3BD7">
              <w:rPr>
                <w:color w:val="000000"/>
                <w:szCs w:val="22"/>
                <w:lang w:val="et-EE"/>
              </w:rPr>
              <w:t>100 vs. 95,5</w:t>
            </w:r>
          </w:p>
        </w:tc>
      </w:tr>
      <w:tr w:rsidR="00E21A2F" w:rsidRPr="00EC3BD7" w14:paraId="58D33AB8" w14:textId="77777777" w:rsidTr="008B1609">
        <w:trPr>
          <w:cantSplit/>
        </w:trPr>
        <w:tc>
          <w:tcPr>
            <w:tcW w:w="1242" w:type="dxa"/>
            <w:vMerge/>
            <w:shd w:val="clear" w:color="auto" w:fill="auto"/>
          </w:tcPr>
          <w:p w14:paraId="179A340E" w14:textId="77777777" w:rsidR="00E21A2F" w:rsidRPr="00EC3BD7" w:rsidRDefault="00E21A2F" w:rsidP="008B1609">
            <w:pPr>
              <w:keepNext/>
              <w:widowControl w:val="0"/>
              <w:rPr>
                <w:b/>
                <w:color w:val="000000"/>
                <w:szCs w:val="22"/>
                <w:lang w:val="et-EE"/>
              </w:rPr>
            </w:pPr>
          </w:p>
        </w:tc>
        <w:tc>
          <w:tcPr>
            <w:tcW w:w="1109" w:type="dxa"/>
            <w:tcBorders>
              <w:top w:val="nil"/>
              <w:bottom w:val="nil"/>
              <w:right w:val="single" w:sz="4" w:space="0" w:color="auto"/>
            </w:tcBorders>
            <w:vAlign w:val="bottom"/>
          </w:tcPr>
          <w:p w14:paraId="11CBAADF"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Keskmine</w:t>
            </w:r>
          </w:p>
        </w:tc>
        <w:tc>
          <w:tcPr>
            <w:tcW w:w="1301" w:type="dxa"/>
            <w:tcBorders>
              <w:top w:val="nil"/>
              <w:left w:val="single" w:sz="4" w:space="0" w:color="auto"/>
              <w:bottom w:val="nil"/>
              <w:right w:val="single" w:sz="4" w:space="0" w:color="auto"/>
            </w:tcBorders>
            <w:vAlign w:val="bottom"/>
          </w:tcPr>
          <w:p w14:paraId="4D66DFD0" w14:textId="77777777" w:rsidR="00E21A2F" w:rsidRPr="00EC3BD7" w:rsidRDefault="00E21A2F" w:rsidP="008B1609">
            <w:pPr>
              <w:pStyle w:val="Table"/>
              <w:keepLines w:val="0"/>
              <w:widowControl w:val="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25,7</w:t>
            </w:r>
          </w:p>
        </w:tc>
        <w:tc>
          <w:tcPr>
            <w:tcW w:w="1768" w:type="dxa"/>
            <w:tcBorders>
              <w:top w:val="nil"/>
              <w:left w:val="single" w:sz="4" w:space="0" w:color="auto"/>
              <w:bottom w:val="nil"/>
              <w:right w:val="single" w:sz="4" w:space="0" w:color="auto"/>
            </w:tcBorders>
            <w:vAlign w:val="bottom"/>
          </w:tcPr>
          <w:p w14:paraId="7EA50E3E"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4/75 vs. 6/78</w:t>
            </w:r>
          </w:p>
        </w:tc>
        <w:tc>
          <w:tcPr>
            <w:tcW w:w="1800" w:type="dxa"/>
            <w:tcBorders>
              <w:top w:val="nil"/>
              <w:left w:val="single" w:sz="4" w:space="0" w:color="auto"/>
              <w:bottom w:val="nil"/>
              <w:right w:val="single" w:sz="4" w:space="0" w:color="auto"/>
            </w:tcBorders>
            <w:vAlign w:val="bottom"/>
          </w:tcPr>
          <w:p w14:paraId="1D205F01"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0,59 (0,17; 2,10)</w:t>
            </w:r>
          </w:p>
        </w:tc>
        <w:tc>
          <w:tcPr>
            <w:tcW w:w="1357" w:type="dxa"/>
            <w:tcBorders>
              <w:top w:val="nil"/>
              <w:left w:val="single" w:sz="4" w:space="0" w:color="auto"/>
              <w:bottom w:val="nil"/>
              <w:right w:val="single" w:sz="4" w:space="0" w:color="auto"/>
            </w:tcBorders>
            <w:vAlign w:val="bottom"/>
          </w:tcPr>
          <w:p w14:paraId="7DE97437"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100 vs. 94,8</w:t>
            </w:r>
          </w:p>
        </w:tc>
        <w:tc>
          <w:tcPr>
            <w:tcW w:w="1360" w:type="dxa"/>
            <w:tcBorders>
              <w:top w:val="nil"/>
              <w:left w:val="single" w:sz="4" w:space="0" w:color="auto"/>
              <w:bottom w:val="nil"/>
            </w:tcBorders>
            <w:vAlign w:val="bottom"/>
          </w:tcPr>
          <w:p w14:paraId="001C4D6F"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97.8 vs. 89,5</w:t>
            </w:r>
          </w:p>
        </w:tc>
      </w:tr>
      <w:tr w:rsidR="00E21A2F" w:rsidRPr="00EC3BD7" w14:paraId="1C00D731" w14:textId="77777777" w:rsidTr="008B1609">
        <w:trPr>
          <w:cantSplit/>
        </w:trPr>
        <w:tc>
          <w:tcPr>
            <w:tcW w:w="1242" w:type="dxa"/>
            <w:vMerge/>
            <w:shd w:val="clear" w:color="auto" w:fill="auto"/>
          </w:tcPr>
          <w:p w14:paraId="3A8082CE" w14:textId="77777777" w:rsidR="00E21A2F" w:rsidRPr="00EC3BD7" w:rsidRDefault="00E21A2F" w:rsidP="008B1609">
            <w:pPr>
              <w:pStyle w:val="Table"/>
              <w:keepLines w:val="0"/>
              <w:widowControl w:val="0"/>
              <w:rPr>
                <w:rFonts w:ascii="Times New Roman" w:hAnsi="Times New Roman"/>
                <w:color w:val="000000"/>
                <w:sz w:val="22"/>
                <w:szCs w:val="22"/>
                <w:lang w:val="et-EE"/>
              </w:rPr>
            </w:pPr>
          </w:p>
        </w:tc>
        <w:tc>
          <w:tcPr>
            <w:tcW w:w="1109" w:type="dxa"/>
            <w:tcBorders>
              <w:top w:val="nil"/>
              <w:right w:val="single" w:sz="4" w:space="0" w:color="auto"/>
            </w:tcBorders>
            <w:vAlign w:val="bottom"/>
          </w:tcPr>
          <w:p w14:paraId="6F26F884"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Kõrge</w:t>
            </w:r>
          </w:p>
        </w:tc>
        <w:tc>
          <w:tcPr>
            <w:tcW w:w="1301" w:type="dxa"/>
            <w:tcBorders>
              <w:top w:val="nil"/>
              <w:left w:val="single" w:sz="4" w:space="0" w:color="auto"/>
              <w:right w:val="single" w:sz="4" w:space="0" w:color="auto"/>
            </w:tcBorders>
            <w:vAlign w:val="bottom"/>
          </w:tcPr>
          <w:p w14:paraId="4518DE6F" w14:textId="77777777" w:rsidR="00E21A2F" w:rsidRPr="00EC3BD7" w:rsidRDefault="00E21A2F" w:rsidP="008B1609">
            <w:pPr>
              <w:pStyle w:val="Table"/>
              <w:keepLines w:val="0"/>
              <w:widowControl w:val="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44,8</w:t>
            </w:r>
          </w:p>
        </w:tc>
        <w:tc>
          <w:tcPr>
            <w:tcW w:w="1768" w:type="dxa"/>
            <w:tcBorders>
              <w:top w:val="nil"/>
              <w:left w:val="single" w:sz="4" w:space="0" w:color="auto"/>
              <w:right w:val="single" w:sz="4" w:space="0" w:color="auto"/>
            </w:tcBorders>
            <w:vAlign w:val="bottom"/>
          </w:tcPr>
          <w:p w14:paraId="661A132D"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21/140 vs. 51/127</w:t>
            </w:r>
          </w:p>
        </w:tc>
        <w:tc>
          <w:tcPr>
            <w:tcW w:w="1800" w:type="dxa"/>
            <w:tcBorders>
              <w:top w:val="nil"/>
              <w:left w:val="single" w:sz="4" w:space="0" w:color="auto"/>
              <w:right w:val="single" w:sz="4" w:space="0" w:color="auto"/>
            </w:tcBorders>
            <w:vAlign w:val="bottom"/>
          </w:tcPr>
          <w:p w14:paraId="115E90CC"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0,29 (0,18; 0,49)</w:t>
            </w:r>
          </w:p>
        </w:tc>
        <w:tc>
          <w:tcPr>
            <w:tcW w:w="1357" w:type="dxa"/>
            <w:tcBorders>
              <w:top w:val="nil"/>
              <w:left w:val="single" w:sz="4" w:space="0" w:color="auto"/>
              <w:right w:val="single" w:sz="4" w:space="0" w:color="auto"/>
            </w:tcBorders>
            <w:vAlign w:val="bottom"/>
          </w:tcPr>
          <w:p w14:paraId="73E5A7B7"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94,8 vs. 64,0</w:t>
            </w:r>
          </w:p>
        </w:tc>
        <w:tc>
          <w:tcPr>
            <w:tcW w:w="1360" w:type="dxa"/>
            <w:tcBorders>
              <w:top w:val="nil"/>
              <w:left w:val="single" w:sz="4" w:space="0" w:color="auto"/>
            </w:tcBorders>
            <w:vAlign w:val="bottom"/>
          </w:tcPr>
          <w:p w14:paraId="4C600DDE"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80,7 vs. 46,6</w:t>
            </w:r>
          </w:p>
        </w:tc>
      </w:tr>
      <w:tr w:rsidR="00E21A2F" w:rsidRPr="00EC3BD7" w14:paraId="6FB73ACA" w14:textId="77777777" w:rsidTr="008B1609">
        <w:trPr>
          <w:cantSplit/>
        </w:trPr>
        <w:tc>
          <w:tcPr>
            <w:tcW w:w="1242" w:type="dxa"/>
            <w:vMerge w:val="restart"/>
            <w:shd w:val="clear" w:color="auto" w:fill="auto"/>
          </w:tcPr>
          <w:p w14:paraId="674C2899" w14:textId="77777777" w:rsidR="00E21A2F" w:rsidRPr="00EC3BD7" w:rsidRDefault="00E21A2F" w:rsidP="008B1609">
            <w:pPr>
              <w:pStyle w:val="Table"/>
              <w:keepLines w:val="0"/>
              <w:widowControl w:val="0"/>
              <w:spacing w:before="480"/>
              <w:rPr>
                <w:rFonts w:ascii="Times New Roman" w:hAnsi="Times New Roman"/>
                <w:color w:val="000000"/>
                <w:sz w:val="22"/>
                <w:szCs w:val="22"/>
                <w:lang w:val="et-EE"/>
              </w:rPr>
            </w:pPr>
            <w:r w:rsidRPr="00EC3BD7">
              <w:rPr>
                <w:rFonts w:ascii="Times New Roman" w:hAnsi="Times New Roman"/>
                <w:color w:val="000000"/>
                <w:sz w:val="22"/>
                <w:szCs w:val="22"/>
                <w:lang w:val="et-EE"/>
              </w:rPr>
              <w:t>AFIP</w:t>
            </w:r>
          </w:p>
        </w:tc>
        <w:tc>
          <w:tcPr>
            <w:tcW w:w="1109" w:type="dxa"/>
            <w:tcBorders>
              <w:bottom w:val="nil"/>
              <w:right w:val="single" w:sz="4" w:space="0" w:color="auto"/>
            </w:tcBorders>
            <w:vAlign w:val="bottom"/>
          </w:tcPr>
          <w:p w14:paraId="6FBE5F74" w14:textId="2FF291B4" w:rsidR="00E21A2F" w:rsidRPr="00EC3BD7" w:rsidRDefault="00E21A2F" w:rsidP="00347035">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 xml:space="preserve">Väga </w:t>
            </w:r>
            <w:r w:rsidR="00347035">
              <w:rPr>
                <w:rFonts w:ascii="Times New Roman" w:hAnsi="Times New Roman"/>
                <w:color w:val="000000"/>
                <w:sz w:val="22"/>
                <w:szCs w:val="22"/>
                <w:lang w:val="et-EE"/>
              </w:rPr>
              <w:t>väike</w:t>
            </w:r>
          </w:p>
        </w:tc>
        <w:tc>
          <w:tcPr>
            <w:tcW w:w="1301" w:type="dxa"/>
            <w:tcBorders>
              <w:left w:val="single" w:sz="4" w:space="0" w:color="auto"/>
              <w:bottom w:val="nil"/>
              <w:right w:val="single" w:sz="4" w:space="0" w:color="auto"/>
            </w:tcBorders>
            <w:vAlign w:val="bottom"/>
          </w:tcPr>
          <w:p w14:paraId="7560D83A" w14:textId="77777777" w:rsidR="00E21A2F" w:rsidRPr="00EC3BD7" w:rsidRDefault="00E21A2F" w:rsidP="008B1609">
            <w:pPr>
              <w:pStyle w:val="Table"/>
              <w:keepLines w:val="0"/>
              <w:widowControl w:val="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20,7</w:t>
            </w:r>
          </w:p>
        </w:tc>
        <w:tc>
          <w:tcPr>
            <w:tcW w:w="1768" w:type="dxa"/>
            <w:tcBorders>
              <w:left w:val="single" w:sz="4" w:space="0" w:color="auto"/>
              <w:bottom w:val="nil"/>
              <w:right w:val="single" w:sz="4" w:space="0" w:color="auto"/>
            </w:tcBorders>
            <w:vAlign w:val="bottom"/>
          </w:tcPr>
          <w:p w14:paraId="1F542946"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0/52 vs. 2/63</w:t>
            </w:r>
          </w:p>
        </w:tc>
        <w:tc>
          <w:tcPr>
            <w:tcW w:w="1800" w:type="dxa"/>
            <w:tcBorders>
              <w:left w:val="single" w:sz="4" w:space="0" w:color="auto"/>
              <w:bottom w:val="nil"/>
              <w:right w:val="single" w:sz="4" w:space="0" w:color="auto"/>
            </w:tcBorders>
            <w:vAlign w:val="bottom"/>
          </w:tcPr>
          <w:p w14:paraId="7AC0342C"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N.E.</w:t>
            </w:r>
          </w:p>
        </w:tc>
        <w:tc>
          <w:tcPr>
            <w:tcW w:w="1357" w:type="dxa"/>
            <w:tcBorders>
              <w:left w:val="single" w:sz="4" w:space="0" w:color="auto"/>
              <w:bottom w:val="nil"/>
              <w:right w:val="single" w:sz="4" w:space="0" w:color="auto"/>
            </w:tcBorders>
            <w:vAlign w:val="bottom"/>
          </w:tcPr>
          <w:p w14:paraId="3A9E82B5"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100 vs. 98,1</w:t>
            </w:r>
          </w:p>
        </w:tc>
        <w:tc>
          <w:tcPr>
            <w:tcW w:w="1360" w:type="dxa"/>
            <w:tcBorders>
              <w:left w:val="single" w:sz="4" w:space="0" w:color="auto"/>
              <w:bottom w:val="nil"/>
            </w:tcBorders>
            <w:vAlign w:val="bottom"/>
          </w:tcPr>
          <w:p w14:paraId="6E092401"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100 vs. 93,0</w:t>
            </w:r>
          </w:p>
        </w:tc>
      </w:tr>
      <w:tr w:rsidR="00E21A2F" w:rsidRPr="00EC3BD7" w14:paraId="0F64BD2A" w14:textId="77777777" w:rsidTr="008B1609">
        <w:trPr>
          <w:cantSplit/>
        </w:trPr>
        <w:tc>
          <w:tcPr>
            <w:tcW w:w="1242" w:type="dxa"/>
            <w:vMerge/>
            <w:shd w:val="clear" w:color="auto" w:fill="auto"/>
          </w:tcPr>
          <w:p w14:paraId="63573E1C" w14:textId="77777777" w:rsidR="00E21A2F" w:rsidRPr="00EC3BD7" w:rsidRDefault="00E21A2F" w:rsidP="008B1609">
            <w:pPr>
              <w:pStyle w:val="Table"/>
              <w:keepLines w:val="0"/>
              <w:widowControl w:val="0"/>
              <w:rPr>
                <w:rFonts w:ascii="Times New Roman" w:hAnsi="Times New Roman"/>
                <w:color w:val="000000"/>
                <w:sz w:val="22"/>
                <w:szCs w:val="22"/>
                <w:lang w:val="et-EE"/>
              </w:rPr>
            </w:pPr>
          </w:p>
        </w:tc>
        <w:tc>
          <w:tcPr>
            <w:tcW w:w="1109" w:type="dxa"/>
            <w:tcBorders>
              <w:top w:val="nil"/>
              <w:bottom w:val="nil"/>
              <w:right w:val="single" w:sz="4" w:space="0" w:color="auto"/>
            </w:tcBorders>
            <w:vAlign w:val="bottom"/>
          </w:tcPr>
          <w:p w14:paraId="24F69336" w14:textId="07CC69AE" w:rsidR="00E21A2F" w:rsidRPr="00EC3BD7" w:rsidRDefault="00347035" w:rsidP="008B1609">
            <w:pPr>
              <w:pStyle w:val="Table"/>
              <w:keepLines w:val="0"/>
              <w:widowControl w:val="0"/>
              <w:rPr>
                <w:rFonts w:ascii="Times New Roman" w:hAnsi="Times New Roman"/>
                <w:color w:val="000000"/>
                <w:sz w:val="22"/>
                <w:szCs w:val="22"/>
                <w:lang w:val="et-EE"/>
              </w:rPr>
            </w:pPr>
            <w:r>
              <w:rPr>
                <w:rFonts w:ascii="Times New Roman" w:hAnsi="Times New Roman"/>
                <w:color w:val="000000"/>
                <w:sz w:val="22"/>
                <w:szCs w:val="22"/>
                <w:lang w:val="et-EE"/>
              </w:rPr>
              <w:t>Väike</w:t>
            </w:r>
          </w:p>
        </w:tc>
        <w:tc>
          <w:tcPr>
            <w:tcW w:w="1301" w:type="dxa"/>
            <w:tcBorders>
              <w:top w:val="nil"/>
              <w:left w:val="single" w:sz="4" w:space="0" w:color="auto"/>
              <w:bottom w:val="nil"/>
              <w:right w:val="single" w:sz="4" w:space="0" w:color="auto"/>
            </w:tcBorders>
            <w:vAlign w:val="bottom"/>
          </w:tcPr>
          <w:p w14:paraId="227A4CB2" w14:textId="77777777" w:rsidR="00E21A2F" w:rsidRPr="00EC3BD7" w:rsidRDefault="00E21A2F" w:rsidP="008B1609">
            <w:pPr>
              <w:pStyle w:val="Table"/>
              <w:keepLines w:val="0"/>
              <w:widowControl w:val="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25,0</w:t>
            </w:r>
          </w:p>
        </w:tc>
        <w:tc>
          <w:tcPr>
            <w:tcW w:w="1768" w:type="dxa"/>
            <w:tcBorders>
              <w:top w:val="nil"/>
              <w:left w:val="single" w:sz="4" w:space="0" w:color="auto"/>
              <w:bottom w:val="nil"/>
              <w:right w:val="single" w:sz="4" w:space="0" w:color="auto"/>
            </w:tcBorders>
            <w:vAlign w:val="bottom"/>
          </w:tcPr>
          <w:p w14:paraId="48DD067B"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2/70 vs. 0/69</w:t>
            </w:r>
          </w:p>
        </w:tc>
        <w:tc>
          <w:tcPr>
            <w:tcW w:w="1800" w:type="dxa"/>
            <w:tcBorders>
              <w:top w:val="nil"/>
              <w:left w:val="single" w:sz="4" w:space="0" w:color="auto"/>
              <w:bottom w:val="nil"/>
              <w:right w:val="single" w:sz="4" w:space="0" w:color="auto"/>
            </w:tcBorders>
            <w:vAlign w:val="bottom"/>
          </w:tcPr>
          <w:p w14:paraId="624E70E7"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N.E.</w:t>
            </w:r>
          </w:p>
        </w:tc>
        <w:tc>
          <w:tcPr>
            <w:tcW w:w="1357" w:type="dxa"/>
            <w:tcBorders>
              <w:top w:val="nil"/>
              <w:left w:val="single" w:sz="4" w:space="0" w:color="auto"/>
              <w:bottom w:val="nil"/>
              <w:right w:val="single" w:sz="4" w:space="0" w:color="auto"/>
            </w:tcBorders>
            <w:vAlign w:val="bottom"/>
          </w:tcPr>
          <w:p w14:paraId="764E2E0C"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100 vs. 100</w:t>
            </w:r>
          </w:p>
        </w:tc>
        <w:tc>
          <w:tcPr>
            <w:tcW w:w="1360" w:type="dxa"/>
            <w:tcBorders>
              <w:top w:val="nil"/>
              <w:left w:val="single" w:sz="4" w:space="0" w:color="auto"/>
              <w:bottom w:val="nil"/>
            </w:tcBorders>
            <w:vAlign w:val="bottom"/>
          </w:tcPr>
          <w:p w14:paraId="30498449"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97,8 vs. 100</w:t>
            </w:r>
          </w:p>
        </w:tc>
      </w:tr>
      <w:tr w:rsidR="00E21A2F" w:rsidRPr="00EC3BD7" w14:paraId="6931BF84" w14:textId="77777777" w:rsidTr="008B1609">
        <w:trPr>
          <w:cantSplit/>
        </w:trPr>
        <w:tc>
          <w:tcPr>
            <w:tcW w:w="1242" w:type="dxa"/>
            <w:vMerge/>
            <w:shd w:val="clear" w:color="auto" w:fill="auto"/>
          </w:tcPr>
          <w:p w14:paraId="26B9A32A" w14:textId="77777777" w:rsidR="00E21A2F" w:rsidRPr="00EC3BD7" w:rsidRDefault="00E21A2F" w:rsidP="008B1609">
            <w:pPr>
              <w:pStyle w:val="Table"/>
              <w:keepLines w:val="0"/>
              <w:widowControl w:val="0"/>
              <w:rPr>
                <w:rFonts w:ascii="Times New Roman" w:hAnsi="Times New Roman"/>
                <w:b/>
                <w:color w:val="000000"/>
                <w:sz w:val="22"/>
                <w:szCs w:val="22"/>
                <w:lang w:val="et-EE"/>
              </w:rPr>
            </w:pPr>
          </w:p>
        </w:tc>
        <w:tc>
          <w:tcPr>
            <w:tcW w:w="1109" w:type="dxa"/>
            <w:tcBorders>
              <w:top w:val="nil"/>
              <w:bottom w:val="nil"/>
              <w:right w:val="single" w:sz="4" w:space="0" w:color="auto"/>
            </w:tcBorders>
            <w:vAlign w:val="bottom"/>
          </w:tcPr>
          <w:p w14:paraId="3AB550DC"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Keskmine</w:t>
            </w:r>
          </w:p>
        </w:tc>
        <w:tc>
          <w:tcPr>
            <w:tcW w:w="1301" w:type="dxa"/>
            <w:tcBorders>
              <w:top w:val="nil"/>
              <w:left w:val="single" w:sz="4" w:space="0" w:color="auto"/>
              <w:bottom w:val="nil"/>
              <w:right w:val="single" w:sz="4" w:space="0" w:color="auto"/>
            </w:tcBorders>
            <w:vAlign w:val="bottom"/>
          </w:tcPr>
          <w:p w14:paraId="58EBD027" w14:textId="77777777" w:rsidR="00E21A2F" w:rsidRPr="00EC3BD7" w:rsidRDefault="00E21A2F" w:rsidP="008B1609">
            <w:pPr>
              <w:pStyle w:val="Table"/>
              <w:keepLines w:val="0"/>
              <w:widowControl w:val="0"/>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24,6</w:t>
            </w:r>
          </w:p>
        </w:tc>
        <w:tc>
          <w:tcPr>
            <w:tcW w:w="1768" w:type="dxa"/>
            <w:tcBorders>
              <w:top w:val="nil"/>
              <w:left w:val="single" w:sz="4" w:space="0" w:color="auto"/>
              <w:bottom w:val="nil"/>
              <w:right w:val="single" w:sz="4" w:space="0" w:color="auto"/>
            </w:tcBorders>
            <w:vAlign w:val="bottom"/>
          </w:tcPr>
          <w:p w14:paraId="699D45E7"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2/70 vs. 11/67</w:t>
            </w:r>
          </w:p>
        </w:tc>
        <w:tc>
          <w:tcPr>
            <w:tcW w:w="1800" w:type="dxa"/>
            <w:tcBorders>
              <w:top w:val="nil"/>
              <w:left w:val="single" w:sz="4" w:space="0" w:color="auto"/>
              <w:bottom w:val="nil"/>
              <w:right w:val="single" w:sz="4" w:space="0" w:color="auto"/>
            </w:tcBorders>
            <w:vAlign w:val="bottom"/>
          </w:tcPr>
          <w:p w14:paraId="518F91AC"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0,16 (0,03; 0.70)</w:t>
            </w:r>
          </w:p>
        </w:tc>
        <w:tc>
          <w:tcPr>
            <w:tcW w:w="1357" w:type="dxa"/>
            <w:tcBorders>
              <w:top w:val="nil"/>
              <w:left w:val="single" w:sz="4" w:space="0" w:color="auto"/>
              <w:bottom w:val="nil"/>
              <w:right w:val="single" w:sz="4" w:space="0" w:color="auto"/>
            </w:tcBorders>
            <w:vAlign w:val="bottom"/>
          </w:tcPr>
          <w:p w14:paraId="0BD45CC3"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97,9 vs. 90,8</w:t>
            </w:r>
          </w:p>
        </w:tc>
        <w:tc>
          <w:tcPr>
            <w:tcW w:w="1360" w:type="dxa"/>
            <w:tcBorders>
              <w:top w:val="nil"/>
              <w:left w:val="single" w:sz="4" w:space="0" w:color="auto"/>
              <w:bottom w:val="nil"/>
            </w:tcBorders>
            <w:vAlign w:val="bottom"/>
          </w:tcPr>
          <w:p w14:paraId="6CF7602E"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97,9 vs. 73,3</w:t>
            </w:r>
          </w:p>
        </w:tc>
      </w:tr>
      <w:tr w:rsidR="00E21A2F" w:rsidRPr="00EC3BD7" w14:paraId="50C61711" w14:textId="77777777" w:rsidTr="008B1609">
        <w:trPr>
          <w:cantSplit/>
        </w:trPr>
        <w:tc>
          <w:tcPr>
            <w:tcW w:w="1242" w:type="dxa"/>
            <w:vMerge/>
            <w:tcBorders>
              <w:bottom w:val="single" w:sz="4" w:space="0" w:color="auto"/>
            </w:tcBorders>
            <w:shd w:val="clear" w:color="auto" w:fill="auto"/>
          </w:tcPr>
          <w:p w14:paraId="348D2011" w14:textId="77777777" w:rsidR="00E21A2F" w:rsidRPr="00EC3BD7" w:rsidRDefault="00E21A2F" w:rsidP="008B1609">
            <w:pPr>
              <w:pStyle w:val="Table"/>
              <w:keepLines w:val="0"/>
              <w:widowControl w:val="0"/>
              <w:rPr>
                <w:rFonts w:ascii="Times New Roman" w:hAnsi="Times New Roman"/>
                <w:color w:val="000000"/>
                <w:sz w:val="22"/>
                <w:szCs w:val="22"/>
                <w:lang w:val="et-EE"/>
              </w:rPr>
            </w:pPr>
          </w:p>
        </w:tc>
        <w:tc>
          <w:tcPr>
            <w:tcW w:w="1109" w:type="dxa"/>
            <w:tcBorders>
              <w:top w:val="nil"/>
              <w:bottom w:val="single" w:sz="4" w:space="0" w:color="auto"/>
              <w:right w:val="single" w:sz="4" w:space="0" w:color="auto"/>
            </w:tcBorders>
            <w:vAlign w:val="bottom"/>
          </w:tcPr>
          <w:p w14:paraId="25140258"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Kõrge</w:t>
            </w:r>
          </w:p>
        </w:tc>
        <w:tc>
          <w:tcPr>
            <w:tcW w:w="1301" w:type="dxa"/>
            <w:tcBorders>
              <w:top w:val="nil"/>
              <w:left w:val="single" w:sz="4" w:space="0" w:color="auto"/>
              <w:bottom w:val="single" w:sz="4" w:space="0" w:color="auto"/>
              <w:right w:val="single" w:sz="4" w:space="0" w:color="auto"/>
            </w:tcBorders>
            <w:vAlign w:val="bottom"/>
          </w:tcPr>
          <w:p w14:paraId="0BAABF77" w14:textId="77777777" w:rsidR="00E21A2F" w:rsidRPr="00EC3BD7" w:rsidRDefault="00E21A2F" w:rsidP="008B1609">
            <w:pPr>
              <w:pStyle w:val="Table"/>
              <w:keepLines w:val="0"/>
              <w:widowControl w:val="0"/>
              <w:ind w:right="-3"/>
              <w:jc w:val="center"/>
              <w:rPr>
                <w:rFonts w:ascii="Times New Roman" w:hAnsi="Times New Roman"/>
                <w:color w:val="000000"/>
                <w:sz w:val="22"/>
                <w:szCs w:val="22"/>
                <w:lang w:val="et-EE"/>
              </w:rPr>
            </w:pPr>
            <w:r w:rsidRPr="00EC3BD7">
              <w:rPr>
                <w:rFonts w:ascii="Times New Roman" w:hAnsi="Times New Roman"/>
                <w:color w:val="000000"/>
                <w:sz w:val="22"/>
                <w:szCs w:val="22"/>
                <w:lang w:val="et-EE"/>
              </w:rPr>
              <w:t>29,7</w:t>
            </w:r>
          </w:p>
        </w:tc>
        <w:tc>
          <w:tcPr>
            <w:tcW w:w="1768" w:type="dxa"/>
            <w:tcBorders>
              <w:top w:val="nil"/>
              <w:left w:val="single" w:sz="4" w:space="0" w:color="auto"/>
              <w:bottom w:val="single" w:sz="4" w:space="0" w:color="auto"/>
              <w:right w:val="single" w:sz="4" w:space="0" w:color="auto"/>
            </w:tcBorders>
            <w:vAlign w:val="bottom"/>
          </w:tcPr>
          <w:p w14:paraId="307FF560"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16/84 vs. 39/81</w:t>
            </w:r>
          </w:p>
        </w:tc>
        <w:tc>
          <w:tcPr>
            <w:tcW w:w="1800" w:type="dxa"/>
            <w:tcBorders>
              <w:top w:val="nil"/>
              <w:left w:val="single" w:sz="4" w:space="0" w:color="auto"/>
              <w:bottom w:val="single" w:sz="4" w:space="0" w:color="auto"/>
              <w:right w:val="single" w:sz="4" w:space="0" w:color="auto"/>
            </w:tcBorders>
            <w:vAlign w:val="bottom"/>
          </w:tcPr>
          <w:p w14:paraId="37F51FBE"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0,27 (0,15; 0,48)</w:t>
            </w:r>
          </w:p>
        </w:tc>
        <w:tc>
          <w:tcPr>
            <w:tcW w:w="1357" w:type="dxa"/>
            <w:tcBorders>
              <w:top w:val="nil"/>
              <w:left w:val="single" w:sz="4" w:space="0" w:color="auto"/>
              <w:bottom w:val="single" w:sz="4" w:space="0" w:color="auto"/>
              <w:right w:val="single" w:sz="4" w:space="0" w:color="auto"/>
            </w:tcBorders>
            <w:vAlign w:val="bottom"/>
          </w:tcPr>
          <w:p w14:paraId="51CF9AE2"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98,7 vs. 56,1</w:t>
            </w:r>
          </w:p>
        </w:tc>
        <w:tc>
          <w:tcPr>
            <w:tcW w:w="1360" w:type="dxa"/>
            <w:tcBorders>
              <w:top w:val="nil"/>
              <w:left w:val="single" w:sz="4" w:space="0" w:color="auto"/>
              <w:bottom w:val="single" w:sz="4" w:space="0" w:color="auto"/>
            </w:tcBorders>
            <w:vAlign w:val="bottom"/>
          </w:tcPr>
          <w:p w14:paraId="2475A84B" w14:textId="77777777" w:rsidR="00E21A2F" w:rsidRPr="00EC3BD7" w:rsidRDefault="00E21A2F" w:rsidP="008B1609">
            <w:pPr>
              <w:pStyle w:val="Table"/>
              <w:keepLines w:val="0"/>
              <w:widowControl w:val="0"/>
              <w:rPr>
                <w:rFonts w:ascii="Times New Roman" w:hAnsi="Times New Roman"/>
                <w:color w:val="000000"/>
                <w:sz w:val="22"/>
                <w:szCs w:val="22"/>
                <w:lang w:val="et-EE"/>
              </w:rPr>
            </w:pPr>
            <w:r w:rsidRPr="00EC3BD7">
              <w:rPr>
                <w:rFonts w:ascii="Times New Roman" w:hAnsi="Times New Roman"/>
                <w:color w:val="000000"/>
                <w:sz w:val="22"/>
                <w:szCs w:val="22"/>
                <w:lang w:val="et-EE"/>
              </w:rPr>
              <w:t>79,9 vs. 41,5</w:t>
            </w:r>
          </w:p>
        </w:tc>
      </w:tr>
    </w:tbl>
    <w:p w14:paraId="5A6FCE80" w14:textId="77777777" w:rsidR="00E21A2F" w:rsidRPr="00EC3BD7" w:rsidRDefault="00E21A2F" w:rsidP="008B1609">
      <w:pPr>
        <w:rPr>
          <w:color w:val="000000"/>
          <w:szCs w:val="22"/>
          <w:lang w:val="et-EE"/>
        </w:rPr>
      </w:pPr>
      <w:r w:rsidRPr="00EC3BD7">
        <w:rPr>
          <w:color w:val="000000"/>
          <w:szCs w:val="22"/>
          <w:lang w:val="et-EE"/>
        </w:rPr>
        <w:t>* Täielik järelkontrolli periood; NE – ei ole hinnatav</w:t>
      </w:r>
    </w:p>
    <w:p w14:paraId="0E51F0DA" w14:textId="77777777" w:rsidR="00E21A2F" w:rsidRPr="00EC3BD7" w:rsidRDefault="00E21A2F" w:rsidP="00E21A2F">
      <w:pPr>
        <w:pStyle w:val="EndnoteText"/>
        <w:widowControl w:val="0"/>
        <w:tabs>
          <w:tab w:val="clear" w:pos="567"/>
        </w:tabs>
        <w:rPr>
          <w:color w:val="000000"/>
          <w:szCs w:val="22"/>
          <w:lang w:val="et-EE"/>
        </w:rPr>
      </w:pPr>
    </w:p>
    <w:p w14:paraId="78918155" w14:textId="7F50146B" w:rsidR="00E21A2F" w:rsidRPr="00EC3BD7" w:rsidRDefault="00E21A2F" w:rsidP="00E21A2F">
      <w:pPr>
        <w:pStyle w:val="EndnoteText"/>
        <w:widowControl w:val="0"/>
        <w:tabs>
          <w:tab w:val="clear" w:pos="567"/>
        </w:tabs>
        <w:rPr>
          <w:rFonts w:eastAsia="MS Mincho"/>
          <w:iCs/>
          <w:szCs w:val="22"/>
          <w:lang w:val="et-EE" w:eastAsia="ja-JP"/>
        </w:rPr>
      </w:pPr>
      <w:r w:rsidRPr="00EC3BD7">
        <w:rPr>
          <w:color w:val="000000"/>
          <w:szCs w:val="22"/>
          <w:lang w:val="et-EE"/>
        </w:rPr>
        <w:t>Teises mitmekeskuselises, avatud III faasi uuringus (SSG XVIII/AIO) võrreldi Gliveci 400 mg/päevas 12 kuulist ravi ja 36 kuulist ravi patsientidel, kellel oli kirurgiliselt teostatud GIST</w:t>
      </w:r>
      <w:r w:rsidR="00B43A79" w:rsidRPr="00593631">
        <w:rPr>
          <w:color w:val="000000"/>
          <w:szCs w:val="22"/>
          <w:lang w:val="et-EE"/>
        </w:rPr>
        <w:t>-i</w:t>
      </w:r>
      <w:r w:rsidRPr="00EC3BD7">
        <w:rPr>
          <w:color w:val="000000"/>
          <w:szCs w:val="22"/>
          <w:lang w:val="et-EE"/>
        </w:rPr>
        <w:t xml:space="preserve"> osaline lõikus ja üks järgnevaist: kasvaja diameeter &gt; 5 cm ja mitootiline lugem &gt; 5/50 tugeva suurenduse vaateväljas (HPF); või kasvaja diameeter &gt; 10 cm ja ükskõik, milline mitootiline lugem või ükskõik, millise suurusega kasvaja koos mitootilise lugemiga </w:t>
      </w:r>
      <w:r w:rsidRPr="00EC3BD7">
        <w:rPr>
          <w:rFonts w:eastAsia="MS Mincho"/>
          <w:iCs/>
          <w:szCs w:val="22"/>
          <w:lang w:val="et-EE" w:eastAsia="ja-JP"/>
        </w:rPr>
        <w:t>&gt; 10/50 HPF või kasvaja, mis on levinud peritoneaalõõnde. Uuringus osalemiseks andsid nõusoleku ja randomiseeriti 397 patsienti (199 patsienti 12-kuulises rühmas ja 198 patsienti 36-kuulises rühmas), mediaanvanus oli 61 aastat (vahemikus 22 kuni 84 aastat). Jälgimisaja mediaan oli 54 kuud (randomiseerimisest kuni uuringu lõpuni), kogu jälgimise aeg oli 83 kuud esimese patsiendi randomiseerimisest kuni uuringu lõpuni.</w:t>
      </w:r>
    </w:p>
    <w:p w14:paraId="011B852E" w14:textId="77777777" w:rsidR="00E21A2F" w:rsidRPr="00EC3BD7" w:rsidRDefault="00E21A2F" w:rsidP="00E21A2F">
      <w:pPr>
        <w:pStyle w:val="EndnoteText"/>
        <w:widowControl w:val="0"/>
        <w:tabs>
          <w:tab w:val="clear" w:pos="567"/>
        </w:tabs>
        <w:rPr>
          <w:rFonts w:eastAsia="MS Mincho"/>
          <w:iCs/>
          <w:szCs w:val="22"/>
          <w:lang w:val="et-EE" w:eastAsia="ja-JP"/>
        </w:rPr>
      </w:pPr>
    </w:p>
    <w:p w14:paraId="17D0ED63" w14:textId="77777777"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Uuringu esmane tulemusnäitaja oli retsidiivivaba elulemus (RVE), mida defineeriti kui aega randomiseerimise kuupäevast kuni retsidiivi või mis tahes põhjusel surma tekkimise kuupäevani.</w:t>
      </w:r>
    </w:p>
    <w:p w14:paraId="452FA0DE" w14:textId="77777777" w:rsidR="00E21A2F" w:rsidRPr="00EC3BD7" w:rsidRDefault="00E21A2F" w:rsidP="00E21A2F">
      <w:pPr>
        <w:pStyle w:val="EndnoteText"/>
        <w:widowControl w:val="0"/>
        <w:tabs>
          <w:tab w:val="clear" w:pos="567"/>
        </w:tabs>
        <w:rPr>
          <w:color w:val="000000"/>
          <w:szCs w:val="22"/>
          <w:lang w:val="et-EE"/>
        </w:rPr>
      </w:pPr>
    </w:p>
    <w:p w14:paraId="4F3B48F0" w14:textId="77777777"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Kolmkümmend kuus (36) kuud Gliveci ravi pikendas oluliselt RVE võrreldes 12</w:t>
      </w:r>
      <w:r w:rsidR="003C71AD" w:rsidRPr="00EC3BD7">
        <w:rPr>
          <w:color w:val="000000"/>
          <w:szCs w:val="22"/>
          <w:lang w:val="et-EE"/>
        </w:rPr>
        <w:noBreakHyphen/>
      </w:r>
      <w:r w:rsidRPr="00EC3BD7">
        <w:rPr>
          <w:color w:val="000000"/>
          <w:szCs w:val="22"/>
          <w:lang w:val="et-EE"/>
        </w:rPr>
        <w:t>kuulise Gliveci raviga (üldine riski määr (HR) = 0,46 [0,32, 0,65], p</w:t>
      </w:r>
      <w:r w:rsidRPr="00EC3BD7">
        <w:rPr>
          <w:rFonts w:ascii="Arial" w:hAnsi="Arial" w:cs="Arial"/>
          <w:color w:val="000000"/>
          <w:szCs w:val="22"/>
          <w:lang w:val="et-EE"/>
        </w:rPr>
        <w:t>&lt;</w:t>
      </w:r>
      <w:r w:rsidRPr="00EC3BD7">
        <w:rPr>
          <w:color w:val="000000"/>
          <w:szCs w:val="22"/>
          <w:lang w:val="et-EE"/>
        </w:rPr>
        <w:t>0,0001) (Tabel </w:t>
      </w:r>
      <w:r w:rsidR="008F4DAA" w:rsidRPr="00EC3BD7">
        <w:rPr>
          <w:color w:val="000000"/>
          <w:szCs w:val="22"/>
          <w:lang w:val="et-EE"/>
        </w:rPr>
        <w:t>8</w:t>
      </w:r>
      <w:r w:rsidRPr="00EC3BD7">
        <w:rPr>
          <w:color w:val="000000"/>
          <w:szCs w:val="22"/>
          <w:lang w:val="et-EE"/>
        </w:rPr>
        <w:t>, Joonis 1).</w:t>
      </w:r>
    </w:p>
    <w:p w14:paraId="306A1114" w14:textId="77777777" w:rsidR="00E21A2F" w:rsidRPr="00EC3BD7" w:rsidRDefault="00E21A2F" w:rsidP="00E21A2F">
      <w:pPr>
        <w:pStyle w:val="EndnoteText"/>
        <w:widowControl w:val="0"/>
        <w:tabs>
          <w:tab w:val="clear" w:pos="567"/>
        </w:tabs>
        <w:rPr>
          <w:color w:val="000000"/>
          <w:szCs w:val="22"/>
          <w:lang w:val="et-EE"/>
        </w:rPr>
      </w:pPr>
    </w:p>
    <w:p w14:paraId="701E09B3" w14:textId="77777777"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Lisaks, kolmkümmend kuus (36) kuud Gliveci ravi pikendas oluliselt üldist elulemust (OS) võrreldes 12</w:t>
      </w:r>
      <w:r w:rsidR="003C71AD" w:rsidRPr="00EC3BD7">
        <w:rPr>
          <w:color w:val="000000"/>
          <w:szCs w:val="22"/>
          <w:lang w:val="et-EE"/>
        </w:rPr>
        <w:noBreakHyphen/>
      </w:r>
      <w:r w:rsidRPr="00EC3BD7">
        <w:rPr>
          <w:color w:val="000000"/>
          <w:szCs w:val="22"/>
          <w:lang w:val="et-EE"/>
        </w:rPr>
        <w:t xml:space="preserve">kuulise Gliveci raviga (HR = 0,45 </w:t>
      </w:r>
      <w:r w:rsidRPr="00EC3BD7">
        <w:rPr>
          <w:rFonts w:eastAsia="MS Mincho"/>
          <w:iCs/>
          <w:color w:val="000000"/>
          <w:szCs w:val="22"/>
          <w:lang w:val="et-EE" w:eastAsia="ja-JP"/>
        </w:rPr>
        <w:t>[0,22, 0,89], p=0,0187</w:t>
      </w:r>
      <w:r w:rsidRPr="00EC3BD7">
        <w:rPr>
          <w:color w:val="000000"/>
          <w:szCs w:val="22"/>
          <w:lang w:val="et-EE"/>
        </w:rPr>
        <w:t>) (Tabel </w:t>
      </w:r>
      <w:r w:rsidR="008F4DAA" w:rsidRPr="00EC3BD7">
        <w:rPr>
          <w:color w:val="000000"/>
          <w:szCs w:val="22"/>
          <w:lang w:val="et-EE"/>
        </w:rPr>
        <w:t>8</w:t>
      </w:r>
      <w:r w:rsidRPr="00EC3BD7">
        <w:rPr>
          <w:color w:val="000000"/>
          <w:szCs w:val="22"/>
          <w:lang w:val="et-EE"/>
        </w:rPr>
        <w:t>, Joonis 2).</w:t>
      </w:r>
    </w:p>
    <w:p w14:paraId="4B670546" w14:textId="77777777" w:rsidR="00E21A2F" w:rsidRPr="00EC3BD7" w:rsidRDefault="00E21A2F" w:rsidP="00E21A2F">
      <w:pPr>
        <w:pStyle w:val="EndnoteText"/>
        <w:widowControl w:val="0"/>
        <w:tabs>
          <w:tab w:val="clear" w:pos="567"/>
        </w:tabs>
        <w:rPr>
          <w:color w:val="000000"/>
          <w:szCs w:val="22"/>
          <w:lang w:val="et-EE"/>
        </w:rPr>
      </w:pPr>
    </w:p>
    <w:p w14:paraId="4A4221F9" w14:textId="47FEF008"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Pikem ravi kestus (&gt; 36 kuud) võib hilisemate retsidiivide puhkemist edasi lükata; siiski ei ole selle leiu mõju üldisele elulemusele selge.</w:t>
      </w:r>
    </w:p>
    <w:p w14:paraId="661E3B9A" w14:textId="77777777" w:rsidR="00E21A2F" w:rsidRPr="00EC3BD7" w:rsidRDefault="00E21A2F" w:rsidP="00E21A2F">
      <w:pPr>
        <w:pStyle w:val="EndnoteText"/>
        <w:widowControl w:val="0"/>
        <w:tabs>
          <w:tab w:val="clear" w:pos="567"/>
        </w:tabs>
        <w:rPr>
          <w:color w:val="000000"/>
          <w:szCs w:val="22"/>
          <w:lang w:val="et-EE"/>
        </w:rPr>
      </w:pPr>
    </w:p>
    <w:p w14:paraId="30E15D3C" w14:textId="77777777"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Surmade koguarv oli 25 12-kuulises ravirühmas ja 12 36-kuulises ravirühmas.</w:t>
      </w:r>
    </w:p>
    <w:p w14:paraId="50C29BEA" w14:textId="77777777" w:rsidR="00E21A2F" w:rsidRPr="00EC3BD7" w:rsidRDefault="00E21A2F" w:rsidP="00E21A2F">
      <w:pPr>
        <w:pStyle w:val="EndnoteText"/>
        <w:widowControl w:val="0"/>
        <w:tabs>
          <w:tab w:val="clear" w:pos="567"/>
        </w:tabs>
        <w:rPr>
          <w:color w:val="000000"/>
          <w:szCs w:val="22"/>
          <w:lang w:val="et-EE"/>
        </w:rPr>
      </w:pPr>
    </w:p>
    <w:p w14:paraId="54E44709" w14:textId="77777777"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ITT analüüsis oli 36-kuuline ravi imatiniibiga tõhusam võrreldes 12-kuulise raviga, sealhulgas arvestati kogu uuringu populatsiooni. Kavandatud uuringus, kus alarühmad olid jagatud mutatsiooni tüübi järgi, oli 36-kuulise ravi puhul patsientidel, kellel esines mutatsioon 11 eksonis, RVE HR 0,35 [95% CI: 0,22, 0,56]. Teiste vähem levinud mutatsioonide kohta ei saa teha järeldusi, kuna kirjeldatud juhtumite arv on liiga väike.</w:t>
      </w:r>
    </w:p>
    <w:p w14:paraId="5485F4BE" w14:textId="77777777" w:rsidR="00E21A2F" w:rsidRPr="00EC3BD7" w:rsidRDefault="00E21A2F" w:rsidP="00E21A2F">
      <w:pPr>
        <w:pStyle w:val="EndnoteText"/>
        <w:widowControl w:val="0"/>
        <w:tabs>
          <w:tab w:val="clear" w:pos="567"/>
        </w:tabs>
        <w:rPr>
          <w:color w:val="000000"/>
          <w:szCs w:val="22"/>
          <w:lang w:val="et-EE"/>
        </w:rPr>
      </w:pPr>
    </w:p>
    <w:p w14:paraId="320AFA03" w14:textId="77777777" w:rsidR="00E21A2F" w:rsidRPr="00EC3BD7" w:rsidRDefault="00E21A2F" w:rsidP="009A3C30">
      <w:pPr>
        <w:pStyle w:val="EndnoteText"/>
        <w:keepNext/>
        <w:widowControl w:val="0"/>
        <w:tabs>
          <w:tab w:val="clear" w:pos="567"/>
        </w:tabs>
        <w:ind w:left="1134" w:hanging="1134"/>
        <w:rPr>
          <w:b/>
          <w:color w:val="000000"/>
          <w:szCs w:val="22"/>
          <w:lang w:val="et-EE"/>
        </w:rPr>
      </w:pPr>
      <w:r w:rsidRPr="00EC3BD7">
        <w:rPr>
          <w:b/>
          <w:color w:val="000000"/>
          <w:szCs w:val="22"/>
          <w:lang w:val="et-EE"/>
        </w:rPr>
        <w:lastRenderedPageBreak/>
        <w:t>Tabel </w:t>
      </w:r>
      <w:r w:rsidR="008F4DAA" w:rsidRPr="00EC3BD7">
        <w:rPr>
          <w:b/>
          <w:color w:val="000000"/>
          <w:szCs w:val="22"/>
          <w:lang w:val="et-EE"/>
        </w:rPr>
        <w:t>8</w:t>
      </w:r>
      <w:r w:rsidRPr="00EC3BD7">
        <w:rPr>
          <w:b/>
          <w:color w:val="000000"/>
          <w:szCs w:val="22"/>
          <w:lang w:val="et-EE"/>
        </w:rPr>
        <w:tab/>
        <w:t>12-kuuline ja 36-kuuline Gliveci ravi (</w:t>
      </w:r>
      <w:r w:rsidRPr="00EC3BD7">
        <w:rPr>
          <w:rFonts w:eastAsia="MS Mincho"/>
          <w:b/>
          <w:szCs w:val="22"/>
          <w:lang w:val="et-EE" w:eastAsia="ja-JP"/>
        </w:rPr>
        <w:t>SSGXVIII/AIO Uuring</w:t>
      </w:r>
      <w:r w:rsidRPr="00EC3BD7">
        <w:rPr>
          <w:b/>
          <w:color w:val="000000"/>
          <w:szCs w:val="22"/>
          <w:lang w:val="et-EE"/>
        </w:rPr>
        <w:t>)</w:t>
      </w:r>
    </w:p>
    <w:p w14:paraId="6A260886" w14:textId="77777777" w:rsidR="00E21A2F" w:rsidRPr="00EC3BD7" w:rsidRDefault="00E21A2F" w:rsidP="009A3C30">
      <w:pPr>
        <w:pStyle w:val="EndnoteText"/>
        <w:keepNext/>
        <w:widowControl w:val="0"/>
        <w:tabs>
          <w:tab w:val="clear" w:pos="567"/>
        </w:tabs>
        <w:rPr>
          <w:color w:val="000000"/>
          <w:szCs w:val="22"/>
          <w:lang w:val="et-EE"/>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E21A2F" w:rsidRPr="00EC3BD7" w14:paraId="06C9C5AD" w14:textId="77777777" w:rsidTr="009A3C30">
        <w:trPr>
          <w:cantSplit/>
        </w:trPr>
        <w:tc>
          <w:tcPr>
            <w:tcW w:w="3099" w:type="dxa"/>
            <w:tcBorders>
              <w:top w:val="single" w:sz="4" w:space="0" w:color="auto"/>
              <w:bottom w:val="nil"/>
            </w:tcBorders>
            <w:shd w:val="clear" w:color="auto" w:fill="auto"/>
          </w:tcPr>
          <w:p w14:paraId="5021E8CD" w14:textId="77777777" w:rsidR="00E21A2F" w:rsidRPr="00EC3BD7" w:rsidRDefault="00E21A2F" w:rsidP="009A3C30">
            <w:pPr>
              <w:keepNext/>
              <w:tabs>
                <w:tab w:val="clear" w:pos="567"/>
                <w:tab w:val="left" w:pos="284"/>
              </w:tabs>
              <w:spacing w:line="240" w:lineRule="auto"/>
              <w:rPr>
                <w:rFonts w:eastAsia="MS Mincho"/>
                <w:szCs w:val="22"/>
                <w:lang w:val="et-EE"/>
              </w:rPr>
            </w:pPr>
          </w:p>
        </w:tc>
        <w:tc>
          <w:tcPr>
            <w:tcW w:w="3100" w:type="dxa"/>
            <w:tcBorders>
              <w:top w:val="single" w:sz="4" w:space="0" w:color="auto"/>
              <w:bottom w:val="nil"/>
            </w:tcBorders>
            <w:shd w:val="clear" w:color="auto" w:fill="auto"/>
          </w:tcPr>
          <w:p w14:paraId="3FECDE6F" w14:textId="77777777" w:rsidR="00E21A2F" w:rsidRPr="00EC3BD7" w:rsidRDefault="00E21A2F" w:rsidP="009A3C30">
            <w:pPr>
              <w:keepNext/>
              <w:tabs>
                <w:tab w:val="clear" w:pos="567"/>
                <w:tab w:val="left" w:pos="284"/>
              </w:tabs>
              <w:spacing w:line="240" w:lineRule="auto"/>
              <w:rPr>
                <w:rFonts w:eastAsia="MS Mincho"/>
                <w:b/>
                <w:szCs w:val="22"/>
                <w:lang w:val="et-EE"/>
              </w:rPr>
            </w:pPr>
            <w:r w:rsidRPr="00EC3BD7">
              <w:rPr>
                <w:rFonts w:eastAsia="MS Mincho"/>
                <w:b/>
                <w:szCs w:val="22"/>
                <w:lang w:val="et-EE"/>
              </w:rPr>
              <w:t>12-kuulise ravi rühm</w:t>
            </w:r>
          </w:p>
        </w:tc>
        <w:tc>
          <w:tcPr>
            <w:tcW w:w="3100" w:type="dxa"/>
            <w:tcBorders>
              <w:top w:val="single" w:sz="4" w:space="0" w:color="auto"/>
              <w:bottom w:val="nil"/>
            </w:tcBorders>
            <w:shd w:val="clear" w:color="auto" w:fill="auto"/>
          </w:tcPr>
          <w:p w14:paraId="7D1E199E" w14:textId="77777777" w:rsidR="00E21A2F" w:rsidRPr="00EC3BD7" w:rsidRDefault="00E21A2F" w:rsidP="009A3C30">
            <w:pPr>
              <w:keepNext/>
              <w:tabs>
                <w:tab w:val="clear" w:pos="567"/>
                <w:tab w:val="left" w:pos="284"/>
              </w:tabs>
              <w:spacing w:line="240" w:lineRule="auto"/>
              <w:rPr>
                <w:rFonts w:eastAsia="MS Mincho"/>
                <w:b/>
                <w:szCs w:val="22"/>
                <w:lang w:val="et-EE"/>
              </w:rPr>
            </w:pPr>
            <w:r w:rsidRPr="00EC3BD7">
              <w:rPr>
                <w:rFonts w:eastAsia="MS Mincho"/>
                <w:b/>
                <w:szCs w:val="22"/>
                <w:lang w:val="et-EE"/>
              </w:rPr>
              <w:t>36-kuulise ravi rühm</w:t>
            </w:r>
          </w:p>
        </w:tc>
      </w:tr>
      <w:tr w:rsidR="00E21A2F" w:rsidRPr="00EC3BD7" w14:paraId="785AA2A0" w14:textId="77777777" w:rsidTr="009A3C30">
        <w:trPr>
          <w:cantSplit/>
        </w:trPr>
        <w:tc>
          <w:tcPr>
            <w:tcW w:w="3099" w:type="dxa"/>
            <w:tcBorders>
              <w:top w:val="nil"/>
            </w:tcBorders>
            <w:shd w:val="clear" w:color="auto" w:fill="auto"/>
          </w:tcPr>
          <w:p w14:paraId="05B13A52" w14:textId="77777777" w:rsidR="00E21A2F" w:rsidRPr="00EC3BD7" w:rsidRDefault="00E21A2F" w:rsidP="009A3C30">
            <w:pPr>
              <w:keepNext/>
              <w:tabs>
                <w:tab w:val="clear" w:pos="567"/>
                <w:tab w:val="left" w:pos="284"/>
              </w:tabs>
              <w:spacing w:line="240" w:lineRule="auto"/>
              <w:rPr>
                <w:rFonts w:eastAsia="MS Mincho"/>
                <w:b/>
                <w:szCs w:val="22"/>
                <w:lang w:val="et-EE"/>
              </w:rPr>
            </w:pPr>
            <w:r w:rsidRPr="00EC3BD7">
              <w:rPr>
                <w:rFonts w:eastAsia="MS Mincho"/>
                <w:b/>
                <w:szCs w:val="22"/>
                <w:lang w:val="et-EE"/>
              </w:rPr>
              <w:t>RVE</w:t>
            </w:r>
          </w:p>
        </w:tc>
        <w:tc>
          <w:tcPr>
            <w:tcW w:w="3100" w:type="dxa"/>
            <w:tcBorders>
              <w:top w:val="nil"/>
            </w:tcBorders>
            <w:shd w:val="clear" w:color="auto" w:fill="auto"/>
          </w:tcPr>
          <w:p w14:paraId="7B16FF4D" w14:textId="77777777" w:rsidR="00E21A2F" w:rsidRPr="00EC3BD7" w:rsidRDefault="00E21A2F" w:rsidP="009A3C30">
            <w:pPr>
              <w:keepNext/>
              <w:tabs>
                <w:tab w:val="clear" w:pos="567"/>
                <w:tab w:val="left" w:pos="284"/>
              </w:tabs>
              <w:spacing w:line="240" w:lineRule="auto"/>
              <w:rPr>
                <w:rFonts w:eastAsia="MS Mincho"/>
                <w:b/>
                <w:szCs w:val="22"/>
                <w:lang w:val="et-EE"/>
              </w:rPr>
            </w:pPr>
            <w:r w:rsidRPr="00EC3BD7">
              <w:rPr>
                <w:rFonts w:eastAsia="MS Mincho"/>
                <w:b/>
                <w:szCs w:val="22"/>
                <w:lang w:val="et-EE"/>
              </w:rPr>
              <w:t>%(CI)</w:t>
            </w:r>
          </w:p>
        </w:tc>
        <w:tc>
          <w:tcPr>
            <w:tcW w:w="3100" w:type="dxa"/>
            <w:tcBorders>
              <w:top w:val="nil"/>
            </w:tcBorders>
            <w:shd w:val="clear" w:color="auto" w:fill="auto"/>
          </w:tcPr>
          <w:p w14:paraId="3C4D30EC" w14:textId="77777777" w:rsidR="00E21A2F" w:rsidRPr="00EC3BD7" w:rsidRDefault="00E21A2F" w:rsidP="009A3C30">
            <w:pPr>
              <w:keepNext/>
              <w:tabs>
                <w:tab w:val="clear" w:pos="567"/>
                <w:tab w:val="left" w:pos="284"/>
              </w:tabs>
              <w:spacing w:line="240" w:lineRule="auto"/>
              <w:rPr>
                <w:rFonts w:eastAsia="MS Mincho"/>
                <w:b/>
                <w:szCs w:val="22"/>
                <w:lang w:val="et-EE"/>
              </w:rPr>
            </w:pPr>
            <w:r w:rsidRPr="00EC3BD7">
              <w:rPr>
                <w:rFonts w:eastAsia="MS Mincho"/>
                <w:b/>
                <w:szCs w:val="22"/>
                <w:lang w:val="et-EE"/>
              </w:rPr>
              <w:t>%(CI)</w:t>
            </w:r>
          </w:p>
        </w:tc>
      </w:tr>
      <w:tr w:rsidR="00E21A2F" w:rsidRPr="00EC3BD7" w14:paraId="2A2BBC5C" w14:textId="77777777" w:rsidTr="009A3C30">
        <w:trPr>
          <w:cantSplit/>
        </w:trPr>
        <w:tc>
          <w:tcPr>
            <w:tcW w:w="3099" w:type="dxa"/>
            <w:shd w:val="clear" w:color="auto" w:fill="auto"/>
          </w:tcPr>
          <w:p w14:paraId="481DCC9C" w14:textId="77777777" w:rsidR="00E21A2F" w:rsidRPr="00EC3BD7" w:rsidRDefault="00E21A2F" w:rsidP="009A3C30">
            <w:pPr>
              <w:keepNext/>
              <w:tabs>
                <w:tab w:val="clear" w:pos="567"/>
              </w:tabs>
              <w:spacing w:line="240" w:lineRule="auto"/>
              <w:ind w:left="284"/>
              <w:rPr>
                <w:rFonts w:eastAsia="MS Mincho"/>
                <w:szCs w:val="22"/>
                <w:lang w:val="et-EE"/>
              </w:rPr>
            </w:pPr>
            <w:r w:rsidRPr="00EC3BD7">
              <w:rPr>
                <w:rFonts w:eastAsia="MS Mincho"/>
                <w:szCs w:val="22"/>
                <w:lang w:val="et-EE"/>
              </w:rPr>
              <w:t>12</w:t>
            </w:r>
            <w:r w:rsidRPr="00EC3BD7">
              <w:rPr>
                <w:rFonts w:eastAsia="MS Mincho"/>
                <w:szCs w:val="22"/>
                <w:lang w:val="et-EE" w:eastAsia="ja-JP"/>
              </w:rPr>
              <w:t> kuud</w:t>
            </w:r>
          </w:p>
        </w:tc>
        <w:tc>
          <w:tcPr>
            <w:tcW w:w="3100" w:type="dxa"/>
            <w:shd w:val="clear" w:color="auto" w:fill="auto"/>
          </w:tcPr>
          <w:p w14:paraId="3A3F5982" w14:textId="77777777" w:rsidR="00E21A2F" w:rsidRPr="00EC3BD7" w:rsidRDefault="00E21A2F" w:rsidP="009A3C30">
            <w:pPr>
              <w:keepNext/>
              <w:tabs>
                <w:tab w:val="clear" w:pos="567"/>
                <w:tab w:val="left" w:pos="284"/>
              </w:tabs>
              <w:spacing w:line="240" w:lineRule="auto"/>
              <w:rPr>
                <w:rFonts w:eastAsia="MS Mincho"/>
                <w:szCs w:val="22"/>
                <w:lang w:val="et-EE"/>
              </w:rPr>
            </w:pPr>
            <w:r w:rsidRPr="00EC3BD7">
              <w:rPr>
                <w:rFonts w:eastAsia="MS Mincho"/>
                <w:szCs w:val="22"/>
                <w:lang w:val="et-EE"/>
              </w:rPr>
              <w:t>93,7 (89,2</w:t>
            </w:r>
            <w:r w:rsidR="003C71AD" w:rsidRPr="00EC3BD7">
              <w:rPr>
                <w:rFonts w:eastAsia="MS Mincho"/>
                <w:szCs w:val="22"/>
                <w:lang w:val="et-EE"/>
              </w:rPr>
              <w:t>…</w:t>
            </w:r>
            <w:r w:rsidRPr="00EC3BD7">
              <w:rPr>
                <w:rFonts w:eastAsia="MS Mincho"/>
                <w:szCs w:val="22"/>
                <w:lang w:val="et-EE"/>
              </w:rPr>
              <w:t>96,4)</w:t>
            </w:r>
          </w:p>
        </w:tc>
        <w:tc>
          <w:tcPr>
            <w:tcW w:w="3100" w:type="dxa"/>
            <w:shd w:val="clear" w:color="auto" w:fill="auto"/>
          </w:tcPr>
          <w:p w14:paraId="2B59AC17" w14:textId="77777777" w:rsidR="00E21A2F" w:rsidRPr="00EC3BD7" w:rsidRDefault="00E21A2F" w:rsidP="009A3C30">
            <w:pPr>
              <w:keepNext/>
              <w:tabs>
                <w:tab w:val="clear" w:pos="567"/>
                <w:tab w:val="left" w:pos="284"/>
              </w:tabs>
              <w:spacing w:line="240" w:lineRule="auto"/>
              <w:rPr>
                <w:rFonts w:eastAsia="MS Mincho"/>
                <w:szCs w:val="22"/>
                <w:lang w:val="et-EE"/>
              </w:rPr>
            </w:pPr>
            <w:r w:rsidRPr="00EC3BD7">
              <w:rPr>
                <w:rFonts w:eastAsia="MS Mincho"/>
                <w:szCs w:val="22"/>
                <w:lang w:val="et-EE"/>
              </w:rPr>
              <w:t>95,9 (91,9</w:t>
            </w:r>
            <w:r w:rsidR="003C71AD" w:rsidRPr="00EC3BD7">
              <w:rPr>
                <w:rFonts w:eastAsia="MS Mincho"/>
                <w:szCs w:val="22"/>
                <w:lang w:val="et-EE"/>
              </w:rPr>
              <w:t>…</w:t>
            </w:r>
            <w:r w:rsidRPr="00EC3BD7">
              <w:rPr>
                <w:rFonts w:eastAsia="MS Mincho"/>
                <w:szCs w:val="22"/>
                <w:lang w:val="et-EE"/>
              </w:rPr>
              <w:t>97,9)</w:t>
            </w:r>
          </w:p>
        </w:tc>
      </w:tr>
      <w:tr w:rsidR="00E21A2F" w:rsidRPr="00EC3BD7" w14:paraId="639CD116" w14:textId="77777777" w:rsidTr="009A3C30">
        <w:trPr>
          <w:cantSplit/>
        </w:trPr>
        <w:tc>
          <w:tcPr>
            <w:tcW w:w="3099" w:type="dxa"/>
            <w:shd w:val="clear" w:color="auto" w:fill="auto"/>
          </w:tcPr>
          <w:p w14:paraId="6AE5CC44" w14:textId="77777777" w:rsidR="00E21A2F" w:rsidRPr="00EC3BD7" w:rsidRDefault="00E21A2F" w:rsidP="009A3C30">
            <w:pPr>
              <w:keepNext/>
              <w:tabs>
                <w:tab w:val="clear" w:pos="567"/>
              </w:tabs>
              <w:spacing w:line="240" w:lineRule="auto"/>
              <w:ind w:left="284"/>
              <w:rPr>
                <w:rFonts w:eastAsia="MS Mincho"/>
                <w:szCs w:val="22"/>
                <w:lang w:val="et-EE"/>
              </w:rPr>
            </w:pPr>
            <w:r w:rsidRPr="00EC3BD7">
              <w:rPr>
                <w:rFonts w:eastAsia="MS Mincho"/>
                <w:szCs w:val="22"/>
                <w:lang w:val="et-EE"/>
              </w:rPr>
              <w:t>24</w:t>
            </w:r>
            <w:r w:rsidRPr="00EC3BD7">
              <w:rPr>
                <w:rFonts w:eastAsia="MS Mincho"/>
                <w:szCs w:val="22"/>
                <w:lang w:val="et-EE" w:eastAsia="ja-JP"/>
              </w:rPr>
              <w:t> </w:t>
            </w:r>
            <w:r w:rsidRPr="00EC3BD7">
              <w:rPr>
                <w:rFonts w:eastAsia="MS Mincho"/>
                <w:szCs w:val="22"/>
                <w:lang w:val="et-EE"/>
              </w:rPr>
              <w:t>kuud</w:t>
            </w:r>
          </w:p>
        </w:tc>
        <w:tc>
          <w:tcPr>
            <w:tcW w:w="3100" w:type="dxa"/>
            <w:shd w:val="clear" w:color="auto" w:fill="auto"/>
          </w:tcPr>
          <w:p w14:paraId="0CDA4B69" w14:textId="77777777" w:rsidR="00E21A2F" w:rsidRPr="00EC3BD7" w:rsidRDefault="00E21A2F" w:rsidP="009A3C30">
            <w:pPr>
              <w:keepNext/>
              <w:tabs>
                <w:tab w:val="clear" w:pos="567"/>
                <w:tab w:val="left" w:pos="284"/>
              </w:tabs>
              <w:spacing w:line="240" w:lineRule="auto"/>
              <w:rPr>
                <w:rFonts w:eastAsia="MS Mincho"/>
                <w:szCs w:val="22"/>
                <w:lang w:val="et-EE"/>
              </w:rPr>
            </w:pPr>
            <w:r w:rsidRPr="00EC3BD7">
              <w:rPr>
                <w:rFonts w:eastAsia="MS Mincho"/>
                <w:szCs w:val="22"/>
                <w:lang w:val="et-EE"/>
              </w:rPr>
              <w:t>75,4 (68,6</w:t>
            </w:r>
            <w:r w:rsidR="003C71AD" w:rsidRPr="00EC3BD7">
              <w:rPr>
                <w:rFonts w:eastAsia="MS Mincho"/>
                <w:szCs w:val="22"/>
                <w:lang w:val="et-EE"/>
              </w:rPr>
              <w:t>…</w:t>
            </w:r>
            <w:r w:rsidRPr="00EC3BD7">
              <w:rPr>
                <w:rFonts w:eastAsia="MS Mincho"/>
                <w:szCs w:val="22"/>
                <w:lang w:val="et-EE"/>
              </w:rPr>
              <w:t>81,0)</w:t>
            </w:r>
          </w:p>
        </w:tc>
        <w:tc>
          <w:tcPr>
            <w:tcW w:w="3100" w:type="dxa"/>
            <w:shd w:val="clear" w:color="auto" w:fill="auto"/>
          </w:tcPr>
          <w:p w14:paraId="2D8BB49E" w14:textId="77777777" w:rsidR="00E21A2F" w:rsidRPr="00EC3BD7" w:rsidRDefault="00E21A2F" w:rsidP="009A3C30">
            <w:pPr>
              <w:keepNext/>
              <w:tabs>
                <w:tab w:val="clear" w:pos="567"/>
                <w:tab w:val="left" w:pos="284"/>
              </w:tabs>
              <w:spacing w:line="240" w:lineRule="auto"/>
              <w:rPr>
                <w:rFonts w:eastAsia="MS Mincho"/>
                <w:szCs w:val="22"/>
                <w:lang w:val="et-EE"/>
              </w:rPr>
            </w:pPr>
            <w:r w:rsidRPr="00EC3BD7">
              <w:rPr>
                <w:rFonts w:eastAsia="MS Mincho"/>
                <w:szCs w:val="22"/>
                <w:lang w:val="et-EE"/>
              </w:rPr>
              <w:t>90,7 (85,6</w:t>
            </w:r>
            <w:r w:rsidR="003C71AD" w:rsidRPr="00EC3BD7">
              <w:rPr>
                <w:rFonts w:eastAsia="MS Mincho"/>
                <w:szCs w:val="22"/>
                <w:lang w:val="et-EE"/>
              </w:rPr>
              <w:t>…</w:t>
            </w:r>
            <w:r w:rsidRPr="00EC3BD7">
              <w:rPr>
                <w:rFonts w:eastAsia="MS Mincho"/>
                <w:szCs w:val="22"/>
                <w:lang w:val="et-EE"/>
              </w:rPr>
              <w:t>94,0)</w:t>
            </w:r>
          </w:p>
        </w:tc>
      </w:tr>
      <w:tr w:rsidR="00E21A2F" w:rsidRPr="00EC3BD7" w14:paraId="4AF04AB8" w14:textId="77777777" w:rsidTr="009A3C30">
        <w:trPr>
          <w:cantSplit/>
        </w:trPr>
        <w:tc>
          <w:tcPr>
            <w:tcW w:w="3099" w:type="dxa"/>
            <w:shd w:val="clear" w:color="auto" w:fill="auto"/>
          </w:tcPr>
          <w:p w14:paraId="120E21F8" w14:textId="77777777" w:rsidR="00E21A2F" w:rsidRPr="00EC3BD7" w:rsidRDefault="00E21A2F" w:rsidP="009A3C30">
            <w:pPr>
              <w:keepNext/>
              <w:tabs>
                <w:tab w:val="clear" w:pos="567"/>
              </w:tabs>
              <w:spacing w:line="240" w:lineRule="auto"/>
              <w:ind w:left="284"/>
              <w:rPr>
                <w:rFonts w:eastAsia="MS Mincho"/>
                <w:szCs w:val="22"/>
                <w:lang w:val="et-EE"/>
              </w:rPr>
            </w:pPr>
            <w:r w:rsidRPr="00EC3BD7">
              <w:rPr>
                <w:rFonts w:eastAsia="MS Mincho"/>
                <w:szCs w:val="22"/>
                <w:lang w:val="et-EE"/>
              </w:rPr>
              <w:t>36</w:t>
            </w:r>
            <w:r w:rsidRPr="00EC3BD7">
              <w:rPr>
                <w:rFonts w:eastAsia="MS Mincho"/>
                <w:szCs w:val="22"/>
                <w:lang w:val="et-EE" w:eastAsia="ja-JP"/>
              </w:rPr>
              <w:t> </w:t>
            </w:r>
            <w:r w:rsidRPr="00EC3BD7">
              <w:rPr>
                <w:rFonts w:eastAsia="MS Mincho"/>
                <w:szCs w:val="22"/>
                <w:lang w:val="et-EE"/>
              </w:rPr>
              <w:t>kuud</w:t>
            </w:r>
          </w:p>
        </w:tc>
        <w:tc>
          <w:tcPr>
            <w:tcW w:w="3100" w:type="dxa"/>
            <w:shd w:val="clear" w:color="auto" w:fill="auto"/>
          </w:tcPr>
          <w:p w14:paraId="4339ECED" w14:textId="77777777" w:rsidR="00E21A2F" w:rsidRPr="00EC3BD7" w:rsidRDefault="00E21A2F" w:rsidP="009A3C30">
            <w:pPr>
              <w:keepNext/>
              <w:tabs>
                <w:tab w:val="clear" w:pos="567"/>
                <w:tab w:val="left" w:pos="284"/>
              </w:tabs>
              <w:spacing w:line="240" w:lineRule="auto"/>
              <w:rPr>
                <w:rFonts w:eastAsia="MS Mincho"/>
                <w:szCs w:val="22"/>
                <w:lang w:val="et-EE"/>
              </w:rPr>
            </w:pPr>
            <w:r w:rsidRPr="00EC3BD7">
              <w:rPr>
                <w:rFonts w:eastAsia="MS Mincho"/>
                <w:szCs w:val="22"/>
                <w:lang w:val="et-EE"/>
              </w:rPr>
              <w:t>60,1 (52,5</w:t>
            </w:r>
            <w:r w:rsidR="003C71AD" w:rsidRPr="00EC3BD7">
              <w:rPr>
                <w:rFonts w:eastAsia="MS Mincho"/>
                <w:szCs w:val="22"/>
                <w:lang w:val="et-EE"/>
              </w:rPr>
              <w:t>…</w:t>
            </w:r>
            <w:r w:rsidRPr="00EC3BD7">
              <w:rPr>
                <w:rFonts w:eastAsia="MS Mincho"/>
                <w:szCs w:val="22"/>
                <w:lang w:val="et-EE"/>
              </w:rPr>
              <w:t>66,9)</w:t>
            </w:r>
          </w:p>
        </w:tc>
        <w:tc>
          <w:tcPr>
            <w:tcW w:w="3100" w:type="dxa"/>
            <w:shd w:val="clear" w:color="auto" w:fill="auto"/>
          </w:tcPr>
          <w:p w14:paraId="20432507" w14:textId="77777777" w:rsidR="00E21A2F" w:rsidRPr="00EC3BD7" w:rsidRDefault="00E21A2F" w:rsidP="009A3C30">
            <w:pPr>
              <w:keepNext/>
              <w:tabs>
                <w:tab w:val="clear" w:pos="567"/>
                <w:tab w:val="left" w:pos="284"/>
              </w:tabs>
              <w:spacing w:line="240" w:lineRule="auto"/>
              <w:rPr>
                <w:rFonts w:eastAsia="MS Mincho"/>
                <w:szCs w:val="22"/>
                <w:lang w:val="et-EE"/>
              </w:rPr>
            </w:pPr>
            <w:r w:rsidRPr="00EC3BD7">
              <w:rPr>
                <w:rFonts w:eastAsia="MS Mincho"/>
                <w:szCs w:val="22"/>
                <w:lang w:val="et-EE"/>
              </w:rPr>
              <w:t>86,6 (80,8</w:t>
            </w:r>
            <w:r w:rsidR="003C71AD" w:rsidRPr="00EC3BD7">
              <w:rPr>
                <w:rFonts w:eastAsia="MS Mincho"/>
                <w:szCs w:val="22"/>
                <w:lang w:val="et-EE"/>
              </w:rPr>
              <w:t>…</w:t>
            </w:r>
            <w:r w:rsidRPr="00EC3BD7">
              <w:rPr>
                <w:rFonts w:eastAsia="MS Mincho"/>
                <w:szCs w:val="22"/>
                <w:lang w:val="et-EE"/>
              </w:rPr>
              <w:t>90,8)</w:t>
            </w:r>
          </w:p>
        </w:tc>
      </w:tr>
      <w:tr w:rsidR="00E21A2F" w:rsidRPr="00EC3BD7" w14:paraId="6EC5E66B" w14:textId="77777777" w:rsidTr="009A3C30">
        <w:trPr>
          <w:cantSplit/>
        </w:trPr>
        <w:tc>
          <w:tcPr>
            <w:tcW w:w="3099" w:type="dxa"/>
            <w:shd w:val="clear" w:color="auto" w:fill="auto"/>
          </w:tcPr>
          <w:p w14:paraId="7F6F5220" w14:textId="77777777" w:rsidR="00E21A2F" w:rsidRPr="00EC3BD7" w:rsidRDefault="00E21A2F" w:rsidP="009A3C30">
            <w:pPr>
              <w:keepNext/>
              <w:tabs>
                <w:tab w:val="clear" w:pos="567"/>
              </w:tabs>
              <w:spacing w:line="240" w:lineRule="auto"/>
              <w:ind w:left="284"/>
              <w:rPr>
                <w:rFonts w:eastAsia="MS Mincho"/>
                <w:szCs w:val="22"/>
                <w:lang w:val="et-EE"/>
              </w:rPr>
            </w:pPr>
            <w:r w:rsidRPr="00EC3BD7">
              <w:rPr>
                <w:rFonts w:eastAsia="MS Mincho"/>
                <w:szCs w:val="22"/>
                <w:lang w:val="et-EE"/>
              </w:rPr>
              <w:t>48</w:t>
            </w:r>
            <w:r w:rsidRPr="00EC3BD7">
              <w:rPr>
                <w:rFonts w:eastAsia="MS Mincho"/>
                <w:szCs w:val="22"/>
                <w:lang w:val="et-EE" w:eastAsia="ja-JP"/>
              </w:rPr>
              <w:t> </w:t>
            </w:r>
            <w:r w:rsidRPr="00EC3BD7">
              <w:rPr>
                <w:rFonts w:eastAsia="MS Mincho"/>
                <w:szCs w:val="22"/>
                <w:lang w:val="et-EE"/>
              </w:rPr>
              <w:t>kuud</w:t>
            </w:r>
          </w:p>
        </w:tc>
        <w:tc>
          <w:tcPr>
            <w:tcW w:w="3100" w:type="dxa"/>
            <w:shd w:val="clear" w:color="auto" w:fill="auto"/>
          </w:tcPr>
          <w:p w14:paraId="6CAE9B4B" w14:textId="77777777" w:rsidR="00E21A2F" w:rsidRPr="00EC3BD7" w:rsidRDefault="00E21A2F" w:rsidP="009A3C30">
            <w:pPr>
              <w:keepNext/>
              <w:tabs>
                <w:tab w:val="clear" w:pos="567"/>
                <w:tab w:val="left" w:pos="284"/>
              </w:tabs>
              <w:spacing w:line="240" w:lineRule="auto"/>
              <w:rPr>
                <w:rFonts w:eastAsia="MS Mincho"/>
                <w:szCs w:val="22"/>
                <w:lang w:val="et-EE"/>
              </w:rPr>
            </w:pPr>
            <w:r w:rsidRPr="00EC3BD7">
              <w:rPr>
                <w:rFonts w:eastAsia="MS Mincho"/>
                <w:szCs w:val="22"/>
                <w:lang w:val="et-EE"/>
              </w:rPr>
              <w:t>52,3 (44,0</w:t>
            </w:r>
            <w:r w:rsidR="003C71AD" w:rsidRPr="00EC3BD7">
              <w:rPr>
                <w:rFonts w:eastAsia="MS Mincho"/>
                <w:szCs w:val="22"/>
                <w:lang w:val="et-EE"/>
              </w:rPr>
              <w:t>…</w:t>
            </w:r>
            <w:r w:rsidRPr="00EC3BD7">
              <w:rPr>
                <w:rFonts w:eastAsia="MS Mincho"/>
                <w:szCs w:val="22"/>
                <w:lang w:val="et-EE"/>
              </w:rPr>
              <w:t>59,8)</w:t>
            </w:r>
          </w:p>
        </w:tc>
        <w:tc>
          <w:tcPr>
            <w:tcW w:w="3100" w:type="dxa"/>
            <w:shd w:val="clear" w:color="auto" w:fill="auto"/>
          </w:tcPr>
          <w:p w14:paraId="01888E40" w14:textId="77777777" w:rsidR="00E21A2F" w:rsidRPr="00EC3BD7" w:rsidRDefault="00E21A2F" w:rsidP="009A3C30">
            <w:pPr>
              <w:keepNext/>
              <w:tabs>
                <w:tab w:val="clear" w:pos="567"/>
                <w:tab w:val="left" w:pos="284"/>
              </w:tabs>
              <w:spacing w:line="240" w:lineRule="auto"/>
              <w:rPr>
                <w:rFonts w:eastAsia="MS Mincho"/>
                <w:szCs w:val="22"/>
                <w:lang w:val="et-EE"/>
              </w:rPr>
            </w:pPr>
            <w:r w:rsidRPr="00EC3BD7">
              <w:rPr>
                <w:rFonts w:eastAsia="MS Mincho"/>
                <w:szCs w:val="22"/>
                <w:lang w:val="et-EE"/>
              </w:rPr>
              <w:t>78,3 (70,8</w:t>
            </w:r>
            <w:r w:rsidR="003C71AD" w:rsidRPr="00EC3BD7">
              <w:rPr>
                <w:rFonts w:eastAsia="MS Mincho"/>
                <w:szCs w:val="22"/>
                <w:lang w:val="et-EE"/>
              </w:rPr>
              <w:t>…</w:t>
            </w:r>
            <w:r w:rsidRPr="00EC3BD7">
              <w:rPr>
                <w:rFonts w:eastAsia="MS Mincho"/>
                <w:szCs w:val="22"/>
                <w:lang w:val="et-EE"/>
              </w:rPr>
              <w:t>84,1)</w:t>
            </w:r>
          </w:p>
        </w:tc>
      </w:tr>
      <w:tr w:rsidR="00E21A2F" w:rsidRPr="00EC3BD7" w14:paraId="5FA73FE7" w14:textId="77777777" w:rsidTr="009A3C30">
        <w:trPr>
          <w:cantSplit/>
        </w:trPr>
        <w:tc>
          <w:tcPr>
            <w:tcW w:w="3099" w:type="dxa"/>
            <w:shd w:val="clear" w:color="auto" w:fill="auto"/>
          </w:tcPr>
          <w:p w14:paraId="3925876A" w14:textId="77777777" w:rsidR="00E21A2F" w:rsidRPr="00EC3BD7" w:rsidRDefault="00E21A2F" w:rsidP="009A3C30">
            <w:pPr>
              <w:keepNext/>
              <w:tabs>
                <w:tab w:val="clear" w:pos="567"/>
              </w:tabs>
              <w:spacing w:line="240" w:lineRule="auto"/>
              <w:ind w:left="284"/>
              <w:rPr>
                <w:rFonts w:eastAsia="MS Mincho"/>
                <w:szCs w:val="22"/>
                <w:lang w:val="et-EE"/>
              </w:rPr>
            </w:pPr>
            <w:r w:rsidRPr="00EC3BD7">
              <w:rPr>
                <w:rFonts w:eastAsia="MS Mincho"/>
                <w:szCs w:val="22"/>
                <w:lang w:val="et-EE"/>
              </w:rPr>
              <w:t>60</w:t>
            </w:r>
            <w:r w:rsidRPr="00EC3BD7">
              <w:rPr>
                <w:rFonts w:eastAsia="MS Mincho"/>
                <w:szCs w:val="22"/>
                <w:lang w:val="et-EE" w:eastAsia="ja-JP"/>
              </w:rPr>
              <w:t> </w:t>
            </w:r>
            <w:r w:rsidRPr="00EC3BD7">
              <w:rPr>
                <w:rFonts w:eastAsia="MS Mincho"/>
                <w:szCs w:val="22"/>
                <w:lang w:val="et-EE"/>
              </w:rPr>
              <w:t>kuud</w:t>
            </w:r>
          </w:p>
        </w:tc>
        <w:tc>
          <w:tcPr>
            <w:tcW w:w="3100" w:type="dxa"/>
            <w:shd w:val="clear" w:color="auto" w:fill="auto"/>
          </w:tcPr>
          <w:p w14:paraId="6FC8CC24" w14:textId="77777777" w:rsidR="00E21A2F" w:rsidRPr="00EC3BD7" w:rsidRDefault="00E21A2F" w:rsidP="009A3C30">
            <w:pPr>
              <w:keepNext/>
              <w:tabs>
                <w:tab w:val="clear" w:pos="567"/>
                <w:tab w:val="left" w:pos="284"/>
              </w:tabs>
              <w:spacing w:line="240" w:lineRule="auto"/>
              <w:rPr>
                <w:rFonts w:eastAsia="MS Mincho"/>
                <w:szCs w:val="22"/>
                <w:lang w:val="et-EE"/>
              </w:rPr>
            </w:pPr>
            <w:r w:rsidRPr="00EC3BD7">
              <w:rPr>
                <w:rFonts w:eastAsia="MS Mincho"/>
                <w:szCs w:val="22"/>
                <w:lang w:val="et-EE"/>
              </w:rPr>
              <w:t>47,9 (39,0</w:t>
            </w:r>
            <w:r w:rsidR="003C71AD" w:rsidRPr="00EC3BD7">
              <w:rPr>
                <w:rFonts w:eastAsia="MS Mincho"/>
                <w:szCs w:val="22"/>
                <w:lang w:val="et-EE"/>
              </w:rPr>
              <w:t>…</w:t>
            </w:r>
            <w:r w:rsidRPr="00EC3BD7">
              <w:rPr>
                <w:rFonts w:eastAsia="MS Mincho"/>
                <w:szCs w:val="22"/>
                <w:lang w:val="et-EE"/>
              </w:rPr>
              <w:t>56,3)</w:t>
            </w:r>
          </w:p>
        </w:tc>
        <w:tc>
          <w:tcPr>
            <w:tcW w:w="3100" w:type="dxa"/>
            <w:shd w:val="clear" w:color="auto" w:fill="auto"/>
          </w:tcPr>
          <w:p w14:paraId="054C6ABB" w14:textId="77777777" w:rsidR="00E21A2F" w:rsidRPr="00EC3BD7" w:rsidRDefault="00E21A2F" w:rsidP="009A3C30">
            <w:pPr>
              <w:keepNext/>
              <w:tabs>
                <w:tab w:val="clear" w:pos="567"/>
                <w:tab w:val="left" w:pos="284"/>
              </w:tabs>
              <w:spacing w:line="240" w:lineRule="auto"/>
              <w:rPr>
                <w:rFonts w:eastAsia="MS Mincho"/>
                <w:szCs w:val="22"/>
                <w:lang w:val="et-EE"/>
              </w:rPr>
            </w:pPr>
            <w:r w:rsidRPr="00EC3BD7">
              <w:rPr>
                <w:rFonts w:eastAsia="MS Mincho"/>
                <w:szCs w:val="22"/>
                <w:lang w:val="et-EE"/>
              </w:rPr>
              <w:t>65,6 (56,1</w:t>
            </w:r>
            <w:r w:rsidR="003C71AD" w:rsidRPr="00EC3BD7">
              <w:rPr>
                <w:rFonts w:eastAsia="MS Mincho"/>
                <w:szCs w:val="22"/>
                <w:lang w:val="et-EE"/>
              </w:rPr>
              <w:t>…</w:t>
            </w:r>
            <w:r w:rsidRPr="00EC3BD7">
              <w:rPr>
                <w:rFonts w:eastAsia="MS Mincho"/>
                <w:szCs w:val="22"/>
                <w:lang w:val="et-EE"/>
              </w:rPr>
              <w:t>73,4)</w:t>
            </w:r>
          </w:p>
        </w:tc>
      </w:tr>
      <w:tr w:rsidR="00E21A2F" w:rsidRPr="00EC3BD7" w14:paraId="08158890" w14:textId="77777777" w:rsidTr="009A3C30">
        <w:trPr>
          <w:cantSplit/>
        </w:trPr>
        <w:tc>
          <w:tcPr>
            <w:tcW w:w="3099" w:type="dxa"/>
            <w:shd w:val="clear" w:color="auto" w:fill="auto"/>
          </w:tcPr>
          <w:p w14:paraId="2E4B750F" w14:textId="77777777" w:rsidR="00E21A2F" w:rsidRPr="00EC3BD7" w:rsidRDefault="00E21A2F" w:rsidP="009A3C30">
            <w:pPr>
              <w:keepNext/>
              <w:tabs>
                <w:tab w:val="clear" w:pos="567"/>
                <w:tab w:val="left" w:pos="284"/>
              </w:tabs>
              <w:spacing w:line="240" w:lineRule="auto"/>
              <w:rPr>
                <w:rFonts w:eastAsia="MS Mincho"/>
                <w:b/>
                <w:szCs w:val="22"/>
                <w:lang w:val="et-EE"/>
              </w:rPr>
            </w:pPr>
            <w:r w:rsidRPr="00EC3BD7">
              <w:rPr>
                <w:rFonts w:eastAsia="MS Mincho"/>
                <w:b/>
                <w:szCs w:val="22"/>
                <w:lang w:val="et-EE"/>
              </w:rPr>
              <w:t>Elulemus</w:t>
            </w:r>
          </w:p>
        </w:tc>
        <w:tc>
          <w:tcPr>
            <w:tcW w:w="3100" w:type="dxa"/>
            <w:shd w:val="clear" w:color="auto" w:fill="auto"/>
          </w:tcPr>
          <w:p w14:paraId="1FD688C2" w14:textId="77777777" w:rsidR="00E21A2F" w:rsidRPr="00EC3BD7" w:rsidRDefault="00E21A2F" w:rsidP="009A3C30">
            <w:pPr>
              <w:keepNext/>
              <w:tabs>
                <w:tab w:val="clear" w:pos="567"/>
                <w:tab w:val="left" w:pos="284"/>
              </w:tabs>
              <w:spacing w:line="240" w:lineRule="auto"/>
              <w:rPr>
                <w:rFonts w:eastAsia="MS Mincho"/>
                <w:szCs w:val="22"/>
                <w:lang w:val="et-EE"/>
              </w:rPr>
            </w:pPr>
          </w:p>
        </w:tc>
        <w:tc>
          <w:tcPr>
            <w:tcW w:w="3100" w:type="dxa"/>
            <w:shd w:val="clear" w:color="auto" w:fill="auto"/>
          </w:tcPr>
          <w:p w14:paraId="044938D2" w14:textId="77777777" w:rsidR="00E21A2F" w:rsidRPr="00EC3BD7" w:rsidRDefault="00E21A2F" w:rsidP="009A3C30">
            <w:pPr>
              <w:keepNext/>
              <w:tabs>
                <w:tab w:val="clear" w:pos="567"/>
                <w:tab w:val="left" w:pos="284"/>
              </w:tabs>
              <w:spacing w:line="240" w:lineRule="auto"/>
              <w:rPr>
                <w:rFonts w:eastAsia="MS Mincho"/>
                <w:szCs w:val="22"/>
                <w:lang w:val="et-EE"/>
              </w:rPr>
            </w:pPr>
          </w:p>
        </w:tc>
      </w:tr>
      <w:tr w:rsidR="00E21A2F" w:rsidRPr="00EC3BD7" w14:paraId="449E9554" w14:textId="77777777" w:rsidTr="009A3C30">
        <w:trPr>
          <w:cantSplit/>
        </w:trPr>
        <w:tc>
          <w:tcPr>
            <w:tcW w:w="3099" w:type="dxa"/>
            <w:shd w:val="clear" w:color="auto" w:fill="auto"/>
          </w:tcPr>
          <w:p w14:paraId="3D24BF99" w14:textId="77777777" w:rsidR="00E21A2F" w:rsidRPr="00EC3BD7" w:rsidRDefault="00E21A2F" w:rsidP="009A3C30">
            <w:pPr>
              <w:keepNext/>
              <w:tabs>
                <w:tab w:val="clear" w:pos="567"/>
              </w:tabs>
              <w:spacing w:line="240" w:lineRule="auto"/>
              <w:ind w:left="284"/>
              <w:rPr>
                <w:rFonts w:eastAsia="MS Mincho"/>
                <w:szCs w:val="22"/>
                <w:lang w:val="et-EE"/>
              </w:rPr>
            </w:pPr>
            <w:r w:rsidRPr="00EC3BD7">
              <w:rPr>
                <w:rFonts w:eastAsia="MS Mincho"/>
                <w:szCs w:val="22"/>
                <w:lang w:val="et-EE"/>
              </w:rPr>
              <w:t>36</w:t>
            </w:r>
            <w:r w:rsidRPr="00EC3BD7">
              <w:rPr>
                <w:rFonts w:eastAsia="MS Mincho"/>
                <w:szCs w:val="22"/>
                <w:lang w:val="et-EE" w:eastAsia="ja-JP"/>
              </w:rPr>
              <w:t> </w:t>
            </w:r>
            <w:r w:rsidRPr="00EC3BD7">
              <w:rPr>
                <w:rFonts w:eastAsia="MS Mincho"/>
                <w:szCs w:val="22"/>
                <w:lang w:val="et-EE"/>
              </w:rPr>
              <w:t>kuud</w:t>
            </w:r>
          </w:p>
        </w:tc>
        <w:tc>
          <w:tcPr>
            <w:tcW w:w="3100" w:type="dxa"/>
            <w:shd w:val="clear" w:color="auto" w:fill="auto"/>
          </w:tcPr>
          <w:p w14:paraId="45D72EC4" w14:textId="77777777" w:rsidR="00E21A2F" w:rsidRPr="00EC3BD7" w:rsidRDefault="00E21A2F" w:rsidP="009A3C30">
            <w:pPr>
              <w:keepNext/>
              <w:tabs>
                <w:tab w:val="clear" w:pos="567"/>
                <w:tab w:val="left" w:pos="284"/>
              </w:tabs>
              <w:spacing w:line="240" w:lineRule="auto"/>
              <w:rPr>
                <w:rFonts w:eastAsia="MS Mincho"/>
                <w:szCs w:val="22"/>
                <w:lang w:val="et-EE"/>
              </w:rPr>
            </w:pPr>
            <w:r w:rsidRPr="00EC3BD7">
              <w:rPr>
                <w:rFonts w:eastAsia="MS Mincho"/>
                <w:szCs w:val="22"/>
                <w:lang w:val="et-EE"/>
              </w:rPr>
              <w:t>94,0 (89,5</w:t>
            </w:r>
            <w:r w:rsidR="003C71AD" w:rsidRPr="00EC3BD7">
              <w:rPr>
                <w:rFonts w:eastAsia="MS Mincho"/>
                <w:szCs w:val="22"/>
                <w:lang w:val="et-EE"/>
              </w:rPr>
              <w:t>…</w:t>
            </w:r>
            <w:r w:rsidRPr="00EC3BD7">
              <w:rPr>
                <w:rFonts w:eastAsia="MS Mincho"/>
                <w:szCs w:val="22"/>
                <w:lang w:val="et-EE"/>
              </w:rPr>
              <w:t>96,7)</w:t>
            </w:r>
          </w:p>
        </w:tc>
        <w:tc>
          <w:tcPr>
            <w:tcW w:w="3100" w:type="dxa"/>
            <w:shd w:val="clear" w:color="auto" w:fill="auto"/>
          </w:tcPr>
          <w:p w14:paraId="6B29FB67" w14:textId="77777777" w:rsidR="00E21A2F" w:rsidRPr="00EC3BD7" w:rsidRDefault="00E21A2F" w:rsidP="009A3C30">
            <w:pPr>
              <w:keepNext/>
              <w:tabs>
                <w:tab w:val="clear" w:pos="567"/>
                <w:tab w:val="left" w:pos="284"/>
              </w:tabs>
              <w:spacing w:line="240" w:lineRule="auto"/>
              <w:rPr>
                <w:rFonts w:eastAsia="MS Mincho"/>
                <w:szCs w:val="22"/>
                <w:lang w:val="et-EE"/>
              </w:rPr>
            </w:pPr>
            <w:r w:rsidRPr="00EC3BD7">
              <w:rPr>
                <w:rFonts w:eastAsia="MS Mincho"/>
                <w:szCs w:val="22"/>
                <w:lang w:val="et-EE"/>
              </w:rPr>
              <w:t>96,3 (92,4</w:t>
            </w:r>
            <w:r w:rsidR="003C71AD" w:rsidRPr="00EC3BD7">
              <w:rPr>
                <w:rFonts w:eastAsia="MS Mincho"/>
                <w:szCs w:val="22"/>
                <w:lang w:val="et-EE"/>
              </w:rPr>
              <w:t>…</w:t>
            </w:r>
            <w:r w:rsidRPr="00EC3BD7">
              <w:rPr>
                <w:rFonts w:eastAsia="MS Mincho"/>
                <w:szCs w:val="22"/>
                <w:lang w:val="et-EE"/>
              </w:rPr>
              <w:t>98,2)</w:t>
            </w:r>
          </w:p>
        </w:tc>
      </w:tr>
      <w:tr w:rsidR="00E21A2F" w:rsidRPr="00EC3BD7" w14:paraId="5069C5F4" w14:textId="77777777" w:rsidTr="009A3C30">
        <w:trPr>
          <w:cantSplit/>
        </w:trPr>
        <w:tc>
          <w:tcPr>
            <w:tcW w:w="3099" w:type="dxa"/>
            <w:shd w:val="clear" w:color="auto" w:fill="auto"/>
          </w:tcPr>
          <w:p w14:paraId="12D39B8C" w14:textId="77777777" w:rsidR="00E21A2F" w:rsidRPr="00EC3BD7" w:rsidRDefault="00E21A2F" w:rsidP="009A3C30">
            <w:pPr>
              <w:keepNext/>
              <w:tabs>
                <w:tab w:val="clear" w:pos="567"/>
              </w:tabs>
              <w:spacing w:line="240" w:lineRule="auto"/>
              <w:ind w:left="284"/>
              <w:rPr>
                <w:rFonts w:eastAsia="MS Mincho"/>
                <w:szCs w:val="22"/>
                <w:lang w:val="et-EE"/>
              </w:rPr>
            </w:pPr>
            <w:r w:rsidRPr="00EC3BD7">
              <w:rPr>
                <w:rFonts w:eastAsia="MS Mincho"/>
                <w:szCs w:val="22"/>
                <w:lang w:val="et-EE"/>
              </w:rPr>
              <w:t>48</w:t>
            </w:r>
            <w:r w:rsidRPr="00EC3BD7">
              <w:rPr>
                <w:rFonts w:eastAsia="MS Mincho"/>
                <w:szCs w:val="22"/>
                <w:lang w:val="et-EE" w:eastAsia="ja-JP"/>
              </w:rPr>
              <w:t> </w:t>
            </w:r>
            <w:r w:rsidRPr="00EC3BD7">
              <w:rPr>
                <w:rFonts w:eastAsia="MS Mincho"/>
                <w:szCs w:val="22"/>
                <w:lang w:val="et-EE"/>
              </w:rPr>
              <w:t>kuud</w:t>
            </w:r>
          </w:p>
        </w:tc>
        <w:tc>
          <w:tcPr>
            <w:tcW w:w="3100" w:type="dxa"/>
            <w:shd w:val="clear" w:color="auto" w:fill="auto"/>
          </w:tcPr>
          <w:p w14:paraId="5B031024" w14:textId="77777777" w:rsidR="00E21A2F" w:rsidRPr="00EC3BD7" w:rsidRDefault="00E21A2F" w:rsidP="009A3C30">
            <w:pPr>
              <w:keepNext/>
              <w:tabs>
                <w:tab w:val="clear" w:pos="567"/>
                <w:tab w:val="left" w:pos="284"/>
              </w:tabs>
              <w:spacing w:line="240" w:lineRule="auto"/>
              <w:rPr>
                <w:rFonts w:eastAsia="MS Mincho"/>
                <w:szCs w:val="22"/>
                <w:lang w:val="et-EE"/>
              </w:rPr>
            </w:pPr>
            <w:r w:rsidRPr="00EC3BD7">
              <w:rPr>
                <w:rFonts w:eastAsia="MS Mincho"/>
                <w:szCs w:val="22"/>
                <w:lang w:val="et-EE"/>
              </w:rPr>
              <w:t>87,9 (81,1</w:t>
            </w:r>
            <w:r w:rsidR="003C71AD" w:rsidRPr="00EC3BD7">
              <w:rPr>
                <w:rFonts w:eastAsia="MS Mincho"/>
                <w:szCs w:val="22"/>
                <w:lang w:val="et-EE"/>
              </w:rPr>
              <w:t>…</w:t>
            </w:r>
            <w:r w:rsidRPr="00EC3BD7">
              <w:rPr>
                <w:rFonts w:eastAsia="MS Mincho"/>
                <w:szCs w:val="22"/>
                <w:lang w:val="et-EE"/>
              </w:rPr>
              <w:t>92,3)</w:t>
            </w:r>
          </w:p>
        </w:tc>
        <w:tc>
          <w:tcPr>
            <w:tcW w:w="3100" w:type="dxa"/>
            <w:shd w:val="clear" w:color="auto" w:fill="auto"/>
          </w:tcPr>
          <w:p w14:paraId="1F8F1D75" w14:textId="77777777" w:rsidR="00E21A2F" w:rsidRPr="00EC3BD7" w:rsidRDefault="00E21A2F" w:rsidP="009A3C30">
            <w:pPr>
              <w:keepNext/>
              <w:tabs>
                <w:tab w:val="clear" w:pos="567"/>
                <w:tab w:val="left" w:pos="284"/>
              </w:tabs>
              <w:spacing w:line="240" w:lineRule="auto"/>
              <w:rPr>
                <w:rFonts w:eastAsia="MS Mincho"/>
                <w:szCs w:val="22"/>
                <w:lang w:val="et-EE"/>
              </w:rPr>
            </w:pPr>
            <w:r w:rsidRPr="00EC3BD7">
              <w:rPr>
                <w:rFonts w:eastAsia="MS Mincho"/>
                <w:szCs w:val="22"/>
                <w:lang w:val="et-EE"/>
              </w:rPr>
              <w:t>95,6 (91,2</w:t>
            </w:r>
            <w:r w:rsidR="003C71AD" w:rsidRPr="00EC3BD7">
              <w:rPr>
                <w:rFonts w:eastAsia="MS Mincho"/>
                <w:szCs w:val="22"/>
                <w:lang w:val="et-EE"/>
              </w:rPr>
              <w:t>…</w:t>
            </w:r>
            <w:r w:rsidRPr="00EC3BD7">
              <w:rPr>
                <w:rFonts w:eastAsia="MS Mincho"/>
                <w:szCs w:val="22"/>
                <w:lang w:val="et-EE"/>
              </w:rPr>
              <w:t>97,8)</w:t>
            </w:r>
          </w:p>
        </w:tc>
      </w:tr>
      <w:tr w:rsidR="00E21A2F" w:rsidRPr="00EC3BD7" w14:paraId="4FFA0C69" w14:textId="77777777" w:rsidTr="009A3C30">
        <w:trPr>
          <w:cantSplit/>
        </w:trPr>
        <w:tc>
          <w:tcPr>
            <w:tcW w:w="3099" w:type="dxa"/>
            <w:shd w:val="clear" w:color="auto" w:fill="auto"/>
          </w:tcPr>
          <w:p w14:paraId="04DC012E" w14:textId="77777777" w:rsidR="00E21A2F" w:rsidRPr="00EC3BD7" w:rsidRDefault="00E21A2F" w:rsidP="009A3C30">
            <w:pPr>
              <w:tabs>
                <w:tab w:val="clear" w:pos="567"/>
              </w:tabs>
              <w:spacing w:line="240" w:lineRule="auto"/>
              <w:ind w:left="284"/>
              <w:rPr>
                <w:rFonts w:eastAsia="MS Mincho"/>
                <w:szCs w:val="22"/>
                <w:lang w:val="et-EE"/>
              </w:rPr>
            </w:pPr>
            <w:r w:rsidRPr="00EC3BD7">
              <w:rPr>
                <w:rFonts w:eastAsia="MS Mincho"/>
                <w:szCs w:val="22"/>
                <w:lang w:val="et-EE"/>
              </w:rPr>
              <w:t>60</w:t>
            </w:r>
            <w:r w:rsidRPr="00EC3BD7">
              <w:rPr>
                <w:rFonts w:eastAsia="MS Mincho"/>
                <w:szCs w:val="22"/>
                <w:lang w:val="et-EE" w:eastAsia="ja-JP"/>
              </w:rPr>
              <w:t> </w:t>
            </w:r>
            <w:r w:rsidRPr="00EC3BD7">
              <w:rPr>
                <w:rFonts w:eastAsia="MS Mincho"/>
                <w:szCs w:val="22"/>
                <w:lang w:val="et-EE"/>
              </w:rPr>
              <w:t>kuud</w:t>
            </w:r>
          </w:p>
        </w:tc>
        <w:tc>
          <w:tcPr>
            <w:tcW w:w="3100" w:type="dxa"/>
            <w:shd w:val="clear" w:color="auto" w:fill="auto"/>
          </w:tcPr>
          <w:p w14:paraId="0725E588" w14:textId="77777777" w:rsidR="00E21A2F" w:rsidRPr="00EC3BD7" w:rsidRDefault="00E21A2F" w:rsidP="009A3C30">
            <w:pPr>
              <w:tabs>
                <w:tab w:val="clear" w:pos="567"/>
                <w:tab w:val="left" w:pos="284"/>
              </w:tabs>
              <w:spacing w:line="240" w:lineRule="auto"/>
              <w:rPr>
                <w:rFonts w:eastAsia="MS Mincho"/>
                <w:szCs w:val="22"/>
                <w:lang w:val="et-EE"/>
              </w:rPr>
            </w:pPr>
            <w:r w:rsidRPr="00EC3BD7">
              <w:rPr>
                <w:rFonts w:eastAsia="MS Mincho"/>
                <w:szCs w:val="22"/>
                <w:lang w:val="et-EE"/>
              </w:rPr>
              <w:t>81,7 (73,0</w:t>
            </w:r>
            <w:r w:rsidR="003C71AD" w:rsidRPr="00EC3BD7">
              <w:rPr>
                <w:rFonts w:eastAsia="MS Mincho"/>
                <w:szCs w:val="22"/>
                <w:lang w:val="et-EE"/>
              </w:rPr>
              <w:t>…</w:t>
            </w:r>
            <w:r w:rsidRPr="00EC3BD7">
              <w:rPr>
                <w:rFonts w:eastAsia="MS Mincho"/>
                <w:szCs w:val="22"/>
                <w:lang w:val="et-EE"/>
              </w:rPr>
              <w:t>87,8)</w:t>
            </w:r>
          </w:p>
        </w:tc>
        <w:tc>
          <w:tcPr>
            <w:tcW w:w="3100" w:type="dxa"/>
            <w:shd w:val="clear" w:color="auto" w:fill="auto"/>
          </w:tcPr>
          <w:p w14:paraId="53E33F23" w14:textId="77777777" w:rsidR="00E21A2F" w:rsidRPr="00EC3BD7" w:rsidRDefault="00E21A2F" w:rsidP="009A3C30">
            <w:pPr>
              <w:tabs>
                <w:tab w:val="clear" w:pos="567"/>
                <w:tab w:val="left" w:pos="284"/>
              </w:tabs>
              <w:spacing w:line="240" w:lineRule="auto"/>
              <w:rPr>
                <w:rFonts w:eastAsia="MS Mincho"/>
                <w:szCs w:val="22"/>
                <w:lang w:val="et-EE"/>
              </w:rPr>
            </w:pPr>
            <w:r w:rsidRPr="00EC3BD7">
              <w:rPr>
                <w:rFonts w:eastAsia="MS Mincho"/>
                <w:szCs w:val="22"/>
                <w:lang w:val="et-EE"/>
              </w:rPr>
              <w:t>92,0 (85,3</w:t>
            </w:r>
            <w:r w:rsidR="003C71AD" w:rsidRPr="00EC3BD7">
              <w:rPr>
                <w:rFonts w:eastAsia="MS Mincho"/>
                <w:szCs w:val="22"/>
                <w:lang w:val="et-EE"/>
              </w:rPr>
              <w:t>…</w:t>
            </w:r>
            <w:r w:rsidRPr="00EC3BD7">
              <w:rPr>
                <w:rFonts w:eastAsia="MS Mincho"/>
                <w:szCs w:val="22"/>
                <w:lang w:val="et-EE"/>
              </w:rPr>
              <w:t>95,7)</w:t>
            </w:r>
          </w:p>
        </w:tc>
      </w:tr>
    </w:tbl>
    <w:p w14:paraId="46BB0B29" w14:textId="77777777" w:rsidR="00E21A2F" w:rsidRPr="00EC3BD7" w:rsidRDefault="00E21A2F" w:rsidP="00E21A2F">
      <w:pPr>
        <w:pStyle w:val="EndnoteText"/>
        <w:widowControl w:val="0"/>
        <w:tabs>
          <w:tab w:val="clear" w:pos="567"/>
        </w:tabs>
        <w:rPr>
          <w:color w:val="000000"/>
          <w:szCs w:val="22"/>
          <w:lang w:val="et-EE"/>
        </w:rPr>
      </w:pPr>
    </w:p>
    <w:p w14:paraId="10A7F6C5" w14:textId="77777777" w:rsidR="00E21A2F" w:rsidRPr="00EC3BD7" w:rsidRDefault="00E21A2F" w:rsidP="00E21A2F">
      <w:pPr>
        <w:pStyle w:val="EndnoteText"/>
        <w:keepNext/>
        <w:widowControl w:val="0"/>
        <w:tabs>
          <w:tab w:val="clear" w:pos="567"/>
        </w:tabs>
        <w:ind w:left="1134" w:hanging="1134"/>
        <w:rPr>
          <w:b/>
          <w:color w:val="000000"/>
          <w:szCs w:val="22"/>
          <w:lang w:val="et-EE"/>
        </w:rPr>
      </w:pPr>
      <w:r w:rsidRPr="00EC3BD7">
        <w:rPr>
          <w:b/>
          <w:color w:val="000000"/>
          <w:szCs w:val="22"/>
          <w:lang w:val="et-EE"/>
        </w:rPr>
        <w:t>Joonis 1</w:t>
      </w:r>
      <w:r w:rsidRPr="00EC3BD7">
        <w:rPr>
          <w:b/>
          <w:color w:val="000000"/>
          <w:szCs w:val="22"/>
          <w:lang w:val="et-EE"/>
        </w:rPr>
        <w:tab/>
        <w:t>Kaplan-Meieri hinnangud esmasele retsidiivivaba elulemuse tulemusnäitajale (ITT populatsioon)</w:t>
      </w:r>
    </w:p>
    <w:p w14:paraId="16B29300" w14:textId="77777777" w:rsidR="00E21A2F" w:rsidRPr="00EC3BD7" w:rsidRDefault="00E21A2F" w:rsidP="00E21A2F">
      <w:pPr>
        <w:pStyle w:val="EndnoteText"/>
        <w:keepNext/>
        <w:widowControl w:val="0"/>
        <w:tabs>
          <w:tab w:val="clear" w:pos="567"/>
        </w:tabs>
        <w:ind w:left="1134" w:hanging="1134"/>
        <w:rPr>
          <w:color w:val="000000"/>
          <w:szCs w:val="22"/>
          <w:lang w:val="et-EE"/>
        </w:rPr>
      </w:pPr>
    </w:p>
    <w:p w14:paraId="5BBE19A6" w14:textId="77777777" w:rsidR="00E21A2F" w:rsidRPr="00EC3BD7" w:rsidRDefault="00602C2E" w:rsidP="00E21A2F">
      <w:pPr>
        <w:pStyle w:val="EndnoteText"/>
        <w:widowControl w:val="0"/>
        <w:tabs>
          <w:tab w:val="clear" w:pos="567"/>
        </w:tabs>
        <w:rPr>
          <w:color w:val="000000"/>
          <w:szCs w:val="22"/>
          <w:lang w:val="et-EE"/>
        </w:rPr>
      </w:pPr>
      <w:r w:rsidRPr="00EC3BD7">
        <w:rPr>
          <w:noProof/>
          <w:lang w:val="en-US"/>
        </w:rPr>
        <mc:AlternateContent>
          <mc:Choice Requires="wps">
            <w:drawing>
              <wp:anchor distT="0" distB="0" distL="114300" distR="114300" simplePos="0" relativeHeight="251659264" behindDoc="0" locked="0" layoutInCell="1" allowOverlap="1" wp14:anchorId="5539F466" wp14:editId="2B61DCD9">
                <wp:simplePos x="0" y="0"/>
                <wp:positionH relativeFrom="column">
                  <wp:posOffset>350520</wp:posOffset>
                </wp:positionH>
                <wp:positionV relativeFrom="paragraph">
                  <wp:posOffset>1169035</wp:posOffset>
                </wp:positionV>
                <wp:extent cx="4585335" cy="12477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24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371"/>
                              <w:gridCol w:w="851"/>
                              <w:gridCol w:w="709"/>
                              <w:gridCol w:w="850"/>
                            </w:tblGrid>
                            <w:tr w:rsidR="003A489E" w:rsidRPr="0055776F" w14:paraId="47801542" w14:textId="77777777" w:rsidTr="008E246F">
                              <w:trPr>
                                <w:gridAfter w:val="4"/>
                                <w:wAfter w:w="2781" w:type="dxa"/>
                              </w:trPr>
                              <w:tc>
                                <w:tcPr>
                                  <w:tcW w:w="3281" w:type="dxa"/>
                                  <w:gridSpan w:val="2"/>
                                  <w:shd w:val="clear" w:color="auto" w:fill="auto"/>
                                </w:tcPr>
                                <w:p w14:paraId="5BAA3DF0" w14:textId="77777777" w:rsidR="003A489E" w:rsidRPr="0055776F" w:rsidRDefault="003A489E" w:rsidP="008E246F">
                                  <w:pPr>
                                    <w:rPr>
                                      <w:rFonts w:ascii="Arial" w:hAnsi="Arial" w:cs="Arial"/>
                                      <w:sz w:val="20"/>
                                    </w:rPr>
                                  </w:pPr>
                                  <w:r>
                                    <w:rPr>
                                      <w:rFonts w:ascii="Arial" w:hAnsi="Arial" w:cs="Arial"/>
                                      <w:sz w:val="20"/>
                                    </w:rPr>
                                    <w:t>P &lt; 0,0001</w:t>
                                  </w:r>
                                </w:p>
                                <w:p w14:paraId="2D171168" w14:textId="77777777" w:rsidR="003A489E" w:rsidRPr="0055776F" w:rsidRDefault="003A489E" w:rsidP="008E246F">
                                  <w:pPr>
                                    <w:rPr>
                                      <w:rFonts w:ascii="Arial" w:hAnsi="Arial" w:cs="Arial"/>
                                      <w:sz w:val="20"/>
                                    </w:rPr>
                                  </w:pPr>
                                  <w:r>
                                    <w:rPr>
                                      <w:rFonts w:ascii="Arial" w:hAnsi="Arial" w:cs="Arial"/>
                                      <w:sz w:val="20"/>
                                    </w:rPr>
                                    <w:t>Riski</w:t>
                                  </w:r>
                                  <w:r w:rsidRPr="00A33DBA">
                                    <w:rPr>
                                      <w:rFonts w:ascii="Arial" w:hAnsi="Arial" w:cs="Arial"/>
                                      <w:sz w:val="20"/>
                                    </w:rPr>
                                    <w:t xml:space="preserve"> </w:t>
                                  </w:r>
                                  <w:r>
                                    <w:rPr>
                                      <w:rFonts w:ascii="Arial" w:hAnsi="Arial" w:cs="Arial"/>
                                      <w:sz w:val="20"/>
                                    </w:rPr>
                                    <w:t>määr 0,</w:t>
                                  </w:r>
                                  <w:r w:rsidRPr="0055776F">
                                    <w:rPr>
                                      <w:rFonts w:ascii="Arial" w:hAnsi="Arial" w:cs="Arial"/>
                                      <w:sz w:val="20"/>
                                    </w:rPr>
                                    <w:t>4</w:t>
                                  </w:r>
                                  <w:r>
                                    <w:rPr>
                                      <w:rFonts w:ascii="Arial" w:hAnsi="Arial" w:cs="Arial"/>
                                      <w:sz w:val="20"/>
                                    </w:rPr>
                                    <w:t>6</w:t>
                                  </w:r>
                                </w:p>
                                <w:p w14:paraId="690387DD" w14:textId="77777777" w:rsidR="003A489E" w:rsidRPr="0055776F" w:rsidRDefault="003A489E" w:rsidP="003C71AD">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t>…0,65</w:t>
                                  </w:r>
                                  <w:r w:rsidRPr="0055776F">
                                    <w:rPr>
                                      <w:rFonts w:ascii="Arial" w:hAnsi="Arial" w:cs="Arial"/>
                                      <w:sz w:val="20"/>
                                    </w:rPr>
                                    <w:t>)</w:t>
                                  </w:r>
                                </w:p>
                              </w:tc>
                            </w:tr>
                            <w:tr w:rsidR="003A489E" w:rsidRPr="0055776F" w14:paraId="231DDB9F" w14:textId="77777777" w:rsidTr="00DC1808">
                              <w:tc>
                                <w:tcPr>
                                  <w:tcW w:w="817" w:type="dxa"/>
                                  <w:shd w:val="clear" w:color="auto" w:fill="auto"/>
                                </w:tcPr>
                                <w:p w14:paraId="17BC5501" w14:textId="77777777" w:rsidR="003A489E" w:rsidRPr="0055776F" w:rsidRDefault="003A489E" w:rsidP="00B00A71">
                                  <w:pPr>
                                    <w:rPr>
                                      <w:rFonts w:ascii="Arial" w:hAnsi="Arial" w:cs="Arial"/>
                                      <w:sz w:val="20"/>
                                    </w:rPr>
                                  </w:pPr>
                                </w:p>
                              </w:tc>
                              <w:tc>
                                <w:tcPr>
                                  <w:tcW w:w="2835" w:type="dxa"/>
                                  <w:gridSpan w:val="2"/>
                                  <w:shd w:val="clear" w:color="auto" w:fill="auto"/>
                                </w:tcPr>
                                <w:p w14:paraId="2F15BA8A" w14:textId="77777777" w:rsidR="003A489E" w:rsidRPr="0055776F" w:rsidRDefault="003A489E" w:rsidP="00B00A71">
                                  <w:pPr>
                                    <w:rPr>
                                      <w:rFonts w:ascii="Arial" w:hAnsi="Arial" w:cs="Arial"/>
                                      <w:sz w:val="20"/>
                                    </w:rPr>
                                  </w:pPr>
                                </w:p>
                              </w:tc>
                              <w:tc>
                                <w:tcPr>
                                  <w:tcW w:w="851" w:type="dxa"/>
                                  <w:tcBorders>
                                    <w:bottom w:val="single" w:sz="4" w:space="0" w:color="auto"/>
                                  </w:tcBorders>
                                  <w:shd w:val="clear" w:color="auto" w:fill="auto"/>
                                </w:tcPr>
                                <w:p w14:paraId="6FA21C4B" w14:textId="77777777" w:rsidR="003A489E" w:rsidRPr="00DC1808" w:rsidRDefault="003A489E" w:rsidP="00B00A71">
                                  <w:pPr>
                                    <w:rPr>
                                      <w:rFonts w:ascii="Arial" w:hAnsi="Arial" w:cs="Arial"/>
                                      <w:sz w:val="20"/>
                                    </w:rPr>
                                  </w:pPr>
                                  <w:r w:rsidRPr="00DC1808">
                                    <w:rPr>
                                      <w:rFonts w:ascii="Arial" w:hAnsi="Arial" w:cs="Arial"/>
                                      <w:sz w:val="20"/>
                                      <w:lang w:val="de-DE"/>
                                    </w:rPr>
                                    <w:t>N</w:t>
                                  </w:r>
                                </w:p>
                              </w:tc>
                              <w:tc>
                                <w:tcPr>
                                  <w:tcW w:w="709" w:type="dxa"/>
                                  <w:tcBorders>
                                    <w:bottom w:val="single" w:sz="4" w:space="0" w:color="auto"/>
                                  </w:tcBorders>
                                  <w:shd w:val="clear" w:color="auto" w:fill="auto"/>
                                </w:tcPr>
                                <w:p w14:paraId="3924531F" w14:textId="77777777" w:rsidR="003A489E" w:rsidRPr="00DC1808" w:rsidRDefault="003A489E" w:rsidP="00B00A71">
                                  <w:pPr>
                                    <w:rPr>
                                      <w:rFonts w:ascii="Arial" w:hAnsi="Arial" w:cs="Arial"/>
                                      <w:sz w:val="20"/>
                                    </w:rPr>
                                  </w:pPr>
                                  <w:r w:rsidRPr="00DC1808">
                                    <w:rPr>
                                      <w:rFonts w:ascii="Arial" w:hAnsi="Arial" w:cs="Arial"/>
                                      <w:sz w:val="20"/>
                                      <w:lang w:val="de-DE"/>
                                    </w:rPr>
                                    <w:t>Snd</w:t>
                                  </w:r>
                                </w:p>
                              </w:tc>
                              <w:tc>
                                <w:tcPr>
                                  <w:tcW w:w="850" w:type="dxa"/>
                                  <w:tcBorders>
                                    <w:bottom w:val="single" w:sz="4" w:space="0" w:color="auto"/>
                                  </w:tcBorders>
                                  <w:shd w:val="clear" w:color="auto" w:fill="auto"/>
                                </w:tcPr>
                                <w:p w14:paraId="41959910" w14:textId="77777777" w:rsidR="003A489E" w:rsidRPr="00DC1808" w:rsidRDefault="003A489E" w:rsidP="00B00A71">
                                  <w:pPr>
                                    <w:rPr>
                                      <w:rFonts w:ascii="Arial" w:hAnsi="Arial" w:cs="Arial"/>
                                      <w:sz w:val="20"/>
                                    </w:rPr>
                                  </w:pPr>
                                  <w:r w:rsidRPr="00DC1808">
                                    <w:rPr>
                                      <w:rFonts w:ascii="Arial" w:hAnsi="Arial" w:cs="Arial"/>
                                      <w:sz w:val="20"/>
                                      <w:lang w:val="de-DE"/>
                                    </w:rPr>
                                    <w:t>Tsen</w:t>
                                  </w:r>
                                </w:p>
                              </w:tc>
                            </w:tr>
                            <w:tr w:rsidR="003A489E" w:rsidRPr="0055776F" w14:paraId="1BD14AEC" w14:textId="77777777" w:rsidTr="00DC1808">
                              <w:tc>
                                <w:tcPr>
                                  <w:tcW w:w="817" w:type="dxa"/>
                                  <w:shd w:val="clear" w:color="auto" w:fill="auto"/>
                                </w:tcPr>
                                <w:p w14:paraId="4B7F3050" w14:textId="77777777" w:rsidR="003A489E" w:rsidRPr="0055776F" w:rsidRDefault="003A489E" w:rsidP="00B00A71">
                                  <w:pPr>
                                    <w:rPr>
                                      <w:rFonts w:ascii="Arial" w:hAnsi="Arial" w:cs="Arial"/>
                                      <w:sz w:val="20"/>
                                    </w:rPr>
                                  </w:pPr>
                                  <w:r w:rsidRPr="0055776F">
                                    <w:rPr>
                                      <w:rFonts w:ascii="Arial" w:hAnsi="Arial" w:cs="Arial"/>
                                      <w:b/>
                                      <w:sz w:val="20"/>
                                    </w:rPr>
                                    <w:t>——</w:t>
                                  </w:r>
                                </w:p>
                              </w:tc>
                              <w:tc>
                                <w:tcPr>
                                  <w:tcW w:w="2835" w:type="dxa"/>
                                  <w:gridSpan w:val="2"/>
                                  <w:shd w:val="clear" w:color="auto" w:fill="auto"/>
                                </w:tcPr>
                                <w:p w14:paraId="696D46D3" w14:textId="77777777" w:rsidR="003A489E" w:rsidRPr="0055776F" w:rsidRDefault="003A489E" w:rsidP="000D3411">
                                  <w:pPr>
                                    <w:rPr>
                                      <w:rFonts w:ascii="Arial" w:hAnsi="Arial" w:cs="Arial"/>
                                      <w:sz w:val="20"/>
                                    </w:rPr>
                                  </w:pPr>
                                  <w:r>
                                    <w:rPr>
                                      <w:rFonts w:ascii="Arial" w:hAnsi="Arial" w:cs="Arial"/>
                                      <w:sz w:val="20"/>
                                    </w:rPr>
                                    <w:t>(1) Imatiniib 12 kuud</w:t>
                                  </w:r>
                                  <w:r w:rsidRPr="0055776F">
                                    <w:rPr>
                                      <w:rFonts w:ascii="Arial" w:hAnsi="Arial" w:cs="Arial"/>
                                      <w:sz w:val="20"/>
                                    </w:rPr>
                                    <w:t>:</w:t>
                                  </w:r>
                                </w:p>
                              </w:tc>
                              <w:tc>
                                <w:tcPr>
                                  <w:tcW w:w="851" w:type="dxa"/>
                                  <w:tcBorders>
                                    <w:top w:val="single" w:sz="4" w:space="0" w:color="auto"/>
                                  </w:tcBorders>
                                  <w:shd w:val="clear" w:color="auto" w:fill="auto"/>
                                </w:tcPr>
                                <w:p w14:paraId="2042FDB9" w14:textId="77777777" w:rsidR="003A489E" w:rsidRPr="0055776F" w:rsidRDefault="003A489E" w:rsidP="00B00A71">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450C595B" w14:textId="77777777" w:rsidR="003A489E" w:rsidRPr="0055776F" w:rsidRDefault="003A489E" w:rsidP="00B00A71">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05CCC5EA" w14:textId="77777777" w:rsidR="003A489E" w:rsidRPr="0055776F" w:rsidRDefault="003A489E" w:rsidP="00B00A71">
                                  <w:pPr>
                                    <w:rPr>
                                      <w:rFonts w:ascii="Arial" w:hAnsi="Arial" w:cs="Arial"/>
                                      <w:sz w:val="20"/>
                                    </w:rPr>
                                  </w:pPr>
                                  <w:r w:rsidRPr="0055776F">
                                    <w:rPr>
                                      <w:rFonts w:ascii="Arial" w:hAnsi="Arial" w:cs="Arial"/>
                                      <w:sz w:val="20"/>
                                    </w:rPr>
                                    <w:t>115</w:t>
                                  </w:r>
                                </w:p>
                              </w:tc>
                            </w:tr>
                            <w:tr w:rsidR="003A489E" w:rsidRPr="0055776F" w14:paraId="67B74BA6" w14:textId="77777777" w:rsidTr="00DC1808">
                              <w:tc>
                                <w:tcPr>
                                  <w:tcW w:w="817" w:type="dxa"/>
                                  <w:shd w:val="clear" w:color="auto" w:fill="auto"/>
                                </w:tcPr>
                                <w:p w14:paraId="4733F9F4" w14:textId="77777777" w:rsidR="003A489E" w:rsidRPr="0055776F" w:rsidRDefault="003A489E" w:rsidP="00B00A71">
                                  <w:pPr>
                                    <w:rPr>
                                      <w:rFonts w:ascii="Arial" w:hAnsi="Arial" w:cs="Arial"/>
                                      <w:sz w:val="20"/>
                                    </w:rPr>
                                  </w:pPr>
                                  <w:r w:rsidRPr="0055776F">
                                    <w:rPr>
                                      <w:rFonts w:ascii="Arial" w:hAnsi="Arial" w:cs="Arial"/>
                                      <w:sz w:val="20"/>
                                    </w:rPr>
                                    <w:t>-----</w:t>
                                  </w:r>
                                </w:p>
                              </w:tc>
                              <w:tc>
                                <w:tcPr>
                                  <w:tcW w:w="2835" w:type="dxa"/>
                                  <w:gridSpan w:val="2"/>
                                  <w:shd w:val="clear" w:color="auto" w:fill="auto"/>
                                </w:tcPr>
                                <w:p w14:paraId="3008E4A7" w14:textId="77777777" w:rsidR="003A489E" w:rsidRPr="0055776F" w:rsidRDefault="003A489E" w:rsidP="000D3411">
                                  <w:pPr>
                                    <w:rPr>
                                      <w:rFonts w:ascii="Arial" w:hAnsi="Arial" w:cs="Arial"/>
                                      <w:sz w:val="20"/>
                                    </w:rPr>
                                  </w:pPr>
                                  <w:r w:rsidRPr="0055776F">
                                    <w:rPr>
                                      <w:rFonts w:ascii="Arial" w:hAnsi="Arial" w:cs="Arial"/>
                                      <w:sz w:val="20"/>
                                    </w:rPr>
                                    <w:t>(2) Imatini</w:t>
                                  </w:r>
                                  <w:r>
                                    <w:rPr>
                                      <w:rFonts w:ascii="Arial" w:hAnsi="Arial" w:cs="Arial"/>
                                      <w:sz w:val="20"/>
                                    </w:rPr>
                                    <w:t>i</w:t>
                                  </w:r>
                                  <w:r w:rsidRPr="0055776F">
                                    <w:rPr>
                                      <w:rFonts w:ascii="Arial" w:hAnsi="Arial" w:cs="Arial"/>
                                      <w:sz w:val="20"/>
                                    </w:rPr>
                                    <w:t xml:space="preserve">b </w:t>
                                  </w:r>
                                  <w:r>
                                    <w:rPr>
                                      <w:rFonts w:ascii="Arial" w:hAnsi="Arial" w:cs="Arial"/>
                                      <w:sz w:val="20"/>
                                    </w:rPr>
                                    <w:t>36 kuud</w:t>
                                  </w:r>
                                  <w:r w:rsidRPr="0055776F">
                                    <w:rPr>
                                      <w:rFonts w:ascii="Arial" w:hAnsi="Arial" w:cs="Arial"/>
                                      <w:sz w:val="20"/>
                                    </w:rPr>
                                    <w:t>:</w:t>
                                  </w:r>
                                </w:p>
                              </w:tc>
                              <w:tc>
                                <w:tcPr>
                                  <w:tcW w:w="851" w:type="dxa"/>
                                  <w:tcBorders>
                                    <w:bottom w:val="single" w:sz="4" w:space="0" w:color="auto"/>
                                  </w:tcBorders>
                                  <w:shd w:val="clear" w:color="auto" w:fill="auto"/>
                                </w:tcPr>
                                <w:p w14:paraId="60389A6E" w14:textId="77777777" w:rsidR="003A489E" w:rsidRPr="0055776F" w:rsidRDefault="003A489E" w:rsidP="00B00A71">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76895DE7" w14:textId="77777777" w:rsidR="003A489E" w:rsidRPr="0055776F" w:rsidRDefault="003A489E" w:rsidP="00B00A71">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0EE44EFF" w14:textId="77777777" w:rsidR="003A489E" w:rsidRPr="0055776F" w:rsidRDefault="003A489E" w:rsidP="00B00A71">
                                  <w:pPr>
                                    <w:rPr>
                                      <w:rFonts w:ascii="Arial" w:hAnsi="Arial" w:cs="Arial"/>
                                      <w:sz w:val="20"/>
                                    </w:rPr>
                                  </w:pPr>
                                  <w:r w:rsidRPr="0055776F">
                                    <w:rPr>
                                      <w:rFonts w:ascii="Arial" w:hAnsi="Arial" w:cs="Arial"/>
                                      <w:sz w:val="20"/>
                                    </w:rPr>
                                    <w:t>148</w:t>
                                  </w:r>
                                </w:p>
                              </w:tc>
                            </w:tr>
                            <w:tr w:rsidR="003A489E" w:rsidRPr="0055776F" w14:paraId="29A8C312" w14:textId="77777777" w:rsidTr="00DC1808">
                              <w:tc>
                                <w:tcPr>
                                  <w:tcW w:w="817" w:type="dxa"/>
                                  <w:shd w:val="clear" w:color="auto" w:fill="auto"/>
                                </w:tcPr>
                                <w:p w14:paraId="7DDE164A" w14:textId="77777777" w:rsidR="003A489E" w:rsidRPr="0055776F" w:rsidRDefault="003A489E" w:rsidP="00B00A71">
                                  <w:pPr>
                                    <w:rPr>
                                      <w:rFonts w:ascii="Arial" w:hAnsi="Arial" w:cs="Arial"/>
                                      <w:sz w:val="20"/>
                                    </w:rPr>
                                  </w:pPr>
                                  <w:r w:rsidRPr="0055776F">
                                    <w:rPr>
                                      <w:rFonts w:ascii="Arial" w:hAnsi="Arial" w:cs="Arial"/>
                                      <w:sz w:val="20"/>
                                    </w:rPr>
                                    <w:t>│││</w:t>
                                  </w:r>
                                </w:p>
                              </w:tc>
                              <w:tc>
                                <w:tcPr>
                                  <w:tcW w:w="2835" w:type="dxa"/>
                                  <w:gridSpan w:val="2"/>
                                  <w:shd w:val="clear" w:color="auto" w:fill="auto"/>
                                </w:tcPr>
                                <w:p w14:paraId="4C09FFCE" w14:textId="77777777" w:rsidR="003A489E" w:rsidRPr="0055776F" w:rsidRDefault="003A489E" w:rsidP="00B00A71">
                                  <w:pPr>
                                    <w:rPr>
                                      <w:rFonts w:ascii="Arial" w:hAnsi="Arial" w:cs="Arial"/>
                                      <w:sz w:val="20"/>
                                    </w:rPr>
                                  </w:pPr>
                                  <w:r w:rsidRPr="00BA5620">
                                    <w:rPr>
                                      <w:rFonts w:ascii="Arial" w:hAnsi="Arial" w:cs="Arial"/>
                                      <w:sz w:val="20"/>
                                      <w:lang w:val="de-CH"/>
                                    </w:rPr>
                                    <w:t>Tsenseeritud vaatlusandmed</w:t>
                                  </w:r>
                                </w:p>
                              </w:tc>
                              <w:tc>
                                <w:tcPr>
                                  <w:tcW w:w="851" w:type="dxa"/>
                                  <w:tcBorders>
                                    <w:top w:val="single" w:sz="4" w:space="0" w:color="auto"/>
                                  </w:tcBorders>
                                  <w:shd w:val="clear" w:color="auto" w:fill="auto"/>
                                </w:tcPr>
                                <w:p w14:paraId="36A76378" w14:textId="77777777" w:rsidR="003A489E" w:rsidRPr="0055776F" w:rsidRDefault="003A489E" w:rsidP="00B00A71">
                                  <w:pPr>
                                    <w:rPr>
                                      <w:rFonts w:ascii="Arial" w:hAnsi="Arial" w:cs="Arial"/>
                                      <w:sz w:val="20"/>
                                    </w:rPr>
                                  </w:pPr>
                                </w:p>
                              </w:tc>
                              <w:tc>
                                <w:tcPr>
                                  <w:tcW w:w="709" w:type="dxa"/>
                                  <w:tcBorders>
                                    <w:top w:val="single" w:sz="4" w:space="0" w:color="auto"/>
                                  </w:tcBorders>
                                  <w:shd w:val="clear" w:color="auto" w:fill="auto"/>
                                </w:tcPr>
                                <w:p w14:paraId="4E9FC012" w14:textId="77777777" w:rsidR="003A489E" w:rsidRPr="0055776F" w:rsidRDefault="003A489E" w:rsidP="00B00A71">
                                  <w:pPr>
                                    <w:rPr>
                                      <w:rFonts w:ascii="Arial" w:hAnsi="Arial" w:cs="Arial"/>
                                      <w:sz w:val="20"/>
                                    </w:rPr>
                                  </w:pPr>
                                </w:p>
                              </w:tc>
                              <w:tc>
                                <w:tcPr>
                                  <w:tcW w:w="850" w:type="dxa"/>
                                  <w:tcBorders>
                                    <w:top w:val="single" w:sz="4" w:space="0" w:color="auto"/>
                                  </w:tcBorders>
                                  <w:shd w:val="clear" w:color="auto" w:fill="auto"/>
                                </w:tcPr>
                                <w:p w14:paraId="61984555" w14:textId="77777777" w:rsidR="003A489E" w:rsidRPr="0055776F" w:rsidRDefault="003A489E" w:rsidP="00B00A71">
                                  <w:pPr>
                                    <w:rPr>
                                      <w:rFonts w:ascii="Arial" w:hAnsi="Arial" w:cs="Arial"/>
                                      <w:sz w:val="20"/>
                                    </w:rPr>
                                  </w:pPr>
                                </w:p>
                              </w:tc>
                            </w:tr>
                          </w:tbl>
                          <w:p w14:paraId="4A504050" w14:textId="77777777" w:rsidR="003A489E" w:rsidRPr="00A33DBA" w:rsidRDefault="003A489E" w:rsidP="00E21A2F">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39F466" id="_x0000_s1032" type="#_x0000_t202" style="position:absolute;margin-left:27.6pt;margin-top:92.05pt;width:361.05pt;height:9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" filled="f" stroked="f">
                <v:textbox>
                  <w:txbxContent>
                    <w:tbl>
                      <w:tblPr>
                        <w:tblW w:w="0" w:type="auto"/>
                        <w:tblLook w:val="04A0" w:firstRow="1" w:lastRow="0" w:firstColumn="1" w:lastColumn="0" w:noHBand="0" w:noVBand="1"/>
                      </w:tblPr>
                      <w:tblGrid>
                        <w:gridCol w:w="817"/>
                        <w:gridCol w:w="2464"/>
                        <w:gridCol w:w="371"/>
                        <w:gridCol w:w="851"/>
                        <w:gridCol w:w="709"/>
                        <w:gridCol w:w="850"/>
                      </w:tblGrid>
                      <w:tr w:rsidR="003A489E" w:rsidRPr="0055776F" w14:paraId="47801542" w14:textId="77777777" w:rsidTr="008E246F">
                        <w:trPr>
                          <w:gridAfter w:val="4"/>
                          <w:wAfter w:w="2781" w:type="dxa"/>
                        </w:trPr>
                        <w:tc>
                          <w:tcPr>
                            <w:tcW w:w="3281" w:type="dxa"/>
                            <w:gridSpan w:val="2"/>
                            <w:shd w:val="clear" w:color="auto" w:fill="auto"/>
                          </w:tcPr>
                          <w:p w14:paraId="5BAA3DF0" w14:textId="77777777" w:rsidR="003A489E" w:rsidRPr="0055776F" w:rsidRDefault="003A489E" w:rsidP="008E246F">
                            <w:pPr>
                              <w:rPr>
                                <w:rFonts w:ascii="Arial" w:hAnsi="Arial" w:cs="Arial"/>
                                <w:sz w:val="20"/>
                              </w:rPr>
                            </w:pPr>
                            <w:r>
                              <w:rPr>
                                <w:rFonts w:ascii="Arial" w:hAnsi="Arial" w:cs="Arial"/>
                                <w:sz w:val="20"/>
                              </w:rPr>
                              <w:t>P &lt; 0,0001</w:t>
                            </w:r>
                          </w:p>
                          <w:p w14:paraId="2D171168" w14:textId="77777777" w:rsidR="003A489E" w:rsidRPr="0055776F" w:rsidRDefault="003A489E" w:rsidP="008E246F">
                            <w:pPr>
                              <w:rPr>
                                <w:rFonts w:ascii="Arial" w:hAnsi="Arial" w:cs="Arial"/>
                                <w:sz w:val="20"/>
                              </w:rPr>
                            </w:pPr>
                            <w:r>
                              <w:rPr>
                                <w:rFonts w:ascii="Arial" w:hAnsi="Arial" w:cs="Arial"/>
                                <w:sz w:val="20"/>
                              </w:rPr>
                              <w:t>Riski</w:t>
                            </w:r>
                            <w:r w:rsidRPr="00A33DBA">
                              <w:rPr>
                                <w:rFonts w:ascii="Arial" w:hAnsi="Arial" w:cs="Arial"/>
                                <w:sz w:val="20"/>
                              </w:rPr>
                              <w:t xml:space="preserve"> </w:t>
                            </w:r>
                            <w:r>
                              <w:rPr>
                                <w:rFonts w:ascii="Arial" w:hAnsi="Arial" w:cs="Arial"/>
                                <w:sz w:val="20"/>
                              </w:rPr>
                              <w:t>määr 0,</w:t>
                            </w:r>
                            <w:r w:rsidRPr="0055776F">
                              <w:rPr>
                                <w:rFonts w:ascii="Arial" w:hAnsi="Arial" w:cs="Arial"/>
                                <w:sz w:val="20"/>
                              </w:rPr>
                              <w:t>4</w:t>
                            </w:r>
                            <w:r>
                              <w:rPr>
                                <w:rFonts w:ascii="Arial" w:hAnsi="Arial" w:cs="Arial"/>
                                <w:sz w:val="20"/>
                              </w:rPr>
                              <w:t>6</w:t>
                            </w:r>
                          </w:p>
                          <w:p w14:paraId="690387DD" w14:textId="77777777" w:rsidR="003A489E" w:rsidRPr="0055776F" w:rsidRDefault="003A489E" w:rsidP="003C71AD">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t>…0,65</w:t>
                            </w:r>
                            <w:r w:rsidRPr="0055776F">
                              <w:rPr>
                                <w:rFonts w:ascii="Arial" w:hAnsi="Arial" w:cs="Arial"/>
                                <w:sz w:val="20"/>
                              </w:rPr>
                              <w:t>)</w:t>
                            </w:r>
                          </w:p>
                        </w:tc>
                      </w:tr>
                      <w:tr w:rsidR="003A489E" w:rsidRPr="0055776F" w14:paraId="231DDB9F" w14:textId="77777777" w:rsidTr="00DC1808">
                        <w:tc>
                          <w:tcPr>
                            <w:tcW w:w="817" w:type="dxa"/>
                            <w:shd w:val="clear" w:color="auto" w:fill="auto"/>
                          </w:tcPr>
                          <w:p w14:paraId="17BC5501" w14:textId="77777777" w:rsidR="003A489E" w:rsidRPr="0055776F" w:rsidRDefault="003A489E" w:rsidP="00B00A71">
                            <w:pPr>
                              <w:rPr>
                                <w:rFonts w:ascii="Arial" w:hAnsi="Arial" w:cs="Arial"/>
                                <w:sz w:val="20"/>
                              </w:rPr>
                            </w:pPr>
                          </w:p>
                        </w:tc>
                        <w:tc>
                          <w:tcPr>
                            <w:tcW w:w="2835" w:type="dxa"/>
                            <w:gridSpan w:val="2"/>
                            <w:shd w:val="clear" w:color="auto" w:fill="auto"/>
                          </w:tcPr>
                          <w:p w14:paraId="2F15BA8A" w14:textId="77777777" w:rsidR="003A489E" w:rsidRPr="0055776F" w:rsidRDefault="003A489E" w:rsidP="00B00A71">
                            <w:pPr>
                              <w:rPr>
                                <w:rFonts w:ascii="Arial" w:hAnsi="Arial" w:cs="Arial"/>
                                <w:sz w:val="20"/>
                              </w:rPr>
                            </w:pPr>
                          </w:p>
                        </w:tc>
                        <w:tc>
                          <w:tcPr>
                            <w:tcW w:w="851" w:type="dxa"/>
                            <w:tcBorders>
                              <w:bottom w:val="single" w:sz="4" w:space="0" w:color="auto"/>
                            </w:tcBorders>
                            <w:shd w:val="clear" w:color="auto" w:fill="auto"/>
                          </w:tcPr>
                          <w:p w14:paraId="6FA21C4B" w14:textId="77777777" w:rsidR="003A489E" w:rsidRPr="00DC1808" w:rsidRDefault="003A489E" w:rsidP="00B00A71">
                            <w:pPr>
                              <w:rPr>
                                <w:rFonts w:ascii="Arial" w:hAnsi="Arial" w:cs="Arial"/>
                                <w:sz w:val="20"/>
                              </w:rPr>
                            </w:pPr>
                            <w:r w:rsidRPr="00DC1808">
                              <w:rPr>
                                <w:rFonts w:ascii="Arial" w:hAnsi="Arial" w:cs="Arial"/>
                                <w:sz w:val="20"/>
                                <w:lang w:val="de-DE"/>
                              </w:rPr>
                              <w:t>N</w:t>
                            </w:r>
                          </w:p>
                        </w:tc>
                        <w:tc>
                          <w:tcPr>
                            <w:tcW w:w="709" w:type="dxa"/>
                            <w:tcBorders>
                              <w:bottom w:val="single" w:sz="4" w:space="0" w:color="auto"/>
                            </w:tcBorders>
                            <w:shd w:val="clear" w:color="auto" w:fill="auto"/>
                          </w:tcPr>
                          <w:p w14:paraId="3924531F" w14:textId="77777777" w:rsidR="003A489E" w:rsidRPr="00DC1808" w:rsidRDefault="003A489E" w:rsidP="00B00A71">
                            <w:pPr>
                              <w:rPr>
                                <w:rFonts w:ascii="Arial" w:hAnsi="Arial" w:cs="Arial"/>
                                <w:sz w:val="20"/>
                              </w:rPr>
                            </w:pPr>
                            <w:r w:rsidRPr="00DC1808">
                              <w:rPr>
                                <w:rFonts w:ascii="Arial" w:hAnsi="Arial" w:cs="Arial"/>
                                <w:sz w:val="20"/>
                                <w:lang w:val="de-DE"/>
                              </w:rPr>
                              <w:t>Snd</w:t>
                            </w:r>
                          </w:p>
                        </w:tc>
                        <w:tc>
                          <w:tcPr>
                            <w:tcW w:w="850" w:type="dxa"/>
                            <w:tcBorders>
                              <w:bottom w:val="single" w:sz="4" w:space="0" w:color="auto"/>
                            </w:tcBorders>
                            <w:shd w:val="clear" w:color="auto" w:fill="auto"/>
                          </w:tcPr>
                          <w:p w14:paraId="41959910" w14:textId="77777777" w:rsidR="003A489E" w:rsidRPr="00DC1808" w:rsidRDefault="003A489E" w:rsidP="00B00A71">
                            <w:pPr>
                              <w:rPr>
                                <w:rFonts w:ascii="Arial" w:hAnsi="Arial" w:cs="Arial"/>
                                <w:sz w:val="20"/>
                              </w:rPr>
                            </w:pPr>
                            <w:r w:rsidRPr="00DC1808">
                              <w:rPr>
                                <w:rFonts w:ascii="Arial" w:hAnsi="Arial" w:cs="Arial"/>
                                <w:sz w:val="20"/>
                                <w:lang w:val="de-DE"/>
                              </w:rPr>
                              <w:t>Tsen</w:t>
                            </w:r>
                          </w:p>
                        </w:tc>
                      </w:tr>
                      <w:tr w:rsidR="003A489E" w:rsidRPr="0055776F" w14:paraId="1BD14AEC" w14:textId="77777777" w:rsidTr="00DC1808">
                        <w:tc>
                          <w:tcPr>
                            <w:tcW w:w="817" w:type="dxa"/>
                            <w:shd w:val="clear" w:color="auto" w:fill="auto"/>
                          </w:tcPr>
                          <w:p w14:paraId="4B7F3050" w14:textId="77777777" w:rsidR="003A489E" w:rsidRPr="0055776F" w:rsidRDefault="003A489E" w:rsidP="00B00A71">
                            <w:pPr>
                              <w:rPr>
                                <w:rFonts w:ascii="Arial" w:hAnsi="Arial" w:cs="Arial"/>
                                <w:sz w:val="20"/>
                              </w:rPr>
                            </w:pPr>
                            <w:r w:rsidRPr="0055776F">
                              <w:rPr>
                                <w:rFonts w:ascii="Arial" w:hAnsi="Arial" w:cs="Arial"/>
                                <w:b/>
                                <w:sz w:val="20"/>
                              </w:rPr>
                              <w:t>——</w:t>
                            </w:r>
                          </w:p>
                        </w:tc>
                        <w:tc>
                          <w:tcPr>
                            <w:tcW w:w="2835" w:type="dxa"/>
                            <w:gridSpan w:val="2"/>
                            <w:shd w:val="clear" w:color="auto" w:fill="auto"/>
                          </w:tcPr>
                          <w:p w14:paraId="696D46D3" w14:textId="77777777" w:rsidR="003A489E" w:rsidRPr="0055776F" w:rsidRDefault="003A489E" w:rsidP="000D3411">
                            <w:pPr>
                              <w:rPr>
                                <w:rFonts w:ascii="Arial" w:hAnsi="Arial" w:cs="Arial"/>
                                <w:sz w:val="20"/>
                              </w:rPr>
                            </w:pPr>
                            <w:r>
                              <w:rPr>
                                <w:rFonts w:ascii="Arial" w:hAnsi="Arial" w:cs="Arial"/>
                                <w:sz w:val="20"/>
                              </w:rPr>
                              <w:t>(1) Imatiniib 12 kuud</w:t>
                            </w:r>
                            <w:r w:rsidRPr="0055776F">
                              <w:rPr>
                                <w:rFonts w:ascii="Arial" w:hAnsi="Arial" w:cs="Arial"/>
                                <w:sz w:val="20"/>
                              </w:rPr>
                              <w:t>:</w:t>
                            </w:r>
                          </w:p>
                        </w:tc>
                        <w:tc>
                          <w:tcPr>
                            <w:tcW w:w="851" w:type="dxa"/>
                            <w:tcBorders>
                              <w:top w:val="single" w:sz="4" w:space="0" w:color="auto"/>
                            </w:tcBorders>
                            <w:shd w:val="clear" w:color="auto" w:fill="auto"/>
                          </w:tcPr>
                          <w:p w14:paraId="2042FDB9" w14:textId="77777777" w:rsidR="003A489E" w:rsidRPr="0055776F" w:rsidRDefault="003A489E" w:rsidP="00B00A71">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450C595B" w14:textId="77777777" w:rsidR="003A489E" w:rsidRPr="0055776F" w:rsidRDefault="003A489E" w:rsidP="00B00A71">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05CCC5EA" w14:textId="77777777" w:rsidR="003A489E" w:rsidRPr="0055776F" w:rsidRDefault="003A489E" w:rsidP="00B00A71">
                            <w:pPr>
                              <w:rPr>
                                <w:rFonts w:ascii="Arial" w:hAnsi="Arial" w:cs="Arial"/>
                                <w:sz w:val="20"/>
                              </w:rPr>
                            </w:pPr>
                            <w:r w:rsidRPr="0055776F">
                              <w:rPr>
                                <w:rFonts w:ascii="Arial" w:hAnsi="Arial" w:cs="Arial"/>
                                <w:sz w:val="20"/>
                              </w:rPr>
                              <w:t>115</w:t>
                            </w:r>
                          </w:p>
                        </w:tc>
                      </w:tr>
                      <w:tr w:rsidR="003A489E" w:rsidRPr="0055776F" w14:paraId="67B74BA6" w14:textId="77777777" w:rsidTr="00DC1808">
                        <w:tc>
                          <w:tcPr>
                            <w:tcW w:w="817" w:type="dxa"/>
                            <w:shd w:val="clear" w:color="auto" w:fill="auto"/>
                          </w:tcPr>
                          <w:p w14:paraId="4733F9F4" w14:textId="77777777" w:rsidR="003A489E" w:rsidRPr="0055776F" w:rsidRDefault="003A489E" w:rsidP="00B00A71">
                            <w:pPr>
                              <w:rPr>
                                <w:rFonts w:ascii="Arial" w:hAnsi="Arial" w:cs="Arial"/>
                                <w:sz w:val="20"/>
                              </w:rPr>
                            </w:pPr>
                            <w:r w:rsidRPr="0055776F">
                              <w:rPr>
                                <w:rFonts w:ascii="Arial" w:hAnsi="Arial" w:cs="Arial"/>
                                <w:sz w:val="20"/>
                              </w:rPr>
                              <w:t>-----</w:t>
                            </w:r>
                          </w:p>
                        </w:tc>
                        <w:tc>
                          <w:tcPr>
                            <w:tcW w:w="2835" w:type="dxa"/>
                            <w:gridSpan w:val="2"/>
                            <w:shd w:val="clear" w:color="auto" w:fill="auto"/>
                          </w:tcPr>
                          <w:p w14:paraId="3008E4A7" w14:textId="77777777" w:rsidR="003A489E" w:rsidRPr="0055776F" w:rsidRDefault="003A489E" w:rsidP="000D3411">
                            <w:pPr>
                              <w:rPr>
                                <w:rFonts w:ascii="Arial" w:hAnsi="Arial" w:cs="Arial"/>
                                <w:sz w:val="20"/>
                              </w:rPr>
                            </w:pPr>
                            <w:r w:rsidRPr="0055776F">
                              <w:rPr>
                                <w:rFonts w:ascii="Arial" w:hAnsi="Arial" w:cs="Arial"/>
                                <w:sz w:val="20"/>
                              </w:rPr>
                              <w:t>(2) Imatini</w:t>
                            </w:r>
                            <w:r>
                              <w:rPr>
                                <w:rFonts w:ascii="Arial" w:hAnsi="Arial" w:cs="Arial"/>
                                <w:sz w:val="20"/>
                              </w:rPr>
                              <w:t>i</w:t>
                            </w:r>
                            <w:r w:rsidRPr="0055776F">
                              <w:rPr>
                                <w:rFonts w:ascii="Arial" w:hAnsi="Arial" w:cs="Arial"/>
                                <w:sz w:val="20"/>
                              </w:rPr>
                              <w:t xml:space="preserve">b </w:t>
                            </w:r>
                            <w:r>
                              <w:rPr>
                                <w:rFonts w:ascii="Arial" w:hAnsi="Arial" w:cs="Arial"/>
                                <w:sz w:val="20"/>
                              </w:rPr>
                              <w:t>36 kuud</w:t>
                            </w:r>
                            <w:r w:rsidRPr="0055776F">
                              <w:rPr>
                                <w:rFonts w:ascii="Arial" w:hAnsi="Arial" w:cs="Arial"/>
                                <w:sz w:val="20"/>
                              </w:rPr>
                              <w:t>:</w:t>
                            </w:r>
                          </w:p>
                        </w:tc>
                        <w:tc>
                          <w:tcPr>
                            <w:tcW w:w="851" w:type="dxa"/>
                            <w:tcBorders>
                              <w:bottom w:val="single" w:sz="4" w:space="0" w:color="auto"/>
                            </w:tcBorders>
                            <w:shd w:val="clear" w:color="auto" w:fill="auto"/>
                          </w:tcPr>
                          <w:p w14:paraId="60389A6E" w14:textId="77777777" w:rsidR="003A489E" w:rsidRPr="0055776F" w:rsidRDefault="003A489E" w:rsidP="00B00A71">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76895DE7" w14:textId="77777777" w:rsidR="003A489E" w:rsidRPr="0055776F" w:rsidRDefault="003A489E" w:rsidP="00B00A71">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0EE44EFF" w14:textId="77777777" w:rsidR="003A489E" w:rsidRPr="0055776F" w:rsidRDefault="003A489E" w:rsidP="00B00A71">
                            <w:pPr>
                              <w:rPr>
                                <w:rFonts w:ascii="Arial" w:hAnsi="Arial" w:cs="Arial"/>
                                <w:sz w:val="20"/>
                              </w:rPr>
                            </w:pPr>
                            <w:r w:rsidRPr="0055776F">
                              <w:rPr>
                                <w:rFonts w:ascii="Arial" w:hAnsi="Arial" w:cs="Arial"/>
                                <w:sz w:val="20"/>
                              </w:rPr>
                              <w:t>148</w:t>
                            </w:r>
                          </w:p>
                        </w:tc>
                      </w:tr>
                      <w:tr w:rsidR="003A489E" w:rsidRPr="0055776F" w14:paraId="29A8C312" w14:textId="77777777" w:rsidTr="00DC1808">
                        <w:tc>
                          <w:tcPr>
                            <w:tcW w:w="817" w:type="dxa"/>
                            <w:shd w:val="clear" w:color="auto" w:fill="auto"/>
                          </w:tcPr>
                          <w:p w14:paraId="7DDE164A" w14:textId="77777777" w:rsidR="003A489E" w:rsidRPr="0055776F" w:rsidRDefault="003A489E" w:rsidP="00B00A71">
                            <w:pPr>
                              <w:rPr>
                                <w:rFonts w:ascii="Arial" w:hAnsi="Arial" w:cs="Arial"/>
                                <w:sz w:val="20"/>
                              </w:rPr>
                            </w:pPr>
                            <w:r w:rsidRPr="0055776F">
                              <w:rPr>
                                <w:rFonts w:ascii="Arial" w:hAnsi="Arial" w:cs="Arial"/>
                                <w:sz w:val="20"/>
                              </w:rPr>
                              <w:t>│││</w:t>
                            </w:r>
                          </w:p>
                        </w:tc>
                        <w:tc>
                          <w:tcPr>
                            <w:tcW w:w="2835" w:type="dxa"/>
                            <w:gridSpan w:val="2"/>
                            <w:shd w:val="clear" w:color="auto" w:fill="auto"/>
                          </w:tcPr>
                          <w:p w14:paraId="4C09FFCE" w14:textId="77777777" w:rsidR="003A489E" w:rsidRPr="0055776F" w:rsidRDefault="003A489E" w:rsidP="00B00A71">
                            <w:pPr>
                              <w:rPr>
                                <w:rFonts w:ascii="Arial" w:hAnsi="Arial" w:cs="Arial"/>
                                <w:sz w:val="20"/>
                              </w:rPr>
                            </w:pPr>
                            <w:r w:rsidRPr="00BA5620">
                              <w:rPr>
                                <w:rFonts w:ascii="Arial" w:hAnsi="Arial" w:cs="Arial"/>
                                <w:sz w:val="20"/>
                                <w:lang w:val="de-CH"/>
                              </w:rPr>
                              <w:t>Tsenseeritud vaatlusandmed</w:t>
                            </w:r>
                          </w:p>
                        </w:tc>
                        <w:tc>
                          <w:tcPr>
                            <w:tcW w:w="851" w:type="dxa"/>
                            <w:tcBorders>
                              <w:top w:val="single" w:sz="4" w:space="0" w:color="auto"/>
                            </w:tcBorders>
                            <w:shd w:val="clear" w:color="auto" w:fill="auto"/>
                          </w:tcPr>
                          <w:p w14:paraId="36A76378" w14:textId="77777777" w:rsidR="003A489E" w:rsidRPr="0055776F" w:rsidRDefault="003A489E" w:rsidP="00B00A71">
                            <w:pPr>
                              <w:rPr>
                                <w:rFonts w:ascii="Arial" w:hAnsi="Arial" w:cs="Arial"/>
                                <w:sz w:val="20"/>
                              </w:rPr>
                            </w:pPr>
                          </w:p>
                        </w:tc>
                        <w:tc>
                          <w:tcPr>
                            <w:tcW w:w="709" w:type="dxa"/>
                            <w:tcBorders>
                              <w:top w:val="single" w:sz="4" w:space="0" w:color="auto"/>
                            </w:tcBorders>
                            <w:shd w:val="clear" w:color="auto" w:fill="auto"/>
                          </w:tcPr>
                          <w:p w14:paraId="4E9FC012" w14:textId="77777777" w:rsidR="003A489E" w:rsidRPr="0055776F" w:rsidRDefault="003A489E" w:rsidP="00B00A71">
                            <w:pPr>
                              <w:rPr>
                                <w:rFonts w:ascii="Arial" w:hAnsi="Arial" w:cs="Arial"/>
                                <w:sz w:val="20"/>
                              </w:rPr>
                            </w:pPr>
                          </w:p>
                        </w:tc>
                        <w:tc>
                          <w:tcPr>
                            <w:tcW w:w="850" w:type="dxa"/>
                            <w:tcBorders>
                              <w:top w:val="single" w:sz="4" w:space="0" w:color="auto"/>
                            </w:tcBorders>
                            <w:shd w:val="clear" w:color="auto" w:fill="auto"/>
                          </w:tcPr>
                          <w:p w14:paraId="61984555" w14:textId="77777777" w:rsidR="003A489E" w:rsidRPr="0055776F" w:rsidRDefault="003A489E" w:rsidP="00B00A71">
                            <w:pPr>
                              <w:rPr>
                                <w:rFonts w:ascii="Arial" w:hAnsi="Arial" w:cs="Arial"/>
                                <w:sz w:val="20"/>
                              </w:rPr>
                            </w:pPr>
                          </w:p>
                        </w:tc>
                      </w:tr>
                    </w:tbl>
                    <w:p w14:paraId="4A504050" w14:textId="77777777" w:rsidR="003A489E" w:rsidRPr="00A33DBA" w:rsidRDefault="003A489E" w:rsidP="00E21A2F">
                      <w:pPr>
                        <w:rPr>
                          <w:rFonts w:ascii="Arial" w:hAnsi="Arial" w:cs="Arial"/>
                          <w:sz w:val="20"/>
                        </w:rPr>
                      </w:pPr>
                    </w:p>
                  </w:txbxContent>
                </v:textbox>
              </v:shape>
            </w:pict>
          </mc:Fallback>
        </mc:AlternateContent>
      </w:r>
      <w:r w:rsidRPr="00EC3BD7">
        <w:rPr>
          <w:noProof/>
          <w:lang w:val="en-US"/>
        </w:rPr>
        <mc:AlternateContent>
          <mc:Choice Requires="wps">
            <w:drawing>
              <wp:anchor distT="0" distB="0" distL="114300" distR="114300" simplePos="0" relativeHeight="251658240" behindDoc="0" locked="0" layoutInCell="1" allowOverlap="1" wp14:anchorId="64624AF8" wp14:editId="29E2F9A4">
                <wp:simplePos x="0" y="0"/>
                <wp:positionH relativeFrom="column">
                  <wp:posOffset>-283845</wp:posOffset>
                </wp:positionH>
                <wp:positionV relativeFrom="paragraph">
                  <wp:posOffset>159385</wp:posOffset>
                </wp:positionV>
                <wp:extent cx="335915" cy="214249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1424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69C33" w14:textId="77777777" w:rsidR="003A489E" w:rsidRPr="00A33DBA" w:rsidRDefault="003A489E" w:rsidP="00E21A2F">
                            <w:pPr>
                              <w:rPr>
                                <w:rFonts w:ascii="Arial" w:hAnsi="Arial" w:cs="Arial"/>
                                <w:sz w:val="20"/>
                              </w:rPr>
                            </w:pPr>
                            <w:r>
                              <w:rPr>
                                <w:rFonts w:ascii="Arial" w:hAnsi="Arial" w:cs="Arial"/>
                                <w:sz w:val="20"/>
                              </w:rPr>
                              <w:t>Retsidiivivaba elulemuse töenäosus</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624AF8" id="_x0000_s1033" type="#_x0000_t202" style="position:absolute;margin-left:-22.35pt;margin-top:12.55pt;width:26.45pt;height:16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" stroked="f">
                <v:fill opacity="0"/>
                <v:textbox style="layout-flow:vertical;mso-layout-flow-alt:bottom-to-top">
                  <w:txbxContent>
                    <w:p w14:paraId="79F69C33" w14:textId="77777777" w:rsidR="003A489E" w:rsidRPr="00A33DBA" w:rsidRDefault="003A489E" w:rsidP="00E21A2F">
                      <w:pPr>
                        <w:rPr>
                          <w:rFonts w:ascii="Arial" w:hAnsi="Arial" w:cs="Arial"/>
                          <w:sz w:val="20"/>
                        </w:rPr>
                      </w:pPr>
                      <w:r>
                        <w:rPr>
                          <w:rFonts w:ascii="Arial" w:hAnsi="Arial" w:cs="Arial"/>
                          <w:sz w:val="20"/>
                        </w:rPr>
                        <w:t>Retsidiivivaba elulemuse töenäosus</w:t>
                      </w:r>
                    </w:p>
                  </w:txbxContent>
                </v:textbox>
              </v:shape>
            </w:pict>
          </mc:Fallback>
        </mc:AlternateContent>
      </w:r>
      <w:r w:rsidRPr="00EC3BD7">
        <w:rPr>
          <w:noProof/>
          <w:color w:val="000000"/>
          <w:szCs w:val="22"/>
          <w:lang w:val="en-US"/>
        </w:rPr>
        <mc:AlternateContent>
          <mc:Choice Requires="wps">
            <w:drawing>
              <wp:anchor distT="0" distB="0" distL="114300" distR="114300" simplePos="0" relativeHeight="251660288" behindDoc="0" locked="0" layoutInCell="1" allowOverlap="1" wp14:anchorId="038FD17D" wp14:editId="3F6451C5">
                <wp:simplePos x="0" y="0"/>
                <wp:positionH relativeFrom="column">
                  <wp:posOffset>2291715</wp:posOffset>
                </wp:positionH>
                <wp:positionV relativeFrom="paragraph">
                  <wp:posOffset>2693035</wp:posOffset>
                </wp:positionV>
                <wp:extent cx="1540510" cy="27622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0510" cy="2762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87BF33" w14:textId="77777777" w:rsidR="003A489E" w:rsidRPr="00A33DBA" w:rsidRDefault="003A489E" w:rsidP="00E21A2F">
                            <w:pPr>
                              <w:rPr>
                                <w:rFonts w:ascii="Arial" w:hAnsi="Arial" w:cs="Arial"/>
                                <w:sz w:val="20"/>
                              </w:rPr>
                            </w:pPr>
                            <w:r>
                              <w:rPr>
                                <w:rFonts w:ascii="Arial" w:hAnsi="Arial" w:cs="Arial"/>
                                <w:sz w:val="20"/>
                                <w:lang w:val="de-DE"/>
                              </w:rPr>
                              <w:t>Elulemuse aeg kuudes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8FD17D" id="_x0000_s1034" type="#_x0000_t202" style="position:absolute;margin-left:180.45pt;margin-top:212.05pt;width:121.3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" stroked="f">
                <v:fill opacity="0"/>
                <v:textbox>
                  <w:txbxContent>
                    <w:p w14:paraId="3A87BF33" w14:textId="77777777" w:rsidR="003A489E" w:rsidRPr="00A33DBA" w:rsidRDefault="003A489E" w:rsidP="00E21A2F">
                      <w:pPr>
                        <w:rPr>
                          <w:rFonts w:ascii="Arial" w:hAnsi="Arial" w:cs="Arial"/>
                          <w:sz w:val="20"/>
                        </w:rPr>
                      </w:pPr>
                      <w:r>
                        <w:rPr>
                          <w:rFonts w:ascii="Arial" w:hAnsi="Arial" w:cs="Arial"/>
                          <w:sz w:val="20"/>
                          <w:lang w:val="de-DE"/>
                        </w:rPr>
                        <w:t>Elulemuse aeg kuudes</w:t>
                      </w:r>
                    </w:p>
                  </w:txbxContent>
                </v:textbox>
              </v:shape>
            </w:pict>
          </mc:Fallback>
        </mc:AlternateContent>
      </w:r>
      <w:r w:rsidRPr="00EC3BD7">
        <w:rPr>
          <w:noProof/>
          <w:lang w:val="en-US"/>
        </w:rPr>
        <w:drawing>
          <wp:inline distT="0" distB="0" distL="0" distR="0" wp14:anchorId="06A1D699" wp14:editId="09B271DE">
            <wp:extent cx="5939790" cy="26797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26EAED6B" w14:textId="77777777" w:rsidR="00E21A2F" w:rsidRPr="00EC3BD7" w:rsidRDefault="00E21A2F" w:rsidP="00E21A2F">
      <w:pPr>
        <w:pStyle w:val="EndnoteText"/>
        <w:widowControl w:val="0"/>
        <w:tabs>
          <w:tab w:val="clear" w:pos="567"/>
        </w:tabs>
        <w:rPr>
          <w:color w:val="000000"/>
          <w:szCs w:val="22"/>
          <w:lang w:val="et-EE"/>
        </w:rPr>
      </w:pPr>
    </w:p>
    <w:p w14:paraId="1DA2DBDE" w14:textId="77777777" w:rsidR="00E21A2F" w:rsidRPr="00EC3BD7" w:rsidRDefault="00E21A2F" w:rsidP="00E21A2F">
      <w:pPr>
        <w:rPr>
          <w:lang w:val="et-EE"/>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E21A2F" w:rsidRPr="00EC3BD7" w14:paraId="3685C13E" w14:textId="77777777" w:rsidTr="00145F94">
        <w:tc>
          <w:tcPr>
            <w:tcW w:w="10599" w:type="dxa"/>
            <w:gridSpan w:val="16"/>
            <w:shd w:val="clear" w:color="auto" w:fill="auto"/>
          </w:tcPr>
          <w:p w14:paraId="0BD99DC2" w14:textId="77777777" w:rsidR="00E21A2F" w:rsidRPr="00EC3BD7" w:rsidRDefault="00E21A2F" w:rsidP="00145F94">
            <w:pPr>
              <w:ind w:left="-27"/>
              <w:rPr>
                <w:rFonts w:ascii="Arial" w:hAnsi="Arial" w:cs="Arial"/>
                <w:sz w:val="16"/>
                <w:szCs w:val="16"/>
                <w:lang w:val="et-EE"/>
              </w:rPr>
            </w:pPr>
            <w:r w:rsidRPr="00EC3BD7">
              <w:rPr>
                <w:rFonts w:ascii="Arial" w:hAnsi="Arial" w:cs="Arial"/>
                <w:sz w:val="20"/>
                <w:lang w:val="et-EE"/>
              </w:rPr>
              <w:t>Riskirühm : Sündmused</w:t>
            </w:r>
          </w:p>
        </w:tc>
      </w:tr>
      <w:tr w:rsidR="00E21A2F" w:rsidRPr="00EC3BD7" w14:paraId="467437BF" w14:textId="77777777" w:rsidTr="00145F94">
        <w:tc>
          <w:tcPr>
            <w:tcW w:w="450" w:type="dxa"/>
            <w:shd w:val="clear" w:color="auto" w:fill="auto"/>
          </w:tcPr>
          <w:p w14:paraId="44532FFB" w14:textId="77777777" w:rsidR="00E21A2F" w:rsidRPr="00EC3BD7" w:rsidRDefault="00E21A2F" w:rsidP="00145F94">
            <w:pPr>
              <w:rPr>
                <w:sz w:val="18"/>
                <w:szCs w:val="18"/>
                <w:lang w:val="et-EE"/>
              </w:rPr>
            </w:pPr>
            <w:r w:rsidRPr="00EC3BD7">
              <w:rPr>
                <w:sz w:val="18"/>
                <w:szCs w:val="18"/>
                <w:lang w:val="et-EE"/>
              </w:rPr>
              <w:t>(1)</w:t>
            </w:r>
          </w:p>
        </w:tc>
        <w:tc>
          <w:tcPr>
            <w:tcW w:w="646" w:type="dxa"/>
            <w:shd w:val="clear" w:color="auto" w:fill="auto"/>
          </w:tcPr>
          <w:p w14:paraId="46647C76" w14:textId="77777777" w:rsidR="00E21A2F" w:rsidRPr="00EC3BD7" w:rsidRDefault="00E21A2F" w:rsidP="00145F94">
            <w:pPr>
              <w:ind w:left="-27"/>
              <w:rPr>
                <w:sz w:val="18"/>
                <w:szCs w:val="18"/>
                <w:lang w:val="et-EE"/>
              </w:rPr>
            </w:pPr>
            <w:r w:rsidRPr="00EC3BD7">
              <w:rPr>
                <w:sz w:val="18"/>
                <w:szCs w:val="18"/>
                <w:lang w:val="et-EE"/>
              </w:rPr>
              <w:t>199:0</w:t>
            </w:r>
          </w:p>
        </w:tc>
        <w:tc>
          <w:tcPr>
            <w:tcW w:w="645" w:type="dxa"/>
            <w:shd w:val="clear" w:color="auto" w:fill="auto"/>
          </w:tcPr>
          <w:p w14:paraId="18079143" w14:textId="77777777" w:rsidR="00E21A2F" w:rsidRPr="00EC3BD7" w:rsidRDefault="00E21A2F" w:rsidP="00145F94">
            <w:pPr>
              <w:ind w:left="-27"/>
              <w:rPr>
                <w:sz w:val="18"/>
                <w:szCs w:val="18"/>
                <w:lang w:val="et-EE"/>
              </w:rPr>
            </w:pPr>
            <w:r w:rsidRPr="00EC3BD7">
              <w:rPr>
                <w:sz w:val="18"/>
                <w:szCs w:val="18"/>
                <w:lang w:val="et-EE"/>
              </w:rPr>
              <w:t>182:8</w:t>
            </w:r>
          </w:p>
        </w:tc>
        <w:tc>
          <w:tcPr>
            <w:tcW w:w="745" w:type="dxa"/>
            <w:shd w:val="clear" w:color="auto" w:fill="auto"/>
          </w:tcPr>
          <w:p w14:paraId="755C7B5F" w14:textId="77777777" w:rsidR="00E21A2F" w:rsidRPr="00EC3BD7" w:rsidRDefault="00E21A2F" w:rsidP="00145F94">
            <w:pPr>
              <w:ind w:left="-27"/>
              <w:rPr>
                <w:sz w:val="18"/>
                <w:szCs w:val="18"/>
                <w:lang w:val="et-EE"/>
              </w:rPr>
            </w:pPr>
            <w:r w:rsidRPr="00EC3BD7">
              <w:rPr>
                <w:sz w:val="18"/>
                <w:szCs w:val="18"/>
                <w:lang w:val="et-EE"/>
              </w:rPr>
              <w:t>177:12</w:t>
            </w:r>
          </w:p>
        </w:tc>
        <w:tc>
          <w:tcPr>
            <w:tcW w:w="745" w:type="dxa"/>
            <w:shd w:val="clear" w:color="auto" w:fill="auto"/>
          </w:tcPr>
          <w:p w14:paraId="77F5E903" w14:textId="77777777" w:rsidR="00E21A2F" w:rsidRPr="00EC3BD7" w:rsidRDefault="00E21A2F" w:rsidP="00145F94">
            <w:pPr>
              <w:ind w:left="-27"/>
              <w:rPr>
                <w:sz w:val="18"/>
                <w:szCs w:val="18"/>
                <w:lang w:val="et-EE"/>
              </w:rPr>
            </w:pPr>
            <w:r w:rsidRPr="00EC3BD7">
              <w:rPr>
                <w:sz w:val="18"/>
                <w:szCs w:val="18"/>
                <w:lang w:val="et-EE"/>
              </w:rPr>
              <w:t>163:25</w:t>
            </w:r>
          </w:p>
        </w:tc>
        <w:tc>
          <w:tcPr>
            <w:tcW w:w="745" w:type="dxa"/>
            <w:shd w:val="clear" w:color="auto" w:fill="auto"/>
          </w:tcPr>
          <w:p w14:paraId="2FF921E2" w14:textId="77777777" w:rsidR="00E21A2F" w:rsidRPr="00EC3BD7" w:rsidRDefault="00E21A2F" w:rsidP="00145F94">
            <w:pPr>
              <w:ind w:left="-27"/>
              <w:rPr>
                <w:sz w:val="18"/>
                <w:szCs w:val="18"/>
                <w:lang w:val="et-EE"/>
              </w:rPr>
            </w:pPr>
            <w:r w:rsidRPr="00EC3BD7">
              <w:rPr>
                <w:sz w:val="18"/>
                <w:szCs w:val="18"/>
                <w:lang w:val="et-EE"/>
              </w:rPr>
              <w:t>137:46</w:t>
            </w:r>
          </w:p>
        </w:tc>
        <w:tc>
          <w:tcPr>
            <w:tcW w:w="752" w:type="dxa"/>
            <w:shd w:val="clear" w:color="auto" w:fill="auto"/>
          </w:tcPr>
          <w:p w14:paraId="0395B671" w14:textId="77777777" w:rsidR="00E21A2F" w:rsidRPr="00EC3BD7" w:rsidRDefault="00E21A2F" w:rsidP="00145F94">
            <w:pPr>
              <w:ind w:left="-27"/>
              <w:rPr>
                <w:sz w:val="18"/>
                <w:szCs w:val="18"/>
                <w:lang w:val="et-EE"/>
              </w:rPr>
            </w:pPr>
            <w:r w:rsidRPr="00EC3BD7">
              <w:rPr>
                <w:sz w:val="18"/>
                <w:szCs w:val="18"/>
                <w:lang w:val="et-EE"/>
              </w:rPr>
              <w:t>105:65</w:t>
            </w:r>
          </w:p>
        </w:tc>
        <w:tc>
          <w:tcPr>
            <w:tcW w:w="745" w:type="dxa"/>
            <w:shd w:val="clear" w:color="auto" w:fill="auto"/>
          </w:tcPr>
          <w:p w14:paraId="2184D0A3" w14:textId="77777777" w:rsidR="00E21A2F" w:rsidRPr="00EC3BD7" w:rsidRDefault="00E21A2F" w:rsidP="00145F94">
            <w:pPr>
              <w:ind w:left="-27"/>
              <w:rPr>
                <w:sz w:val="18"/>
                <w:szCs w:val="18"/>
                <w:lang w:val="et-EE"/>
              </w:rPr>
            </w:pPr>
            <w:r w:rsidRPr="00EC3BD7">
              <w:rPr>
                <w:sz w:val="18"/>
                <w:szCs w:val="18"/>
                <w:lang w:val="et-EE"/>
              </w:rPr>
              <w:t>88:72</w:t>
            </w:r>
          </w:p>
        </w:tc>
        <w:tc>
          <w:tcPr>
            <w:tcW w:w="745" w:type="dxa"/>
            <w:shd w:val="clear" w:color="auto" w:fill="auto"/>
          </w:tcPr>
          <w:p w14:paraId="7F44D0E8" w14:textId="77777777" w:rsidR="00E21A2F" w:rsidRPr="00EC3BD7" w:rsidRDefault="00E21A2F" w:rsidP="00145F94">
            <w:pPr>
              <w:ind w:left="-27"/>
              <w:rPr>
                <w:sz w:val="18"/>
                <w:szCs w:val="18"/>
                <w:lang w:val="et-EE"/>
              </w:rPr>
            </w:pPr>
            <w:r w:rsidRPr="00EC3BD7">
              <w:rPr>
                <w:sz w:val="18"/>
                <w:szCs w:val="18"/>
                <w:lang w:val="et-EE"/>
              </w:rPr>
              <w:t>61:77</w:t>
            </w:r>
          </w:p>
        </w:tc>
        <w:tc>
          <w:tcPr>
            <w:tcW w:w="652" w:type="dxa"/>
            <w:shd w:val="clear" w:color="auto" w:fill="auto"/>
          </w:tcPr>
          <w:p w14:paraId="0E0F505E" w14:textId="77777777" w:rsidR="00E21A2F" w:rsidRPr="00EC3BD7" w:rsidRDefault="00E21A2F" w:rsidP="00145F94">
            <w:pPr>
              <w:ind w:left="-27"/>
              <w:rPr>
                <w:sz w:val="18"/>
                <w:szCs w:val="18"/>
                <w:lang w:val="et-EE"/>
              </w:rPr>
            </w:pPr>
            <w:r w:rsidRPr="00EC3BD7">
              <w:rPr>
                <w:sz w:val="18"/>
                <w:szCs w:val="18"/>
                <w:lang w:val="et-EE"/>
              </w:rPr>
              <w:t>49:81</w:t>
            </w:r>
          </w:p>
        </w:tc>
        <w:tc>
          <w:tcPr>
            <w:tcW w:w="652" w:type="dxa"/>
            <w:shd w:val="clear" w:color="auto" w:fill="auto"/>
          </w:tcPr>
          <w:p w14:paraId="7C8AD1D4" w14:textId="77777777" w:rsidR="00E21A2F" w:rsidRPr="00EC3BD7" w:rsidRDefault="00E21A2F" w:rsidP="00145F94">
            <w:pPr>
              <w:ind w:left="-27"/>
              <w:rPr>
                <w:sz w:val="18"/>
                <w:szCs w:val="18"/>
                <w:lang w:val="et-EE"/>
              </w:rPr>
            </w:pPr>
            <w:r w:rsidRPr="00EC3BD7">
              <w:rPr>
                <w:sz w:val="18"/>
                <w:szCs w:val="18"/>
                <w:lang w:val="et-EE"/>
              </w:rPr>
              <w:t>36:83</w:t>
            </w:r>
          </w:p>
        </w:tc>
        <w:tc>
          <w:tcPr>
            <w:tcW w:w="649" w:type="dxa"/>
            <w:shd w:val="clear" w:color="auto" w:fill="auto"/>
          </w:tcPr>
          <w:p w14:paraId="74A0AE3E" w14:textId="77777777" w:rsidR="00E21A2F" w:rsidRPr="00EC3BD7" w:rsidRDefault="00E21A2F" w:rsidP="00145F94">
            <w:pPr>
              <w:ind w:left="-27"/>
              <w:rPr>
                <w:sz w:val="18"/>
                <w:szCs w:val="18"/>
                <w:lang w:val="et-EE"/>
              </w:rPr>
            </w:pPr>
            <w:r w:rsidRPr="00EC3BD7">
              <w:rPr>
                <w:sz w:val="18"/>
                <w:szCs w:val="18"/>
                <w:lang w:val="et-EE"/>
              </w:rPr>
              <w:t>27:84</w:t>
            </w:r>
          </w:p>
        </w:tc>
        <w:tc>
          <w:tcPr>
            <w:tcW w:w="660" w:type="dxa"/>
            <w:shd w:val="clear" w:color="auto" w:fill="auto"/>
          </w:tcPr>
          <w:p w14:paraId="53498705" w14:textId="77777777" w:rsidR="00E21A2F" w:rsidRPr="00EC3BD7" w:rsidRDefault="00E21A2F" w:rsidP="00145F94">
            <w:pPr>
              <w:ind w:left="-27"/>
              <w:rPr>
                <w:sz w:val="18"/>
                <w:szCs w:val="18"/>
                <w:lang w:val="et-EE"/>
              </w:rPr>
            </w:pPr>
            <w:r w:rsidRPr="00EC3BD7">
              <w:rPr>
                <w:sz w:val="18"/>
                <w:szCs w:val="18"/>
                <w:lang w:val="et-EE"/>
              </w:rPr>
              <w:t>14:84</w:t>
            </w:r>
          </w:p>
        </w:tc>
        <w:tc>
          <w:tcPr>
            <w:tcW w:w="649" w:type="dxa"/>
            <w:shd w:val="clear" w:color="auto" w:fill="auto"/>
          </w:tcPr>
          <w:p w14:paraId="46CDA674" w14:textId="77777777" w:rsidR="00E21A2F" w:rsidRPr="00EC3BD7" w:rsidRDefault="00E21A2F" w:rsidP="00145F94">
            <w:pPr>
              <w:ind w:left="-27"/>
              <w:rPr>
                <w:sz w:val="18"/>
                <w:szCs w:val="18"/>
                <w:lang w:val="et-EE"/>
              </w:rPr>
            </w:pPr>
            <w:r w:rsidRPr="00EC3BD7">
              <w:rPr>
                <w:sz w:val="18"/>
                <w:szCs w:val="18"/>
                <w:lang w:val="et-EE"/>
              </w:rPr>
              <w:t>10:84</w:t>
            </w:r>
          </w:p>
        </w:tc>
        <w:tc>
          <w:tcPr>
            <w:tcW w:w="564" w:type="dxa"/>
            <w:shd w:val="clear" w:color="auto" w:fill="auto"/>
          </w:tcPr>
          <w:p w14:paraId="5A778F99" w14:textId="77777777" w:rsidR="00E21A2F" w:rsidRPr="00EC3BD7" w:rsidRDefault="00E21A2F" w:rsidP="00145F94">
            <w:pPr>
              <w:ind w:left="-27"/>
              <w:rPr>
                <w:sz w:val="18"/>
                <w:szCs w:val="18"/>
                <w:lang w:val="et-EE"/>
              </w:rPr>
            </w:pPr>
            <w:r w:rsidRPr="00EC3BD7">
              <w:rPr>
                <w:sz w:val="18"/>
                <w:szCs w:val="18"/>
                <w:lang w:val="et-EE"/>
              </w:rPr>
              <w:t>2:84</w:t>
            </w:r>
          </w:p>
        </w:tc>
        <w:tc>
          <w:tcPr>
            <w:tcW w:w="555" w:type="dxa"/>
            <w:shd w:val="clear" w:color="auto" w:fill="auto"/>
          </w:tcPr>
          <w:p w14:paraId="37CCCA28" w14:textId="77777777" w:rsidR="00E21A2F" w:rsidRPr="00EC3BD7" w:rsidRDefault="00E21A2F" w:rsidP="00145F94">
            <w:pPr>
              <w:ind w:left="-27"/>
              <w:rPr>
                <w:sz w:val="18"/>
                <w:szCs w:val="18"/>
                <w:lang w:val="et-EE"/>
              </w:rPr>
            </w:pPr>
            <w:r w:rsidRPr="00EC3BD7">
              <w:rPr>
                <w:sz w:val="18"/>
                <w:szCs w:val="18"/>
                <w:lang w:val="et-EE"/>
              </w:rPr>
              <w:t>0:84</w:t>
            </w:r>
          </w:p>
        </w:tc>
      </w:tr>
      <w:tr w:rsidR="00E21A2F" w:rsidRPr="00EC3BD7" w14:paraId="029F2630" w14:textId="77777777" w:rsidTr="00145F94">
        <w:tc>
          <w:tcPr>
            <w:tcW w:w="450" w:type="dxa"/>
            <w:shd w:val="clear" w:color="auto" w:fill="auto"/>
          </w:tcPr>
          <w:p w14:paraId="738B84B5" w14:textId="77777777" w:rsidR="00E21A2F" w:rsidRPr="00EC3BD7" w:rsidRDefault="00E21A2F" w:rsidP="00145F94">
            <w:pPr>
              <w:rPr>
                <w:sz w:val="18"/>
                <w:szCs w:val="18"/>
                <w:lang w:val="et-EE"/>
              </w:rPr>
            </w:pPr>
            <w:r w:rsidRPr="00EC3BD7">
              <w:rPr>
                <w:sz w:val="18"/>
                <w:szCs w:val="18"/>
                <w:lang w:val="et-EE"/>
              </w:rPr>
              <w:t>(2)</w:t>
            </w:r>
          </w:p>
        </w:tc>
        <w:tc>
          <w:tcPr>
            <w:tcW w:w="646" w:type="dxa"/>
            <w:shd w:val="clear" w:color="auto" w:fill="auto"/>
          </w:tcPr>
          <w:p w14:paraId="4A6F0A4A" w14:textId="77777777" w:rsidR="00E21A2F" w:rsidRPr="00EC3BD7" w:rsidRDefault="00E21A2F" w:rsidP="00145F94">
            <w:pPr>
              <w:ind w:left="-27"/>
              <w:rPr>
                <w:sz w:val="18"/>
                <w:szCs w:val="18"/>
                <w:lang w:val="et-EE"/>
              </w:rPr>
            </w:pPr>
            <w:r w:rsidRPr="00EC3BD7">
              <w:rPr>
                <w:sz w:val="18"/>
                <w:szCs w:val="18"/>
                <w:lang w:val="et-EE"/>
              </w:rPr>
              <w:t>198:0</w:t>
            </w:r>
          </w:p>
        </w:tc>
        <w:tc>
          <w:tcPr>
            <w:tcW w:w="645" w:type="dxa"/>
            <w:shd w:val="clear" w:color="auto" w:fill="auto"/>
          </w:tcPr>
          <w:p w14:paraId="20EAA083" w14:textId="77777777" w:rsidR="00E21A2F" w:rsidRPr="00EC3BD7" w:rsidRDefault="00E21A2F" w:rsidP="00145F94">
            <w:pPr>
              <w:ind w:left="-27"/>
              <w:rPr>
                <w:sz w:val="18"/>
                <w:szCs w:val="18"/>
                <w:lang w:val="et-EE"/>
              </w:rPr>
            </w:pPr>
            <w:r w:rsidRPr="00EC3BD7">
              <w:rPr>
                <w:sz w:val="18"/>
                <w:szCs w:val="18"/>
                <w:lang w:val="et-EE"/>
              </w:rPr>
              <w:t>189:5</w:t>
            </w:r>
          </w:p>
        </w:tc>
        <w:tc>
          <w:tcPr>
            <w:tcW w:w="745" w:type="dxa"/>
            <w:shd w:val="clear" w:color="auto" w:fill="auto"/>
          </w:tcPr>
          <w:p w14:paraId="641C7D15" w14:textId="77777777" w:rsidR="00E21A2F" w:rsidRPr="00EC3BD7" w:rsidRDefault="00E21A2F" w:rsidP="00145F94">
            <w:pPr>
              <w:ind w:left="-27"/>
              <w:rPr>
                <w:sz w:val="18"/>
                <w:szCs w:val="18"/>
                <w:lang w:val="et-EE"/>
              </w:rPr>
            </w:pPr>
            <w:r w:rsidRPr="00EC3BD7">
              <w:rPr>
                <w:sz w:val="18"/>
                <w:szCs w:val="18"/>
                <w:lang w:val="et-EE"/>
              </w:rPr>
              <w:t>184:8</w:t>
            </w:r>
          </w:p>
        </w:tc>
        <w:tc>
          <w:tcPr>
            <w:tcW w:w="745" w:type="dxa"/>
            <w:shd w:val="clear" w:color="auto" w:fill="auto"/>
          </w:tcPr>
          <w:p w14:paraId="33F77103" w14:textId="77777777" w:rsidR="00E21A2F" w:rsidRPr="00EC3BD7" w:rsidRDefault="00E21A2F" w:rsidP="00145F94">
            <w:pPr>
              <w:ind w:left="-27"/>
              <w:rPr>
                <w:sz w:val="18"/>
                <w:szCs w:val="18"/>
                <w:lang w:val="et-EE"/>
              </w:rPr>
            </w:pPr>
            <w:r w:rsidRPr="00EC3BD7">
              <w:rPr>
                <w:sz w:val="18"/>
                <w:szCs w:val="18"/>
                <w:lang w:val="et-EE"/>
              </w:rPr>
              <w:t>181:11</w:t>
            </w:r>
          </w:p>
        </w:tc>
        <w:tc>
          <w:tcPr>
            <w:tcW w:w="745" w:type="dxa"/>
            <w:shd w:val="clear" w:color="auto" w:fill="auto"/>
          </w:tcPr>
          <w:p w14:paraId="36B74686" w14:textId="77777777" w:rsidR="00E21A2F" w:rsidRPr="00EC3BD7" w:rsidRDefault="00E21A2F" w:rsidP="00145F94">
            <w:pPr>
              <w:ind w:left="-27"/>
              <w:rPr>
                <w:sz w:val="18"/>
                <w:szCs w:val="18"/>
                <w:lang w:val="et-EE"/>
              </w:rPr>
            </w:pPr>
            <w:r w:rsidRPr="00EC3BD7">
              <w:rPr>
                <w:sz w:val="18"/>
                <w:szCs w:val="18"/>
                <w:lang w:val="et-EE"/>
              </w:rPr>
              <w:t>173:18</w:t>
            </w:r>
          </w:p>
        </w:tc>
        <w:tc>
          <w:tcPr>
            <w:tcW w:w="752" w:type="dxa"/>
            <w:shd w:val="clear" w:color="auto" w:fill="auto"/>
          </w:tcPr>
          <w:p w14:paraId="301952A1" w14:textId="77777777" w:rsidR="00E21A2F" w:rsidRPr="00EC3BD7" w:rsidRDefault="00E21A2F" w:rsidP="00145F94">
            <w:pPr>
              <w:ind w:left="-27"/>
              <w:rPr>
                <w:sz w:val="18"/>
                <w:szCs w:val="18"/>
                <w:lang w:val="et-EE"/>
              </w:rPr>
            </w:pPr>
            <w:r w:rsidRPr="00EC3BD7">
              <w:rPr>
                <w:sz w:val="18"/>
                <w:szCs w:val="18"/>
                <w:lang w:val="et-EE"/>
              </w:rPr>
              <w:t>152:22</w:t>
            </w:r>
          </w:p>
        </w:tc>
        <w:tc>
          <w:tcPr>
            <w:tcW w:w="745" w:type="dxa"/>
            <w:shd w:val="clear" w:color="auto" w:fill="auto"/>
          </w:tcPr>
          <w:p w14:paraId="5683BD0F" w14:textId="77777777" w:rsidR="00E21A2F" w:rsidRPr="00EC3BD7" w:rsidRDefault="00E21A2F" w:rsidP="00145F94">
            <w:pPr>
              <w:ind w:left="-27"/>
              <w:rPr>
                <w:sz w:val="18"/>
                <w:szCs w:val="18"/>
                <w:lang w:val="et-EE"/>
              </w:rPr>
            </w:pPr>
            <w:r w:rsidRPr="00EC3BD7">
              <w:rPr>
                <w:sz w:val="18"/>
                <w:szCs w:val="18"/>
                <w:lang w:val="et-EE"/>
              </w:rPr>
              <w:t>133:25</w:t>
            </w:r>
          </w:p>
        </w:tc>
        <w:tc>
          <w:tcPr>
            <w:tcW w:w="745" w:type="dxa"/>
            <w:shd w:val="clear" w:color="auto" w:fill="auto"/>
          </w:tcPr>
          <w:p w14:paraId="16F8C8BC" w14:textId="77777777" w:rsidR="00E21A2F" w:rsidRPr="00EC3BD7" w:rsidRDefault="00E21A2F" w:rsidP="00145F94">
            <w:pPr>
              <w:ind w:left="-27"/>
              <w:rPr>
                <w:sz w:val="18"/>
                <w:szCs w:val="18"/>
                <w:lang w:val="et-EE"/>
              </w:rPr>
            </w:pPr>
            <w:r w:rsidRPr="00EC3BD7">
              <w:rPr>
                <w:sz w:val="18"/>
                <w:szCs w:val="18"/>
                <w:lang w:val="et-EE"/>
              </w:rPr>
              <w:t>102:29</w:t>
            </w:r>
          </w:p>
        </w:tc>
        <w:tc>
          <w:tcPr>
            <w:tcW w:w="652" w:type="dxa"/>
            <w:shd w:val="clear" w:color="auto" w:fill="auto"/>
          </w:tcPr>
          <w:p w14:paraId="6139976E" w14:textId="77777777" w:rsidR="00E21A2F" w:rsidRPr="00EC3BD7" w:rsidRDefault="00E21A2F" w:rsidP="00145F94">
            <w:pPr>
              <w:ind w:left="-27"/>
              <w:rPr>
                <w:sz w:val="18"/>
                <w:szCs w:val="18"/>
                <w:lang w:val="et-EE"/>
              </w:rPr>
            </w:pPr>
            <w:r w:rsidRPr="00EC3BD7">
              <w:rPr>
                <w:sz w:val="18"/>
                <w:szCs w:val="18"/>
                <w:lang w:val="et-EE"/>
              </w:rPr>
              <w:t>82:35</w:t>
            </w:r>
          </w:p>
        </w:tc>
        <w:tc>
          <w:tcPr>
            <w:tcW w:w="652" w:type="dxa"/>
            <w:shd w:val="clear" w:color="auto" w:fill="auto"/>
          </w:tcPr>
          <w:p w14:paraId="79734D92" w14:textId="77777777" w:rsidR="00E21A2F" w:rsidRPr="00EC3BD7" w:rsidRDefault="00E21A2F" w:rsidP="00145F94">
            <w:pPr>
              <w:ind w:left="-27"/>
              <w:rPr>
                <w:sz w:val="18"/>
                <w:szCs w:val="18"/>
                <w:lang w:val="et-EE"/>
              </w:rPr>
            </w:pPr>
            <w:r w:rsidRPr="00EC3BD7">
              <w:rPr>
                <w:sz w:val="18"/>
                <w:szCs w:val="18"/>
                <w:lang w:val="et-EE"/>
              </w:rPr>
              <w:t>54:46</w:t>
            </w:r>
          </w:p>
        </w:tc>
        <w:tc>
          <w:tcPr>
            <w:tcW w:w="649" w:type="dxa"/>
            <w:shd w:val="clear" w:color="auto" w:fill="auto"/>
          </w:tcPr>
          <w:p w14:paraId="5773C87B" w14:textId="77777777" w:rsidR="00E21A2F" w:rsidRPr="00EC3BD7" w:rsidRDefault="00E21A2F" w:rsidP="00145F94">
            <w:pPr>
              <w:ind w:left="-27"/>
              <w:rPr>
                <w:sz w:val="18"/>
                <w:szCs w:val="18"/>
                <w:lang w:val="et-EE"/>
              </w:rPr>
            </w:pPr>
            <w:r w:rsidRPr="00EC3BD7">
              <w:rPr>
                <w:sz w:val="18"/>
                <w:szCs w:val="18"/>
                <w:lang w:val="et-EE"/>
              </w:rPr>
              <w:t>39:47</w:t>
            </w:r>
          </w:p>
        </w:tc>
        <w:tc>
          <w:tcPr>
            <w:tcW w:w="660" w:type="dxa"/>
            <w:shd w:val="clear" w:color="auto" w:fill="auto"/>
          </w:tcPr>
          <w:p w14:paraId="0FDF0D00" w14:textId="77777777" w:rsidR="00E21A2F" w:rsidRPr="00EC3BD7" w:rsidRDefault="00E21A2F" w:rsidP="00145F94">
            <w:pPr>
              <w:ind w:left="-27"/>
              <w:rPr>
                <w:sz w:val="18"/>
                <w:szCs w:val="18"/>
                <w:lang w:val="et-EE"/>
              </w:rPr>
            </w:pPr>
            <w:r w:rsidRPr="00EC3BD7">
              <w:rPr>
                <w:sz w:val="18"/>
                <w:szCs w:val="18"/>
                <w:lang w:val="et-EE"/>
              </w:rPr>
              <w:t>21:49</w:t>
            </w:r>
          </w:p>
        </w:tc>
        <w:tc>
          <w:tcPr>
            <w:tcW w:w="649" w:type="dxa"/>
            <w:shd w:val="clear" w:color="auto" w:fill="auto"/>
          </w:tcPr>
          <w:p w14:paraId="7B026534" w14:textId="77777777" w:rsidR="00E21A2F" w:rsidRPr="00EC3BD7" w:rsidRDefault="00E21A2F" w:rsidP="00145F94">
            <w:pPr>
              <w:ind w:left="-27"/>
              <w:rPr>
                <w:sz w:val="18"/>
                <w:szCs w:val="18"/>
                <w:lang w:val="et-EE"/>
              </w:rPr>
            </w:pPr>
            <w:r w:rsidRPr="00EC3BD7">
              <w:rPr>
                <w:sz w:val="18"/>
                <w:szCs w:val="18"/>
                <w:lang w:val="et-EE"/>
              </w:rPr>
              <w:t>8:50</w:t>
            </w:r>
          </w:p>
        </w:tc>
        <w:tc>
          <w:tcPr>
            <w:tcW w:w="564" w:type="dxa"/>
            <w:shd w:val="clear" w:color="auto" w:fill="auto"/>
          </w:tcPr>
          <w:p w14:paraId="25F1828A" w14:textId="77777777" w:rsidR="00E21A2F" w:rsidRPr="00EC3BD7" w:rsidRDefault="00E21A2F" w:rsidP="00145F94">
            <w:pPr>
              <w:ind w:left="-27"/>
              <w:rPr>
                <w:sz w:val="18"/>
                <w:szCs w:val="18"/>
                <w:lang w:val="et-EE"/>
              </w:rPr>
            </w:pPr>
            <w:r w:rsidRPr="00EC3BD7">
              <w:rPr>
                <w:sz w:val="18"/>
                <w:szCs w:val="18"/>
                <w:lang w:val="et-EE"/>
              </w:rPr>
              <w:t>0:50</w:t>
            </w:r>
          </w:p>
        </w:tc>
        <w:tc>
          <w:tcPr>
            <w:tcW w:w="555" w:type="dxa"/>
            <w:shd w:val="clear" w:color="auto" w:fill="auto"/>
          </w:tcPr>
          <w:p w14:paraId="3D29AB58" w14:textId="77777777" w:rsidR="00E21A2F" w:rsidRPr="00EC3BD7" w:rsidRDefault="00E21A2F" w:rsidP="00145F94">
            <w:pPr>
              <w:ind w:left="-27"/>
              <w:rPr>
                <w:sz w:val="18"/>
                <w:szCs w:val="18"/>
                <w:lang w:val="et-EE"/>
              </w:rPr>
            </w:pPr>
          </w:p>
        </w:tc>
      </w:tr>
    </w:tbl>
    <w:p w14:paraId="2E88C366" w14:textId="77777777" w:rsidR="00E21A2F" w:rsidRPr="00EC3BD7" w:rsidRDefault="00E21A2F" w:rsidP="00E21A2F">
      <w:pPr>
        <w:pStyle w:val="EndnoteText"/>
        <w:widowControl w:val="0"/>
        <w:tabs>
          <w:tab w:val="clear" w:pos="567"/>
        </w:tabs>
        <w:rPr>
          <w:color w:val="000000"/>
          <w:szCs w:val="22"/>
          <w:lang w:val="et-EE"/>
        </w:rPr>
      </w:pPr>
    </w:p>
    <w:p w14:paraId="4FBCF03B" w14:textId="77777777" w:rsidR="00E21A2F" w:rsidRPr="00EC3BD7" w:rsidRDefault="00E21A2F" w:rsidP="00E21A2F">
      <w:pPr>
        <w:pStyle w:val="EndnoteText"/>
        <w:keepNext/>
        <w:widowControl w:val="0"/>
        <w:tabs>
          <w:tab w:val="clear" w:pos="567"/>
        </w:tabs>
        <w:rPr>
          <w:b/>
          <w:color w:val="000000"/>
          <w:szCs w:val="22"/>
          <w:lang w:val="et-EE"/>
        </w:rPr>
      </w:pPr>
      <w:r w:rsidRPr="00EC3BD7">
        <w:rPr>
          <w:b/>
          <w:color w:val="000000"/>
          <w:szCs w:val="22"/>
          <w:lang w:val="et-EE"/>
        </w:rPr>
        <w:lastRenderedPageBreak/>
        <w:t>Joonis 2</w:t>
      </w:r>
      <w:r w:rsidRPr="00EC3BD7">
        <w:rPr>
          <w:b/>
          <w:color w:val="000000"/>
          <w:szCs w:val="22"/>
          <w:lang w:val="et-EE"/>
        </w:rPr>
        <w:tab/>
        <w:t>Kaplan-Meieri hinna</w:t>
      </w:r>
      <w:r w:rsidR="00AD37CE" w:rsidRPr="00EC3BD7">
        <w:rPr>
          <w:b/>
          <w:color w:val="000000"/>
          <w:szCs w:val="22"/>
          <w:lang w:val="et-EE"/>
        </w:rPr>
        <w:t>n</w:t>
      </w:r>
      <w:r w:rsidRPr="00EC3BD7">
        <w:rPr>
          <w:b/>
          <w:color w:val="000000"/>
          <w:szCs w:val="22"/>
          <w:lang w:val="et-EE"/>
        </w:rPr>
        <w:t>gud üldisele elulemusele (ITT populatsioon)</w:t>
      </w:r>
    </w:p>
    <w:p w14:paraId="1E58DF8D" w14:textId="77777777" w:rsidR="00E21A2F" w:rsidRPr="00EC3BD7" w:rsidRDefault="00E21A2F" w:rsidP="00E21A2F">
      <w:pPr>
        <w:pStyle w:val="EndnoteText"/>
        <w:keepNext/>
        <w:widowControl w:val="0"/>
        <w:tabs>
          <w:tab w:val="clear" w:pos="567"/>
        </w:tabs>
        <w:rPr>
          <w:color w:val="000000"/>
          <w:szCs w:val="22"/>
          <w:lang w:val="et-EE"/>
        </w:rPr>
      </w:pPr>
    </w:p>
    <w:p w14:paraId="5284EF13" w14:textId="77777777" w:rsidR="00E21A2F" w:rsidRPr="00EC3BD7" w:rsidRDefault="00602C2E" w:rsidP="00E21A2F">
      <w:pPr>
        <w:pStyle w:val="EndnoteText"/>
        <w:widowControl w:val="0"/>
        <w:tabs>
          <w:tab w:val="clear" w:pos="567"/>
        </w:tabs>
        <w:rPr>
          <w:color w:val="000000"/>
          <w:szCs w:val="22"/>
          <w:lang w:val="et-EE"/>
        </w:rPr>
      </w:pPr>
      <w:r w:rsidRPr="00EC3BD7">
        <w:rPr>
          <w:noProof/>
          <w:lang w:val="en-US"/>
        </w:rPr>
        <mc:AlternateContent>
          <mc:Choice Requires="wps">
            <w:drawing>
              <wp:anchor distT="0" distB="0" distL="114300" distR="114300" simplePos="0" relativeHeight="251661312" behindDoc="0" locked="0" layoutInCell="1" allowOverlap="1" wp14:anchorId="1DC713AA" wp14:editId="794A1534">
                <wp:simplePos x="0" y="0"/>
                <wp:positionH relativeFrom="column">
                  <wp:posOffset>-259715</wp:posOffset>
                </wp:positionH>
                <wp:positionV relativeFrom="paragraph">
                  <wp:posOffset>245110</wp:posOffset>
                </wp:positionV>
                <wp:extent cx="335915" cy="187071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1870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E1446F" w14:textId="77777777" w:rsidR="003A489E" w:rsidRPr="00A33DBA" w:rsidRDefault="003A489E" w:rsidP="00E21A2F">
                            <w:pPr>
                              <w:rPr>
                                <w:rFonts w:ascii="Arial" w:hAnsi="Arial" w:cs="Arial"/>
                                <w:sz w:val="20"/>
                              </w:rPr>
                            </w:pPr>
                            <w:r>
                              <w:rPr>
                                <w:rFonts w:ascii="Arial" w:hAnsi="Arial" w:cs="Arial"/>
                                <w:sz w:val="20"/>
                              </w:rPr>
                              <w:t>Üldise elulemuse tõenäosus</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C713AA" id="_x0000_s1035" type="#_x0000_t202" style="position:absolute;margin-left:-20.45pt;margin-top:19.3pt;width:26.45pt;height:14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" stroked="f">
                <v:fill opacity="0"/>
                <v:textbox style="layout-flow:vertical;mso-layout-flow-alt:bottom-to-top">
                  <w:txbxContent>
                    <w:p w14:paraId="29E1446F" w14:textId="77777777" w:rsidR="003A489E" w:rsidRPr="00A33DBA" w:rsidRDefault="003A489E" w:rsidP="00E21A2F">
                      <w:pPr>
                        <w:rPr>
                          <w:rFonts w:ascii="Arial" w:hAnsi="Arial" w:cs="Arial"/>
                          <w:sz w:val="20"/>
                        </w:rPr>
                      </w:pPr>
                      <w:r>
                        <w:rPr>
                          <w:rFonts w:ascii="Arial" w:hAnsi="Arial" w:cs="Arial"/>
                          <w:sz w:val="20"/>
                        </w:rPr>
                        <w:t>Üldise elulemuse tõenäosus</w:t>
                      </w:r>
                    </w:p>
                  </w:txbxContent>
                </v:textbox>
              </v:shape>
            </w:pict>
          </mc:Fallback>
        </mc:AlternateContent>
      </w:r>
      <w:r w:rsidRPr="00EC3BD7">
        <w:rPr>
          <w:noProof/>
          <w:color w:val="000000"/>
          <w:szCs w:val="22"/>
          <w:lang w:val="en-US"/>
        </w:rPr>
        <mc:AlternateContent>
          <mc:Choice Requires="wps">
            <w:drawing>
              <wp:anchor distT="0" distB="0" distL="114300" distR="114300" simplePos="0" relativeHeight="251663360" behindDoc="0" locked="0" layoutInCell="1" allowOverlap="1" wp14:anchorId="2A1C71CA" wp14:editId="20461CA4">
                <wp:simplePos x="0" y="0"/>
                <wp:positionH relativeFrom="column">
                  <wp:posOffset>2139315</wp:posOffset>
                </wp:positionH>
                <wp:positionV relativeFrom="paragraph">
                  <wp:posOffset>2661285</wp:posOffset>
                </wp:positionV>
                <wp:extent cx="1619250" cy="27686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768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58030B" w14:textId="77777777" w:rsidR="003A489E" w:rsidRPr="00A33DBA" w:rsidRDefault="003A489E" w:rsidP="00E21A2F">
                            <w:pPr>
                              <w:rPr>
                                <w:rFonts w:ascii="Arial" w:hAnsi="Arial" w:cs="Arial"/>
                                <w:sz w:val="20"/>
                              </w:rPr>
                            </w:pPr>
                            <w:r>
                              <w:rPr>
                                <w:rFonts w:ascii="Arial" w:hAnsi="Arial" w:cs="Arial"/>
                                <w:sz w:val="20"/>
                                <w:lang w:val="de-DE"/>
                              </w:rPr>
                              <w:t>Elulemuse aeg</w:t>
                            </w:r>
                            <w:r w:rsidRPr="00A33DBA">
                              <w:rPr>
                                <w:rFonts w:ascii="Arial" w:hAnsi="Arial" w:cs="Arial"/>
                                <w:sz w:val="20"/>
                                <w:lang w:val="de-DE"/>
                              </w:rPr>
                              <w:t xml:space="preserve"> </w:t>
                            </w:r>
                            <w:r>
                              <w:rPr>
                                <w:rFonts w:ascii="Arial" w:hAnsi="Arial" w:cs="Arial"/>
                                <w:sz w:val="20"/>
                                <w:lang w:val="de-DE"/>
                              </w:rPr>
                              <w:t>kuudes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1C71CA" id="_x0000_s1036" type="#_x0000_t202" style="position:absolute;margin-left:168.45pt;margin-top:209.55pt;width:127.5pt;height:2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" stroked="f">
                <v:fill opacity="0"/>
                <v:textbox>
                  <w:txbxContent>
                    <w:p w14:paraId="4058030B" w14:textId="77777777" w:rsidR="003A489E" w:rsidRPr="00A33DBA" w:rsidRDefault="003A489E" w:rsidP="00E21A2F">
                      <w:pPr>
                        <w:rPr>
                          <w:rFonts w:ascii="Arial" w:hAnsi="Arial" w:cs="Arial"/>
                          <w:sz w:val="20"/>
                        </w:rPr>
                      </w:pPr>
                      <w:r>
                        <w:rPr>
                          <w:rFonts w:ascii="Arial" w:hAnsi="Arial" w:cs="Arial"/>
                          <w:sz w:val="20"/>
                          <w:lang w:val="de-DE"/>
                        </w:rPr>
                        <w:t>Elulemuse aeg</w:t>
                      </w:r>
                      <w:r w:rsidRPr="00A33DBA">
                        <w:rPr>
                          <w:rFonts w:ascii="Arial" w:hAnsi="Arial" w:cs="Arial"/>
                          <w:sz w:val="20"/>
                          <w:lang w:val="de-DE"/>
                        </w:rPr>
                        <w:t xml:space="preserve"> </w:t>
                      </w:r>
                      <w:r>
                        <w:rPr>
                          <w:rFonts w:ascii="Arial" w:hAnsi="Arial" w:cs="Arial"/>
                          <w:sz w:val="20"/>
                          <w:lang w:val="de-DE"/>
                        </w:rPr>
                        <w:t>kuudes</w:t>
                      </w:r>
                    </w:p>
                  </w:txbxContent>
                </v:textbox>
              </v:shape>
            </w:pict>
          </mc:Fallback>
        </mc:AlternateContent>
      </w:r>
      <w:r w:rsidRPr="00EC3BD7">
        <w:rPr>
          <w:noProof/>
          <w:lang w:val="en-US"/>
        </w:rPr>
        <mc:AlternateContent>
          <mc:Choice Requires="wps">
            <w:drawing>
              <wp:anchor distT="0" distB="0" distL="114300" distR="114300" simplePos="0" relativeHeight="251662336" behindDoc="0" locked="0" layoutInCell="1" allowOverlap="1" wp14:anchorId="3CC57347" wp14:editId="7DE4515E">
                <wp:simplePos x="0" y="0"/>
                <wp:positionH relativeFrom="column">
                  <wp:posOffset>340995</wp:posOffset>
                </wp:positionH>
                <wp:positionV relativeFrom="paragraph">
                  <wp:posOffset>887095</wp:posOffset>
                </wp:positionV>
                <wp:extent cx="4585335" cy="14287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A69BF" w14:textId="77777777" w:rsidR="003A489E" w:rsidRDefault="003A489E" w:rsidP="00E21A2F">
                            <w:pPr>
                              <w:rPr>
                                <w:rFonts w:ascii="Arial" w:hAnsi="Arial" w:cs="Arial"/>
                                <w:sz w:val="20"/>
                              </w:rPr>
                            </w:pPr>
                          </w:p>
                          <w:tbl>
                            <w:tblPr>
                              <w:tblW w:w="0" w:type="auto"/>
                              <w:tblLook w:val="04A0" w:firstRow="1" w:lastRow="0" w:firstColumn="1" w:lastColumn="0" w:noHBand="0" w:noVBand="1"/>
                            </w:tblPr>
                            <w:tblGrid>
                              <w:gridCol w:w="817"/>
                              <w:gridCol w:w="2835"/>
                              <w:gridCol w:w="851"/>
                              <w:gridCol w:w="709"/>
                              <w:gridCol w:w="850"/>
                            </w:tblGrid>
                            <w:tr w:rsidR="003A489E" w:rsidRPr="0055776F" w14:paraId="643F9500" w14:textId="77777777" w:rsidTr="00DC1808">
                              <w:tc>
                                <w:tcPr>
                                  <w:tcW w:w="6062" w:type="dxa"/>
                                  <w:gridSpan w:val="5"/>
                                  <w:shd w:val="clear" w:color="auto" w:fill="auto"/>
                                </w:tcPr>
                                <w:p w14:paraId="28A7AAE4" w14:textId="77777777" w:rsidR="003A489E" w:rsidRPr="00A33DBA" w:rsidRDefault="003A489E" w:rsidP="00DC1808">
                                  <w:pPr>
                                    <w:rPr>
                                      <w:rFonts w:ascii="Arial" w:hAnsi="Arial" w:cs="Arial"/>
                                      <w:sz w:val="20"/>
                                    </w:rPr>
                                  </w:pPr>
                                  <w:r>
                                    <w:rPr>
                                      <w:rFonts w:ascii="Arial" w:hAnsi="Arial" w:cs="Arial"/>
                                      <w:sz w:val="20"/>
                                    </w:rPr>
                                    <w:t>P = 0,0</w:t>
                                  </w:r>
                                  <w:r w:rsidRPr="00A33DBA">
                                    <w:rPr>
                                      <w:rFonts w:ascii="Arial" w:hAnsi="Arial" w:cs="Arial"/>
                                      <w:sz w:val="20"/>
                                    </w:rPr>
                                    <w:t>19</w:t>
                                  </w:r>
                                </w:p>
                                <w:p w14:paraId="4353B2E3" w14:textId="77777777" w:rsidR="003A489E" w:rsidRPr="00A33DBA" w:rsidRDefault="003A489E" w:rsidP="00DC1808">
                                  <w:pPr>
                                    <w:rPr>
                                      <w:rFonts w:ascii="Arial" w:hAnsi="Arial" w:cs="Arial"/>
                                      <w:sz w:val="20"/>
                                    </w:rPr>
                                  </w:pPr>
                                  <w:r>
                                    <w:rPr>
                                      <w:rFonts w:ascii="Arial" w:hAnsi="Arial" w:cs="Arial"/>
                                      <w:sz w:val="20"/>
                                    </w:rPr>
                                    <w:t>Riski</w:t>
                                  </w:r>
                                  <w:r w:rsidRPr="00A33DBA">
                                    <w:rPr>
                                      <w:rFonts w:ascii="Arial" w:hAnsi="Arial" w:cs="Arial"/>
                                      <w:sz w:val="20"/>
                                    </w:rPr>
                                    <w:t xml:space="preserve"> </w:t>
                                  </w:r>
                                  <w:r>
                                    <w:rPr>
                                      <w:rFonts w:ascii="Arial" w:hAnsi="Arial" w:cs="Arial"/>
                                      <w:sz w:val="20"/>
                                    </w:rPr>
                                    <w:t>määr 0,</w:t>
                                  </w:r>
                                  <w:r w:rsidRPr="00A33DBA">
                                    <w:rPr>
                                      <w:rFonts w:ascii="Arial" w:hAnsi="Arial" w:cs="Arial"/>
                                      <w:sz w:val="20"/>
                                    </w:rPr>
                                    <w:t>45</w:t>
                                  </w:r>
                                </w:p>
                                <w:p w14:paraId="7D0281EE" w14:textId="77777777" w:rsidR="003A489E" w:rsidRPr="00EB1BE5" w:rsidRDefault="003A489E" w:rsidP="003C71AD">
                                  <w:pPr>
                                    <w:rPr>
                                      <w:rFonts w:ascii="Arial" w:hAnsi="Arial" w:cs="Arial"/>
                                      <w:sz w:val="20"/>
                                    </w:rPr>
                                  </w:pPr>
                                  <w:r>
                                    <w:rPr>
                                      <w:rFonts w:ascii="Arial" w:hAnsi="Arial" w:cs="Arial"/>
                                      <w:sz w:val="20"/>
                                    </w:rPr>
                                    <w:t>(95% Cl, 0,22…0,</w:t>
                                  </w:r>
                                  <w:r w:rsidRPr="00A33DBA">
                                    <w:rPr>
                                      <w:rFonts w:ascii="Arial" w:hAnsi="Arial" w:cs="Arial"/>
                                      <w:sz w:val="20"/>
                                    </w:rPr>
                                    <w:t>89)</w:t>
                                  </w:r>
                                </w:p>
                              </w:tc>
                            </w:tr>
                            <w:tr w:rsidR="003A489E" w:rsidRPr="0055776F" w14:paraId="646D05FD" w14:textId="77777777" w:rsidTr="00DC1808">
                              <w:tc>
                                <w:tcPr>
                                  <w:tcW w:w="817" w:type="dxa"/>
                                  <w:shd w:val="clear" w:color="auto" w:fill="auto"/>
                                </w:tcPr>
                                <w:p w14:paraId="7643FF7B" w14:textId="77777777" w:rsidR="003A489E" w:rsidRPr="0055776F" w:rsidRDefault="003A489E" w:rsidP="00B00A71">
                                  <w:pPr>
                                    <w:rPr>
                                      <w:rFonts w:ascii="Arial" w:hAnsi="Arial" w:cs="Arial"/>
                                      <w:sz w:val="20"/>
                                    </w:rPr>
                                  </w:pPr>
                                </w:p>
                              </w:tc>
                              <w:tc>
                                <w:tcPr>
                                  <w:tcW w:w="2835" w:type="dxa"/>
                                  <w:shd w:val="clear" w:color="auto" w:fill="auto"/>
                                </w:tcPr>
                                <w:p w14:paraId="29AD13C3" w14:textId="77777777" w:rsidR="003A489E" w:rsidRPr="0055776F" w:rsidRDefault="003A489E" w:rsidP="00B00A71">
                                  <w:pPr>
                                    <w:rPr>
                                      <w:rFonts w:ascii="Arial" w:hAnsi="Arial" w:cs="Arial"/>
                                      <w:sz w:val="20"/>
                                    </w:rPr>
                                  </w:pPr>
                                </w:p>
                              </w:tc>
                              <w:tc>
                                <w:tcPr>
                                  <w:tcW w:w="851" w:type="dxa"/>
                                  <w:tcBorders>
                                    <w:bottom w:val="single" w:sz="4" w:space="0" w:color="auto"/>
                                  </w:tcBorders>
                                  <w:shd w:val="clear" w:color="auto" w:fill="auto"/>
                                </w:tcPr>
                                <w:p w14:paraId="6FDBDFE7" w14:textId="77777777" w:rsidR="003A489E" w:rsidRPr="0055776F" w:rsidRDefault="003A489E" w:rsidP="00B00A71">
                                  <w:pPr>
                                    <w:rPr>
                                      <w:rFonts w:ascii="Arial" w:hAnsi="Arial" w:cs="Arial"/>
                                      <w:sz w:val="20"/>
                                    </w:rPr>
                                  </w:pPr>
                                  <w:r w:rsidRPr="00EB1BE5">
                                    <w:rPr>
                                      <w:rFonts w:ascii="Arial" w:hAnsi="Arial" w:cs="Arial"/>
                                      <w:sz w:val="20"/>
                                    </w:rPr>
                                    <w:t>N</w:t>
                                  </w:r>
                                </w:p>
                              </w:tc>
                              <w:tc>
                                <w:tcPr>
                                  <w:tcW w:w="709" w:type="dxa"/>
                                  <w:tcBorders>
                                    <w:bottom w:val="single" w:sz="4" w:space="0" w:color="auto"/>
                                  </w:tcBorders>
                                  <w:shd w:val="clear" w:color="auto" w:fill="auto"/>
                                </w:tcPr>
                                <w:p w14:paraId="6129865F" w14:textId="77777777" w:rsidR="003A489E" w:rsidRPr="0055776F" w:rsidRDefault="003A489E" w:rsidP="00B00A71">
                                  <w:pPr>
                                    <w:rPr>
                                      <w:rFonts w:ascii="Arial" w:hAnsi="Arial" w:cs="Arial"/>
                                      <w:sz w:val="20"/>
                                    </w:rPr>
                                  </w:pPr>
                                  <w:r w:rsidRPr="00EB1BE5">
                                    <w:rPr>
                                      <w:rFonts w:ascii="Arial" w:hAnsi="Arial" w:cs="Arial"/>
                                      <w:sz w:val="20"/>
                                    </w:rPr>
                                    <w:t>Snd</w:t>
                                  </w:r>
                                </w:p>
                              </w:tc>
                              <w:tc>
                                <w:tcPr>
                                  <w:tcW w:w="850" w:type="dxa"/>
                                  <w:tcBorders>
                                    <w:bottom w:val="single" w:sz="4" w:space="0" w:color="auto"/>
                                  </w:tcBorders>
                                  <w:shd w:val="clear" w:color="auto" w:fill="auto"/>
                                </w:tcPr>
                                <w:p w14:paraId="1114C242" w14:textId="77777777" w:rsidR="003A489E" w:rsidRPr="0055776F" w:rsidRDefault="003A489E" w:rsidP="00B00A71">
                                  <w:pPr>
                                    <w:rPr>
                                      <w:rFonts w:ascii="Arial" w:hAnsi="Arial" w:cs="Arial"/>
                                      <w:sz w:val="20"/>
                                    </w:rPr>
                                  </w:pPr>
                                  <w:r w:rsidRPr="00EB1BE5">
                                    <w:rPr>
                                      <w:rFonts w:ascii="Arial" w:hAnsi="Arial" w:cs="Arial"/>
                                      <w:sz w:val="20"/>
                                    </w:rPr>
                                    <w:t>Tsen</w:t>
                                  </w:r>
                                </w:p>
                              </w:tc>
                            </w:tr>
                            <w:tr w:rsidR="003A489E" w:rsidRPr="0055776F" w14:paraId="0A8524F2" w14:textId="77777777" w:rsidTr="00DC1808">
                              <w:tc>
                                <w:tcPr>
                                  <w:tcW w:w="817" w:type="dxa"/>
                                  <w:shd w:val="clear" w:color="auto" w:fill="auto"/>
                                </w:tcPr>
                                <w:p w14:paraId="458B9499" w14:textId="77777777" w:rsidR="003A489E" w:rsidRPr="0055776F" w:rsidRDefault="003A489E" w:rsidP="00B00A71">
                                  <w:pPr>
                                    <w:rPr>
                                      <w:rFonts w:ascii="Arial" w:hAnsi="Arial" w:cs="Arial"/>
                                      <w:sz w:val="20"/>
                                    </w:rPr>
                                  </w:pPr>
                                  <w:r w:rsidRPr="0055776F">
                                    <w:rPr>
                                      <w:rFonts w:ascii="Arial" w:hAnsi="Arial" w:cs="Arial"/>
                                      <w:b/>
                                      <w:sz w:val="20"/>
                                    </w:rPr>
                                    <w:t>——</w:t>
                                  </w:r>
                                </w:p>
                              </w:tc>
                              <w:tc>
                                <w:tcPr>
                                  <w:tcW w:w="2835" w:type="dxa"/>
                                  <w:shd w:val="clear" w:color="auto" w:fill="auto"/>
                                </w:tcPr>
                                <w:p w14:paraId="16D09BAF" w14:textId="77777777" w:rsidR="003A489E" w:rsidRPr="0055776F" w:rsidRDefault="003A489E" w:rsidP="00535195">
                                  <w:pPr>
                                    <w:rPr>
                                      <w:rFonts w:ascii="Arial" w:hAnsi="Arial" w:cs="Arial"/>
                                      <w:sz w:val="20"/>
                                    </w:rPr>
                                  </w:pPr>
                                  <w:r>
                                    <w:rPr>
                                      <w:rFonts w:ascii="Arial" w:hAnsi="Arial" w:cs="Arial"/>
                                      <w:sz w:val="20"/>
                                    </w:rPr>
                                    <w:t>(1) Imatiniib 12 kuud</w:t>
                                  </w:r>
                                  <w:r w:rsidRPr="0055776F">
                                    <w:rPr>
                                      <w:rFonts w:ascii="Arial" w:hAnsi="Arial" w:cs="Arial"/>
                                      <w:sz w:val="20"/>
                                    </w:rPr>
                                    <w:t>:</w:t>
                                  </w:r>
                                </w:p>
                              </w:tc>
                              <w:tc>
                                <w:tcPr>
                                  <w:tcW w:w="851" w:type="dxa"/>
                                  <w:tcBorders>
                                    <w:top w:val="single" w:sz="4" w:space="0" w:color="auto"/>
                                  </w:tcBorders>
                                  <w:shd w:val="clear" w:color="auto" w:fill="auto"/>
                                </w:tcPr>
                                <w:p w14:paraId="5BF143D7" w14:textId="77777777" w:rsidR="003A489E" w:rsidRPr="0055776F" w:rsidRDefault="003A489E" w:rsidP="00B00A71">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51C482F2" w14:textId="77777777" w:rsidR="003A489E" w:rsidRPr="0055776F" w:rsidRDefault="003A489E" w:rsidP="00B00A71">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7AE050B5" w14:textId="77777777" w:rsidR="003A489E" w:rsidRPr="0055776F" w:rsidRDefault="003A489E" w:rsidP="00B00A71">
                                  <w:pPr>
                                    <w:rPr>
                                      <w:rFonts w:ascii="Arial" w:hAnsi="Arial" w:cs="Arial"/>
                                      <w:sz w:val="20"/>
                                    </w:rPr>
                                  </w:pPr>
                                  <w:r w:rsidRPr="0055776F">
                                    <w:rPr>
                                      <w:rFonts w:ascii="Arial" w:hAnsi="Arial" w:cs="Arial"/>
                                      <w:sz w:val="20"/>
                                    </w:rPr>
                                    <w:t>174</w:t>
                                  </w:r>
                                </w:p>
                              </w:tc>
                            </w:tr>
                            <w:tr w:rsidR="003A489E" w:rsidRPr="0055776F" w14:paraId="632A708A" w14:textId="77777777" w:rsidTr="00DC1808">
                              <w:tc>
                                <w:tcPr>
                                  <w:tcW w:w="817" w:type="dxa"/>
                                  <w:shd w:val="clear" w:color="auto" w:fill="auto"/>
                                </w:tcPr>
                                <w:p w14:paraId="30E70EB0" w14:textId="77777777" w:rsidR="003A489E" w:rsidRPr="0055776F" w:rsidRDefault="003A489E" w:rsidP="00B00A71">
                                  <w:pPr>
                                    <w:rPr>
                                      <w:rFonts w:ascii="Arial" w:hAnsi="Arial" w:cs="Arial"/>
                                      <w:sz w:val="20"/>
                                    </w:rPr>
                                  </w:pPr>
                                  <w:r w:rsidRPr="0055776F">
                                    <w:rPr>
                                      <w:rFonts w:ascii="Arial" w:hAnsi="Arial" w:cs="Arial"/>
                                      <w:sz w:val="20"/>
                                    </w:rPr>
                                    <w:t>-----</w:t>
                                  </w:r>
                                </w:p>
                              </w:tc>
                              <w:tc>
                                <w:tcPr>
                                  <w:tcW w:w="2835" w:type="dxa"/>
                                  <w:shd w:val="clear" w:color="auto" w:fill="auto"/>
                                </w:tcPr>
                                <w:p w14:paraId="2B2B4750" w14:textId="77777777" w:rsidR="003A489E" w:rsidRPr="0055776F" w:rsidRDefault="003A489E" w:rsidP="00535195">
                                  <w:pPr>
                                    <w:rPr>
                                      <w:rFonts w:ascii="Arial" w:hAnsi="Arial" w:cs="Arial"/>
                                      <w:sz w:val="20"/>
                                    </w:rPr>
                                  </w:pPr>
                                  <w:r w:rsidRPr="0055776F">
                                    <w:rPr>
                                      <w:rFonts w:ascii="Arial" w:hAnsi="Arial" w:cs="Arial"/>
                                      <w:sz w:val="20"/>
                                    </w:rPr>
                                    <w:t>(2) Imatin</w:t>
                                  </w:r>
                                  <w:r>
                                    <w:rPr>
                                      <w:rFonts w:ascii="Arial" w:hAnsi="Arial" w:cs="Arial"/>
                                      <w:sz w:val="20"/>
                                    </w:rPr>
                                    <w:t>i</w:t>
                                  </w:r>
                                  <w:r w:rsidRPr="0055776F">
                                    <w:rPr>
                                      <w:rFonts w:ascii="Arial" w:hAnsi="Arial" w:cs="Arial"/>
                                      <w:sz w:val="20"/>
                                    </w:rPr>
                                    <w:t xml:space="preserve">ib </w:t>
                                  </w:r>
                                  <w:r>
                                    <w:rPr>
                                      <w:rFonts w:ascii="Arial" w:hAnsi="Arial" w:cs="Arial"/>
                                      <w:sz w:val="20"/>
                                    </w:rPr>
                                    <w:t>36 kuud</w:t>
                                  </w:r>
                                  <w:r w:rsidRPr="0055776F">
                                    <w:rPr>
                                      <w:rFonts w:ascii="Arial" w:hAnsi="Arial" w:cs="Arial"/>
                                      <w:sz w:val="20"/>
                                    </w:rPr>
                                    <w:t>:</w:t>
                                  </w:r>
                                </w:p>
                              </w:tc>
                              <w:tc>
                                <w:tcPr>
                                  <w:tcW w:w="851" w:type="dxa"/>
                                  <w:tcBorders>
                                    <w:bottom w:val="single" w:sz="4" w:space="0" w:color="auto"/>
                                  </w:tcBorders>
                                  <w:shd w:val="clear" w:color="auto" w:fill="auto"/>
                                </w:tcPr>
                                <w:p w14:paraId="365B8594" w14:textId="77777777" w:rsidR="003A489E" w:rsidRPr="0055776F" w:rsidRDefault="003A489E" w:rsidP="00B00A71">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70205D79" w14:textId="77777777" w:rsidR="003A489E" w:rsidRPr="0055776F" w:rsidRDefault="003A489E" w:rsidP="00B00A71">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24AEDB94" w14:textId="77777777" w:rsidR="003A489E" w:rsidRPr="0055776F" w:rsidRDefault="003A489E" w:rsidP="00B00A71">
                                  <w:pPr>
                                    <w:rPr>
                                      <w:rFonts w:ascii="Arial" w:hAnsi="Arial" w:cs="Arial"/>
                                      <w:sz w:val="20"/>
                                    </w:rPr>
                                  </w:pPr>
                                  <w:r w:rsidRPr="0055776F">
                                    <w:rPr>
                                      <w:rFonts w:ascii="Arial" w:hAnsi="Arial" w:cs="Arial"/>
                                      <w:sz w:val="20"/>
                                    </w:rPr>
                                    <w:t>186</w:t>
                                  </w:r>
                                </w:p>
                              </w:tc>
                            </w:tr>
                            <w:tr w:rsidR="003A489E" w:rsidRPr="0055776F" w14:paraId="7DFFAF1E" w14:textId="77777777" w:rsidTr="00DC1808">
                              <w:tc>
                                <w:tcPr>
                                  <w:tcW w:w="817" w:type="dxa"/>
                                  <w:shd w:val="clear" w:color="auto" w:fill="auto"/>
                                </w:tcPr>
                                <w:p w14:paraId="6E2C4BAD" w14:textId="77777777" w:rsidR="003A489E" w:rsidRPr="0055776F" w:rsidRDefault="003A489E" w:rsidP="00B00A71">
                                  <w:pPr>
                                    <w:rPr>
                                      <w:rFonts w:ascii="Arial" w:hAnsi="Arial" w:cs="Arial"/>
                                      <w:sz w:val="20"/>
                                    </w:rPr>
                                  </w:pPr>
                                  <w:r w:rsidRPr="0055776F">
                                    <w:rPr>
                                      <w:rFonts w:ascii="Arial" w:hAnsi="Arial" w:cs="Arial"/>
                                      <w:sz w:val="20"/>
                                    </w:rPr>
                                    <w:t>│││</w:t>
                                  </w:r>
                                </w:p>
                              </w:tc>
                              <w:tc>
                                <w:tcPr>
                                  <w:tcW w:w="2835" w:type="dxa"/>
                                  <w:shd w:val="clear" w:color="auto" w:fill="auto"/>
                                </w:tcPr>
                                <w:p w14:paraId="34601B1E" w14:textId="77777777" w:rsidR="003A489E" w:rsidRPr="0055776F" w:rsidRDefault="003A489E" w:rsidP="00B00A71">
                                  <w:pPr>
                                    <w:rPr>
                                      <w:rFonts w:ascii="Arial" w:hAnsi="Arial" w:cs="Arial"/>
                                      <w:sz w:val="20"/>
                                    </w:rPr>
                                  </w:pPr>
                                  <w:r>
                                    <w:rPr>
                                      <w:rFonts w:ascii="Arial" w:hAnsi="Arial" w:cs="Arial"/>
                                      <w:sz w:val="20"/>
                                    </w:rPr>
                                    <w:t>Tsenseeritud</w:t>
                                  </w:r>
                                  <w:r w:rsidRPr="00A33DBA">
                                    <w:rPr>
                                      <w:rFonts w:ascii="Arial" w:hAnsi="Arial" w:cs="Arial"/>
                                      <w:sz w:val="20"/>
                                    </w:rPr>
                                    <w:t xml:space="preserve"> </w:t>
                                  </w:r>
                                  <w:r>
                                    <w:rPr>
                                      <w:rFonts w:ascii="Arial" w:hAnsi="Arial" w:cs="Arial"/>
                                      <w:sz w:val="20"/>
                                    </w:rPr>
                                    <w:t>vaatlusandmed</w:t>
                                  </w:r>
                                </w:p>
                              </w:tc>
                              <w:tc>
                                <w:tcPr>
                                  <w:tcW w:w="851" w:type="dxa"/>
                                  <w:tcBorders>
                                    <w:top w:val="single" w:sz="4" w:space="0" w:color="auto"/>
                                  </w:tcBorders>
                                  <w:shd w:val="clear" w:color="auto" w:fill="auto"/>
                                </w:tcPr>
                                <w:p w14:paraId="65FD1DB2" w14:textId="77777777" w:rsidR="003A489E" w:rsidRPr="0055776F" w:rsidRDefault="003A489E" w:rsidP="00B00A71">
                                  <w:pPr>
                                    <w:rPr>
                                      <w:rFonts w:ascii="Arial" w:hAnsi="Arial" w:cs="Arial"/>
                                      <w:sz w:val="20"/>
                                    </w:rPr>
                                  </w:pPr>
                                </w:p>
                              </w:tc>
                              <w:tc>
                                <w:tcPr>
                                  <w:tcW w:w="709" w:type="dxa"/>
                                  <w:tcBorders>
                                    <w:top w:val="single" w:sz="4" w:space="0" w:color="auto"/>
                                  </w:tcBorders>
                                  <w:shd w:val="clear" w:color="auto" w:fill="auto"/>
                                </w:tcPr>
                                <w:p w14:paraId="3A6920AA" w14:textId="77777777" w:rsidR="003A489E" w:rsidRPr="0055776F" w:rsidRDefault="003A489E" w:rsidP="00B00A71">
                                  <w:pPr>
                                    <w:rPr>
                                      <w:rFonts w:ascii="Arial" w:hAnsi="Arial" w:cs="Arial"/>
                                      <w:sz w:val="20"/>
                                    </w:rPr>
                                  </w:pPr>
                                </w:p>
                              </w:tc>
                              <w:tc>
                                <w:tcPr>
                                  <w:tcW w:w="850" w:type="dxa"/>
                                  <w:tcBorders>
                                    <w:top w:val="single" w:sz="4" w:space="0" w:color="auto"/>
                                  </w:tcBorders>
                                  <w:shd w:val="clear" w:color="auto" w:fill="auto"/>
                                </w:tcPr>
                                <w:p w14:paraId="6E16DBEB" w14:textId="77777777" w:rsidR="003A489E" w:rsidRPr="0055776F" w:rsidRDefault="003A489E" w:rsidP="00B00A71">
                                  <w:pPr>
                                    <w:rPr>
                                      <w:rFonts w:ascii="Arial" w:hAnsi="Arial" w:cs="Arial"/>
                                      <w:sz w:val="20"/>
                                    </w:rPr>
                                  </w:pPr>
                                </w:p>
                              </w:tc>
                            </w:tr>
                          </w:tbl>
                          <w:p w14:paraId="54EE0FB4" w14:textId="77777777" w:rsidR="003A489E" w:rsidRPr="00A33DBA" w:rsidRDefault="003A489E" w:rsidP="00E21A2F">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C57347" id="_x0000_s1037" type="#_x0000_t202" style="position:absolute;margin-left:26.85pt;margin-top:69.85pt;width:361.0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" filled="f" stroked="f">
                <v:textbox>
                  <w:txbxContent>
                    <w:p w14:paraId="54AA69BF" w14:textId="77777777" w:rsidR="003A489E" w:rsidRDefault="003A489E" w:rsidP="00E21A2F">
                      <w:pPr>
                        <w:rPr>
                          <w:rFonts w:ascii="Arial" w:hAnsi="Arial" w:cs="Arial"/>
                          <w:sz w:val="20"/>
                        </w:rPr>
                      </w:pPr>
                    </w:p>
                    <w:tbl>
                      <w:tblPr>
                        <w:tblW w:w="0" w:type="auto"/>
                        <w:tblLook w:val="04A0" w:firstRow="1" w:lastRow="0" w:firstColumn="1" w:lastColumn="0" w:noHBand="0" w:noVBand="1"/>
                      </w:tblPr>
                      <w:tblGrid>
                        <w:gridCol w:w="817"/>
                        <w:gridCol w:w="2835"/>
                        <w:gridCol w:w="851"/>
                        <w:gridCol w:w="709"/>
                        <w:gridCol w:w="850"/>
                      </w:tblGrid>
                      <w:tr w:rsidR="003A489E" w:rsidRPr="0055776F" w14:paraId="643F9500" w14:textId="77777777" w:rsidTr="00DC1808">
                        <w:tc>
                          <w:tcPr>
                            <w:tcW w:w="6062" w:type="dxa"/>
                            <w:gridSpan w:val="5"/>
                            <w:shd w:val="clear" w:color="auto" w:fill="auto"/>
                          </w:tcPr>
                          <w:p w14:paraId="28A7AAE4" w14:textId="77777777" w:rsidR="003A489E" w:rsidRPr="00A33DBA" w:rsidRDefault="003A489E" w:rsidP="00DC1808">
                            <w:pPr>
                              <w:rPr>
                                <w:rFonts w:ascii="Arial" w:hAnsi="Arial" w:cs="Arial"/>
                                <w:sz w:val="20"/>
                              </w:rPr>
                            </w:pPr>
                            <w:r>
                              <w:rPr>
                                <w:rFonts w:ascii="Arial" w:hAnsi="Arial" w:cs="Arial"/>
                                <w:sz w:val="20"/>
                              </w:rPr>
                              <w:t>P = 0,0</w:t>
                            </w:r>
                            <w:r w:rsidRPr="00A33DBA">
                              <w:rPr>
                                <w:rFonts w:ascii="Arial" w:hAnsi="Arial" w:cs="Arial"/>
                                <w:sz w:val="20"/>
                              </w:rPr>
                              <w:t>19</w:t>
                            </w:r>
                          </w:p>
                          <w:p w14:paraId="4353B2E3" w14:textId="77777777" w:rsidR="003A489E" w:rsidRPr="00A33DBA" w:rsidRDefault="003A489E" w:rsidP="00DC1808">
                            <w:pPr>
                              <w:rPr>
                                <w:rFonts w:ascii="Arial" w:hAnsi="Arial" w:cs="Arial"/>
                                <w:sz w:val="20"/>
                              </w:rPr>
                            </w:pPr>
                            <w:r>
                              <w:rPr>
                                <w:rFonts w:ascii="Arial" w:hAnsi="Arial" w:cs="Arial"/>
                                <w:sz w:val="20"/>
                              </w:rPr>
                              <w:t>Riski</w:t>
                            </w:r>
                            <w:r w:rsidRPr="00A33DBA">
                              <w:rPr>
                                <w:rFonts w:ascii="Arial" w:hAnsi="Arial" w:cs="Arial"/>
                                <w:sz w:val="20"/>
                              </w:rPr>
                              <w:t xml:space="preserve"> </w:t>
                            </w:r>
                            <w:r>
                              <w:rPr>
                                <w:rFonts w:ascii="Arial" w:hAnsi="Arial" w:cs="Arial"/>
                                <w:sz w:val="20"/>
                              </w:rPr>
                              <w:t>määr 0,</w:t>
                            </w:r>
                            <w:r w:rsidRPr="00A33DBA">
                              <w:rPr>
                                <w:rFonts w:ascii="Arial" w:hAnsi="Arial" w:cs="Arial"/>
                                <w:sz w:val="20"/>
                              </w:rPr>
                              <w:t>45</w:t>
                            </w:r>
                          </w:p>
                          <w:p w14:paraId="7D0281EE" w14:textId="77777777" w:rsidR="003A489E" w:rsidRPr="00EB1BE5" w:rsidRDefault="003A489E" w:rsidP="003C71AD">
                            <w:pPr>
                              <w:rPr>
                                <w:rFonts w:ascii="Arial" w:hAnsi="Arial" w:cs="Arial"/>
                                <w:sz w:val="20"/>
                              </w:rPr>
                            </w:pPr>
                            <w:r>
                              <w:rPr>
                                <w:rFonts w:ascii="Arial" w:hAnsi="Arial" w:cs="Arial"/>
                                <w:sz w:val="20"/>
                              </w:rPr>
                              <w:t>(95% Cl, 0,22…0,</w:t>
                            </w:r>
                            <w:r w:rsidRPr="00A33DBA">
                              <w:rPr>
                                <w:rFonts w:ascii="Arial" w:hAnsi="Arial" w:cs="Arial"/>
                                <w:sz w:val="20"/>
                              </w:rPr>
                              <w:t>89)</w:t>
                            </w:r>
                          </w:p>
                        </w:tc>
                      </w:tr>
                      <w:tr w:rsidR="003A489E" w:rsidRPr="0055776F" w14:paraId="646D05FD" w14:textId="77777777" w:rsidTr="00DC1808">
                        <w:tc>
                          <w:tcPr>
                            <w:tcW w:w="817" w:type="dxa"/>
                            <w:shd w:val="clear" w:color="auto" w:fill="auto"/>
                          </w:tcPr>
                          <w:p w14:paraId="7643FF7B" w14:textId="77777777" w:rsidR="003A489E" w:rsidRPr="0055776F" w:rsidRDefault="003A489E" w:rsidP="00B00A71">
                            <w:pPr>
                              <w:rPr>
                                <w:rFonts w:ascii="Arial" w:hAnsi="Arial" w:cs="Arial"/>
                                <w:sz w:val="20"/>
                              </w:rPr>
                            </w:pPr>
                          </w:p>
                        </w:tc>
                        <w:tc>
                          <w:tcPr>
                            <w:tcW w:w="2835" w:type="dxa"/>
                            <w:shd w:val="clear" w:color="auto" w:fill="auto"/>
                          </w:tcPr>
                          <w:p w14:paraId="29AD13C3" w14:textId="77777777" w:rsidR="003A489E" w:rsidRPr="0055776F" w:rsidRDefault="003A489E" w:rsidP="00B00A71">
                            <w:pPr>
                              <w:rPr>
                                <w:rFonts w:ascii="Arial" w:hAnsi="Arial" w:cs="Arial"/>
                                <w:sz w:val="20"/>
                              </w:rPr>
                            </w:pPr>
                          </w:p>
                        </w:tc>
                        <w:tc>
                          <w:tcPr>
                            <w:tcW w:w="851" w:type="dxa"/>
                            <w:tcBorders>
                              <w:bottom w:val="single" w:sz="4" w:space="0" w:color="auto"/>
                            </w:tcBorders>
                            <w:shd w:val="clear" w:color="auto" w:fill="auto"/>
                          </w:tcPr>
                          <w:p w14:paraId="6FDBDFE7" w14:textId="77777777" w:rsidR="003A489E" w:rsidRPr="0055776F" w:rsidRDefault="003A489E" w:rsidP="00B00A71">
                            <w:pPr>
                              <w:rPr>
                                <w:rFonts w:ascii="Arial" w:hAnsi="Arial" w:cs="Arial"/>
                                <w:sz w:val="20"/>
                              </w:rPr>
                            </w:pPr>
                            <w:r w:rsidRPr="00EB1BE5">
                              <w:rPr>
                                <w:rFonts w:ascii="Arial" w:hAnsi="Arial" w:cs="Arial"/>
                                <w:sz w:val="20"/>
                              </w:rPr>
                              <w:t>N</w:t>
                            </w:r>
                          </w:p>
                        </w:tc>
                        <w:tc>
                          <w:tcPr>
                            <w:tcW w:w="709" w:type="dxa"/>
                            <w:tcBorders>
                              <w:bottom w:val="single" w:sz="4" w:space="0" w:color="auto"/>
                            </w:tcBorders>
                            <w:shd w:val="clear" w:color="auto" w:fill="auto"/>
                          </w:tcPr>
                          <w:p w14:paraId="6129865F" w14:textId="77777777" w:rsidR="003A489E" w:rsidRPr="0055776F" w:rsidRDefault="003A489E" w:rsidP="00B00A71">
                            <w:pPr>
                              <w:rPr>
                                <w:rFonts w:ascii="Arial" w:hAnsi="Arial" w:cs="Arial"/>
                                <w:sz w:val="20"/>
                              </w:rPr>
                            </w:pPr>
                            <w:r w:rsidRPr="00EB1BE5">
                              <w:rPr>
                                <w:rFonts w:ascii="Arial" w:hAnsi="Arial" w:cs="Arial"/>
                                <w:sz w:val="20"/>
                              </w:rPr>
                              <w:t>Snd</w:t>
                            </w:r>
                          </w:p>
                        </w:tc>
                        <w:tc>
                          <w:tcPr>
                            <w:tcW w:w="850" w:type="dxa"/>
                            <w:tcBorders>
                              <w:bottom w:val="single" w:sz="4" w:space="0" w:color="auto"/>
                            </w:tcBorders>
                            <w:shd w:val="clear" w:color="auto" w:fill="auto"/>
                          </w:tcPr>
                          <w:p w14:paraId="1114C242" w14:textId="77777777" w:rsidR="003A489E" w:rsidRPr="0055776F" w:rsidRDefault="003A489E" w:rsidP="00B00A71">
                            <w:pPr>
                              <w:rPr>
                                <w:rFonts w:ascii="Arial" w:hAnsi="Arial" w:cs="Arial"/>
                                <w:sz w:val="20"/>
                              </w:rPr>
                            </w:pPr>
                            <w:r w:rsidRPr="00EB1BE5">
                              <w:rPr>
                                <w:rFonts w:ascii="Arial" w:hAnsi="Arial" w:cs="Arial"/>
                                <w:sz w:val="20"/>
                              </w:rPr>
                              <w:t>Tsen</w:t>
                            </w:r>
                          </w:p>
                        </w:tc>
                      </w:tr>
                      <w:tr w:rsidR="003A489E" w:rsidRPr="0055776F" w14:paraId="0A8524F2" w14:textId="77777777" w:rsidTr="00DC1808">
                        <w:tc>
                          <w:tcPr>
                            <w:tcW w:w="817" w:type="dxa"/>
                            <w:shd w:val="clear" w:color="auto" w:fill="auto"/>
                          </w:tcPr>
                          <w:p w14:paraId="458B9499" w14:textId="77777777" w:rsidR="003A489E" w:rsidRPr="0055776F" w:rsidRDefault="003A489E" w:rsidP="00B00A71">
                            <w:pPr>
                              <w:rPr>
                                <w:rFonts w:ascii="Arial" w:hAnsi="Arial" w:cs="Arial"/>
                                <w:sz w:val="20"/>
                              </w:rPr>
                            </w:pPr>
                            <w:r w:rsidRPr="0055776F">
                              <w:rPr>
                                <w:rFonts w:ascii="Arial" w:hAnsi="Arial" w:cs="Arial"/>
                                <w:b/>
                                <w:sz w:val="20"/>
                              </w:rPr>
                              <w:t>——</w:t>
                            </w:r>
                          </w:p>
                        </w:tc>
                        <w:tc>
                          <w:tcPr>
                            <w:tcW w:w="2835" w:type="dxa"/>
                            <w:shd w:val="clear" w:color="auto" w:fill="auto"/>
                          </w:tcPr>
                          <w:p w14:paraId="16D09BAF" w14:textId="77777777" w:rsidR="003A489E" w:rsidRPr="0055776F" w:rsidRDefault="003A489E" w:rsidP="00535195">
                            <w:pPr>
                              <w:rPr>
                                <w:rFonts w:ascii="Arial" w:hAnsi="Arial" w:cs="Arial"/>
                                <w:sz w:val="20"/>
                              </w:rPr>
                            </w:pPr>
                            <w:r>
                              <w:rPr>
                                <w:rFonts w:ascii="Arial" w:hAnsi="Arial" w:cs="Arial"/>
                                <w:sz w:val="20"/>
                              </w:rPr>
                              <w:t>(1) Imatiniib 12 kuud</w:t>
                            </w:r>
                            <w:r w:rsidRPr="0055776F">
                              <w:rPr>
                                <w:rFonts w:ascii="Arial" w:hAnsi="Arial" w:cs="Arial"/>
                                <w:sz w:val="20"/>
                              </w:rPr>
                              <w:t>:</w:t>
                            </w:r>
                          </w:p>
                        </w:tc>
                        <w:tc>
                          <w:tcPr>
                            <w:tcW w:w="851" w:type="dxa"/>
                            <w:tcBorders>
                              <w:top w:val="single" w:sz="4" w:space="0" w:color="auto"/>
                            </w:tcBorders>
                            <w:shd w:val="clear" w:color="auto" w:fill="auto"/>
                          </w:tcPr>
                          <w:p w14:paraId="5BF143D7" w14:textId="77777777" w:rsidR="003A489E" w:rsidRPr="0055776F" w:rsidRDefault="003A489E" w:rsidP="00B00A71">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51C482F2" w14:textId="77777777" w:rsidR="003A489E" w:rsidRPr="0055776F" w:rsidRDefault="003A489E" w:rsidP="00B00A71">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7AE050B5" w14:textId="77777777" w:rsidR="003A489E" w:rsidRPr="0055776F" w:rsidRDefault="003A489E" w:rsidP="00B00A71">
                            <w:pPr>
                              <w:rPr>
                                <w:rFonts w:ascii="Arial" w:hAnsi="Arial" w:cs="Arial"/>
                                <w:sz w:val="20"/>
                              </w:rPr>
                            </w:pPr>
                            <w:r w:rsidRPr="0055776F">
                              <w:rPr>
                                <w:rFonts w:ascii="Arial" w:hAnsi="Arial" w:cs="Arial"/>
                                <w:sz w:val="20"/>
                              </w:rPr>
                              <w:t>174</w:t>
                            </w:r>
                          </w:p>
                        </w:tc>
                      </w:tr>
                      <w:tr w:rsidR="003A489E" w:rsidRPr="0055776F" w14:paraId="632A708A" w14:textId="77777777" w:rsidTr="00DC1808">
                        <w:tc>
                          <w:tcPr>
                            <w:tcW w:w="817" w:type="dxa"/>
                            <w:shd w:val="clear" w:color="auto" w:fill="auto"/>
                          </w:tcPr>
                          <w:p w14:paraId="30E70EB0" w14:textId="77777777" w:rsidR="003A489E" w:rsidRPr="0055776F" w:rsidRDefault="003A489E" w:rsidP="00B00A71">
                            <w:pPr>
                              <w:rPr>
                                <w:rFonts w:ascii="Arial" w:hAnsi="Arial" w:cs="Arial"/>
                                <w:sz w:val="20"/>
                              </w:rPr>
                            </w:pPr>
                            <w:r w:rsidRPr="0055776F">
                              <w:rPr>
                                <w:rFonts w:ascii="Arial" w:hAnsi="Arial" w:cs="Arial"/>
                                <w:sz w:val="20"/>
                              </w:rPr>
                              <w:t>-----</w:t>
                            </w:r>
                          </w:p>
                        </w:tc>
                        <w:tc>
                          <w:tcPr>
                            <w:tcW w:w="2835" w:type="dxa"/>
                            <w:shd w:val="clear" w:color="auto" w:fill="auto"/>
                          </w:tcPr>
                          <w:p w14:paraId="2B2B4750" w14:textId="77777777" w:rsidR="003A489E" w:rsidRPr="0055776F" w:rsidRDefault="003A489E" w:rsidP="00535195">
                            <w:pPr>
                              <w:rPr>
                                <w:rFonts w:ascii="Arial" w:hAnsi="Arial" w:cs="Arial"/>
                                <w:sz w:val="20"/>
                              </w:rPr>
                            </w:pPr>
                            <w:r w:rsidRPr="0055776F">
                              <w:rPr>
                                <w:rFonts w:ascii="Arial" w:hAnsi="Arial" w:cs="Arial"/>
                                <w:sz w:val="20"/>
                              </w:rPr>
                              <w:t>(2) Imatin</w:t>
                            </w:r>
                            <w:r>
                              <w:rPr>
                                <w:rFonts w:ascii="Arial" w:hAnsi="Arial" w:cs="Arial"/>
                                <w:sz w:val="20"/>
                              </w:rPr>
                              <w:t>i</w:t>
                            </w:r>
                            <w:r w:rsidRPr="0055776F">
                              <w:rPr>
                                <w:rFonts w:ascii="Arial" w:hAnsi="Arial" w:cs="Arial"/>
                                <w:sz w:val="20"/>
                              </w:rPr>
                              <w:t xml:space="preserve">ib </w:t>
                            </w:r>
                            <w:r>
                              <w:rPr>
                                <w:rFonts w:ascii="Arial" w:hAnsi="Arial" w:cs="Arial"/>
                                <w:sz w:val="20"/>
                              </w:rPr>
                              <w:t>36 kuud</w:t>
                            </w:r>
                            <w:r w:rsidRPr="0055776F">
                              <w:rPr>
                                <w:rFonts w:ascii="Arial" w:hAnsi="Arial" w:cs="Arial"/>
                                <w:sz w:val="20"/>
                              </w:rPr>
                              <w:t>:</w:t>
                            </w:r>
                          </w:p>
                        </w:tc>
                        <w:tc>
                          <w:tcPr>
                            <w:tcW w:w="851" w:type="dxa"/>
                            <w:tcBorders>
                              <w:bottom w:val="single" w:sz="4" w:space="0" w:color="auto"/>
                            </w:tcBorders>
                            <w:shd w:val="clear" w:color="auto" w:fill="auto"/>
                          </w:tcPr>
                          <w:p w14:paraId="365B8594" w14:textId="77777777" w:rsidR="003A489E" w:rsidRPr="0055776F" w:rsidRDefault="003A489E" w:rsidP="00B00A71">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70205D79" w14:textId="77777777" w:rsidR="003A489E" w:rsidRPr="0055776F" w:rsidRDefault="003A489E" w:rsidP="00B00A71">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24AEDB94" w14:textId="77777777" w:rsidR="003A489E" w:rsidRPr="0055776F" w:rsidRDefault="003A489E" w:rsidP="00B00A71">
                            <w:pPr>
                              <w:rPr>
                                <w:rFonts w:ascii="Arial" w:hAnsi="Arial" w:cs="Arial"/>
                                <w:sz w:val="20"/>
                              </w:rPr>
                            </w:pPr>
                            <w:r w:rsidRPr="0055776F">
                              <w:rPr>
                                <w:rFonts w:ascii="Arial" w:hAnsi="Arial" w:cs="Arial"/>
                                <w:sz w:val="20"/>
                              </w:rPr>
                              <w:t>186</w:t>
                            </w:r>
                          </w:p>
                        </w:tc>
                      </w:tr>
                      <w:tr w:rsidR="003A489E" w:rsidRPr="0055776F" w14:paraId="7DFFAF1E" w14:textId="77777777" w:rsidTr="00DC1808">
                        <w:tc>
                          <w:tcPr>
                            <w:tcW w:w="817" w:type="dxa"/>
                            <w:shd w:val="clear" w:color="auto" w:fill="auto"/>
                          </w:tcPr>
                          <w:p w14:paraId="6E2C4BAD" w14:textId="77777777" w:rsidR="003A489E" w:rsidRPr="0055776F" w:rsidRDefault="003A489E" w:rsidP="00B00A71">
                            <w:pPr>
                              <w:rPr>
                                <w:rFonts w:ascii="Arial" w:hAnsi="Arial" w:cs="Arial"/>
                                <w:sz w:val="20"/>
                              </w:rPr>
                            </w:pPr>
                            <w:r w:rsidRPr="0055776F">
                              <w:rPr>
                                <w:rFonts w:ascii="Arial" w:hAnsi="Arial" w:cs="Arial"/>
                                <w:sz w:val="20"/>
                              </w:rPr>
                              <w:t>│││</w:t>
                            </w:r>
                          </w:p>
                        </w:tc>
                        <w:tc>
                          <w:tcPr>
                            <w:tcW w:w="2835" w:type="dxa"/>
                            <w:shd w:val="clear" w:color="auto" w:fill="auto"/>
                          </w:tcPr>
                          <w:p w14:paraId="34601B1E" w14:textId="77777777" w:rsidR="003A489E" w:rsidRPr="0055776F" w:rsidRDefault="003A489E" w:rsidP="00B00A71">
                            <w:pPr>
                              <w:rPr>
                                <w:rFonts w:ascii="Arial" w:hAnsi="Arial" w:cs="Arial"/>
                                <w:sz w:val="20"/>
                              </w:rPr>
                            </w:pPr>
                            <w:r>
                              <w:rPr>
                                <w:rFonts w:ascii="Arial" w:hAnsi="Arial" w:cs="Arial"/>
                                <w:sz w:val="20"/>
                              </w:rPr>
                              <w:t>Tsenseeritud</w:t>
                            </w:r>
                            <w:r w:rsidRPr="00A33DBA">
                              <w:rPr>
                                <w:rFonts w:ascii="Arial" w:hAnsi="Arial" w:cs="Arial"/>
                                <w:sz w:val="20"/>
                              </w:rPr>
                              <w:t xml:space="preserve"> </w:t>
                            </w:r>
                            <w:r>
                              <w:rPr>
                                <w:rFonts w:ascii="Arial" w:hAnsi="Arial" w:cs="Arial"/>
                                <w:sz w:val="20"/>
                              </w:rPr>
                              <w:t>vaatlusandmed</w:t>
                            </w:r>
                          </w:p>
                        </w:tc>
                        <w:tc>
                          <w:tcPr>
                            <w:tcW w:w="851" w:type="dxa"/>
                            <w:tcBorders>
                              <w:top w:val="single" w:sz="4" w:space="0" w:color="auto"/>
                            </w:tcBorders>
                            <w:shd w:val="clear" w:color="auto" w:fill="auto"/>
                          </w:tcPr>
                          <w:p w14:paraId="65FD1DB2" w14:textId="77777777" w:rsidR="003A489E" w:rsidRPr="0055776F" w:rsidRDefault="003A489E" w:rsidP="00B00A71">
                            <w:pPr>
                              <w:rPr>
                                <w:rFonts w:ascii="Arial" w:hAnsi="Arial" w:cs="Arial"/>
                                <w:sz w:val="20"/>
                              </w:rPr>
                            </w:pPr>
                          </w:p>
                        </w:tc>
                        <w:tc>
                          <w:tcPr>
                            <w:tcW w:w="709" w:type="dxa"/>
                            <w:tcBorders>
                              <w:top w:val="single" w:sz="4" w:space="0" w:color="auto"/>
                            </w:tcBorders>
                            <w:shd w:val="clear" w:color="auto" w:fill="auto"/>
                          </w:tcPr>
                          <w:p w14:paraId="3A6920AA" w14:textId="77777777" w:rsidR="003A489E" w:rsidRPr="0055776F" w:rsidRDefault="003A489E" w:rsidP="00B00A71">
                            <w:pPr>
                              <w:rPr>
                                <w:rFonts w:ascii="Arial" w:hAnsi="Arial" w:cs="Arial"/>
                                <w:sz w:val="20"/>
                              </w:rPr>
                            </w:pPr>
                          </w:p>
                        </w:tc>
                        <w:tc>
                          <w:tcPr>
                            <w:tcW w:w="850" w:type="dxa"/>
                            <w:tcBorders>
                              <w:top w:val="single" w:sz="4" w:space="0" w:color="auto"/>
                            </w:tcBorders>
                            <w:shd w:val="clear" w:color="auto" w:fill="auto"/>
                          </w:tcPr>
                          <w:p w14:paraId="6E16DBEB" w14:textId="77777777" w:rsidR="003A489E" w:rsidRPr="0055776F" w:rsidRDefault="003A489E" w:rsidP="00B00A71">
                            <w:pPr>
                              <w:rPr>
                                <w:rFonts w:ascii="Arial" w:hAnsi="Arial" w:cs="Arial"/>
                                <w:sz w:val="20"/>
                              </w:rPr>
                            </w:pPr>
                          </w:p>
                        </w:tc>
                      </w:tr>
                    </w:tbl>
                    <w:p w14:paraId="54EE0FB4" w14:textId="77777777" w:rsidR="003A489E" w:rsidRPr="00A33DBA" w:rsidRDefault="003A489E" w:rsidP="00E21A2F">
                      <w:pPr>
                        <w:rPr>
                          <w:rFonts w:ascii="Arial" w:hAnsi="Arial" w:cs="Arial"/>
                          <w:sz w:val="20"/>
                        </w:rPr>
                      </w:pPr>
                    </w:p>
                  </w:txbxContent>
                </v:textbox>
              </v:shape>
            </w:pict>
          </mc:Fallback>
        </mc:AlternateContent>
      </w:r>
      <w:r w:rsidRPr="00EC3BD7">
        <w:rPr>
          <w:noProof/>
          <w:lang w:val="en-US"/>
        </w:rPr>
        <w:drawing>
          <wp:inline distT="0" distB="0" distL="0" distR="0" wp14:anchorId="3B12768A" wp14:editId="4E5A5B7B">
            <wp:extent cx="5947410" cy="26320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50D49759" w14:textId="77777777" w:rsidR="00E21A2F" w:rsidRPr="00EC3BD7" w:rsidRDefault="00E21A2F" w:rsidP="00E21A2F">
      <w:pPr>
        <w:pStyle w:val="EndnoteText"/>
        <w:widowControl w:val="0"/>
        <w:tabs>
          <w:tab w:val="clear" w:pos="567"/>
        </w:tabs>
        <w:rPr>
          <w:color w:val="000000"/>
          <w:szCs w:val="22"/>
          <w:lang w:val="et-EE"/>
        </w:rPr>
      </w:pPr>
    </w:p>
    <w:p w14:paraId="06BF1D4F" w14:textId="77777777" w:rsidR="00E21A2F" w:rsidRPr="00EC3BD7" w:rsidRDefault="00E21A2F" w:rsidP="00E21A2F">
      <w:pPr>
        <w:rPr>
          <w:lang w:val="et-EE"/>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E21A2F" w:rsidRPr="00EC3BD7" w14:paraId="1D77E7F7" w14:textId="77777777" w:rsidTr="00145F94">
        <w:tc>
          <w:tcPr>
            <w:tcW w:w="10632" w:type="dxa"/>
            <w:gridSpan w:val="16"/>
            <w:shd w:val="clear" w:color="auto" w:fill="auto"/>
          </w:tcPr>
          <w:p w14:paraId="6CD4095B" w14:textId="77777777" w:rsidR="00E21A2F" w:rsidRPr="00EC3BD7" w:rsidRDefault="00E21A2F" w:rsidP="00145F94">
            <w:pPr>
              <w:ind w:left="-27"/>
              <w:rPr>
                <w:rFonts w:ascii="Arial" w:hAnsi="Arial" w:cs="Arial"/>
                <w:sz w:val="16"/>
                <w:szCs w:val="16"/>
                <w:lang w:val="et-EE"/>
              </w:rPr>
            </w:pPr>
            <w:r w:rsidRPr="00EC3BD7">
              <w:rPr>
                <w:rFonts w:ascii="Arial" w:hAnsi="Arial" w:cs="Arial"/>
                <w:sz w:val="20"/>
                <w:lang w:val="et-EE"/>
              </w:rPr>
              <w:t>Riskirühm : Sündmused</w:t>
            </w:r>
          </w:p>
        </w:tc>
      </w:tr>
      <w:tr w:rsidR="00E21A2F" w:rsidRPr="00EC3BD7" w14:paraId="2C5C6FB9" w14:textId="77777777" w:rsidTr="00145F94">
        <w:tc>
          <w:tcPr>
            <w:tcW w:w="450" w:type="dxa"/>
            <w:shd w:val="clear" w:color="auto" w:fill="auto"/>
          </w:tcPr>
          <w:p w14:paraId="1C0AA49B" w14:textId="77777777" w:rsidR="00E21A2F" w:rsidRPr="00EC3BD7" w:rsidRDefault="00E21A2F" w:rsidP="00145F94">
            <w:pPr>
              <w:rPr>
                <w:sz w:val="20"/>
                <w:lang w:val="et-EE"/>
              </w:rPr>
            </w:pPr>
            <w:r w:rsidRPr="00EC3BD7">
              <w:rPr>
                <w:sz w:val="20"/>
                <w:lang w:val="et-EE"/>
              </w:rPr>
              <w:t>(1)</w:t>
            </w:r>
          </w:p>
        </w:tc>
        <w:tc>
          <w:tcPr>
            <w:tcW w:w="687" w:type="dxa"/>
            <w:shd w:val="clear" w:color="auto" w:fill="auto"/>
          </w:tcPr>
          <w:p w14:paraId="5F5998C9" w14:textId="77777777" w:rsidR="00E21A2F" w:rsidRPr="00EC3BD7" w:rsidRDefault="00E21A2F" w:rsidP="00145F94">
            <w:pPr>
              <w:ind w:left="-45"/>
              <w:rPr>
                <w:sz w:val="20"/>
                <w:lang w:val="et-EE"/>
              </w:rPr>
            </w:pPr>
            <w:r w:rsidRPr="00EC3BD7">
              <w:rPr>
                <w:sz w:val="20"/>
                <w:lang w:val="et-EE"/>
              </w:rPr>
              <w:t>199:0</w:t>
            </w:r>
          </w:p>
        </w:tc>
        <w:tc>
          <w:tcPr>
            <w:tcW w:w="670" w:type="dxa"/>
            <w:shd w:val="clear" w:color="auto" w:fill="auto"/>
          </w:tcPr>
          <w:p w14:paraId="0B4745FE" w14:textId="77777777" w:rsidR="00E21A2F" w:rsidRPr="00EC3BD7" w:rsidRDefault="00E21A2F" w:rsidP="00145F94">
            <w:pPr>
              <w:ind w:left="-45"/>
              <w:rPr>
                <w:sz w:val="20"/>
                <w:lang w:val="et-EE"/>
              </w:rPr>
            </w:pPr>
            <w:r w:rsidRPr="00EC3BD7">
              <w:rPr>
                <w:sz w:val="20"/>
                <w:lang w:val="et-EE"/>
              </w:rPr>
              <w:t>190:2</w:t>
            </w:r>
          </w:p>
        </w:tc>
        <w:tc>
          <w:tcPr>
            <w:tcW w:w="710" w:type="dxa"/>
            <w:shd w:val="clear" w:color="auto" w:fill="auto"/>
          </w:tcPr>
          <w:p w14:paraId="4854D520" w14:textId="77777777" w:rsidR="00E21A2F" w:rsidRPr="00EC3BD7" w:rsidRDefault="00E21A2F" w:rsidP="00145F94">
            <w:pPr>
              <w:ind w:left="-45"/>
              <w:rPr>
                <w:sz w:val="20"/>
                <w:lang w:val="et-EE"/>
              </w:rPr>
            </w:pPr>
            <w:r w:rsidRPr="00EC3BD7">
              <w:rPr>
                <w:sz w:val="20"/>
                <w:lang w:val="et-EE"/>
              </w:rPr>
              <w:t>188:2</w:t>
            </w:r>
          </w:p>
        </w:tc>
        <w:tc>
          <w:tcPr>
            <w:tcW w:w="717" w:type="dxa"/>
            <w:shd w:val="clear" w:color="auto" w:fill="auto"/>
          </w:tcPr>
          <w:p w14:paraId="7980FAC6" w14:textId="77777777" w:rsidR="00E21A2F" w:rsidRPr="00EC3BD7" w:rsidRDefault="00E21A2F" w:rsidP="00145F94">
            <w:pPr>
              <w:ind w:left="-45"/>
              <w:rPr>
                <w:sz w:val="20"/>
                <w:lang w:val="et-EE"/>
              </w:rPr>
            </w:pPr>
            <w:r w:rsidRPr="00EC3BD7">
              <w:rPr>
                <w:sz w:val="20"/>
                <w:lang w:val="et-EE"/>
              </w:rPr>
              <w:t>183:6</w:t>
            </w:r>
          </w:p>
        </w:tc>
        <w:tc>
          <w:tcPr>
            <w:tcW w:w="691" w:type="dxa"/>
            <w:shd w:val="clear" w:color="auto" w:fill="auto"/>
          </w:tcPr>
          <w:p w14:paraId="64216913" w14:textId="77777777" w:rsidR="00E21A2F" w:rsidRPr="00EC3BD7" w:rsidRDefault="00E21A2F" w:rsidP="00145F94">
            <w:pPr>
              <w:ind w:left="-45"/>
              <w:rPr>
                <w:sz w:val="20"/>
                <w:lang w:val="et-EE"/>
              </w:rPr>
            </w:pPr>
            <w:r w:rsidRPr="00EC3BD7">
              <w:rPr>
                <w:sz w:val="20"/>
                <w:lang w:val="et-EE"/>
              </w:rPr>
              <w:t>176:8</w:t>
            </w:r>
          </w:p>
        </w:tc>
        <w:tc>
          <w:tcPr>
            <w:tcW w:w="770" w:type="dxa"/>
            <w:shd w:val="clear" w:color="auto" w:fill="auto"/>
          </w:tcPr>
          <w:p w14:paraId="70C8F483" w14:textId="77777777" w:rsidR="00E21A2F" w:rsidRPr="00EC3BD7" w:rsidRDefault="00E21A2F" w:rsidP="00145F94">
            <w:pPr>
              <w:ind w:left="-45"/>
              <w:rPr>
                <w:sz w:val="20"/>
                <w:lang w:val="et-EE"/>
              </w:rPr>
            </w:pPr>
            <w:r w:rsidRPr="00EC3BD7">
              <w:rPr>
                <w:sz w:val="20"/>
                <w:lang w:val="et-EE"/>
              </w:rPr>
              <w:t>156:10</w:t>
            </w:r>
          </w:p>
        </w:tc>
        <w:tc>
          <w:tcPr>
            <w:tcW w:w="779" w:type="dxa"/>
            <w:shd w:val="clear" w:color="auto" w:fill="auto"/>
          </w:tcPr>
          <w:p w14:paraId="68593408" w14:textId="77777777" w:rsidR="00E21A2F" w:rsidRPr="00EC3BD7" w:rsidRDefault="00E21A2F" w:rsidP="00145F94">
            <w:pPr>
              <w:ind w:left="-45"/>
              <w:rPr>
                <w:sz w:val="20"/>
                <w:lang w:val="et-EE"/>
              </w:rPr>
            </w:pPr>
            <w:r w:rsidRPr="00EC3BD7">
              <w:rPr>
                <w:sz w:val="20"/>
                <w:lang w:val="et-EE"/>
              </w:rPr>
              <w:t>140:11</w:t>
            </w:r>
          </w:p>
        </w:tc>
        <w:tc>
          <w:tcPr>
            <w:tcW w:w="794" w:type="dxa"/>
            <w:shd w:val="clear" w:color="auto" w:fill="auto"/>
          </w:tcPr>
          <w:p w14:paraId="412E0D38" w14:textId="77777777" w:rsidR="00E21A2F" w:rsidRPr="00EC3BD7" w:rsidRDefault="00E21A2F" w:rsidP="00145F94">
            <w:pPr>
              <w:ind w:left="-45"/>
              <w:rPr>
                <w:sz w:val="20"/>
                <w:lang w:val="et-EE"/>
              </w:rPr>
            </w:pPr>
            <w:r w:rsidRPr="00EC3BD7">
              <w:rPr>
                <w:sz w:val="20"/>
                <w:lang w:val="et-EE"/>
              </w:rPr>
              <w:t>105:14</w:t>
            </w:r>
          </w:p>
        </w:tc>
        <w:tc>
          <w:tcPr>
            <w:tcW w:w="653" w:type="dxa"/>
            <w:shd w:val="clear" w:color="auto" w:fill="auto"/>
          </w:tcPr>
          <w:p w14:paraId="1EBDEFEB" w14:textId="77777777" w:rsidR="00E21A2F" w:rsidRPr="00EC3BD7" w:rsidRDefault="00E21A2F" w:rsidP="00145F94">
            <w:pPr>
              <w:ind w:left="-45"/>
              <w:rPr>
                <w:sz w:val="20"/>
                <w:lang w:val="et-EE"/>
              </w:rPr>
            </w:pPr>
            <w:r w:rsidRPr="00EC3BD7">
              <w:rPr>
                <w:sz w:val="20"/>
                <w:lang w:val="et-EE"/>
              </w:rPr>
              <w:t>87:18</w:t>
            </w:r>
          </w:p>
        </w:tc>
        <w:tc>
          <w:tcPr>
            <w:tcW w:w="630" w:type="dxa"/>
            <w:shd w:val="clear" w:color="auto" w:fill="auto"/>
          </w:tcPr>
          <w:p w14:paraId="77A9C44A" w14:textId="77777777" w:rsidR="00E21A2F" w:rsidRPr="00EC3BD7" w:rsidRDefault="00E21A2F" w:rsidP="00145F94">
            <w:pPr>
              <w:ind w:left="-45"/>
              <w:rPr>
                <w:sz w:val="20"/>
                <w:lang w:val="et-EE"/>
              </w:rPr>
            </w:pPr>
            <w:r w:rsidRPr="00EC3BD7">
              <w:rPr>
                <w:sz w:val="20"/>
                <w:lang w:val="et-EE"/>
              </w:rPr>
              <w:t>64:22</w:t>
            </w:r>
          </w:p>
        </w:tc>
        <w:tc>
          <w:tcPr>
            <w:tcW w:w="643" w:type="dxa"/>
            <w:shd w:val="clear" w:color="auto" w:fill="auto"/>
          </w:tcPr>
          <w:p w14:paraId="46DC3462" w14:textId="77777777" w:rsidR="00E21A2F" w:rsidRPr="00EC3BD7" w:rsidRDefault="00E21A2F" w:rsidP="00145F94">
            <w:pPr>
              <w:ind w:left="-45"/>
              <w:rPr>
                <w:sz w:val="20"/>
                <w:lang w:val="et-EE"/>
              </w:rPr>
            </w:pPr>
            <w:r w:rsidRPr="00EC3BD7">
              <w:rPr>
                <w:sz w:val="20"/>
                <w:lang w:val="et-EE"/>
              </w:rPr>
              <w:t>46:23</w:t>
            </w:r>
          </w:p>
        </w:tc>
        <w:tc>
          <w:tcPr>
            <w:tcW w:w="670" w:type="dxa"/>
            <w:shd w:val="clear" w:color="auto" w:fill="auto"/>
          </w:tcPr>
          <w:p w14:paraId="08D263DA" w14:textId="77777777" w:rsidR="00E21A2F" w:rsidRPr="00EC3BD7" w:rsidRDefault="00E21A2F" w:rsidP="00145F94">
            <w:pPr>
              <w:ind w:left="-45"/>
              <w:rPr>
                <w:sz w:val="20"/>
                <w:lang w:val="et-EE"/>
              </w:rPr>
            </w:pPr>
            <w:r w:rsidRPr="00EC3BD7">
              <w:rPr>
                <w:sz w:val="20"/>
                <w:lang w:val="et-EE"/>
              </w:rPr>
              <w:t>27:25</w:t>
            </w:r>
          </w:p>
        </w:tc>
        <w:tc>
          <w:tcPr>
            <w:tcW w:w="683" w:type="dxa"/>
            <w:shd w:val="clear" w:color="auto" w:fill="auto"/>
          </w:tcPr>
          <w:p w14:paraId="0A4D6A48" w14:textId="77777777" w:rsidR="00E21A2F" w:rsidRPr="00EC3BD7" w:rsidRDefault="00E21A2F" w:rsidP="00145F94">
            <w:pPr>
              <w:ind w:left="-45"/>
              <w:rPr>
                <w:sz w:val="20"/>
                <w:lang w:val="et-EE"/>
              </w:rPr>
            </w:pPr>
            <w:r w:rsidRPr="00EC3BD7">
              <w:rPr>
                <w:sz w:val="20"/>
                <w:lang w:val="et-EE"/>
              </w:rPr>
              <w:t>20:25</w:t>
            </w:r>
          </w:p>
        </w:tc>
        <w:tc>
          <w:tcPr>
            <w:tcW w:w="558" w:type="dxa"/>
            <w:shd w:val="clear" w:color="auto" w:fill="auto"/>
          </w:tcPr>
          <w:p w14:paraId="56F2F597" w14:textId="77777777" w:rsidR="00E21A2F" w:rsidRPr="00EC3BD7" w:rsidRDefault="00E21A2F" w:rsidP="00145F94">
            <w:pPr>
              <w:ind w:left="-45"/>
              <w:rPr>
                <w:sz w:val="20"/>
                <w:lang w:val="et-EE"/>
              </w:rPr>
            </w:pPr>
            <w:r w:rsidRPr="00EC3BD7">
              <w:rPr>
                <w:sz w:val="20"/>
                <w:lang w:val="et-EE"/>
              </w:rPr>
              <w:t>2:25</w:t>
            </w:r>
          </w:p>
        </w:tc>
        <w:tc>
          <w:tcPr>
            <w:tcW w:w="527" w:type="dxa"/>
            <w:shd w:val="clear" w:color="auto" w:fill="auto"/>
          </w:tcPr>
          <w:p w14:paraId="41C48CDA" w14:textId="77777777" w:rsidR="00E21A2F" w:rsidRPr="00EC3BD7" w:rsidRDefault="00E21A2F" w:rsidP="00145F94">
            <w:pPr>
              <w:ind w:left="-45"/>
              <w:rPr>
                <w:sz w:val="20"/>
                <w:lang w:val="et-EE"/>
              </w:rPr>
            </w:pPr>
            <w:r w:rsidRPr="00EC3BD7">
              <w:rPr>
                <w:sz w:val="20"/>
                <w:lang w:val="et-EE"/>
              </w:rPr>
              <w:t>0:25</w:t>
            </w:r>
          </w:p>
        </w:tc>
      </w:tr>
      <w:tr w:rsidR="00E21A2F" w:rsidRPr="00EC3BD7" w14:paraId="22CACAAE" w14:textId="77777777" w:rsidTr="00145F94">
        <w:tc>
          <w:tcPr>
            <w:tcW w:w="450" w:type="dxa"/>
            <w:shd w:val="clear" w:color="auto" w:fill="auto"/>
          </w:tcPr>
          <w:p w14:paraId="7136CE97" w14:textId="77777777" w:rsidR="00E21A2F" w:rsidRPr="00EC3BD7" w:rsidRDefault="00E21A2F" w:rsidP="00145F94">
            <w:pPr>
              <w:rPr>
                <w:sz w:val="20"/>
                <w:lang w:val="et-EE"/>
              </w:rPr>
            </w:pPr>
            <w:r w:rsidRPr="00EC3BD7">
              <w:rPr>
                <w:sz w:val="20"/>
                <w:lang w:val="et-EE"/>
              </w:rPr>
              <w:t>(2)</w:t>
            </w:r>
          </w:p>
        </w:tc>
        <w:tc>
          <w:tcPr>
            <w:tcW w:w="687" w:type="dxa"/>
            <w:shd w:val="clear" w:color="auto" w:fill="auto"/>
          </w:tcPr>
          <w:p w14:paraId="5EA07482" w14:textId="77777777" w:rsidR="00E21A2F" w:rsidRPr="00EC3BD7" w:rsidRDefault="00E21A2F" w:rsidP="00145F94">
            <w:pPr>
              <w:ind w:left="-45"/>
              <w:rPr>
                <w:sz w:val="20"/>
                <w:lang w:val="et-EE"/>
              </w:rPr>
            </w:pPr>
            <w:r w:rsidRPr="00EC3BD7">
              <w:rPr>
                <w:sz w:val="20"/>
                <w:lang w:val="et-EE"/>
              </w:rPr>
              <w:t>198:0</w:t>
            </w:r>
          </w:p>
        </w:tc>
        <w:tc>
          <w:tcPr>
            <w:tcW w:w="670" w:type="dxa"/>
            <w:shd w:val="clear" w:color="auto" w:fill="auto"/>
          </w:tcPr>
          <w:p w14:paraId="4CA29098" w14:textId="77777777" w:rsidR="00E21A2F" w:rsidRPr="00EC3BD7" w:rsidRDefault="00E21A2F" w:rsidP="00145F94">
            <w:pPr>
              <w:ind w:left="-45"/>
              <w:rPr>
                <w:sz w:val="20"/>
                <w:lang w:val="et-EE"/>
              </w:rPr>
            </w:pPr>
            <w:r w:rsidRPr="00EC3BD7">
              <w:rPr>
                <w:sz w:val="20"/>
                <w:lang w:val="et-EE"/>
              </w:rPr>
              <w:t>196:0</w:t>
            </w:r>
          </w:p>
        </w:tc>
        <w:tc>
          <w:tcPr>
            <w:tcW w:w="710" w:type="dxa"/>
            <w:shd w:val="clear" w:color="auto" w:fill="auto"/>
          </w:tcPr>
          <w:p w14:paraId="1391EA3E" w14:textId="77777777" w:rsidR="00E21A2F" w:rsidRPr="00EC3BD7" w:rsidRDefault="00E21A2F" w:rsidP="00145F94">
            <w:pPr>
              <w:ind w:left="-45"/>
              <w:rPr>
                <w:sz w:val="20"/>
                <w:lang w:val="et-EE"/>
              </w:rPr>
            </w:pPr>
            <w:r w:rsidRPr="00EC3BD7">
              <w:rPr>
                <w:sz w:val="20"/>
                <w:lang w:val="et-EE"/>
              </w:rPr>
              <w:t>192:0</w:t>
            </w:r>
          </w:p>
        </w:tc>
        <w:tc>
          <w:tcPr>
            <w:tcW w:w="717" w:type="dxa"/>
            <w:shd w:val="clear" w:color="auto" w:fill="auto"/>
          </w:tcPr>
          <w:p w14:paraId="5FD409E3" w14:textId="77777777" w:rsidR="00E21A2F" w:rsidRPr="00EC3BD7" w:rsidRDefault="00E21A2F" w:rsidP="00145F94">
            <w:pPr>
              <w:ind w:left="-45"/>
              <w:rPr>
                <w:sz w:val="20"/>
                <w:lang w:val="et-EE"/>
              </w:rPr>
            </w:pPr>
            <w:r w:rsidRPr="00EC3BD7">
              <w:rPr>
                <w:sz w:val="20"/>
                <w:lang w:val="et-EE"/>
              </w:rPr>
              <w:t>187:4</w:t>
            </w:r>
          </w:p>
        </w:tc>
        <w:tc>
          <w:tcPr>
            <w:tcW w:w="691" w:type="dxa"/>
            <w:shd w:val="clear" w:color="auto" w:fill="auto"/>
          </w:tcPr>
          <w:p w14:paraId="648C4099" w14:textId="77777777" w:rsidR="00E21A2F" w:rsidRPr="00EC3BD7" w:rsidRDefault="00E21A2F" w:rsidP="00145F94">
            <w:pPr>
              <w:ind w:left="-45"/>
              <w:rPr>
                <w:sz w:val="20"/>
                <w:lang w:val="et-EE"/>
              </w:rPr>
            </w:pPr>
            <w:r w:rsidRPr="00EC3BD7">
              <w:rPr>
                <w:sz w:val="20"/>
                <w:lang w:val="et-EE"/>
              </w:rPr>
              <w:t>184:5</w:t>
            </w:r>
          </w:p>
        </w:tc>
        <w:tc>
          <w:tcPr>
            <w:tcW w:w="770" w:type="dxa"/>
            <w:shd w:val="clear" w:color="auto" w:fill="auto"/>
          </w:tcPr>
          <w:p w14:paraId="73972670" w14:textId="77777777" w:rsidR="00E21A2F" w:rsidRPr="00EC3BD7" w:rsidRDefault="00E21A2F" w:rsidP="00145F94">
            <w:pPr>
              <w:ind w:left="-45"/>
              <w:rPr>
                <w:sz w:val="20"/>
                <w:lang w:val="et-EE"/>
              </w:rPr>
            </w:pPr>
            <w:r w:rsidRPr="00EC3BD7">
              <w:rPr>
                <w:sz w:val="20"/>
                <w:lang w:val="et-EE"/>
              </w:rPr>
              <w:t>164:7</w:t>
            </w:r>
          </w:p>
        </w:tc>
        <w:tc>
          <w:tcPr>
            <w:tcW w:w="779" w:type="dxa"/>
            <w:shd w:val="clear" w:color="auto" w:fill="auto"/>
          </w:tcPr>
          <w:p w14:paraId="08AA965E" w14:textId="77777777" w:rsidR="00E21A2F" w:rsidRPr="00EC3BD7" w:rsidRDefault="00E21A2F" w:rsidP="00145F94">
            <w:pPr>
              <w:ind w:left="-45"/>
              <w:rPr>
                <w:sz w:val="20"/>
                <w:lang w:val="et-EE"/>
              </w:rPr>
            </w:pPr>
            <w:r w:rsidRPr="00EC3BD7">
              <w:rPr>
                <w:sz w:val="20"/>
                <w:lang w:val="et-EE"/>
              </w:rPr>
              <w:t>152:7</w:t>
            </w:r>
          </w:p>
        </w:tc>
        <w:tc>
          <w:tcPr>
            <w:tcW w:w="794" w:type="dxa"/>
            <w:shd w:val="clear" w:color="auto" w:fill="auto"/>
          </w:tcPr>
          <w:p w14:paraId="13575B69" w14:textId="77777777" w:rsidR="00E21A2F" w:rsidRPr="00EC3BD7" w:rsidRDefault="00E21A2F" w:rsidP="00145F94">
            <w:pPr>
              <w:ind w:left="-45"/>
              <w:rPr>
                <w:sz w:val="20"/>
                <w:lang w:val="et-EE"/>
              </w:rPr>
            </w:pPr>
            <w:r w:rsidRPr="00EC3BD7">
              <w:rPr>
                <w:sz w:val="20"/>
                <w:lang w:val="et-EE"/>
              </w:rPr>
              <w:t>119:8</w:t>
            </w:r>
          </w:p>
        </w:tc>
        <w:tc>
          <w:tcPr>
            <w:tcW w:w="653" w:type="dxa"/>
            <w:shd w:val="clear" w:color="auto" w:fill="auto"/>
          </w:tcPr>
          <w:p w14:paraId="195A74A8" w14:textId="77777777" w:rsidR="00E21A2F" w:rsidRPr="00EC3BD7" w:rsidRDefault="00E21A2F" w:rsidP="00145F94">
            <w:pPr>
              <w:ind w:left="-45"/>
              <w:rPr>
                <w:sz w:val="20"/>
                <w:lang w:val="et-EE"/>
              </w:rPr>
            </w:pPr>
            <w:r w:rsidRPr="00EC3BD7">
              <w:rPr>
                <w:sz w:val="20"/>
                <w:lang w:val="et-EE"/>
              </w:rPr>
              <w:t>100:8</w:t>
            </w:r>
          </w:p>
        </w:tc>
        <w:tc>
          <w:tcPr>
            <w:tcW w:w="630" w:type="dxa"/>
            <w:shd w:val="clear" w:color="auto" w:fill="auto"/>
          </w:tcPr>
          <w:p w14:paraId="3E3A1CA2" w14:textId="77777777" w:rsidR="00E21A2F" w:rsidRPr="00EC3BD7" w:rsidRDefault="00E21A2F" w:rsidP="00145F94">
            <w:pPr>
              <w:ind w:left="-45"/>
              <w:rPr>
                <w:sz w:val="20"/>
                <w:lang w:val="et-EE"/>
              </w:rPr>
            </w:pPr>
            <w:r w:rsidRPr="00EC3BD7">
              <w:rPr>
                <w:sz w:val="20"/>
                <w:lang w:val="et-EE"/>
              </w:rPr>
              <w:t>76:10</w:t>
            </w:r>
          </w:p>
        </w:tc>
        <w:tc>
          <w:tcPr>
            <w:tcW w:w="643" w:type="dxa"/>
            <w:shd w:val="clear" w:color="auto" w:fill="auto"/>
          </w:tcPr>
          <w:p w14:paraId="56695741" w14:textId="77777777" w:rsidR="00E21A2F" w:rsidRPr="00EC3BD7" w:rsidRDefault="00E21A2F" w:rsidP="00145F94">
            <w:pPr>
              <w:ind w:left="-45"/>
              <w:rPr>
                <w:sz w:val="20"/>
                <w:lang w:val="et-EE"/>
              </w:rPr>
            </w:pPr>
            <w:r w:rsidRPr="00EC3BD7">
              <w:rPr>
                <w:sz w:val="20"/>
                <w:lang w:val="et-EE"/>
              </w:rPr>
              <w:t>56:11</w:t>
            </w:r>
          </w:p>
        </w:tc>
        <w:tc>
          <w:tcPr>
            <w:tcW w:w="670" w:type="dxa"/>
            <w:shd w:val="clear" w:color="auto" w:fill="auto"/>
          </w:tcPr>
          <w:p w14:paraId="224541BD" w14:textId="77777777" w:rsidR="00E21A2F" w:rsidRPr="00EC3BD7" w:rsidRDefault="00E21A2F" w:rsidP="00145F94">
            <w:pPr>
              <w:ind w:left="-45"/>
              <w:rPr>
                <w:sz w:val="20"/>
                <w:lang w:val="et-EE"/>
              </w:rPr>
            </w:pPr>
            <w:r w:rsidRPr="00EC3BD7">
              <w:rPr>
                <w:sz w:val="20"/>
                <w:lang w:val="et-EE"/>
              </w:rPr>
              <w:t>31:11</w:t>
            </w:r>
          </w:p>
        </w:tc>
        <w:tc>
          <w:tcPr>
            <w:tcW w:w="683" w:type="dxa"/>
            <w:shd w:val="clear" w:color="auto" w:fill="auto"/>
          </w:tcPr>
          <w:p w14:paraId="55F7C36E" w14:textId="77777777" w:rsidR="00E21A2F" w:rsidRPr="00EC3BD7" w:rsidRDefault="00E21A2F" w:rsidP="00145F94">
            <w:pPr>
              <w:ind w:left="-45"/>
              <w:rPr>
                <w:sz w:val="20"/>
                <w:lang w:val="et-EE"/>
              </w:rPr>
            </w:pPr>
            <w:r w:rsidRPr="00EC3BD7">
              <w:rPr>
                <w:sz w:val="20"/>
                <w:lang w:val="et-EE"/>
              </w:rPr>
              <w:t>13:12</w:t>
            </w:r>
          </w:p>
        </w:tc>
        <w:tc>
          <w:tcPr>
            <w:tcW w:w="558" w:type="dxa"/>
            <w:shd w:val="clear" w:color="auto" w:fill="auto"/>
          </w:tcPr>
          <w:p w14:paraId="1D112FA6" w14:textId="77777777" w:rsidR="00E21A2F" w:rsidRPr="00EC3BD7" w:rsidRDefault="00E21A2F" w:rsidP="00145F94">
            <w:pPr>
              <w:ind w:left="-45"/>
              <w:rPr>
                <w:sz w:val="20"/>
                <w:lang w:val="et-EE"/>
              </w:rPr>
            </w:pPr>
            <w:r w:rsidRPr="00EC3BD7">
              <w:rPr>
                <w:sz w:val="20"/>
                <w:lang w:val="et-EE"/>
              </w:rPr>
              <w:t>0:12</w:t>
            </w:r>
          </w:p>
        </w:tc>
        <w:tc>
          <w:tcPr>
            <w:tcW w:w="527" w:type="dxa"/>
            <w:shd w:val="clear" w:color="auto" w:fill="auto"/>
          </w:tcPr>
          <w:p w14:paraId="375DC13B" w14:textId="77777777" w:rsidR="00E21A2F" w:rsidRPr="00EC3BD7" w:rsidRDefault="00E21A2F" w:rsidP="00145F94">
            <w:pPr>
              <w:ind w:left="-45"/>
              <w:rPr>
                <w:sz w:val="20"/>
                <w:lang w:val="et-EE"/>
              </w:rPr>
            </w:pPr>
          </w:p>
        </w:tc>
      </w:tr>
    </w:tbl>
    <w:p w14:paraId="58CE2B4F" w14:textId="77777777" w:rsidR="00E21A2F" w:rsidRPr="00EC3BD7" w:rsidRDefault="00E21A2F" w:rsidP="00E21A2F">
      <w:pPr>
        <w:pStyle w:val="EndnoteText"/>
        <w:widowControl w:val="0"/>
        <w:tabs>
          <w:tab w:val="clear" w:pos="567"/>
        </w:tabs>
        <w:rPr>
          <w:color w:val="000000"/>
          <w:szCs w:val="22"/>
          <w:lang w:val="et-EE"/>
        </w:rPr>
      </w:pPr>
    </w:p>
    <w:p w14:paraId="78605514" w14:textId="4E47E0B4"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c-Kit-positiivse GIST</w:t>
      </w:r>
      <w:r w:rsidR="00B43A79" w:rsidRPr="00593631">
        <w:rPr>
          <w:color w:val="000000"/>
          <w:szCs w:val="22"/>
          <w:lang w:val="et-EE"/>
        </w:rPr>
        <w:t>-i</w:t>
      </w:r>
      <w:r w:rsidRPr="00EC3BD7">
        <w:rPr>
          <w:color w:val="000000"/>
          <w:szCs w:val="22"/>
          <w:lang w:val="et-EE"/>
        </w:rPr>
        <w:t xml:space="preserve"> pediaatrilistel patsientidel ei ole kontrollitud kliinilisi uuringuid läbi viidud. 7-s publikatsioonis kirjeldati 17 GIST</w:t>
      </w:r>
      <w:r w:rsidR="00B43A79" w:rsidRPr="00593631">
        <w:rPr>
          <w:color w:val="000000"/>
          <w:szCs w:val="22"/>
          <w:lang w:val="et-EE"/>
        </w:rPr>
        <w:t>-i</w:t>
      </w:r>
      <w:r w:rsidRPr="00EC3BD7">
        <w:rPr>
          <w:color w:val="000000"/>
          <w:szCs w:val="22"/>
          <w:lang w:val="et-EE"/>
        </w:rPr>
        <w:t xml:space="preserve"> (Kit ja PDGFR geneetilise mutatsiooniga või ilma) patsienti. Nende patsientide vanus oli 8 kuni 18 aastat ja imatiniibi manustati nii adjuvant- kui metastaaside ravi korral annuses 300 kuni 800 mg ööpäevas. Enamikul pediaatrilistest GIST</w:t>
      </w:r>
      <w:r w:rsidR="00B43A79" w:rsidRPr="00593631">
        <w:rPr>
          <w:color w:val="000000"/>
          <w:szCs w:val="22"/>
          <w:lang w:val="et-EE"/>
        </w:rPr>
        <w:t>-i</w:t>
      </w:r>
      <w:r w:rsidRPr="00EC3BD7">
        <w:rPr>
          <w:color w:val="000000"/>
          <w:szCs w:val="22"/>
          <w:lang w:val="et-EE"/>
        </w:rPr>
        <w:t xml:space="preserve"> patsientidest puudusid c-Kit või PDGFR</w:t>
      </w:r>
      <w:r w:rsidR="00B43A79" w:rsidRPr="00593631">
        <w:rPr>
          <w:color w:val="000000"/>
          <w:szCs w:val="22"/>
          <w:lang w:val="et-EE"/>
        </w:rPr>
        <w:t>-i</w:t>
      </w:r>
      <w:r w:rsidRPr="00EC3BD7">
        <w:rPr>
          <w:color w:val="000000"/>
          <w:szCs w:val="22"/>
          <w:lang w:val="et-EE"/>
        </w:rPr>
        <w:t xml:space="preserve"> mutatsiooni kinnitavad andmed, mis võis viia kombineeritud kliinilise ravivastuse esinemiseni.</w:t>
      </w:r>
    </w:p>
    <w:p w14:paraId="22ACE93D" w14:textId="77777777" w:rsidR="00E21A2F" w:rsidRPr="00EC3BD7" w:rsidRDefault="00E21A2F" w:rsidP="00E21A2F">
      <w:pPr>
        <w:pStyle w:val="EndnoteText"/>
        <w:widowControl w:val="0"/>
        <w:tabs>
          <w:tab w:val="clear" w:pos="567"/>
        </w:tabs>
        <w:rPr>
          <w:color w:val="000000"/>
          <w:szCs w:val="22"/>
          <w:lang w:val="et-EE"/>
        </w:rPr>
      </w:pPr>
    </w:p>
    <w:p w14:paraId="5E7C7E22" w14:textId="3743D8F8" w:rsidR="00E21A2F" w:rsidRPr="00EC3BD7" w:rsidRDefault="00E21A2F" w:rsidP="00B9089D">
      <w:pPr>
        <w:pStyle w:val="EndnoteText"/>
        <w:keepNext/>
        <w:widowControl w:val="0"/>
        <w:tabs>
          <w:tab w:val="clear" w:pos="567"/>
        </w:tabs>
        <w:rPr>
          <w:color w:val="000000"/>
          <w:szCs w:val="22"/>
          <w:lang w:val="et-EE"/>
        </w:rPr>
      </w:pPr>
      <w:r w:rsidRPr="00EC3BD7">
        <w:rPr>
          <w:color w:val="000000"/>
          <w:szCs w:val="22"/>
          <w:u w:val="single"/>
          <w:lang w:val="et-EE"/>
        </w:rPr>
        <w:t>Kliinilised PDFS</w:t>
      </w:r>
      <w:r w:rsidR="00B43A79" w:rsidRPr="00593631">
        <w:rPr>
          <w:color w:val="000000"/>
          <w:szCs w:val="22"/>
          <w:lang w:val="et-EE"/>
        </w:rPr>
        <w:t>-i</w:t>
      </w:r>
      <w:r w:rsidRPr="00EC3BD7">
        <w:rPr>
          <w:color w:val="000000"/>
          <w:szCs w:val="22"/>
          <w:u w:val="single"/>
          <w:lang w:val="et-EE"/>
        </w:rPr>
        <w:t xml:space="preserve"> uuringud</w:t>
      </w:r>
    </w:p>
    <w:p w14:paraId="68FFC84C" w14:textId="47EABD26"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Ühes avatud mitmekeskuselises II faasi kliinilises uuringus (uuring B2225) osales 12 </w:t>
      </w:r>
      <w:r w:rsidRPr="00EC3BD7">
        <w:rPr>
          <w:i/>
          <w:iCs/>
          <w:color w:val="000000"/>
          <w:szCs w:val="22"/>
          <w:lang w:val="et-EE"/>
        </w:rPr>
        <w:t>dermatofibrosarcoma protuberans</w:t>
      </w:r>
      <w:r w:rsidRPr="00EC3BD7">
        <w:rPr>
          <w:color w:val="000000"/>
          <w:szCs w:val="22"/>
          <w:lang w:val="et-EE"/>
        </w:rPr>
        <w:t>’iga (PDFS) patsienti, kellele manustati 800 mg Glivecit ööpäevas. PDFS</w:t>
      </w:r>
      <w:r w:rsidR="00B43A79">
        <w:rPr>
          <w:color w:val="000000"/>
          <w:szCs w:val="22"/>
          <w:lang w:val="et-EE"/>
        </w:rPr>
        <w:t>-</w:t>
      </w:r>
      <w:r w:rsidRPr="00EC3BD7">
        <w:rPr>
          <w:color w:val="000000"/>
          <w:szCs w:val="22"/>
          <w:lang w:val="et-EE"/>
        </w:rPr>
        <w:t>ga patsiendid olid vanuses 23 kuni 75 aastat ja uuringuga liitumise hetkel oli neil tegemist metastaatilise, algse resektsiooni järel lokaalselt retsidiveeruva PDFS</w:t>
      </w:r>
      <w:r w:rsidR="00B43A79">
        <w:rPr>
          <w:color w:val="000000"/>
          <w:szCs w:val="22"/>
          <w:lang w:val="et-EE"/>
        </w:rPr>
        <w:t>-</w:t>
      </w:r>
      <w:r w:rsidRPr="00EC3BD7">
        <w:rPr>
          <w:color w:val="000000"/>
          <w:szCs w:val="22"/>
          <w:lang w:val="et-EE"/>
        </w:rPr>
        <w:t>ga, mida ei peetud edasisele operatiivsele ravile alluvaks. Peamine efektiivsuse näitaja oli objektiivne ravivastus. 12-st uuringuga liitunud patsiendist üheksal saavutati ravivastus, neist ühel täielik ja kaheksal osaline. Kolm osalise ravivastusega patsienti muudeti seejärel operatsiooni abil haigusvabaks. Uuringus B2225 oli keskmine ravi kestus 6,2 kuud, maksimaalne ravi kestus oli 24,3 kuud. Hiljem on viies avaldatud haigusjuhu kirjelduses teatatud veel kuuest PDFS</w:t>
      </w:r>
      <w:r w:rsidR="00B43A79" w:rsidRPr="00593631">
        <w:rPr>
          <w:color w:val="000000"/>
          <w:szCs w:val="22"/>
          <w:lang w:val="et-EE"/>
        </w:rPr>
        <w:t>-i</w:t>
      </w:r>
      <w:r w:rsidRPr="00EC3BD7">
        <w:rPr>
          <w:color w:val="000000"/>
          <w:szCs w:val="22"/>
          <w:lang w:val="et-EE"/>
        </w:rPr>
        <w:t xml:space="preserve"> patsiendist vanuses 18 kuud kuni 49 aastat. Kirjanduses avaldatud andmete kohaselt said täiskasvanud patsiendid kas 400 mg (4 juhul) või 800 mg (1 juhul) Glivecit ööpäevas. Viiel (5) patsiendil saavutati ravivastus, neist kolmel täielik ja kahel osaline. Avaldatud kirjanduse kohaselt oli ravi keskmine kestus vahemikus 4 nädalast kuni enam kui 20 kuuni. </w:t>
      </w:r>
      <w:r w:rsidRPr="00EC3BD7">
        <w:rPr>
          <w:color w:val="000000"/>
          <w:szCs w:val="22"/>
          <w:lang w:val="et-EE" w:eastAsia="ja-JP"/>
        </w:rPr>
        <w:t>Translokatsioon t(17:22)[(q22:q13)], või selle geeniprodukt esines peaaegu kõigil Gliveci ravivastuse saanutel.</w:t>
      </w:r>
    </w:p>
    <w:p w14:paraId="37B405AB" w14:textId="77777777" w:rsidR="00E21A2F" w:rsidRPr="00EC3BD7" w:rsidRDefault="00E21A2F" w:rsidP="00E21A2F">
      <w:pPr>
        <w:pStyle w:val="EndnoteText"/>
        <w:widowControl w:val="0"/>
        <w:tabs>
          <w:tab w:val="clear" w:pos="567"/>
        </w:tabs>
        <w:rPr>
          <w:color w:val="000000"/>
          <w:szCs w:val="22"/>
          <w:lang w:val="et-EE"/>
        </w:rPr>
      </w:pPr>
    </w:p>
    <w:p w14:paraId="104A46D8" w14:textId="0B5EE6A0" w:rsidR="00E21A2F" w:rsidRPr="00EC3BD7" w:rsidRDefault="00E21A2F" w:rsidP="00E21A2F">
      <w:pPr>
        <w:pStyle w:val="EndnoteText"/>
        <w:widowControl w:val="0"/>
        <w:tabs>
          <w:tab w:val="clear" w:pos="567"/>
        </w:tabs>
        <w:rPr>
          <w:color w:val="000000"/>
          <w:szCs w:val="22"/>
          <w:lang w:val="et-EE"/>
        </w:rPr>
      </w:pPr>
      <w:r w:rsidRPr="00EC3BD7">
        <w:rPr>
          <w:color w:val="000000"/>
          <w:szCs w:val="22"/>
          <w:lang w:val="et-EE"/>
        </w:rPr>
        <w:t>PDFS</w:t>
      </w:r>
      <w:r w:rsidR="00B43A79" w:rsidRPr="00593631">
        <w:rPr>
          <w:color w:val="000000"/>
          <w:szCs w:val="22"/>
          <w:lang w:val="et-EE"/>
        </w:rPr>
        <w:t>-i</w:t>
      </w:r>
      <w:r w:rsidRPr="00EC3BD7">
        <w:rPr>
          <w:color w:val="000000"/>
          <w:szCs w:val="22"/>
          <w:lang w:val="et-EE"/>
        </w:rPr>
        <w:t xml:space="preserve"> pediaatrilistel patsientidel ei ole kontrollitud kliinilisi uuringuid läbi viidud. 3-s publikatsioonis kirjeldati 5 PDFS</w:t>
      </w:r>
      <w:r w:rsidR="00B43A79" w:rsidRPr="00593631">
        <w:rPr>
          <w:color w:val="000000"/>
          <w:szCs w:val="22"/>
          <w:lang w:val="et-EE"/>
        </w:rPr>
        <w:t>-i</w:t>
      </w:r>
      <w:r w:rsidRPr="00EC3BD7">
        <w:rPr>
          <w:color w:val="000000"/>
          <w:szCs w:val="22"/>
          <w:lang w:val="et-EE"/>
        </w:rPr>
        <w:t xml:space="preserve"> ja PDGFR</w:t>
      </w:r>
      <w:r w:rsidR="00B43A79" w:rsidRPr="00593631">
        <w:rPr>
          <w:color w:val="000000"/>
          <w:szCs w:val="22"/>
          <w:lang w:val="et-EE"/>
        </w:rPr>
        <w:t>-i</w:t>
      </w:r>
      <w:r w:rsidRPr="00EC3BD7">
        <w:rPr>
          <w:color w:val="000000"/>
          <w:szCs w:val="22"/>
          <w:lang w:val="et-EE"/>
        </w:rPr>
        <w:t xml:space="preserve"> geneetilise rekombinatsiooniga patsienti. Nende patsientide vanus oli vastsündinust kuni 14 aastani ja imatiniibi manustati annuses 50 mg ööpäevas või annuses 400 kuni 520 mg/m</w:t>
      </w:r>
      <w:r w:rsidRPr="00EC3BD7">
        <w:rPr>
          <w:color w:val="000000"/>
          <w:szCs w:val="22"/>
          <w:vertAlign w:val="superscript"/>
          <w:lang w:val="et-EE"/>
        </w:rPr>
        <w:t>2</w:t>
      </w:r>
      <w:r w:rsidRPr="00EC3BD7">
        <w:rPr>
          <w:color w:val="000000"/>
          <w:szCs w:val="22"/>
          <w:lang w:val="et-EE"/>
        </w:rPr>
        <w:t xml:space="preserve"> ööpäevas. Kõigil patsientidel saavutati osaline ja/või täielik ravivastus.</w:t>
      </w:r>
    </w:p>
    <w:p w14:paraId="0C8C7828" w14:textId="77777777" w:rsidR="00E21A2F" w:rsidRPr="00EC3BD7" w:rsidRDefault="00E21A2F" w:rsidP="00E21A2F">
      <w:pPr>
        <w:pStyle w:val="EndnoteText"/>
        <w:widowControl w:val="0"/>
        <w:tabs>
          <w:tab w:val="clear" w:pos="567"/>
        </w:tabs>
        <w:rPr>
          <w:color w:val="000000"/>
          <w:szCs w:val="22"/>
          <w:lang w:val="et-EE"/>
        </w:rPr>
      </w:pPr>
    </w:p>
    <w:p w14:paraId="03EA460A" w14:textId="77777777" w:rsidR="00193B44" w:rsidRPr="00EC3BD7" w:rsidRDefault="00193B44"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5.2</w:t>
      </w:r>
      <w:r w:rsidRPr="00EC3BD7">
        <w:rPr>
          <w:b/>
          <w:color w:val="000000"/>
          <w:szCs w:val="22"/>
          <w:lang w:val="et-EE"/>
        </w:rPr>
        <w:tab/>
        <w:t>Farmakokineetilised omadused</w:t>
      </w:r>
    </w:p>
    <w:p w14:paraId="4D8DA741" w14:textId="77777777" w:rsidR="00193B44" w:rsidRPr="00EC3BD7" w:rsidRDefault="00193B44" w:rsidP="00B9089D">
      <w:pPr>
        <w:pStyle w:val="EndnoteText"/>
        <w:keepNext/>
        <w:widowControl w:val="0"/>
        <w:tabs>
          <w:tab w:val="clear" w:pos="567"/>
        </w:tabs>
        <w:rPr>
          <w:color w:val="000000"/>
          <w:szCs w:val="22"/>
          <w:lang w:val="et-EE"/>
        </w:rPr>
      </w:pPr>
    </w:p>
    <w:p w14:paraId="4E56363D" w14:textId="77777777" w:rsidR="00193B44" w:rsidRPr="00EC3BD7" w:rsidRDefault="00193B44" w:rsidP="00B9089D">
      <w:pPr>
        <w:pStyle w:val="EndnoteText"/>
        <w:keepNext/>
        <w:widowControl w:val="0"/>
        <w:tabs>
          <w:tab w:val="clear" w:pos="567"/>
        </w:tabs>
        <w:rPr>
          <w:color w:val="000000"/>
          <w:szCs w:val="22"/>
          <w:u w:val="single"/>
          <w:lang w:val="et-EE"/>
        </w:rPr>
      </w:pPr>
      <w:r w:rsidRPr="00EC3BD7">
        <w:rPr>
          <w:color w:val="000000"/>
          <w:szCs w:val="22"/>
          <w:u w:val="single"/>
          <w:lang w:val="et-EE"/>
        </w:rPr>
        <w:t>Gliveci farmakokineetika</w:t>
      </w:r>
    </w:p>
    <w:p w14:paraId="5C6BA2E4" w14:textId="77777777" w:rsidR="00193B44" w:rsidRPr="00EC3BD7" w:rsidRDefault="00193B44" w:rsidP="00193B44">
      <w:pPr>
        <w:pStyle w:val="EndnoteText"/>
        <w:widowControl w:val="0"/>
        <w:tabs>
          <w:tab w:val="clear" w:pos="567"/>
        </w:tabs>
        <w:rPr>
          <w:color w:val="000000"/>
          <w:szCs w:val="22"/>
          <w:lang w:val="et-EE"/>
        </w:rPr>
      </w:pPr>
      <w:r w:rsidRPr="00EC3BD7">
        <w:rPr>
          <w:color w:val="000000"/>
          <w:szCs w:val="22"/>
          <w:lang w:val="et-EE"/>
        </w:rPr>
        <w:t xml:space="preserve">Gliveci farmakokineetikat on hinnatud annusevahemikus 25...1000 mg. Ravimi kineetilisi omadusi plasmas analüüsiti 1. päeval ning kas 7. või 28. päeval, kui oli saavutatud püsiv </w:t>
      </w:r>
      <w:r w:rsidRPr="00EC3BD7">
        <w:rPr>
          <w:color w:val="000000"/>
          <w:szCs w:val="22"/>
          <w:lang w:val="et-EE"/>
        </w:rPr>
        <w:lastRenderedPageBreak/>
        <w:t>plasmakontsentratsioon.</w:t>
      </w:r>
    </w:p>
    <w:p w14:paraId="2854F1C7" w14:textId="77777777" w:rsidR="00193B44" w:rsidRPr="00EC3BD7" w:rsidRDefault="00193B44" w:rsidP="00193B44">
      <w:pPr>
        <w:pStyle w:val="EndnoteText"/>
        <w:widowControl w:val="0"/>
        <w:tabs>
          <w:tab w:val="clear" w:pos="567"/>
        </w:tabs>
        <w:rPr>
          <w:color w:val="000000"/>
          <w:szCs w:val="22"/>
          <w:lang w:val="et-EE"/>
        </w:rPr>
      </w:pPr>
    </w:p>
    <w:p w14:paraId="5DCC16D0"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u w:val="single"/>
          <w:lang w:val="et-EE"/>
        </w:rPr>
        <w:t>Imendumine</w:t>
      </w:r>
    </w:p>
    <w:p w14:paraId="79941A40"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Kapsli kasutamisel on keskmine absoluutne biosaadavus 98%. Imatiniibi plasma AUC tasemetes esinesid suukaudse annuse järgselt suured patsientidevahelised erinevused. Koos rasvarikka toiduga manustatuna vähenes imatiniibi imendumiskiirus minimaalselt (C</w:t>
      </w:r>
      <w:r w:rsidRPr="00EC3BD7">
        <w:rPr>
          <w:color w:val="000000"/>
          <w:szCs w:val="22"/>
          <w:vertAlign w:val="subscript"/>
          <w:lang w:val="et-EE"/>
        </w:rPr>
        <w:t>max</w:t>
      </w:r>
      <w:r w:rsidRPr="00EC3BD7">
        <w:rPr>
          <w:color w:val="000000"/>
          <w:szCs w:val="22"/>
          <w:lang w:val="et-EE"/>
        </w:rPr>
        <w:t xml:space="preserve"> vähenes 11% ja t</w:t>
      </w:r>
      <w:r w:rsidRPr="00EC3BD7">
        <w:rPr>
          <w:color w:val="000000"/>
          <w:szCs w:val="22"/>
          <w:vertAlign w:val="subscript"/>
          <w:lang w:val="et-EE"/>
        </w:rPr>
        <w:t>max</w:t>
      </w:r>
      <w:r w:rsidRPr="00EC3BD7">
        <w:rPr>
          <w:color w:val="000000"/>
          <w:szCs w:val="22"/>
          <w:lang w:val="et-EE"/>
        </w:rPr>
        <w:t xml:space="preserve"> pikenes 1,5 tundi) ja täheldati AUC vähest langust (7,4%) võrreldes manustamisel tühja kõhuga. Varasema seedetrakti operatsiooni mõju ravimi imendumisele ei ole uuritud.</w:t>
      </w:r>
    </w:p>
    <w:p w14:paraId="41C010A5" w14:textId="77777777" w:rsidR="00136210" w:rsidRPr="00EC3BD7" w:rsidRDefault="00136210">
      <w:pPr>
        <w:pStyle w:val="EndnoteText"/>
        <w:widowControl w:val="0"/>
        <w:tabs>
          <w:tab w:val="clear" w:pos="567"/>
        </w:tabs>
        <w:rPr>
          <w:color w:val="000000"/>
          <w:szCs w:val="22"/>
          <w:lang w:val="et-EE"/>
        </w:rPr>
      </w:pPr>
    </w:p>
    <w:p w14:paraId="004B6C7A" w14:textId="77777777" w:rsidR="00193B44" w:rsidRPr="00EC3BD7" w:rsidRDefault="00193B44" w:rsidP="00B9089D">
      <w:pPr>
        <w:pStyle w:val="EndnoteText"/>
        <w:keepNext/>
        <w:widowControl w:val="0"/>
        <w:tabs>
          <w:tab w:val="clear" w:pos="567"/>
        </w:tabs>
        <w:rPr>
          <w:color w:val="000000"/>
          <w:szCs w:val="22"/>
          <w:lang w:val="et-EE"/>
        </w:rPr>
      </w:pPr>
      <w:r w:rsidRPr="00EC3BD7">
        <w:rPr>
          <w:color w:val="000000"/>
          <w:szCs w:val="22"/>
          <w:u w:val="single"/>
          <w:lang w:val="et-EE"/>
        </w:rPr>
        <w:t>Jaotu</w:t>
      </w:r>
      <w:r w:rsidR="00A7457F" w:rsidRPr="00EC3BD7">
        <w:rPr>
          <w:color w:val="000000"/>
          <w:szCs w:val="22"/>
          <w:u w:val="single"/>
          <w:lang w:val="et-EE"/>
        </w:rPr>
        <w:t>mine</w:t>
      </w:r>
    </w:p>
    <w:p w14:paraId="688D3253" w14:textId="77777777" w:rsidR="00193B44" w:rsidRPr="00EC3BD7" w:rsidRDefault="00193B44" w:rsidP="00193B44">
      <w:pPr>
        <w:pStyle w:val="EndnoteText"/>
        <w:widowControl w:val="0"/>
        <w:tabs>
          <w:tab w:val="clear" w:pos="567"/>
        </w:tabs>
        <w:rPr>
          <w:color w:val="000000"/>
          <w:szCs w:val="22"/>
          <w:lang w:val="et-EE"/>
        </w:rPr>
      </w:pPr>
      <w:r w:rsidRPr="00EC3BD7">
        <w:rPr>
          <w:i/>
          <w:color w:val="000000"/>
          <w:szCs w:val="22"/>
          <w:lang w:val="et-EE"/>
        </w:rPr>
        <w:t>In vitro</w:t>
      </w:r>
      <w:r w:rsidRPr="00EC3BD7">
        <w:rPr>
          <w:color w:val="000000"/>
          <w:szCs w:val="22"/>
          <w:lang w:val="et-EE"/>
        </w:rPr>
        <w:t xml:space="preserve"> katsete põhjal oli imatiniibi kliiniliselt oluliste kontsentratsioonide juures seonduvus plasmavalkudega umbes 95%, enamasti albumiini ja happelise alfa glükoproteiiniga ning vähesel määral lipoproteiiniga.</w:t>
      </w:r>
    </w:p>
    <w:p w14:paraId="0BD0883A" w14:textId="77777777" w:rsidR="00193B44" w:rsidRPr="00EC3BD7" w:rsidRDefault="00193B44" w:rsidP="00193B44">
      <w:pPr>
        <w:pStyle w:val="EndnoteText"/>
        <w:widowControl w:val="0"/>
        <w:tabs>
          <w:tab w:val="clear" w:pos="567"/>
        </w:tabs>
        <w:rPr>
          <w:color w:val="000000"/>
          <w:szCs w:val="22"/>
          <w:lang w:val="et-EE"/>
        </w:rPr>
      </w:pPr>
    </w:p>
    <w:p w14:paraId="5A06D46A" w14:textId="77777777" w:rsidR="00193B44" w:rsidRPr="00EC3BD7" w:rsidRDefault="00522054" w:rsidP="00B9089D">
      <w:pPr>
        <w:pStyle w:val="EndnoteText"/>
        <w:keepNext/>
        <w:widowControl w:val="0"/>
        <w:tabs>
          <w:tab w:val="clear" w:pos="567"/>
        </w:tabs>
        <w:rPr>
          <w:color w:val="000000"/>
          <w:szCs w:val="22"/>
          <w:lang w:val="et-EE"/>
        </w:rPr>
      </w:pPr>
      <w:r w:rsidRPr="00EC3BD7">
        <w:rPr>
          <w:color w:val="000000"/>
          <w:szCs w:val="22"/>
          <w:u w:val="single"/>
          <w:lang w:val="et-EE"/>
        </w:rPr>
        <w:t>Biotransformatsioon</w:t>
      </w:r>
    </w:p>
    <w:p w14:paraId="530FBAF3" w14:textId="77777777" w:rsidR="00193B44" w:rsidRPr="00EC3BD7" w:rsidRDefault="00193B44" w:rsidP="00193B44">
      <w:pPr>
        <w:pStyle w:val="EndnoteText"/>
        <w:widowControl w:val="0"/>
        <w:tabs>
          <w:tab w:val="clear" w:pos="567"/>
        </w:tabs>
        <w:rPr>
          <w:color w:val="000000"/>
          <w:szCs w:val="22"/>
          <w:lang w:val="et-EE"/>
        </w:rPr>
      </w:pPr>
      <w:r w:rsidRPr="00EC3BD7">
        <w:rPr>
          <w:color w:val="000000"/>
          <w:szCs w:val="22"/>
          <w:lang w:val="et-EE"/>
        </w:rPr>
        <w:t xml:space="preserve">Peamine ringlev metaboliit inimesel on N-demetüleeritud piperasiinderivaat, millel on </w:t>
      </w:r>
      <w:r w:rsidRPr="00EC3BD7">
        <w:rPr>
          <w:i/>
          <w:color w:val="000000"/>
          <w:szCs w:val="22"/>
          <w:lang w:val="et-EE"/>
        </w:rPr>
        <w:t>in vitro</w:t>
      </w:r>
      <w:r w:rsidRPr="00EC3BD7">
        <w:rPr>
          <w:color w:val="000000"/>
          <w:szCs w:val="22"/>
          <w:lang w:val="et-EE"/>
        </w:rPr>
        <w:t xml:space="preserve"> toimeainega sarnane aktiivsus. Selle metaboliidi plasma AUC oli ainult 16% imatiniibi AUC-ga võrreldes. N-demetüleeritud metaboliidi seostumine plasmavalkudega on analoogne toimeaine seostumisega.</w:t>
      </w:r>
    </w:p>
    <w:p w14:paraId="1D83F151" w14:textId="77777777" w:rsidR="00193B44" w:rsidRPr="00EC3BD7" w:rsidRDefault="00193B44" w:rsidP="00193B44">
      <w:pPr>
        <w:pStyle w:val="EndnoteText"/>
        <w:widowControl w:val="0"/>
        <w:tabs>
          <w:tab w:val="clear" w:pos="567"/>
        </w:tabs>
        <w:rPr>
          <w:color w:val="000000"/>
          <w:szCs w:val="22"/>
          <w:lang w:val="et-EE"/>
        </w:rPr>
      </w:pPr>
    </w:p>
    <w:p w14:paraId="69CD7F9F" w14:textId="77777777" w:rsidR="00193B44" w:rsidRPr="00EC3BD7" w:rsidRDefault="00193B44" w:rsidP="00193B44">
      <w:pPr>
        <w:pStyle w:val="Text"/>
        <w:widowControl w:val="0"/>
        <w:spacing w:before="0"/>
        <w:jc w:val="left"/>
        <w:rPr>
          <w:color w:val="000000"/>
          <w:sz w:val="22"/>
          <w:szCs w:val="22"/>
          <w:lang w:val="et-EE"/>
        </w:rPr>
      </w:pPr>
      <w:r w:rsidRPr="00EC3BD7">
        <w:rPr>
          <w:color w:val="000000"/>
          <w:sz w:val="22"/>
          <w:szCs w:val="22"/>
          <w:lang w:val="et-EE"/>
        </w:rPr>
        <w:t>Imatiniib ja N-demetüleeritud metaboliit koos andsid umbes 65% tsirkuleerivast radioaktiivsusest (AUC</w:t>
      </w:r>
      <w:r w:rsidRPr="00EC3BD7">
        <w:rPr>
          <w:color w:val="000000"/>
          <w:sz w:val="22"/>
          <w:szCs w:val="22"/>
          <w:vertAlign w:val="subscript"/>
          <w:lang w:val="et-EE"/>
        </w:rPr>
        <w:t>(0-48h)</w:t>
      </w:r>
      <w:r w:rsidRPr="00EC3BD7">
        <w:rPr>
          <w:color w:val="000000"/>
          <w:sz w:val="22"/>
          <w:szCs w:val="22"/>
          <w:lang w:val="et-EE"/>
        </w:rPr>
        <w:t>). Ülejäänud tsirkuleeriv radioaktiivsus koosnes mitmetest vähemtähtsatest metaboliitidest.</w:t>
      </w:r>
    </w:p>
    <w:p w14:paraId="0BA5F6BE" w14:textId="77777777" w:rsidR="00193B44" w:rsidRPr="00EC3BD7" w:rsidRDefault="00193B44" w:rsidP="00193B44">
      <w:pPr>
        <w:pStyle w:val="Text"/>
        <w:widowControl w:val="0"/>
        <w:spacing w:before="0"/>
        <w:jc w:val="left"/>
        <w:rPr>
          <w:color w:val="000000"/>
          <w:sz w:val="22"/>
          <w:szCs w:val="22"/>
          <w:lang w:val="et-EE"/>
        </w:rPr>
      </w:pPr>
    </w:p>
    <w:p w14:paraId="78F793CA" w14:textId="77777777" w:rsidR="00193B44" w:rsidRPr="00EC3BD7" w:rsidRDefault="00193B44" w:rsidP="00193B44">
      <w:pPr>
        <w:pStyle w:val="Text"/>
        <w:widowControl w:val="0"/>
        <w:spacing w:before="0"/>
        <w:jc w:val="left"/>
        <w:rPr>
          <w:color w:val="000000"/>
          <w:sz w:val="22"/>
          <w:szCs w:val="22"/>
          <w:lang w:val="et-EE"/>
        </w:rPr>
      </w:pPr>
      <w:r w:rsidRPr="00EC3BD7">
        <w:rPr>
          <w:i/>
          <w:color w:val="000000"/>
          <w:sz w:val="22"/>
          <w:szCs w:val="22"/>
          <w:lang w:val="et-EE"/>
        </w:rPr>
        <w:t>In vitro</w:t>
      </w:r>
      <w:r w:rsidRPr="00EC3BD7">
        <w:rPr>
          <w:color w:val="000000"/>
          <w:sz w:val="22"/>
          <w:szCs w:val="22"/>
          <w:lang w:val="et-EE"/>
        </w:rPr>
        <w:t xml:space="preserve"> tulemused näitasid, et CYP3A4 on peamine inimese P450 ensüüm, mis katalüüsib imatiniibi biotransformatsiooni. Võimalike samaaegselt manustatavate ravimite hulgas (atse</w:t>
      </w:r>
      <w:r w:rsidR="00AD37CE" w:rsidRPr="00EC3BD7">
        <w:rPr>
          <w:color w:val="000000"/>
          <w:sz w:val="22"/>
          <w:szCs w:val="22"/>
          <w:lang w:val="et-EE"/>
        </w:rPr>
        <w:t>e</w:t>
      </w:r>
      <w:r w:rsidRPr="00EC3BD7">
        <w:rPr>
          <w:color w:val="000000"/>
          <w:sz w:val="22"/>
          <w:szCs w:val="22"/>
          <w:lang w:val="et-EE"/>
        </w:rPr>
        <w:t>taminofeen, atsükloviir, allopurinool, amfoteritsiin, tsütarabiin, erütromütsiin, flukonasool, hüdroksüuurea, norfloksatsiin, penitsilliin V) pärssisid ainult erütromütsiin (IC</w:t>
      </w:r>
      <w:r w:rsidRPr="00EC3BD7">
        <w:rPr>
          <w:color w:val="000000"/>
          <w:sz w:val="22"/>
          <w:szCs w:val="22"/>
          <w:vertAlign w:val="subscript"/>
          <w:lang w:val="et-EE"/>
        </w:rPr>
        <w:t>50</w:t>
      </w:r>
      <w:r w:rsidRPr="00EC3BD7">
        <w:rPr>
          <w:color w:val="000000"/>
          <w:sz w:val="22"/>
          <w:szCs w:val="22"/>
          <w:lang w:val="et-EE"/>
        </w:rPr>
        <w:t xml:space="preserve"> 50 µM) ja flukonasool (IC</w:t>
      </w:r>
      <w:r w:rsidRPr="00EC3BD7">
        <w:rPr>
          <w:color w:val="000000"/>
          <w:sz w:val="22"/>
          <w:szCs w:val="22"/>
          <w:vertAlign w:val="subscript"/>
          <w:lang w:val="et-EE"/>
        </w:rPr>
        <w:t>50</w:t>
      </w:r>
      <w:r w:rsidRPr="00EC3BD7">
        <w:rPr>
          <w:color w:val="000000"/>
          <w:sz w:val="22"/>
          <w:szCs w:val="22"/>
          <w:lang w:val="et-EE"/>
        </w:rPr>
        <w:t xml:space="preserve"> 118 µM) imatiniibi metabolismi kliiniliselt olulisel määral.</w:t>
      </w:r>
    </w:p>
    <w:p w14:paraId="4CED9223" w14:textId="77777777" w:rsidR="00193B44" w:rsidRPr="00EC3BD7" w:rsidRDefault="00193B44" w:rsidP="00193B44">
      <w:pPr>
        <w:pStyle w:val="Text"/>
        <w:widowControl w:val="0"/>
        <w:spacing w:before="0"/>
        <w:jc w:val="left"/>
        <w:rPr>
          <w:color w:val="000000"/>
          <w:sz w:val="22"/>
          <w:szCs w:val="22"/>
          <w:lang w:val="et-EE"/>
        </w:rPr>
      </w:pPr>
    </w:p>
    <w:p w14:paraId="510C15F7" w14:textId="77777777" w:rsidR="00193B44" w:rsidRPr="00EC3BD7" w:rsidRDefault="00193B44" w:rsidP="00193B44">
      <w:pPr>
        <w:pStyle w:val="Text"/>
        <w:widowControl w:val="0"/>
        <w:spacing w:before="0"/>
        <w:jc w:val="left"/>
        <w:rPr>
          <w:color w:val="000000"/>
          <w:sz w:val="22"/>
          <w:szCs w:val="22"/>
          <w:lang w:val="et-EE"/>
        </w:rPr>
      </w:pPr>
      <w:r w:rsidRPr="00EC3BD7">
        <w:rPr>
          <w:color w:val="000000"/>
          <w:sz w:val="22"/>
          <w:szCs w:val="22"/>
          <w:lang w:val="et-EE"/>
        </w:rPr>
        <w:t xml:space="preserve">Imatiniib oli </w:t>
      </w:r>
      <w:r w:rsidRPr="00EC3BD7">
        <w:rPr>
          <w:i/>
          <w:color w:val="000000"/>
          <w:sz w:val="22"/>
          <w:szCs w:val="22"/>
          <w:lang w:val="et-EE"/>
        </w:rPr>
        <w:t>in vitro</w:t>
      </w:r>
      <w:r w:rsidRPr="00EC3BD7">
        <w:rPr>
          <w:color w:val="000000"/>
          <w:sz w:val="22"/>
          <w:szCs w:val="22"/>
          <w:lang w:val="et-EE"/>
        </w:rPr>
        <w:t xml:space="preserve"> CYP2C9, CYP2D6 ja CYP3A4/5 markersubstraatide konkureeriv inhibiitor. K</w:t>
      </w:r>
      <w:r w:rsidRPr="00EC3BD7">
        <w:rPr>
          <w:color w:val="000000"/>
          <w:sz w:val="22"/>
          <w:szCs w:val="22"/>
          <w:vertAlign w:val="subscript"/>
          <w:lang w:val="et-EE"/>
        </w:rPr>
        <w:t>i</w:t>
      </w:r>
      <w:r w:rsidRPr="00EC3BD7">
        <w:rPr>
          <w:color w:val="000000"/>
          <w:sz w:val="22"/>
          <w:szCs w:val="22"/>
          <w:lang w:val="et-EE"/>
        </w:rPr>
        <w:t xml:space="preserve"> väärtused inimese maksa mikrosoomides olid vastavalt 27, 7,5 ja 7,9 </w:t>
      </w:r>
      <w:r w:rsidRPr="00EC3BD7">
        <w:rPr>
          <w:color w:val="000000"/>
          <w:sz w:val="22"/>
          <w:szCs w:val="22"/>
          <w:lang w:val="et-EE"/>
        </w:rPr>
        <w:sym w:font="Symbol" w:char="F06D"/>
      </w:r>
      <w:r w:rsidRPr="00EC3BD7">
        <w:rPr>
          <w:color w:val="000000"/>
          <w:sz w:val="22"/>
          <w:szCs w:val="22"/>
          <w:lang w:val="et-EE"/>
        </w:rPr>
        <w:t>mol/l. Imatiniibi maksimaalne plasmakontsentratsioon patsientidel on 2...4 </w:t>
      </w:r>
      <w:r w:rsidRPr="00EC3BD7">
        <w:rPr>
          <w:color w:val="000000"/>
          <w:sz w:val="22"/>
          <w:szCs w:val="22"/>
          <w:lang w:val="et-EE"/>
        </w:rPr>
        <w:sym w:font="Symbol" w:char="F06D"/>
      </w:r>
      <w:r w:rsidRPr="00EC3BD7">
        <w:rPr>
          <w:color w:val="000000"/>
          <w:sz w:val="22"/>
          <w:szCs w:val="22"/>
          <w:lang w:val="et-EE"/>
        </w:rPr>
        <w:t>mol/l, seega on võimalik samaaegselt manustatavate ravimite CYP2D6 ja/või CYP3A4/5 vahendusel toimuva metabolismi pärssimine. Imatiniib ei sekkunud 5-fluorouratsiili biotransformatsiooni, kuid pärssis paklitakseeli metabolismi CYP2C8 (K</w:t>
      </w:r>
      <w:r w:rsidRPr="00EC3BD7">
        <w:rPr>
          <w:color w:val="000000"/>
          <w:sz w:val="22"/>
          <w:szCs w:val="22"/>
          <w:vertAlign w:val="subscript"/>
          <w:lang w:val="et-EE"/>
        </w:rPr>
        <w:t>i</w:t>
      </w:r>
      <w:r w:rsidRPr="00EC3BD7">
        <w:rPr>
          <w:color w:val="000000"/>
          <w:sz w:val="22"/>
          <w:szCs w:val="22"/>
          <w:lang w:val="et-EE"/>
        </w:rPr>
        <w:t> = 34,7 µM) konkureeriva inhibeerimise kaudu. Leitud K</w:t>
      </w:r>
      <w:r w:rsidRPr="00EC3BD7">
        <w:rPr>
          <w:color w:val="000000"/>
          <w:sz w:val="22"/>
          <w:szCs w:val="22"/>
          <w:vertAlign w:val="subscript"/>
          <w:lang w:val="et-EE"/>
        </w:rPr>
        <w:t>i</w:t>
      </w:r>
      <w:r w:rsidRPr="00EC3BD7">
        <w:rPr>
          <w:color w:val="000000"/>
          <w:sz w:val="22"/>
          <w:szCs w:val="22"/>
          <w:lang w:val="et-EE"/>
        </w:rPr>
        <w:t xml:space="preserve"> väärtus on siiski palju kõrgem kui imatiniibi eeldatav kontsentratsioon plasmas, mistõttu ei eeldata koostoimeid imatiniibi samaaegsel manustamisel kas 5-fluorouratsiili või paklitakseeliga.</w:t>
      </w:r>
    </w:p>
    <w:p w14:paraId="57B388FC" w14:textId="77777777" w:rsidR="00193B44" w:rsidRPr="00EC3BD7" w:rsidRDefault="00193B44" w:rsidP="00193B44">
      <w:pPr>
        <w:pStyle w:val="EndnoteText"/>
        <w:widowControl w:val="0"/>
        <w:tabs>
          <w:tab w:val="clear" w:pos="567"/>
        </w:tabs>
        <w:rPr>
          <w:color w:val="000000"/>
          <w:szCs w:val="22"/>
          <w:lang w:val="et-EE"/>
        </w:rPr>
      </w:pPr>
    </w:p>
    <w:p w14:paraId="1D9B06BD" w14:textId="77777777" w:rsidR="00193B44" w:rsidRPr="00EC3BD7" w:rsidRDefault="00193B44" w:rsidP="00B9089D">
      <w:pPr>
        <w:pStyle w:val="EndnoteText"/>
        <w:keepNext/>
        <w:widowControl w:val="0"/>
        <w:tabs>
          <w:tab w:val="clear" w:pos="567"/>
        </w:tabs>
        <w:rPr>
          <w:color w:val="000000"/>
          <w:szCs w:val="22"/>
          <w:lang w:val="et-EE"/>
        </w:rPr>
      </w:pPr>
      <w:r w:rsidRPr="00EC3BD7">
        <w:rPr>
          <w:color w:val="000000"/>
          <w:szCs w:val="22"/>
          <w:u w:val="single"/>
          <w:lang w:val="et-EE"/>
        </w:rPr>
        <w:t>E</w:t>
      </w:r>
      <w:r w:rsidR="0090766D" w:rsidRPr="00EC3BD7">
        <w:rPr>
          <w:color w:val="000000"/>
          <w:szCs w:val="22"/>
          <w:u w:val="single"/>
          <w:lang w:val="et-EE"/>
        </w:rPr>
        <w:t>ritumine</w:t>
      </w:r>
    </w:p>
    <w:p w14:paraId="5F5E364F" w14:textId="77777777" w:rsidR="00193B44" w:rsidRPr="00EC3BD7" w:rsidRDefault="00193B44" w:rsidP="00193B44">
      <w:pPr>
        <w:pStyle w:val="EndnoteText"/>
        <w:widowControl w:val="0"/>
        <w:tabs>
          <w:tab w:val="clear" w:pos="567"/>
        </w:tabs>
        <w:rPr>
          <w:color w:val="000000"/>
          <w:szCs w:val="22"/>
          <w:lang w:val="et-EE"/>
        </w:rPr>
      </w:pPr>
      <w:r w:rsidRPr="00EC3BD7">
        <w:rPr>
          <w:color w:val="000000"/>
          <w:szCs w:val="22"/>
          <w:lang w:val="et-EE"/>
        </w:rPr>
        <w:t xml:space="preserve">Pärast imatiniibi </w:t>
      </w:r>
      <w:r w:rsidRPr="00EC3BD7">
        <w:rPr>
          <w:color w:val="000000"/>
          <w:szCs w:val="22"/>
          <w:vertAlign w:val="superscript"/>
          <w:lang w:val="et-EE"/>
        </w:rPr>
        <w:t>14</w:t>
      </w:r>
      <w:r w:rsidRPr="00EC3BD7">
        <w:rPr>
          <w:color w:val="000000"/>
          <w:szCs w:val="22"/>
          <w:lang w:val="et-EE"/>
        </w:rPr>
        <w:t>C-märgistatud suukaudset annust leiti 7 päeva jooksul umbes 81% annusest, sellest osa väljaheites (68% annusest) ja osa uriinis (13% annusest). Muutumatult eritus 25% imatiniibi annusest (5% uriinis, 20% väljaheites), ülejäänu metaboliitidena.</w:t>
      </w:r>
    </w:p>
    <w:p w14:paraId="3C5650A3" w14:textId="77777777" w:rsidR="00193B44" w:rsidRPr="00EC3BD7" w:rsidRDefault="00193B44" w:rsidP="00193B44">
      <w:pPr>
        <w:pStyle w:val="EndnoteText"/>
        <w:widowControl w:val="0"/>
        <w:tabs>
          <w:tab w:val="clear" w:pos="567"/>
        </w:tabs>
        <w:rPr>
          <w:color w:val="000000"/>
          <w:szCs w:val="22"/>
          <w:lang w:val="et-EE"/>
        </w:rPr>
      </w:pPr>
    </w:p>
    <w:p w14:paraId="5660522F" w14:textId="77777777" w:rsidR="00193B44" w:rsidRPr="00EC3BD7" w:rsidRDefault="00193B44" w:rsidP="00B9089D">
      <w:pPr>
        <w:pStyle w:val="EndnoteText"/>
        <w:keepNext/>
        <w:widowControl w:val="0"/>
        <w:tabs>
          <w:tab w:val="clear" w:pos="567"/>
        </w:tabs>
        <w:rPr>
          <w:color w:val="000000"/>
          <w:szCs w:val="22"/>
          <w:lang w:val="et-EE"/>
        </w:rPr>
      </w:pPr>
      <w:r w:rsidRPr="00EC3BD7">
        <w:rPr>
          <w:color w:val="000000"/>
          <w:szCs w:val="22"/>
          <w:u w:val="single"/>
          <w:lang w:val="et-EE"/>
        </w:rPr>
        <w:t>Farmakokineetika plasmas</w:t>
      </w:r>
    </w:p>
    <w:p w14:paraId="483DAE2A" w14:textId="77777777" w:rsidR="00193B44" w:rsidRPr="00EC3BD7" w:rsidRDefault="00193B44" w:rsidP="00193B44">
      <w:pPr>
        <w:pStyle w:val="EndnoteText"/>
        <w:widowControl w:val="0"/>
        <w:tabs>
          <w:tab w:val="clear" w:pos="567"/>
        </w:tabs>
        <w:rPr>
          <w:color w:val="000000"/>
          <w:szCs w:val="22"/>
          <w:lang w:val="et-EE"/>
        </w:rPr>
      </w:pPr>
      <w:r w:rsidRPr="00EC3BD7">
        <w:rPr>
          <w:color w:val="000000"/>
          <w:szCs w:val="22"/>
          <w:lang w:val="et-EE"/>
        </w:rPr>
        <w:t>Tervetel vabatahtlikel oli suukaudse manustamise järgselt t</w:t>
      </w:r>
      <w:r w:rsidRPr="00EC3BD7">
        <w:rPr>
          <w:color w:val="000000"/>
          <w:szCs w:val="22"/>
          <w:vertAlign w:val="subscript"/>
          <w:lang w:val="et-EE"/>
        </w:rPr>
        <w:t>½</w:t>
      </w:r>
      <w:r w:rsidRPr="00EC3BD7">
        <w:rPr>
          <w:color w:val="000000"/>
          <w:szCs w:val="22"/>
          <w:lang w:val="et-EE"/>
        </w:rPr>
        <w:t xml:space="preserve"> umbes 18 tundi, mis viitab sellele, et annustamisskeem üks kord päevas on piisav. Tõusva annusega suurenes keskmine AUC lineaarselt ja proportsionaalselt annusega imatiniibi suukaudsel manustamisel vahemikus 25...1000 mg. Korduval annustamisel ei muutunud imatiniibi kineetika ja kumuleerumine tasakaalukontsentratsiooni puhul annustamisega kord päevas oli 1,5...2,5-kordne.</w:t>
      </w:r>
    </w:p>
    <w:p w14:paraId="014F59FA" w14:textId="77777777" w:rsidR="00193B44" w:rsidRPr="00EC3BD7" w:rsidRDefault="00193B44" w:rsidP="00193B44">
      <w:pPr>
        <w:pStyle w:val="EndnoteText"/>
        <w:widowControl w:val="0"/>
        <w:tabs>
          <w:tab w:val="clear" w:pos="567"/>
        </w:tabs>
        <w:rPr>
          <w:color w:val="000000"/>
          <w:szCs w:val="22"/>
          <w:lang w:val="et-EE"/>
        </w:rPr>
      </w:pPr>
    </w:p>
    <w:p w14:paraId="5C3B81B1" w14:textId="0FFC2B6F" w:rsidR="00193B44" w:rsidRPr="00EC3BD7" w:rsidRDefault="00193B44" w:rsidP="00B9089D">
      <w:pPr>
        <w:pStyle w:val="EndnoteText"/>
        <w:keepNext/>
        <w:widowControl w:val="0"/>
        <w:tabs>
          <w:tab w:val="clear" w:pos="567"/>
        </w:tabs>
        <w:rPr>
          <w:color w:val="000000"/>
          <w:szCs w:val="22"/>
          <w:u w:val="single"/>
          <w:lang w:val="et-EE"/>
        </w:rPr>
      </w:pPr>
      <w:r w:rsidRPr="00EC3BD7">
        <w:rPr>
          <w:color w:val="000000"/>
          <w:szCs w:val="22"/>
          <w:u w:val="single"/>
          <w:lang w:val="et-EE"/>
        </w:rPr>
        <w:t>Farmakokineetika GIST</w:t>
      </w:r>
      <w:r w:rsidR="00B43A79" w:rsidRPr="00593631">
        <w:rPr>
          <w:color w:val="000000"/>
          <w:szCs w:val="22"/>
          <w:lang w:val="et-EE"/>
        </w:rPr>
        <w:t>-i</w:t>
      </w:r>
      <w:r w:rsidRPr="00EC3BD7">
        <w:rPr>
          <w:color w:val="000000"/>
          <w:szCs w:val="22"/>
          <w:u w:val="single"/>
          <w:lang w:val="et-EE"/>
        </w:rPr>
        <w:t xml:space="preserve"> patsientidel</w:t>
      </w:r>
    </w:p>
    <w:p w14:paraId="71EB5424" w14:textId="0CD9AF50" w:rsidR="00193B44" w:rsidRPr="00EC3BD7" w:rsidRDefault="00193B44" w:rsidP="00193B44">
      <w:pPr>
        <w:pStyle w:val="Text"/>
        <w:widowControl w:val="0"/>
        <w:spacing w:before="0"/>
        <w:jc w:val="left"/>
        <w:rPr>
          <w:color w:val="000000"/>
          <w:sz w:val="22"/>
          <w:szCs w:val="22"/>
          <w:lang w:val="et-EE"/>
        </w:rPr>
      </w:pPr>
      <w:r w:rsidRPr="00EC3BD7">
        <w:rPr>
          <w:snapToGrid w:val="0"/>
          <w:color w:val="000000"/>
          <w:sz w:val="22"/>
          <w:szCs w:val="22"/>
          <w:lang w:val="et-EE"/>
        </w:rPr>
        <w:t>GIST</w:t>
      </w:r>
      <w:r w:rsidR="00B43A79" w:rsidRPr="00593631">
        <w:rPr>
          <w:color w:val="000000"/>
          <w:sz w:val="22"/>
          <w:szCs w:val="22"/>
          <w:lang w:val="et-EE"/>
        </w:rPr>
        <w:t>-i</w:t>
      </w:r>
      <w:r w:rsidRPr="00EC3BD7">
        <w:rPr>
          <w:snapToGrid w:val="0"/>
          <w:color w:val="000000"/>
          <w:sz w:val="22"/>
          <w:szCs w:val="22"/>
          <w:lang w:val="et-EE"/>
        </w:rPr>
        <w:t xml:space="preserve"> patsientidel oli </w:t>
      </w:r>
      <w:r w:rsidR="003C71AD" w:rsidRPr="00EC3BD7">
        <w:rPr>
          <w:color w:val="000000"/>
          <w:sz w:val="22"/>
          <w:szCs w:val="22"/>
          <w:lang w:val="et-EE"/>
        </w:rPr>
        <w:t>plasmakontsentratsioon</w:t>
      </w:r>
      <w:r w:rsidR="003C71AD" w:rsidRPr="00EC3BD7">
        <w:rPr>
          <w:color w:val="000000"/>
          <w:szCs w:val="22"/>
          <w:lang w:val="et-EE"/>
        </w:rPr>
        <w:t xml:space="preserve"> </w:t>
      </w:r>
      <w:r w:rsidRPr="00EC3BD7">
        <w:rPr>
          <w:snapToGrid w:val="0"/>
          <w:color w:val="000000"/>
          <w:sz w:val="22"/>
          <w:szCs w:val="22"/>
          <w:lang w:val="et-EE"/>
        </w:rPr>
        <w:t xml:space="preserve">tasakaalukontsentratsiooni korral 1,5 korda kõrgem kui </w:t>
      </w:r>
      <w:smartTag w:uri="urn:schemas-microsoft-com:office:smarttags" w:element="stockticker">
        <w:r w:rsidRPr="00EC3BD7">
          <w:rPr>
            <w:snapToGrid w:val="0"/>
            <w:color w:val="000000"/>
            <w:sz w:val="22"/>
            <w:szCs w:val="22"/>
            <w:lang w:val="et-EE"/>
          </w:rPr>
          <w:t>KML</w:t>
        </w:r>
        <w:r w:rsidR="00B43A79" w:rsidRPr="00593631">
          <w:rPr>
            <w:color w:val="000000"/>
            <w:sz w:val="22"/>
            <w:szCs w:val="22"/>
            <w:lang w:val="et-EE"/>
          </w:rPr>
          <w:t>-i</w:t>
        </w:r>
      </w:smartTag>
      <w:r w:rsidRPr="00EC3BD7">
        <w:rPr>
          <w:snapToGrid w:val="0"/>
          <w:color w:val="000000"/>
          <w:sz w:val="22"/>
          <w:szCs w:val="22"/>
          <w:lang w:val="et-EE"/>
        </w:rPr>
        <w:t xml:space="preserve"> patsientidel sama annuse kasutamisel (400 mg ööpäevas). </w:t>
      </w:r>
      <w:r w:rsidRPr="00EC3BD7">
        <w:rPr>
          <w:color w:val="000000"/>
          <w:sz w:val="22"/>
          <w:szCs w:val="22"/>
          <w:lang w:val="et-EE"/>
        </w:rPr>
        <w:t>GIST</w:t>
      </w:r>
      <w:r w:rsidR="00B43A79" w:rsidRPr="00593631">
        <w:rPr>
          <w:color w:val="000000"/>
          <w:sz w:val="22"/>
          <w:szCs w:val="22"/>
          <w:lang w:val="et-EE"/>
        </w:rPr>
        <w:t>-i</w:t>
      </w:r>
      <w:r w:rsidRPr="00EC3BD7">
        <w:rPr>
          <w:color w:val="000000"/>
          <w:sz w:val="22"/>
          <w:szCs w:val="22"/>
          <w:lang w:val="et-EE"/>
        </w:rPr>
        <w:t xml:space="preserve"> patsientide es</w:t>
      </w:r>
      <w:r w:rsidRPr="00EC3BD7">
        <w:rPr>
          <w:snapToGrid w:val="0"/>
          <w:color w:val="000000"/>
          <w:sz w:val="22"/>
          <w:szCs w:val="22"/>
          <w:lang w:val="et-EE"/>
        </w:rPr>
        <w:t>ialgse populatsioonifarmakokineetika analüüsi põhjal leiti, et kolm tunnust</w:t>
      </w:r>
      <w:r w:rsidRPr="00EC3BD7">
        <w:rPr>
          <w:color w:val="000000"/>
          <w:sz w:val="22"/>
          <w:szCs w:val="22"/>
          <w:lang w:val="et-EE"/>
        </w:rPr>
        <w:t xml:space="preserve"> (albumiin, leukotsüütide arv ja bilirubiin) on statistiliselt olulisel määral seotud imatiniibi farmakokineetikaga. Albumiini väärtuste langus põhjustas kliirensi (CL/f) vähenemise ja leukotsüütide arvu suuremad väärtused põhjustasid CL/f vähenemise. Siiski ei olnud need seosed piisavalt väljendunud, et õigustada annuse </w:t>
      </w:r>
      <w:r w:rsidRPr="00EC3BD7">
        <w:rPr>
          <w:color w:val="000000"/>
          <w:sz w:val="22"/>
          <w:szCs w:val="22"/>
          <w:lang w:val="et-EE"/>
        </w:rPr>
        <w:lastRenderedPageBreak/>
        <w:t>korrigeerimist. Selles patsientide rühmas võib maksametastaaside esinemine põhjustada maksapuudulikkust ja metabolismi vähenemist.</w:t>
      </w:r>
    </w:p>
    <w:p w14:paraId="6C07E382" w14:textId="77777777" w:rsidR="00193B44" w:rsidRPr="00EC3BD7" w:rsidRDefault="00193B44" w:rsidP="00193B44">
      <w:pPr>
        <w:pStyle w:val="EndnoteText"/>
        <w:widowControl w:val="0"/>
        <w:tabs>
          <w:tab w:val="clear" w:pos="567"/>
        </w:tabs>
        <w:rPr>
          <w:color w:val="000000"/>
          <w:szCs w:val="22"/>
          <w:lang w:val="et-EE"/>
        </w:rPr>
      </w:pPr>
    </w:p>
    <w:p w14:paraId="05AFEAF1" w14:textId="77777777" w:rsidR="00193B44" w:rsidRPr="00EC3BD7" w:rsidRDefault="00193B44" w:rsidP="00B9089D">
      <w:pPr>
        <w:pStyle w:val="EndnoteText"/>
        <w:keepNext/>
        <w:widowControl w:val="0"/>
        <w:tabs>
          <w:tab w:val="clear" w:pos="567"/>
        </w:tabs>
        <w:rPr>
          <w:color w:val="000000"/>
          <w:szCs w:val="22"/>
          <w:lang w:val="et-EE"/>
        </w:rPr>
      </w:pPr>
      <w:r w:rsidRPr="00EC3BD7">
        <w:rPr>
          <w:color w:val="000000"/>
          <w:szCs w:val="22"/>
          <w:u w:val="single"/>
          <w:lang w:val="et-EE"/>
        </w:rPr>
        <w:t>Populatsioonifarmakokineetika</w:t>
      </w:r>
    </w:p>
    <w:p w14:paraId="48D4C4A4" w14:textId="33EC524F" w:rsidR="00193B44" w:rsidRPr="00EC3BD7" w:rsidRDefault="00193B44" w:rsidP="00193B44">
      <w:pPr>
        <w:pStyle w:val="EndnoteText"/>
        <w:widowControl w:val="0"/>
        <w:tabs>
          <w:tab w:val="clear" w:pos="567"/>
        </w:tabs>
        <w:rPr>
          <w:color w:val="000000"/>
          <w:szCs w:val="22"/>
          <w:lang w:val="et-EE"/>
        </w:rPr>
      </w:pPr>
      <w:smartTag w:uri="urn:schemas-microsoft-com:office:smarttags" w:element="stockticker">
        <w:r w:rsidRPr="00EC3BD7">
          <w:rPr>
            <w:color w:val="000000"/>
            <w:szCs w:val="22"/>
            <w:lang w:val="et-EE"/>
          </w:rPr>
          <w:t>KML</w:t>
        </w:r>
        <w:r w:rsidR="00B43A79" w:rsidRPr="00593631">
          <w:rPr>
            <w:color w:val="000000"/>
            <w:szCs w:val="22"/>
            <w:lang w:val="et-EE"/>
          </w:rPr>
          <w:t>-i</w:t>
        </w:r>
      </w:smartTag>
      <w:r w:rsidRPr="00EC3BD7">
        <w:rPr>
          <w:color w:val="000000"/>
          <w:szCs w:val="22"/>
          <w:lang w:val="et-EE"/>
        </w:rPr>
        <w:t xml:space="preserve"> patsientidel tehtud populatsioonifarmakokineetika analüüsis avaldas vanus vähest mõju jaotusruumalale (suurenemine 12% üle 65</w:t>
      </w:r>
      <w:r w:rsidR="003C71AD" w:rsidRPr="00EC3BD7">
        <w:rPr>
          <w:color w:val="000000"/>
          <w:szCs w:val="22"/>
          <w:lang w:val="et-EE"/>
        </w:rPr>
        <w:noBreakHyphen/>
      </w:r>
      <w:r w:rsidRPr="00EC3BD7">
        <w:rPr>
          <w:color w:val="000000"/>
          <w:szCs w:val="22"/>
          <w:lang w:val="et-EE"/>
        </w:rPr>
        <w:t>aastastel patsientidel). Seda muutust ei peetud kliiniliselt oluliseks. Kehakaalu mõju imatiniibi kliirensile on selline, et 50 kg kaaluva patsiendi keskmine kliirens on eeldatavalt 8,5 l/h, samal ajal kui 100 kg kaaluval patsiendil suureneb kliirens kuni 11,8 l/h. Neid muutusi ei peeta piisavaks, et õigustada annuse korrigeerimist kehakaalu alusel. Sugu ei mõjuta imatiniibi kineetikat.</w:t>
      </w:r>
    </w:p>
    <w:p w14:paraId="25889E0C" w14:textId="77777777" w:rsidR="00193B44" w:rsidRPr="00EC3BD7" w:rsidRDefault="00193B44" w:rsidP="00193B44">
      <w:pPr>
        <w:pStyle w:val="EndnoteText"/>
        <w:widowControl w:val="0"/>
        <w:tabs>
          <w:tab w:val="clear" w:pos="567"/>
        </w:tabs>
        <w:rPr>
          <w:color w:val="000000"/>
          <w:szCs w:val="22"/>
          <w:lang w:val="et-EE"/>
        </w:rPr>
      </w:pPr>
    </w:p>
    <w:p w14:paraId="0523FD5E" w14:textId="77777777" w:rsidR="00193B44" w:rsidRPr="00EC3BD7" w:rsidRDefault="00193B44" w:rsidP="00B9089D">
      <w:pPr>
        <w:pStyle w:val="EndnoteText"/>
        <w:keepNext/>
        <w:widowControl w:val="0"/>
        <w:tabs>
          <w:tab w:val="clear" w:pos="567"/>
        </w:tabs>
        <w:rPr>
          <w:color w:val="000000"/>
          <w:szCs w:val="22"/>
          <w:u w:val="single"/>
          <w:lang w:val="et-EE"/>
        </w:rPr>
      </w:pPr>
      <w:r w:rsidRPr="00EC3BD7">
        <w:rPr>
          <w:color w:val="000000"/>
          <w:szCs w:val="22"/>
          <w:u w:val="single"/>
          <w:lang w:val="et-EE"/>
        </w:rPr>
        <w:t>Farmakokineetika lastel</w:t>
      </w:r>
    </w:p>
    <w:p w14:paraId="50BBABCE" w14:textId="77777777" w:rsidR="00193B44" w:rsidRPr="00EC3BD7" w:rsidRDefault="00193B44" w:rsidP="00193B44">
      <w:pPr>
        <w:pStyle w:val="EndnoteText"/>
        <w:widowControl w:val="0"/>
        <w:rPr>
          <w:color w:val="000000"/>
          <w:szCs w:val="22"/>
          <w:lang w:val="et-EE"/>
        </w:rPr>
      </w:pPr>
      <w:r w:rsidRPr="00EC3BD7">
        <w:rPr>
          <w:color w:val="000000"/>
          <w:szCs w:val="22"/>
          <w:lang w:val="et-EE"/>
        </w:rPr>
        <w:t>Nagu täiskasvanud patsientidel, imendus imatiniib I ja II faasi uuringutes suukaudse manustamise järgselt kiiresti ka pediaatrilistel patsientidel. Lastel andsid annused 260 ja 340 mg/m</w:t>
      </w:r>
      <w:r w:rsidRPr="00EC3BD7">
        <w:rPr>
          <w:color w:val="000000"/>
          <w:szCs w:val="22"/>
          <w:vertAlign w:val="superscript"/>
          <w:lang w:val="et-EE"/>
        </w:rPr>
        <w:t>2</w:t>
      </w:r>
      <w:r w:rsidRPr="00EC3BD7">
        <w:rPr>
          <w:color w:val="000000"/>
          <w:szCs w:val="22"/>
          <w:lang w:val="et-EE"/>
        </w:rPr>
        <w:t xml:space="preserve">/ööpäevas sama </w:t>
      </w:r>
      <w:r w:rsidR="003C71AD" w:rsidRPr="00EC3BD7">
        <w:rPr>
          <w:color w:val="000000"/>
          <w:szCs w:val="22"/>
          <w:lang w:val="et-EE"/>
        </w:rPr>
        <w:t>plasmakontsentratsioon</w:t>
      </w:r>
      <w:r w:rsidRPr="00EC3BD7">
        <w:rPr>
          <w:color w:val="000000"/>
          <w:szCs w:val="22"/>
          <w:lang w:val="et-EE"/>
        </w:rPr>
        <w:t>i nagu vastavalt 400 mg ja 600 mg täiskasvanutel. AUC</w:t>
      </w:r>
      <w:r w:rsidRPr="00EC3BD7">
        <w:rPr>
          <w:color w:val="000000"/>
          <w:szCs w:val="22"/>
          <w:vertAlign w:val="subscript"/>
          <w:lang w:val="et-EE"/>
        </w:rPr>
        <w:t>(0-24)</w:t>
      </w:r>
      <w:r w:rsidRPr="00EC3BD7">
        <w:rPr>
          <w:color w:val="000000"/>
          <w:szCs w:val="22"/>
          <w:lang w:val="et-EE"/>
        </w:rPr>
        <w:t xml:space="preserve"> võrdlus 8. ja 1. päeval annusega 340 mg/m</w:t>
      </w:r>
      <w:r w:rsidRPr="00EC3BD7">
        <w:rPr>
          <w:color w:val="000000"/>
          <w:szCs w:val="22"/>
          <w:vertAlign w:val="superscript"/>
          <w:lang w:val="et-EE"/>
        </w:rPr>
        <w:t>2</w:t>
      </w:r>
      <w:r w:rsidRPr="00EC3BD7">
        <w:rPr>
          <w:color w:val="000000"/>
          <w:szCs w:val="22"/>
          <w:lang w:val="et-EE"/>
        </w:rPr>
        <w:t>/ööpäevas näitas 1,7-kordset ravimi kumuleerumist korduva kord päevas annustamise järgselt.</w:t>
      </w:r>
    </w:p>
    <w:p w14:paraId="4ABAE191" w14:textId="77777777" w:rsidR="007325DA" w:rsidRPr="00EC3BD7" w:rsidRDefault="007325DA" w:rsidP="007325DA">
      <w:pPr>
        <w:pStyle w:val="EndnoteText"/>
        <w:widowControl w:val="0"/>
        <w:rPr>
          <w:color w:val="000000"/>
          <w:szCs w:val="22"/>
          <w:lang w:val="et-EE"/>
        </w:rPr>
      </w:pPr>
    </w:p>
    <w:p w14:paraId="7E6C4872" w14:textId="77777777" w:rsidR="007325DA" w:rsidRPr="00EC3BD7" w:rsidRDefault="007325DA" w:rsidP="007325DA">
      <w:pPr>
        <w:pStyle w:val="EndnoteText"/>
        <w:widowControl w:val="0"/>
        <w:rPr>
          <w:color w:val="000000"/>
          <w:szCs w:val="22"/>
          <w:lang w:val="et-EE"/>
        </w:rPr>
      </w:pPr>
      <w:r w:rsidRPr="00EC3BD7">
        <w:rPr>
          <w:color w:val="000000"/>
          <w:szCs w:val="22"/>
          <w:lang w:val="et-EE"/>
        </w:rPr>
        <w:t xml:space="preserve">Hematoloogiliste häiretega (KML, Ph+ALL või muud imatiniibiga ravitavad hematoloogilised häired) lapspatsientide kokkuvõtliku populatsioonifarmakokineetika analüüsi põhjal suureneb imatiniibi kliirens vastavalt kehapindalale. Pärast kehapindalast tuleneva mõju korrigeerimist ei avaldanud teised demograafilised näitajad nagu vanus, kehakaal ja kehamassiindeks imatiniibi </w:t>
      </w:r>
      <w:r w:rsidR="003C71AD" w:rsidRPr="00EC3BD7">
        <w:rPr>
          <w:color w:val="000000"/>
          <w:szCs w:val="22"/>
          <w:lang w:val="et-EE"/>
        </w:rPr>
        <w:t>plasmakontsentratsioon</w:t>
      </w:r>
      <w:r w:rsidRPr="00EC3BD7">
        <w:rPr>
          <w:color w:val="000000"/>
          <w:szCs w:val="22"/>
          <w:lang w:val="et-EE"/>
        </w:rPr>
        <w:t xml:space="preserve">ile kliiniliselt olulist mõju. Analüüs kinnitas, et imatiniibi </w:t>
      </w:r>
      <w:r w:rsidR="003C71AD" w:rsidRPr="00EC3BD7">
        <w:rPr>
          <w:color w:val="000000"/>
          <w:szCs w:val="22"/>
          <w:lang w:val="et-EE"/>
        </w:rPr>
        <w:t xml:space="preserve">plasmakontsentratsioon </w:t>
      </w:r>
      <w:r w:rsidRPr="00EC3BD7">
        <w:rPr>
          <w:color w:val="000000"/>
          <w:szCs w:val="22"/>
          <w:lang w:val="et-EE"/>
        </w:rPr>
        <w:t>lapspatsientide hulgas, kes said 260 mg/m</w:t>
      </w:r>
      <w:r w:rsidRPr="00EC3BD7">
        <w:rPr>
          <w:color w:val="000000"/>
          <w:szCs w:val="22"/>
          <w:vertAlign w:val="superscript"/>
          <w:lang w:val="et-EE"/>
        </w:rPr>
        <w:t>2</w:t>
      </w:r>
      <w:r w:rsidRPr="00EC3BD7">
        <w:rPr>
          <w:color w:val="000000"/>
          <w:szCs w:val="22"/>
          <w:lang w:val="et-EE"/>
        </w:rPr>
        <w:t xml:space="preserve"> üks kord ööpäevas (mitte rohkem kui 400 mg üks kord ööpäevas) või 340 mg/m</w:t>
      </w:r>
      <w:r w:rsidRPr="00EC3BD7">
        <w:rPr>
          <w:color w:val="000000"/>
          <w:szCs w:val="22"/>
          <w:vertAlign w:val="superscript"/>
          <w:lang w:val="et-EE"/>
        </w:rPr>
        <w:t>2</w:t>
      </w:r>
      <w:r w:rsidRPr="00EC3BD7">
        <w:rPr>
          <w:color w:val="000000"/>
          <w:szCs w:val="22"/>
          <w:lang w:val="et-EE"/>
        </w:rPr>
        <w:t xml:space="preserve"> üks kord ööpäevas (mitte rohkem kui 600 mg üks kord ööpäevas), oli sarnane nagu täiskasvanud patsientidel, kes said imatiniibi 400 mg või 600 mg üks kord ööpäevas.</w:t>
      </w:r>
    </w:p>
    <w:p w14:paraId="1B243647" w14:textId="77777777" w:rsidR="00193B44" w:rsidRPr="00EC3BD7" w:rsidRDefault="00193B44" w:rsidP="00193B44">
      <w:pPr>
        <w:pStyle w:val="EndnoteText"/>
        <w:widowControl w:val="0"/>
        <w:tabs>
          <w:tab w:val="clear" w:pos="567"/>
        </w:tabs>
        <w:rPr>
          <w:color w:val="000000"/>
          <w:szCs w:val="22"/>
          <w:lang w:val="et-EE"/>
        </w:rPr>
      </w:pPr>
    </w:p>
    <w:p w14:paraId="5742F4D1" w14:textId="77777777" w:rsidR="00193B44" w:rsidRPr="00EC3BD7" w:rsidRDefault="00193B44" w:rsidP="00B9089D">
      <w:pPr>
        <w:pStyle w:val="EndnoteText"/>
        <w:keepNext/>
        <w:widowControl w:val="0"/>
        <w:tabs>
          <w:tab w:val="clear" w:pos="567"/>
        </w:tabs>
        <w:rPr>
          <w:color w:val="000000"/>
          <w:szCs w:val="22"/>
          <w:lang w:val="et-EE"/>
        </w:rPr>
      </w:pPr>
      <w:r w:rsidRPr="00EC3BD7">
        <w:rPr>
          <w:color w:val="000000"/>
          <w:szCs w:val="22"/>
          <w:u w:val="single"/>
          <w:lang w:val="et-EE"/>
        </w:rPr>
        <w:t>Organpuudulikkus</w:t>
      </w:r>
    </w:p>
    <w:p w14:paraId="3EB6EA84" w14:textId="77777777" w:rsidR="00193B44" w:rsidRPr="00EC3BD7" w:rsidRDefault="00193B44" w:rsidP="00193B44">
      <w:pPr>
        <w:pStyle w:val="EndnoteText"/>
        <w:widowControl w:val="0"/>
        <w:tabs>
          <w:tab w:val="clear" w:pos="567"/>
        </w:tabs>
        <w:rPr>
          <w:color w:val="000000"/>
          <w:szCs w:val="22"/>
          <w:lang w:val="et-EE"/>
        </w:rPr>
      </w:pPr>
      <w:r w:rsidRPr="00EC3BD7">
        <w:rPr>
          <w:color w:val="000000"/>
          <w:szCs w:val="22"/>
          <w:lang w:val="et-EE"/>
        </w:rPr>
        <w:t xml:space="preserve">Imatiniib ja tema metaboliidid ei eritu olulisel määral neerude kaudu. Kerge ja mõõduka neerufunktsiooni häirega patsientidel on täheldatud ravimi suuremat </w:t>
      </w:r>
      <w:r w:rsidR="003C71AD" w:rsidRPr="00EC3BD7">
        <w:rPr>
          <w:color w:val="000000"/>
          <w:szCs w:val="22"/>
          <w:lang w:val="et-EE"/>
        </w:rPr>
        <w:t>plasmakontsentratsioon</w:t>
      </w:r>
      <w:r w:rsidRPr="00EC3BD7">
        <w:rPr>
          <w:color w:val="000000"/>
          <w:szCs w:val="22"/>
          <w:lang w:val="et-EE"/>
        </w:rPr>
        <w:t>i kui normaalse neerufunktsiooniga patsientidel. Suurenemine on umbes 1,5...2</w:t>
      </w:r>
      <w:r w:rsidRPr="00EC3BD7">
        <w:rPr>
          <w:color w:val="000000"/>
          <w:szCs w:val="22"/>
          <w:lang w:val="et-EE"/>
        </w:rPr>
        <w:noBreakHyphen/>
        <w:t>kordne ning vastav alfa-happelise glükoproteiini (millega imatiniib tugevalt seondub) sisalduse 1,5</w:t>
      </w:r>
      <w:r w:rsidRPr="00EC3BD7">
        <w:rPr>
          <w:color w:val="000000"/>
          <w:szCs w:val="22"/>
          <w:lang w:val="et-EE"/>
        </w:rPr>
        <w:noBreakHyphen/>
        <w:t>kordsele suurenemisele plasmas. Imatiniibi vaba fraktsiooni kliirens on arvatavasti sarnane neerukahjustusega ja normaalse neerufunktsiooniga patsientidel, kuna imatiniib eritub neerude kaudu vaid vähesel määral (vt lõigud</w:t>
      </w:r>
      <w:r w:rsidR="003C71AD" w:rsidRPr="00EC3BD7">
        <w:rPr>
          <w:color w:val="000000"/>
          <w:szCs w:val="22"/>
          <w:lang w:val="et-EE"/>
        </w:rPr>
        <w:t> </w:t>
      </w:r>
      <w:r w:rsidRPr="00EC3BD7">
        <w:rPr>
          <w:color w:val="000000"/>
          <w:szCs w:val="22"/>
          <w:lang w:val="et-EE"/>
        </w:rPr>
        <w:t>4.2 ja 4.4).</w:t>
      </w:r>
    </w:p>
    <w:p w14:paraId="0A4F95B6" w14:textId="77777777" w:rsidR="00193B44" w:rsidRPr="00EC3BD7" w:rsidRDefault="00193B44" w:rsidP="00193B44">
      <w:pPr>
        <w:pStyle w:val="EndnoteText"/>
        <w:widowControl w:val="0"/>
        <w:tabs>
          <w:tab w:val="clear" w:pos="567"/>
        </w:tabs>
        <w:rPr>
          <w:color w:val="000000"/>
          <w:szCs w:val="22"/>
          <w:lang w:val="et-EE"/>
        </w:rPr>
      </w:pPr>
    </w:p>
    <w:p w14:paraId="2A2F0CBC" w14:textId="77777777" w:rsidR="00193B44" w:rsidRPr="00EC3BD7" w:rsidRDefault="00193B44" w:rsidP="00193B44">
      <w:pPr>
        <w:pStyle w:val="EndnoteText"/>
        <w:widowControl w:val="0"/>
        <w:tabs>
          <w:tab w:val="clear" w:pos="567"/>
        </w:tabs>
        <w:rPr>
          <w:color w:val="000000"/>
          <w:szCs w:val="22"/>
          <w:lang w:val="et-EE"/>
        </w:rPr>
      </w:pPr>
      <w:r w:rsidRPr="00EC3BD7">
        <w:rPr>
          <w:color w:val="000000"/>
          <w:szCs w:val="22"/>
          <w:lang w:val="et-EE"/>
        </w:rPr>
        <w:t xml:space="preserve">Kuigi farmakokineetilistes uuringutes ilmnesid olulised individuaalsed erinevused, ei suurene imatiniibi </w:t>
      </w:r>
      <w:r w:rsidR="003C71AD" w:rsidRPr="00EC3BD7">
        <w:rPr>
          <w:color w:val="000000"/>
          <w:szCs w:val="22"/>
          <w:lang w:val="et-EE"/>
        </w:rPr>
        <w:t xml:space="preserve">plasmakontsentratsioon </w:t>
      </w:r>
      <w:r w:rsidRPr="00EC3BD7">
        <w:rPr>
          <w:color w:val="000000"/>
          <w:szCs w:val="22"/>
          <w:lang w:val="et-EE"/>
        </w:rPr>
        <w:t>erineva raskusastmega maksapuudulikkusega patsientidel võrrelduna normaalse maksafunktsiooniga patsientidega (vt lõigud</w:t>
      </w:r>
      <w:r w:rsidR="003C71AD" w:rsidRPr="00EC3BD7">
        <w:rPr>
          <w:color w:val="000000"/>
          <w:szCs w:val="22"/>
          <w:lang w:val="et-EE"/>
        </w:rPr>
        <w:t> </w:t>
      </w:r>
      <w:r w:rsidRPr="00EC3BD7">
        <w:rPr>
          <w:color w:val="000000"/>
          <w:szCs w:val="22"/>
          <w:lang w:val="et-EE"/>
        </w:rPr>
        <w:t>4.2, 4.4 ja 4.8).</w:t>
      </w:r>
    </w:p>
    <w:p w14:paraId="6A0842D0" w14:textId="77777777" w:rsidR="00193B44" w:rsidRPr="00EC3BD7" w:rsidRDefault="00193B44" w:rsidP="00193B44">
      <w:pPr>
        <w:pStyle w:val="EndnoteText"/>
        <w:widowControl w:val="0"/>
        <w:tabs>
          <w:tab w:val="clear" w:pos="567"/>
        </w:tabs>
        <w:rPr>
          <w:color w:val="000000"/>
          <w:szCs w:val="22"/>
          <w:lang w:val="et-EE"/>
        </w:rPr>
      </w:pPr>
    </w:p>
    <w:p w14:paraId="59F82072" w14:textId="77777777" w:rsidR="00193B44" w:rsidRPr="00EC3BD7" w:rsidRDefault="00193B44"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5.3</w:t>
      </w:r>
      <w:r w:rsidRPr="00EC3BD7">
        <w:rPr>
          <w:b/>
          <w:color w:val="000000"/>
          <w:szCs w:val="22"/>
          <w:lang w:val="et-EE"/>
        </w:rPr>
        <w:tab/>
        <w:t>Prekliinilised ohutusandmed</w:t>
      </w:r>
    </w:p>
    <w:p w14:paraId="1F018B0F" w14:textId="77777777" w:rsidR="00193B44" w:rsidRPr="00EC3BD7" w:rsidRDefault="00193B44" w:rsidP="00B9089D">
      <w:pPr>
        <w:pStyle w:val="EndnoteText"/>
        <w:keepNext/>
        <w:widowControl w:val="0"/>
        <w:tabs>
          <w:tab w:val="clear" w:pos="567"/>
        </w:tabs>
        <w:rPr>
          <w:color w:val="000000"/>
          <w:szCs w:val="22"/>
          <w:lang w:val="et-EE"/>
        </w:rPr>
      </w:pPr>
    </w:p>
    <w:p w14:paraId="19408988" w14:textId="77777777" w:rsidR="00193B44" w:rsidRPr="00EC3BD7" w:rsidRDefault="00193B44" w:rsidP="00193B44">
      <w:pPr>
        <w:widowControl w:val="0"/>
        <w:tabs>
          <w:tab w:val="clear" w:pos="567"/>
        </w:tabs>
        <w:spacing w:line="240" w:lineRule="auto"/>
        <w:rPr>
          <w:color w:val="000000"/>
          <w:szCs w:val="22"/>
          <w:lang w:val="et-EE"/>
        </w:rPr>
      </w:pPr>
      <w:r w:rsidRPr="00EC3BD7">
        <w:rPr>
          <w:color w:val="000000"/>
          <w:szCs w:val="22"/>
          <w:lang w:val="et-EE"/>
        </w:rPr>
        <w:t>Imatiniibi prekliinilist ohutuse profiili hinnati rottidel, koertel, ahvidel ja küülikutel.</w:t>
      </w:r>
    </w:p>
    <w:p w14:paraId="5BE8DA08" w14:textId="77777777" w:rsidR="00193B44" w:rsidRPr="00EC3BD7" w:rsidRDefault="00193B44" w:rsidP="00193B44">
      <w:pPr>
        <w:widowControl w:val="0"/>
        <w:tabs>
          <w:tab w:val="clear" w:pos="567"/>
        </w:tabs>
        <w:spacing w:line="240" w:lineRule="auto"/>
        <w:rPr>
          <w:color w:val="000000"/>
          <w:szCs w:val="22"/>
          <w:lang w:val="et-EE"/>
        </w:rPr>
      </w:pPr>
    </w:p>
    <w:p w14:paraId="0F014485" w14:textId="77777777" w:rsidR="00193B44" w:rsidRPr="00EC3BD7" w:rsidRDefault="00193B44" w:rsidP="00193B44">
      <w:pPr>
        <w:pStyle w:val="Text"/>
        <w:widowControl w:val="0"/>
        <w:spacing w:before="0"/>
        <w:jc w:val="left"/>
        <w:outlineLvl w:val="0"/>
        <w:rPr>
          <w:color w:val="000000"/>
          <w:sz w:val="22"/>
          <w:szCs w:val="22"/>
          <w:lang w:val="et-EE"/>
        </w:rPr>
      </w:pPr>
      <w:r w:rsidRPr="00EC3BD7">
        <w:rPr>
          <w:color w:val="000000"/>
          <w:sz w:val="22"/>
          <w:szCs w:val="22"/>
          <w:lang w:val="et-EE"/>
        </w:rPr>
        <w:t>Mitme annusega toksilisuse uuringutes ilmnesid rottidel, koertel ja ahvidel kerged kuni mõõdukad muutused veres, rottidel ja koertel kaasnesid sellega ka muutused luuüdis.</w:t>
      </w:r>
    </w:p>
    <w:p w14:paraId="3EAE4D1A" w14:textId="77777777" w:rsidR="00193B44" w:rsidRPr="00EC3BD7" w:rsidRDefault="00193B44" w:rsidP="00193B44">
      <w:pPr>
        <w:pStyle w:val="Text"/>
        <w:widowControl w:val="0"/>
        <w:spacing w:before="0"/>
        <w:jc w:val="left"/>
        <w:outlineLvl w:val="0"/>
        <w:rPr>
          <w:color w:val="000000"/>
          <w:sz w:val="22"/>
          <w:szCs w:val="22"/>
          <w:lang w:val="et-EE"/>
        </w:rPr>
      </w:pPr>
    </w:p>
    <w:p w14:paraId="3FD0AD6C" w14:textId="77777777" w:rsidR="00193B44" w:rsidRPr="00EC3BD7" w:rsidRDefault="00193B44" w:rsidP="00193B44">
      <w:pPr>
        <w:pStyle w:val="Text"/>
        <w:widowControl w:val="0"/>
        <w:spacing w:before="0"/>
        <w:jc w:val="left"/>
        <w:outlineLvl w:val="0"/>
        <w:rPr>
          <w:color w:val="000000"/>
          <w:sz w:val="22"/>
          <w:szCs w:val="22"/>
          <w:lang w:val="et-EE"/>
        </w:rPr>
      </w:pPr>
      <w:r w:rsidRPr="00EC3BD7">
        <w:rPr>
          <w:color w:val="000000"/>
          <w:sz w:val="22"/>
          <w:szCs w:val="22"/>
          <w:lang w:val="et-EE"/>
        </w:rPr>
        <w:t>Rottidel ja koertel oli sihtelundiks maks. Mõlemal liigil täheldati kerget kuni mõõdukat transaminaaside aktiivsuse tõusu ja kolesterooli, triglütseriidide, üldvalgu ning albumiini taseme kerget langust. Rottide maksas ei täheldatud patohistoloogilisi muutusi. Koertel, keda raviti kaks nädalat, ilmnes raske toksiline toime maksale, mis väljendus maksaensüümide aktiivsuse tõusu, hepatotsellulaarse nekroosi, sapiteede nekroosi ja sapiteede hüperplaasiana.</w:t>
      </w:r>
    </w:p>
    <w:p w14:paraId="4399CCF2" w14:textId="77777777" w:rsidR="00193B44" w:rsidRPr="00EC3BD7" w:rsidRDefault="00193B44" w:rsidP="00193B44">
      <w:pPr>
        <w:pStyle w:val="Text"/>
        <w:widowControl w:val="0"/>
        <w:spacing w:before="0"/>
        <w:jc w:val="left"/>
        <w:outlineLvl w:val="0"/>
        <w:rPr>
          <w:color w:val="000000"/>
          <w:sz w:val="22"/>
          <w:szCs w:val="22"/>
          <w:lang w:val="et-EE"/>
        </w:rPr>
      </w:pPr>
    </w:p>
    <w:p w14:paraId="7E58290A" w14:textId="77777777" w:rsidR="00193B44" w:rsidRPr="00EC3BD7" w:rsidRDefault="00193B44" w:rsidP="00193B44">
      <w:pPr>
        <w:pStyle w:val="Text"/>
        <w:widowControl w:val="0"/>
        <w:spacing w:before="0"/>
        <w:jc w:val="left"/>
        <w:outlineLvl w:val="0"/>
        <w:rPr>
          <w:color w:val="000000"/>
          <w:sz w:val="22"/>
          <w:szCs w:val="22"/>
          <w:lang w:val="et-EE"/>
        </w:rPr>
      </w:pPr>
      <w:r w:rsidRPr="00EC3BD7">
        <w:rPr>
          <w:color w:val="000000"/>
          <w:sz w:val="22"/>
          <w:szCs w:val="22"/>
          <w:lang w:val="et-EE"/>
        </w:rPr>
        <w:t xml:space="preserve">Kaks nädalat ravi saanud ahvidel täheldati kahjulikku toimet neerudele, mis väljendus koldelise mineralisatsiooni ning neerutuubulite laienemise ja tubulaarse nekroosina. Vere uurea lämmastiku (BUN) ja kreatiniini tõusu täheldati mitmel loomal. Rottidel ilmnes 13-nädalases uuringus annustega </w:t>
      </w:r>
      <w:r w:rsidRPr="00EC3BD7">
        <w:rPr>
          <w:color w:val="000000"/>
          <w:sz w:val="22"/>
          <w:szCs w:val="22"/>
          <w:lang w:val="et-EE"/>
        </w:rPr>
        <w:lastRenderedPageBreak/>
        <w:sym w:font="Symbol" w:char="F0B3"/>
      </w:r>
      <w:r w:rsidRPr="00EC3BD7">
        <w:rPr>
          <w:color w:val="000000"/>
          <w:sz w:val="22"/>
          <w:szCs w:val="22"/>
          <w:lang w:val="et-EE"/>
        </w:rPr>
        <w:t>6 mg/kg neerusäsi ja kusepõie üleminekuepiteeli hüperplaasia, millega ei kaasnenud muutusi seerumi või uriini näitajates. Pikaajalise imatiniibravi korral täheldati oportunistlike infektsioonide suuremat esinemissagedust.</w:t>
      </w:r>
    </w:p>
    <w:p w14:paraId="172B6FA1" w14:textId="77777777" w:rsidR="00193B44" w:rsidRPr="00EC3BD7" w:rsidRDefault="00193B44" w:rsidP="00193B44">
      <w:pPr>
        <w:pStyle w:val="Text"/>
        <w:widowControl w:val="0"/>
        <w:spacing w:before="0"/>
        <w:jc w:val="left"/>
        <w:outlineLvl w:val="0"/>
        <w:rPr>
          <w:color w:val="000000"/>
          <w:sz w:val="22"/>
          <w:szCs w:val="22"/>
          <w:lang w:val="et-EE"/>
        </w:rPr>
      </w:pPr>
    </w:p>
    <w:p w14:paraId="786624DD" w14:textId="77777777" w:rsidR="00193B44" w:rsidRPr="00EC3BD7" w:rsidRDefault="00193B44" w:rsidP="00193B44">
      <w:pPr>
        <w:pStyle w:val="Text"/>
        <w:widowControl w:val="0"/>
        <w:spacing w:before="0"/>
        <w:jc w:val="left"/>
        <w:outlineLvl w:val="0"/>
        <w:rPr>
          <w:color w:val="000000"/>
          <w:sz w:val="22"/>
          <w:szCs w:val="22"/>
          <w:lang w:val="et-EE"/>
        </w:rPr>
      </w:pPr>
      <w:r w:rsidRPr="00EC3BD7">
        <w:rPr>
          <w:color w:val="000000"/>
          <w:sz w:val="22"/>
          <w:szCs w:val="22"/>
          <w:lang w:val="et-EE"/>
        </w:rPr>
        <w:t>39-nädalases uuringus ahvidel ei tehtud kindlaks kõrvaltoimeteta taset (NOAEL) madalaima annuse 15 mg/kg kasutamisel, mis on kehapindala aluseks võttes umbes üks kolmandik maksimaalsest inimesel soovitatavast annusest 800 mg. Ravi tulemusel süvenesid loomadel tavaliselt supressioonis olevad malaariainfektsioonid.</w:t>
      </w:r>
    </w:p>
    <w:p w14:paraId="01A12707" w14:textId="77777777" w:rsidR="00193B44" w:rsidRPr="00EC3BD7" w:rsidRDefault="00193B44" w:rsidP="00193B44">
      <w:pPr>
        <w:pStyle w:val="Text"/>
        <w:widowControl w:val="0"/>
        <w:spacing w:before="0"/>
        <w:jc w:val="left"/>
        <w:outlineLvl w:val="0"/>
        <w:rPr>
          <w:color w:val="000000"/>
          <w:sz w:val="22"/>
          <w:szCs w:val="22"/>
          <w:lang w:val="et-EE"/>
        </w:rPr>
      </w:pPr>
    </w:p>
    <w:p w14:paraId="1E62EB05" w14:textId="77777777" w:rsidR="00193B44" w:rsidRPr="00EC3BD7" w:rsidRDefault="00193B44" w:rsidP="00193B44">
      <w:pPr>
        <w:pStyle w:val="Text"/>
        <w:widowControl w:val="0"/>
        <w:spacing w:before="0"/>
        <w:jc w:val="left"/>
        <w:outlineLvl w:val="0"/>
        <w:rPr>
          <w:color w:val="000000"/>
          <w:sz w:val="22"/>
          <w:szCs w:val="22"/>
          <w:lang w:val="et-EE"/>
        </w:rPr>
      </w:pPr>
      <w:r w:rsidRPr="00EC3BD7">
        <w:rPr>
          <w:color w:val="000000"/>
          <w:sz w:val="22"/>
          <w:szCs w:val="22"/>
          <w:lang w:val="et-EE"/>
        </w:rPr>
        <w:t xml:space="preserve">Imatiniibi ei osutunud </w:t>
      </w:r>
      <w:r w:rsidRPr="00EC3BD7">
        <w:rPr>
          <w:i/>
          <w:color w:val="000000"/>
          <w:sz w:val="22"/>
          <w:szCs w:val="22"/>
          <w:lang w:val="et-EE"/>
        </w:rPr>
        <w:t xml:space="preserve">in vitro </w:t>
      </w:r>
      <w:r w:rsidRPr="00EC3BD7">
        <w:rPr>
          <w:color w:val="000000"/>
          <w:sz w:val="22"/>
          <w:szCs w:val="22"/>
          <w:lang w:val="et-EE"/>
        </w:rPr>
        <w:t xml:space="preserve">bakteri raku testi (Amesi test), </w:t>
      </w:r>
      <w:r w:rsidRPr="00EC3BD7">
        <w:rPr>
          <w:i/>
          <w:color w:val="000000"/>
          <w:sz w:val="22"/>
          <w:szCs w:val="22"/>
          <w:lang w:val="et-EE"/>
        </w:rPr>
        <w:t xml:space="preserve">in vitro </w:t>
      </w:r>
      <w:r w:rsidRPr="00EC3BD7">
        <w:rPr>
          <w:color w:val="000000"/>
          <w:sz w:val="22"/>
          <w:szCs w:val="22"/>
          <w:lang w:val="et-EE"/>
        </w:rPr>
        <w:t xml:space="preserve">imetaja raku testi (hiire lümfoom) ja </w:t>
      </w:r>
      <w:r w:rsidRPr="00EC3BD7">
        <w:rPr>
          <w:i/>
          <w:color w:val="000000"/>
          <w:sz w:val="22"/>
          <w:szCs w:val="22"/>
          <w:lang w:val="et-EE"/>
        </w:rPr>
        <w:t xml:space="preserve">in vivo </w:t>
      </w:r>
      <w:r w:rsidRPr="00EC3BD7">
        <w:rPr>
          <w:color w:val="000000"/>
          <w:sz w:val="22"/>
          <w:szCs w:val="22"/>
          <w:lang w:val="et-EE"/>
        </w:rPr>
        <w:t xml:space="preserve">roti mikrotuuma testi põhjal genotoksiliseks. Imatiniib andis genotoksilisi toimeid </w:t>
      </w:r>
      <w:r w:rsidRPr="00EC3BD7">
        <w:rPr>
          <w:i/>
          <w:color w:val="000000"/>
          <w:sz w:val="22"/>
          <w:szCs w:val="22"/>
          <w:lang w:val="et-EE"/>
        </w:rPr>
        <w:t xml:space="preserve">in vitro </w:t>
      </w:r>
      <w:r w:rsidRPr="00EC3BD7">
        <w:rPr>
          <w:color w:val="000000"/>
          <w:sz w:val="22"/>
          <w:szCs w:val="22"/>
          <w:lang w:val="et-EE"/>
        </w:rPr>
        <w:t>imetaja raku testis (Hiina hamstri munasari) klastogeensuse osas (kromosoomi aberratsioon) metaboolse aktivatsiooni tingimustes. Kaks tootmisprotsessi vaheprodukti, mida leidub ka lõpptootes, osutusid Amesi testis mutageenseteks. Üks nimetatud vaheproduktidest andis positiivse tulemuse ka hiire lümfoomi testis.</w:t>
      </w:r>
    </w:p>
    <w:p w14:paraId="53DEF07D" w14:textId="77777777" w:rsidR="00193B44" w:rsidRPr="00EC3BD7" w:rsidRDefault="00193B44" w:rsidP="00193B44">
      <w:pPr>
        <w:pStyle w:val="Text"/>
        <w:widowControl w:val="0"/>
        <w:spacing w:before="0"/>
        <w:jc w:val="left"/>
        <w:outlineLvl w:val="0"/>
        <w:rPr>
          <w:color w:val="000000"/>
          <w:sz w:val="22"/>
          <w:szCs w:val="22"/>
          <w:lang w:val="et-EE"/>
        </w:rPr>
      </w:pPr>
    </w:p>
    <w:p w14:paraId="2ABCD04D" w14:textId="77777777" w:rsidR="00193B44" w:rsidRPr="00EC3BD7" w:rsidRDefault="00193B44" w:rsidP="00193B44">
      <w:pPr>
        <w:pStyle w:val="Text"/>
        <w:widowControl w:val="0"/>
        <w:spacing w:before="0"/>
        <w:jc w:val="left"/>
        <w:rPr>
          <w:color w:val="000000"/>
          <w:sz w:val="22"/>
          <w:szCs w:val="22"/>
          <w:lang w:val="et-EE"/>
        </w:rPr>
      </w:pPr>
      <w:r w:rsidRPr="00EC3BD7">
        <w:rPr>
          <w:color w:val="000000"/>
          <w:sz w:val="22"/>
          <w:szCs w:val="22"/>
          <w:lang w:val="et-EE"/>
        </w:rPr>
        <w:t xml:space="preserve">Fertiilsuse uuringus manustati ravimit isastele rottidele 70 päeva jooksul enne paaritumist, mille tulemusena nende testiste ja epididüümise kaal ning eluvõimelise sperma protsent vähenesid annuse 60 mg/kg kasutamisel, mis on keha pindala aluseks võttes umbkaudu võrdne maksimaalse kliinilise annusega 800 mg/ööpäevas. Nimetatud toime ei ilmnenud annuste ≤20 mg/kg kasutamsel. Kerge kuni mõõdukas spermatogeneesi vähenemine ilmnes ka koertel suukaudsete annuste </w:t>
      </w:r>
      <w:r w:rsidRPr="00EC3BD7">
        <w:rPr>
          <w:color w:val="000000"/>
          <w:sz w:val="22"/>
          <w:szCs w:val="22"/>
          <w:lang w:val="et-EE"/>
        </w:rPr>
        <w:sym w:font="Symbol" w:char="F0B3"/>
      </w:r>
      <w:r w:rsidRPr="00EC3BD7">
        <w:rPr>
          <w:color w:val="000000"/>
          <w:sz w:val="22"/>
          <w:szCs w:val="22"/>
          <w:lang w:val="et-EE"/>
        </w:rPr>
        <w:t>30 mg/kg kasutamisel. Emastele rottidele manustati ravimit 14 päeva jooksul enne paaritumist ja edasi kuni 6.</w:t>
      </w:r>
      <w:r w:rsidR="00B61D2D" w:rsidRPr="00EC3BD7">
        <w:rPr>
          <w:color w:val="000000"/>
          <w:sz w:val="22"/>
          <w:szCs w:val="22"/>
          <w:lang w:val="et-EE"/>
        </w:rPr>
        <w:t> </w:t>
      </w:r>
      <w:r w:rsidRPr="00EC3BD7">
        <w:rPr>
          <w:color w:val="000000"/>
          <w:sz w:val="22"/>
          <w:szCs w:val="22"/>
          <w:lang w:val="et-EE"/>
        </w:rPr>
        <w:t>gestatsioonipäevani, toimet paaritumisele ega tiinete emaste arvule ei ilmnenud. Annuse 60 mg/kg kasutamisel ilmnes emastel rottidel oluline implantatsioonijärgne loodete kadu ja elusloodete arvu vähenemine. Nimetatud toime ei ilmnenud annuste ≤20 mg/kg kasutamisel.</w:t>
      </w:r>
    </w:p>
    <w:p w14:paraId="288FF6E3" w14:textId="77777777" w:rsidR="00193B44" w:rsidRPr="00EC3BD7" w:rsidRDefault="00193B44" w:rsidP="00193B44">
      <w:pPr>
        <w:pStyle w:val="Text"/>
        <w:widowControl w:val="0"/>
        <w:spacing w:before="0"/>
        <w:jc w:val="left"/>
        <w:rPr>
          <w:color w:val="000000"/>
          <w:sz w:val="22"/>
          <w:szCs w:val="22"/>
          <w:lang w:val="et-EE"/>
        </w:rPr>
      </w:pPr>
    </w:p>
    <w:p w14:paraId="35FF1EEF" w14:textId="77777777" w:rsidR="00193B44" w:rsidRPr="00EC3BD7" w:rsidRDefault="00193B44" w:rsidP="00193B44">
      <w:pPr>
        <w:pStyle w:val="Text"/>
        <w:widowControl w:val="0"/>
        <w:spacing w:before="0"/>
        <w:jc w:val="left"/>
        <w:rPr>
          <w:color w:val="000000"/>
          <w:sz w:val="22"/>
          <w:szCs w:val="22"/>
          <w:lang w:val="et-EE"/>
        </w:rPr>
      </w:pPr>
      <w:r w:rsidRPr="00EC3BD7">
        <w:rPr>
          <w:color w:val="000000"/>
          <w:sz w:val="22"/>
          <w:szCs w:val="22"/>
          <w:lang w:val="et-EE"/>
        </w:rPr>
        <w:t>Rottidel tehtud suukaudses pre- ja postnataalse arengu uuringus täheldati punast tupevoolust kas 14. või 15.</w:t>
      </w:r>
      <w:r w:rsidR="00B61D2D" w:rsidRPr="00EC3BD7">
        <w:rPr>
          <w:color w:val="000000"/>
          <w:sz w:val="22"/>
          <w:szCs w:val="22"/>
          <w:lang w:val="et-EE"/>
        </w:rPr>
        <w:t> </w:t>
      </w:r>
      <w:r w:rsidRPr="00EC3BD7">
        <w:rPr>
          <w:color w:val="000000"/>
          <w:sz w:val="22"/>
          <w:szCs w:val="22"/>
          <w:lang w:val="et-EE"/>
        </w:rPr>
        <w:t>gestatsioonipäeval rühmas, mis sai ravimit 45 mg/kg/ööpäevas. Sama annuse kasutamisel suurenes surnult sündinud järglaste ja samuti 0...4. sünnijärgsel päeval surnud järglaste arv. F</w:t>
      </w:r>
      <w:r w:rsidRPr="00EC3BD7">
        <w:rPr>
          <w:color w:val="000000"/>
          <w:sz w:val="22"/>
          <w:szCs w:val="22"/>
          <w:vertAlign w:val="subscript"/>
          <w:lang w:val="et-EE"/>
        </w:rPr>
        <w:t>1</w:t>
      </w:r>
      <w:r w:rsidRPr="00EC3BD7">
        <w:rPr>
          <w:color w:val="000000"/>
          <w:sz w:val="22"/>
          <w:szCs w:val="22"/>
          <w:lang w:val="et-EE"/>
        </w:rPr>
        <w:t xml:space="preserve"> järglastel vähenes sama annuse kasutamisel keskmine kehakaal alates sünnist kuni surmamiseni ning nende pesakondade arv, kes jõudsid prepuutsiumi eraldumise kriteeriumideni, vähenes. F</w:t>
      </w:r>
      <w:r w:rsidRPr="00EC3BD7">
        <w:rPr>
          <w:color w:val="000000"/>
          <w:sz w:val="22"/>
          <w:szCs w:val="22"/>
          <w:vertAlign w:val="subscript"/>
          <w:lang w:val="et-EE"/>
        </w:rPr>
        <w:t>1</w:t>
      </w:r>
      <w:r w:rsidRPr="00EC3BD7">
        <w:rPr>
          <w:color w:val="000000"/>
          <w:sz w:val="22"/>
          <w:szCs w:val="22"/>
          <w:lang w:val="et-EE"/>
        </w:rPr>
        <w:t xml:space="preserve"> fertiilsus ei olnud muutunud, samal ajal kui annuse 45 mg/kg/ööpäevas kasutamisel täheldati resorptsioonide sagenemist ja eluvõimeliste loodete arvu vähenemist. Ilma täheldatava toimeta tase (NOEL) nii emasloomade kui F</w:t>
      </w:r>
      <w:r w:rsidRPr="00EC3BD7">
        <w:rPr>
          <w:color w:val="000000"/>
          <w:sz w:val="22"/>
          <w:szCs w:val="22"/>
          <w:vertAlign w:val="subscript"/>
          <w:lang w:val="et-EE"/>
        </w:rPr>
        <w:t>1</w:t>
      </w:r>
      <w:r w:rsidRPr="00EC3BD7">
        <w:rPr>
          <w:color w:val="000000"/>
          <w:sz w:val="22"/>
          <w:szCs w:val="22"/>
          <w:lang w:val="et-EE"/>
        </w:rPr>
        <w:t xml:space="preserve"> põlvkonna jaoks oli 15 mg/kg/ööpäevas (veerand maksimaalsest inimesel kasutatavast annusest 800 mg).</w:t>
      </w:r>
    </w:p>
    <w:p w14:paraId="175280B5" w14:textId="77777777" w:rsidR="00193B44" w:rsidRPr="00EC3BD7" w:rsidRDefault="00193B44" w:rsidP="00193B44">
      <w:pPr>
        <w:pStyle w:val="Text"/>
        <w:widowControl w:val="0"/>
        <w:spacing w:before="0"/>
        <w:jc w:val="left"/>
        <w:rPr>
          <w:color w:val="000000"/>
          <w:sz w:val="22"/>
          <w:szCs w:val="22"/>
          <w:lang w:val="et-EE"/>
        </w:rPr>
      </w:pPr>
    </w:p>
    <w:p w14:paraId="532056FA" w14:textId="77777777" w:rsidR="00193B44" w:rsidRPr="00EC3BD7" w:rsidRDefault="00193B44" w:rsidP="00193B44">
      <w:pPr>
        <w:pStyle w:val="Text"/>
        <w:widowControl w:val="0"/>
        <w:spacing w:before="0"/>
        <w:jc w:val="left"/>
        <w:rPr>
          <w:color w:val="000000"/>
          <w:sz w:val="22"/>
          <w:szCs w:val="22"/>
          <w:lang w:val="et-EE"/>
        </w:rPr>
      </w:pPr>
      <w:r w:rsidRPr="00EC3BD7">
        <w:rPr>
          <w:color w:val="000000"/>
          <w:sz w:val="22"/>
          <w:szCs w:val="22"/>
          <w:lang w:val="et-EE"/>
        </w:rPr>
        <w:t>Imatiniib avaldas rottidel teratogeenset toimet manustatuna organogeneesi ajal annustes ≥100 mg/kg, mis on kehapinda aluseks võttes umbes võrdne maksimaalse kliinilise annusega 800 mg/ööpäevas. Teratogeensete efektide hulka kuulusid eksentsefaalia või entsefalotseele, frontaalsete luude puudumine/vähenemine ja parietaalsete luude puudumine. Nimetatud toimed ei ilmnenud annuste ≤30 mg/kg kasutamisel.</w:t>
      </w:r>
    </w:p>
    <w:p w14:paraId="1AB589A4" w14:textId="77777777" w:rsidR="00193B44" w:rsidRPr="00EC3BD7" w:rsidRDefault="00193B44" w:rsidP="00193B44">
      <w:pPr>
        <w:pStyle w:val="Text"/>
        <w:widowControl w:val="0"/>
        <w:spacing w:before="0"/>
        <w:jc w:val="left"/>
        <w:rPr>
          <w:color w:val="000000"/>
          <w:sz w:val="22"/>
          <w:szCs w:val="22"/>
          <w:lang w:val="et-EE"/>
        </w:rPr>
      </w:pPr>
    </w:p>
    <w:p w14:paraId="416E23BB" w14:textId="77777777" w:rsidR="00096E7F" w:rsidRPr="00EC3BD7" w:rsidRDefault="00096E7F" w:rsidP="00096E7F">
      <w:pPr>
        <w:rPr>
          <w:color w:val="000000"/>
          <w:szCs w:val="22"/>
          <w:lang w:val="et-EE"/>
        </w:rPr>
      </w:pPr>
      <w:r w:rsidRPr="00EC3BD7">
        <w:rPr>
          <w:color w:val="000000"/>
          <w:szCs w:val="22"/>
          <w:lang w:val="et-EE"/>
        </w:rPr>
        <w:t>Uusi sihtelundeid ei leitud noortel rottidel läbiviidud toksilisuse uuringus (10. kuni 70. päev pärast sündi), mille eesmärgiks oli avastada uusi sihtelundeid täiskasvanud rottidel. Noorte rottide toksilisuse uuringus täheldati toimet kasvule, tupe av</w:t>
      </w:r>
      <w:r w:rsidR="00B61D2D" w:rsidRPr="00EC3BD7">
        <w:rPr>
          <w:color w:val="000000"/>
          <w:szCs w:val="22"/>
          <w:lang w:val="et-EE"/>
        </w:rPr>
        <w:t>a</w:t>
      </w:r>
      <w:r w:rsidRPr="00EC3BD7">
        <w:rPr>
          <w:color w:val="000000"/>
          <w:szCs w:val="22"/>
          <w:lang w:val="et-EE"/>
        </w:rPr>
        <w:t>nemisele ja eesnaha eraldumisele ligikaudu 0,3- kuni 2-kordse keskmise laste plasmakontsentratsiooni korral, mis saadi kasutades kõrgeimat soovituslikku annust 340 mg/m</w:t>
      </w:r>
      <w:r w:rsidRPr="00EC3BD7">
        <w:rPr>
          <w:color w:val="000000"/>
          <w:szCs w:val="22"/>
          <w:vertAlign w:val="superscript"/>
          <w:lang w:val="et-EE"/>
        </w:rPr>
        <w:t>2</w:t>
      </w:r>
      <w:r w:rsidRPr="00EC3BD7">
        <w:rPr>
          <w:color w:val="000000"/>
          <w:szCs w:val="22"/>
          <w:lang w:val="et-EE"/>
        </w:rPr>
        <w:t>. Lisaks täheldati noortel rottidel suremust (pesast võõrutamise ajal) ligikaudu 2-kordse keskmise laste plasmakontsentratsiooni korral, mis saadi kasutades kõrgeimat soovituslikku annust 340 mg/m</w:t>
      </w:r>
      <w:r w:rsidRPr="00EC3BD7">
        <w:rPr>
          <w:color w:val="000000"/>
          <w:szCs w:val="22"/>
          <w:vertAlign w:val="superscript"/>
          <w:lang w:val="et-EE"/>
        </w:rPr>
        <w:t>2</w:t>
      </w:r>
      <w:r w:rsidRPr="00EC3BD7">
        <w:rPr>
          <w:color w:val="000000"/>
          <w:szCs w:val="22"/>
          <w:lang w:val="et-EE"/>
        </w:rPr>
        <w:t>.</w:t>
      </w:r>
    </w:p>
    <w:p w14:paraId="395D9DE4" w14:textId="77777777" w:rsidR="00096E7F" w:rsidRPr="00EC3BD7" w:rsidRDefault="00096E7F" w:rsidP="00096E7F">
      <w:pPr>
        <w:rPr>
          <w:color w:val="000000"/>
          <w:szCs w:val="22"/>
          <w:lang w:val="et-EE"/>
        </w:rPr>
      </w:pPr>
    </w:p>
    <w:p w14:paraId="577F0F51" w14:textId="632D0E70" w:rsidR="00193B44" w:rsidRPr="00EC3BD7" w:rsidRDefault="00193B44" w:rsidP="00193B44">
      <w:pPr>
        <w:rPr>
          <w:color w:val="000000"/>
          <w:szCs w:val="22"/>
          <w:lang w:val="et-EE"/>
        </w:rPr>
      </w:pPr>
      <w:r w:rsidRPr="00EC3BD7">
        <w:rPr>
          <w:color w:val="000000"/>
          <w:szCs w:val="22"/>
          <w:lang w:val="et-EE"/>
        </w:rPr>
        <w:t xml:space="preserve">Imatiniibi annustega 15, 30 ja 60 mg/kg/päevas rottidel läbiviidud 2-aastase kestusega kartsinogeensusuuringus täheldati statistiliselt olulist eluea vähenemist isasloomadel annuse 60 mg/kg/päevas ja emasloomadel ≥30 mg/kg/päevas kasutamisel. Histopatoloogilises uuringus leiti peamise surmapõhjusena kardiomüopaatiat (mõlemast soost katseloomadel), kroonilist progresseeruvat nefropaatiat (emasloomadel) ja preputsiaalnäärmete papilloome; need nähud võisid olla ka katseloomade surma või hukkamise põhjuseks. Neoplastiliste muutuste sihtorganiteks olid </w:t>
      </w:r>
      <w:r w:rsidRPr="00EC3BD7">
        <w:rPr>
          <w:color w:val="000000"/>
          <w:szCs w:val="22"/>
          <w:lang w:val="et-EE"/>
        </w:rPr>
        <w:lastRenderedPageBreak/>
        <w:t>neerud, kusepõis, ureetra, preputsiaal- ja klitoraalnäärmed, peensool, kõrvalkilpnääre, neerupealis</w:t>
      </w:r>
      <w:r w:rsidR="00B61D2D" w:rsidRPr="00EC3BD7">
        <w:rPr>
          <w:color w:val="000000"/>
          <w:szCs w:val="22"/>
          <w:lang w:val="et-EE"/>
        </w:rPr>
        <w:t>e</w:t>
      </w:r>
      <w:r w:rsidRPr="00EC3BD7">
        <w:rPr>
          <w:color w:val="000000"/>
          <w:szCs w:val="22"/>
          <w:lang w:val="et-EE"/>
        </w:rPr>
        <w:t xml:space="preserve"> ja mao mitteglandulaarne osa.</w:t>
      </w:r>
    </w:p>
    <w:p w14:paraId="407B67F3" w14:textId="77777777" w:rsidR="00193B44" w:rsidRPr="00EC3BD7" w:rsidRDefault="00193B44" w:rsidP="00193B44">
      <w:pPr>
        <w:rPr>
          <w:color w:val="000000"/>
          <w:szCs w:val="22"/>
          <w:lang w:val="et-EE"/>
        </w:rPr>
      </w:pPr>
    </w:p>
    <w:p w14:paraId="594FA0BB" w14:textId="77777777" w:rsidR="00193B44" w:rsidRPr="00EC3BD7" w:rsidRDefault="00193B44" w:rsidP="00193B44">
      <w:pPr>
        <w:rPr>
          <w:color w:val="000000"/>
          <w:szCs w:val="22"/>
          <w:lang w:val="et-EE"/>
        </w:rPr>
      </w:pPr>
      <w:r w:rsidRPr="00EC3BD7">
        <w:rPr>
          <w:color w:val="000000"/>
          <w:szCs w:val="22"/>
          <w:lang w:val="et-EE"/>
        </w:rPr>
        <w:t>Preputsiaal- ja klitoraalnäärmete papilloome/kartsinoome täheldati annuste 30 mg/kg/päevas ja suuremad manustamisel, mis vastab ligikaudu 0,5</w:t>
      </w:r>
      <w:r w:rsidR="00B61D2D" w:rsidRPr="00EC3BD7">
        <w:rPr>
          <w:color w:val="000000"/>
          <w:szCs w:val="22"/>
          <w:lang w:val="et-EE"/>
        </w:rPr>
        <w:noBreakHyphen/>
      </w:r>
      <w:r w:rsidRPr="00EC3BD7">
        <w:rPr>
          <w:color w:val="000000"/>
          <w:szCs w:val="22"/>
          <w:lang w:val="et-EE"/>
        </w:rPr>
        <w:t xml:space="preserve"> või 0,3</w:t>
      </w:r>
      <w:r w:rsidR="00B61D2D" w:rsidRPr="00EC3BD7">
        <w:rPr>
          <w:color w:val="000000"/>
          <w:szCs w:val="22"/>
          <w:lang w:val="et-EE"/>
        </w:rPr>
        <w:noBreakHyphen/>
      </w:r>
      <w:r w:rsidRPr="00EC3BD7">
        <w:rPr>
          <w:color w:val="000000"/>
          <w:szCs w:val="22"/>
          <w:lang w:val="et-EE"/>
        </w:rPr>
        <w:t xml:space="preserve">kordsele </w:t>
      </w:r>
      <w:r w:rsidR="00B61D2D" w:rsidRPr="00EC3BD7">
        <w:rPr>
          <w:color w:val="000000"/>
          <w:szCs w:val="22"/>
          <w:lang w:val="et-EE"/>
        </w:rPr>
        <w:t>plasmakontsentratsiooni</w:t>
      </w:r>
      <w:r w:rsidRPr="00EC3BD7">
        <w:rPr>
          <w:color w:val="000000"/>
          <w:szCs w:val="22"/>
          <w:lang w:val="et-EE"/>
        </w:rPr>
        <w:t>le (AUC põhjal) inimesel vastavalt annuse 400 mg/päevas või 800 mg/päevas kasutamisel ja vastab lastel 0,4</w:t>
      </w:r>
      <w:r w:rsidR="00B61D2D" w:rsidRPr="00EC3BD7">
        <w:rPr>
          <w:color w:val="000000"/>
          <w:szCs w:val="22"/>
          <w:lang w:val="et-EE"/>
        </w:rPr>
        <w:noBreakHyphen/>
      </w:r>
      <w:r w:rsidRPr="00EC3BD7">
        <w:rPr>
          <w:color w:val="000000"/>
          <w:szCs w:val="22"/>
          <w:lang w:val="et-EE"/>
        </w:rPr>
        <w:t xml:space="preserve">kordsele päevasele </w:t>
      </w:r>
      <w:r w:rsidR="00B61D2D" w:rsidRPr="00EC3BD7">
        <w:rPr>
          <w:color w:val="000000"/>
          <w:szCs w:val="22"/>
          <w:lang w:val="et-EE"/>
        </w:rPr>
        <w:t>plasmakontsentratsioon</w:t>
      </w:r>
      <w:r w:rsidRPr="00EC3BD7">
        <w:rPr>
          <w:color w:val="000000"/>
          <w:szCs w:val="22"/>
          <w:lang w:val="et-EE"/>
        </w:rPr>
        <w:t>ile (AUC põhjal) annuse 340 mg/m</w:t>
      </w:r>
      <w:r w:rsidRPr="00EC3BD7">
        <w:rPr>
          <w:color w:val="000000"/>
          <w:szCs w:val="22"/>
          <w:vertAlign w:val="superscript"/>
          <w:lang w:val="et-EE"/>
        </w:rPr>
        <w:t>2</w:t>
      </w:r>
      <w:r w:rsidRPr="00EC3BD7">
        <w:rPr>
          <w:color w:val="000000"/>
          <w:szCs w:val="22"/>
          <w:lang w:val="et-EE"/>
        </w:rPr>
        <w:t>/päevas korral. Ilma täheldatava toimeta tase (NOEL) oli 15 mg/kg/päevas. Neeru adenoom/kartsinoom, kusepõie ja ureetra papilloom, peensoole adenokartsinoom, kõrvalkilpnäärme adenoom, neerupealise beniigsed ja maliigsed medullaartuumorid ja mao mitteglandulaarse osa papilloomid/kartsinoomid olid täheldatavad annuse 60 mg/kg/päevas kasutamisel, mis vastab ligikaudu 1,7</w:t>
      </w:r>
      <w:r w:rsidR="00B61D2D" w:rsidRPr="00EC3BD7">
        <w:rPr>
          <w:color w:val="000000"/>
          <w:szCs w:val="22"/>
          <w:lang w:val="et-EE"/>
        </w:rPr>
        <w:noBreakHyphen/>
        <w:t xml:space="preserve"> </w:t>
      </w:r>
      <w:r w:rsidRPr="00EC3BD7">
        <w:rPr>
          <w:color w:val="000000"/>
          <w:szCs w:val="22"/>
          <w:lang w:val="et-EE"/>
        </w:rPr>
        <w:t>või 1</w:t>
      </w:r>
      <w:r w:rsidR="00B61D2D" w:rsidRPr="00EC3BD7">
        <w:rPr>
          <w:color w:val="000000"/>
          <w:szCs w:val="22"/>
          <w:lang w:val="et-EE"/>
        </w:rPr>
        <w:noBreakHyphen/>
      </w:r>
      <w:r w:rsidRPr="00EC3BD7">
        <w:rPr>
          <w:color w:val="000000"/>
          <w:szCs w:val="22"/>
          <w:lang w:val="et-EE"/>
        </w:rPr>
        <w:t xml:space="preserve">kordsele </w:t>
      </w:r>
      <w:r w:rsidR="00B61D2D" w:rsidRPr="00EC3BD7">
        <w:rPr>
          <w:color w:val="000000"/>
          <w:szCs w:val="22"/>
          <w:lang w:val="et-EE"/>
        </w:rPr>
        <w:t>plasmakontsentratsioon</w:t>
      </w:r>
      <w:r w:rsidRPr="00EC3BD7">
        <w:rPr>
          <w:color w:val="000000"/>
          <w:szCs w:val="22"/>
          <w:lang w:val="et-EE"/>
        </w:rPr>
        <w:t>ile (AUC põhjal) inimesel annuse 400 mg/päevas või 800 mg/päevas ja 1,2</w:t>
      </w:r>
      <w:r w:rsidR="00B61D2D" w:rsidRPr="00EC3BD7">
        <w:rPr>
          <w:color w:val="000000"/>
          <w:szCs w:val="22"/>
          <w:lang w:val="et-EE"/>
        </w:rPr>
        <w:noBreakHyphen/>
      </w:r>
      <w:r w:rsidRPr="00EC3BD7">
        <w:rPr>
          <w:color w:val="000000"/>
          <w:szCs w:val="22"/>
          <w:lang w:val="et-EE"/>
        </w:rPr>
        <w:t xml:space="preserve">kordsele </w:t>
      </w:r>
      <w:r w:rsidR="00B61D2D" w:rsidRPr="00EC3BD7">
        <w:rPr>
          <w:color w:val="000000"/>
          <w:szCs w:val="22"/>
          <w:lang w:val="et-EE"/>
        </w:rPr>
        <w:t>plasmakontsentratsioon</w:t>
      </w:r>
      <w:r w:rsidRPr="00EC3BD7">
        <w:rPr>
          <w:color w:val="000000"/>
          <w:szCs w:val="22"/>
          <w:lang w:val="et-EE"/>
        </w:rPr>
        <w:t>ile lastel (AUC põhjal) 340 mg/m</w:t>
      </w:r>
      <w:r w:rsidRPr="00EC3BD7">
        <w:rPr>
          <w:color w:val="000000"/>
          <w:szCs w:val="22"/>
          <w:vertAlign w:val="superscript"/>
          <w:lang w:val="et-EE"/>
        </w:rPr>
        <w:t>2</w:t>
      </w:r>
      <w:r w:rsidRPr="00EC3BD7">
        <w:rPr>
          <w:color w:val="000000"/>
          <w:szCs w:val="22"/>
          <w:lang w:val="et-EE"/>
        </w:rPr>
        <w:t>/päevas kasutamisel. Ilma täheldatava toimeta tase (NOEL) oli 30 mg/kg/päevas.</w:t>
      </w:r>
    </w:p>
    <w:p w14:paraId="5ED5FC66" w14:textId="77777777" w:rsidR="00193B44" w:rsidRPr="00EC3BD7" w:rsidRDefault="00193B44" w:rsidP="00193B44">
      <w:pPr>
        <w:rPr>
          <w:color w:val="000000"/>
          <w:szCs w:val="22"/>
          <w:lang w:val="et-EE"/>
        </w:rPr>
      </w:pPr>
    </w:p>
    <w:p w14:paraId="5240C66C" w14:textId="77777777" w:rsidR="00193B44" w:rsidRPr="00EC3BD7" w:rsidRDefault="00193B44" w:rsidP="00193B44">
      <w:pPr>
        <w:rPr>
          <w:color w:val="000000"/>
          <w:szCs w:val="22"/>
          <w:lang w:val="et-EE"/>
        </w:rPr>
      </w:pPr>
      <w:r w:rsidRPr="00EC3BD7">
        <w:rPr>
          <w:color w:val="000000"/>
          <w:szCs w:val="22"/>
          <w:lang w:val="et-EE"/>
        </w:rPr>
        <w:t>Selle rottidel läbiviidud kartsinogeensusuuringu leidude mehhanism ja nende tähendus ravimi kasutamisel inimestel ei ole veel selge.</w:t>
      </w:r>
    </w:p>
    <w:p w14:paraId="1A08F042" w14:textId="77777777" w:rsidR="00193B44" w:rsidRPr="00EC3BD7" w:rsidRDefault="00193B44" w:rsidP="00193B44">
      <w:pPr>
        <w:rPr>
          <w:color w:val="000000"/>
          <w:szCs w:val="22"/>
          <w:lang w:val="et-EE"/>
        </w:rPr>
      </w:pPr>
    </w:p>
    <w:p w14:paraId="63F5D157" w14:textId="77777777" w:rsidR="00193B44" w:rsidRPr="00EC3BD7" w:rsidRDefault="00193B44" w:rsidP="00193B44">
      <w:pPr>
        <w:rPr>
          <w:color w:val="000000"/>
          <w:szCs w:val="22"/>
          <w:lang w:val="et-EE"/>
        </w:rPr>
      </w:pPr>
      <w:r w:rsidRPr="00EC3BD7">
        <w:rPr>
          <w:color w:val="000000"/>
          <w:szCs w:val="22"/>
          <w:lang w:val="et-EE"/>
        </w:rPr>
        <w:t>Varasemates prekliinilistes uuringutes täheldamata mitte-neoplastilised muutused esinesid kardiovaskulaarsüsteemis, pankreases, endokriinsetes organites ja hammastes. Kõige olulisemateks neist leidudest olid kardiaalne hüpertroofia ja dilatatsioon, mis põhjustasid osadel katseloomadel südamepuudulikkust.</w:t>
      </w:r>
    </w:p>
    <w:p w14:paraId="686CEDBD" w14:textId="77777777" w:rsidR="00193B44" w:rsidRPr="00EC3BD7" w:rsidRDefault="00193B44" w:rsidP="00193B44">
      <w:pPr>
        <w:pStyle w:val="EndnoteText"/>
        <w:widowControl w:val="0"/>
        <w:tabs>
          <w:tab w:val="clear" w:pos="567"/>
        </w:tabs>
        <w:rPr>
          <w:color w:val="000000"/>
          <w:szCs w:val="22"/>
          <w:lang w:val="et-EE"/>
        </w:rPr>
      </w:pPr>
    </w:p>
    <w:p w14:paraId="35E96485" w14:textId="77777777" w:rsidR="007325DA" w:rsidRPr="00EC3BD7" w:rsidRDefault="007325DA" w:rsidP="007325DA">
      <w:pPr>
        <w:pStyle w:val="EndnoteText"/>
        <w:widowControl w:val="0"/>
        <w:tabs>
          <w:tab w:val="clear" w:pos="567"/>
        </w:tabs>
        <w:rPr>
          <w:color w:val="000000"/>
          <w:szCs w:val="22"/>
          <w:lang w:val="et-EE"/>
        </w:rPr>
      </w:pPr>
      <w:r w:rsidRPr="00EC3BD7">
        <w:rPr>
          <w:color w:val="000000"/>
          <w:szCs w:val="22"/>
          <w:lang w:val="et-EE"/>
        </w:rPr>
        <w:t>Toimeaine imatiniib kujutab keskkonnaohtu setteorganismidele.</w:t>
      </w:r>
    </w:p>
    <w:p w14:paraId="55C21BA1" w14:textId="77777777" w:rsidR="007325DA" w:rsidRPr="00EC3BD7" w:rsidRDefault="007325DA" w:rsidP="007325DA">
      <w:pPr>
        <w:pStyle w:val="EndnoteText"/>
        <w:widowControl w:val="0"/>
        <w:tabs>
          <w:tab w:val="clear" w:pos="567"/>
        </w:tabs>
        <w:rPr>
          <w:color w:val="000000"/>
          <w:szCs w:val="22"/>
          <w:lang w:val="et-EE"/>
        </w:rPr>
      </w:pPr>
    </w:p>
    <w:p w14:paraId="12AADD1D" w14:textId="77777777" w:rsidR="00193B44" w:rsidRPr="00EC3BD7" w:rsidRDefault="00193B44" w:rsidP="00193B44">
      <w:pPr>
        <w:pStyle w:val="EndnoteText"/>
        <w:widowControl w:val="0"/>
        <w:tabs>
          <w:tab w:val="clear" w:pos="567"/>
        </w:tabs>
        <w:rPr>
          <w:color w:val="000000"/>
          <w:szCs w:val="22"/>
          <w:lang w:val="et-EE"/>
        </w:rPr>
      </w:pPr>
    </w:p>
    <w:p w14:paraId="3FF14B0C" w14:textId="77777777" w:rsidR="00136210" w:rsidRPr="00EC3BD7" w:rsidRDefault="00136210" w:rsidP="00B9089D">
      <w:pPr>
        <w:keepNext/>
        <w:widowControl w:val="0"/>
        <w:tabs>
          <w:tab w:val="clear" w:pos="567"/>
        </w:tabs>
        <w:spacing w:line="240" w:lineRule="auto"/>
        <w:ind w:left="567" w:hanging="567"/>
        <w:rPr>
          <w:b/>
          <w:color w:val="000000"/>
          <w:szCs w:val="22"/>
          <w:lang w:val="et-EE"/>
        </w:rPr>
      </w:pPr>
      <w:r w:rsidRPr="00EC3BD7">
        <w:rPr>
          <w:b/>
          <w:color w:val="000000"/>
          <w:szCs w:val="22"/>
          <w:lang w:val="et-EE"/>
        </w:rPr>
        <w:t>6.</w:t>
      </w:r>
      <w:r w:rsidRPr="00EC3BD7">
        <w:rPr>
          <w:b/>
          <w:color w:val="000000"/>
          <w:szCs w:val="22"/>
          <w:lang w:val="et-EE"/>
        </w:rPr>
        <w:tab/>
        <w:t>FARMATSEUTILISED ANDMED</w:t>
      </w:r>
    </w:p>
    <w:p w14:paraId="26D8D6F7" w14:textId="77777777" w:rsidR="00136210" w:rsidRPr="00EC3BD7" w:rsidRDefault="00136210" w:rsidP="00B9089D">
      <w:pPr>
        <w:pStyle w:val="EndnoteText"/>
        <w:keepNext/>
        <w:widowControl w:val="0"/>
        <w:tabs>
          <w:tab w:val="clear" w:pos="567"/>
        </w:tabs>
        <w:rPr>
          <w:color w:val="000000"/>
          <w:szCs w:val="22"/>
          <w:lang w:val="et-EE"/>
        </w:rPr>
      </w:pPr>
    </w:p>
    <w:p w14:paraId="67BB7FC5"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6.1</w:t>
      </w:r>
      <w:r w:rsidRPr="00EC3BD7">
        <w:rPr>
          <w:b/>
          <w:color w:val="000000"/>
          <w:szCs w:val="22"/>
          <w:lang w:val="et-EE"/>
        </w:rPr>
        <w:tab/>
        <w:t>Abiainete loetelu</w:t>
      </w:r>
    </w:p>
    <w:p w14:paraId="1F2191B1" w14:textId="77777777" w:rsidR="00136210" w:rsidRPr="00EC3BD7" w:rsidRDefault="00136210" w:rsidP="00B9089D">
      <w:pPr>
        <w:keepNext/>
        <w:widowControl w:val="0"/>
        <w:tabs>
          <w:tab w:val="clear" w:pos="567"/>
        </w:tabs>
        <w:spacing w:line="240" w:lineRule="auto"/>
        <w:ind w:left="567" w:hanging="567"/>
        <w:rPr>
          <w:color w:val="000000"/>
          <w:szCs w:val="22"/>
          <w:lang w:val="et-EE"/>
        </w:rPr>
      </w:pPr>
    </w:p>
    <w:p w14:paraId="65DF0712" w14:textId="77777777" w:rsidR="00136210" w:rsidRPr="00EC3BD7" w:rsidRDefault="00136210" w:rsidP="00B9089D">
      <w:pPr>
        <w:keepNext/>
        <w:widowControl w:val="0"/>
        <w:tabs>
          <w:tab w:val="clear" w:pos="567"/>
          <w:tab w:val="left" w:pos="1701"/>
        </w:tabs>
        <w:spacing w:line="240" w:lineRule="auto"/>
        <w:rPr>
          <w:color w:val="000000"/>
          <w:szCs w:val="22"/>
          <w:lang w:val="et-EE"/>
        </w:rPr>
      </w:pPr>
      <w:r w:rsidRPr="00EC3BD7">
        <w:rPr>
          <w:color w:val="000000"/>
          <w:szCs w:val="22"/>
          <w:lang w:val="et-EE"/>
        </w:rPr>
        <w:t>Tablett:</w:t>
      </w:r>
    </w:p>
    <w:p w14:paraId="381F1A3A" w14:textId="77777777" w:rsidR="00136210" w:rsidRPr="00EC3BD7" w:rsidRDefault="00136210" w:rsidP="00B9089D">
      <w:pPr>
        <w:keepNext/>
        <w:widowControl w:val="0"/>
        <w:tabs>
          <w:tab w:val="clear" w:pos="567"/>
          <w:tab w:val="left" w:pos="1701"/>
        </w:tabs>
        <w:spacing w:line="240" w:lineRule="auto"/>
        <w:rPr>
          <w:color w:val="000000"/>
          <w:szCs w:val="22"/>
          <w:lang w:val="et-EE"/>
        </w:rPr>
      </w:pPr>
      <w:r w:rsidRPr="00EC3BD7">
        <w:rPr>
          <w:color w:val="000000"/>
          <w:szCs w:val="22"/>
          <w:lang w:val="et-EE"/>
        </w:rPr>
        <w:t>Mikrokristalliline tselluloos</w:t>
      </w:r>
    </w:p>
    <w:p w14:paraId="1C3DF100" w14:textId="77777777" w:rsidR="00136210" w:rsidRPr="00EC3BD7" w:rsidRDefault="00136210" w:rsidP="00B9089D">
      <w:pPr>
        <w:keepNext/>
        <w:widowControl w:val="0"/>
        <w:tabs>
          <w:tab w:val="clear" w:pos="567"/>
        </w:tabs>
        <w:spacing w:line="240" w:lineRule="auto"/>
        <w:rPr>
          <w:color w:val="000000"/>
          <w:szCs w:val="22"/>
          <w:lang w:val="et-EE"/>
        </w:rPr>
      </w:pPr>
      <w:r w:rsidRPr="00EC3BD7">
        <w:rPr>
          <w:color w:val="000000"/>
          <w:szCs w:val="22"/>
          <w:lang w:val="et-EE"/>
        </w:rPr>
        <w:t>Krospovidoon</w:t>
      </w:r>
    </w:p>
    <w:p w14:paraId="0F533CE2" w14:textId="77777777" w:rsidR="00136210" w:rsidRPr="00EC3BD7" w:rsidRDefault="00136210" w:rsidP="00B9089D">
      <w:pPr>
        <w:keepNext/>
        <w:widowControl w:val="0"/>
        <w:tabs>
          <w:tab w:val="clear" w:pos="567"/>
        </w:tabs>
        <w:spacing w:line="240" w:lineRule="auto"/>
        <w:rPr>
          <w:color w:val="000000"/>
          <w:szCs w:val="22"/>
          <w:lang w:val="et-EE"/>
        </w:rPr>
      </w:pPr>
      <w:r w:rsidRPr="00EC3BD7">
        <w:rPr>
          <w:color w:val="000000"/>
          <w:szCs w:val="22"/>
          <w:lang w:val="et-EE"/>
        </w:rPr>
        <w:t>Hüpromelloos</w:t>
      </w:r>
    </w:p>
    <w:p w14:paraId="07536034" w14:textId="77777777" w:rsidR="00136210" w:rsidRPr="00EC3BD7" w:rsidRDefault="00136210" w:rsidP="00B9089D">
      <w:pPr>
        <w:keepNext/>
        <w:widowControl w:val="0"/>
        <w:tabs>
          <w:tab w:val="clear" w:pos="567"/>
        </w:tabs>
        <w:spacing w:line="240" w:lineRule="auto"/>
        <w:rPr>
          <w:color w:val="000000"/>
          <w:szCs w:val="22"/>
          <w:lang w:val="et-EE"/>
        </w:rPr>
      </w:pPr>
      <w:r w:rsidRPr="00EC3BD7">
        <w:rPr>
          <w:color w:val="000000"/>
          <w:szCs w:val="22"/>
          <w:lang w:val="et-EE"/>
        </w:rPr>
        <w:t>Magneesiumstearaat</w:t>
      </w:r>
    </w:p>
    <w:p w14:paraId="249E63EA" w14:textId="77777777" w:rsidR="00136210" w:rsidRPr="00EC3BD7" w:rsidRDefault="00136210">
      <w:pPr>
        <w:widowControl w:val="0"/>
        <w:tabs>
          <w:tab w:val="clear" w:pos="567"/>
        </w:tabs>
        <w:spacing w:line="240" w:lineRule="auto"/>
        <w:rPr>
          <w:color w:val="000000"/>
          <w:szCs w:val="22"/>
          <w:lang w:val="et-EE"/>
        </w:rPr>
      </w:pPr>
      <w:r w:rsidRPr="00EC3BD7">
        <w:rPr>
          <w:color w:val="000000"/>
          <w:szCs w:val="22"/>
          <w:lang w:val="et-EE"/>
        </w:rPr>
        <w:t>Veevaba kolloidne ränidioksiid</w:t>
      </w:r>
    </w:p>
    <w:p w14:paraId="6B6BC43F" w14:textId="77777777" w:rsidR="00136210" w:rsidRPr="00EC3BD7" w:rsidRDefault="00136210">
      <w:pPr>
        <w:widowControl w:val="0"/>
        <w:tabs>
          <w:tab w:val="clear" w:pos="567"/>
        </w:tabs>
        <w:spacing w:line="240" w:lineRule="auto"/>
        <w:rPr>
          <w:color w:val="000000"/>
          <w:szCs w:val="22"/>
          <w:lang w:val="et-EE"/>
        </w:rPr>
      </w:pPr>
    </w:p>
    <w:p w14:paraId="2054A697" w14:textId="77777777" w:rsidR="00136210" w:rsidRPr="00EC3BD7" w:rsidRDefault="00136210" w:rsidP="00B9089D">
      <w:pPr>
        <w:keepNext/>
        <w:widowControl w:val="0"/>
        <w:tabs>
          <w:tab w:val="clear" w:pos="567"/>
          <w:tab w:val="left" w:pos="1701"/>
        </w:tabs>
        <w:spacing w:line="240" w:lineRule="auto"/>
        <w:rPr>
          <w:color w:val="000000"/>
          <w:szCs w:val="22"/>
          <w:lang w:val="et-EE"/>
        </w:rPr>
      </w:pPr>
      <w:r w:rsidRPr="00EC3BD7">
        <w:rPr>
          <w:color w:val="000000"/>
          <w:szCs w:val="22"/>
          <w:lang w:val="et-EE"/>
        </w:rPr>
        <w:t>Tableti kate:</w:t>
      </w:r>
    </w:p>
    <w:p w14:paraId="6A87B283" w14:textId="77777777" w:rsidR="00136210" w:rsidRPr="00EC3BD7" w:rsidRDefault="00136210" w:rsidP="00B9089D">
      <w:pPr>
        <w:keepNext/>
        <w:widowControl w:val="0"/>
        <w:tabs>
          <w:tab w:val="clear" w:pos="567"/>
        </w:tabs>
        <w:spacing w:line="240" w:lineRule="auto"/>
        <w:rPr>
          <w:color w:val="000000"/>
          <w:szCs w:val="22"/>
          <w:lang w:val="et-EE"/>
        </w:rPr>
      </w:pPr>
      <w:r w:rsidRPr="00EC3BD7">
        <w:rPr>
          <w:color w:val="000000"/>
          <w:szCs w:val="22"/>
          <w:lang w:val="et-EE"/>
        </w:rPr>
        <w:t>Punane raudoksiid (E172)</w:t>
      </w:r>
    </w:p>
    <w:p w14:paraId="72D84C9D" w14:textId="77777777" w:rsidR="00136210" w:rsidRPr="00EC3BD7" w:rsidRDefault="00136210" w:rsidP="00B9089D">
      <w:pPr>
        <w:keepNext/>
        <w:widowControl w:val="0"/>
        <w:tabs>
          <w:tab w:val="clear" w:pos="567"/>
        </w:tabs>
        <w:spacing w:line="240" w:lineRule="auto"/>
        <w:rPr>
          <w:color w:val="000000"/>
          <w:szCs w:val="22"/>
          <w:lang w:val="et-EE"/>
        </w:rPr>
      </w:pPr>
      <w:r w:rsidRPr="00EC3BD7">
        <w:rPr>
          <w:color w:val="000000"/>
          <w:szCs w:val="22"/>
          <w:lang w:val="et-EE"/>
        </w:rPr>
        <w:t>Kollane raudoksiid (E172)</w:t>
      </w:r>
    </w:p>
    <w:p w14:paraId="6F001AFE" w14:textId="77777777" w:rsidR="00136210" w:rsidRPr="00EC3BD7" w:rsidRDefault="00136210" w:rsidP="00B9089D">
      <w:pPr>
        <w:keepNext/>
        <w:widowControl w:val="0"/>
        <w:tabs>
          <w:tab w:val="clear" w:pos="567"/>
        </w:tabs>
        <w:spacing w:line="240" w:lineRule="auto"/>
        <w:rPr>
          <w:color w:val="000000"/>
          <w:szCs w:val="22"/>
          <w:lang w:val="et-EE"/>
        </w:rPr>
      </w:pPr>
      <w:r w:rsidRPr="00EC3BD7">
        <w:rPr>
          <w:color w:val="000000"/>
          <w:szCs w:val="22"/>
          <w:lang w:val="et-EE"/>
        </w:rPr>
        <w:t>Makrogool</w:t>
      </w:r>
    </w:p>
    <w:p w14:paraId="72187B21" w14:textId="77777777" w:rsidR="00136210" w:rsidRPr="00EC3BD7" w:rsidRDefault="00136210" w:rsidP="00B9089D">
      <w:pPr>
        <w:keepNext/>
        <w:widowControl w:val="0"/>
        <w:tabs>
          <w:tab w:val="clear" w:pos="567"/>
        </w:tabs>
        <w:spacing w:line="240" w:lineRule="auto"/>
        <w:rPr>
          <w:color w:val="000000"/>
          <w:szCs w:val="22"/>
          <w:lang w:val="et-EE"/>
        </w:rPr>
      </w:pPr>
      <w:r w:rsidRPr="00EC3BD7">
        <w:rPr>
          <w:color w:val="000000"/>
          <w:szCs w:val="22"/>
          <w:lang w:val="et-EE"/>
        </w:rPr>
        <w:t>Talk</w:t>
      </w:r>
    </w:p>
    <w:p w14:paraId="3038A0BE" w14:textId="77777777" w:rsidR="00136210" w:rsidRPr="00EC3BD7" w:rsidRDefault="00136210">
      <w:pPr>
        <w:widowControl w:val="0"/>
        <w:tabs>
          <w:tab w:val="clear" w:pos="567"/>
        </w:tabs>
        <w:spacing w:line="240" w:lineRule="auto"/>
        <w:rPr>
          <w:color w:val="000000"/>
          <w:szCs w:val="22"/>
          <w:lang w:val="et-EE"/>
        </w:rPr>
      </w:pPr>
      <w:r w:rsidRPr="00EC3BD7">
        <w:rPr>
          <w:color w:val="000000"/>
          <w:szCs w:val="22"/>
          <w:lang w:val="et-EE"/>
        </w:rPr>
        <w:t>Hüpromelloos</w:t>
      </w:r>
    </w:p>
    <w:p w14:paraId="077B6754" w14:textId="77777777" w:rsidR="00136210" w:rsidRPr="00EC3BD7" w:rsidRDefault="00136210">
      <w:pPr>
        <w:widowControl w:val="0"/>
        <w:tabs>
          <w:tab w:val="clear" w:pos="567"/>
        </w:tabs>
        <w:spacing w:line="240" w:lineRule="auto"/>
        <w:rPr>
          <w:color w:val="000000"/>
          <w:szCs w:val="22"/>
          <w:lang w:val="et-EE"/>
        </w:rPr>
      </w:pPr>
    </w:p>
    <w:p w14:paraId="2437ADE0"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6.2</w:t>
      </w:r>
      <w:r w:rsidRPr="00EC3BD7">
        <w:rPr>
          <w:b/>
          <w:color w:val="000000"/>
          <w:szCs w:val="22"/>
          <w:lang w:val="et-EE"/>
        </w:rPr>
        <w:tab/>
        <w:t>Sobimatus</w:t>
      </w:r>
    </w:p>
    <w:p w14:paraId="0716323C" w14:textId="77777777" w:rsidR="00136210" w:rsidRPr="00EC3BD7" w:rsidRDefault="00136210" w:rsidP="00B9089D">
      <w:pPr>
        <w:keepNext/>
        <w:widowControl w:val="0"/>
        <w:tabs>
          <w:tab w:val="clear" w:pos="567"/>
        </w:tabs>
        <w:spacing w:line="240" w:lineRule="auto"/>
        <w:rPr>
          <w:color w:val="000000"/>
          <w:szCs w:val="22"/>
          <w:lang w:val="et-EE"/>
        </w:rPr>
      </w:pPr>
    </w:p>
    <w:p w14:paraId="7991E2B0" w14:textId="77777777" w:rsidR="00136210" w:rsidRPr="00EC3BD7" w:rsidRDefault="00136210">
      <w:pPr>
        <w:widowControl w:val="0"/>
        <w:tabs>
          <w:tab w:val="clear" w:pos="567"/>
        </w:tabs>
        <w:spacing w:line="240" w:lineRule="auto"/>
        <w:rPr>
          <w:color w:val="000000"/>
          <w:szCs w:val="22"/>
          <w:lang w:val="et-EE"/>
        </w:rPr>
      </w:pPr>
      <w:r w:rsidRPr="00EC3BD7">
        <w:rPr>
          <w:color w:val="000000"/>
          <w:szCs w:val="22"/>
          <w:lang w:val="et-EE"/>
        </w:rPr>
        <w:t>Ei kohaldata.</w:t>
      </w:r>
    </w:p>
    <w:p w14:paraId="6CB2714C" w14:textId="77777777" w:rsidR="00136210" w:rsidRPr="00EC3BD7" w:rsidRDefault="00136210">
      <w:pPr>
        <w:pStyle w:val="EndnoteText"/>
        <w:widowControl w:val="0"/>
        <w:tabs>
          <w:tab w:val="clear" w:pos="567"/>
        </w:tabs>
        <w:rPr>
          <w:color w:val="000000"/>
          <w:szCs w:val="22"/>
          <w:lang w:val="et-EE"/>
        </w:rPr>
      </w:pPr>
    </w:p>
    <w:p w14:paraId="14B15817"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6.3</w:t>
      </w:r>
      <w:r w:rsidRPr="00EC3BD7">
        <w:rPr>
          <w:b/>
          <w:color w:val="000000"/>
          <w:szCs w:val="22"/>
          <w:lang w:val="et-EE"/>
        </w:rPr>
        <w:tab/>
        <w:t>Kõlblikkusaeg</w:t>
      </w:r>
    </w:p>
    <w:p w14:paraId="728D17FC" w14:textId="77777777" w:rsidR="00136210" w:rsidRPr="00EC3BD7" w:rsidRDefault="00136210" w:rsidP="00B9089D">
      <w:pPr>
        <w:keepNext/>
        <w:widowControl w:val="0"/>
        <w:tabs>
          <w:tab w:val="clear" w:pos="567"/>
        </w:tabs>
        <w:spacing w:line="240" w:lineRule="auto"/>
        <w:rPr>
          <w:color w:val="000000"/>
          <w:szCs w:val="22"/>
          <w:lang w:val="et-EE"/>
        </w:rPr>
      </w:pPr>
    </w:p>
    <w:p w14:paraId="29DE1024"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3</w:t>
      </w:r>
      <w:r w:rsidR="0005749B" w:rsidRPr="00EC3BD7">
        <w:rPr>
          <w:color w:val="000000"/>
          <w:szCs w:val="22"/>
          <w:lang w:val="et-EE"/>
        </w:rPr>
        <w:t> </w:t>
      </w:r>
      <w:r w:rsidRPr="00EC3BD7">
        <w:rPr>
          <w:color w:val="000000"/>
          <w:szCs w:val="22"/>
          <w:lang w:val="et-EE"/>
        </w:rPr>
        <w:t>aastat.</w:t>
      </w:r>
    </w:p>
    <w:p w14:paraId="471DF6A4" w14:textId="77777777" w:rsidR="00136210" w:rsidRPr="00EC3BD7" w:rsidRDefault="00136210">
      <w:pPr>
        <w:pStyle w:val="EndnoteText"/>
        <w:widowControl w:val="0"/>
        <w:tabs>
          <w:tab w:val="clear" w:pos="567"/>
        </w:tabs>
        <w:rPr>
          <w:color w:val="000000"/>
          <w:szCs w:val="22"/>
          <w:lang w:val="et-EE"/>
        </w:rPr>
      </w:pPr>
    </w:p>
    <w:p w14:paraId="638BC8F1"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6.4</w:t>
      </w:r>
      <w:r w:rsidRPr="00EC3BD7">
        <w:rPr>
          <w:b/>
          <w:color w:val="000000"/>
          <w:szCs w:val="22"/>
          <w:lang w:val="et-EE"/>
        </w:rPr>
        <w:tab/>
        <w:t>Säilitamise eritingimused</w:t>
      </w:r>
    </w:p>
    <w:p w14:paraId="04A8BDD1" w14:textId="77777777" w:rsidR="00136210" w:rsidRPr="00EC3BD7" w:rsidRDefault="00136210" w:rsidP="00B9089D">
      <w:pPr>
        <w:keepNext/>
        <w:widowControl w:val="0"/>
        <w:tabs>
          <w:tab w:val="clear" w:pos="567"/>
        </w:tabs>
        <w:spacing w:line="240" w:lineRule="auto"/>
        <w:rPr>
          <w:color w:val="000000"/>
          <w:szCs w:val="22"/>
          <w:lang w:val="et-EE"/>
        </w:rPr>
      </w:pPr>
    </w:p>
    <w:p w14:paraId="58869C7E" w14:textId="77777777" w:rsidR="00136210" w:rsidRPr="00EC3BD7" w:rsidRDefault="00136210">
      <w:pPr>
        <w:widowControl w:val="0"/>
        <w:tabs>
          <w:tab w:val="clear" w:pos="567"/>
        </w:tabs>
        <w:spacing w:line="240" w:lineRule="auto"/>
        <w:rPr>
          <w:color w:val="000000"/>
          <w:szCs w:val="22"/>
          <w:lang w:val="et-EE"/>
        </w:rPr>
      </w:pPr>
      <w:r w:rsidRPr="00EC3BD7">
        <w:rPr>
          <w:color w:val="000000"/>
          <w:szCs w:val="22"/>
          <w:lang w:val="et-EE"/>
        </w:rPr>
        <w:t>Hoida temperatuuril kuni 30</w:t>
      </w:r>
      <w:r w:rsidRPr="00EC3BD7">
        <w:rPr>
          <w:color w:val="000000"/>
          <w:szCs w:val="22"/>
          <w:lang w:val="et-EE"/>
        </w:rPr>
        <w:sym w:font="Symbol" w:char="F0B0"/>
      </w:r>
      <w:r w:rsidRPr="00EC3BD7">
        <w:rPr>
          <w:color w:val="000000"/>
          <w:szCs w:val="22"/>
          <w:lang w:val="et-EE"/>
        </w:rPr>
        <w:t>C.</w:t>
      </w:r>
    </w:p>
    <w:p w14:paraId="3F2E7600" w14:textId="77777777" w:rsidR="00136210" w:rsidRPr="00EC3BD7" w:rsidRDefault="00136210">
      <w:pPr>
        <w:widowControl w:val="0"/>
        <w:tabs>
          <w:tab w:val="clear" w:pos="567"/>
        </w:tabs>
        <w:spacing w:line="240" w:lineRule="auto"/>
        <w:rPr>
          <w:color w:val="000000"/>
          <w:szCs w:val="22"/>
          <w:lang w:val="et-EE"/>
        </w:rPr>
      </w:pPr>
    </w:p>
    <w:p w14:paraId="7471AAE0" w14:textId="77777777" w:rsidR="00136210" w:rsidRPr="00EC3BD7" w:rsidRDefault="00136210">
      <w:pPr>
        <w:widowControl w:val="0"/>
        <w:tabs>
          <w:tab w:val="clear" w:pos="567"/>
        </w:tabs>
        <w:spacing w:line="240" w:lineRule="auto"/>
        <w:rPr>
          <w:color w:val="000000"/>
          <w:szCs w:val="22"/>
          <w:lang w:val="et-EE"/>
        </w:rPr>
      </w:pPr>
      <w:r w:rsidRPr="00EC3BD7">
        <w:rPr>
          <w:color w:val="000000"/>
          <w:szCs w:val="22"/>
          <w:lang w:val="et-EE"/>
        </w:rPr>
        <w:lastRenderedPageBreak/>
        <w:t>Hoida originaalpakendis, niiskuse eest kaitstult.</w:t>
      </w:r>
    </w:p>
    <w:p w14:paraId="47B53B27" w14:textId="77777777" w:rsidR="00136210" w:rsidRPr="00EC3BD7" w:rsidRDefault="00136210">
      <w:pPr>
        <w:widowControl w:val="0"/>
        <w:tabs>
          <w:tab w:val="clear" w:pos="567"/>
        </w:tabs>
        <w:spacing w:line="240" w:lineRule="auto"/>
        <w:rPr>
          <w:color w:val="000000"/>
          <w:szCs w:val="22"/>
          <w:lang w:val="et-EE"/>
        </w:rPr>
      </w:pPr>
    </w:p>
    <w:p w14:paraId="0EAB10AD"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6.5</w:t>
      </w:r>
      <w:r w:rsidRPr="00EC3BD7">
        <w:rPr>
          <w:b/>
          <w:color w:val="000000"/>
          <w:szCs w:val="22"/>
          <w:lang w:val="et-EE"/>
        </w:rPr>
        <w:tab/>
        <w:t>Pakendi iseloomustus ja sisu</w:t>
      </w:r>
    </w:p>
    <w:p w14:paraId="53AB7797" w14:textId="77777777" w:rsidR="00136210" w:rsidRPr="00EC3BD7" w:rsidRDefault="00136210" w:rsidP="00B9089D">
      <w:pPr>
        <w:pStyle w:val="EndnoteText"/>
        <w:keepNext/>
        <w:widowControl w:val="0"/>
        <w:tabs>
          <w:tab w:val="clear" w:pos="567"/>
        </w:tabs>
        <w:rPr>
          <w:color w:val="000000"/>
          <w:szCs w:val="22"/>
          <w:lang w:val="et-EE"/>
        </w:rPr>
      </w:pPr>
    </w:p>
    <w:p w14:paraId="7417C547" w14:textId="77777777" w:rsidR="0005749B" w:rsidRPr="00EC3BD7" w:rsidRDefault="0005749B" w:rsidP="0005749B">
      <w:pPr>
        <w:pStyle w:val="EndnoteText"/>
        <w:keepNext/>
        <w:widowControl w:val="0"/>
        <w:tabs>
          <w:tab w:val="clear" w:pos="567"/>
        </w:tabs>
        <w:rPr>
          <w:color w:val="000000"/>
          <w:szCs w:val="22"/>
          <w:u w:val="single"/>
          <w:lang w:val="et-EE"/>
        </w:rPr>
      </w:pPr>
      <w:r w:rsidRPr="00EC3BD7">
        <w:rPr>
          <w:color w:val="000000"/>
          <w:szCs w:val="22"/>
          <w:u w:val="single"/>
          <w:lang w:val="et-EE"/>
        </w:rPr>
        <w:t>Glivec 100 mg õhukese polümeerikattega tabletid</w:t>
      </w:r>
    </w:p>
    <w:p w14:paraId="4EF82470" w14:textId="77777777" w:rsidR="00136210" w:rsidRPr="00EC3BD7" w:rsidRDefault="00136210" w:rsidP="00FC2C9C">
      <w:pPr>
        <w:pStyle w:val="EndnoteText"/>
        <w:widowControl w:val="0"/>
        <w:tabs>
          <w:tab w:val="clear" w:pos="567"/>
        </w:tabs>
        <w:rPr>
          <w:lang w:val="et-EE"/>
        </w:rPr>
      </w:pPr>
      <w:r w:rsidRPr="00EC3BD7">
        <w:rPr>
          <w:color w:val="000000"/>
          <w:szCs w:val="22"/>
          <w:lang w:val="et-EE"/>
        </w:rPr>
        <w:t>PVC/alumiinium blister</w:t>
      </w:r>
    </w:p>
    <w:p w14:paraId="209AA90B" w14:textId="77777777" w:rsidR="00136210" w:rsidRPr="00EC3BD7" w:rsidRDefault="00136210">
      <w:pPr>
        <w:widowControl w:val="0"/>
        <w:tabs>
          <w:tab w:val="clear" w:pos="567"/>
        </w:tabs>
        <w:spacing w:line="240" w:lineRule="auto"/>
        <w:rPr>
          <w:color w:val="000000"/>
          <w:szCs w:val="22"/>
          <w:lang w:val="et-EE"/>
        </w:rPr>
      </w:pPr>
      <w:r w:rsidRPr="00EC3BD7">
        <w:rPr>
          <w:color w:val="000000"/>
          <w:szCs w:val="22"/>
          <w:lang w:val="et-EE"/>
        </w:rPr>
        <w:t>Pakendis on 20, 60, 120 või 180 õhukese polü</w:t>
      </w:r>
      <w:r w:rsidR="00EF0882" w:rsidRPr="00EC3BD7">
        <w:rPr>
          <w:color w:val="000000"/>
          <w:szCs w:val="22"/>
          <w:lang w:val="et-EE"/>
        </w:rPr>
        <w:t>meerikatte</w:t>
      </w:r>
      <w:r w:rsidRPr="00EC3BD7">
        <w:rPr>
          <w:color w:val="000000"/>
          <w:szCs w:val="22"/>
          <w:lang w:val="et-EE"/>
        </w:rPr>
        <w:t>ga tabletti</w:t>
      </w:r>
    </w:p>
    <w:p w14:paraId="6853C1FE" w14:textId="77777777" w:rsidR="00F34535" w:rsidRPr="00EC3BD7" w:rsidRDefault="00F34535" w:rsidP="00F34535">
      <w:pPr>
        <w:widowControl w:val="0"/>
        <w:tabs>
          <w:tab w:val="clear" w:pos="567"/>
        </w:tabs>
        <w:spacing w:line="240" w:lineRule="auto"/>
        <w:rPr>
          <w:color w:val="000000"/>
          <w:szCs w:val="22"/>
          <w:lang w:val="et-EE"/>
        </w:rPr>
      </w:pPr>
    </w:p>
    <w:p w14:paraId="7046138C" w14:textId="77777777" w:rsidR="00F34535" w:rsidRPr="00EC3BD7" w:rsidRDefault="00F34535" w:rsidP="00F34535">
      <w:pPr>
        <w:pStyle w:val="EndnoteText"/>
        <w:widowControl w:val="0"/>
        <w:tabs>
          <w:tab w:val="clear" w:pos="567"/>
        </w:tabs>
        <w:rPr>
          <w:lang w:val="et-EE"/>
        </w:rPr>
      </w:pPr>
      <w:r w:rsidRPr="00EC3BD7">
        <w:rPr>
          <w:color w:val="000000"/>
          <w:szCs w:val="22"/>
          <w:lang w:val="et-EE"/>
        </w:rPr>
        <w:t>PVDC/alumiinium blister</w:t>
      </w:r>
    </w:p>
    <w:p w14:paraId="4B68DFBD" w14:textId="77777777" w:rsidR="00F34535" w:rsidRPr="00EC3BD7" w:rsidRDefault="00F34535" w:rsidP="00F34535">
      <w:pPr>
        <w:widowControl w:val="0"/>
        <w:tabs>
          <w:tab w:val="clear" w:pos="567"/>
        </w:tabs>
        <w:spacing w:line="240" w:lineRule="auto"/>
        <w:rPr>
          <w:color w:val="000000"/>
          <w:szCs w:val="22"/>
          <w:lang w:val="et-EE"/>
        </w:rPr>
      </w:pPr>
      <w:r w:rsidRPr="00EC3BD7">
        <w:rPr>
          <w:color w:val="000000"/>
          <w:szCs w:val="22"/>
          <w:lang w:val="et-EE"/>
        </w:rPr>
        <w:t xml:space="preserve">Pakendis on </w:t>
      </w:r>
      <w:r w:rsidR="00023B1E" w:rsidRPr="00EC3BD7">
        <w:rPr>
          <w:color w:val="000000"/>
          <w:szCs w:val="22"/>
          <w:lang w:val="et-EE"/>
        </w:rPr>
        <w:t>6</w:t>
      </w:r>
      <w:r w:rsidRPr="00EC3BD7">
        <w:rPr>
          <w:color w:val="000000"/>
          <w:szCs w:val="22"/>
          <w:lang w:val="et-EE"/>
        </w:rPr>
        <w:t>0, 120 või 180 õhukese polümeerikattega tabletti</w:t>
      </w:r>
    </w:p>
    <w:p w14:paraId="115C357F" w14:textId="77777777" w:rsidR="00136210" w:rsidRPr="00EC3BD7" w:rsidRDefault="00136210">
      <w:pPr>
        <w:widowControl w:val="0"/>
        <w:tabs>
          <w:tab w:val="clear" w:pos="567"/>
        </w:tabs>
        <w:spacing w:line="240" w:lineRule="auto"/>
        <w:rPr>
          <w:color w:val="000000"/>
          <w:szCs w:val="22"/>
          <w:lang w:val="et-EE"/>
        </w:rPr>
      </w:pPr>
    </w:p>
    <w:p w14:paraId="197D08D4" w14:textId="77777777" w:rsidR="0005749B" w:rsidRPr="00EC3BD7" w:rsidRDefault="0005749B" w:rsidP="0005749B">
      <w:pPr>
        <w:pStyle w:val="EndnoteText"/>
        <w:keepNext/>
        <w:widowControl w:val="0"/>
        <w:tabs>
          <w:tab w:val="clear" w:pos="567"/>
        </w:tabs>
        <w:rPr>
          <w:color w:val="000000"/>
          <w:szCs w:val="22"/>
          <w:u w:val="single"/>
          <w:lang w:val="et-EE"/>
        </w:rPr>
      </w:pPr>
      <w:r w:rsidRPr="00EC3BD7">
        <w:rPr>
          <w:color w:val="000000"/>
          <w:szCs w:val="22"/>
          <w:u w:val="single"/>
          <w:lang w:val="et-EE"/>
        </w:rPr>
        <w:t>Glivec 400 mg õhukese polümeerikattega tabletid</w:t>
      </w:r>
    </w:p>
    <w:p w14:paraId="6CC86FA0" w14:textId="77777777" w:rsidR="0005749B" w:rsidRPr="00EC3BD7" w:rsidRDefault="0005749B" w:rsidP="0005749B">
      <w:pPr>
        <w:pStyle w:val="EndnoteText"/>
        <w:widowControl w:val="0"/>
        <w:tabs>
          <w:tab w:val="clear" w:pos="567"/>
        </w:tabs>
        <w:rPr>
          <w:lang w:val="et-EE"/>
        </w:rPr>
      </w:pPr>
      <w:r w:rsidRPr="00EC3BD7">
        <w:rPr>
          <w:color w:val="000000"/>
          <w:szCs w:val="22"/>
          <w:lang w:val="et-EE"/>
        </w:rPr>
        <w:t>PV</w:t>
      </w:r>
      <w:r w:rsidR="00F34535" w:rsidRPr="00EC3BD7">
        <w:rPr>
          <w:color w:val="000000"/>
          <w:szCs w:val="22"/>
          <w:lang w:val="et-EE"/>
        </w:rPr>
        <w:t>D</w:t>
      </w:r>
      <w:r w:rsidRPr="00EC3BD7">
        <w:rPr>
          <w:color w:val="000000"/>
          <w:szCs w:val="22"/>
          <w:lang w:val="et-EE"/>
        </w:rPr>
        <w:t>C/alumiinium blister</w:t>
      </w:r>
    </w:p>
    <w:p w14:paraId="606F3952" w14:textId="77777777" w:rsidR="0005749B" w:rsidRPr="00EC3BD7" w:rsidRDefault="0005749B" w:rsidP="0005749B">
      <w:pPr>
        <w:widowControl w:val="0"/>
        <w:tabs>
          <w:tab w:val="clear" w:pos="567"/>
        </w:tabs>
        <w:spacing w:line="240" w:lineRule="auto"/>
        <w:rPr>
          <w:color w:val="000000"/>
          <w:szCs w:val="22"/>
          <w:lang w:val="et-EE"/>
        </w:rPr>
      </w:pPr>
      <w:r w:rsidRPr="00EC3BD7">
        <w:rPr>
          <w:color w:val="000000"/>
          <w:szCs w:val="22"/>
          <w:lang w:val="et-EE"/>
        </w:rPr>
        <w:t>Pakendis on 10, 30 või 90 õhukese polümeerikattega tabletti</w:t>
      </w:r>
    </w:p>
    <w:p w14:paraId="25F6E3B8" w14:textId="77777777" w:rsidR="0005749B" w:rsidRPr="00EC3BD7" w:rsidRDefault="0005749B" w:rsidP="0005749B">
      <w:pPr>
        <w:widowControl w:val="0"/>
        <w:tabs>
          <w:tab w:val="clear" w:pos="567"/>
        </w:tabs>
        <w:spacing w:line="240" w:lineRule="auto"/>
        <w:rPr>
          <w:color w:val="000000"/>
          <w:szCs w:val="22"/>
          <w:lang w:val="et-EE"/>
        </w:rPr>
      </w:pPr>
    </w:p>
    <w:p w14:paraId="0B8AD706" w14:textId="77777777" w:rsidR="00136210" w:rsidRPr="00EC3BD7" w:rsidRDefault="00136210">
      <w:pPr>
        <w:pStyle w:val="EndnoteText"/>
        <w:widowControl w:val="0"/>
        <w:tabs>
          <w:tab w:val="clear" w:pos="567"/>
        </w:tabs>
        <w:rPr>
          <w:color w:val="000000"/>
          <w:szCs w:val="22"/>
          <w:lang w:val="et-EE"/>
        </w:rPr>
      </w:pPr>
      <w:r w:rsidRPr="00EC3BD7">
        <w:rPr>
          <w:color w:val="000000"/>
          <w:szCs w:val="22"/>
          <w:lang w:val="et-EE"/>
        </w:rPr>
        <w:t>Kõik pakendi suurused ei pruugi olla müügil.</w:t>
      </w:r>
    </w:p>
    <w:p w14:paraId="6867B81A" w14:textId="77777777" w:rsidR="00136210" w:rsidRPr="00EC3BD7" w:rsidRDefault="00136210">
      <w:pPr>
        <w:pStyle w:val="EndnoteText"/>
        <w:widowControl w:val="0"/>
        <w:tabs>
          <w:tab w:val="clear" w:pos="567"/>
        </w:tabs>
        <w:rPr>
          <w:color w:val="000000"/>
          <w:szCs w:val="22"/>
          <w:lang w:val="et-EE"/>
        </w:rPr>
      </w:pPr>
    </w:p>
    <w:p w14:paraId="6E0E9CC0"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6.6</w:t>
      </w:r>
      <w:r w:rsidRPr="00EC3BD7">
        <w:rPr>
          <w:b/>
          <w:color w:val="000000"/>
          <w:szCs w:val="22"/>
          <w:lang w:val="et-EE"/>
        </w:rPr>
        <w:tab/>
        <w:t>Erihoiatused ravim</w:t>
      </w:r>
      <w:r w:rsidR="0055276D" w:rsidRPr="00EC3BD7">
        <w:rPr>
          <w:b/>
          <w:color w:val="000000"/>
          <w:szCs w:val="22"/>
          <w:lang w:val="et-EE"/>
        </w:rPr>
        <w:t>preparaad</w:t>
      </w:r>
      <w:r w:rsidRPr="00EC3BD7">
        <w:rPr>
          <w:b/>
          <w:color w:val="000000"/>
          <w:szCs w:val="22"/>
          <w:lang w:val="et-EE"/>
        </w:rPr>
        <w:t>i hävitamiseks</w:t>
      </w:r>
    </w:p>
    <w:p w14:paraId="41A073C0" w14:textId="77777777" w:rsidR="00136210" w:rsidRPr="00EC3BD7" w:rsidRDefault="00136210" w:rsidP="00B9089D">
      <w:pPr>
        <w:pStyle w:val="EndnoteText"/>
        <w:keepNext/>
        <w:widowControl w:val="0"/>
        <w:tabs>
          <w:tab w:val="clear" w:pos="567"/>
        </w:tabs>
        <w:rPr>
          <w:color w:val="000000"/>
          <w:szCs w:val="22"/>
          <w:lang w:val="et-EE"/>
        </w:rPr>
      </w:pPr>
    </w:p>
    <w:p w14:paraId="43856C49" w14:textId="77777777" w:rsidR="00136210" w:rsidRPr="00EC3BD7" w:rsidRDefault="007325DA">
      <w:pPr>
        <w:pStyle w:val="EndnoteText"/>
        <w:widowControl w:val="0"/>
        <w:tabs>
          <w:tab w:val="clear" w:pos="567"/>
        </w:tabs>
        <w:rPr>
          <w:color w:val="000000"/>
          <w:szCs w:val="22"/>
          <w:lang w:val="et-EE"/>
        </w:rPr>
      </w:pPr>
      <w:r w:rsidRPr="00EC3BD7">
        <w:rPr>
          <w:szCs w:val="24"/>
          <w:lang w:val="et-EE"/>
        </w:rPr>
        <w:t>Kasutamata ravimpreparaat või jäätmematerjal tuleb hävitada vastavalt kohalikele nõuetele.</w:t>
      </w:r>
    </w:p>
    <w:p w14:paraId="7097F6B2" w14:textId="77777777" w:rsidR="00136210" w:rsidRPr="00EC3BD7" w:rsidRDefault="00136210">
      <w:pPr>
        <w:pStyle w:val="EndnoteText"/>
        <w:widowControl w:val="0"/>
        <w:tabs>
          <w:tab w:val="clear" w:pos="567"/>
        </w:tabs>
        <w:rPr>
          <w:color w:val="000000"/>
          <w:szCs w:val="22"/>
          <w:lang w:val="et-EE"/>
        </w:rPr>
      </w:pPr>
    </w:p>
    <w:p w14:paraId="10E00420" w14:textId="77777777" w:rsidR="00136210" w:rsidRPr="00EC3BD7" w:rsidRDefault="00136210">
      <w:pPr>
        <w:pStyle w:val="EndnoteText"/>
        <w:widowControl w:val="0"/>
        <w:tabs>
          <w:tab w:val="clear" w:pos="567"/>
        </w:tabs>
        <w:rPr>
          <w:color w:val="000000"/>
          <w:szCs w:val="22"/>
          <w:lang w:val="et-EE"/>
        </w:rPr>
      </w:pPr>
    </w:p>
    <w:p w14:paraId="7D0B0408"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7.</w:t>
      </w:r>
      <w:r w:rsidRPr="00EC3BD7">
        <w:rPr>
          <w:b/>
          <w:color w:val="000000"/>
          <w:szCs w:val="22"/>
          <w:lang w:val="et-EE"/>
        </w:rPr>
        <w:tab/>
        <w:t>MÜÜGILOA HOIDJA</w:t>
      </w:r>
    </w:p>
    <w:p w14:paraId="2AA6A0E4" w14:textId="77777777" w:rsidR="00136210" w:rsidRPr="00EC3BD7" w:rsidRDefault="00136210" w:rsidP="00B9089D">
      <w:pPr>
        <w:pStyle w:val="EndnoteText"/>
        <w:keepNext/>
        <w:widowControl w:val="0"/>
        <w:tabs>
          <w:tab w:val="clear" w:pos="567"/>
        </w:tabs>
        <w:rPr>
          <w:color w:val="000000"/>
          <w:szCs w:val="22"/>
          <w:lang w:val="et-EE"/>
        </w:rPr>
      </w:pPr>
    </w:p>
    <w:p w14:paraId="55771994" w14:textId="77777777" w:rsidR="00136210" w:rsidRPr="00EC3BD7" w:rsidRDefault="00136210" w:rsidP="00B9089D">
      <w:pPr>
        <w:keepNext/>
        <w:widowControl w:val="0"/>
        <w:tabs>
          <w:tab w:val="clear" w:pos="567"/>
        </w:tabs>
        <w:spacing w:line="240" w:lineRule="auto"/>
        <w:rPr>
          <w:color w:val="000000"/>
          <w:szCs w:val="22"/>
          <w:lang w:val="et-EE"/>
        </w:rPr>
      </w:pPr>
      <w:r w:rsidRPr="00EC3BD7">
        <w:rPr>
          <w:color w:val="000000"/>
          <w:szCs w:val="22"/>
          <w:lang w:val="et-EE"/>
        </w:rPr>
        <w:t>Novartis Europharm Limited</w:t>
      </w:r>
    </w:p>
    <w:p w14:paraId="551D18EF" w14:textId="77777777" w:rsidR="003948E3" w:rsidRPr="00EC3BD7" w:rsidRDefault="003948E3" w:rsidP="003948E3">
      <w:pPr>
        <w:keepNext/>
        <w:widowControl w:val="0"/>
        <w:spacing w:line="240" w:lineRule="auto"/>
        <w:rPr>
          <w:color w:val="000000"/>
        </w:rPr>
      </w:pPr>
      <w:r w:rsidRPr="00EC3BD7">
        <w:rPr>
          <w:color w:val="000000"/>
        </w:rPr>
        <w:t>Vista Building</w:t>
      </w:r>
    </w:p>
    <w:p w14:paraId="58525E51" w14:textId="77777777" w:rsidR="003948E3" w:rsidRPr="00EC3BD7" w:rsidRDefault="003948E3" w:rsidP="003948E3">
      <w:pPr>
        <w:keepNext/>
        <w:widowControl w:val="0"/>
        <w:spacing w:line="240" w:lineRule="auto"/>
        <w:rPr>
          <w:color w:val="000000"/>
        </w:rPr>
      </w:pPr>
      <w:r w:rsidRPr="00EC3BD7">
        <w:rPr>
          <w:color w:val="000000"/>
        </w:rPr>
        <w:t>Elm Park, Merrion Road</w:t>
      </w:r>
    </w:p>
    <w:p w14:paraId="6AF92CEE" w14:textId="77777777" w:rsidR="003948E3" w:rsidRPr="00EC3BD7" w:rsidRDefault="003948E3" w:rsidP="003948E3">
      <w:pPr>
        <w:keepNext/>
        <w:widowControl w:val="0"/>
        <w:spacing w:line="240" w:lineRule="auto"/>
        <w:rPr>
          <w:color w:val="000000"/>
        </w:rPr>
      </w:pPr>
      <w:r w:rsidRPr="00EC3BD7">
        <w:rPr>
          <w:color w:val="000000"/>
        </w:rPr>
        <w:t>Dublin 4</w:t>
      </w:r>
    </w:p>
    <w:p w14:paraId="743D88B0" w14:textId="77777777" w:rsidR="00136210" w:rsidRPr="00EC3BD7" w:rsidRDefault="003948E3">
      <w:pPr>
        <w:widowControl w:val="0"/>
        <w:tabs>
          <w:tab w:val="clear" w:pos="567"/>
        </w:tabs>
        <w:spacing w:line="240" w:lineRule="auto"/>
        <w:rPr>
          <w:color w:val="000000"/>
          <w:szCs w:val="22"/>
          <w:lang w:val="et-EE"/>
        </w:rPr>
      </w:pPr>
      <w:r w:rsidRPr="00EC3BD7">
        <w:rPr>
          <w:color w:val="000000"/>
        </w:rPr>
        <w:t>Iirimaa</w:t>
      </w:r>
    </w:p>
    <w:p w14:paraId="77B1CD3B" w14:textId="77777777" w:rsidR="00136210" w:rsidRPr="00EC3BD7" w:rsidRDefault="00136210">
      <w:pPr>
        <w:widowControl w:val="0"/>
        <w:tabs>
          <w:tab w:val="clear" w:pos="567"/>
        </w:tabs>
        <w:spacing w:line="240" w:lineRule="auto"/>
        <w:rPr>
          <w:color w:val="000000"/>
          <w:szCs w:val="22"/>
          <w:lang w:val="et-EE"/>
        </w:rPr>
      </w:pPr>
    </w:p>
    <w:p w14:paraId="7B1B5607" w14:textId="77777777" w:rsidR="00136210" w:rsidRPr="00EC3BD7" w:rsidRDefault="00136210">
      <w:pPr>
        <w:pStyle w:val="EndnoteText"/>
        <w:widowControl w:val="0"/>
        <w:tabs>
          <w:tab w:val="clear" w:pos="567"/>
        </w:tabs>
        <w:rPr>
          <w:color w:val="000000"/>
          <w:szCs w:val="22"/>
          <w:lang w:val="et-EE"/>
        </w:rPr>
      </w:pPr>
    </w:p>
    <w:p w14:paraId="62C045A6" w14:textId="77777777" w:rsidR="00136210" w:rsidRPr="00EC3BD7" w:rsidRDefault="00136210" w:rsidP="00B9089D">
      <w:pPr>
        <w:keepNext/>
        <w:widowControl w:val="0"/>
        <w:tabs>
          <w:tab w:val="clear" w:pos="567"/>
        </w:tabs>
        <w:spacing w:line="240" w:lineRule="auto"/>
        <w:ind w:left="567" w:hanging="567"/>
        <w:rPr>
          <w:b/>
          <w:color w:val="000000"/>
          <w:szCs w:val="22"/>
          <w:lang w:val="et-EE"/>
        </w:rPr>
      </w:pPr>
      <w:r w:rsidRPr="00EC3BD7">
        <w:rPr>
          <w:b/>
          <w:color w:val="000000"/>
          <w:szCs w:val="22"/>
          <w:lang w:val="et-EE"/>
        </w:rPr>
        <w:t>8.</w:t>
      </w:r>
      <w:r w:rsidRPr="00EC3BD7">
        <w:rPr>
          <w:b/>
          <w:color w:val="000000"/>
          <w:szCs w:val="22"/>
          <w:lang w:val="et-EE"/>
        </w:rPr>
        <w:tab/>
        <w:t>MÜÜGILOA NUMBER (NUMBRID)</w:t>
      </w:r>
    </w:p>
    <w:p w14:paraId="053CDBEE" w14:textId="77777777" w:rsidR="00136210" w:rsidRPr="00EC3BD7" w:rsidRDefault="00136210" w:rsidP="00B9089D">
      <w:pPr>
        <w:pStyle w:val="EndnoteText"/>
        <w:keepNext/>
        <w:widowControl w:val="0"/>
        <w:tabs>
          <w:tab w:val="clear" w:pos="567"/>
        </w:tabs>
        <w:rPr>
          <w:color w:val="000000"/>
          <w:szCs w:val="22"/>
          <w:lang w:val="et-EE"/>
        </w:rPr>
      </w:pPr>
    </w:p>
    <w:p w14:paraId="0ACDFF26" w14:textId="77777777" w:rsidR="0005749B" w:rsidRPr="00EC3BD7" w:rsidRDefault="0005749B" w:rsidP="0005749B">
      <w:pPr>
        <w:pStyle w:val="EndnoteText"/>
        <w:keepNext/>
        <w:widowControl w:val="0"/>
        <w:tabs>
          <w:tab w:val="clear" w:pos="567"/>
        </w:tabs>
        <w:rPr>
          <w:color w:val="000000"/>
          <w:szCs w:val="22"/>
          <w:u w:val="single"/>
          <w:lang w:val="et-EE"/>
        </w:rPr>
      </w:pPr>
      <w:r w:rsidRPr="00EC3BD7">
        <w:rPr>
          <w:color w:val="000000"/>
          <w:szCs w:val="22"/>
          <w:u w:val="single"/>
          <w:lang w:val="et-EE"/>
        </w:rPr>
        <w:t>Glivec 100 mg õhukese polümeerikattega tabletid</w:t>
      </w:r>
    </w:p>
    <w:p w14:paraId="1BC20570"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EU/1/01/198/007</w:t>
      </w:r>
    </w:p>
    <w:p w14:paraId="7D5748BD"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EU/1/01/198/008</w:t>
      </w:r>
    </w:p>
    <w:p w14:paraId="188E7D90" w14:textId="77777777" w:rsidR="00136210" w:rsidRPr="00EC3BD7" w:rsidRDefault="00136210" w:rsidP="00B9089D">
      <w:pPr>
        <w:pStyle w:val="EndnoteText"/>
        <w:keepNext/>
        <w:widowControl w:val="0"/>
        <w:tabs>
          <w:tab w:val="clear" w:pos="567"/>
        </w:tabs>
        <w:rPr>
          <w:color w:val="000000"/>
          <w:szCs w:val="22"/>
          <w:lang w:val="et-EE"/>
        </w:rPr>
      </w:pPr>
      <w:r w:rsidRPr="00EC3BD7">
        <w:rPr>
          <w:color w:val="000000"/>
          <w:szCs w:val="22"/>
          <w:lang w:val="et-EE"/>
        </w:rPr>
        <w:t>EU/1/01/198/011</w:t>
      </w:r>
    </w:p>
    <w:p w14:paraId="2D73BD61" w14:textId="77777777" w:rsidR="00136210" w:rsidRPr="00EC3BD7" w:rsidRDefault="00136210" w:rsidP="00F34535">
      <w:pPr>
        <w:pStyle w:val="EndnoteText"/>
        <w:keepNext/>
        <w:widowControl w:val="0"/>
        <w:tabs>
          <w:tab w:val="clear" w:pos="567"/>
        </w:tabs>
        <w:rPr>
          <w:color w:val="000000"/>
          <w:szCs w:val="22"/>
          <w:lang w:val="et-EE"/>
        </w:rPr>
      </w:pPr>
      <w:r w:rsidRPr="00EC3BD7">
        <w:rPr>
          <w:color w:val="000000"/>
          <w:szCs w:val="22"/>
          <w:lang w:val="et-EE"/>
        </w:rPr>
        <w:t>EU/1/01/198/012</w:t>
      </w:r>
    </w:p>
    <w:p w14:paraId="4C34F154" w14:textId="77777777" w:rsidR="00F34535" w:rsidRPr="00EC3BD7" w:rsidRDefault="00F34535" w:rsidP="00F34535">
      <w:pPr>
        <w:pStyle w:val="EndnoteText"/>
        <w:keepNext/>
        <w:widowControl w:val="0"/>
        <w:tabs>
          <w:tab w:val="clear" w:pos="567"/>
        </w:tabs>
        <w:rPr>
          <w:color w:val="000000"/>
          <w:szCs w:val="22"/>
          <w:lang w:val="fr-CH"/>
        </w:rPr>
      </w:pPr>
      <w:r w:rsidRPr="00EC3BD7">
        <w:rPr>
          <w:color w:val="000000"/>
          <w:szCs w:val="22"/>
          <w:lang w:val="fr-CH"/>
        </w:rPr>
        <w:t>EU/1/01/198/01</w:t>
      </w:r>
      <w:r w:rsidR="00FE277F" w:rsidRPr="00EC3BD7">
        <w:rPr>
          <w:color w:val="000000"/>
          <w:szCs w:val="22"/>
          <w:lang w:val="fr-CH"/>
        </w:rPr>
        <w:t>4</w:t>
      </w:r>
    </w:p>
    <w:p w14:paraId="261AFB1C" w14:textId="77777777" w:rsidR="00F34535" w:rsidRPr="00EC3BD7" w:rsidRDefault="00F34535" w:rsidP="00023B1E">
      <w:pPr>
        <w:pStyle w:val="EndnoteText"/>
        <w:keepNext/>
        <w:widowControl w:val="0"/>
        <w:tabs>
          <w:tab w:val="clear" w:pos="567"/>
        </w:tabs>
        <w:rPr>
          <w:color w:val="000000"/>
          <w:szCs w:val="22"/>
          <w:lang w:val="fr-CH"/>
        </w:rPr>
      </w:pPr>
      <w:r w:rsidRPr="00EC3BD7">
        <w:rPr>
          <w:color w:val="000000"/>
          <w:szCs w:val="22"/>
          <w:lang w:val="fr-CH"/>
        </w:rPr>
        <w:t>EU/1/01/198/01</w:t>
      </w:r>
      <w:r w:rsidR="00FE277F" w:rsidRPr="00EC3BD7">
        <w:rPr>
          <w:color w:val="000000"/>
          <w:szCs w:val="22"/>
          <w:lang w:val="fr-CH"/>
        </w:rPr>
        <w:t>5</w:t>
      </w:r>
    </w:p>
    <w:p w14:paraId="7420219B" w14:textId="77777777" w:rsidR="00023B1E" w:rsidRPr="00EC3BD7" w:rsidRDefault="00023B1E" w:rsidP="00023B1E">
      <w:pPr>
        <w:pStyle w:val="EndnoteText"/>
        <w:widowControl w:val="0"/>
        <w:tabs>
          <w:tab w:val="clear" w:pos="567"/>
        </w:tabs>
        <w:rPr>
          <w:color w:val="000000"/>
          <w:szCs w:val="22"/>
          <w:lang w:val="fr-CH"/>
        </w:rPr>
      </w:pPr>
      <w:r w:rsidRPr="00EC3BD7">
        <w:rPr>
          <w:color w:val="000000"/>
          <w:szCs w:val="22"/>
          <w:lang w:val="fr-CH"/>
        </w:rPr>
        <w:t>EU/1/01/198/01</w:t>
      </w:r>
      <w:r w:rsidR="00FE277F" w:rsidRPr="00EC3BD7">
        <w:rPr>
          <w:color w:val="000000"/>
          <w:szCs w:val="22"/>
          <w:lang w:val="fr-CH"/>
        </w:rPr>
        <w:t>6</w:t>
      </w:r>
    </w:p>
    <w:p w14:paraId="0FB63F9B" w14:textId="77777777" w:rsidR="00136210" w:rsidRPr="00EC3BD7" w:rsidRDefault="00136210">
      <w:pPr>
        <w:widowControl w:val="0"/>
        <w:tabs>
          <w:tab w:val="clear" w:pos="567"/>
        </w:tabs>
        <w:spacing w:line="240" w:lineRule="auto"/>
        <w:rPr>
          <w:color w:val="000000"/>
          <w:szCs w:val="22"/>
          <w:lang w:val="et-EE"/>
        </w:rPr>
      </w:pPr>
    </w:p>
    <w:p w14:paraId="5DB2E05E" w14:textId="77777777" w:rsidR="0005749B" w:rsidRPr="00EC3BD7" w:rsidRDefault="0005749B" w:rsidP="0005749B">
      <w:pPr>
        <w:pStyle w:val="EndnoteText"/>
        <w:keepNext/>
        <w:widowControl w:val="0"/>
        <w:tabs>
          <w:tab w:val="clear" w:pos="567"/>
        </w:tabs>
        <w:rPr>
          <w:color w:val="000000"/>
          <w:szCs w:val="22"/>
          <w:u w:val="single"/>
          <w:lang w:val="et-EE"/>
        </w:rPr>
      </w:pPr>
      <w:r w:rsidRPr="00EC3BD7">
        <w:rPr>
          <w:color w:val="000000"/>
          <w:szCs w:val="22"/>
          <w:u w:val="single"/>
          <w:lang w:val="et-EE"/>
        </w:rPr>
        <w:t>Glivec 400 mg õhukese polümeerikattega tabletid</w:t>
      </w:r>
    </w:p>
    <w:p w14:paraId="325665CB" w14:textId="77777777" w:rsidR="0005749B" w:rsidRPr="00EC3BD7" w:rsidRDefault="0005749B" w:rsidP="0005749B">
      <w:pPr>
        <w:pStyle w:val="EndnoteText"/>
        <w:keepNext/>
        <w:widowControl w:val="0"/>
        <w:tabs>
          <w:tab w:val="clear" w:pos="567"/>
        </w:tabs>
        <w:rPr>
          <w:color w:val="000000"/>
          <w:szCs w:val="22"/>
          <w:lang w:val="et-EE"/>
        </w:rPr>
      </w:pPr>
      <w:r w:rsidRPr="00EC3BD7">
        <w:rPr>
          <w:color w:val="000000"/>
          <w:szCs w:val="22"/>
          <w:lang w:val="et-EE"/>
        </w:rPr>
        <w:t>EU/1/01/198/009</w:t>
      </w:r>
    </w:p>
    <w:p w14:paraId="378BE8F3" w14:textId="77777777" w:rsidR="0005749B" w:rsidRPr="00EC3BD7" w:rsidRDefault="0005749B" w:rsidP="0005749B">
      <w:pPr>
        <w:pStyle w:val="EndnoteText"/>
        <w:keepNext/>
        <w:widowControl w:val="0"/>
        <w:tabs>
          <w:tab w:val="clear" w:pos="567"/>
        </w:tabs>
        <w:rPr>
          <w:color w:val="000000"/>
          <w:szCs w:val="22"/>
          <w:lang w:val="et-EE"/>
        </w:rPr>
      </w:pPr>
      <w:r w:rsidRPr="00EC3BD7">
        <w:rPr>
          <w:color w:val="000000"/>
          <w:szCs w:val="22"/>
          <w:lang w:val="et-EE"/>
        </w:rPr>
        <w:t>EU/1/01/198/010</w:t>
      </w:r>
    </w:p>
    <w:p w14:paraId="0D7481B4" w14:textId="77777777" w:rsidR="0005749B" w:rsidRPr="00EC3BD7" w:rsidRDefault="0005749B" w:rsidP="0005749B">
      <w:pPr>
        <w:pStyle w:val="EndnoteText"/>
        <w:widowControl w:val="0"/>
        <w:tabs>
          <w:tab w:val="clear" w:pos="567"/>
        </w:tabs>
        <w:rPr>
          <w:color w:val="000000"/>
          <w:szCs w:val="22"/>
          <w:lang w:val="et-EE"/>
        </w:rPr>
      </w:pPr>
      <w:r w:rsidRPr="00EC3BD7">
        <w:rPr>
          <w:color w:val="000000"/>
          <w:szCs w:val="22"/>
          <w:lang w:val="et-EE"/>
        </w:rPr>
        <w:t>EU/1/01/198/013</w:t>
      </w:r>
    </w:p>
    <w:p w14:paraId="49A09E8C" w14:textId="77777777" w:rsidR="0005749B" w:rsidRPr="00EC3BD7" w:rsidRDefault="0005749B" w:rsidP="0005749B">
      <w:pPr>
        <w:pStyle w:val="EndnoteText"/>
        <w:widowControl w:val="0"/>
        <w:tabs>
          <w:tab w:val="clear" w:pos="567"/>
        </w:tabs>
        <w:rPr>
          <w:color w:val="000000"/>
          <w:szCs w:val="22"/>
          <w:lang w:val="et-EE"/>
        </w:rPr>
      </w:pPr>
    </w:p>
    <w:p w14:paraId="31EF37A1" w14:textId="77777777" w:rsidR="00136210" w:rsidRPr="00EC3BD7" w:rsidRDefault="00136210">
      <w:pPr>
        <w:widowControl w:val="0"/>
        <w:tabs>
          <w:tab w:val="clear" w:pos="567"/>
        </w:tabs>
        <w:spacing w:line="240" w:lineRule="auto"/>
        <w:rPr>
          <w:color w:val="000000"/>
          <w:szCs w:val="22"/>
          <w:lang w:val="et-EE"/>
        </w:rPr>
      </w:pPr>
    </w:p>
    <w:p w14:paraId="4135DC00" w14:textId="77777777" w:rsidR="00136210" w:rsidRPr="00EC3BD7" w:rsidRDefault="00136210" w:rsidP="00B9089D">
      <w:pPr>
        <w:keepNext/>
        <w:widowControl w:val="0"/>
        <w:tabs>
          <w:tab w:val="clear" w:pos="567"/>
        </w:tabs>
        <w:spacing w:line="240" w:lineRule="auto"/>
        <w:ind w:left="567" w:hanging="567"/>
        <w:rPr>
          <w:color w:val="000000"/>
          <w:szCs w:val="22"/>
          <w:lang w:val="et-EE"/>
        </w:rPr>
      </w:pPr>
      <w:r w:rsidRPr="00EC3BD7">
        <w:rPr>
          <w:b/>
          <w:color w:val="000000"/>
          <w:szCs w:val="22"/>
          <w:lang w:val="et-EE"/>
        </w:rPr>
        <w:t>9.</w:t>
      </w:r>
      <w:r w:rsidRPr="00EC3BD7">
        <w:rPr>
          <w:b/>
          <w:color w:val="000000"/>
          <w:szCs w:val="22"/>
          <w:lang w:val="et-EE"/>
        </w:rPr>
        <w:tab/>
        <w:t>ESMASE MÜÜGILOA VÄLJASTAMISE/MÜÜGILOA UUENDAMISE KUUPÄEV</w:t>
      </w:r>
    </w:p>
    <w:p w14:paraId="4A45D4E6" w14:textId="77777777" w:rsidR="00136210" w:rsidRPr="00EC3BD7" w:rsidRDefault="00136210" w:rsidP="00B9089D">
      <w:pPr>
        <w:keepNext/>
        <w:widowControl w:val="0"/>
        <w:spacing w:line="240" w:lineRule="auto"/>
        <w:rPr>
          <w:color w:val="000000"/>
          <w:szCs w:val="22"/>
          <w:lang w:val="et-EE"/>
        </w:rPr>
      </w:pPr>
    </w:p>
    <w:p w14:paraId="740560C8" w14:textId="77777777" w:rsidR="00106EBC" w:rsidRPr="00EC3BD7" w:rsidRDefault="00854148" w:rsidP="009A3C30">
      <w:pPr>
        <w:keepNext/>
        <w:widowControl w:val="0"/>
        <w:spacing w:line="240" w:lineRule="auto"/>
        <w:rPr>
          <w:color w:val="000000"/>
          <w:szCs w:val="22"/>
          <w:lang w:val="et-EE"/>
        </w:rPr>
      </w:pPr>
      <w:r w:rsidRPr="00EC3BD7">
        <w:rPr>
          <w:color w:val="000000"/>
          <w:szCs w:val="22"/>
          <w:lang w:val="et-EE"/>
        </w:rPr>
        <w:t>Müügiloa e</w:t>
      </w:r>
      <w:r w:rsidR="0030456C" w:rsidRPr="00EC3BD7">
        <w:rPr>
          <w:color w:val="000000"/>
          <w:szCs w:val="22"/>
          <w:lang w:val="et-EE"/>
        </w:rPr>
        <w:t>smase väljastami</w:t>
      </w:r>
      <w:r w:rsidRPr="00EC3BD7">
        <w:rPr>
          <w:color w:val="000000"/>
          <w:szCs w:val="22"/>
          <w:lang w:val="et-EE"/>
        </w:rPr>
        <w:t>s</w:t>
      </w:r>
      <w:r w:rsidR="0030456C" w:rsidRPr="00EC3BD7">
        <w:rPr>
          <w:color w:val="000000"/>
          <w:szCs w:val="22"/>
          <w:lang w:val="et-EE"/>
        </w:rPr>
        <w:t>e</w:t>
      </w:r>
      <w:r w:rsidRPr="00EC3BD7">
        <w:rPr>
          <w:color w:val="000000"/>
          <w:szCs w:val="22"/>
          <w:lang w:val="et-EE"/>
        </w:rPr>
        <w:t xml:space="preserve"> kuupäev</w:t>
      </w:r>
      <w:r w:rsidR="0030456C" w:rsidRPr="00EC3BD7">
        <w:rPr>
          <w:color w:val="000000"/>
          <w:szCs w:val="22"/>
          <w:lang w:val="et-EE"/>
        </w:rPr>
        <w:t xml:space="preserve">: </w:t>
      </w:r>
      <w:r w:rsidR="00E84DEE" w:rsidRPr="00EC3BD7">
        <w:rPr>
          <w:color w:val="000000"/>
          <w:szCs w:val="22"/>
          <w:lang w:val="et-EE"/>
        </w:rPr>
        <w:t>07</w:t>
      </w:r>
      <w:r w:rsidR="0030456C" w:rsidRPr="00EC3BD7">
        <w:rPr>
          <w:color w:val="000000"/>
          <w:szCs w:val="22"/>
          <w:lang w:val="et-EE"/>
        </w:rPr>
        <w:t>.</w:t>
      </w:r>
      <w:r w:rsidRPr="00EC3BD7">
        <w:rPr>
          <w:color w:val="000000"/>
          <w:szCs w:val="22"/>
          <w:lang w:val="et-EE"/>
        </w:rPr>
        <w:t xml:space="preserve"> november </w:t>
      </w:r>
      <w:r w:rsidR="0030456C" w:rsidRPr="00EC3BD7">
        <w:rPr>
          <w:color w:val="000000"/>
          <w:szCs w:val="22"/>
          <w:lang w:val="et-EE"/>
        </w:rPr>
        <w:t>200</w:t>
      </w:r>
      <w:r w:rsidR="00E84DEE" w:rsidRPr="00EC3BD7">
        <w:rPr>
          <w:color w:val="000000"/>
          <w:szCs w:val="22"/>
          <w:lang w:val="et-EE"/>
        </w:rPr>
        <w:t>1</w:t>
      </w:r>
    </w:p>
    <w:p w14:paraId="0D5EC1B6" w14:textId="77777777" w:rsidR="00106EBC" w:rsidRPr="00EC3BD7" w:rsidRDefault="00854148" w:rsidP="00106EBC">
      <w:pPr>
        <w:widowControl w:val="0"/>
        <w:spacing w:line="240" w:lineRule="auto"/>
        <w:rPr>
          <w:color w:val="000000"/>
          <w:szCs w:val="22"/>
          <w:lang w:val="et-EE"/>
        </w:rPr>
      </w:pPr>
      <w:r w:rsidRPr="00EC3BD7">
        <w:rPr>
          <w:color w:val="000000"/>
          <w:szCs w:val="22"/>
          <w:lang w:val="et-EE"/>
        </w:rPr>
        <w:t>Müügiloa viimase</w:t>
      </w:r>
      <w:r w:rsidR="00106EBC" w:rsidRPr="00EC3BD7">
        <w:rPr>
          <w:color w:val="000000"/>
          <w:szCs w:val="22"/>
          <w:lang w:val="et-EE"/>
        </w:rPr>
        <w:t xml:space="preserve"> uuendami</w:t>
      </w:r>
      <w:r w:rsidRPr="00EC3BD7">
        <w:rPr>
          <w:color w:val="000000"/>
          <w:szCs w:val="22"/>
          <w:lang w:val="et-EE"/>
        </w:rPr>
        <w:t>s</w:t>
      </w:r>
      <w:r w:rsidR="00106EBC" w:rsidRPr="00EC3BD7">
        <w:rPr>
          <w:color w:val="000000"/>
          <w:szCs w:val="22"/>
          <w:lang w:val="et-EE"/>
        </w:rPr>
        <w:t>e</w:t>
      </w:r>
      <w:r w:rsidRPr="00EC3BD7">
        <w:rPr>
          <w:color w:val="000000"/>
          <w:szCs w:val="22"/>
          <w:lang w:val="et-EE"/>
        </w:rPr>
        <w:t xml:space="preserve"> kuupäev</w:t>
      </w:r>
      <w:r w:rsidR="00106EBC" w:rsidRPr="00EC3BD7">
        <w:rPr>
          <w:color w:val="000000"/>
          <w:szCs w:val="22"/>
          <w:lang w:val="et-EE"/>
        </w:rPr>
        <w:t>: 07.</w:t>
      </w:r>
      <w:r w:rsidRPr="00EC3BD7">
        <w:rPr>
          <w:color w:val="000000"/>
          <w:szCs w:val="22"/>
          <w:lang w:val="et-EE"/>
        </w:rPr>
        <w:t xml:space="preserve"> november </w:t>
      </w:r>
      <w:r w:rsidR="00106EBC" w:rsidRPr="00EC3BD7">
        <w:rPr>
          <w:color w:val="000000"/>
          <w:szCs w:val="22"/>
          <w:lang w:val="et-EE"/>
        </w:rPr>
        <w:t>2006</w:t>
      </w:r>
    </w:p>
    <w:p w14:paraId="073A09B6" w14:textId="77777777" w:rsidR="00136210" w:rsidRPr="00EC3BD7" w:rsidRDefault="00136210">
      <w:pPr>
        <w:widowControl w:val="0"/>
        <w:tabs>
          <w:tab w:val="clear" w:pos="567"/>
        </w:tabs>
        <w:spacing w:line="240" w:lineRule="auto"/>
        <w:rPr>
          <w:color w:val="000000"/>
          <w:szCs w:val="22"/>
          <w:lang w:val="et-EE"/>
        </w:rPr>
      </w:pPr>
    </w:p>
    <w:p w14:paraId="58932D22" w14:textId="77777777" w:rsidR="00136210" w:rsidRPr="00EC3BD7" w:rsidRDefault="00136210">
      <w:pPr>
        <w:widowControl w:val="0"/>
        <w:tabs>
          <w:tab w:val="clear" w:pos="567"/>
        </w:tabs>
        <w:spacing w:line="240" w:lineRule="auto"/>
        <w:rPr>
          <w:color w:val="000000"/>
          <w:szCs w:val="22"/>
          <w:lang w:val="et-EE"/>
        </w:rPr>
      </w:pPr>
    </w:p>
    <w:p w14:paraId="21375D07" w14:textId="77777777" w:rsidR="00136210" w:rsidRPr="00EC3BD7" w:rsidRDefault="00136210" w:rsidP="00B9089D">
      <w:pPr>
        <w:keepNext/>
        <w:widowControl w:val="0"/>
        <w:tabs>
          <w:tab w:val="clear" w:pos="567"/>
        </w:tabs>
        <w:spacing w:line="240" w:lineRule="auto"/>
        <w:ind w:left="567" w:hanging="567"/>
        <w:rPr>
          <w:b/>
          <w:color w:val="000000"/>
          <w:szCs w:val="22"/>
          <w:lang w:val="et-EE"/>
        </w:rPr>
      </w:pPr>
      <w:r w:rsidRPr="00EC3BD7">
        <w:rPr>
          <w:b/>
          <w:color w:val="000000"/>
          <w:szCs w:val="22"/>
          <w:lang w:val="et-EE"/>
        </w:rPr>
        <w:lastRenderedPageBreak/>
        <w:t>10.</w:t>
      </w:r>
      <w:r w:rsidRPr="00EC3BD7">
        <w:rPr>
          <w:b/>
          <w:color w:val="000000"/>
          <w:szCs w:val="22"/>
          <w:lang w:val="et-EE"/>
        </w:rPr>
        <w:tab/>
        <w:t>TEKSTI LÄBIVAATAMISE KUUPÄEV</w:t>
      </w:r>
    </w:p>
    <w:p w14:paraId="63F889B1" w14:textId="77777777" w:rsidR="00424E20" w:rsidRPr="00EC3BD7" w:rsidRDefault="00424E20" w:rsidP="00B9089D">
      <w:pPr>
        <w:keepNext/>
        <w:widowControl w:val="0"/>
        <w:tabs>
          <w:tab w:val="clear" w:pos="567"/>
        </w:tabs>
        <w:spacing w:line="240" w:lineRule="auto"/>
        <w:ind w:left="567" w:hanging="567"/>
        <w:rPr>
          <w:color w:val="000000"/>
          <w:szCs w:val="22"/>
          <w:lang w:val="et-EE"/>
        </w:rPr>
      </w:pPr>
    </w:p>
    <w:p w14:paraId="50C73553" w14:textId="77777777" w:rsidR="00424E20" w:rsidRPr="00EC3BD7" w:rsidRDefault="00424E20" w:rsidP="00B9089D">
      <w:pPr>
        <w:keepNext/>
        <w:widowControl w:val="0"/>
        <w:tabs>
          <w:tab w:val="clear" w:pos="567"/>
        </w:tabs>
        <w:spacing w:line="240" w:lineRule="auto"/>
        <w:ind w:left="567" w:hanging="567"/>
        <w:rPr>
          <w:color w:val="000000"/>
          <w:szCs w:val="22"/>
          <w:lang w:val="et-EE"/>
        </w:rPr>
      </w:pPr>
    </w:p>
    <w:p w14:paraId="05558BD2" w14:textId="77777777" w:rsidR="00136210" w:rsidRPr="00EC3BD7" w:rsidRDefault="00424E20" w:rsidP="00424E20">
      <w:pPr>
        <w:widowControl w:val="0"/>
        <w:tabs>
          <w:tab w:val="clear" w:pos="567"/>
        </w:tabs>
        <w:spacing w:line="240" w:lineRule="auto"/>
        <w:rPr>
          <w:color w:val="000000"/>
          <w:szCs w:val="22"/>
          <w:lang w:val="et-EE"/>
        </w:rPr>
      </w:pPr>
      <w:r w:rsidRPr="00EC3BD7">
        <w:rPr>
          <w:iCs/>
          <w:color w:val="000000"/>
          <w:szCs w:val="22"/>
          <w:lang w:val="et-EE"/>
        </w:rPr>
        <w:t xml:space="preserve">Täpne </w:t>
      </w:r>
      <w:r w:rsidR="00FB65A1" w:rsidRPr="00EC3BD7">
        <w:rPr>
          <w:iCs/>
          <w:color w:val="000000"/>
          <w:szCs w:val="22"/>
          <w:lang w:val="et-EE"/>
        </w:rPr>
        <w:t>teave</w:t>
      </w:r>
      <w:r w:rsidRPr="00EC3BD7">
        <w:rPr>
          <w:iCs/>
          <w:color w:val="000000"/>
          <w:szCs w:val="22"/>
          <w:lang w:val="et-EE"/>
        </w:rPr>
        <w:t xml:space="preserve"> selle ravim</w:t>
      </w:r>
      <w:r w:rsidR="00FB65A1" w:rsidRPr="00EC3BD7">
        <w:rPr>
          <w:iCs/>
          <w:color w:val="000000"/>
          <w:szCs w:val="22"/>
          <w:lang w:val="et-EE"/>
        </w:rPr>
        <w:t>preparaad</w:t>
      </w:r>
      <w:r w:rsidRPr="00EC3BD7">
        <w:rPr>
          <w:iCs/>
          <w:color w:val="000000"/>
          <w:szCs w:val="22"/>
          <w:lang w:val="et-EE"/>
        </w:rPr>
        <w:t xml:space="preserve">i kohta on </w:t>
      </w:r>
      <w:r w:rsidRPr="00EC3BD7">
        <w:rPr>
          <w:color w:val="000000"/>
          <w:szCs w:val="22"/>
          <w:lang w:val="et-EE"/>
        </w:rPr>
        <w:t>Euroopa Ravimiameti kodulehel</w:t>
      </w:r>
      <w:r w:rsidR="0005749B" w:rsidRPr="00EC3BD7">
        <w:rPr>
          <w:color w:val="000000"/>
          <w:szCs w:val="22"/>
          <w:lang w:val="et-EE"/>
        </w:rPr>
        <w:t>:</w:t>
      </w:r>
      <w:r w:rsidRPr="00EC3BD7">
        <w:rPr>
          <w:color w:val="000000"/>
          <w:szCs w:val="22"/>
          <w:lang w:val="et-EE"/>
        </w:rPr>
        <w:t xml:space="preserve"> http://www.ema.europa.eu</w:t>
      </w:r>
      <w:r w:rsidR="0005749B" w:rsidRPr="00EC3BD7">
        <w:rPr>
          <w:color w:val="000000"/>
          <w:szCs w:val="22"/>
          <w:lang w:val="et-EE"/>
        </w:rPr>
        <w:t>.</w:t>
      </w:r>
    </w:p>
    <w:p w14:paraId="3DE1A286" w14:textId="77777777" w:rsidR="00136210" w:rsidRPr="00EC3BD7" w:rsidRDefault="00136210" w:rsidP="00B9089D">
      <w:pPr>
        <w:widowControl w:val="0"/>
        <w:spacing w:line="240" w:lineRule="auto"/>
        <w:rPr>
          <w:color w:val="000000"/>
          <w:szCs w:val="22"/>
          <w:lang w:val="et-EE"/>
        </w:rPr>
      </w:pPr>
      <w:r w:rsidRPr="00EC3BD7">
        <w:rPr>
          <w:b/>
          <w:color w:val="000000"/>
          <w:szCs w:val="22"/>
          <w:lang w:val="et-EE"/>
        </w:rPr>
        <w:br w:type="page"/>
      </w:r>
    </w:p>
    <w:p w14:paraId="1424C11B" w14:textId="77777777" w:rsidR="00136210" w:rsidRPr="00EC3BD7" w:rsidRDefault="00136210">
      <w:pPr>
        <w:rPr>
          <w:color w:val="000000"/>
          <w:szCs w:val="22"/>
          <w:lang w:val="et-EE"/>
        </w:rPr>
      </w:pPr>
    </w:p>
    <w:p w14:paraId="6110D4CA" w14:textId="77777777" w:rsidR="00136210" w:rsidRPr="00EC3BD7" w:rsidRDefault="00136210">
      <w:pPr>
        <w:rPr>
          <w:color w:val="000000"/>
          <w:szCs w:val="22"/>
          <w:lang w:val="et-EE"/>
        </w:rPr>
      </w:pPr>
    </w:p>
    <w:p w14:paraId="5DC03B1F" w14:textId="77777777" w:rsidR="00136210" w:rsidRPr="00EC3BD7" w:rsidRDefault="00136210">
      <w:pPr>
        <w:rPr>
          <w:color w:val="000000"/>
          <w:szCs w:val="22"/>
          <w:lang w:val="et-EE"/>
        </w:rPr>
      </w:pPr>
    </w:p>
    <w:p w14:paraId="32A90A20" w14:textId="77777777" w:rsidR="00136210" w:rsidRPr="00EC3BD7" w:rsidRDefault="00136210">
      <w:pPr>
        <w:rPr>
          <w:color w:val="000000"/>
          <w:szCs w:val="22"/>
          <w:lang w:val="et-EE"/>
        </w:rPr>
      </w:pPr>
    </w:p>
    <w:p w14:paraId="19F63CC0" w14:textId="77777777" w:rsidR="00136210" w:rsidRPr="00EC3BD7" w:rsidRDefault="00136210">
      <w:pPr>
        <w:rPr>
          <w:color w:val="000000"/>
          <w:szCs w:val="22"/>
          <w:lang w:val="et-EE"/>
        </w:rPr>
      </w:pPr>
    </w:p>
    <w:p w14:paraId="16856466" w14:textId="77777777" w:rsidR="00136210" w:rsidRPr="00EC3BD7" w:rsidRDefault="00136210">
      <w:pPr>
        <w:rPr>
          <w:color w:val="000000"/>
          <w:szCs w:val="22"/>
          <w:lang w:val="et-EE"/>
        </w:rPr>
      </w:pPr>
    </w:p>
    <w:p w14:paraId="16695DF2" w14:textId="77777777" w:rsidR="00136210" w:rsidRPr="00EC3BD7" w:rsidRDefault="00136210">
      <w:pPr>
        <w:rPr>
          <w:color w:val="000000"/>
          <w:szCs w:val="22"/>
          <w:lang w:val="et-EE"/>
        </w:rPr>
      </w:pPr>
    </w:p>
    <w:p w14:paraId="6345CBED" w14:textId="77777777" w:rsidR="00136210" w:rsidRPr="00EC3BD7" w:rsidRDefault="00136210">
      <w:pPr>
        <w:rPr>
          <w:color w:val="000000"/>
          <w:szCs w:val="22"/>
          <w:lang w:val="et-EE"/>
        </w:rPr>
      </w:pPr>
    </w:p>
    <w:p w14:paraId="07AD3A16" w14:textId="77777777" w:rsidR="00136210" w:rsidRPr="00EC3BD7" w:rsidRDefault="00136210">
      <w:pPr>
        <w:rPr>
          <w:color w:val="000000"/>
          <w:szCs w:val="22"/>
          <w:lang w:val="et-EE"/>
        </w:rPr>
      </w:pPr>
    </w:p>
    <w:p w14:paraId="1B9A228E" w14:textId="77777777" w:rsidR="00136210" w:rsidRPr="00EC3BD7" w:rsidRDefault="00136210">
      <w:pPr>
        <w:rPr>
          <w:color w:val="000000"/>
          <w:szCs w:val="22"/>
          <w:lang w:val="et-EE"/>
        </w:rPr>
      </w:pPr>
    </w:p>
    <w:p w14:paraId="032C5CC9" w14:textId="77777777" w:rsidR="00136210" w:rsidRPr="00EC3BD7" w:rsidRDefault="00136210">
      <w:pPr>
        <w:rPr>
          <w:color w:val="000000"/>
          <w:szCs w:val="22"/>
          <w:lang w:val="et-EE"/>
        </w:rPr>
      </w:pPr>
    </w:p>
    <w:p w14:paraId="57F02B2A" w14:textId="77777777" w:rsidR="00136210" w:rsidRPr="00EC3BD7" w:rsidRDefault="00136210">
      <w:pPr>
        <w:rPr>
          <w:color w:val="000000"/>
          <w:szCs w:val="22"/>
          <w:lang w:val="et-EE"/>
        </w:rPr>
      </w:pPr>
    </w:p>
    <w:p w14:paraId="33B4C12E" w14:textId="77777777" w:rsidR="00136210" w:rsidRPr="00EC3BD7" w:rsidRDefault="00136210">
      <w:pPr>
        <w:rPr>
          <w:color w:val="000000"/>
          <w:szCs w:val="22"/>
          <w:lang w:val="et-EE"/>
        </w:rPr>
      </w:pPr>
    </w:p>
    <w:p w14:paraId="3863C0CD" w14:textId="77777777" w:rsidR="00136210" w:rsidRPr="00EC3BD7" w:rsidRDefault="00136210">
      <w:pPr>
        <w:rPr>
          <w:color w:val="000000"/>
          <w:szCs w:val="22"/>
          <w:lang w:val="et-EE"/>
        </w:rPr>
      </w:pPr>
    </w:p>
    <w:p w14:paraId="65E85010" w14:textId="77777777" w:rsidR="00136210" w:rsidRPr="00EC3BD7" w:rsidRDefault="00136210">
      <w:pPr>
        <w:rPr>
          <w:color w:val="000000"/>
          <w:szCs w:val="22"/>
          <w:lang w:val="et-EE"/>
        </w:rPr>
      </w:pPr>
    </w:p>
    <w:p w14:paraId="1C545C9E" w14:textId="77777777" w:rsidR="00136210" w:rsidRPr="00EC3BD7" w:rsidRDefault="00136210">
      <w:pPr>
        <w:rPr>
          <w:color w:val="000000"/>
          <w:szCs w:val="22"/>
          <w:lang w:val="et-EE"/>
        </w:rPr>
      </w:pPr>
    </w:p>
    <w:p w14:paraId="6B71D4F7" w14:textId="77777777" w:rsidR="00136210" w:rsidRPr="00EC3BD7" w:rsidRDefault="00136210">
      <w:pPr>
        <w:rPr>
          <w:color w:val="000000"/>
          <w:szCs w:val="22"/>
          <w:lang w:val="et-EE"/>
        </w:rPr>
      </w:pPr>
    </w:p>
    <w:p w14:paraId="0903F115" w14:textId="77777777" w:rsidR="00136210" w:rsidRPr="00EC3BD7" w:rsidRDefault="00136210">
      <w:pPr>
        <w:rPr>
          <w:color w:val="000000"/>
          <w:szCs w:val="22"/>
          <w:lang w:val="et-EE"/>
        </w:rPr>
      </w:pPr>
    </w:p>
    <w:p w14:paraId="77447516" w14:textId="77777777" w:rsidR="00136210" w:rsidRPr="00EC3BD7" w:rsidRDefault="00136210">
      <w:pPr>
        <w:rPr>
          <w:color w:val="000000"/>
          <w:szCs w:val="22"/>
          <w:lang w:val="et-EE"/>
        </w:rPr>
      </w:pPr>
    </w:p>
    <w:p w14:paraId="184CD19E" w14:textId="77777777" w:rsidR="00136210" w:rsidRPr="00EC3BD7" w:rsidRDefault="00136210">
      <w:pPr>
        <w:rPr>
          <w:color w:val="000000"/>
          <w:szCs w:val="22"/>
          <w:lang w:val="et-EE"/>
        </w:rPr>
      </w:pPr>
    </w:p>
    <w:p w14:paraId="5612615B" w14:textId="77777777" w:rsidR="00136210" w:rsidRPr="00EC3BD7" w:rsidRDefault="00136210">
      <w:pPr>
        <w:rPr>
          <w:color w:val="000000"/>
          <w:szCs w:val="22"/>
          <w:lang w:val="et-EE"/>
        </w:rPr>
      </w:pPr>
    </w:p>
    <w:p w14:paraId="1A2DBA6D" w14:textId="77777777" w:rsidR="00136210" w:rsidRPr="00EC3BD7" w:rsidRDefault="00136210">
      <w:pPr>
        <w:rPr>
          <w:color w:val="000000"/>
          <w:szCs w:val="22"/>
          <w:lang w:val="et-EE"/>
        </w:rPr>
      </w:pPr>
    </w:p>
    <w:p w14:paraId="67559D52" w14:textId="77777777" w:rsidR="009A3C30" w:rsidRPr="00EC3BD7" w:rsidRDefault="009A3C30">
      <w:pPr>
        <w:rPr>
          <w:color w:val="000000"/>
          <w:szCs w:val="22"/>
          <w:lang w:val="et-EE"/>
        </w:rPr>
      </w:pPr>
    </w:p>
    <w:p w14:paraId="5A8135B1" w14:textId="77777777" w:rsidR="00DA3205" w:rsidRPr="00EC3BD7" w:rsidRDefault="00DA3205" w:rsidP="00DA3205">
      <w:pPr>
        <w:jc w:val="center"/>
        <w:rPr>
          <w:b/>
          <w:bCs/>
          <w:color w:val="000000"/>
          <w:szCs w:val="22"/>
          <w:lang w:val="et-EE"/>
        </w:rPr>
      </w:pPr>
      <w:r w:rsidRPr="00EC3BD7">
        <w:rPr>
          <w:b/>
          <w:bCs/>
          <w:color w:val="000000"/>
          <w:szCs w:val="22"/>
          <w:lang w:val="et-EE"/>
        </w:rPr>
        <w:t>II</w:t>
      </w:r>
      <w:r w:rsidR="00780752" w:rsidRPr="00EC3BD7">
        <w:rPr>
          <w:b/>
          <w:bCs/>
          <w:color w:val="000000"/>
          <w:szCs w:val="22"/>
          <w:lang w:val="et-EE"/>
        </w:rPr>
        <w:t> </w:t>
      </w:r>
      <w:r w:rsidRPr="00EC3BD7">
        <w:rPr>
          <w:b/>
          <w:bCs/>
          <w:color w:val="000000"/>
          <w:szCs w:val="22"/>
          <w:lang w:val="et-EE"/>
        </w:rPr>
        <w:t>LISA</w:t>
      </w:r>
    </w:p>
    <w:p w14:paraId="29F5BE83" w14:textId="77777777" w:rsidR="00DA3205" w:rsidRPr="00EC3BD7" w:rsidRDefault="00DA3205" w:rsidP="00486CE3">
      <w:pPr>
        <w:tabs>
          <w:tab w:val="clear" w:pos="567"/>
        </w:tabs>
        <w:ind w:right="1416"/>
        <w:rPr>
          <w:color w:val="000000"/>
          <w:szCs w:val="22"/>
          <w:lang w:val="et-EE"/>
        </w:rPr>
      </w:pPr>
    </w:p>
    <w:p w14:paraId="539A810E" w14:textId="77777777" w:rsidR="00DA3205" w:rsidRPr="00EC3BD7" w:rsidRDefault="00DA3205" w:rsidP="00DA3205">
      <w:pPr>
        <w:tabs>
          <w:tab w:val="left" w:pos="1701"/>
        </w:tabs>
        <w:ind w:left="1701" w:right="1416" w:hanging="567"/>
        <w:rPr>
          <w:b/>
          <w:bCs/>
          <w:color w:val="000000"/>
          <w:szCs w:val="22"/>
          <w:lang w:val="et-EE"/>
        </w:rPr>
      </w:pPr>
      <w:r w:rsidRPr="00EC3BD7">
        <w:rPr>
          <w:b/>
          <w:bCs/>
          <w:color w:val="000000"/>
          <w:szCs w:val="22"/>
          <w:lang w:val="et-EE"/>
        </w:rPr>
        <w:t>A.</w:t>
      </w:r>
      <w:r w:rsidRPr="00EC3BD7">
        <w:rPr>
          <w:b/>
          <w:bCs/>
          <w:color w:val="000000"/>
          <w:szCs w:val="22"/>
          <w:lang w:val="et-EE"/>
        </w:rPr>
        <w:tab/>
        <w:t>RAVIMIPARTII KASUTAMISEKS VABASTAMISE EEST VASTUTAV TOOTJA</w:t>
      </w:r>
    </w:p>
    <w:p w14:paraId="6955CB47" w14:textId="77777777" w:rsidR="00DA3205" w:rsidRPr="00EC3BD7" w:rsidRDefault="00DA3205" w:rsidP="00486CE3">
      <w:pPr>
        <w:tabs>
          <w:tab w:val="clear" w:pos="567"/>
        </w:tabs>
        <w:ind w:right="1416"/>
        <w:rPr>
          <w:color w:val="000000"/>
          <w:szCs w:val="22"/>
          <w:lang w:val="et-EE"/>
        </w:rPr>
      </w:pPr>
    </w:p>
    <w:p w14:paraId="1B6450CA" w14:textId="77777777" w:rsidR="00DA3205" w:rsidRPr="00EC3BD7" w:rsidRDefault="00DA3205" w:rsidP="00DA3205">
      <w:pPr>
        <w:tabs>
          <w:tab w:val="left" w:pos="1701"/>
        </w:tabs>
        <w:ind w:left="1689" w:right="1416" w:hanging="555"/>
        <w:rPr>
          <w:b/>
          <w:bCs/>
          <w:color w:val="000000"/>
          <w:szCs w:val="22"/>
          <w:lang w:val="et-EE"/>
        </w:rPr>
      </w:pPr>
      <w:r w:rsidRPr="00EC3BD7">
        <w:rPr>
          <w:b/>
          <w:bCs/>
          <w:color w:val="000000"/>
          <w:szCs w:val="22"/>
          <w:lang w:val="et-EE"/>
        </w:rPr>
        <w:t>B.</w:t>
      </w:r>
      <w:r w:rsidRPr="00EC3BD7">
        <w:rPr>
          <w:b/>
          <w:bCs/>
          <w:color w:val="000000"/>
          <w:szCs w:val="22"/>
          <w:lang w:val="et-EE"/>
        </w:rPr>
        <w:tab/>
        <w:t>HANKE- JA KASUTUSTINGIMUSED VÕI PIIRANGUD</w:t>
      </w:r>
    </w:p>
    <w:p w14:paraId="727C21BB" w14:textId="77777777" w:rsidR="00DA3205" w:rsidRPr="00EC3BD7" w:rsidRDefault="00DA3205" w:rsidP="00486CE3">
      <w:pPr>
        <w:tabs>
          <w:tab w:val="clear" w:pos="567"/>
        </w:tabs>
        <w:ind w:right="1416"/>
        <w:rPr>
          <w:bCs/>
          <w:color w:val="000000"/>
          <w:szCs w:val="22"/>
          <w:lang w:val="et-EE"/>
        </w:rPr>
      </w:pPr>
    </w:p>
    <w:p w14:paraId="1F2706A9" w14:textId="77777777" w:rsidR="00DA3205" w:rsidRPr="00EC3BD7" w:rsidRDefault="00DA3205" w:rsidP="00486CE3">
      <w:pPr>
        <w:tabs>
          <w:tab w:val="left" w:pos="1701"/>
        </w:tabs>
        <w:ind w:left="1689" w:right="1416" w:hanging="555"/>
        <w:rPr>
          <w:b/>
          <w:bCs/>
          <w:color w:val="000000"/>
          <w:szCs w:val="22"/>
          <w:lang w:val="et-EE"/>
        </w:rPr>
      </w:pPr>
      <w:r w:rsidRPr="00EC3BD7">
        <w:rPr>
          <w:b/>
          <w:bCs/>
          <w:color w:val="000000"/>
          <w:szCs w:val="22"/>
          <w:lang w:val="et-EE"/>
        </w:rPr>
        <w:t>C.</w:t>
      </w:r>
      <w:r w:rsidRPr="00EC3BD7">
        <w:rPr>
          <w:b/>
          <w:bCs/>
          <w:color w:val="000000"/>
          <w:szCs w:val="22"/>
          <w:lang w:val="et-EE"/>
        </w:rPr>
        <w:tab/>
      </w:r>
      <w:r w:rsidR="00140701" w:rsidRPr="00EC3BD7">
        <w:rPr>
          <w:b/>
          <w:bCs/>
          <w:color w:val="000000"/>
          <w:szCs w:val="22"/>
          <w:lang w:val="et-EE"/>
        </w:rPr>
        <w:t xml:space="preserve">MÜÜGILOA </w:t>
      </w:r>
      <w:r w:rsidRPr="00EC3BD7">
        <w:rPr>
          <w:b/>
          <w:bCs/>
          <w:color w:val="000000"/>
          <w:szCs w:val="22"/>
          <w:lang w:val="et-EE"/>
        </w:rPr>
        <w:t>MUUD TINGIMUSED JA NÕUDED</w:t>
      </w:r>
    </w:p>
    <w:p w14:paraId="37374176" w14:textId="77777777" w:rsidR="00140701" w:rsidRPr="00EC3BD7" w:rsidRDefault="00140701" w:rsidP="00486CE3">
      <w:pPr>
        <w:tabs>
          <w:tab w:val="clear" w:pos="567"/>
        </w:tabs>
        <w:ind w:right="1416"/>
        <w:rPr>
          <w:bCs/>
          <w:color w:val="000000"/>
          <w:szCs w:val="22"/>
          <w:lang w:val="et-EE"/>
        </w:rPr>
      </w:pPr>
    </w:p>
    <w:p w14:paraId="5DD70AF5" w14:textId="77777777" w:rsidR="00140701" w:rsidRPr="00EC3BD7" w:rsidRDefault="00140701" w:rsidP="00DA3205">
      <w:pPr>
        <w:tabs>
          <w:tab w:val="left" w:pos="1701"/>
        </w:tabs>
        <w:ind w:left="1689" w:right="1416" w:hanging="555"/>
        <w:rPr>
          <w:b/>
          <w:bCs/>
          <w:color w:val="000000"/>
          <w:szCs w:val="22"/>
          <w:lang w:val="et-EE"/>
        </w:rPr>
      </w:pPr>
      <w:r w:rsidRPr="00EC3BD7">
        <w:rPr>
          <w:b/>
          <w:bCs/>
          <w:color w:val="000000"/>
          <w:szCs w:val="22"/>
          <w:lang w:val="et-EE"/>
        </w:rPr>
        <w:t>D.</w:t>
      </w:r>
      <w:r w:rsidRPr="00EC3BD7">
        <w:rPr>
          <w:b/>
          <w:bCs/>
          <w:color w:val="000000"/>
          <w:szCs w:val="22"/>
          <w:lang w:val="et-EE"/>
        </w:rPr>
        <w:tab/>
        <w:t>RAVIMPREPARAADI OHUTU JA EFEKTIIVSE KASUTAMISE TINGIMUSED JA PIIRANGUD</w:t>
      </w:r>
    </w:p>
    <w:p w14:paraId="1DCC3099" w14:textId="77777777" w:rsidR="00DA3205" w:rsidRPr="00EC3BD7" w:rsidRDefault="00DA3205" w:rsidP="00DA3205">
      <w:pPr>
        <w:ind w:left="567" w:hanging="567"/>
        <w:rPr>
          <w:color w:val="000000"/>
          <w:szCs w:val="22"/>
          <w:lang w:val="et-EE"/>
        </w:rPr>
      </w:pPr>
      <w:r w:rsidRPr="00EC3BD7">
        <w:rPr>
          <w:color w:val="000000"/>
          <w:szCs w:val="22"/>
          <w:lang w:val="et-EE"/>
        </w:rPr>
        <w:br w:type="page"/>
      </w:r>
      <w:r w:rsidRPr="00EC3BD7">
        <w:rPr>
          <w:b/>
          <w:bCs/>
          <w:color w:val="000000"/>
          <w:szCs w:val="22"/>
          <w:lang w:val="et-EE"/>
        </w:rPr>
        <w:lastRenderedPageBreak/>
        <w:t>A.</w:t>
      </w:r>
      <w:r w:rsidRPr="00EC3BD7">
        <w:rPr>
          <w:b/>
          <w:bCs/>
          <w:color w:val="000000"/>
          <w:szCs w:val="22"/>
          <w:lang w:val="et-EE"/>
        </w:rPr>
        <w:tab/>
        <w:t>RAVIMIPARTII KASUTAMISEKS VABASTAMISE EEST VASTUTAV TOOTJA</w:t>
      </w:r>
    </w:p>
    <w:p w14:paraId="3D711E05" w14:textId="77777777" w:rsidR="00DA3205" w:rsidRPr="00EC3BD7" w:rsidRDefault="00DA3205" w:rsidP="00DA3205">
      <w:pPr>
        <w:ind w:right="1416"/>
        <w:rPr>
          <w:color w:val="000000"/>
          <w:szCs w:val="22"/>
          <w:lang w:val="et-EE"/>
        </w:rPr>
      </w:pPr>
    </w:p>
    <w:p w14:paraId="379987C0" w14:textId="77777777" w:rsidR="00DA3205" w:rsidRPr="00EC3BD7" w:rsidRDefault="00DA3205" w:rsidP="00DA3205">
      <w:pPr>
        <w:rPr>
          <w:color w:val="000000"/>
          <w:szCs w:val="22"/>
          <w:lang w:val="et-EE"/>
        </w:rPr>
      </w:pPr>
      <w:r w:rsidRPr="00EC3BD7">
        <w:rPr>
          <w:color w:val="000000"/>
          <w:szCs w:val="22"/>
          <w:u w:val="single"/>
          <w:lang w:val="et-EE"/>
        </w:rPr>
        <w:t>Ravimipartii kasutamiseks vabastamise eest vastutava tootja nimi ja aadress</w:t>
      </w:r>
    </w:p>
    <w:p w14:paraId="17F993BD" w14:textId="77777777" w:rsidR="00DA3205" w:rsidRPr="00EC3BD7" w:rsidRDefault="00DA3205" w:rsidP="00DA3205">
      <w:pPr>
        <w:rPr>
          <w:color w:val="000000"/>
          <w:szCs w:val="22"/>
          <w:lang w:val="et-EE"/>
        </w:rPr>
      </w:pPr>
    </w:p>
    <w:p w14:paraId="5CA57BF8" w14:textId="77777777" w:rsidR="005268C7" w:rsidRPr="00EC3BD7" w:rsidRDefault="005268C7" w:rsidP="005268C7">
      <w:pPr>
        <w:widowControl w:val="0"/>
        <w:tabs>
          <w:tab w:val="left" w:pos="7513"/>
        </w:tabs>
        <w:spacing w:line="240" w:lineRule="auto"/>
        <w:rPr>
          <w:szCs w:val="22"/>
          <w:lang w:val="fr-CH"/>
        </w:rPr>
      </w:pPr>
      <w:r w:rsidRPr="00EC3BD7">
        <w:rPr>
          <w:szCs w:val="22"/>
          <w:lang w:val="fr-CH"/>
        </w:rPr>
        <w:t>Lek d.d, PE PROIZVODNJA LENDAVA</w:t>
      </w:r>
    </w:p>
    <w:p w14:paraId="5391CFC7" w14:textId="77777777" w:rsidR="005268C7" w:rsidRPr="00EC3BD7" w:rsidRDefault="005268C7" w:rsidP="005268C7">
      <w:pPr>
        <w:widowControl w:val="0"/>
        <w:tabs>
          <w:tab w:val="left" w:pos="7513"/>
        </w:tabs>
        <w:spacing w:line="240" w:lineRule="auto"/>
        <w:rPr>
          <w:szCs w:val="22"/>
          <w:lang w:val="fr-CH"/>
        </w:rPr>
      </w:pPr>
      <w:r w:rsidRPr="00EC3BD7">
        <w:rPr>
          <w:szCs w:val="22"/>
          <w:lang w:val="fr-CH"/>
        </w:rPr>
        <w:t>Trimlini 2D</w:t>
      </w:r>
    </w:p>
    <w:p w14:paraId="1BDCFAB5" w14:textId="77777777" w:rsidR="005268C7" w:rsidRPr="00EC3BD7" w:rsidRDefault="005268C7" w:rsidP="005268C7">
      <w:pPr>
        <w:widowControl w:val="0"/>
        <w:tabs>
          <w:tab w:val="left" w:pos="7513"/>
        </w:tabs>
        <w:spacing w:line="240" w:lineRule="auto"/>
        <w:rPr>
          <w:szCs w:val="22"/>
          <w:lang w:val="fr-CH"/>
        </w:rPr>
      </w:pPr>
      <w:r w:rsidRPr="00EC3BD7">
        <w:rPr>
          <w:szCs w:val="22"/>
          <w:lang w:val="fr-CH"/>
        </w:rPr>
        <w:t>Lendava, 9220</w:t>
      </w:r>
    </w:p>
    <w:p w14:paraId="078ABD6F" w14:textId="77777777" w:rsidR="005268C7" w:rsidRPr="00EC3BD7" w:rsidRDefault="005268C7" w:rsidP="005268C7">
      <w:pPr>
        <w:widowControl w:val="0"/>
        <w:tabs>
          <w:tab w:val="left" w:pos="7513"/>
        </w:tabs>
        <w:spacing w:line="240" w:lineRule="auto"/>
        <w:rPr>
          <w:szCs w:val="22"/>
          <w:lang w:val="pt-BR"/>
        </w:rPr>
      </w:pPr>
      <w:r w:rsidRPr="00EC3BD7">
        <w:rPr>
          <w:szCs w:val="22"/>
          <w:lang w:val="fr-CH"/>
        </w:rPr>
        <w:t>Sloveenia</w:t>
      </w:r>
    </w:p>
    <w:p w14:paraId="70921055" w14:textId="77777777" w:rsidR="005268C7" w:rsidRPr="00EC3BD7" w:rsidRDefault="005268C7" w:rsidP="005268C7">
      <w:pPr>
        <w:widowControl w:val="0"/>
        <w:tabs>
          <w:tab w:val="left" w:pos="7513"/>
        </w:tabs>
        <w:spacing w:line="240" w:lineRule="auto"/>
        <w:rPr>
          <w:szCs w:val="22"/>
          <w:lang w:val="pt-BR"/>
        </w:rPr>
      </w:pPr>
    </w:p>
    <w:p w14:paraId="2E8971E2" w14:textId="77777777" w:rsidR="00DA3205" w:rsidRPr="00EC3BD7" w:rsidRDefault="00DA3205" w:rsidP="00DA3205">
      <w:pPr>
        <w:tabs>
          <w:tab w:val="left" w:pos="7513"/>
        </w:tabs>
        <w:rPr>
          <w:color w:val="000000"/>
          <w:szCs w:val="22"/>
          <w:lang w:val="et-EE"/>
        </w:rPr>
      </w:pPr>
      <w:r w:rsidRPr="00EC3BD7">
        <w:rPr>
          <w:color w:val="000000"/>
          <w:szCs w:val="22"/>
          <w:lang w:val="et-EE"/>
        </w:rPr>
        <w:t>Novartis Pharma GmbH</w:t>
      </w:r>
    </w:p>
    <w:p w14:paraId="69E2BF3E" w14:textId="77777777" w:rsidR="00DA3205" w:rsidRPr="00EC3BD7" w:rsidRDefault="00DA3205" w:rsidP="00DA3205">
      <w:pPr>
        <w:tabs>
          <w:tab w:val="left" w:pos="7513"/>
        </w:tabs>
        <w:rPr>
          <w:color w:val="000000"/>
          <w:szCs w:val="22"/>
          <w:lang w:val="et-EE"/>
        </w:rPr>
      </w:pPr>
      <w:r w:rsidRPr="00EC3BD7">
        <w:rPr>
          <w:color w:val="000000"/>
          <w:szCs w:val="22"/>
          <w:lang w:val="et-EE"/>
        </w:rPr>
        <w:t>Roonstra</w:t>
      </w:r>
      <w:r w:rsidRPr="00EC3BD7">
        <w:rPr>
          <w:snapToGrid w:val="0"/>
          <w:color w:val="000000"/>
          <w:szCs w:val="22"/>
          <w:lang w:val="et-EE"/>
        </w:rPr>
        <w:t>ss</w:t>
      </w:r>
      <w:r w:rsidRPr="00EC3BD7">
        <w:rPr>
          <w:color w:val="000000"/>
          <w:szCs w:val="22"/>
          <w:lang w:val="et-EE"/>
        </w:rPr>
        <w:t>e 25</w:t>
      </w:r>
    </w:p>
    <w:p w14:paraId="3ACFAD0D" w14:textId="77777777" w:rsidR="00DA3205" w:rsidRPr="00EC3BD7" w:rsidRDefault="00DA3205" w:rsidP="00DA3205">
      <w:pPr>
        <w:widowControl w:val="0"/>
        <w:spacing w:line="240" w:lineRule="auto"/>
        <w:ind w:left="709" w:hanging="709"/>
        <w:rPr>
          <w:snapToGrid w:val="0"/>
          <w:color w:val="000000"/>
          <w:szCs w:val="22"/>
          <w:lang w:val="et-EE"/>
        </w:rPr>
      </w:pPr>
      <w:r w:rsidRPr="00EC3BD7">
        <w:rPr>
          <w:color w:val="000000"/>
          <w:szCs w:val="22"/>
          <w:lang w:val="et-EE"/>
        </w:rPr>
        <w:t xml:space="preserve">D-90429 </w:t>
      </w:r>
      <w:r w:rsidRPr="00EC3BD7">
        <w:rPr>
          <w:snapToGrid w:val="0"/>
          <w:color w:val="000000"/>
          <w:szCs w:val="22"/>
          <w:lang w:val="et-EE"/>
        </w:rPr>
        <w:t>Nürnberg</w:t>
      </w:r>
    </w:p>
    <w:p w14:paraId="4C2EAB68" w14:textId="77777777" w:rsidR="00DA3205" w:rsidRPr="00EC3BD7" w:rsidRDefault="00DA3205" w:rsidP="00DA3205">
      <w:pPr>
        <w:pStyle w:val="EndnoteText"/>
        <w:widowControl w:val="0"/>
        <w:numPr>
          <w:ilvl w:val="12"/>
          <w:numId w:val="0"/>
        </w:numPr>
        <w:tabs>
          <w:tab w:val="clear" w:pos="567"/>
        </w:tabs>
        <w:rPr>
          <w:snapToGrid w:val="0"/>
          <w:color w:val="000000"/>
          <w:szCs w:val="22"/>
          <w:lang w:val="et-EE"/>
        </w:rPr>
      </w:pPr>
      <w:r w:rsidRPr="00EC3BD7">
        <w:rPr>
          <w:snapToGrid w:val="0"/>
          <w:color w:val="000000"/>
          <w:szCs w:val="22"/>
          <w:lang w:val="et-EE"/>
        </w:rPr>
        <w:t>Saksamaa</w:t>
      </w:r>
    </w:p>
    <w:p w14:paraId="35728CE6" w14:textId="5E726C09" w:rsidR="00DA3205" w:rsidRDefault="00DA3205" w:rsidP="00DA3205">
      <w:pPr>
        <w:rPr>
          <w:color w:val="000000"/>
          <w:szCs w:val="22"/>
          <w:lang w:val="et-EE"/>
        </w:rPr>
      </w:pPr>
    </w:p>
    <w:p w14:paraId="2A5F6562" w14:textId="77777777" w:rsidR="00B6362C" w:rsidRPr="00B6362C" w:rsidRDefault="00B6362C" w:rsidP="00B6362C">
      <w:pPr>
        <w:rPr>
          <w:color w:val="000000"/>
          <w:szCs w:val="22"/>
          <w:lang w:val="et-EE"/>
        </w:rPr>
      </w:pPr>
      <w:r w:rsidRPr="00B6362C">
        <w:rPr>
          <w:color w:val="000000"/>
          <w:szCs w:val="22"/>
          <w:lang w:val="et-EE"/>
        </w:rPr>
        <w:t>Sandoz S.R.L.</w:t>
      </w:r>
    </w:p>
    <w:p w14:paraId="28C1392B" w14:textId="77777777" w:rsidR="00B6362C" w:rsidRPr="00B6362C" w:rsidRDefault="00B6362C" w:rsidP="00B6362C">
      <w:pPr>
        <w:rPr>
          <w:color w:val="000000"/>
          <w:szCs w:val="22"/>
          <w:lang w:val="et-EE"/>
        </w:rPr>
      </w:pPr>
      <w:r w:rsidRPr="00B6362C">
        <w:rPr>
          <w:color w:val="000000"/>
          <w:szCs w:val="22"/>
          <w:lang w:val="et-EE"/>
        </w:rPr>
        <w:t>Str. Livezeni nr. 7A</w:t>
      </w:r>
    </w:p>
    <w:p w14:paraId="17BAF4ED" w14:textId="77777777" w:rsidR="00B6362C" w:rsidRPr="00B6362C" w:rsidRDefault="00B6362C" w:rsidP="00B6362C">
      <w:pPr>
        <w:rPr>
          <w:color w:val="000000"/>
          <w:szCs w:val="22"/>
          <w:lang w:val="et-EE"/>
        </w:rPr>
      </w:pPr>
      <w:r w:rsidRPr="00B6362C">
        <w:rPr>
          <w:color w:val="000000"/>
          <w:szCs w:val="22"/>
          <w:lang w:val="et-EE"/>
        </w:rPr>
        <w:t>540472, Targu Mures</w:t>
      </w:r>
    </w:p>
    <w:p w14:paraId="07C11113" w14:textId="3FF78FCB" w:rsidR="00B6362C" w:rsidRDefault="00B6362C" w:rsidP="00B6362C">
      <w:pPr>
        <w:rPr>
          <w:color w:val="000000"/>
          <w:szCs w:val="22"/>
          <w:lang w:val="et-EE"/>
        </w:rPr>
      </w:pPr>
      <w:r w:rsidRPr="00B6362C">
        <w:rPr>
          <w:color w:val="000000"/>
          <w:szCs w:val="22"/>
          <w:lang w:val="et-EE"/>
        </w:rPr>
        <w:t>Rumeenia</w:t>
      </w:r>
    </w:p>
    <w:p w14:paraId="1754293A" w14:textId="77777777" w:rsidR="00E60EDA" w:rsidRPr="00EC3BD7" w:rsidRDefault="00E60EDA" w:rsidP="00B6362C">
      <w:pPr>
        <w:rPr>
          <w:color w:val="000000"/>
          <w:szCs w:val="22"/>
          <w:lang w:val="et-EE"/>
        </w:rPr>
      </w:pPr>
    </w:p>
    <w:p w14:paraId="06941E69" w14:textId="77777777" w:rsidR="005268C7" w:rsidRPr="00EC3BD7" w:rsidRDefault="005268C7" w:rsidP="00DA3205">
      <w:pPr>
        <w:rPr>
          <w:color w:val="000000"/>
          <w:szCs w:val="22"/>
          <w:lang w:val="et-EE"/>
        </w:rPr>
      </w:pPr>
      <w:r w:rsidRPr="00EC3BD7">
        <w:rPr>
          <w:lang w:val="et-EE"/>
        </w:rPr>
        <w:t>Ravimi trükitud pakendi infolehel peab olema vastava ravimipartii kasutamiseks vabastamise eest vastutava tootja nimi ja aadress.</w:t>
      </w:r>
    </w:p>
    <w:p w14:paraId="7B5F673A" w14:textId="77777777" w:rsidR="005268C7" w:rsidRPr="00EC3BD7" w:rsidRDefault="005268C7" w:rsidP="00DA3205">
      <w:pPr>
        <w:rPr>
          <w:color w:val="000000"/>
          <w:szCs w:val="22"/>
          <w:lang w:val="et-EE"/>
        </w:rPr>
      </w:pPr>
    </w:p>
    <w:p w14:paraId="1608080B" w14:textId="77777777" w:rsidR="00DA3205" w:rsidRPr="00EC3BD7" w:rsidRDefault="00DA3205" w:rsidP="00DA3205">
      <w:pPr>
        <w:rPr>
          <w:color w:val="000000"/>
          <w:szCs w:val="22"/>
          <w:lang w:val="et-EE"/>
        </w:rPr>
      </w:pPr>
    </w:p>
    <w:p w14:paraId="4D295E18" w14:textId="77777777" w:rsidR="00DA3205" w:rsidRPr="00EC3BD7" w:rsidRDefault="00DA3205" w:rsidP="009A3C30">
      <w:pPr>
        <w:keepNext/>
        <w:rPr>
          <w:color w:val="000000"/>
          <w:szCs w:val="22"/>
          <w:lang w:val="et-EE"/>
        </w:rPr>
      </w:pPr>
      <w:r w:rsidRPr="00EC3BD7">
        <w:rPr>
          <w:b/>
          <w:bCs/>
          <w:color w:val="000000"/>
          <w:szCs w:val="22"/>
          <w:lang w:val="et-EE"/>
        </w:rPr>
        <w:t>B.</w:t>
      </w:r>
      <w:r w:rsidRPr="00EC3BD7">
        <w:rPr>
          <w:b/>
          <w:bCs/>
          <w:color w:val="000000"/>
          <w:szCs w:val="22"/>
          <w:lang w:val="et-EE"/>
        </w:rPr>
        <w:tab/>
        <w:t>HANKE- JA KASUTUSTINGIMUSED VÕI PIIRANGUD</w:t>
      </w:r>
    </w:p>
    <w:p w14:paraId="470B9F3A" w14:textId="77777777" w:rsidR="00DA3205" w:rsidRPr="00EC3BD7" w:rsidRDefault="00DA3205" w:rsidP="009A3C30">
      <w:pPr>
        <w:keepNext/>
        <w:rPr>
          <w:color w:val="000000"/>
          <w:szCs w:val="22"/>
          <w:lang w:val="et-EE"/>
        </w:rPr>
      </w:pPr>
    </w:p>
    <w:p w14:paraId="23E84C1D" w14:textId="77777777" w:rsidR="00DA3205" w:rsidRPr="00EC3BD7" w:rsidRDefault="00DA3205" w:rsidP="00DA3205">
      <w:pPr>
        <w:numPr>
          <w:ilvl w:val="12"/>
          <w:numId w:val="0"/>
        </w:numPr>
        <w:rPr>
          <w:color w:val="000000"/>
          <w:szCs w:val="22"/>
          <w:lang w:val="et-EE"/>
        </w:rPr>
      </w:pPr>
      <w:r w:rsidRPr="00EC3BD7">
        <w:rPr>
          <w:color w:val="000000"/>
          <w:szCs w:val="22"/>
          <w:lang w:val="et-EE"/>
        </w:rPr>
        <w:t>Piiratud tingimustel väljastatav retseptiravim (vt I lisa: Ravimi omaduste kokkuvõte, lõik 4.2).</w:t>
      </w:r>
    </w:p>
    <w:p w14:paraId="21BCB86C" w14:textId="77777777" w:rsidR="00DA3205" w:rsidRPr="00EC3BD7" w:rsidRDefault="00DA3205" w:rsidP="00DA3205">
      <w:pPr>
        <w:numPr>
          <w:ilvl w:val="12"/>
          <w:numId w:val="0"/>
        </w:numPr>
        <w:rPr>
          <w:color w:val="000000"/>
          <w:szCs w:val="22"/>
          <w:lang w:val="et-EE"/>
        </w:rPr>
      </w:pPr>
    </w:p>
    <w:p w14:paraId="5FFBD070" w14:textId="77777777" w:rsidR="00DA3205" w:rsidRPr="00EC3BD7" w:rsidRDefault="00DA3205" w:rsidP="00DA3205">
      <w:pPr>
        <w:numPr>
          <w:ilvl w:val="12"/>
          <w:numId w:val="0"/>
        </w:numPr>
        <w:rPr>
          <w:color w:val="000000"/>
          <w:szCs w:val="22"/>
          <w:lang w:val="et-EE"/>
        </w:rPr>
      </w:pPr>
    </w:p>
    <w:p w14:paraId="5A784449" w14:textId="77777777" w:rsidR="00DA3205" w:rsidRPr="00EC3BD7" w:rsidRDefault="00DA3205" w:rsidP="009A3C30">
      <w:pPr>
        <w:keepLines/>
        <w:ind w:right="567"/>
        <w:rPr>
          <w:color w:val="000000"/>
          <w:szCs w:val="22"/>
          <w:lang w:val="et-EE"/>
        </w:rPr>
      </w:pPr>
      <w:r w:rsidRPr="00EC3BD7">
        <w:rPr>
          <w:b/>
          <w:lang w:val="et-EE"/>
        </w:rPr>
        <w:t>C.</w:t>
      </w:r>
      <w:r w:rsidRPr="00EC3BD7">
        <w:rPr>
          <w:b/>
          <w:lang w:val="et-EE"/>
        </w:rPr>
        <w:tab/>
      </w:r>
      <w:r w:rsidR="00140701" w:rsidRPr="00EC3BD7">
        <w:rPr>
          <w:b/>
          <w:lang w:val="et-EE"/>
        </w:rPr>
        <w:t xml:space="preserve">MÜÜGILOA </w:t>
      </w:r>
      <w:r w:rsidRPr="00EC3BD7">
        <w:rPr>
          <w:b/>
          <w:lang w:val="et-EE"/>
        </w:rPr>
        <w:t>MUUD TINGIMU</w:t>
      </w:r>
      <w:smartTag w:uri="urn:schemas-microsoft-com:office:smarttags" w:element="PersonName">
        <w:r w:rsidRPr="00EC3BD7">
          <w:rPr>
            <w:b/>
            <w:lang w:val="et-EE"/>
          </w:rPr>
          <w:t>SE</w:t>
        </w:r>
      </w:smartTag>
      <w:r w:rsidRPr="00EC3BD7">
        <w:rPr>
          <w:b/>
          <w:lang w:val="et-EE"/>
        </w:rPr>
        <w:t>D JA NÕUDED</w:t>
      </w:r>
    </w:p>
    <w:p w14:paraId="52E07810" w14:textId="77777777" w:rsidR="00DA3205" w:rsidRPr="00EC3BD7" w:rsidRDefault="00DA3205" w:rsidP="009A3C30">
      <w:pPr>
        <w:keepLines/>
        <w:ind w:right="-1"/>
        <w:rPr>
          <w:color w:val="000000"/>
          <w:szCs w:val="22"/>
          <w:lang w:val="et-EE"/>
        </w:rPr>
      </w:pPr>
    </w:p>
    <w:p w14:paraId="086AEBF6" w14:textId="77777777" w:rsidR="00DA3205" w:rsidRPr="00EC3BD7" w:rsidRDefault="00140701" w:rsidP="009A3C30">
      <w:pPr>
        <w:keepNext/>
        <w:keepLines/>
        <w:numPr>
          <w:ilvl w:val="0"/>
          <w:numId w:val="27"/>
        </w:numPr>
        <w:tabs>
          <w:tab w:val="clear" w:pos="567"/>
        </w:tabs>
        <w:spacing w:line="240" w:lineRule="auto"/>
        <w:ind w:left="567" w:hanging="567"/>
        <w:rPr>
          <w:i/>
          <w:color w:val="000000"/>
          <w:szCs w:val="22"/>
          <w:u w:val="single"/>
          <w:lang w:val="et-EE"/>
        </w:rPr>
      </w:pPr>
      <w:r w:rsidRPr="00EC3BD7">
        <w:rPr>
          <w:b/>
          <w:szCs w:val="24"/>
          <w:lang w:val="et-EE"/>
        </w:rPr>
        <w:t>Perioodilised ohutusaruanded</w:t>
      </w:r>
    </w:p>
    <w:p w14:paraId="08EAF04C" w14:textId="77777777" w:rsidR="00DA3205" w:rsidRPr="00EC3BD7" w:rsidRDefault="00780752" w:rsidP="00DA3205">
      <w:pPr>
        <w:spacing w:line="240" w:lineRule="auto"/>
        <w:ind w:right="-1"/>
        <w:rPr>
          <w:color w:val="000000"/>
          <w:szCs w:val="22"/>
          <w:lang w:val="et-EE"/>
        </w:rPr>
      </w:pPr>
      <w:r w:rsidRPr="00EC3BD7">
        <w:rPr>
          <w:szCs w:val="24"/>
          <w:lang w:val="et-EE" w:bidi="et-EE"/>
        </w:rPr>
        <w:t xml:space="preserve">Nõuded </w:t>
      </w:r>
      <w:r w:rsidR="00140701" w:rsidRPr="00EC3BD7">
        <w:rPr>
          <w:szCs w:val="24"/>
          <w:lang w:val="et-EE"/>
        </w:rPr>
        <w:t>asjaomase ravimi perioodilis</w:t>
      </w:r>
      <w:r w:rsidRPr="00EC3BD7">
        <w:rPr>
          <w:szCs w:val="24"/>
          <w:lang w:val="et-EE"/>
        </w:rPr>
        <w:t>te</w:t>
      </w:r>
      <w:r w:rsidR="00140701" w:rsidRPr="00EC3BD7">
        <w:rPr>
          <w:szCs w:val="24"/>
          <w:lang w:val="et-EE"/>
        </w:rPr>
        <w:t xml:space="preserve"> ohutusaruan</w:t>
      </w:r>
      <w:r w:rsidRPr="00EC3BD7">
        <w:rPr>
          <w:szCs w:val="24"/>
          <w:lang w:val="et-EE"/>
        </w:rPr>
        <w:t>nete</w:t>
      </w:r>
      <w:r w:rsidR="00140701" w:rsidRPr="00EC3BD7">
        <w:rPr>
          <w:szCs w:val="24"/>
          <w:lang w:val="et-EE"/>
        </w:rPr>
        <w:t xml:space="preserve"> </w:t>
      </w:r>
      <w:r w:rsidRPr="00EC3BD7">
        <w:rPr>
          <w:szCs w:val="24"/>
          <w:lang w:val="et-EE" w:bidi="et-EE"/>
        </w:rPr>
        <w:t xml:space="preserve">esitamiseks on sätestatud </w:t>
      </w:r>
      <w:r w:rsidR="00140701" w:rsidRPr="00EC3BD7">
        <w:rPr>
          <w:szCs w:val="24"/>
          <w:lang w:val="et-EE"/>
        </w:rPr>
        <w:t xml:space="preserve">direktiivi 2001/83/EÜ artikli 107c punkti 7 </w:t>
      </w:r>
      <w:r w:rsidRPr="00EC3BD7">
        <w:rPr>
          <w:szCs w:val="24"/>
          <w:lang w:val="et-EE" w:bidi="et-EE"/>
        </w:rPr>
        <w:t xml:space="preserve">kohaselt </w:t>
      </w:r>
      <w:r w:rsidR="00140701" w:rsidRPr="00EC3BD7">
        <w:rPr>
          <w:szCs w:val="24"/>
          <w:lang w:val="et-EE"/>
        </w:rPr>
        <w:t>liidu kontrollpäevade loetelu</w:t>
      </w:r>
      <w:r w:rsidRPr="00EC3BD7">
        <w:rPr>
          <w:szCs w:val="24"/>
          <w:lang w:val="et-EE"/>
        </w:rPr>
        <w:t>s</w:t>
      </w:r>
      <w:r w:rsidR="00140701" w:rsidRPr="00EC3BD7">
        <w:rPr>
          <w:szCs w:val="24"/>
          <w:lang w:val="et-EE"/>
        </w:rPr>
        <w:t xml:space="preserve"> (EURD loetelu) </w:t>
      </w:r>
      <w:r w:rsidRPr="00EC3BD7">
        <w:rPr>
          <w:szCs w:val="24"/>
          <w:lang w:val="et-EE" w:bidi="et-EE"/>
        </w:rPr>
        <w:t>ja iga hilisem uuendus avaldatakse Euroopa ravimite veebiportaalis</w:t>
      </w:r>
      <w:r w:rsidR="00140701" w:rsidRPr="00EC3BD7">
        <w:rPr>
          <w:i/>
          <w:szCs w:val="24"/>
          <w:lang w:val="et-EE"/>
        </w:rPr>
        <w:t>.</w:t>
      </w:r>
    </w:p>
    <w:p w14:paraId="3811425E" w14:textId="77777777" w:rsidR="00DA3205" w:rsidRPr="00EC3BD7" w:rsidRDefault="00DA3205" w:rsidP="00DA3205">
      <w:pPr>
        <w:pStyle w:val="EndnoteText"/>
        <w:widowControl w:val="0"/>
        <w:tabs>
          <w:tab w:val="clear" w:pos="567"/>
        </w:tabs>
        <w:rPr>
          <w:color w:val="000000"/>
          <w:szCs w:val="22"/>
          <w:lang w:val="et-EE"/>
        </w:rPr>
      </w:pPr>
    </w:p>
    <w:p w14:paraId="092BD0D1" w14:textId="77777777" w:rsidR="00DA3205" w:rsidRPr="00EC3BD7" w:rsidRDefault="00DA3205" w:rsidP="00DA3205">
      <w:pPr>
        <w:ind w:right="-1"/>
        <w:rPr>
          <w:color w:val="000000"/>
          <w:szCs w:val="22"/>
          <w:lang w:val="et-EE"/>
        </w:rPr>
      </w:pPr>
    </w:p>
    <w:p w14:paraId="70F68C08" w14:textId="77777777" w:rsidR="00DA3205" w:rsidRPr="00EC3BD7" w:rsidRDefault="00140701" w:rsidP="009A3C30">
      <w:pPr>
        <w:keepNext/>
        <w:tabs>
          <w:tab w:val="clear" w:pos="567"/>
        </w:tabs>
        <w:ind w:left="567" w:hanging="567"/>
        <w:rPr>
          <w:b/>
          <w:lang w:val="et-EE"/>
        </w:rPr>
      </w:pPr>
      <w:r w:rsidRPr="00EC3BD7">
        <w:rPr>
          <w:b/>
          <w:szCs w:val="24"/>
          <w:lang w:val="et-EE"/>
        </w:rPr>
        <w:t>D.</w:t>
      </w:r>
      <w:r w:rsidRPr="00EC3BD7">
        <w:rPr>
          <w:b/>
          <w:szCs w:val="24"/>
          <w:lang w:val="et-EE"/>
        </w:rPr>
        <w:tab/>
      </w:r>
      <w:r w:rsidR="00DA3205" w:rsidRPr="00EC3BD7">
        <w:rPr>
          <w:b/>
          <w:lang w:val="et-EE"/>
        </w:rPr>
        <w:t>RAVIMPREPARAADI O</w:t>
      </w:r>
      <w:smartTag w:uri="urn:schemas-microsoft-com:office:smarttags" w:element="PersonName">
        <w:r w:rsidR="00DA3205" w:rsidRPr="00EC3BD7">
          <w:rPr>
            <w:b/>
            <w:lang w:val="et-EE"/>
          </w:rPr>
          <w:t>HU</w:t>
        </w:r>
      </w:smartTag>
      <w:r w:rsidR="00DA3205" w:rsidRPr="00EC3BD7">
        <w:rPr>
          <w:b/>
          <w:lang w:val="et-EE"/>
        </w:rPr>
        <w:t>TU JA EFEKTIIV</w:t>
      </w:r>
      <w:smartTag w:uri="urn:schemas-microsoft-com:office:smarttags" w:element="PersonName">
        <w:r w:rsidR="00DA3205" w:rsidRPr="00EC3BD7">
          <w:rPr>
            <w:b/>
            <w:lang w:val="et-EE"/>
          </w:rPr>
          <w:t>SE</w:t>
        </w:r>
      </w:smartTag>
      <w:r w:rsidR="00DA3205" w:rsidRPr="00EC3BD7">
        <w:rPr>
          <w:b/>
          <w:lang w:val="et-EE"/>
        </w:rPr>
        <w:t xml:space="preserve"> KASUTAM</w:t>
      </w:r>
      <w:smartTag w:uri="urn:schemas-microsoft-com:office:smarttags" w:element="PersonName">
        <w:r w:rsidR="00DA3205" w:rsidRPr="00EC3BD7">
          <w:rPr>
            <w:b/>
            <w:lang w:val="et-EE"/>
          </w:rPr>
          <w:t>I</w:t>
        </w:r>
        <w:smartTag w:uri="urn:schemas-microsoft-com:office:smarttags" w:element="PersonName">
          <w:r w:rsidR="00DA3205" w:rsidRPr="00EC3BD7">
            <w:rPr>
              <w:b/>
              <w:lang w:val="et-EE"/>
            </w:rPr>
            <w:t>S</w:t>
          </w:r>
        </w:smartTag>
      </w:smartTag>
      <w:r w:rsidR="00DA3205" w:rsidRPr="00EC3BD7">
        <w:rPr>
          <w:b/>
          <w:lang w:val="et-EE"/>
        </w:rPr>
        <w:t>E TINGIMU</w:t>
      </w:r>
      <w:smartTag w:uri="urn:schemas-microsoft-com:office:smarttags" w:element="PersonName">
        <w:r w:rsidR="00DA3205" w:rsidRPr="00EC3BD7">
          <w:rPr>
            <w:b/>
            <w:lang w:val="et-EE"/>
          </w:rPr>
          <w:t>SE</w:t>
        </w:r>
      </w:smartTag>
      <w:r w:rsidR="00DA3205" w:rsidRPr="00EC3BD7">
        <w:rPr>
          <w:b/>
          <w:lang w:val="et-EE"/>
        </w:rPr>
        <w:t>D JA PIIRANGUD</w:t>
      </w:r>
    </w:p>
    <w:p w14:paraId="3D671242" w14:textId="77777777" w:rsidR="004F23FD" w:rsidRPr="00EC3BD7" w:rsidRDefault="004F23FD" w:rsidP="009A3C30">
      <w:pPr>
        <w:keepNext/>
        <w:tabs>
          <w:tab w:val="clear" w:pos="567"/>
        </w:tabs>
        <w:rPr>
          <w:iCs/>
          <w:color w:val="000000"/>
          <w:szCs w:val="22"/>
          <w:lang w:val="et-EE"/>
        </w:rPr>
      </w:pPr>
    </w:p>
    <w:p w14:paraId="3634317D" w14:textId="77777777" w:rsidR="00140701" w:rsidRPr="00EC3BD7" w:rsidRDefault="00140701" w:rsidP="009A3C30">
      <w:pPr>
        <w:keepNext/>
        <w:numPr>
          <w:ilvl w:val="0"/>
          <w:numId w:val="26"/>
        </w:numPr>
        <w:ind w:hanging="720"/>
        <w:rPr>
          <w:b/>
          <w:szCs w:val="24"/>
          <w:lang w:val="et-EE"/>
        </w:rPr>
      </w:pPr>
      <w:r w:rsidRPr="00EC3BD7">
        <w:rPr>
          <w:b/>
          <w:szCs w:val="24"/>
          <w:lang w:val="et-EE"/>
        </w:rPr>
        <w:t>Riskijuhtimiskava</w:t>
      </w:r>
    </w:p>
    <w:p w14:paraId="0B5B5524" w14:textId="77777777" w:rsidR="00140701" w:rsidRPr="00EC3BD7" w:rsidRDefault="00140701" w:rsidP="009A3C30">
      <w:pPr>
        <w:tabs>
          <w:tab w:val="left" w:pos="0"/>
        </w:tabs>
        <w:spacing w:line="240" w:lineRule="auto"/>
        <w:ind w:right="567"/>
        <w:rPr>
          <w:szCs w:val="24"/>
          <w:lang w:val="et-EE"/>
        </w:rPr>
      </w:pPr>
      <w:r w:rsidRPr="00EC3BD7">
        <w:rPr>
          <w:szCs w:val="24"/>
          <w:lang w:val="et-EE"/>
        </w:rPr>
        <w:t xml:space="preserve">Müügiloa hoidja peab nõutavad ravimiohutuse toimingud ja sekkumismeetmed läbi viima vastavalt müügiloa </w:t>
      </w:r>
      <w:r w:rsidR="004F23FD" w:rsidRPr="00EC3BD7">
        <w:rPr>
          <w:szCs w:val="24"/>
          <w:lang w:val="et-EE"/>
        </w:rPr>
        <w:t>m</w:t>
      </w:r>
      <w:r w:rsidRPr="00EC3BD7">
        <w:rPr>
          <w:color w:val="000000"/>
          <w:szCs w:val="24"/>
          <w:lang w:val="et-EE"/>
        </w:rPr>
        <w:t>oodulis 1.8.2 esitatud kokkulepitud riskijuhtimiskavale ja mis tahes järgmistele ajakohastatud riskijuhtimiskavadele.</w:t>
      </w:r>
    </w:p>
    <w:p w14:paraId="49DDF98E" w14:textId="77777777" w:rsidR="00140701" w:rsidRPr="00EC3BD7" w:rsidRDefault="00140701" w:rsidP="009A3C30">
      <w:pPr>
        <w:spacing w:line="240" w:lineRule="auto"/>
        <w:rPr>
          <w:color w:val="000000"/>
          <w:szCs w:val="24"/>
          <w:lang w:val="et-EE"/>
        </w:rPr>
      </w:pPr>
    </w:p>
    <w:p w14:paraId="63BB8E42" w14:textId="77777777" w:rsidR="00140701" w:rsidRPr="00EC3BD7" w:rsidRDefault="00140701" w:rsidP="009A3C30">
      <w:pPr>
        <w:spacing w:line="240" w:lineRule="auto"/>
        <w:ind w:right="-1"/>
        <w:rPr>
          <w:i/>
          <w:szCs w:val="24"/>
          <w:lang w:val="et-EE"/>
        </w:rPr>
      </w:pPr>
      <w:r w:rsidRPr="00EC3BD7">
        <w:rPr>
          <w:szCs w:val="24"/>
          <w:lang w:val="et-EE"/>
        </w:rPr>
        <w:t>Ajakohastatud riskijuhtimiskava tuleb esitada:</w:t>
      </w:r>
    </w:p>
    <w:p w14:paraId="2D4D535E" w14:textId="77777777" w:rsidR="00140701" w:rsidRPr="00EC3BD7" w:rsidRDefault="00140701" w:rsidP="009A3C30">
      <w:pPr>
        <w:numPr>
          <w:ilvl w:val="0"/>
          <w:numId w:val="15"/>
        </w:numPr>
        <w:tabs>
          <w:tab w:val="clear" w:pos="567"/>
          <w:tab w:val="clear" w:pos="720"/>
        </w:tabs>
        <w:spacing w:line="240" w:lineRule="auto"/>
        <w:ind w:left="567" w:right="-1" w:hanging="567"/>
        <w:rPr>
          <w:i/>
          <w:szCs w:val="24"/>
          <w:lang w:val="et-EE"/>
        </w:rPr>
      </w:pPr>
      <w:r w:rsidRPr="00EC3BD7">
        <w:rPr>
          <w:color w:val="000000"/>
          <w:szCs w:val="24"/>
          <w:lang w:val="et-EE"/>
        </w:rPr>
        <w:t>Euroopa Ravimiameti nõudel;</w:t>
      </w:r>
    </w:p>
    <w:p w14:paraId="0A840B61" w14:textId="77777777" w:rsidR="00140701" w:rsidRPr="00EC3BD7" w:rsidRDefault="00140701" w:rsidP="009A3C30">
      <w:pPr>
        <w:numPr>
          <w:ilvl w:val="0"/>
          <w:numId w:val="15"/>
        </w:numPr>
        <w:tabs>
          <w:tab w:val="clear" w:pos="567"/>
          <w:tab w:val="clear" w:pos="720"/>
        </w:tabs>
        <w:spacing w:line="240" w:lineRule="auto"/>
        <w:ind w:left="567" w:right="-1" w:hanging="567"/>
        <w:rPr>
          <w:szCs w:val="24"/>
          <w:lang w:val="et-EE"/>
        </w:rPr>
      </w:pPr>
      <w:r w:rsidRPr="00EC3BD7">
        <w:rPr>
          <w:color w:val="000000"/>
          <w:szCs w:val="24"/>
          <w:lang w:val="et-EE"/>
        </w:rPr>
        <w:t xml:space="preserve">kui muudetakse riskijuhtimissüsteemi, eriti kui saadakse uut teavet, mis võib oluliselt mõjutada </w:t>
      </w:r>
      <w:r w:rsidRPr="00EC3BD7">
        <w:rPr>
          <w:szCs w:val="24"/>
          <w:lang w:val="et-EE"/>
        </w:rPr>
        <w:t>riski/kasu suhet, või kui saavutatakse oluline (ravimiohutuse või riski minimeerimise) eesmärk.</w:t>
      </w:r>
    </w:p>
    <w:p w14:paraId="06B52DA2" w14:textId="77777777" w:rsidR="00DA3205" w:rsidRPr="00EC3BD7" w:rsidRDefault="00DA3205" w:rsidP="009A3C30">
      <w:pPr>
        <w:tabs>
          <w:tab w:val="clear" w:pos="567"/>
        </w:tabs>
        <w:ind w:right="-1"/>
        <w:rPr>
          <w:iCs/>
          <w:color w:val="000000"/>
          <w:szCs w:val="22"/>
          <w:lang w:val="et-EE"/>
        </w:rPr>
      </w:pPr>
    </w:p>
    <w:p w14:paraId="6FA44577" w14:textId="77777777" w:rsidR="00D4169A" w:rsidRPr="00EC3BD7" w:rsidRDefault="00D4169A" w:rsidP="009A3C30">
      <w:pPr>
        <w:keepNext/>
        <w:numPr>
          <w:ilvl w:val="0"/>
          <w:numId w:val="26"/>
        </w:numPr>
        <w:ind w:hanging="720"/>
        <w:rPr>
          <w:b/>
          <w:szCs w:val="24"/>
          <w:lang w:val="et-EE"/>
        </w:rPr>
      </w:pPr>
      <w:r w:rsidRPr="00EC3BD7">
        <w:rPr>
          <w:b/>
          <w:szCs w:val="24"/>
          <w:lang w:val="et-EE"/>
        </w:rPr>
        <w:lastRenderedPageBreak/>
        <w:t>Müügiloajärgsed kohustused</w:t>
      </w:r>
    </w:p>
    <w:p w14:paraId="0C09C71E" w14:textId="77777777" w:rsidR="00D4169A" w:rsidRPr="00EC3BD7" w:rsidRDefault="00D4169A" w:rsidP="009A3C30">
      <w:pPr>
        <w:keepNext/>
        <w:rPr>
          <w:szCs w:val="24"/>
          <w:lang w:val="et-EE"/>
        </w:rPr>
      </w:pPr>
    </w:p>
    <w:p w14:paraId="6E287820" w14:textId="77777777" w:rsidR="00D4169A" w:rsidRPr="00EC3BD7" w:rsidRDefault="00D4169A" w:rsidP="009A3C30">
      <w:pPr>
        <w:keepNext/>
        <w:rPr>
          <w:color w:val="000000"/>
          <w:szCs w:val="24"/>
          <w:lang w:val="et-EE"/>
        </w:rPr>
      </w:pPr>
      <w:r w:rsidRPr="00EC3BD7">
        <w:rPr>
          <w:szCs w:val="24"/>
          <w:lang w:val="et-EE"/>
        </w:rPr>
        <w:t>Müügiloa hoidja rakendab ettenähtud aja jooksul järgmisi meetmeid:</w:t>
      </w:r>
    </w:p>
    <w:p w14:paraId="2195669A" w14:textId="77777777" w:rsidR="00D4169A" w:rsidRPr="00EC3BD7" w:rsidRDefault="00D4169A" w:rsidP="009A3C30">
      <w:pPr>
        <w:keepNext/>
        <w:rPr>
          <w:i/>
          <w:szCs w:val="24"/>
          <w:lang w:val="et-EE"/>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25"/>
        <w:gridCol w:w="1455"/>
      </w:tblGrid>
      <w:tr w:rsidR="00D4169A" w:rsidRPr="00EC3BD7" w14:paraId="65D96664" w14:textId="77777777" w:rsidTr="009A3C30">
        <w:trPr>
          <w:cantSplit/>
        </w:trPr>
        <w:tc>
          <w:tcPr>
            <w:tcW w:w="4181" w:type="pct"/>
          </w:tcPr>
          <w:p w14:paraId="7B8DE8E6" w14:textId="77777777" w:rsidR="00D4169A" w:rsidRPr="00EC3BD7" w:rsidRDefault="00D4169A" w:rsidP="009A3C30">
            <w:pPr>
              <w:keepNext/>
              <w:rPr>
                <w:b/>
                <w:szCs w:val="24"/>
                <w:lang w:val="et-EE"/>
              </w:rPr>
            </w:pPr>
            <w:r w:rsidRPr="00EC3BD7">
              <w:rPr>
                <w:b/>
                <w:szCs w:val="24"/>
                <w:lang w:val="et-EE"/>
              </w:rPr>
              <w:t>Kirjeldus</w:t>
            </w:r>
          </w:p>
        </w:tc>
        <w:tc>
          <w:tcPr>
            <w:tcW w:w="819" w:type="pct"/>
          </w:tcPr>
          <w:p w14:paraId="0E2CC049" w14:textId="77777777" w:rsidR="00D4169A" w:rsidRPr="00EC3BD7" w:rsidRDefault="00D4169A" w:rsidP="009A3C30">
            <w:pPr>
              <w:keepNext/>
              <w:rPr>
                <w:b/>
                <w:szCs w:val="24"/>
                <w:lang w:val="et-EE"/>
              </w:rPr>
            </w:pPr>
            <w:r w:rsidRPr="00EC3BD7">
              <w:rPr>
                <w:b/>
                <w:szCs w:val="24"/>
                <w:lang w:val="et-EE"/>
              </w:rPr>
              <w:t>Kuupäev</w:t>
            </w:r>
          </w:p>
        </w:tc>
      </w:tr>
      <w:tr w:rsidR="00D4169A" w:rsidRPr="00EC3BD7" w14:paraId="72426E11" w14:textId="77777777" w:rsidTr="009A3C30">
        <w:trPr>
          <w:cantSplit/>
        </w:trPr>
        <w:tc>
          <w:tcPr>
            <w:tcW w:w="4181" w:type="pct"/>
          </w:tcPr>
          <w:p w14:paraId="6039FB2B" w14:textId="77777777" w:rsidR="00D4169A" w:rsidRPr="00EC3BD7" w:rsidRDefault="00542765" w:rsidP="009A3C30">
            <w:pPr>
              <w:ind w:right="-1"/>
              <w:rPr>
                <w:szCs w:val="24"/>
                <w:lang w:val="et-EE"/>
              </w:rPr>
            </w:pPr>
            <w:r w:rsidRPr="00EC3BD7">
              <w:rPr>
                <w:lang w:val="et-EE"/>
              </w:rPr>
              <w:t>Vaatlusandmete põhjal tuleb luua</w:t>
            </w:r>
            <w:r w:rsidR="00126274" w:rsidRPr="00EC3BD7">
              <w:rPr>
                <w:lang w:val="et-EE"/>
              </w:rPr>
              <w:t xml:space="preserve"> </w:t>
            </w:r>
            <w:r w:rsidR="00474A1F" w:rsidRPr="00EC3BD7">
              <w:rPr>
                <w:lang w:val="et-EE"/>
              </w:rPr>
              <w:t>regist</w:t>
            </w:r>
            <w:r w:rsidR="003E6948" w:rsidRPr="00EC3BD7">
              <w:rPr>
                <w:lang w:val="et-EE"/>
              </w:rPr>
              <w:t>e</w:t>
            </w:r>
            <w:r w:rsidR="00315743" w:rsidRPr="00EC3BD7">
              <w:rPr>
                <w:lang w:val="et-EE"/>
              </w:rPr>
              <w:t>r</w:t>
            </w:r>
            <w:r w:rsidR="00126274" w:rsidRPr="00EC3BD7">
              <w:rPr>
                <w:lang w:val="et-EE"/>
              </w:rPr>
              <w:t>,</w:t>
            </w:r>
            <w:r w:rsidR="00A00695" w:rsidRPr="00EC3BD7">
              <w:rPr>
                <w:lang w:val="et-EE"/>
              </w:rPr>
              <w:t xml:space="preserve"> kuhu kogutakse </w:t>
            </w:r>
            <w:r w:rsidR="003E6948" w:rsidRPr="00EC3BD7">
              <w:rPr>
                <w:lang w:val="et-EE"/>
              </w:rPr>
              <w:t xml:space="preserve">andmeid </w:t>
            </w:r>
            <w:r w:rsidR="00474A1F" w:rsidRPr="00EC3BD7">
              <w:rPr>
                <w:lang w:val="et-EE"/>
              </w:rPr>
              <w:t xml:space="preserve">efektiivsuse ja ohutuse </w:t>
            </w:r>
            <w:r w:rsidR="003E6948" w:rsidRPr="00EC3BD7">
              <w:rPr>
                <w:lang w:val="et-EE"/>
              </w:rPr>
              <w:t>kohta</w:t>
            </w:r>
            <w:r w:rsidR="00E8007A" w:rsidRPr="00EC3BD7">
              <w:rPr>
                <w:lang w:val="et-EE"/>
              </w:rPr>
              <w:t xml:space="preserve"> </w:t>
            </w:r>
            <w:r w:rsidR="00A127FD" w:rsidRPr="00EC3BD7">
              <w:rPr>
                <w:lang w:val="et-EE"/>
              </w:rPr>
              <w:t>laps</w:t>
            </w:r>
            <w:r w:rsidR="003E6948" w:rsidRPr="00EC3BD7">
              <w:rPr>
                <w:lang w:val="et-EE"/>
              </w:rPr>
              <w:t>patsientidel</w:t>
            </w:r>
            <w:r w:rsidR="00E8007A" w:rsidRPr="00EC3BD7">
              <w:rPr>
                <w:lang w:val="et-EE"/>
              </w:rPr>
              <w:t xml:space="preserve">, kellel on </w:t>
            </w:r>
            <w:r w:rsidR="00C120C9" w:rsidRPr="00EC3BD7">
              <w:rPr>
                <w:lang w:val="et-EE"/>
              </w:rPr>
              <w:t xml:space="preserve">äsja diagnoositud </w:t>
            </w:r>
            <w:r w:rsidR="00197E1F" w:rsidRPr="00EC3BD7">
              <w:rPr>
                <w:lang w:val="et-EE"/>
              </w:rPr>
              <w:t>P</w:t>
            </w:r>
            <w:r w:rsidR="00EA6EB6" w:rsidRPr="00EC3BD7">
              <w:rPr>
                <w:lang w:val="et-EE"/>
              </w:rPr>
              <w:t>h+</w:t>
            </w:r>
            <w:r w:rsidR="00C120C9" w:rsidRPr="00EC3BD7">
              <w:rPr>
                <w:lang w:val="et-EE"/>
              </w:rPr>
              <w:t xml:space="preserve"> akuut</w:t>
            </w:r>
            <w:r w:rsidR="00197E1F" w:rsidRPr="00EC3BD7">
              <w:rPr>
                <w:lang w:val="et-EE"/>
              </w:rPr>
              <w:t>ne</w:t>
            </w:r>
            <w:r w:rsidR="00315743" w:rsidRPr="00EC3BD7">
              <w:rPr>
                <w:lang w:val="et-EE"/>
              </w:rPr>
              <w:t xml:space="preserve"> lümfoblast</w:t>
            </w:r>
            <w:r w:rsidR="00197E1F" w:rsidRPr="00EC3BD7">
              <w:rPr>
                <w:lang w:val="et-EE"/>
              </w:rPr>
              <w:t>ne</w:t>
            </w:r>
            <w:r w:rsidR="00E8007A" w:rsidRPr="00EC3BD7">
              <w:rPr>
                <w:lang w:val="et-EE"/>
              </w:rPr>
              <w:t xml:space="preserve"> leukeemia (ALL) ning kes saavad kemoteraapiat +</w:t>
            </w:r>
            <w:r w:rsidR="00315743" w:rsidRPr="00EC3BD7">
              <w:rPr>
                <w:lang w:val="et-EE"/>
              </w:rPr>
              <w:t xml:space="preserve"> </w:t>
            </w:r>
            <w:r w:rsidR="00E8007A" w:rsidRPr="00EC3BD7">
              <w:rPr>
                <w:lang w:val="et-EE"/>
              </w:rPr>
              <w:t xml:space="preserve">imatiniibi </w:t>
            </w:r>
            <w:r w:rsidR="002F1371" w:rsidRPr="00EC3BD7">
              <w:rPr>
                <w:lang w:val="et-EE"/>
              </w:rPr>
              <w:t>±</w:t>
            </w:r>
            <w:r w:rsidR="00315743" w:rsidRPr="00EC3BD7">
              <w:rPr>
                <w:lang w:val="et-EE"/>
              </w:rPr>
              <w:t xml:space="preserve"> </w:t>
            </w:r>
            <w:r w:rsidR="00E8007A" w:rsidRPr="00EC3BD7">
              <w:rPr>
                <w:lang w:val="et-EE"/>
              </w:rPr>
              <w:t>HSCT</w:t>
            </w:r>
            <w:r w:rsidR="00B62F13" w:rsidRPr="00EC3BD7">
              <w:rPr>
                <w:lang w:val="et-EE"/>
              </w:rPr>
              <w:t xml:space="preserve"> (vereloome tüvirakkude </w:t>
            </w:r>
            <w:r w:rsidR="00A127FD" w:rsidRPr="00EC3BD7">
              <w:rPr>
                <w:lang w:val="et-EE"/>
              </w:rPr>
              <w:t>siirdamine</w:t>
            </w:r>
            <w:r w:rsidR="00B62F13" w:rsidRPr="00EC3BD7">
              <w:rPr>
                <w:lang w:val="et-EE"/>
              </w:rPr>
              <w:t>)</w:t>
            </w:r>
            <w:r w:rsidR="00E8007A" w:rsidRPr="00EC3BD7">
              <w:rPr>
                <w:lang w:val="et-EE"/>
              </w:rPr>
              <w:t>.</w:t>
            </w:r>
            <w:r w:rsidR="00474A1F" w:rsidRPr="00EC3BD7">
              <w:rPr>
                <w:lang w:val="et-EE"/>
              </w:rPr>
              <w:t xml:space="preserve"> </w:t>
            </w:r>
            <w:r w:rsidR="000415F9" w:rsidRPr="00EC3BD7">
              <w:rPr>
                <w:lang w:val="et-EE"/>
              </w:rPr>
              <w:t>Esitada tuleb</w:t>
            </w:r>
            <w:r w:rsidR="00430470" w:rsidRPr="00EC3BD7">
              <w:rPr>
                <w:lang w:val="et-EE"/>
              </w:rPr>
              <w:t xml:space="preserve"> v</w:t>
            </w:r>
            <w:r w:rsidR="00474A1F" w:rsidRPr="00EC3BD7">
              <w:rPr>
                <w:lang w:val="et-EE"/>
              </w:rPr>
              <w:t>iima</w:t>
            </w:r>
            <w:r w:rsidR="00A127FD" w:rsidRPr="00EC3BD7">
              <w:rPr>
                <w:lang w:val="et-EE"/>
              </w:rPr>
              <w:t>s</w:t>
            </w:r>
            <w:r w:rsidR="00474A1F" w:rsidRPr="00EC3BD7">
              <w:rPr>
                <w:lang w:val="et-EE"/>
              </w:rPr>
              <w:t>e uuringu raport</w:t>
            </w:r>
            <w:r w:rsidR="00D4169A" w:rsidRPr="00EC3BD7">
              <w:rPr>
                <w:lang w:val="et-EE"/>
              </w:rPr>
              <w:t>.</w:t>
            </w:r>
          </w:p>
        </w:tc>
        <w:tc>
          <w:tcPr>
            <w:tcW w:w="819" w:type="pct"/>
          </w:tcPr>
          <w:p w14:paraId="2B658F97" w14:textId="09AC0948" w:rsidR="00D4169A" w:rsidRPr="00EC3BD7" w:rsidRDefault="00983F55" w:rsidP="00983F55">
            <w:pPr>
              <w:ind w:right="-1"/>
              <w:rPr>
                <w:szCs w:val="24"/>
                <w:lang w:val="et-EE"/>
              </w:rPr>
            </w:pPr>
            <w:r>
              <w:rPr>
                <w:lang w:val="et-EE"/>
              </w:rPr>
              <w:t>2</w:t>
            </w:r>
            <w:r w:rsidR="00434F79" w:rsidRPr="00EC3BD7">
              <w:rPr>
                <w:lang w:val="et-EE"/>
              </w:rPr>
              <w:t>3/06/202</w:t>
            </w:r>
            <w:r w:rsidR="008341DB">
              <w:rPr>
                <w:lang w:val="et-EE"/>
              </w:rPr>
              <w:t>3</w:t>
            </w:r>
          </w:p>
        </w:tc>
      </w:tr>
    </w:tbl>
    <w:p w14:paraId="798576B0" w14:textId="77777777" w:rsidR="00DA3205" w:rsidRPr="00EC3BD7" w:rsidRDefault="00DA3205" w:rsidP="00DA3205">
      <w:pPr>
        <w:ind w:right="-1"/>
        <w:rPr>
          <w:color w:val="000000"/>
          <w:szCs w:val="22"/>
          <w:lang w:val="et-EE"/>
        </w:rPr>
      </w:pPr>
      <w:r w:rsidRPr="00EC3BD7">
        <w:rPr>
          <w:color w:val="000000"/>
          <w:szCs w:val="22"/>
          <w:lang w:val="et-EE"/>
        </w:rPr>
        <w:br w:type="page"/>
      </w:r>
    </w:p>
    <w:p w14:paraId="1027292A" w14:textId="77777777" w:rsidR="00DA3205" w:rsidRPr="00EC3BD7" w:rsidRDefault="00DA3205" w:rsidP="00DA3205">
      <w:pPr>
        <w:widowControl w:val="0"/>
        <w:tabs>
          <w:tab w:val="clear" w:pos="567"/>
        </w:tabs>
        <w:spacing w:line="240" w:lineRule="auto"/>
        <w:ind w:left="567" w:hanging="567"/>
        <w:rPr>
          <w:color w:val="000000"/>
          <w:szCs w:val="22"/>
          <w:lang w:val="et-EE"/>
        </w:rPr>
      </w:pPr>
    </w:p>
    <w:p w14:paraId="4962E109" w14:textId="77777777" w:rsidR="00DA3205" w:rsidRPr="00EC3BD7" w:rsidRDefault="00DA3205" w:rsidP="00DA3205">
      <w:pPr>
        <w:widowControl w:val="0"/>
        <w:tabs>
          <w:tab w:val="clear" w:pos="567"/>
        </w:tabs>
        <w:spacing w:line="240" w:lineRule="auto"/>
        <w:ind w:left="567" w:hanging="567"/>
        <w:rPr>
          <w:color w:val="000000"/>
          <w:szCs w:val="22"/>
          <w:lang w:val="et-EE"/>
        </w:rPr>
      </w:pPr>
    </w:p>
    <w:p w14:paraId="715FF99F" w14:textId="77777777" w:rsidR="00DA3205" w:rsidRPr="00EC3BD7" w:rsidRDefault="00DA3205" w:rsidP="00DA3205">
      <w:pPr>
        <w:widowControl w:val="0"/>
        <w:tabs>
          <w:tab w:val="clear" w:pos="567"/>
        </w:tabs>
        <w:spacing w:line="240" w:lineRule="auto"/>
        <w:ind w:right="566"/>
        <w:rPr>
          <w:color w:val="000000"/>
          <w:szCs w:val="22"/>
          <w:lang w:val="et-EE"/>
        </w:rPr>
      </w:pPr>
    </w:p>
    <w:p w14:paraId="09F8436C" w14:textId="77777777" w:rsidR="00DA3205" w:rsidRPr="00EC3BD7" w:rsidRDefault="00DA3205" w:rsidP="00DA3205">
      <w:pPr>
        <w:widowControl w:val="0"/>
        <w:tabs>
          <w:tab w:val="clear" w:pos="567"/>
        </w:tabs>
        <w:spacing w:line="240" w:lineRule="auto"/>
        <w:rPr>
          <w:color w:val="000000"/>
          <w:szCs w:val="22"/>
          <w:lang w:val="et-EE"/>
        </w:rPr>
      </w:pPr>
    </w:p>
    <w:p w14:paraId="143F470D" w14:textId="77777777" w:rsidR="00DA3205" w:rsidRPr="00EC3BD7" w:rsidRDefault="00DA3205" w:rsidP="00DA3205">
      <w:pPr>
        <w:widowControl w:val="0"/>
        <w:tabs>
          <w:tab w:val="clear" w:pos="567"/>
        </w:tabs>
        <w:spacing w:line="240" w:lineRule="auto"/>
        <w:rPr>
          <w:color w:val="000000"/>
          <w:szCs w:val="22"/>
          <w:lang w:val="et-EE"/>
        </w:rPr>
      </w:pPr>
    </w:p>
    <w:p w14:paraId="5A9575C5" w14:textId="77777777" w:rsidR="00DA3205" w:rsidRPr="00EC3BD7" w:rsidRDefault="00DA3205" w:rsidP="00DA3205">
      <w:pPr>
        <w:widowControl w:val="0"/>
        <w:tabs>
          <w:tab w:val="clear" w:pos="567"/>
        </w:tabs>
        <w:spacing w:line="240" w:lineRule="auto"/>
        <w:rPr>
          <w:color w:val="000000"/>
          <w:szCs w:val="22"/>
          <w:lang w:val="et-EE"/>
        </w:rPr>
      </w:pPr>
    </w:p>
    <w:p w14:paraId="32D3DB50" w14:textId="77777777" w:rsidR="00DA3205" w:rsidRPr="00EC3BD7" w:rsidRDefault="00DA3205" w:rsidP="00DA3205">
      <w:pPr>
        <w:widowControl w:val="0"/>
        <w:tabs>
          <w:tab w:val="clear" w:pos="567"/>
        </w:tabs>
        <w:spacing w:line="240" w:lineRule="auto"/>
        <w:rPr>
          <w:color w:val="000000"/>
          <w:szCs w:val="22"/>
          <w:lang w:val="et-EE"/>
        </w:rPr>
      </w:pPr>
    </w:p>
    <w:p w14:paraId="04915040" w14:textId="77777777" w:rsidR="00DA3205" w:rsidRPr="00EC3BD7" w:rsidRDefault="00DA3205" w:rsidP="00DA3205">
      <w:pPr>
        <w:widowControl w:val="0"/>
        <w:tabs>
          <w:tab w:val="clear" w:pos="567"/>
        </w:tabs>
        <w:spacing w:line="240" w:lineRule="auto"/>
        <w:rPr>
          <w:color w:val="000000"/>
          <w:szCs w:val="22"/>
          <w:lang w:val="et-EE"/>
        </w:rPr>
      </w:pPr>
    </w:p>
    <w:p w14:paraId="55C065F7" w14:textId="77777777" w:rsidR="00DA3205" w:rsidRPr="00EC3BD7" w:rsidRDefault="00DA3205" w:rsidP="00DA3205">
      <w:pPr>
        <w:widowControl w:val="0"/>
        <w:tabs>
          <w:tab w:val="clear" w:pos="567"/>
        </w:tabs>
        <w:spacing w:line="240" w:lineRule="auto"/>
        <w:rPr>
          <w:color w:val="000000"/>
          <w:szCs w:val="22"/>
          <w:lang w:val="et-EE"/>
        </w:rPr>
      </w:pPr>
    </w:p>
    <w:p w14:paraId="51148FD8" w14:textId="77777777" w:rsidR="00DA3205" w:rsidRPr="00EC3BD7" w:rsidRDefault="00DA3205" w:rsidP="00DA3205">
      <w:pPr>
        <w:widowControl w:val="0"/>
        <w:tabs>
          <w:tab w:val="clear" w:pos="567"/>
        </w:tabs>
        <w:spacing w:line="240" w:lineRule="auto"/>
        <w:rPr>
          <w:color w:val="000000"/>
          <w:szCs w:val="22"/>
          <w:lang w:val="et-EE"/>
        </w:rPr>
      </w:pPr>
    </w:p>
    <w:p w14:paraId="1CDF2684" w14:textId="77777777" w:rsidR="00DA3205" w:rsidRPr="00EC3BD7" w:rsidRDefault="00DA3205" w:rsidP="00DA3205">
      <w:pPr>
        <w:widowControl w:val="0"/>
        <w:tabs>
          <w:tab w:val="clear" w:pos="567"/>
        </w:tabs>
        <w:spacing w:line="240" w:lineRule="auto"/>
        <w:rPr>
          <w:color w:val="000000"/>
          <w:szCs w:val="22"/>
          <w:lang w:val="et-EE"/>
        </w:rPr>
      </w:pPr>
    </w:p>
    <w:p w14:paraId="37D54FA6" w14:textId="77777777" w:rsidR="00DA3205" w:rsidRPr="00EC3BD7" w:rsidRDefault="00DA3205" w:rsidP="00DA3205">
      <w:pPr>
        <w:widowControl w:val="0"/>
        <w:tabs>
          <w:tab w:val="clear" w:pos="567"/>
        </w:tabs>
        <w:spacing w:line="240" w:lineRule="auto"/>
        <w:rPr>
          <w:color w:val="000000"/>
          <w:szCs w:val="22"/>
          <w:lang w:val="et-EE"/>
        </w:rPr>
      </w:pPr>
    </w:p>
    <w:p w14:paraId="0D5D67E7" w14:textId="77777777" w:rsidR="00DA3205" w:rsidRPr="00EC3BD7" w:rsidRDefault="00DA3205" w:rsidP="00DA3205">
      <w:pPr>
        <w:widowControl w:val="0"/>
        <w:tabs>
          <w:tab w:val="clear" w:pos="567"/>
        </w:tabs>
        <w:spacing w:line="240" w:lineRule="auto"/>
        <w:rPr>
          <w:color w:val="000000"/>
          <w:szCs w:val="22"/>
          <w:lang w:val="et-EE"/>
        </w:rPr>
      </w:pPr>
    </w:p>
    <w:p w14:paraId="5367BF2A" w14:textId="77777777" w:rsidR="00DA3205" w:rsidRPr="00EC3BD7" w:rsidRDefault="00DA3205" w:rsidP="00DA3205">
      <w:pPr>
        <w:widowControl w:val="0"/>
        <w:tabs>
          <w:tab w:val="clear" w:pos="567"/>
        </w:tabs>
        <w:spacing w:line="240" w:lineRule="auto"/>
        <w:rPr>
          <w:color w:val="000000"/>
          <w:szCs w:val="22"/>
          <w:lang w:val="et-EE"/>
        </w:rPr>
      </w:pPr>
    </w:p>
    <w:p w14:paraId="4E1D9B94" w14:textId="77777777" w:rsidR="00DA3205" w:rsidRPr="00EC3BD7" w:rsidRDefault="00DA3205" w:rsidP="00DA3205">
      <w:pPr>
        <w:widowControl w:val="0"/>
        <w:tabs>
          <w:tab w:val="clear" w:pos="567"/>
        </w:tabs>
        <w:spacing w:line="240" w:lineRule="auto"/>
        <w:rPr>
          <w:color w:val="000000"/>
          <w:szCs w:val="22"/>
          <w:lang w:val="et-EE"/>
        </w:rPr>
      </w:pPr>
    </w:p>
    <w:p w14:paraId="60E65721" w14:textId="77777777" w:rsidR="00DA3205" w:rsidRPr="00EC3BD7" w:rsidRDefault="00DA3205" w:rsidP="00DA3205">
      <w:pPr>
        <w:widowControl w:val="0"/>
        <w:tabs>
          <w:tab w:val="clear" w:pos="567"/>
        </w:tabs>
        <w:spacing w:line="240" w:lineRule="auto"/>
        <w:rPr>
          <w:color w:val="000000"/>
          <w:szCs w:val="22"/>
          <w:lang w:val="et-EE"/>
        </w:rPr>
      </w:pPr>
    </w:p>
    <w:p w14:paraId="7FA96912" w14:textId="77777777" w:rsidR="00DA3205" w:rsidRPr="00EC3BD7" w:rsidRDefault="00DA3205" w:rsidP="00DA3205">
      <w:pPr>
        <w:widowControl w:val="0"/>
        <w:tabs>
          <w:tab w:val="clear" w:pos="567"/>
        </w:tabs>
        <w:spacing w:line="240" w:lineRule="auto"/>
        <w:rPr>
          <w:color w:val="000000"/>
          <w:szCs w:val="22"/>
          <w:lang w:val="et-EE"/>
        </w:rPr>
      </w:pPr>
    </w:p>
    <w:p w14:paraId="2130E0CF" w14:textId="77777777" w:rsidR="00DA3205" w:rsidRPr="00EC3BD7" w:rsidRDefault="00DA3205" w:rsidP="00DA3205">
      <w:pPr>
        <w:widowControl w:val="0"/>
        <w:tabs>
          <w:tab w:val="clear" w:pos="567"/>
        </w:tabs>
        <w:spacing w:line="240" w:lineRule="auto"/>
        <w:rPr>
          <w:color w:val="000000"/>
          <w:szCs w:val="22"/>
          <w:lang w:val="et-EE"/>
        </w:rPr>
      </w:pPr>
    </w:p>
    <w:p w14:paraId="6B2D360B" w14:textId="77777777" w:rsidR="00DA3205" w:rsidRPr="00EC3BD7" w:rsidRDefault="00DA3205" w:rsidP="00DA3205">
      <w:pPr>
        <w:widowControl w:val="0"/>
        <w:tabs>
          <w:tab w:val="clear" w:pos="567"/>
        </w:tabs>
        <w:spacing w:line="240" w:lineRule="auto"/>
        <w:rPr>
          <w:color w:val="000000"/>
          <w:szCs w:val="22"/>
          <w:lang w:val="et-EE"/>
        </w:rPr>
      </w:pPr>
    </w:p>
    <w:p w14:paraId="407F43D3" w14:textId="77777777" w:rsidR="00DA3205" w:rsidRPr="00EC3BD7" w:rsidRDefault="00DA3205" w:rsidP="00DA3205">
      <w:pPr>
        <w:widowControl w:val="0"/>
        <w:tabs>
          <w:tab w:val="clear" w:pos="567"/>
        </w:tabs>
        <w:spacing w:line="240" w:lineRule="auto"/>
        <w:rPr>
          <w:color w:val="000000"/>
          <w:szCs w:val="22"/>
          <w:lang w:val="et-EE"/>
        </w:rPr>
      </w:pPr>
    </w:p>
    <w:p w14:paraId="6D59CAFE" w14:textId="77777777" w:rsidR="00DA3205" w:rsidRPr="00EC3BD7" w:rsidRDefault="00DA3205" w:rsidP="00DA3205">
      <w:pPr>
        <w:widowControl w:val="0"/>
        <w:tabs>
          <w:tab w:val="clear" w:pos="567"/>
        </w:tabs>
        <w:spacing w:line="240" w:lineRule="auto"/>
        <w:rPr>
          <w:color w:val="000000"/>
          <w:szCs w:val="22"/>
          <w:lang w:val="et-EE"/>
        </w:rPr>
      </w:pPr>
    </w:p>
    <w:p w14:paraId="28CD6E35" w14:textId="77777777" w:rsidR="00DA3205" w:rsidRPr="00EC3BD7" w:rsidRDefault="00DA3205" w:rsidP="00DA3205">
      <w:pPr>
        <w:widowControl w:val="0"/>
        <w:tabs>
          <w:tab w:val="clear" w:pos="567"/>
        </w:tabs>
        <w:spacing w:line="240" w:lineRule="auto"/>
        <w:rPr>
          <w:color w:val="000000"/>
          <w:szCs w:val="22"/>
          <w:lang w:val="et-EE"/>
        </w:rPr>
      </w:pPr>
    </w:p>
    <w:p w14:paraId="6C09AB83" w14:textId="77777777" w:rsidR="009A3C30" w:rsidRPr="00EC3BD7" w:rsidRDefault="009A3C30" w:rsidP="00DA3205">
      <w:pPr>
        <w:widowControl w:val="0"/>
        <w:tabs>
          <w:tab w:val="clear" w:pos="567"/>
        </w:tabs>
        <w:spacing w:line="240" w:lineRule="auto"/>
        <w:rPr>
          <w:color w:val="000000"/>
          <w:szCs w:val="22"/>
          <w:lang w:val="et-EE"/>
        </w:rPr>
      </w:pPr>
    </w:p>
    <w:p w14:paraId="4A05ACA3" w14:textId="77777777" w:rsidR="00DA3205" w:rsidRPr="00EC3BD7" w:rsidRDefault="00DA3205" w:rsidP="00DA3205">
      <w:pPr>
        <w:tabs>
          <w:tab w:val="clear" w:pos="567"/>
        </w:tabs>
        <w:spacing w:line="240" w:lineRule="auto"/>
        <w:jc w:val="center"/>
        <w:rPr>
          <w:b/>
          <w:color w:val="000000"/>
          <w:szCs w:val="22"/>
          <w:lang w:val="et-EE"/>
        </w:rPr>
      </w:pPr>
      <w:r w:rsidRPr="00EC3BD7">
        <w:rPr>
          <w:b/>
          <w:color w:val="000000"/>
          <w:szCs w:val="22"/>
          <w:lang w:val="et-EE"/>
        </w:rPr>
        <w:t>III</w:t>
      </w:r>
      <w:r w:rsidR="00780752" w:rsidRPr="00EC3BD7">
        <w:rPr>
          <w:b/>
          <w:color w:val="000000"/>
          <w:szCs w:val="22"/>
          <w:lang w:val="et-EE"/>
        </w:rPr>
        <w:t> </w:t>
      </w:r>
      <w:r w:rsidRPr="00EC3BD7">
        <w:rPr>
          <w:b/>
          <w:color w:val="000000"/>
          <w:szCs w:val="22"/>
          <w:lang w:val="et-EE"/>
        </w:rPr>
        <w:t>LISA</w:t>
      </w:r>
    </w:p>
    <w:p w14:paraId="56BCC05B" w14:textId="77777777" w:rsidR="00DA3205" w:rsidRPr="00EC3BD7" w:rsidRDefault="00DA3205" w:rsidP="00DA3205">
      <w:pPr>
        <w:tabs>
          <w:tab w:val="clear" w:pos="567"/>
        </w:tabs>
        <w:spacing w:line="240" w:lineRule="auto"/>
        <w:jc w:val="center"/>
        <w:rPr>
          <w:color w:val="000000"/>
          <w:szCs w:val="22"/>
          <w:lang w:val="et-EE"/>
        </w:rPr>
      </w:pPr>
    </w:p>
    <w:p w14:paraId="222C466A" w14:textId="77777777" w:rsidR="00DA3205" w:rsidRPr="00EC3BD7" w:rsidRDefault="00DA3205" w:rsidP="00DA3205">
      <w:pPr>
        <w:tabs>
          <w:tab w:val="clear" w:pos="567"/>
        </w:tabs>
        <w:spacing w:line="240" w:lineRule="auto"/>
        <w:jc w:val="center"/>
        <w:rPr>
          <w:b/>
          <w:color w:val="000000"/>
          <w:szCs w:val="22"/>
          <w:lang w:val="et-EE"/>
        </w:rPr>
      </w:pPr>
      <w:r w:rsidRPr="00EC3BD7">
        <w:rPr>
          <w:b/>
          <w:color w:val="000000"/>
          <w:szCs w:val="22"/>
          <w:lang w:val="et-EE"/>
        </w:rPr>
        <w:t>PAKENDI MÄRGISTUS JA INFOLEHT</w:t>
      </w:r>
    </w:p>
    <w:p w14:paraId="179624CE" w14:textId="77777777" w:rsidR="00DA3205" w:rsidRPr="00EC3BD7" w:rsidRDefault="00DA3205" w:rsidP="00DA3205">
      <w:pPr>
        <w:pStyle w:val="EndnoteText"/>
        <w:widowControl w:val="0"/>
        <w:tabs>
          <w:tab w:val="clear" w:pos="567"/>
        </w:tabs>
        <w:rPr>
          <w:color w:val="000000"/>
          <w:szCs w:val="22"/>
          <w:lang w:val="et-EE"/>
        </w:rPr>
      </w:pPr>
      <w:r w:rsidRPr="00EC3BD7">
        <w:rPr>
          <w:color w:val="000000"/>
          <w:szCs w:val="22"/>
          <w:lang w:val="et-EE"/>
        </w:rPr>
        <w:br w:type="page"/>
      </w:r>
    </w:p>
    <w:p w14:paraId="760EB392" w14:textId="77777777" w:rsidR="00DA3205" w:rsidRPr="00EC3BD7" w:rsidRDefault="00DA3205" w:rsidP="00DA3205">
      <w:pPr>
        <w:widowControl w:val="0"/>
        <w:tabs>
          <w:tab w:val="clear" w:pos="567"/>
        </w:tabs>
        <w:spacing w:line="240" w:lineRule="auto"/>
        <w:rPr>
          <w:color w:val="000000"/>
          <w:szCs w:val="22"/>
          <w:lang w:val="et-EE"/>
        </w:rPr>
      </w:pPr>
    </w:p>
    <w:p w14:paraId="2D0BE5D8" w14:textId="77777777" w:rsidR="00DA3205" w:rsidRPr="00EC3BD7" w:rsidRDefault="00DA3205" w:rsidP="00DA3205">
      <w:pPr>
        <w:widowControl w:val="0"/>
        <w:tabs>
          <w:tab w:val="clear" w:pos="567"/>
        </w:tabs>
        <w:spacing w:line="240" w:lineRule="auto"/>
        <w:rPr>
          <w:color w:val="000000"/>
          <w:szCs w:val="22"/>
          <w:lang w:val="et-EE"/>
        </w:rPr>
      </w:pPr>
    </w:p>
    <w:p w14:paraId="3C7D6869" w14:textId="77777777" w:rsidR="00DA3205" w:rsidRPr="00EC3BD7" w:rsidRDefault="00DA3205" w:rsidP="00DA3205">
      <w:pPr>
        <w:widowControl w:val="0"/>
        <w:tabs>
          <w:tab w:val="clear" w:pos="567"/>
        </w:tabs>
        <w:spacing w:line="240" w:lineRule="auto"/>
        <w:rPr>
          <w:color w:val="000000"/>
          <w:szCs w:val="22"/>
          <w:lang w:val="et-EE"/>
        </w:rPr>
      </w:pPr>
    </w:p>
    <w:p w14:paraId="321B4EED" w14:textId="77777777" w:rsidR="00DA3205" w:rsidRPr="00EC3BD7" w:rsidRDefault="00DA3205" w:rsidP="00DA3205">
      <w:pPr>
        <w:widowControl w:val="0"/>
        <w:tabs>
          <w:tab w:val="clear" w:pos="567"/>
        </w:tabs>
        <w:spacing w:line="240" w:lineRule="auto"/>
        <w:rPr>
          <w:color w:val="000000"/>
          <w:szCs w:val="22"/>
          <w:lang w:val="et-EE"/>
        </w:rPr>
      </w:pPr>
    </w:p>
    <w:p w14:paraId="5CAF9836" w14:textId="77777777" w:rsidR="00DA3205" w:rsidRPr="00EC3BD7" w:rsidRDefault="00DA3205" w:rsidP="00DA3205">
      <w:pPr>
        <w:widowControl w:val="0"/>
        <w:tabs>
          <w:tab w:val="clear" w:pos="567"/>
        </w:tabs>
        <w:spacing w:line="240" w:lineRule="auto"/>
        <w:rPr>
          <w:color w:val="000000"/>
          <w:szCs w:val="22"/>
          <w:lang w:val="et-EE"/>
        </w:rPr>
      </w:pPr>
    </w:p>
    <w:p w14:paraId="576F3FB5" w14:textId="77777777" w:rsidR="00DA3205" w:rsidRPr="00EC3BD7" w:rsidRDefault="00DA3205" w:rsidP="00DA3205">
      <w:pPr>
        <w:widowControl w:val="0"/>
        <w:tabs>
          <w:tab w:val="clear" w:pos="567"/>
        </w:tabs>
        <w:spacing w:line="240" w:lineRule="auto"/>
        <w:rPr>
          <w:color w:val="000000"/>
          <w:szCs w:val="22"/>
          <w:lang w:val="et-EE"/>
        </w:rPr>
      </w:pPr>
    </w:p>
    <w:p w14:paraId="61EBF8C4" w14:textId="77777777" w:rsidR="00DA3205" w:rsidRPr="00EC3BD7" w:rsidRDefault="00DA3205" w:rsidP="00DA3205">
      <w:pPr>
        <w:widowControl w:val="0"/>
        <w:tabs>
          <w:tab w:val="clear" w:pos="567"/>
        </w:tabs>
        <w:spacing w:line="240" w:lineRule="auto"/>
        <w:rPr>
          <w:color w:val="000000"/>
          <w:szCs w:val="22"/>
          <w:lang w:val="et-EE"/>
        </w:rPr>
      </w:pPr>
    </w:p>
    <w:p w14:paraId="34B35444" w14:textId="77777777" w:rsidR="00DA3205" w:rsidRPr="00EC3BD7" w:rsidRDefault="00DA3205" w:rsidP="00DA3205">
      <w:pPr>
        <w:widowControl w:val="0"/>
        <w:tabs>
          <w:tab w:val="clear" w:pos="567"/>
        </w:tabs>
        <w:spacing w:line="240" w:lineRule="auto"/>
        <w:rPr>
          <w:color w:val="000000"/>
          <w:szCs w:val="22"/>
          <w:lang w:val="et-EE"/>
        </w:rPr>
      </w:pPr>
    </w:p>
    <w:p w14:paraId="5EB47F1B" w14:textId="77777777" w:rsidR="00DA3205" w:rsidRPr="00EC3BD7" w:rsidRDefault="00DA3205" w:rsidP="00DA3205">
      <w:pPr>
        <w:widowControl w:val="0"/>
        <w:tabs>
          <w:tab w:val="clear" w:pos="567"/>
        </w:tabs>
        <w:spacing w:line="240" w:lineRule="auto"/>
        <w:rPr>
          <w:color w:val="000000"/>
          <w:szCs w:val="22"/>
          <w:lang w:val="et-EE"/>
        </w:rPr>
      </w:pPr>
    </w:p>
    <w:p w14:paraId="4D7D16CF" w14:textId="77777777" w:rsidR="00DA3205" w:rsidRPr="00EC3BD7" w:rsidRDefault="00DA3205" w:rsidP="00DA3205">
      <w:pPr>
        <w:widowControl w:val="0"/>
        <w:tabs>
          <w:tab w:val="clear" w:pos="567"/>
        </w:tabs>
        <w:spacing w:line="240" w:lineRule="auto"/>
        <w:rPr>
          <w:color w:val="000000"/>
          <w:szCs w:val="22"/>
          <w:lang w:val="et-EE"/>
        </w:rPr>
      </w:pPr>
    </w:p>
    <w:p w14:paraId="52E0E188" w14:textId="77777777" w:rsidR="00DA3205" w:rsidRPr="00EC3BD7" w:rsidRDefault="00DA3205" w:rsidP="00DA3205">
      <w:pPr>
        <w:widowControl w:val="0"/>
        <w:tabs>
          <w:tab w:val="clear" w:pos="567"/>
        </w:tabs>
        <w:spacing w:line="240" w:lineRule="auto"/>
        <w:rPr>
          <w:color w:val="000000"/>
          <w:szCs w:val="22"/>
          <w:lang w:val="et-EE"/>
        </w:rPr>
      </w:pPr>
    </w:p>
    <w:p w14:paraId="1839128C" w14:textId="77777777" w:rsidR="00DA3205" w:rsidRPr="00EC3BD7" w:rsidRDefault="00DA3205" w:rsidP="00DA3205">
      <w:pPr>
        <w:widowControl w:val="0"/>
        <w:tabs>
          <w:tab w:val="clear" w:pos="567"/>
        </w:tabs>
        <w:spacing w:line="240" w:lineRule="auto"/>
        <w:rPr>
          <w:color w:val="000000"/>
          <w:szCs w:val="22"/>
          <w:lang w:val="et-EE"/>
        </w:rPr>
      </w:pPr>
    </w:p>
    <w:p w14:paraId="60894D2A" w14:textId="77777777" w:rsidR="00DA3205" w:rsidRPr="00EC3BD7" w:rsidRDefault="00DA3205" w:rsidP="00DA3205">
      <w:pPr>
        <w:widowControl w:val="0"/>
        <w:tabs>
          <w:tab w:val="clear" w:pos="567"/>
        </w:tabs>
        <w:spacing w:line="240" w:lineRule="auto"/>
        <w:rPr>
          <w:color w:val="000000"/>
          <w:szCs w:val="22"/>
          <w:lang w:val="et-EE"/>
        </w:rPr>
      </w:pPr>
    </w:p>
    <w:p w14:paraId="0E6228F7" w14:textId="77777777" w:rsidR="00DA3205" w:rsidRPr="00EC3BD7" w:rsidRDefault="00DA3205" w:rsidP="00DA3205">
      <w:pPr>
        <w:widowControl w:val="0"/>
        <w:tabs>
          <w:tab w:val="clear" w:pos="567"/>
        </w:tabs>
        <w:spacing w:line="240" w:lineRule="auto"/>
        <w:rPr>
          <w:color w:val="000000"/>
          <w:szCs w:val="22"/>
          <w:lang w:val="et-EE"/>
        </w:rPr>
      </w:pPr>
    </w:p>
    <w:p w14:paraId="66CA4400" w14:textId="77777777" w:rsidR="00DA3205" w:rsidRPr="00EC3BD7" w:rsidRDefault="00DA3205" w:rsidP="00DA3205">
      <w:pPr>
        <w:widowControl w:val="0"/>
        <w:tabs>
          <w:tab w:val="clear" w:pos="567"/>
        </w:tabs>
        <w:spacing w:line="240" w:lineRule="auto"/>
        <w:rPr>
          <w:color w:val="000000"/>
          <w:szCs w:val="22"/>
          <w:lang w:val="et-EE"/>
        </w:rPr>
      </w:pPr>
    </w:p>
    <w:p w14:paraId="789F9DA5" w14:textId="77777777" w:rsidR="00DA3205" w:rsidRPr="00EC3BD7" w:rsidRDefault="00DA3205" w:rsidP="00DA3205">
      <w:pPr>
        <w:widowControl w:val="0"/>
        <w:tabs>
          <w:tab w:val="clear" w:pos="567"/>
        </w:tabs>
        <w:spacing w:line="240" w:lineRule="auto"/>
        <w:rPr>
          <w:color w:val="000000"/>
          <w:szCs w:val="22"/>
          <w:lang w:val="et-EE"/>
        </w:rPr>
      </w:pPr>
    </w:p>
    <w:p w14:paraId="1E6FC77E" w14:textId="77777777" w:rsidR="00DA3205" w:rsidRPr="00EC3BD7" w:rsidRDefault="00DA3205" w:rsidP="00DA3205">
      <w:pPr>
        <w:widowControl w:val="0"/>
        <w:tabs>
          <w:tab w:val="clear" w:pos="567"/>
        </w:tabs>
        <w:spacing w:line="240" w:lineRule="auto"/>
        <w:rPr>
          <w:color w:val="000000"/>
          <w:szCs w:val="22"/>
          <w:lang w:val="et-EE"/>
        </w:rPr>
      </w:pPr>
    </w:p>
    <w:p w14:paraId="4144ECB0" w14:textId="77777777" w:rsidR="00DA3205" w:rsidRPr="00EC3BD7" w:rsidRDefault="00DA3205" w:rsidP="00DA3205">
      <w:pPr>
        <w:widowControl w:val="0"/>
        <w:tabs>
          <w:tab w:val="clear" w:pos="567"/>
        </w:tabs>
        <w:spacing w:line="240" w:lineRule="auto"/>
        <w:rPr>
          <w:color w:val="000000"/>
          <w:szCs w:val="22"/>
          <w:lang w:val="et-EE"/>
        </w:rPr>
      </w:pPr>
    </w:p>
    <w:p w14:paraId="0C38F375" w14:textId="77777777" w:rsidR="00DA3205" w:rsidRPr="00EC3BD7" w:rsidRDefault="00DA3205" w:rsidP="00DA3205">
      <w:pPr>
        <w:widowControl w:val="0"/>
        <w:tabs>
          <w:tab w:val="clear" w:pos="567"/>
        </w:tabs>
        <w:spacing w:line="240" w:lineRule="auto"/>
        <w:rPr>
          <w:color w:val="000000"/>
          <w:szCs w:val="22"/>
          <w:lang w:val="et-EE"/>
        </w:rPr>
      </w:pPr>
    </w:p>
    <w:p w14:paraId="7FE088F8" w14:textId="77777777" w:rsidR="00DA3205" w:rsidRPr="00EC3BD7" w:rsidRDefault="00DA3205" w:rsidP="00DA3205">
      <w:pPr>
        <w:widowControl w:val="0"/>
        <w:tabs>
          <w:tab w:val="clear" w:pos="567"/>
        </w:tabs>
        <w:spacing w:line="240" w:lineRule="auto"/>
        <w:rPr>
          <w:color w:val="000000"/>
          <w:szCs w:val="22"/>
          <w:lang w:val="et-EE"/>
        </w:rPr>
      </w:pPr>
    </w:p>
    <w:p w14:paraId="63F39E82" w14:textId="77777777" w:rsidR="00DA3205" w:rsidRPr="00EC3BD7" w:rsidRDefault="00DA3205" w:rsidP="00DA3205">
      <w:pPr>
        <w:widowControl w:val="0"/>
        <w:tabs>
          <w:tab w:val="clear" w:pos="567"/>
        </w:tabs>
        <w:spacing w:line="240" w:lineRule="auto"/>
        <w:rPr>
          <w:color w:val="000000"/>
          <w:szCs w:val="22"/>
          <w:lang w:val="et-EE"/>
        </w:rPr>
      </w:pPr>
    </w:p>
    <w:p w14:paraId="1414CA5B" w14:textId="77777777" w:rsidR="00DA3205" w:rsidRPr="00EC3BD7" w:rsidRDefault="00DA3205" w:rsidP="00DA3205">
      <w:pPr>
        <w:widowControl w:val="0"/>
        <w:tabs>
          <w:tab w:val="clear" w:pos="567"/>
        </w:tabs>
        <w:spacing w:line="240" w:lineRule="auto"/>
        <w:rPr>
          <w:color w:val="000000"/>
          <w:szCs w:val="22"/>
          <w:lang w:val="et-EE"/>
        </w:rPr>
      </w:pPr>
    </w:p>
    <w:p w14:paraId="7CA3B276" w14:textId="77777777" w:rsidR="009A3C30" w:rsidRPr="00EC3BD7" w:rsidRDefault="009A3C30" w:rsidP="00DA3205">
      <w:pPr>
        <w:widowControl w:val="0"/>
        <w:tabs>
          <w:tab w:val="clear" w:pos="567"/>
        </w:tabs>
        <w:spacing w:line="240" w:lineRule="auto"/>
        <w:rPr>
          <w:color w:val="000000"/>
          <w:szCs w:val="22"/>
          <w:lang w:val="et-EE"/>
        </w:rPr>
      </w:pPr>
    </w:p>
    <w:p w14:paraId="2F025BEB" w14:textId="77777777" w:rsidR="00DA3205" w:rsidRPr="00EC3BD7" w:rsidRDefault="00DA3205" w:rsidP="00DA3205">
      <w:pPr>
        <w:tabs>
          <w:tab w:val="clear" w:pos="567"/>
        </w:tabs>
        <w:spacing w:line="240" w:lineRule="auto"/>
        <w:jc w:val="center"/>
        <w:rPr>
          <w:color w:val="000000"/>
          <w:szCs w:val="22"/>
          <w:lang w:val="et-EE"/>
        </w:rPr>
      </w:pPr>
      <w:r w:rsidRPr="00EC3BD7">
        <w:rPr>
          <w:b/>
          <w:color w:val="000000"/>
          <w:szCs w:val="22"/>
          <w:lang w:val="et-EE"/>
        </w:rPr>
        <w:t>A. PAKENDI MÄRGISTUS</w:t>
      </w:r>
    </w:p>
    <w:p w14:paraId="088D1460" w14:textId="77777777" w:rsidR="00DA3205" w:rsidRPr="00EC3BD7" w:rsidRDefault="00DA3205" w:rsidP="00DA3205">
      <w:pPr>
        <w:tabs>
          <w:tab w:val="clear" w:pos="567"/>
        </w:tabs>
        <w:spacing w:line="240" w:lineRule="auto"/>
        <w:rPr>
          <w:color w:val="000000"/>
          <w:szCs w:val="22"/>
          <w:lang w:val="et-EE"/>
        </w:rPr>
      </w:pPr>
      <w:r w:rsidRPr="00EC3BD7">
        <w:rPr>
          <w:color w:val="000000"/>
          <w:szCs w:val="22"/>
          <w:lang w:val="et-EE"/>
        </w:rPr>
        <w:br w:type="page"/>
      </w:r>
    </w:p>
    <w:p w14:paraId="51003FD6" w14:textId="77777777" w:rsidR="009A3C30" w:rsidRPr="00EC3BD7" w:rsidRDefault="009A3C30" w:rsidP="009A3C30">
      <w:pPr>
        <w:tabs>
          <w:tab w:val="clear" w:pos="567"/>
        </w:tabs>
        <w:spacing w:line="240" w:lineRule="auto"/>
        <w:rPr>
          <w:color w:val="000000"/>
          <w:szCs w:val="22"/>
          <w:lang w:val="et-EE"/>
        </w:rPr>
      </w:pPr>
    </w:p>
    <w:p w14:paraId="119DDEC5"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et-EE"/>
        </w:rPr>
      </w:pPr>
      <w:r w:rsidRPr="00EC3BD7">
        <w:rPr>
          <w:b/>
          <w:color w:val="000000"/>
          <w:szCs w:val="22"/>
          <w:lang w:val="et-EE"/>
        </w:rPr>
        <w:t>VÄLISPAKENDIL PEAVAD OLEMA JÄRGMISED ANDMED</w:t>
      </w:r>
    </w:p>
    <w:p w14:paraId="7077DFDD"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et-EE"/>
        </w:rPr>
      </w:pPr>
    </w:p>
    <w:p w14:paraId="41D4193F" w14:textId="77777777" w:rsidR="00DA3205" w:rsidRPr="00EC3BD7" w:rsidRDefault="00DA3205" w:rsidP="00DA3205">
      <w:pPr>
        <w:pBdr>
          <w:top w:val="single" w:sz="4" w:space="1" w:color="auto"/>
          <w:left w:val="single" w:sz="4" w:space="4" w:color="auto"/>
          <w:bottom w:val="single" w:sz="4" w:space="1" w:color="auto"/>
          <w:right w:val="single" w:sz="4" w:space="4" w:color="auto"/>
        </w:pBdr>
        <w:spacing w:line="240" w:lineRule="auto"/>
        <w:rPr>
          <w:b/>
          <w:color w:val="000000"/>
          <w:szCs w:val="22"/>
          <w:lang w:val="et-EE"/>
        </w:rPr>
      </w:pPr>
      <w:r w:rsidRPr="00EC3BD7">
        <w:rPr>
          <w:b/>
          <w:color w:val="000000"/>
          <w:szCs w:val="22"/>
          <w:lang w:val="et-EE"/>
        </w:rPr>
        <w:t>KARP</w:t>
      </w:r>
    </w:p>
    <w:p w14:paraId="00D95863" w14:textId="77777777" w:rsidR="00DA3205" w:rsidRPr="00EC3BD7" w:rsidRDefault="00DA3205" w:rsidP="00DA3205">
      <w:pPr>
        <w:tabs>
          <w:tab w:val="clear" w:pos="567"/>
        </w:tabs>
        <w:spacing w:line="240" w:lineRule="auto"/>
        <w:rPr>
          <w:color w:val="000000"/>
          <w:szCs w:val="22"/>
          <w:lang w:val="et-EE"/>
        </w:rPr>
      </w:pPr>
    </w:p>
    <w:p w14:paraId="2D2080EB" w14:textId="77777777" w:rsidR="00DA3205" w:rsidRPr="00EC3BD7" w:rsidRDefault="00DA3205" w:rsidP="00DA3205">
      <w:pPr>
        <w:tabs>
          <w:tab w:val="clear" w:pos="567"/>
        </w:tabs>
        <w:spacing w:line="240" w:lineRule="auto"/>
        <w:rPr>
          <w:color w:val="000000"/>
          <w:szCs w:val="22"/>
          <w:lang w:val="et-EE"/>
        </w:rPr>
      </w:pPr>
    </w:p>
    <w:p w14:paraId="52FE7EA1"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w:t>
      </w:r>
      <w:r w:rsidRPr="00EC3BD7">
        <w:rPr>
          <w:b/>
          <w:color w:val="000000"/>
          <w:szCs w:val="22"/>
          <w:lang w:val="et-EE"/>
        </w:rPr>
        <w:tab/>
        <w:t>RAVIMPREPARAADI NIMETUS</w:t>
      </w:r>
    </w:p>
    <w:p w14:paraId="084CC1DE" w14:textId="77777777" w:rsidR="00DA3205" w:rsidRPr="00EC3BD7" w:rsidRDefault="00DA3205" w:rsidP="00DA3205">
      <w:pPr>
        <w:widowControl w:val="0"/>
        <w:tabs>
          <w:tab w:val="clear" w:pos="567"/>
        </w:tabs>
        <w:spacing w:line="240" w:lineRule="auto"/>
        <w:rPr>
          <w:color w:val="000000"/>
          <w:szCs w:val="22"/>
          <w:lang w:val="et-EE"/>
        </w:rPr>
      </w:pPr>
    </w:p>
    <w:p w14:paraId="03B61581" w14:textId="77777777" w:rsidR="00DA3205" w:rsidRPr="00EC3BD7" w:rsidRDefault="00DA3205" w:rsidP="00DA3205">
      <w:pPr>
        <w:widowControl w:val="0"/>
        <w:tabs>
          <w:tab w:val="clear" w:pos="567"/>
        </w:tabs>
        <w:spacing w:line="240" w:lineRule="auto"/>
        <w:rPr>
          <w:color w:val="000000"/>
          <w:szCs w:val="22"/>
          <w:lang w:val="et-EE"/>
        </w:rPr>
      </w:pPr>
      <w:r w:rsidRPr="00EC3BD7">
        <w:rPr>
          <w:color w:val="000000"/>
          <w:szCs w:val="22"/>
          <w:lang w:val="et-EE"/>
        </w:rPr>
        <w:t>Glivec 100 mg kõvakapslid</w:t>
      </w:r>
    </w:p>
    <w:p w14:paraId="7B639DA6" w14:textId="77777777" w:rsidR="00B2520A" w:rsidRPr="00EC3BD7" w:rsidRDefault="00B2520A" w:rsidP="00B2520A">
      <w:pPr>
        <w:widowControl w:val="0"/>
        <w:tabs>
          <w:tab w:val="clear" w:pos="567"/>
        </w:tabs>
        <w:spacing w:line="240" w:lineRule="auto"/>
        <w:rPr>
          <w:i/>
          <w:color w:val="000000"/>
          <w:szCs w:val="22"/>
          <w:lang w:val="et-EE"/>
        </w:rPr>
      </w:pPr>
      <w:r w:rsidRPr="00EC3BD7">
        <w:rPr>
          <w:i/>
          <w:color w:val="000000"/>
          <w:szCs w:val="22"/>
          <w:lang w:val="et-EE"/>
        </w:rPr>
        <w:t>imatinibum</w:t>
      </w:r>
    </w:p>
    <w:p w14:paraId="37A3D474" w14:textId="77777777" w:rsidR="00DA3205" w:rsidRPr="00EC3BD7" w:rsidRDefault="00DA3205" w:rsidP="00DA3205">
      <w:pPr>
        <w:tabs>
          <w:tab w:val="clear" w:pos="567"/>
        </w:tabs>
        <w:spacing w:line="240" w:lineRule="auto"/>
        <w:rPr>
          <w:color w:val="000000"/>
          <w:szCs w:val="22"/>
          <w:lang w:val="et-EE"/>
        </w:rPr>
      </w:pPr>
    </w:p>
    <w:p w14:paraId="231A3664" w14:textId="77777777" w:rsidR="00DA3205" w:rsidRPr="00EC3BD7" w:rsidRDefault="00DA3205" w:rsidP="00DA3205">
      <w:pPr>
        <w:tabs>
          <w:tab w:val="clear" w:pos="567"/>
        </w:tabs>
        <w:spacing w:line="240" w:lineRule="auto"/>
        <w:rPr>
          <w:color w:val="000000"/>
          <w:szCs w:val="22"/>
          <w:lang w:val="et-EE"/>
        </w:rPr>
      </w:pPr>
    </w:p>
    <w:p w14:paraId="3FA56269"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2.</w:t>
      </w:r>
      <w:r w:rsidRPr="00EC3BD7">
        <w:rPr>
          <w:b/>
          <w:color w:val="000000"/>
          <w:szCs w:val="22"/>
          <w:lang w:val="et-EE"/>
        </w:rPr>
        <w:tab/>
        <w:t>TOIMEAINE(TE) SISALDUS</w:t>
      </w:r>
    </w:p>
    <w:p w14:paraId="46BD25F1" w14:textId="77777777" w:rsidR="00DA3205" w:rsidRPr="00EC3BD7" w:rsidRDefault="00DA3205" w:rsidP="00DA3205">
      <w:pPr>
        <w:tabs>
          <w:tab w:val="clear" w:pos="567"/>
        </w:tabs>
        <w:spacing w:line="240" w:lineRule="auto"/>
        <w:rPr>
          <w:color w:val="000000"/>
          <w:szCs w:val="22"/>
          <w:lang w:val="et-EE"/>
        </w:rPr>
      </w:pPr>
    </w:p>
    <w:p w14:paraId="6165798C" w14:textId="77777777" w:rsidR="00DA3205" w:rsidRPr="00EC3BD7" w:rsidRDefault="00B2297D" w:rsidP="00DA3205">
      <w:pPr>
        <w:pStyle w:val="Text"/>
        <w:widowControl w:val="0"/>
        <w:spacing w:before="0"/>
        <w:rPr>
          <w:color w:val="000000"/>
          <w:sz w:val="22"/>
          <w:szCs w:val="22"/>
          <w:lang w:val="et-EE"/>
        </w:rPr>
      </w:pPr>
      <w:r w:rsidRPr="00EC3BD7">
        <w:rPr>
          <w:color w:val="000000"/>
          <w:sz w:val="22"/>
          <w:szCs w:val="22"/>
          <w:lang w:val="et-EE"/>
        </w:rPr>
        <w:t xml:space="preserve">Üks </w:t>
      </w:r>
      <w:r w:rsidR="00DA3205" w:rsidRPr="00EC3BD7">
        <w:rPr>
          <w:color w:val="000000"/>
          <w:sz w:val="22"/>
          <w:szCs w:val="22"/>
          <w:lang w:val="et-EE"/>
        </w:rPr>
        <w:t>kapsel sisaldab 100 mg imatiniibi (mes</w:t>
      </w:r>
      <w:r w:rsidRPr="00EC3BD7">
        <w:rPr>
          <w:color w:val="000000"/>
          <w:sz w:val="22"/>
          <w:szCs w:val="22"/>
          <w:lang w:val="et-EE"/>
        </w:rPr>
        <w:t>i</w:t>
      </w:r>
      <w:r w:rsidR="00DA3205" w:rsidRPr="00EC3BD7">
        <w:rPr>
          <w:color w:val="000000"/>
          <w:sz w:val="22"/>
          <w:szCs w:val="22"/>
          <w:lang w:val="et-EE"/>
        </w:rPr>
        <w:t>laadina).</w:t>
      </w:r>
    </w:p>
    <w:p w14:paraId="0CF4D863" w14:textId="77777777" w:rsidR="00DA3205" w:rsidRPr="00EC3BD7" w:rsidRDefault="00DA3205" w:rsidP="00DA3205">
      <w:pPr>
        <w:tabs>
          <w:tab w:val="clear" w:pos="567"/>
        </w:tabs>
        <w:spacing w:line="240" w:lineRule="auto"/>
        <w:rPr>
          <w:color w:val="000000"/>
          <w:szCs w:val="22"/>
          <w:lang w:val="et-EE"/>
        </w:rPr>
      </w:pPr>
    </w:p>
    <w:p w14:paraId="281E105A" w14:textId="77777777" w:rsidR="00DA3205" w:rsidRPr="00EC3BD7" w:rsidRDefault="00DA3205" w:rsidP="00DA3205">
      <w:pPr>
        <w:tabs>
          <w:tab w:val="clear" w:pos="567"/>
        </w:tabs>
        <w:spacing w:line="240" w:lineRule="auto"/>
        <w:rPr>
          <w:color w:val="000000"/>
          <w:szCs w:val="22"/>
          <w:lang w:val="et-EE"/>
        </w:rPr>
      </w:pPr>
    </w:p>
    <w:p w14:paraId="246623FD"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3.</w:t>
      </w:r>
      <w:r w:rsidRPr="00EC3BD7">
        <w:rPr>
          <w:b/>
          <w:color w:val="000000"/>
          <w:szCs w:val="22"/>
          <w:lang w:val="et-EE"/>
        </w:rPr>
        <w:tab/>
        <w:t>ABIAINED</w:t>
      </w:r>
    </w:p>
    <w:p w14:paraId="7D7F6BD6" w14:textId="77777777" w:rsidR="00DA3205" w:rsidRPr="00EC3BD7" w:rsidRDefault="00DA3205" w:rsidP="00DA3205">
      <w:pPr>
        <w:tabs>
          <w:tab w:val="clear" w:pos="567"/>
        </w:tabs>
        <w:spacing w:line="240" w:lineRule="auto"/>
        <w:rPr>
          <w:color w:val="000000"/>
          <w:szCs w:val="22"/>
          <w:lang w:val="et-EE"/>
        </w:rPr>
      </w:pPr>
    </w:p>
    <w:p w14:paraId="1C58E329" w14:textId="77777777" w:rsidR="00DA3205" w:rsidRPr="00EC3BD7" w:rsidRDefault="00DA3205" w:rsidP="00DA3205">
      <w:pPr>
        <w:tabs>
          <w:tab w:val="clear" w:pos="567"/>
        </w:tabs>
        <w:spacing w:line="240" w:lineRule="auto"/>
        <w:rPr>
          <w:color w:val="000000"/>
          <w:szCs w:val="22"/>
          <w:lang w:val="et-EE"/>
        </w:rPr>
      </w:pPr>
    </w:p>
    <w:p w14:paraId="190F5D76"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4.</w:t>
      </w:r>
      <w:r w:rsidRPr="00EC3BD7">
        <w:rPr>
          <w:b/>
          <w:color w:val="000000"/>
          <w:szCs w:val="22"/>
          <w:lang w:val="et-EE"/>
        </w:rPr>
        <w:tab/>
        <w:t>RAVIMVORM JA PAKENDI SUURUS</w:t>
      </w:r>
    </w:p>
    <w:p w14:paraId="7D8128DE" w14:textId="77777777" w:rsidR="00DA3205" w:rsidRPr="00EC3BD7" w:rsidRDefault="00DA3205" w:rsidP="00DA3205">
      <w:pPr>
        <w:tabs>
          <w:tab w:val="clear" w:pos="567"/>
        </w:tabs>
        <w:spacing w:line="240" w:lineRule="auto"/>
        <w:rPr>
          <w:color w:val="000000"/>
          <w:szCs w:val="22"/>
          <w:lang w:val="et-EE"/>
        </w:rPr>
      </w:pPr>
    </w:p>
    <w:p w14:paraId="5F09C4E8" w14:textId="77777777" w:rsidR="00DA3205" w:rsidRPr="00EC3BD7" w:rsidRDefault="00DA3205" w:rsidP="00DA3205">
      <w:pPr>
        <w:pStyle w:val="EndnoteText"/>
        <w:widowControl w:val="0"/>
        <w:rPr>
          <w:color w:val="000000"/>
          <w:szCs w:val="22"/>
          <w:lang w:val="et-EE"/>
        </w:rPr>
      </w:pPr>
      <w:r w:rsidRPr="00EC3BD7">
        <w:rPr>
          <w:color w:val="000000"/>
          <w:szCs w:val="22"/>
          <w:lang w:val="et-EE"/>
        </w:rPr>
        <w:t>24 kõvakapslit</w:t>
      </w:r>
    </w:p>
    <w:p w14:paraId="14D3E6A7" w14:textId="77777777" w:rsidR="00DA3205" w:rsidRPr="00EC3BD7" w:rsidRDefault="00DA3205" w:rsidP="00DA3205">
      <w:pPr>
        <w:tabs>
          <w:tab w:val="clear" w:pos="567"/>
        </w:tabs>
        <w:spacing w:line="240" w:lineRule="auto"/>
        <w:rPr>
          <w:color w:val="000000"/>
          <w:szCs w:val="22"/>
          <w:shd w:val="clear" w:color="auto" w:fill="D9D9D9"/>
          <w:lang w:val="et-EE"/>
        </w:rPr>
      </w:pPr>
      <w:r w:rsidRPr="00EC3BD7">
        <w:rPr>
          <w:color w:val="000000"/>
          <w:szCs w:val="22"/>
          <w:shd w:val="clear" w:color="auto" w:fill="D9D9D9"/>
          <w:lang w:val="et-EE"/>
        </w:rPr>
        <w:t>48 kõvakapslit</w:t>
      </w:r>
    </w:p>
    <w:p w14:paraId="20445D80" w14:textId="77777777" w:rsidR="00DA3205" w:rsidRPr="00EC3BD7" w:rsidRDefault="00DA3205" w:rsidP="00DA3205">
      <w:pPr>
        <w:tabs>
          <w:tab w:val="clear" w:pos="567"/>
        </w:tabs>
        <w:spacing w:line="240" w:lineRule="auto"/>
        <w:rPr>
          <w:color w:val="000000"/>
          <w:szCs w:val="22"/>
          <w:shd w:val="clear" w:color="auto" w:fill="D9D9D9"/>
          <w:lang w:val="et-EE"/>
        </w:rPr>
      </w:pPr>
      <w:r w:rsidRPr="00EC3BD7">
        <w:rPr>
          <w:color w:val="000000"/>
          <w:szCs w:val="22"/>
          <w:shd w:val="clear" w:color="auto" w:fill="D9D9D9"/>
          <w:lang w:val="et-EE"/>
        </w:rPr>
        <w:t>96 kõvakapslit</w:t>
      </w:r>
    </w:p>
    <w:p w14:paraId="79C3C041" w14:textId="77777777" w:rsidR="00DA3205" w:rsidRPr="00EC3BD7" w:rsidRDefault="00DA3205" w:rsidP="00DA3205">
      <w:pPr>
        <w:tabs>
          <w:tab w:val="clear" w:pos="567"/>
        </w:tabs>
        <w:spacing w:line="240" w:lineRule="auto"/>
        <w:rPr>
          <w:color w:val="000000"/>
          <w:szCs w:val="22"/>
          <w:shd w:val="clear" w:color="auto" w:fill="D9D9D9"/>
          <w:lang w:val="et-EE"/>
        </w:rPr>
      </w:pPr>
      <w:r w:rsidRPr="00EC3BD7">
        <w:rPr>
          <w:color w:val="000000"/>
          <w:szCs w:val="22"/>
          <w:shd w:val="clear" w:color="auto" w:fill="D9D9D9"/>
          <w:lang w:val="et-EE"/>
        </w:rPr>
        <w:t>120 kõvakapslit</w:t>
      </w:r>
    </w:p>
    <w:p w14:paraId="65B365C3" w14:textId="77777777" w:rsidR="00DA3205" w:rsidRPr="00EC3BD7" w:rsidRDefault="00DA3205" w:rsidP="00DA3205">
      <w:pPr>
        <w:tabs>
          <w:tab w:val="clear" w:pos="567"/>
        </w:tabs>
        <w:spacing w:line="240" w:lineRule="auto"/>
        <w:rPr>
          <w:color w:val="000000"/>
          <w:szCs w:val="22"/>
          <w:shd w:val="clear" w:color="auto" w:fill="D9D9D9"/>
          <w:lang w:val="et-EE"/>
        </w:rPr>
      </w:pPr>
      <w:r w:rsidRPr="00EC3BD7">
        <w:rPr>
          <w:color w:val="000000"/>
          <w:szCs w:val="22"/>
          <w:shd w:val="clear" w:color="auto" w:fill="D9D9D9"/>
          <w:lang w:val="et-EE"/>
        </w:rPr>
        <w:t>180 kõvakapslit</w:t>
      </w:r>
    </w:p>
    <w:p w14:paraId="2E53D643" w14:textId="77777777" w:rsidR="00DA3205" w:rsidRPr="00EC3BD7" w:rsidRDefault="00DA3205" w:rsidP="00DA3205">
      <w:pPr>
        <w:tabs>
          <w:tab w:val="clear" w:pos="567"/>
        </w:tabs>
        <w:spacing w:line="240" w:lineRule="auto"/>
        <w:rPr>
          <w:color w:val="000000"/>
          <w:szCs w:val="22"/>
          <w:lang w:val="et-EE"/>
        </w:rPr>
      </w:pPr>
    </w:p>
    <w:p w14:paraId="614F9BCF" w14:textId="77777777" w:rsidR="00DA3205" w:rsidRPr="00EC3BD7" w:rsidRDefault="00DA3205" w:rsidP="00DA3205">
      <w:pPr>
        <w:tabs>
          <w:tab w:val="clear" w:pos="567"/>
        </w:tabs>
        <w:spacing w:line="240" w:lineRule="auto"/>
        <w:rPr>
          <w:color w:val="000000"/>
          <w:szCs w:val="22"/>
          <w:lang w:val="et-EE"/>
        </w:rPr>
      </w:pPr>
    </w:p>
    <w:p w14:paraId="46193B60"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5.</w:t>
      </w:r>
      <w:r w:rsidRPr="00EC3BD7">
        <w:rPr>
          <w:b/>
          <w:color w:val="000000"/>
          <w:szCs w:val="22"/>
          <w:lang w:val="et-EE"/>
        </w:rPr>
        <w:tab/>
        <w:t>MANUSTAMISVIIS JA –TEE</w:t>
      </w:r>
      <w:r w:rsidR="00780752" w:rsidRPr="00EC3BD7">
        <w:rPr>
          <w:b/>
          <w:color w:val="000000"/>
          <w:szCs w:val="22"/>
          <w:lang w:val="et-EE"/>
        </w:rPr>
        <w:t>(D)</w:t>
      </w:r>
    </w:p>
    <w:p w14:paraId="5107B049" w14:textId="77777777" w:rsidR="00DA3205" w:rsidRPr="00EC3BD7" w:rsidRDefault="00DA3205" w:rsidP="00DA3205">
      <w:pPr>
        <w:tabs>
          <w:tab w:val="clear" w:pos="567"/>
        </w:tabs>
        <w:spacing w:line="240" w:lineRule="auto"/>
        <w:rPr>
          <w:color w:val="000000"/>
          <w:szCs w:val="22"/>
          <w:lang w:val="et-EE"/>
        </w:rPr>
      </w:pPr>
    </w:p>
    <w:p w14:paraId="2F02B544" w14:textId="77777777" w:rsidR="00DA3205" w:rsidRPr="00EC3BD7" w:rsidRDefault="00DA3205" w:rsidP="00DA3205">
      <w:pPr>
        <w:pStyle w:val="EndnoteText"/>
        <w:widowControl w:val="0"/>
        <w:tabs>
          <w:tab w:val="clear" w:pos="567"/>
        </w:tabs>
        <w:rPr>
          <w:color w:val="000000"/>
          <w:szCs w:val="22"/>
          <w:lang w:val="et-EE"/>
        </w:rPr>
      </w:pPr>
      <w:r w:rsidRPr="00EC3BD7">
        <w:rPr>
          <w:color w:val="000000"/>
          <w:szCs w:val="22"/>
          <w:lang w:val="et-EE"/>
        </w:rPr>
        <w:t>Suukaudne. Enne ravimi kasutamist lugege pakendi infolehte.</w:t>
      </w:r>
    </w:p>
    <w:p w14:paraId="15F0B5E4" w14:textId="77777777" w:rsidR="00DA3205" w:rsidRPr="00EC3BD7" w:rsidRDefault="00DA3205" w:rsidP="00DA3205">
      <w:pPr>
        <w:tabs>
          <w:tab w:val="clear" w:pos="567"/>
        </w:tabs>
        <w:spacing w:line="240" w:lineRule="auto"/>
        <w:rPr>
          <w:color w:val="000000"/>
          <w:szCs w:val="22"/>
          <w:lang w:val="et-EE"/>
        </w:rPr>
      </w:pPr>
    </w:p>
    <w:p w14:paraId="4E7EAA8B" w14:textId="77777777" w:rsidR="00DA3205" w:rsidRPr="00EC3BD7" w:rsidRDefault="00DA3205" w:rsidP="00DA3205">
      <w:pPr>
        <w:tabs>
          <w:tab w:val="clear" w:pos="567"/>
        </w:tabs>
        <w:spacing w:line="240" w:lineRule="auto"/>
        <w:rPr>
          <w:color w:val="000000"/>
          <w:szCs w:val="22"/>
          <w:lang w:val="et-EE"/>
        </w:rPr>
      </w:pPr>
    </w:p>
    <w:p w14:paraId="6C61719B"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6.</w:t>
      </w:r>
      <w:r w:rsidRPr="00EC3BD7">
        <w:rPr>
          <w:b/>
          <w:color w:val="000000"/>
          <w:szCs w:val="22"/>
          <w:lang w:val="et-EE"/>
        </w:rPr>
        <w:tab/>
        <w:t xml:space="preserve">ERIHOIATUS, ET RAVIMIT TULEB HOIDA LASTE EEST </w:t>
      </w:r>
      <w:r w:rsidR="007A3D8B" w:rsidRPr="00EC3BD7">
        <w:rPr>
          <w:b/>
          <w:color w:val="000000"/>
          <w:szCs w:val="22"/>
          <w:lang w:val="et-EE"/>
        </w:rPr>
        <w:t xml:space="preserve">VARJATUD JA </w:t>
      </w:r>
      <w:r w:rsidRPr="00EC3BD7">
        <w:rPr>
          <w:b/>
          <w:color w:val="000000"/>
          <w:szCs w:val="22"/>
          <w:lang w:val="et-EE"/>
        </w:rPr>
        <w:t>KÄTTESAAMATUS KOHAS</w:t>
      </w:r>
    </w:p>
    <w:p w14:paraId="715042B6" w14:textId="77777777" w:rsidR="00DA3205" w:rsidRPr="00EC3BD7" w:rsidRDefault="00DA3205" w:rsidP="00DA3205">
      <w:pPr>
        <w:tabs>
          <w:tab w:val="clear" w:pos="567"/>
        </w:tabs>
        <w:spacing w:line="240" w:lineRule="auto"/>
        <w:rPr>
          <w:color w:val="000000"/>
          <w:szCs w:val="22"/>
          <w:lang w:val="et-EE"/>
        </w:rPr>
      </w:pPr>
    </w:p>
    <w:p w14:paraId="2F1C469D" w14:textId="77777777" w:rsidR="00DA3205" w:rsidRPr="00EC3BD7" w:rsidRDefault="00DA3205" w:rsidP="00DA3205">
      <w:pPr>
        <w:tabs>
          <w:tab w:val="clear" w:pos="567"/>
        </w:tabs>
        <w:spacing w:line="240" w:lineRule="auto"/>
        <w:rPr>
          <w:color w:val="000000"/>
          <w:szCs w:val="22"/>
          <w:lang w:val="et-EE"/>
        </w:rPr>
      </w:pPr>
      <w:r w:rsidRPr="00EC3BD7">
        <w:rPr>
          <w:color w:val="000000"/>
          <w:szCs w:val="22"/>
          <w:lang w:val="et-EE"/>
        </w:rPr>
        <w:t>Hoida laste eest varjatud ja kättesaamatus kohas.</w:t>
      </w:r>
    </w:p>
    <w:p w14:paraId="6ACDD0AC" w14:textId="77777777" w:rsidR="00DA3205" w:rsidRPr="00EC3BD7" w:rsidRDefault="00DA3205" w:rsidP="00DA3205">
      <w:pPr>
        <w:tabs>
          <w:tab w:val="clear" w:pos="567"/>
        </w:tabs>
        <w:spacing w:line="240" w:lineRule="auto"/>
        <w:rPr>
          <w:color w:val="000000"/>
          <w:szCs w:val="22"/>
          <w:lang w:val="et-EE"/>
        </w:rPr>
      </w:pPr>
    </w:p>
    <w:p w14:paraId="74CB35F1" w14:textId="77777777" w:rsidR="00DA3205" w:rsidRPr="00EC3BD7" w:rsidRDefault="00DA3205" w:rsidP="00DA3205">
      <w:pPr>
        <w:tabs>
          <w:tab w:val="clear" w:pos="567"/>
        </w:tabs>
        <w:spacing w:line="240" w:lineRule="auto"/>
        <w:rPr>
          <w:color w:val="000000"/>
          <w:szCs w:val="22"/>
          <w:lang w:val="et-EE"/>
        </w:rPr>
      </w:pPr>
    </w:p>
    <w:p w14:paraId="32E14847"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7.</w:t>
      </w:r>
      <w:r w:rsidRPr="00EC3BD7">
        <w:rPr>
          <w:b/>
          <w:color w:val="000000"/>
          <w:szCs w:val="22"/>
          <w:lang w:val="et-EE"/>
        </w:rPr>
        <w:tab/>
        <w:t>TEISED ERIHOIATUSED (VAJADUSEL)</w:t>
      </w:r>
    </w:p>
    <w:p w14:paraId="079E8AA9" w14:textId="77777777" w:rsidR="00DA3205" w:rsidRPr="00EC3BD7" w:rsidRDefault="00DA3205" w:rsidP="00DA3205">
      <w:pPr>
        <w:tabs>
          <w:tab w:val="clear" w:pos="567"/>
        </w:tabs>
        <w:spacing w:line="240" w:lineRule="auto"/>
        <w:rPr>
          <w:color w:val="000000"/>
          <w:szCs w:val="22"/>
          <w:lang w:val="et-EE"/>
        </w:rPr>
      </w:pPr>
    </w:p>
    <w:p w14:paraId="683A3814" w14:textId="77777777" w:rsidR="00DA3205" w:rsidRPr="00EC3BD7" w:rsidRDefault="00DA3205" w:rsidP="00DA3205">
      <w:pPr>
        <w:pStyle w:val="EndnoteText"/>
        <w:widowControl w:val="0"/>
        <w:tabs>
          <w:tab w:val="clear" w:pos="567"/>
        </w:tabs>
        <w:rPr>
          <w:color w:val="000000"/>
          <w:szCs w:val="22"/>
          <w:lang w:val="et-EE"/>
        </w:rPr>
      </w:pPr>
      <w:r w:rsidRPr="00EC3BD7">
        <w:rPr>
          <w:color w:val="000000"/>
          <w:szCs w:val="22"/>
          <w:lang w:val="et-EE"/>
        </w:rPr>
        <w:t>Kasutada ainult vastavalt arsti juhistele.</w:t>
      </w:r>
    </w:p>
    <w:p w14:paraId="1C864A6F" w14:textId="77777777" w:rsidR="00DA3205" w:rsidRPr="00EC3BD7" w:rsidRDefault="00DA3205" w:rsidP="00DA3205">
      <w:pPr>
        <w:tabs>
          <w:tab w:val="clear" w:pos="567"/>
        </w:tabs>
        <w:spacing w:line="240" w:lineRule="auto"/>
        <w:rPr>
          <w:color w:val="000000"/>
          <w:szCs w:val="22"/>
          <w:lang w:val="et-EE"/>
        </w:rPr>
      </w:pPr>
    </w:p>
    <w:p w14:paraId="66E23EC4" w14:textId="77777777" w:rsidR="00DA3205" w:rsidRPr="00EC3BD7" w:rsidRDefault="00DA3205" w:rsidP="00DA3205">
      <w:pPr>
        <w:tabs>
          <w:tab w:val="clear" w:pos="567"/>
        </w:tabs>
        <w:spacing w:line="240" w:lineRule="auto"/>
        <w:rPr>
          <w:color w:val="000000"/>
          <w:szCs w:val="22"/>
          <w:lang w:val="et-EE"/>
        </w:rPr>
      </w:pPr>
    </w:p>
    <w:p w14:paraId="108ED91F"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8.</w:t>
      </w:r>
      <w:r w:rsidRPr="00EC3BD7">
        <w:rPr>
          <w:b/>
          <w:color w:val="000000"/>
          <w:szCs w:val="22"/>
          <w:lang w:val="et-EE"/>
        </w:rPr>
        <w:tab/>
        <w:t>KÕLBLIKKUSAEG</w:t>
      </w:r>
    </w:p>
    <w:p w14:paraId="532C2DA9" w14:textId="77777777" w:rsidR="00DA3205" w:rsidRPr="00EC3BD7" w:rsidRDefault="00DA3205" w:rsidP="00DA3205">
      <w:pPr>
        <w:tabs>
          <w:tab w:val="clear" w:pos="567"/>
        </w:tabs>
        <w:spacing w:line="240" w:lineRule="auto"/>
        <w:rPr>
          <w:color w:val="000000"/>
          <w:szCs w:val="22"/>
          <w:lang w:val="et-EE"/>
        </w:rPr>
      </w:pPr>
    </w:p>
    <w:p w14:paraId="60E09D76" w14:textId="77777777" w:rsidR="00DA3205" w:rsidRPr="00EC3BD7" w:rsidRDefault="00F95D17" w:rsidP="00DA3205">
      <w:pPr>
        <w:pStyle w:val="EndnoteText"/>
        <w:widowControl w:val="0"/>
        <w:tabs>
          <w:tab w:val="clear" w:pos="567"/>
        </w:tabs>
        <w:rPr>
          <w:color w:val="000000"/>
          <w:szCs w:val="22"/>
          <w:lang w:val="et-EE"/>
        </w:rPr>
      </w:pPr>
      <w:r w:rsidRPr="00EC3BD7">
        <w:rPr>
          <w:color w:val="000000"/>
          <w:szCs w:val="22"/>
          <w:lang w:val="et-EE"/>
        </w:rPr>
        <w:t>EXP</w:t>
      </w:r>
    </w:p>
    <w:p w14:paraId="24059561" w14:textId="77777777" w:rsidR="00DA3205" w:rsidRPr="00EC3BD7" w:rsidRDefault="00DA3205" w:rsidP="00DA3205">
      <w:pPr>
        <w:tabs>
          <w:tab w:val="clear" w:pos="567"/>
        </w:tabs>
        <w:spacing w:line="240" w:lineRule="auto"/>
        <w:rPr>
          <w:color w:val="000000"/>
          <w:szCs w:val="22"/>
          <w:lang w:val="et-EE"/>
        </w:rPr>
      </w:pPr>
    </w:p>
    <w:p w14:paraId="05407818" w14:textId="77777777" w:rsidR="00DA3205" w:rsidRPr="00EC3BD7" w:rsidRDefault="00DA3205" w:rsidP="00DA3205">
      <w:pPr>
        <w:tabs>
          <w:tab w:val="clear" w:pos="567"/>
        </w:tabs>
        <w:spacing w:line="240" w:lineRule="auto"/>
        <w:rPr>
          <w:color w:val="000000"/>
          <w:szCs w:val="22"/>
          <w:lang w:val="et-EE"/>
        </w:rPr>
      </w:pPr>
    </w:p>
    <w:p w14:paraId="154BD9A2"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szCs w:val="22"/>
          <w:lang w:val="et-EE"/>
        </w:rPr>
      </w:pPr>
      <w:r w:rsidRPr="00EC3BD7">
        <w:rPr>
          <w:b/>
          <w:color w:val="000000"/>
          <w:szCs w:val="22"/>
          <w:lang w:val="et-EE"/>
        </w:rPr>
        <w:t>9.</w:t>
      </w:r>
      <w:r w:rsidRPr="00EC3BD7">
        <w:rPr>
          <w:b/>
          <w:color w:val="000000"/>
          <w:szCs w:val="22"/>
          <w:lang w:val="et-EE"/>
        </w:rPr>
        <w:tab/>
        <w:t>SÄILITAMISE ERITINGIMUSED</w:t>
      </w:r>
    </w:p>
    <w:p w14:paraId="19E8D613" w14:textId="77777777" w:rsidR="00DA3205" w:rsidRPr="00EC3BD7" w:rsidRDefault="00DA3205" w:rsidP="00DA3205">
      <w:pPr>
        <w:tabs>
          <w:tab w:val="clear" w:pos="567"/>
        </w:tabs>
        <w:spacing w:line="240" w:lineRule="auto"/>
        <w:rPr>
          <w:color w:val="000000"/>
          <w:szCs w:val="22"/>
          <w:lang w:val="et-EE"/>
        </w:rPr>
      </w:pPr>
    </w:p>
    <w:p w14:paraId="14694F8D" w14:textId="77777777" w:rsidR="00DA3205" w:rsidRPr="00EC3BD7" w:rsidRDefault="00DA3205" w:rsidP="00DA3205">
      <w:pPr>
        <w:pStyle w:val="Text"/>
        <w:widowControl w:val="0"/>
        <w:spacing w:before="0"/>
        <w:rPr>
          <w:color w:val="000000"/>
          <w:sz w:val="22"/>
          <w:szCs w:val="22"/>
          <w:lang w:val="et-EE"/>
        </w:rPr>
      </w:pPr>
      <w:r w:rsidRPr="00EC3BD7">
        <w:rPr>
          <w:color w:val="000000"/>
          <w:sz w:val="22"/>
          <w:szCs w:val="22"/>
          <w:lang w:val="et-EE"/>
        </w:rPr>
        <w:t>Hoida temperatuuril kuni 30</w:t>
      </w:r>
      <w:r w:rsidRPr="00EC3BD7">
        <w:rPr>
          <w:color w:val="000000"/>
          <w:sz w:val="22"/>
          <w:szCs w:val="22"/>
          <w:lang w:val="et-EE"/>
        </w:rPr>
        <w:sym w:font="Symbol" w:char="F0B0"/>
      </w:r>
      <w:r w:rsidRPr="00EC3BD7">
        <w:rPr>
          <w:color w:val="000000"/>
          <w:sz w:val="22"/>
          <w:szCs w:val="22"/>
          <w:lang w:val="et-EE"/>
        </w:rPr>
        <w:t>C. Hoida originaalpakendis, niiskuse eest kaitstult.</w:t>
      </w:r>
    </w:p>
    <w:p w14:paraId="271D93FD" w14:textId="77777777" w:rsidR="00DA3205" w:rsidRPr="00EC3BD7" w:rsidRDefault="00DA3205" w:rsidP="00DA3205">
      <w:pPr>
        <w:tabs>
          <w:tab w:val="clear" w:pos="567"/>
        </w:tabs>
        <w:spacing w:line="240" w:lineRule="auto"/>
        <w:rPr>
          <w:color w:val="000000"/>
          <w:szCs w:val="22"/>
          <w:lang w:val="et-EE"/>
        </w:rPr>
      </w:pPr>
    </w:p>
    <w:p w14:paraId="34C31A7E" w14:textId="77777777" w:rsidR="00DA3205" w:rsidRPr="00EC3BD7" w:rsidRDefault="00DA3205" w:rsidP="00DA3205">
      <w:pPr>
        <w:tabs>
          <w:tab w:val="clear" w:pos="567"/>
        </w:tabs>
        <w:spacing w:line="240" w:lineRule="auto"/>
        <w:rPr>
          <w:color w:val="000000"/>
          <w:szCs w:val="22"/>
          <w:lang w:val="et-EE"/>
        </w:rPr>
      </w:pPr>
    </w:p>
    <w:p w14:paraId="3BDC157C"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lastRenderedPageBreak/>
        <w:t>10.</w:t>
      </w:r>
      <w:r w:rsidRPr="00EC3BD7">
        <w:rPr>
          <w:b/>
          <w:color w:val="000000"/>
          <w:szCs w:val="22"/>
          <w:lang w:val="et-EE"/>
        </w:rPr>
        <w:tab/>
        <w:t>ERINÕUDED KASUTAMATA JÄÄNUD RAVIM</w:t>
      </w:r>
      <w:r w:rsidR="00054368" w:rsidRPr="00EC3BD7">
        <w:rPr>
          <w:b/>
          <w:color w:val="000000"/>
          <w:szCs w:val="22"/>
          <w:lang w:val="et-EE"/>
        </w:rPr>
        <w:t>PREPARAAD</w:t>
      </w:r>
      <w:r w:rsidRPr="00EC3BD7">
        <w:rPr>
          <w:b/>
          <w:color w:val="000000"/>
          <w:szCs w:val="22"/>
          <w:lang w:val="et-EE"/>
        </w:rPr>
        <w:t xml:space="preserve">I VÕI </w:t>
      </w:r>
      <w:r w:rsidR="00054368" w:rsidRPr="00EC3BD7">
        <w:rPr>
          <w:b/>
          <w:color w:val="000000"/>
          <w:szCs w:val="22"/>
          <w:lang w:val="et-EE"/>
        </w:rPr>
        <w:t xml:space="preserve">SELLEST TEKKINUD </w:t>
      </w:r>
      <w:r w:rsidRPr="00EC3BD7">
        <w:rPr>
          <w:b/>
          <w:color w:val="000000"/>
          <w:szCs w:val="22"/>
          <w:lang w:val="et-EE"/>
        </w:rPr>
        <w:t xml:space="preserve">JÄÄTMEMATERJALI HÄVITAMISEKS, VASTAVALT </w:t>
      </w:r>
      <w:r w:rsidR="00054368" w:rsidRPr="00EC3BD7">
        <w:rPr>
          <w:b/>
          <w:color w:val="000000"/>
          <w:szCs w:val="22"/>
          <w:lang w:val="et-EE"/>
        </w:rPr>
        <w:t>VAJADUSELE</w:t>
      </w:r>
    </w:p>
    <w:p w14:paraId="05311B5B" w14:textId="77777777" w:rsidR="00DA3205" w:rsidRPr="00EC3BD7" w:rsidRDefault="00DA3205" w:rsidP="00DA3205">
      <w:pPr>
        <w:tabs>
          <w:tab w:val="clear" w:pos="567"/>
        </w:tabs>
        <w:spacing w:line="240" w:lineRule="auto"/>
        <w:rPr>
          <w:color w:val="000000"/>
          <w:szCs w:val="22"/>
          <w:lang w:val="et-EE"/>
        </w:rPr>
      </w:pPr>
    </w:p>
    <w:p w14:paraId="47F3155A" w14:textId="77777777" w:rsidR="00DA3205" w:rsidRPr="00EC3BD7" w:rsidRDefault="00DA3205" w:rsidP="00DA3205">
      <w:pPr>
        <w:tabs>
          <w:tab w:val="clear" w:pos="567"/>
        </w:tabs>
        <w:spacing w:line="240" w:lineRule="auto"/>
        <w:rPr>
          <w:color w:val="000000"/>
          <w:szCs w:val="22"/>
          <w:lang w:val="et-EE"/>
        </w:rPr>
      </w:pPr>
    </w:p>
    <w:p w14:paraId="5386E660"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11.</w:t>
      </w:r>
      <w:r w:rsidRPr="00EC3BD7">
        <w:rPr>
          <w:b/>
          <w:color w:val="000000"/>
          <w:szCs w:val="22"/>
          <w:lang w:val="et-EE"/>
        </w:rPr>
        <w:tab/>
        <w:t>MÜÜGILOA HOIDJA NIMI JA AADRESS</w:t>
      </w:r>
    </w:p>
    <w:p w14:paraId="7940D20E" w14:textId="77777777" w:rsidR="00DA3205" w:rsidRPr="00EC3BD7" w:rsidRDefault="00DA3205" w:rsidP="00DA3205">
      <w:pPr>
        <w:tabs>
          <w:tab w:val="clear" w:pos="567"/>
        </w:tabs>
        <w:spacing w:line="240" w:lineRule="auto"/>
        <w:rPr>
          <w:color w:val="000000"/>
          <w:szCs w:val="22"/>
          <w:lang w:val="et-EE"/>
        </w:rPr>
      </w:pPr>
    </w:p>
    <w:p w14:paraId="46C7537A" w14:textId="77777777" w:rsidR="00DA3205" w:rsidRPr="00EC3BD7" w:rsidRDefault="00DA3205" w:rsidP="00B9089D">
      <w:pPr>
        <w:pStyle w:val="EndnoteText"/>
        <w:keepNext/>
        <w:widowControl w:val="0"/>
        <w:tabs>
          <w:tab w:val="clear" w:pos="567"/>
        </w:tabs>
        <w:rPr>
          <w:color w:val="000000"/>
          <w:szCs w:val="22"/>
          <w:lang w:val="et-EE"/>
        </w:rPr>
      </w:pPr>
      <w:r w:rsidRPr="00EC3BD7">
        <w:rPr>
          <w:color w:val="000000"/>
          <w:szCs w:val="22"/>
          <w:lang w:val="et-EE"/>
        </w:rPr>
        <w:t>Novartis Europharm Limited</w:t>
      </w:r>
    </w:p>
    <w:p w14:paraId="67DA5AD7" w14:textId="77777777" w:rsidR="003948E3" w:rsidRPr="00EC3BD7" w:rsidRDefault="003948E3" w:rsidP="003948E3">
      <w:pPr>
        <w:keepNext/>
        <w:widowControl w:val="0"/>
        <w:spacing w:line="240" w:lineRule="auto"/>
        <w:rPr>
          <w:color w:val="000000"/>
          <w:lang w:val="et-EE"/>
        </w:rPr>
      </w:pPr>
      <w:r w:rsidRPr="00EC3BD7">
        <w:rPr>
          <w:color w:val="000000"/>
          <w:lang w:val="et-EE"/>
        </w:rPr>
        <w:t>Vista Building</w:t>
      </w:r>
    </w:p>
    <w:p w14:paraId="3EDBDD0C" w14:textId="77777777" w:rsidR="003948E3" w:rsidRPr="00EC3BD7" w:rsidRDefault="003948E3" w:rsidP="003948E3">
      <w:pPr>
        <w:keepNext/>
        <w:widowControl w:val="0"/>
        <w:spacing w:line="240" w:lineRule="auto"/>
        <w:rPr>
          <w:color w:val="000000"/>
        </w:rPr>
      </w:pPr>
      <w:r w:rsidRPr="00EC3BD7">
        <w:rPr>
          <w:color w:val="000000"/>
        </w:rPr>
        <w:t>Elm Park, Merrion Road</w:t>
      </w:r>
    </w:p>
    <w:p w14:paraId="13BBE144" w14:textId="77777777" w:rsidR="003948E3" w:rsidRPr="00EC3BD7" w:rsidRDefault="003948E3" w:rsidP="003948E3">
      <w:pPr>
        <w:keepNext/>
        <w:widowControl w:val="0"/>
        <w:spacing w:line="240" w:lineRule="auto"/>
        <w:rPr>
          <w:color w:val="000000"/>
        </w:rPr>
      </w:pPr>
      <w:r w:rsidRPr="00EC3BD7">
        <w:rPr>
          <w:color w:val="000000"/>
        </w:rPr>
        <w:t>Dublin 4</w:t>
      </w:r>
    </w:p>
    <w:p w14:paraId="29BDA141" w14:textId="77777777" w:rsidR="00DA3205" w:rsidRPr="00EC3BD7" w:rsidRDefault="003948E3" w:rsidP="00DA3205">
      <w:pPr>
        <w:widowControl w:val="0"/>
        <w:spacing w:line="240" w:lineRule="auto"/>
        <w:rPr>
          <w:color w:val="000000"/>
          <w:szCs w:val="22"/>
          <w:lang w:val="et-EE"/>
        </w:rPr>
      </w:pPr>
      <w:r w:rsidRPr="003A489E">
        <w:rPr>
          <w:color w:val="000000"/>
          <w:lang w:val="de-CH"/>
        </w:rPr>
        <w:t>Iirimaa</w:t>
      </w:r>
    </w:p>
    <w:p w14:paraId="6AE01340" w14:textId="77777777" w:rsidR="00DA3205" w:rsidRPr="00EC3BD7" w:rsidRDefault="00DA3205" w:rsidP="00DA3205">
      <w:pPr>
        <w:tabs>
          <w:tab w:val="clear" w:pos="567"/>
        </w:tabs>
        <w:spacing w:line="240" w:lineRule="auto"/>
        <w:rPr>
          <w:color w:val="000000"/>
          <w:szCs w:val="22"/>
          <w:lang w:val="et-EE"/>
        </w:rPr>
      </w:pPr>
    </w:p>
    <w:p w14:paraId="314F79E2" w14:textId="77777777" w:rsidR="00DA3205" w:rsidRPr="00EC3BD7" w:rsidRDefault="00DA3205" w:rsidP="00DA3205">
      <w:pPr>
        <w:tabs>
          <w:tab w:val="clear" w:pos="567"/>
        </w:tabs>
        <w:spacing w:line="240" w:lineRule="auto"/>
        <w:rPr>
          <w:color w:val="000000"/>
          <w:szCs w:val="22"/>
          <w:lang w:val="et-EE"/>
        </w:rPr>
      </w:pPr>
    </w:p>
    <w:p w14:paraId="5103A1DA"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12.</w:t>
      </w:r>
      <w:r w:rsidRPr="00EC3BD7">
        <w:rPr>
          <w:b/>
          <w:color w:val="000000"/>
          <w:szCs w:val="22"/>
          <w:lang w:val="et-EE"/>
        </w:rPr>
        <w:tab/>
        <w:t>MÜÜGILOA NUMBER (NUMBRID)</w:t>
      </w:r>
    </w:p>
    <w:p w14:paraId="1364FE5E" w14:textId="77777777" w:rsidR="00DA3205" w:rsidRPr="00EC3BD7" w:rsidRDefault="00DA3205" w:rsidP="00DA3205">
      <w:pPr>
        <w:tabs>
          <w:tab w:val="clear" w:pos="567"/>
        </w:tabs>
        <w:spacing w:line="240" w:lineRule="auto"/>
        <w:rPr>
          <w:color w:val="000000"/>
          <w:szCs w:val="22"/>
          <w:lang w:val="et-EE"/>
        </w:rPr>
      </w:pPr>
    </w:p>
    <w:p w14:paraId="247F0B48" w14:textId="77777777" w:rsidR="00DA3205" w:rsidRPr="00EC3BD7" w:rsidRDefault="00DA3205" w:rsidP="00DA3205">
      <w:pPr>
        <w:pStyle w:val="EndnoteText"/>
        <w:widowControl w:val="0"/>
        <w:tabs>
          <w:tab w:val="clear" w:pos="567"/>
          <w:tab w:val="left" w:pos="2268"/>
        </w:tabs>
        <w:rPr>
          <w:color w:val="000000"/>
          <w:szCs w:val="22"/>
          <w:shd w:val="clear" w:color="auto" w:fill="D9D9D9"/>
          <w:lang w:val="et-EE"/>
        </w:rPr>
      </w:pPr>
      <w:r w:rsidRPr="00EC3BD7">
        <w:rPr>
          <w:color w:val="000000"/>
          <w:szCs w:val="22"/>
          <w:lang w:val="et-EE"/>
        </w:rPr>
        <w:t>EU/1/01/198/002</w:t>
      </w:r>
      <w:r w:rsidRPr="00EC3BD7">
        <w:rPr>
          <w:color w:val="000000"/>
          <w:szCs w:val="22"/>
          <w:lang w:val="et-EE"/>
        </w:rPr>
        <w:tab/>
      </w:r>
      <w:r w:rsidRPr="00EC3BD7">
        <w:rPr>
          <w:color w:val="000000"/>
          <w:szCs w:val="22"/>
          <w:shd w:val="clear" w:color="auto" w:fill="D9D9D9"/>
          <w:lang w:val="et-EE"/>
        </w:rPr>
        <w:t>24 kapslit</w:t>
      </w:r>
    </w:p>
    <w:p w14:paraId="38E0864C" w14:textId="77777777" w:rsidR="00DA3205" w:rsidRPr="00EC3BD7" w:rsidRDefault="00DA3205" w:rsidP="00DA3205">
      <w:pPr>
        <w:tabs>
          <w:tab w:val="clear" w:pos="567"/>
          <w:tab w:val="left" w:pos="2268"/>
        </w:tabs>
        <w:spacing w:line="240" w:lineRule="auto"/>
        <w:rPr>
          <w:color w:val="000000"/>
          <w:szCs w:val="22"/>
          <w:shd w:val="clear" w:color="auto" w:fill="D9D9D9"/>
          <w:lang w:val="et-EE"/>
        </w:rPr>
      </w:pPr>
      <w:r w:rsidRPr="00EC3BD7">
        <w:rPr>
          <w:color w:val="000000"/>
          <w:szCs w:val="22"/>
          <w:shd w:val="clear" w:color="auto" w:fill="D9D9D9"/>
          <w:lang w:val="et-EE"/>
        </w:rPr>
        <w:t>EU/1/01/198/003</w:t>
      </w:r>
      <w:r w:rsidRPr="00EC3BD7">
        <w:rPr>
          <w:color w:val="000000"/>
          <w:szCs w:val="22"/>
          <w:shd w:val="clear" w:color="auto" w:fill="D9D9D9"/>
          <w:lang w:val="et-EE"/>
        </w:rPr>
        <w:tab/>
        <w:t>48 kapslit</w:t>
      </w:r>
    </w:p>
    <w:p w14:paraId="188CF3D8" w14:textId="77777777" w:rsidR="00DA3205" w:rsidRPr="00EC3BD7" w:rsidRDefault="00DA3205" w:rsidP="00DA3205">
      <w:pPr>
        <w:tabs>
          <w:tab w:val="clear" w:pos="567"/>
          <w:tab w:val="left" w:pos="2268"/>
        </w:tabs>
        <w:spacing w:line="240" w:lineRule="auto"/>
        <w:rPr>
          <w:color w:val="000000"/>
          <w:szCs w:val="22"/>
          <w:shd w:val="clear" w:color="auto" w:fill="D9D9D9"/>
          <w:lang w:val="et-EE"/>
        </w:rPr>
      </w:pPr>
      <w:r w:rsidRPr="00EC3BD7">
        <w:rPr>
          <w:color w:val="000000"/>
          <w:szCs w:val="22"/>
          <w:shd w:val="clear" w:color="auto" w:fill="D9D9D9"/>
          <w:lang w:val="et-EE"/>
        </w:rPr>
        <w:t>EU/1/01/198/004</w:t>
      </w:r>
      <w:r w:rsidRPr="00EC3BD7">
        <w:rPr>
          <w:color w:val="000000"/>
          <w:szCs w:val="22"/>
          <w:shd w:val="clear" w:color="auto" w:fill="D9D9D9"/>
          <w:lang w:val="et-EE"/>
        </w:rPr>
        <w:tab/>
        <w:t>96 kapslit</w:t>
      </w:r>
    </w:p>
    <w:p w14:paraId="72735DF6" w14:textId="77777777" w:rsidR="00DA3205" w:rsidRPr="00EC3BD7" w:rsidRDefault="00DA3205" w:rsidP="00DA3205">
      <w:pPr>
        <w:tabs>
          <w:tab w:val="clear" w:pos="567"/>
          <w:tab w:val="left" w:pos="2268"/>
        </w:tabs>
        <w:spacing w:line="240" w:lineRule="auto"/>
        <w:rPr>
          <w:color w:val="000000"/>
          <w:szCs w:val="22"/>
          <w:shd w:val="clear" w:color="auto" w:fill="D9D9D9"/>
          <w:lang w:val="et-EE"/>
        </w:rPr>
      </w:pPr>
      <w:r w:rsidRPr="00EC3BD7">
        <w:rPr>
          <w:color w:val="000000"/>
          <w:szCs w:val="22"/>
          <w:shd w:val="clear" w:color="auto" w:fill="D9D9D9"/>
          <w:lang w:val="et-EE"/>
        </w:rPr>
        <w:t>EU/1/01/198/005</w:t>
      </w:r>
      <w:r w:rsidRPr="00EC3BD7">
        <w:rPr>
          <w:color w:val="000000"/>
          <w:szCs w:val="22"/>
          <w:shd w:val="clear" w:color="auto" w:fill="D9D9D9"/>
          <w:lang w:val="et-EE"/>
        </w:rPr>
        <w:tab/>
        <w:t>120 kapslit</w:t>
      </w:r>
    </w:p>
    <w:p w14:paraId="4EE8A4EC" w14:textId="77777777" w:rsidR="00DA3205" w:rsidRPr="00EC3BD7" w:rsidRDefault="00DA3205" w:rsidP="00DA3205">
      <w:pPr>
        <w:tabs>
          <w:tab w:val="clear" w:pos="567"/>
          <w:tab w:val="left" w:pos="2268"/>
        </w:tabs>
        <w:spacing w:line="240" w:lineRule="auto"/>
        <w:rPr>
          <w:color w:val="000000"/>
          <w:szCs w:val="22"/>
          <w:shd w:val="clear" w:color="auto" w:fill="D9D9D9"/>
          <w:lang w:val="et-EE"/>
        </w:rPr>
      </w:pPr>
      <w:r w:rsidRPr="00EC3BD7">
        <w:rPr>
          <w:color w:val="000000"/>
          <w:szCs w:val="22"/>
          <w:shd w:val="clear" w:color="auto" w:fill="D9D9D9"/>
          <w:lang w:val="et-EE"/>
        </w:rPr>
        <w:t>EU/1/01/198/006</w:t>
      </w:r>
      <w:r w:rsidRPr="00EC3BD7">
        <w:rPr>
          <w:color w:val="000000"/>
          <w:szCs w:val="22"/>
          <w:shd w:val="clear" w:color="auto" w:fill="D9D9D9"/>
          <w:lang w:val="et-EE"/>
        </w:rPr>
        <w:tab/>
        <w:t>180 kapslit</w:t>
      </w:r>
    </w:p>
    <w:p w14:paraId="4E0BC3A1" w14:textId="77777777" w:rsidR="00DA3205" w:rsidRPr="00EC3BD7" w:rsidRDefault="00DA3205" w:rsidP="00DA3205">
      <w:pPr>
        <w:tabs>
          <w:tab w:val="clear" w:pos="567"/>
        </w:tabs>
        <w:spacing w:line="240" w:lineRule="auto"/>
        <w:rPr>
          <w:color w:val="000000"/>
          <w:szCs w:val="22"/>
          <w:lang w:val="et-EE"/>
        </w:rPr>
      </w:pPr>
    </w:p>
    <w:p w14:paraId="345CE5C9" w14:textId="77777777" w:rsidR="00DA3205" w:rsidRPr="00EC3BD7" w:rsidRDefault="00DA3205" w:rsidP="00DA3205">
      <w:pPr>
        <w:tabs>
          <w:tab w:val="clear" w:pos="567"/>
        </w:tabs>
        <w:spacing w:line="240" w:lineRule="auto"/>
        <w:rPr>
          <w:color w:val="000000"/>
          <w:szCs w:val="22"/>
          <w:lang w:val="et-EE"/>
        </w:rPr>
      </w:pPr>
    </w:p>
    <w:p w14:paraId="6AE811E1"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13.</w:t>
      </w:r>
      <w:r w:rsidRPr="00EC3BD7">
        <w:rPr>
          <w:b/>
          <w:color w:val="000000"/>
          <w:szCs w:val="22"/>
          <w:lang w:val="et-EE"/>
        </w:rPr>
        <w:tab/>
        <w:t>PARTII NUMBER</w:t>
      </w:r>
    </w:p>
    <w:p w14:paraId="6402D7FA" w14:textId="77777777" w:rsidR="00DA3205" w:rsidRPr="00EC3BD7" w:rsidRDefault="00DA3205" w:rsidP="00DA3205">
      <w:pPr>
        <w:tabs>
          <w:tab w:val="clear" w:pos="567"/>
        </w:tabs>
        <w:spacing w:line="240" w:lineRule="auto"/>
        <w:rPr>
          <w:color w:val="000000"/>
          <w:szCs w:val="22"/>
          <w:lang w:val="et-EE"/>
        </w:rPr>
      </w:pPr>
    </w:p>
    <w:p w14:paraId="5C2479BF" w14:textId="77777777" w:rsidR="00DA3205" w:rsidRPr="00EC3BD7" w:rsidRDefault="00F95D17" w:rsidP="00DA3205">
      <w:pPr>
        <w:widowControl w:val="0"/>
        <w:tabs>
          <w:tab w:val="clear" w:pos="567"/>
        </w:tabs>
        <w:spacing w:line="240" w:lineRule="auto"/>
        <w:rPr>
          <w:color w:val="000000"/>
          <w:szCs w:val="22"/>
          <w:lang w:val="et-EE"/>
        </w:rPr>
      </w:pPr>
      <w:r w:rsidRPr="00EC3BD7">
        <w:rPr>
          <w:color w:val="000000"/>
          <w:szCs w:val="22"/>
          <w:lang w:val="et-EE"/>
        </w:rPr>
        <w:t>Lot</w:t>
      </w:r>
    </w:p>
    <w:p w14:paraId="7E5F6BC0" w14:textId="77777777" w:rsidR="00DA3205" w:rsidRPr="00EC3BD7" w:rsidRDefault="00DA3205" w:rsidP="00DA3205">
      <w:pPr>
        <w:tabs>
          <w:tab w:val="clear" w:pos="567"/>
        </w:tabs>
        <w:spacing w:line="240" w:lineRule="auto"/>
        <w:rPr>
          <w:color w:val="000000"/>
          <w:szCs w:val="22"/>
          <w:lang w:val="et-EE"/>
        </w:rPr>
      </w:pPr>
    </w:p>
    <w:p w14:paraId="2DB59D03" w14:textId="77777777" w:rsidR="00DA3205" w:rsidRPr="00EC3BD7" w:rsidRDefault="00DA3205" w:rsidP="00DA3205">
      <w:pPr>
        <w:tabs>
          <w:tab w:val="clear" w:pos="567"/>
        </w:tabs>
        <w:spacing w:line="240" w:lineRule="auto"/>
        <w:rPr>
          <w:color w:val="000000"/>
          <w:szCs w:val="22"/>
          <w:lang w:val="et-EE"/>
        </w:rPr>
      </w:pPr>
    </w:p>
    <w:p w14:paraId="2B554419"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14.</w:t>
      </w:r>
      <w:r w:rsidRPr="00EC3BD7">
        <w:rPr>
          <w:b/>
          <w:color w:val="000000"/>
          <w:szCs w:val="22"/>
          <w:lang w:val="et-EE"/>
        </w:rPr>
        <w:tab/>
        <w:t>RAVIMI VÄLJASTAMISTINGIMUSED</w:t>
      </w:r>
    </w:p>
    <w:p w14:paraId="01223BEB" w14:textId="77777777" w:rsidR="00DA3205" w:rsidRPr="00EC3BD7" w:rsidRDefault="00DA3205" w:rsidP="00DA3205">
      <w:pPr>
        <w:tabs>
          <w:tab w:val="clear" w:pos="567"/>
        </w:tabs>
        <w:spacing w:line="240" w:lineRule="auto"/>
        <w:rPr>
          <w:color w:val="000000"/>
          <w:szCs w:val="22"/>
          <w:lang w:val="et-EE"/>
        </w:rPr>
      </w:pPr>
    </w:p>
    <w:p w14:paraId="196148C4" w14:textId="77777777" w:rsidR="00DA3205" w:rsidRPr="00EC3BD7" w:rsidRDefault="00DA3205" w:rsidP="00DA3205">
      <w:pPr>
        <w:tabs>
          <w:tab w:val="clear" w:pos="567"/>
        </w:tabs>
        <w:spacing w:line="240" w:lineRule="auto"/>
        <w:rPr>
          <w:color w:val="000000"/>
          <w:szCs w:val="22"/>
          <w:lang w:val="et-EE"/>
        </w:rPr>
      </w:pPr>
    </w:p>
    <w:p w14:paraId="443148FE"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15.</w:t>
      </w:r>
      <w:r w:rsidRPr="00EC3BD7">
        <w:rPr>
          <w:b/>
          <w:color w:val="000000"/>
          <w:szCs w:val="22"/>
          <w:lang w:val="et-EE"/>
        </w:rPr>
        <w:tab/>
        <w:t>KASUTUSJUHEND</w:t>
      </w:r>
    </w:p>
    <w:p w14:paraId="31CA09AF" w14:textId="77777777" w:rsidR="00DA3205" w:rsidRPr="00EC3BD7" w:rsidRDefault="00DA3205" w:rsidP="00DA3205">
      <w:pPr>
        <w:tabs>
          <w:tab w:val="clear" w:pos="567"/>
        </w:tabs>
        <w:spacing w:line="240" w:lineRule="auto"/>
        <w:rPr>
          <w:color w:val="000000"/>
          <w:szCs w:val="22"/>
          <w:lang w:val="et-EE"/>
        </w:rPr>
      </w:pPr>
    </w:p>
    <w:p w14:paraId="2EE252CC" w14:textId="77777777" w:rsidR="00DA3205" w:rsidRPr="00EC3BD7" w:rsidRDefault="00DA3205" w:rsidP="00DA3205">
      <w:pPr>
        <w:tabs>
          <w:tab w:val="clear" w:pos="567"/>
        </w:tabs>
        <w:spacing w:line="240" w:lineRule="auto"/>
        <w:rPr>
          <w:color w:val="000000"/>
          <w:szCs w:val="22"/>
          <w:lang w:val="et-EE"/>
        </w:rPr>
      </w:pPr>
    </w:p>
    <w:p w14:paraId="3B8F15E1"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16.</w:t>
      </w:r>
      <w:r w:rsidRPr="00EC3BD7">
        <w:rPr>
          <w:b/>
          <w:color w:val="000000"/>
          <w:szCs w:val="22"/>
          <w:lang w:val="et-EE"/>
        </w:rPr>
        <w:tab/>
      </w:r>
      <w:r w:rsidR="000345E8" w:rsidRPr="00EC3BD7">
        <w:rPr>
          <w:b/>
          <w:color w:val="000000"/>
          <w:szCs w:val="22"/>
          <w:lang w:val="et-EE"/>
        </w:rPr>
        <w:t>TEAVE</w:t>
      </w:r>
      <w:r w:rsidRPr="00EC3BD7">
        <w:rPr>
          <w:b/>
          <w:color w:val="000000"/>
          <w:szCs w:val="22"/>
          <w:lang w:val="et-EE"/>
        </w:rPr>
        <w:t xml:space="preserve"> BRAILLE’ KIRJAS (PUNKTKIRJAS)</w:t>
      </w:r>
    </w:p>
    <w:p w14:paraId="7B47344C" w14:textId="77777777" w:rsidR="00DA3205" w:rsidRPr="00EC3BD7" w:rsidRDefault="00DA3205" w:rsidP="00DA3205">
      <w:pPr>
        <w:tabs>
          <w:tab w:val="clear" w:pos="567"/>
        </w:tabs>
        <w:spacing w:line="240" w:lineRule="auto"/>
        <w:rPr>
          <w:color w:val="000000"/>
          <w:szCs w:val="22"/>
          <w:lang w:val="et-EE"/>
        </w:rPr>
      </w:pPr>
    </w:p>
    <w:p w14:paraId="75AE4676" w14:textId="77777777" w:rsidR="00DA3205" w:rsidRPr="00EC3BD7" w:rsidRDefault="00DA3205" w:rsidP="00DA3205">
      <w:pPr>
        <w:tabs>
          <w:tab w:val="clear" w:pos="567"/>
        </w:tabs>
        <w:spacing w:line="240" w:lineRule="auto"/>
        <w:rPr>
          <w:color w:val="000000"/>
          <w:szCs w:val="22"/>
          <w:lang w:val="et-EE"/>
        </w:rPr>
      </w:pPr>
      <w:r w:rsidRPr="00EC3BD7">
        <w:rPr>
          <w:color w:val="000000"/>
          <w:szCs w:val="22"/>
          <w:lang w:val="et-EE"/>
        </w:rPr>
        <w:t>Glivec 100 mg</w:t>
      </w:r>
    </w:p>
    <w:p w14:paraId="39D20AA3" w14:textId="77777777" w:rsidR="00750E63" w:rsidRPr="00EC3BD7" w:rsidRDefault="00750E63" w:rsidP="00750E63">
      <w:pPr>
        <w:widowControl w:val="0"/>
        <w:tabs>
          <w:tab w:val="clear" w:pos="567"/>
        </w:tabs>
        <w:spacing w:line="240" w:lineRule="auto"/>
        <w:rPr>
          <w:color w:val="000000"/>
          <w:szCs w:val="22"/>
          <w:lang w:val="et-EE"/>
        </w:rPr>
      </w:pPr>
    </w:p>
    <w:p w14:paraId="49EEED1A" w14:textId="77777777" w:rsidR="00750E63" w:rsidRPr="00EC3BD7" w:rsidRDefault="00750E63" w:rsidP="00750E63">
      <w:pPr>
        <w:widowControl w:val="0"/>
        <w:tabs>
          <w:tab w:val="clear" w:pos="567"/>
        </w:tabs>
        <w:spacing w:line="240" w:lineRule="auto"/>
        <w:rPr>
          <w:color w:val="000000"/>
          <w:szCs w:val="22"/>
          <w:lang w:val="et-EE"/>
        </w:rPr>
      </w:pPr>
    </w:p>
    <w:p w14:paraId="6E0AC8C6" w14:textId="77777777" w:rsidR="00750E63" w:rsidRPr="00EC3BD7" w:rsidRDefault="00750E63" w:rsidP="00750E63">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lang w:val="et-EE"/>
        </w:rPr>
      </w:pPr>
      <w:r w:rsidRPr="00EC3BD7">
        <w:rPr>
          <w:b/>
          <w:lang w:val="et-EE"/>
        </w:rPr>
        <w:t>17.</w:t>
      </w:r>
      <w:r w:rsidRPr="00EC3BD7">
        <w:rPr>
          <w:b/>
          <w:lang w:val="et-EE"/>
        </w:rPr>
        <w:tab/>
      </w:r>
      <w:r w:rsidRPr="00EC3BD7">
        <w:rPr>
          <w:b/>
          <w:lang w:val="et-EE" w:bidi="et-EE"/>
        </w:rPr>
        <w:t>AINULAADNE IDENTIFIKAATOR – 2D-vöötkood</w:t>
      </w:r>
    </w:p>
    <w:p w14:paraId="2EC534F7" w14:textId="77777777" w:rsidR="00750E63" w:rsidRPr="00EC3BD7" w:rsidRDefault="00750E63" w:rsidP="00750E63">
      <w:pPr>
        <w:widowControl w:val="0"/>
        <w:tabs>
          <w:tab w:val="clear" w:pos="567"/>
        </w:tabs>
        <w:spacing w:line="240" w:lineRule="auto"/>
        <w:rPr>
          <w:lang w:val="et-EE"/>
        </w:rPr>
      </w:pPr>
    </w:p>
    <w:p w14:paraId="5E8DA3E5" w14:textId="77777777" w:rsidR="00750E63" w:rsidRPr="00EC3BD7" w:rsidRDefault="00750E63" w:rsidP="00750E63">
      <w:pPr>
        <w:widowControl w:val="0"/>
        <w:tabs>
          <w:tab w:val="clear" w:pos="567"/>
        </w:tabs>
        <w:spacing w:line="240" w:lineRule="auto"/>
        <w:rPr>
          <w:szCs w:val="22"/>
          <w:shd w:val="pct15" w:color="auto" w:fill="auto"/>
          <w:lang w:val="et-EE"/>
        </w:rPr>
      </w:pPr>
      <w:r w:rsidRPr="00EC3BD7">
        <w:rPr>
          <w:szCs w:val="22"/>
          <w:shd w:val="pct15" w:color="auto" w:fill="auto"/>
          <w:lang w:val="et-EE" w:bidi="et-EE"/>
        </w:rPr>
        <w:t>Lisatud on 2D-vöötkood, mis sisaldab ainulaadset identifikaatorit.</w:t>
      </w:r>
    </w:p>
    <w:p w14:paraId="7AD582EC" w14:textId="77777777" w:rsidR="00750E63" w:rsidRPr="00EC3BD7" w:rsidRDefault="00750E63" w:rsidP="00750E63">
      <w:pPr>
        <w:widowControl w:val="0"/>
        <w:tabs>
          <w:tab w:val="clear" w:pos="567"/>
        </w:tabs>
        <w:spacing w:line="240" w:lineRule="auto"/>
        <w:rPr>
          <w:szCs w:val="22"/>
          <w:shd w:val="clear" w:color="auto" w:fill="CCCCCC"/>
          <w:lang w:val="et-EE"/>
        </w:rPr>
      </w:pPr>
    </w:p>
    <w:p w14:paraId="6C0C85CD" w14:textId="77777777" w:rsidR="00750E63" w:rsidRPr="00EC3BD7" w:rsidRDefault="00750E63" w:rsidP="00750E63">
      <w:pPr>
        <w:widowControl w:val="0"/>
        <w:tabs>
          <w:tab w:val="clear" w:pos="567"/>
        </w:tabs>
        <w:spacing w:line="240" w:lineRule="auto"/>
        <w:rPr>
          <w:lang w:val="et-EE"/>
        </w:rPr>
      </w:pPr>
    </w:p>
    <w:p w14:paraId="3776033B" w14:textId="77777777" w:rsidR="00750E63" w:rsidRPr="00EC3BD7" w:rsidRDefault="00750E63" w:rsidP="00750E63">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lang w:val="et-EE"/>
        </w:rPr>
      </w:pPr>
      <w:r w:rsidRPr="00EC3BD7">
        <w:rPr>
          <w:b/>
          <w:lang w:val="et-EE"/>
        </w:rPr>
        <w:t>18.</w:t>
      </w:r>
      <w:r w:rsidRPr="00EC3BD7">
        <w:rPr>
          <w:b/>
          <w:lang w:val="et-EE"/>
        </w:rPr>
        <w:tab/>
      </w:r>
      <w:r w:rsidRPr="00EC3BD7">
        <w:rPr>
          <w:b/>
          <w:lang w:val="et-EE" w:bidi="et-EE"/>
        </w:rPr>
        <w:t>AINULAADNE IDENTIFIKAATOR – INIMLOETAVAD ANDMED</w:t>
      </w:r>
    </w:p>
    <w:p w14:paraId="4566CEB7" w14:textId="77777777" w:rsidR="00750E63" w:rsidRPr="00EC3BD7" w:rsidRDefault="00750E63" w:rsidP="00750E63">
      <w:pPr>
        <w:widowControl w:val="0"/>
        <w:tabs>
          <w:tab w:val="clear" w:pos="567"/>
        </w:tabs>
        <w:spacing w:line="240" w:lineRule="auto"/>
        <w:rPr>
          <w:lang w:val="et-EE"/>
        </w:rPr>
      </w:pPr>
    </w:p>
    <w:p w14:paraId="14152BFC" w14:textId="77777777" w:rsidR="00750E63" w:rsidRPr="00EC3BD7" w:rsidRDefault="00750E63" w:rsidP="00750E63">
      <w:pPr>
        <w:widowControl w:val="0"/>
        <w:tabs>
          <w:tab w:val="clear" w:pos="567"/>
        </w:tabs>
        <w:rPr>
          <w:szCs w:val="22"/>
          <w:lang w:val="et-EE"/>
        </w:rPr>
      </w:pPr>
      <w:r w:rsidRPr="00EC3BD7">
        <w:rPr>
          <w:szCs w:val="22"/>
          <w:lang w:val="et-EE"/>
        </w:rPr>
        <w:t>PC:</w:t>
      </w:r>
    </w:p>
    <w:p w14:paraId="0B450C6F" w14:textId="77777777" w:rsidR="00750E63" w:rsidRPr="00EC3BD7" w:rsidRDefault="00750E63" w:rsidP="00750E63">
      <w:pPr>
        <w:widowControl w:val="0"/>
        <w:tabs>
          <w:tab w:val="clear" w:pos="567"/>
        </w:tabs>
        <w:rPr>
          <w:szCs w:val="22"/>
          <w:lang w:val="et-EE"/>
        </w:rPr>
      </w:pPr>
      <w:r w:rsidRPr="00EC3BD7">
        <w:rPr>
          <w:szCs w:val="22"/>
          <w:lang w:val="et-EE"/>
        </w:rPr>
        <w:t>SN:</w:t>
      </w:r>
    </w:p>
    <w:p w14:paraId="72FAC667" w14:textId="77777777" w:rsidR="00750E63" w:rsidRPr="00EC3BD7" w:rsidRDefault="00750E63" w:rsidP="00750E63">
      <w:pPr>
        <w:widowControl w:val="0"/>
        <w:tabs>
          <w:tab w:val="clear" w:pos="567"/>
        </w:tabs>
        <w:rPr>
          <w:szCs w:val="22"/>
          <w:lang w:val="et-EE"/>
        </w:rPr>
      </w:pPr>
      <w:r w:rsidRPr="00EC3BD7">
        <w:rPr>
          <w:szCs w:val="22"/>
          <w:lang w:val="et-EE"/>
        </w:rPr>
        <w:t>NN:</w:t>
      </w:r>
    </w:p>
    <w:p w14:paraId="199A5395" w14:textId="77777777" w:rsidR="00DA3205" w:rsidRPr="00EC3BD7" w:rsidRDefault="00DA3205" w:rsidP="00DA3205">
      <w:pPr>
        <w:tabs>
          <w:tab w:val="clear" w:pos="567"/>
        </w:tabs>
        <w:spacing w:line="240" w:lineRule="auto"/>
        <w:rPr>
          <w:color w:val="000000"/>
          <w:szCs w:val="22"/>
          <w:lang w:val="et-EE"/>
        </w:rPr>
      </w:pPr>
    </w:p>
    <w:p w14:paraId="50853FD6" w14:textId="77777777" w:rsidR="00DA3205" w:rsidRPr="00EC3BD7" w:rsidRDefault="00DA3205" w:rsidP="00DA3205">
      <w:pPr>
        <w:tabs>
          <w:tab w:val="clear" w:pos="567"/>
        </w:tabs>
        <w:spacing w:line="240" w:lineRule="auto"/>
        <w:rPr>
          <w:color w:val="000000"/>
          <w:szCs w:val="22"/>
          <w:lang w:val="et-EE"/>
        </w:rPr>
      </w:pPr>
      <w:r w:rsidRPr="00EC3BD7">
        <w:rPr>
          <w:color w:val="000000"/>
          <w:szCs w:val="22"/>
          <w:lang w:val="et-EE"/>
        </w:rPr>
        <w:br w:type="page"/>
      </w:r>
    </w:p>
    <w:p w14:paraId="22EEE43D" w14:textId="77777777" w:rsidR="009A3C30" w:rsidRPr="00EC3BD7" w:rsidRDefault="009A3C30" w:rsidP="009A3C30">
      <w:pPr>
        <w:tabs>
          <w:tab w:val="clear" w:pos="567"/>
        </w:tabs>
        <w:spacing w:line="240" w:lineRule="auto"/>
        <w:rPr>
          <w:color w:val="000000"/>
          <w:szCs w:val="22"/>
          <w:lang w:val="et-EE"/>
        </w:rPr>
      </w:pPr>
    </w:p>
    <w:p w14:paraId="41B6B66D"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et-EE"/>
        </w:rPr>
      </w:pPr>
      <w:r w:rsidRPr="00EC3BD7">
        <w:rPr>
          <w:b/>
          <w:color w:val="000000"/>
          <w:szCs w:val="22"/>
          <w:lang w:val="et-EE"/>
        </w:rPr>
        <w:t xml:space="preserve">MINIMAALSED </w:t>
      </w:r>
      <w:r w:rsidR="002D6C47" w:rsidRPr="00EC3BD7">
        <w:rPr>
          <w:b/>
          <w:color w:val="000000"/>
          <w:szCs w:val="22"/>
          <w:lang w:val="et-EE"/>
        </w:rPr>
        <w:t>ANDMED</w:t>
      </w:r>
      <w:r w:rsidRPr="00EC3BD7">
        <w:rPr>
          <w:b/>
          <w:color w:val="000000"/>
          <w:szCs w:val="22"/>
          <w:lang w:val="et-EE"/>
        </w:rPr>
        <w:t>, MIS PEAVAD OLEMA BLISTER- VÕI RIBAPAKENDIL</w:t>
      </w:r>
    </w:p>
    <w:p w14:paraId="19814B44"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et-EE"/>
        </w:rPr>
      </w:pPr>
    </w:p>
    <w:p w14:paraId="1031371D"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et-EE"/>
        </w:rPr>
      </w:pPr>
      <w:r w:rsidRPr="00EC3BD7">
        <w:rPr>
          <w:b/>
          <w:color w:val="000000"/>
          <w:szCs w:val="22"/>
          <w:lang w:val="et-EE"/>
        </w:rPr>
        <w:t>BLISTRID</w:t>
      </w:r>
    </w:p>
    <w:p w14:paraId="4B1C0AFB" w14:textId="77777777" w:rsidR="00DA3205" w:rsidRPr="00EC3BD7" w:rsidRDefault="00DA3205" w:rsidP="00DA3205">
      <w:pPr>
        <w:tabs>
          <w:tab w:val="clear" w:pos="567"/>
        </w:tabs>
        <w:spacing w:line="240" w:lineRule="auto"/>
        <w:rPr>
          <w:color w:val="000000"/>
          <w:szCs w:val="22"/>
          <w:lang w:val="et-EE"/>
        </w:rPr>
      </w:pPr>
    </w:p>
    <w:p w14:paraId="0DDE28E9" w14:textId="77777777" w:rsidR="00DA3205" w:rsidRPr="00EC3BD7" w:rsidRDefault="00DA3205" w:rsidP="00DA3205">
      <w:pPr>
        <w:tabs>
          <w:tab w:val="clear" w:pos="567"/>
        </w:tabs>
        <w:spacing w:line="240" w:lineRule="auto"/>
        <w:rPr>
          <w:color w:val="000000"/>
          <w:szCs w:val="22"/>
          <w:lang w:val="et-EE"/>
        </w:rPr>
      </w:pPr>
    </w:p>
    <w:p w14:paraId="1ED43170"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w:t>
      </w:r>
      <w:r w:rsidRPr="00EC3BD7">
        <w:rPr>
          <w:b/>
          <w:color w:val="000000"/>
          <w:szCs w:val="22"/>
          <w:lang w:val="et-EE"/>
        </w:rPr>
        <w:tab/>
        <w:t>RAVIMPREPARAADI NIMETUS</w:t>
      </w:r>
    </w:p>
    <w:p w14:paraId="4D795168" w14:textId="77777777" w:rsidR="00DA3205" w:rsidRPr="00EC3BD7" w:rsidRDefault="00DA3205" w:rsidP="00DA3205">
      <w:pPr>
        <w:tabs>
          <w:tab w:val="clear" w:pos="567"/>
        </w:tabs>
        <w:spacing w:line="240" w:lineRule="auto"/>
        <w:ind w:left="567" w:hanging="567"/>
        <w:rPr>
          <w:color w:val="000000"/>
          <w:szCs w:val="22"/>
          <w:lang w:val="et-EE"/>
        </w:rPr>
      </w:pPr>
    </w:p>
    <w:p w14:paraId="4234D3B4" w14:textId="77777777" w:rsidR="00DA3205" w:rsidRPr="00EC3BD7" w:rsidRDefault="00DA3205" w:rsidP="00DA3205">
      <w:pPr>
        <w:widowControl w:val="0"/>
        <w:tabs>
          <w:tab w:val="clear" w:pos="567"/>
        </w:tabs>
        <w:spacing w:line="240" w:lineRule="auto"/>
        <w:rPr>
          <w:color w:val="000000"/>
          <w:szCs w:val="22"/>
          <w:lang w:val="et-EE"/>
        </w:rPr>
      </w:pPr>
      <w:r w:rsidRPr="00EC3BD7">
        <w:rPr>
          <w:color w:val="000000"/>
          <w:szCs w:val="22"/>
          <w:lang w:val="et-EE"/>
        </w:rPr>
        <w:t>Glivec 100 mg kapslid</w:t>
      </w:r>
    </w:p>
    <w:p w14:paraId="7FAA80D2" w14:textId="77777777" w:rsidR="00B2520A" w:rsidRPr="00EC3BD7" w:rsidRDefault="00B2520A" w:rsidP="00B2520A">
      <w:pPr>
        <w:widowControl w:val="0"/>
        <w:tabs>
          <w:tab w:val="clear" w:pos="567"/>
        </w:tabs>
        <w:spacing w:line="240" w:lineRule="auto"/>
        <w:rPr>
          <w:i/>
          <w:color w:val="000000"/>
          <w:szCs w:val="22"/>
          <w:lang w:val="et-EE"/>
        </w:rPr>
      </w:pPr>
      <w:r w:rsidRPr="00EC3BD7">
        <w:rPr>
          <w:i/>
          <w:color w:val="000000"/>
          <w:szCs w:val="22"/>
          <w:lang w:val="et-EE"/>
        </w:rPr>
        <w:t>imatinibum</w:t>
      </w:r>
    </w:p>
    <w:p w14:paraId="4B1CEFB9" w14:textId="77777777" w:rsidR="00DA3205" w:rsidRPr="00EC3BD7" w:rsidRDefault="00DA3205" w:rsidP="00DA3205">
      <w:pPr>
        <w:tabs>
          <w:tab w:val="clear" w:pos="567"/>
        </w:tabs>
        <w:spacing w:line="240" w:lineRule="auto"/>
        <w:rPr>
          <w:color w:val="000000"/>
          <w:szCs w:val="22"/>
          <w:lang w:val="et-EE"/>
        </w:rPr>
      </w:pPr>
    </w:p>
    <w:p w14:paraId="30257ABA" w14:textId="77777777" w:rsidR="00DA3205" w:rsidRPr="00EC3BD7" w:rsidRDefault="00DA3205" w:rsidP="00DA3205">
      <w:pPr>
        <w:tabs>
          <w:tab w:val="clear" w:pos="567"/>
        </w:tabs>
        <w:spacing w:line="240" w:lineRule="auto"/>
        <w:rPr>
          <w:color w:val="000000"/>
          <w:szCs w:val="22"/>
          <w:lang w:val="et-EE"/>
        </w:rPr>
      </w:pPr>
    </w:p>
    <w:p w14:paraId="28E20857"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2.</w:t>
      </w:r>
      <w:r w:rsidRPr="00EC3BD7">
        <w:rPr>
          <w:b/>
          <w:color w:val="000000"/>
          <w:szCs w:val="22"/>
          <w:lang w:val="et-EE"/>
        </w:rPr>
        <w:tab/>
        <w:t>MÜÜGILOA HOIDJA NIMI</w:t>
      </w:r>
    </w:p>
    <w:p w14:paraId="0266B21F" w14:textId="77777777" w:rsidR="00DA3205" w:rsidRPr="00EC3BD7" w:rsidRDefault="00DA3205" w:rsidP="00DA3205">
      <w:pPr>
        <w:tabs>
          <w:tab w:val="clear" w:pos="567"/>
        </w:tabs>
        <w:spacing w:line="240" w:lineRule="auto"/>
        <w:rPr>
          <w:color w:val="000000"/>
          <w:szCs w:val="22"/>
          <w:lang w:val="et-EE"/>
        </w:rPr>
      </w:pPr>
    </w:p>
    <w:p w14:paraId="38CC11CC" w14:textId="77777777" w:rsidR="00DA3205" w:rsidRPr="00EC3BD7" w:rsidRDefault="00DA3205" w:rsidP="00DA3205">
      <w:pPr>
        <w:widowControl w:val="0"/>
        <w:tabs>
          <w:tab w:val="clear" w:pos="567"/>
        </w:tabs>
        <w:spacing w:line="240" w:lineRule="auto"/>
        <w:rPr>
          <w:color w:val="000000"/>
          <w:szCs w:val="22"/>
          <w:lang w:val="et-EE"/>
        </w:rPr>
      </w:pPr>
      <w:r w:rsidRPr="00EC3BD7">
        <w:rPr>
          <w:color w:val="000000"/>
          <w:szCs w:val="22"/>
          <w:lang w:val="et-EE"/>
        </w:rPr>
        <w:t>Novartis Europharm Limited</w:t>
      </w:r>
    </w:p>
    <w:p w14:paraId="07D3A458" w14:textId="77777777" w:rsidR="00DA3205" w:rsidRPr="00EC3BD7" w:rsidRDefault="00DA3205" w:rsidP="00DA3205">
      <w:pPr>
        <w:tabs>
          <w:tab w:val="clear" w:pos="567"/>
        </w:tabs>
        <w:spacing w:line="240" w:lineRule="auto"/>
        <w:rPr>
          <w:color w:val="000000"/>
          <w:szCs w:val="22"/>
          <w:lang w:val="et-EE"/>
        </w:rPr>
      </w:pPr>
    </w:p>
    <w:p w14:paraId="5D54774B" w14:textId="77777777" w:rsidR="00DA3205" w:rsidRPr="00EC3BD7" w:rsidRDefault="00DA3205" w:rsidP="00DA3205">
      <w:pPr>
        <w:tabs>
          <w:tab w:val="clear" w:pos="567"/>
        </w:tabs>
        <w:spacing w:line="240" w:lineRule="auto"/>
        <w:rPr>
          <w:color w:val="000000"/>
          <w:szCs w:val="22"/>
          <w:lang w:val="et-EE"/>
        </w:rPr>
      </w:pPr>
    </w:p>
    <w:p w14:paraId="0C716259"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3.</w:t>
      </w:r>
      <w:r w:rsidRPr="00EC3BD7">
        <w:rPr>
          <w:b/>
          <w:color w:val="000000"/>
          <w:szCs w:val="22"/>
          <w:lang w:val="et-EE"/>
        </w:rPr>
        <w:tab/>
        <w:t>KÕLBLIKKUSAEG</w:t>
      </w:r>
    </w:p>
    <w:p w14:paraId="74D6AB99" w14:textId="77777777" w:rsidR="00DA3205" w:rsidRPr="00EC3BD7" w:rsidRDefault="00DA3205" w:rsidP="00DA3205">
      <w:pPr>
        <w:tabs>
          <w:tab w:val="clear" w:pos="567"/>
        </w:tabs>
        <w:spacing w:line="240" w:lineRule="auto"/>
        <w:rPr>
          <w:color w:val="000000"/>
          <w:szCs w:val="22"/>
          <w:lang w:val="et-EE"/>
        </w:rPr>
      </w:pPr>
    </w:p>
    <w:p w14:paraId="6A82006B" w14:textId="77777777" w:rsidR="00DA3205" w:rsidRPr="00EC3BD7" w:rsidRDefault="00DA3205" w:rsidP="00DA3205">
      <w:pPr>
        <w:tabs>
          <w:tab w:val="clear" w:pos="567"/>
        </w:tabs>
        <w:spacing w:line="240" w:lineRule="auto"/>
        <w:rPr>
          <w:color w:val="000000"/>
          <w:szCs w:val="22"/>
          <w:lang w:val="et-EE"/>
        </w:rPr>
      </w:pPr>
      <w:r w:rsidRPr="00EC3BD7">
        <w:rPr>
          <w:color w:val="000000"/>
          <w:szCs w:val="22"/>
          <w:lang w:val="et-EE"/>
        </w:rPr>
        <w:t>EXP</w:t>
      </w:r>
    </w:p>
    <w:p w14:paraId="1857022F" w14:textId="77777777" w:rsidR="00DA3205" w:rsidRPr="00EC3BD7" w:rsidRDefault="00DA3205" w:rsidP="00DA3205">
      <w:pPr>
        <w:tabs>
          <w:tab w:val="clear" w:pos="567"/>
        </w:tabs>
        <w:spacing w:line="240" w:lineRule="auto"/>
        <w:rPr>
          <w:color w:val="000000"/>
          <w:szCs w:val="22"/>
          <w:lang w:val="et-EE"/>
        </w:rPr>
      </w:pPr>
    </w:p>
    <w:p w14:paraId="5CFB7B79" w14:textId="77777777" w:rsidR="00DA3205" w:rsidRPr="00EC3BD7" w:rsidRDefault="00DA3205" w:rsidP="00DA3205">
      <w:pPr>
        <w:tabs>
          <w:tab w:val="clear" w:pos="567"/>
        </w:tabs>
        <w:spacing w:line="240" w:lineRule="auto"/>
        <w:rPr>
          <w:color w:val="000000"/>
          <w:szCs w:val="22"/>
          <w:lang w:val="et-EE"/>
        </w:rPr>
      </w:pPr>
    </w:p>
    <w:p w14:paraId="36BCA5DA"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4.</w:t>
      </w:r>
      <w:r w:rsidRPr="00EC3BD7">
        <w:rPr>
          <w:b/>
          <w:color w:val="000000"/>
          <w:szCs w:val="22"/>
          <w:lang w:val="et-EE"/>
        </w:rPr>
        <w:tab/>
        <w:t>PARTII NUMBER</w:t>
      </w:r>
    </w:p>
    <w:p w14:paraId="7E336E50" w14:textId="77777777" w:rsidR="00DA3205" w:rsidRPr="00EC3BD7" w:rsidRDefault="00DA3205" w:rsidP="00DA3205">
      <w:pPr>
        <w:tabs>
          <w:tab w:val="clear" w:pos="567"/>
        </w:tabs>
        <w:spacing w:line="240" w:lineRule="auto"/>
        <w:rPr>
          <w:color w:val="000000"/>
          <w:szCs w:val="22"/>
          <w:lang w:val="et-EE"/>
        </w:rPr>
      </w:pPr>
    </w:p>
    <w:p w14:paraId="161BF644" w14:textId="77777777" w:rsidR="00DA3205" w:rsidRPr="00EC3BD7" w:rsidRDefault="00DA3205" w:rsidP="00DA3205">
      <w:pPr>
        <w:widowControl w:val="0"/>
        <w:tabs>
          <w:tab w:val="clear" w:pos="567"/>
        </w:tabs>
        <w:spacing w:line="240" w:lineRule="auto"/>
        <w:rPr>
          <w:color w:val="000000"/>
          <w:szCs w:val="22"/>
          <w:lang w:val="et-EE"/>
        </w:rPr>
      </w:pPr>
      <w:r w:rsidRPr="00EC3BD7">
        <w:rPr>
          <w:color w:val="000000"/>
          <w:szCs w:val="22"/>
          <w:lang w:val="et-EE"/>
        </w:rPr>
        <w:t>Lot</w:t>
      </w:r>
    </w:p>
    <w:p w14:paraId="49C34447" w14:textId="77777777" w:rsidR="00DA3205" w:rsidRPr="00EC3BD7" w:rsidRDefault="00DA3205" w:rsidP="00DA3205">
      <w:pPr>
        <w:widowControl w:val="0"/>
        <w:tabs>
          <w:tab w:val="clear" w:pos="567"/>
        </w:tabs>
        <w:spacing w:line="240" w:lineRule="auto"/>
        <w:rPr>
          <w:color w:val="000000"/>
          <w:szCs w:val="22"/>
          <w:lang w:val="et-EE"/>
        </w:rPr>
      </w:pPr>
    </w:p>
    <w:p w14:paraId="631F2CC3" w14:textId="77777777" w:rsidR="00DA3205" w:rsidRPr="00EC3BD7" w:rsidRDefault="00DA3205" w:rsidP="00DA3205">
      <w:pPr>
        <w:widowControl w:val="0"/>
        <w:tabs>
          <w:tab w:val="clear" w:pos="567"/>
        </w:tabs>
        <w:spacing w:line="240" w:lineRule="auto"/>
        <w:rPr>
          <w:color w:val="000000"/>
          <w:szCs w:val="22"/>
          <w:lang w:val="et-EE"/>
        </w:rPr>
      </w:pPr>
    </w:p>
    <w:p w14:paraId="3E050DEE"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5.</w:t>
      </w:r>
      <w:r w:rsidRPr="00EC3BD7">
        <w:rPr>
          <w:b/>
          <w:color w:val="000000"/>
          <w:szCs w:val="22"/>
          <w:lang w:val="et-EE"/>
        </w:rPr>
        <w:tab/>
        <w:t>MUU</w:t>
      </w:r>
    </w:p>
    <w:p w14:paraId="62F43C2D" w14:textId="77777777" w:rsidR="00DA3205" w:rsidRPr="00EC3BD7" w:rsidRDefault="00DA3205" w:rsidP="00DA3205">
      <w:pPr>
        <w:tabs>
          <w:tab w:val="clear" w:pos="567"/>
        </w:tabs>
        <w:spacing w:line="240" w:lineRule="auto"/>
        <w:rPr>
          <w:color w:val="000000"/>
          <w:szCs w:val="22"/>
          <w:lang w:val="et-EE"/>
        </w:rPr>
      </w:pPr>
    </w:p>
    <w:p w14:paraId="4EB56695" w14:textId="77777777" w:rsidR="00DA3205" w:rsidRPr="00EC3BD7" w:rsidRDefault="00DA3205" w:rsidP="00DA3205">
      <w:pPr>
        <w:tabs>
          <w:tab w:val="clear" w:pos="567"/>
        </w:tabs>
        <w:spacing w:line="240" w:lineRule="auto"/>
        <w:rPr>
          <w:color w:val="000000"/>
          <w:szCs w:val="22"/>
          <w:lang w:val="et-EE"/>
        </w:rPr>
      </w:pPr>
      <w:r w:rsidRPr="00EC3BD7">
        <w:rPr>
          <w:b/>
          <w:color w:val="000000"/>
          <w:szCs w:val="22"/>
          <w:lang w:val="et-EE"/>
        </w:rPr>
        <w:br w:type="page"/>
      </w:r>
    </w:p>
    <w:p w14:paraId="202D52F9" w14:textId="77777777" w:rsidR="009A3C30" w:rsidRPr="00EC3BD7" w:rsidRDefault="009A3C30" w:rsidP="009A3C30">
      <w:pPr>
        <w:tabs>
          <w:tab w:val="clear" w:pos="567"/>
        </w:tabs>
        <w:spacing w:line="240" w:lineRule="auto"/>
        <w:rPr>
          <w:color w:val="000000"/>
          <w:szCs w:val="22"/>
          <w:lang w:val="et-EE"/>
        </w:rPr>
      </w:pPr>
    </w:p>
    <w:p w14:paraId="05D4E311"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et-EE"/>
        </w:rPr>
      </w:pPr>
      <w:r w:rsidRPr="00EC3BD7">
        <w:rPr>
          <w:b/>
          <w:color w:val="000000"/>
          <w:szCs w:val="22"/>
          <w:lang w:val="et-EE"/>
        </w:rPr>
        <w:t>VÄLISPAKENDIL PEAVAD OLEMA JÄRGMISED ANDMED</w:t>
      </w:r>
    </w:p>
    <w:p w14:paraId="5317B706"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et-EE"/>
        </w:rPr>
      </w:pPr>
    </w:p>
    <w:p w14:paraId="4FD555B1" w14:textId="77777777" w:rsidR="00DA3205" w:rsidRPr="00EC3BD7" w:rsidRDefault="00DA3205" w:rsidP="00DA3205">
      <w:pPr>
        <w:pBdr>
          <w:top w:val="single" w:sz="4" w:space="1" w:color="auto"/>
          <w:left w:val="single" w:sz="4" w:space="4" w:color="auto"/>
          <w:bottom w:val="single" w:sz="4" w:space="1" w:color="auto"/>
          <w:right w:val="single" w:sz="4" w:space="4" w:color="auto"/>
        </w:pBdr>
        <w:spacing w:line="240" w:lineRule="auto"/>
        <w:rPr>
          <w:b/>
          <w:color w:val="000000"/>
          <w:szCs w:val="22"/>
          <w:lang w:val="et-EE"/>
        </w:rPr>
      </w:pPr>
      <w:r w:rsidRPr="00EC3BD7">
        <w:rPr>
          <w:b/>
          <w:color w:val="000000"/>
          <w:szCs w:val="22"/>
          <w:lang w:val="et-EE"/>
        </w:rPr>
        <w:t>KARP</w:t>
      </w:r>
    </w:p>
    <w:p w14:paraId="46455273" w14:textId="77777777" w:rsidR="00DA3205" w:rsidRPr="00EC3BD7" w:rsidRDefault="00DA3205" w:rsidP="00DA3205">
      <w:pPr>
        <w:tabs>
          <w:tab w:val="clear" w:pos="567"/>
        </w:tabs>
        <w:spacing w:line="240" w:lineRule="auto"/>
        <w:rPr>
          <w:color w:val="000000"/>
          <w:szCs w:val="22"/>
          <w:lang w:val="et-EE"/>
        </w:rPr>
      </w:pPr>
    </w:p>
    <w:p w14:paraId="6C78D5E0" w14:textId="77777777" w:rsidR="00DA3205" w:rsidRPr="00EC3BD7" w:rsidRDefault="00DA3205" w:rsidP="00DA3205">
      <w:pPr>
        <w:tabs>
          <w:tab w:val="clear" w:pos="567"/>
        </w:tabs>
        <w:spacing w:line="240" w:lineRule="auto"/>
        <w:rPr>
          <w:color w:val="000000"/>
          <w:szCs w:val="22"/>
          <w:lang w:val="et-EE"/>
        </w:rPr>
      </w:pPr>
    </w:p>
    <w:p w14:paraId="72B1D2E1"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w:t>
      </w:r>
      <w:r w:rsidRPr="00EC3BD7">
        <w:rPr>
          <w:b/>
          <w:color w:val="000000"/>
          <w:szCs w:val="22"/>
          <w:lang w:val="et-EE"/>
        </w:rPr>
        <w:tab/>
        <w:t>RAVIMPREPARAADI NIMETUS</w:t>
      </w:r>
    </w:p>
    <w:p w14:paraId="2AF40025" w14:textId="77777777" w:rsidR="00DA3205" w:rsidRPr="00EC3BD7" w:rsidRDefault="00DA3205" w:rsidP="00DA3205">
      <w:pPr>
        <w:widowControl w:val="0"/>
        <w:tabs>
          <w:tab w:val="clear" w:pos="567"/>
        </w:tabs>
        <w:spacing w:line="240" w:lineRule="auto"/>
        <w:rPr>
          <w:color w:val="000000"/>
          <w:szCs w:val="22"/>
          <w:lang w:val="et-EE"/>
        </w:rPr>
      </w:pPr>
    </w:p>
    <w:p w14:paraId="6DB64F66" w14:textId="77777777" w:rsidR="00DA3205" w:rsidRPr="00EC3BD7" w:rsidRDefault="00DA3205" w:rsidP="00DA3205">
      <w:pPr>
        <w:widowControl w:val="0"/>
        <w:tabs>
          <w:tab w:val="clear" w:pos="567"/>
        </w:tabs>
        <w:spacing w:line="240" w:lineRule="auto"/>
        <w:rPr>
          <w:color w:val="000000"/>
          <w:szCs w:val="22"/>
          <w:lang w:val="et-EE"/>
        </w:rPr>
      </w:pPr>
      <w:r w:rsidRPr="00EC3BD7">
        <w:rPr>
          <w:color w:val="000000"/>
          <w:szCs w:val="22"/>
          <w:lang w:val="et-EE"/>
        </w:rPr>
        <w:t>Glivec 100 mg õhukese polümeerikattega tabletid</w:t>
      </w:r>
    </w:p>
    <w:p w14:paraId="0610F298" w14:textId="77777777" w:rsidR="00B2520A" w:rsidRPr="00EC3BD7" w:rsidRDefault="00B2520A" w:rsidP="00B2520A">
      <w:pPr>
        <w:widowControl w:val="0"/>
        <w:tabs>
          <w:tab w:val="clear" w:pos="567"/>
        </w:tabs>
        <w:spacing w:line="240" w:lineRule="auto"/>
        <w:rPr>
          <w:i/>
          <w:color w:val="000000"/>
          <w:szCs w:val="22"/>
          <w:lang w:val="et-EE"/>
        </w:rPr>
      </w:pPr>
      <w:r w:rsidRPr="00EC3BD7">
        <w:rPr>
          <w:i/>
          <w:color w:val="000000"/>
          <w:szCs w:val="22"/>
          <w:lang w:val="et-EE"/>
        </w:rPr>
        <w:t>imatinibum</w:t>
      </w:r>
    </w:p>
    <w:p w14:paraId="5337727B" w14:textId="77777777" w:rsidR="00DA3205" w:rsidRPr="00EC3BD7" w:rsidRDefault="00DA3205" w:rsidP="00DA3205">
      <w:pPr>
        <w:tabs>
          <w:tab w:val="clear" w:pos="567"/>
        </w:tabs>
        <w:spacing w:line="240" w:lineRule="auto"/>
        <w:rPr>
          <w:color w:val="000000"/>
          <w:szCs w:val="22"/>
          <w:lang w:val="et-EE"/>
        </w:rPr>
      </w:pPr>
    </w:p>
    <w:p w14:paraId="112FBA8B" w14:textId="77777777" w:rsidR="00DA3205" w:rsidRPr="00EC3BD7" w:rsidRDefault="00DA3205" w:rsidP="00DA3205">
      <w:pPr>
        <w:tabs>
          <w:tab w:val="clear" w:pos="567"/>
        </w:tabs>
        <w:spacing w:line="240" w:lineRule="auto"/>
        <w:rPr>
          <w:color w:val="000000"/>
          <w:szCs w:val="22"/>
          <w:lang w:val="et-EE"/>
        </w:rPr>
      </w:pPr>
    </w:p>
    <w:p w14:paraId="6F142283"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2.</w:t>
      </w:r>
      <w:r w:rsidRPr="00EC3BD7">
        <w:rPr>
          <w:b/>
          <w:color w:val="000000"/>
          <w:szCs w:val="22"/>
          <w:lang w:val="et-EE"/>
        </w:rPr>
        <w:tab/>
        <w:t>TOIMEAINE(TE) SISALDUS</w:t>
      </w:r>
    </w:p>
    <w:p w14:paraId="727CE862" w14:textId="77777777" w:rsidR="00DA3205" w:rsidRPr="00EC3BD7" w:rsidRDefault="00DA3205" w:rsidP="00DA3205">
      <w:pPr>
        <w:tabs>
          <w:tab w:val="clear" w:pos="567"/>
        </w:tabs>
        <w:spacing w:line="240" w:lineRule="auto"/>
        <w:rPr>
          <w:color w:val="000000"/>
          <w:szCs w:val="22"/>
          <w:lang w:val="et-EE"/>
        </w:rPr>
      </w:pPr>
    </w:p>
    <w:p w14:paraId="3CEBEDEA" w14:textId="77777777" w:rsidR="00DA3205" w:rsidRPr="00EC3BD7" w:rsidRDefault="00B2297D" w:rsidP="00DA3205">
      <w:pPr>
        <w:pStyle w:val="Text"/>
        <w:widowControl w:val="0"/>
        <w:spacing w:before="0"/>
        <w:rPr>
          <w:color w:val="000000"/>
          <w:sz w:val="22"/>
          <w:szCs w:val="22"/>
          <w:lang w:val="et-EE"/>
        </w:rPr>
      </w:pPr>
      <w:r w:rsidRPr="00EC3BD7">
        <w:rPr>
          <w:color w:val="000000"/>
          <w:sz w:val="22"/>
          <w:szCs w:val="22"/>
          <w:lang w:val="et-EE"/>
        </w:rPr>
        <w:t xml:space="preserve">Üks </w:t>
      </w:r>
      <w:r w:rsidR="00DA3205" w:rsidRPr="00EC3BD7">
        <w:rPr>
          <w:color w:val="000000"/>
          <w:sz w:val="22"/>
          <w:szCs w:val="22"/>
          <w:lang w:val="et-EE"/>
        </w:rPr>
        <w:t>õhukese polümeerikattega tablett sisaldab 100 mg imatiniibi (mes</w:t>
      </w:r>
      <w:r w:rsidRPr="00EC3BD7">
        <w:rPr>
          <w:color w:val="000000"/>
          <w:sz w:val="22"/>
          <w:szCs w:val="22"/>
          <w:lang w:val="et-EE"/>
        </w:rPr>
        <w:t>i</w:t>
      </w:r>
      <w:r w:rsidR="00DA3205" w:rsidRPr="00EC3BD7">
        <w:rPr>
          <w:color w:val="000000"/>
          <w:sz w:val="22"/>
          <w:szCs w:val="22"/>
          <w:lang w:val="et-EE"/>
        </w:rPr>
        <w:t>laadina).</w:t>
      </w:r>
    </w:p>
    <w:p w14:paraId="4212FCA7" w14:textId="77777777" w:rsidR="00DA3205" w:rsidRPr="00EC3BD7" w:rsidRDefault="00DA3205" w:rsidP="00DA3205">
      <w:pPr>
        <w:tabs>
          <w:tab w:val="clear" w:pos="567"/>
        </w:tabs>
        <w:spacing w:line="240" w:lineRule="auto"/>
        <w:rPr>
          <w:color w:val="000000"/>
          <w:szCs w:val="22"/>
          <w:lang w:val="et-EE"/>
        </w:rPr>
      </w:pPr>
    </w:p>
    <w:p w14:paraId="6D7379EB" w14:textId="77777777" w:rsidR="00DA3205" w:rsidRPr="00EC3BD7" w:rsidRDefault="00DA3205" w:rsidP="00DA3205">
      <w:pPr>
        <w:tabs>
          <w:tab w:val="clear" w:pos="567"/>
        </w:tabs>
        <w:spacing w:line="240" w:lineRule="auto"/>
        <w:rPr>
          <w:color w:val="000000"/>
          <w:szCs w:val="22"/>
          <w:lang w:val="et-EE"/>
        </w:rPr>
      </w:pPr>
    </w:p>
    <w:p w14:paraId="021911C1"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3.</w:t>
      </w:r>
      <w:r w:rsidRPr="00EC3BD7">
        <w:rPr>
          <w:b/>
          <w:color w:val="000000"/>
          <w:szCs w:val="22"/>
          <w:lang w:val="et-EE"/>
        </w:rPr>
        <w:tab/>
        <w:t>ABIAINED</w:t>
      </w:r>
    </w:p>
    <w:p w14:paraId="16CAC373" w14:textId="77777777" w:rsidR="00DA3205" w:rsidRPr="00EC3BD7" w:rsidRDefault="00DA3205" w:rsidP="00DA3205">
      <w:pPr>
        <w:tabs>
          <w:tab w:val="clear" w:pos="567"/>
        </w:tabs>
        <w:spacing w:line="240" w:lineRule="auto"/>
        <w:rPr>
          <w:color w:val="000000"/>
          <w:szCs w:val="22"/>
          <w:lang w:val="et-EE"/>
        </w:rPr>
      </w:pPr>
    </w:p>
    <w:p w14:paraId="7BB8DE4E" w14:textId="77777777" w:rsidR="00DA3205" w:rsidRPr="00EC3BD7" w:rsidRDefault="00DA3205" w:rsidP="00DA3205">
      <w:pPr>
        <w:tabs>
          <w:tab w:val="clear" w:pos="567"/>
        </w:tabs>
        <w:spacing w:line="240" w:lineRule="auto"/>
        <w:rPr>
          <w:color w:val="000000"/>
          <w:szCs w:val="22"/>
          <w:lang w:val="et-EE"/>
        </w:rPr>
      </w:pPr>
    </w:p>
    <w:p w14:paraId="7E354AC5"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4.</w:t>
      </w:r>
      <w:r w:rsidRPr="00EC3BD7">
        <w:rPr>
          <w:b/>
          <w:color w:val="000000"/>
          <w:szCs w:val="22"/>
          <w:lang w:val="et-EE"/>
        </w:rPr>
        <w:tab/>
        <w:t>RAVIMVORM JA PAKENDI SUURUS</w:t>
      </w:r>
    </w:p>
    <w:p w14:paraId="5D827242" w14:textId="77777777" w:rsidR="00DA3205" w:rsidRPr="00EC3BD7" w:rsidRDefault="00DA3205" w:rsidP="00DA3205">
      <w:pPr>
        <w:tabs>
          <w:tab w:val="clear" w:pos="567"/>
        </w:tabs>
        <w:spacing w:line="240" w:lineRule="auto"/>
        <w:rPr>
          <w:color w:val="000000"/>
          <w:szCs w:val="22"/>
          <w:lang w:val="et-EE"/>
        </w:rPr>
      </w:pPr>
    </w:p>
    <w:p w14:paraId="70663034" w14:textId="77777777" w:rsidR="00DA3205" w:rsidRPr="00EC3BD7" w:rsidRDefault="00DA3205" w:rsidP="00DA3205">
      <w:pPr>
        <w:pStyle w:val="EndnoteText"/>
        <w:widowControl w:val="0"/>
        <w:rPr>
          <w:color w:val="000000"/>
          <w:szCs w:val="22"/>
          <w:lang w:val="et-EE"/>
        </w:rPr>
      </w:pPr>
      <w:r w:rsidRPr="00EC3BD7">
        <w:rPr>
          <w:color w:val="000000"/>
          <w:szCs w:val="22"/>
          <w:lang w:val="et-EE"/>
        </w:rPr>
        <w:t>20 õhukese polümeerikattega tabletti</w:t>
      </w:r>
    </w:p>
    <w:p w14:paraId="1B54401E" w14:textId="77777777" w:rsidR="00DA3205" w:rsidRPr="00EC3BD7" w:rsidRDefault="00DA3205" w:rsidP="00DA3205">
      <w:pPr>
        <w:tabs>
          <w:tab w:val="clear" w:pos="567"/>
        </w:tabs>
        <w:spacing w:line="240" w:lineRule="auto"/>
        <w:rPr>
          <w:color w:val="000000"/>
          <w:szCs w:val="22"/>
          <w:shd w:val="clear" w:color="auto" w:fill="D9D9D9"/>
          <w:lang w:val="et-EE"/>
        </w:rPr>
      </w:pPr>
      <w:r w:rsidRPr="00EC3BD7">
        <w:rPr>
          <w:color w:val="000000"/>
          <w:szCs w:val="22"/>
          <w:shd w:val="clear" w:color="auto" w:fill="D9D9D9"/>
          <w:lang w:val="et-EE"/>
        </w:rPr>
        <w:t>60 õhukese polümeerikattega tabletti</w:t>
      </w:r>
    </w:p>
    <w:p w14:paraId="0A2C70E1" w14:textId="77777777" w:rsidR="00DA3205" w:rsidRPr="00EC3BD7" w:rsidRDefault="00DA3205" w:rsidP="00DA3205">
      <w:pPr>
        <w:tabs>
          <w:tab w:val="clear" w:pos="567"/>
        </w:tabs>
        <w:spacing w:line="240" w:lineRule="auto"/>
        <w:rPr>
          <w:color w:val="000000"/>
          <w:szCs w:val="22"/>
          <w:shd w:val="clear" w:color="auto" w:fill="D9D9D9"/>
          <w:lang w:val="et-EE"/>
        </w:rPr>
      </w:pPr>
      <w:r w:rsidRPr="00EC3BD7">
        <w:rPr>
          <w:color w:val="000000"/>
          <w:szCs w:val="22"/>
          <w:shd w:val="clear" w:color="auto" w:fill="D9D9D9"/>
          <w:lang w:val="et-EE"/>
        </w:rPr>
        <w:t>120 õhukese polümeerikattega</w:t>
      </w:r>
      <w:r w:rsidRPr="00EC3BD7" w:rsidDel="00EF0882">
        <w:rPr>
          <w:color w:val="000000"/>
          <w:szCs w:val="22"/>
          <w:shd w:val="clear" w:color="auto" w:fill="D9D9D9"/>
          <w:lang w:val="et-EE"/>
        </w:rPr>
        <w:t xml:space="preserve"> </w:t>
      </w:r>
      <w:r w:rsidRPr="00EC3BD7">
        <w:rPr>
          <w:color w:val="000000"/>
          <w:szCs w:val="22"/>
          <w:shd w:val="clear" w:color="auto" w:fill="D9D9D9"/>
          <w:lang w:val="et-EE"/>
        </w:rPr>
        <w:t>tabletti</w:t>
      </w:r>
    </w:p>
    <w:p w14:paraId="65F32122" w14:textId="77777777" w:rsidR="00DA3205" w:rsidRPr="00EC3BD7" w:rsidRDefault="00DA3205" w:rsidP="00DA3205">
      <w:pPr>
        <w:tabs>
          <w:tab w:val="clear" w:pos="567"/>
        </w:tabs>
        <w:spacing w:line="240" w:lineRule="auto"/>
        <w:rPr>
          <w:color w:val="000000"/>
          <w:szCs w:val="22"/>
          <w:lang w:val="et-EE"/>
        </w:rPr>
      </w:pPr>
      <w:r w:rsidRPr="00EC3BD7">
        <w:rPr>
          <w:color w:val="000000"/>
          <w:szCs w:val="22"/>
          <w:shd w:val="clear" w:color="auto" w:fill="D9D9D9"/>
          <w:lang w:val="et-EE"/>
        </w:rPr>
        <w:t>180 õhukese polümeerikattega</w:t>
      </w:r>
      <w:r w:rsidRPr="00EC3BD7" w:rsidDel="00EF0882">
        <w:rPr>
          <w:color w:val="000000"/>
          <w:szCs w:val="22"/>
          <w:shd w:val="clear" w:color="auto" w:fill="D9D9D9"/>
          <w:lang w:val="et-EE"/>
        </w:rPr>
        <w:t xml:space="preserve"> </w:t>
      </w:r>
      <w:r w:rsidRPr="00EC3BD7">
        <w:rPr>
          <w:color w:val="000000"/>
          <w:szCs w:val="22"/>
          <w:shd w:val="clear" w:color="auto" w:fill="D9D9D9"/>
          <w:lang w:val="et-EE"/>
        </w:rPr>
        <w:t>tabletti</w:t>
      </w:r>
    </w:p>
    <w:p w14:paraId="3B4AF470" w14:textId="77777777" w:rsidR="00DA3205" w:rsidRPr="00EC3BD7" w:rsidRDefault="00DA3205" w:rsidP="00DA3205">
      <w:pPr>
        <w:tabs>
          <w:tab w:val="clear" w:pos="567"/>
        </w:tabs>
        <w:spacing w:line="240" w:lineRule="auto"/>
        <w:rPr>
          <w:color w:val="000000"/>
          <w:szCs w:val="22"/>
          <w:lang w:val="et-EE"/>
        </w:rPr>
      </w:pPr>
    </w:p>
    <w:p w14:paraId="4590336B" w14:textId="77777777" w:rsidR="00DA3205" w:rsidRPr="00EC3BD7" w:rsidRDefault="00DA3205" w:rsidP="00DA3205">
      <w:pPr>
        <w:tabs>
          <w:tab w:val="clear" w:pos="567"/>
        </w:tabs>
        <w:spacing w:line="240" w:lineRule="auto"/>
        <w:rPr>
          <w:color w:val="000000"/>
          <w:szCs w:val="22"/>
          <w:lang w:val="et-EE"/>
        </w:rPr>
      </w:pPr>
    </w:p>
    <w:p w14:paraId="48117BB1"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5.</w:t>
      </w:r>
      <w:r w:rsidRPr="00EC3BD7">
        <w:rPr>
          <w:b/>
          <w:color w:val="000000"/>
          <w:szCs w:val="22"/>
          <w:lang w:val="et-EE"/>
        </w:rPr>
        <w:tab/>
        <w:t>MANUSTAMISVIIS JA –TEE</w:t>
      </w:r>
      <w:r w:rsidR="00780752" w:rsidRPr="00EC3BD7">
        <w:rPr>
          <w:b/>
          <w:color w:val="000000"/>
          <w:szCs w:val="22"/>
          <w:lang w:val="et-EE"/>
        </w:rPr>
        <w:t>(D)</w:t>
      </w:r>
    </w:p>
    <w:p w14:paraId="61C31DC0" w14:textId="77777777" w:rsidR="00DA3205" w:rsidRPr="00EC3BD7" w:rsidRDefault="00DA3205" w:rsidP="00DA3205">
      <w:pPr>
        <w:tabs>
          <w:tab w:val="clear" w:pos="567"/>
        </w:tabs>
        <w:spacing w:line="240" w:lineRule="auto"/>
        <w:rPr>
          <w:color w:val="000000"/>
          <w:szCs w:val="22"/>
          <w:lang w:val="et-EE"/>
        </w:rPr>
      </w:pPr>
    </w:p>
    <w:p w14:paraId="15593089" w14:textId="77777777" w:rsidR="00DA3205" w:rsidRPr="00EC3BD7" w:rsidRDefault="00DA3205" w:rsidP="00DA3205">
      <w:pPr>
        <w:pStyle w:val="EndnoteText"/>
        <w:widowControl w:val="0"/>
        <w:tabs>
          <w:tab w:val="clear" w:pos="567"/>
        </w:tabs>
        <w:rPr>
          <w:color w:val="000000"/>
          <w:szCs w:val="22"/>
          <w:lang w:val="et-EE"/>
        </w:rPr>
      </w:pPr>
      <w:r w:rsidRPr="00EC3BD7">
        <w:rPr>
          <w:color w:val="000000"/>
          <w:szCs w:val="22"/>
          <w:lang w:val="et-EE"/>
        </w:rPr>
        <w:t>Suukaudne. Enne ravimi kasutamist lugege pakendi infolehte.</w:t>
      </w:r>
    </w:p>
    <w:p w14:paraId="19A7ACD2" w14:textId="77777777" w:rsidR="00DA3205" w:rsidRPr="00EC3BD7" w:rsidRDefault="00DA3205" w:rsidP="00DA3205">
      <w:pPr>
        <w:tabs>
          <w:tab w:val="clear" w:pos="567"/>
        </w:tabs>
        <w:spacing w:line="240" w:lineRule="auto"/>
        <w:rPr>
          <w:color w:val="000000"/>
          <w:szCs w:val="22"/>
          <w:lang w:val="et-EE"/>
        </w:rPr>
      </w:pPr>
    </w:p>
    <w:p w14:paraId="509DBED8" w14:textId="77777777" w:rsidR="00DA3205" w:rsidRPr="00EC3BD7" w:rsidRDefault="00DA3205" w:rsidP="00DA3205">
      <w:pPr>
        <w:tabs>
          <w:tab w:val="clear" w:pos="567"/>
        </w:tabs>
        <w:spacing w:line="240" w:lineRule="auto"/>
        <w:rPr>
          <w:color w:val="000000"/>
          <w:szCs w:val="22"/>
          <w:lang w:val="et-EE"/>
        </w:rPr>
      </w:pPr>
    </w:p>
    <w:p w14:paraId="4EAF340B"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6.</w:t>
      </w:r>
      <w:r w:rsidRPr="00EC3BD7">
        <w:rPr>
          <w:b/>
          <w:color w:val="000000"/>
          <w:szCs w:val="22"/>
          <w:lang w:val="et-EE"/>
        </w:rPr>
        <w:tab/>
        <w:t xml:space="preserve">ERIHOIATUS, ET RAVIMIT TULEB HOIDA LASTE EEST </w:t>
      </w:r>
      <w:r w:rsidR="002A4AD5" w:rsidRPr="00EC3BD7">
        <w:rPr>
          <w:b/>
          <w:color w:val="000000"/>
          <w:szCs w:val="22"/>
          <w:lang w:val="et-EE"/>
        </w:rPr>
        <w:t xml:space="preserve">VARJATUD JA </w:t>
      </w:r>
      <w:r w:rsidRPr="00EC3BD7">
        <w:rPr>
          <w:b/>
          <w:color w:val="000000"/>
          <w:szCs w:val="22"/>
          <w:lang w:val="et-EE"/>
        </w:rPr>
        <w:t>KÄTTESAAMATUS KOHAS</w:t>
      </w:r>
    </w:p>
    <w:p w14:paraId="326C6017" w14:textId="77777777" w:rsidR="00DA3205" w:rsidRPr="00EC3BD7" w:rsidRDefault="00DA3205" w:rsidP="00DA3205">
      <w:pPr>
        <w:tabs>
          <w:tab w:val="clear" w:pos="567"/>
        </w:tabs>
        <w:spacing w:line="240" w:lineRule="auto"/>
        <w:rPr>
          <w:color w:val="000000"/>
          <w:szCs w:val="22"/>
          <w:lang w:val="et-EE"/>
        </w:rPr>
      </w:pPr>
    </w:p>
    <w:p w14:paraId="02AF20E2" w14:textId="77777777" w:rsidR="00DA3205" w:rsidRPr="00EC3BD7" w:rsidRDefault="00DA3205" w:rsidP="00DA3205">
      <w:pPr>
        <w:tabs>
          <w:tab w:val="clear" w:pos="567"/>
        </w:tabs>
        <w:spacing w:line="240" w:lineRule="auto"/>
        <w:rPr>
          <w:color w:val="000000"/>
          <w:szCs w:val="22"/>
          <w:lang w:val="et-EE"/>
        </w:rPr>
      </w:pPr>
      <w:r w:rsidRPr="00EC3BD7">
        <w:rPr>
          <w:color w:val="000000"/>
          <w:szCs w:val="22"/>
          <w:lang w:val="et-EE"/>
        </w:rPr>
        <w:t>Hoida laste eest varjatud ja kättesaamatus kohas.</w:t>
      </w:r>
    </w:p>
    <w:p w14:paraId="138D3F5E" w14:textId="77777777" w:rsidR="00DA3205" w:rsidRPr="00EC3BD7" w:rsidRDefault="00DA3205" w:rsidP="00DA3205">
      <w:pPr>
        <w:tabs>
          <w:tab w:val="clear" w:pos="567"/>
        </w:tabs>
        <w:spacing w:line="240" w:lineRule="auto"/>
        <w:rPr>
          <w:color w:val="000000"/>
          <w:szCs w:val="22"/>
          <w:lang w:val="et-EE"/>
        </w:rPr>
      </w:pPr>
    </w:p>
    <w:p w14:paraId="2CC4B4A5" w14:textId="77777777" w:rsidR="00DA3205" w:rsidRPr="00EC3BD7" w:rsidRDefault="00DA3205" w:rsidP="00DA3205">
      <w:pPr>
        <w:tabs>
          <w:tab w:val="clear" w:pos="567"/>
        </w:tabs>
        <w:spacing w:line="240" w:lineRule="auto"/>
        <w:rPr>
          <w:color w:val="000000"/>
          <w:szCs w:val="22"/>
          <w:lang w:val="et-EE"/>
        </w:rPr>
      </w:pPr>
    </w:p>
    <w:p w14:paraId="1152F0F7"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7.</w:t>
      </w:r>
      <w:r w:rsidRPr="00EC3BD7">
        <w:rPr>
          <w:b/>
          <w:color w:val="000000"/>
          <w:szCs w:val="22"/>
          <w:lang w:val="et-EE"/>
        </w:rPr>
        <w:tab/>
        <w:t>TEISED ERIHOIATUSED (VAJADUSEL)</w:t>
      </w:r>
    </w:p>
    <w:p w14:paraId="35F2F119" w14:textId="77777777" w:rsidR="00DA3205" w:rsidRPr="00EC3BD7" w:rsidRDefault="00DA3205" w:rsidP="00DA3205">
      <w:pPr>
        <w:tabs>
          <w:tab w:val="clear" w:pos="567"/>
        </w:tabs>
        <w:spacing w:line="240" w:lineRule="auto"/>
        <w:rPr>
          <w:color w:val="000000"/>
          <w:szCs w:val="22"/>
          <w:lang w:val="et-EE"/>
        </w:rPr>
      </w:pPr>
    </w:p>
    <w:p w14:paraId="44181CDB" w14:textId="77777777" w:rsidR="00DA3205" w:rsidRPr="00EC3BD7" w:rsidRDefault="00DA3205" w:rsidP="00DA3205">
      <w:pPr>
        <w:pStyle w:val="EndnoteText"/>
        <w:widowControl w:val="0"/>
        <w:tabs>
          <w:tab w:val="clear" w:pos="567"/>
        </w:tabs>
        <w:rPr>
          <w:color w:val="000000"/>
          <w:szCs w:val="22"/>
          <w:lang w:val="et-EE"/>
        </w:rPr>
      </w:pPr>
      <w:r w:rsidRPr="00EC3BD7">
        <w:rPr>
          <w:color w:val="000000"/>
          <w:szCs w:val="22"/>
          <w:lang w:val="et-EE"/>
        </w:rPr>
        <w:t>Kasutada ainult vastavalt arsti juhistele.</w:t>
      </w:r>
    </w:p>
    <w:p w14:paraId="6C17D00D" w14:textId="77777777" w:rsidR="00DA3205" w:rsidRPr="00EC3BD7" w:rsidRDefault="00DA3205" w:rsidP="00DA3205">
      <w:pPr>
        <w:tabs>
          <w:tab w:val="clear" w:pos="567"/>
        </w:tabs>
        <w:spacing w:line="240" w:lineRule="auto"/>
        <w:rPr>
          <w:color w:val="000000"/>
          <w:szCs w:val="22"/>
          <w:lang w:val="et-EE"/>
        </w:rPr>
      </w:pPr>
    </w:p>
    <w:p w14:paraId="68958266" w14:textId="77777777" w:rsidR="00DA3205" w:rsidRPr="00EC3BD7" w:rsidRDefault="00DA3205" w:rsidP="00DA3205">
      <w:pPr>
        <w:tabs>
          <w:tab w:val="clear" w:pos="567"/>
        </w:tabs>
        <w:spacing w:line="240" w:lineRule="auto"/>
        <w:rPr>
          <w:color w:val="000000"/>
          <w:szCs w:val="22"/>
          <w:lang w:val="et-EE"/>
        </w:rPr>
      </w:pPr>
    </w:p>
    <w:p w14:paraId="4AB870AD"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8.</w:t>
      </w:r>
      <w:r w:rsidRPr="00EC3BD7">
        <w:rPr>
          <w:b/>
          <w:color w:val="000000"/>
          <w:szCs w:val="22"/>
          <w:lang w:val="et-EE"/>
        </w:rPr>
        <w:tab/>
        <w:t>KÕLBLIKKUSAEG</w:t>
      </w:r>
    </w:p>
    <w:p w14:paraId="20C76CB9" w14:textId="77777777" w:rsidR="00DA3205" w:rsidRPr="00EC3BD7" w:rsidRDefault="00DA3205" w:rsidP="00DA3205">
      <w:pPr>
        <w:tabs>
          <w:tab w:val="clear" w:pos="567"/>
        </w:tabs>
        <w:spacing w:line="240" w:lineRule="auto"/>
        <w:rPr>
          <w:color w:val="000000"/>
          <w:szCs w:val="22"/>
          <w:lang w:val="et-EE"/>
        </w:rPr>
      </w:pPr>
    </w:p>
    <w:p w14:paraId="1DA2C0D0" w14:textId="77777777" w:rsidR="00DA3205" w:rsidRPr="00EC3BD7" w:rsidRDefault="00F95D17" w:rsidP="00DA3205">
      <w:pPr>
        <w:pStyle w:val="EndnoteText"/>
        <w:widowControl w:val="0"/>
        <w:tabs>
          <w:tab w:val="clear" w:pos="567"/>
        </w:tabs>
        <w:rPr>
          <w:color w:val="000000"/>
          <w:szCs w:val="22"/>
          <w:lang w:val="et-EE"/>
        </w:rPr>
      </w:pPr>
      <w:r w:rsidRPr="00EC3BD7">
        <w:rPr>
          <w:color w:val="000000"/>
          <w:szCs w:val="22"/>
          <w:lang w:val="et-EE"/>
        </w:rPr>
        <w:t>EXP</w:t>
      </w:r>
    </w:p>
    <w:p w14:paraId="07CBA99B" w14:textId="77777777" w:rsidR="00DA3205" w:rsidRPr="00EC3BD7" w:rsidRDefault="00DA3205" w:rsidP="00DA3205">
      <w:pPr>
        <w:tabs>
          <w:tab w:val="clear" w:pos="567"/>
        </w:tabs>
        <w:spacing w:line="240" w:lineRule="auto"/>
        <w:rPr>
          <w:color w:val="000000"/>
          <w:szCs w:val="22"/>
          <w:lang w:val="et-EE"/>
        </w:rPr>
      </w:pPr>
    </w:p>
    <w:p w14:paraId="2B366212" w14:textId="77777777" w:rsidR="00DA3205" w:rsidRPr="00EC3BD7" w:rsidRDefault="00DA3205" w:rsidP="00DA3205">
      <w:pPr>
        <w:tabs>
          <w:tab w:val="clear" w:pos="567"/>
        </w:tabs>
        <w:spacing w:line="240" w:lineRule="auto"/>
        <w:rPr>
          <w:color w:val="000000"/>
          <w:szCs w:val="22"/>
          <w:lang w:val="et-EE"/>
        </w:rPr>
      </w:pPr>
    </w:p>
    <w:p w14:paraId="605D204F"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szCs w:val="22"/>
          <w:lang w:val="et-EE"/>
        </w:rPr>
      </w:pPr>
      <w:r w:rsidRPr="00EC3BD7">
        <w:rPr>
          <w:b/>
          <w:color w:val="000000"/>
          <w:szCs w:val="22"/>
          <w:lang w:val="et-EE"/>
        </w:rPr>
        <w:t>9.</w:t>
      </w:r>
      <w:r w:rsidRPr="00EC3BD7">
        <w:rPr>
          <w:b/>
          <w:color w:val="000000"/>
          <w:szCs w:val="22"/>
          <w:lang w:val="et-EE"/>
        </w:rPr>
        <w:tab/>
        <w:t>SÄILITAMISE ERITINGIMUSED</w:t>
      </w:r>
    </w:p>
    <w:p w14:paraId="6FAD5362" w14:textId="77777777" w:rsidR="00DA3205" w:rsidRPr="00EC3BD7" w:rsidRDefault="00DA3205" w:rsidP="00DA3205">
      <w:pPr>
        <w:tabs>
          <w:tab w:val="clear" w:pos="567"/>
        </w:tabs>
        <w:spacing w:line="240" w:lineRule="auto"/>
        <w:rPr>
          <w:color w:val="000000"/>
          <w:szCs w:val="22"/>
          <w:lang w:val="et-EE"/>
        </w:rPr>
      </w:pPr>
    </w:p>
    <w:p w14:paraId="6764CAE3" w14:textId="77777777" w:rsidR="00DA3205" w:rsidRPr="00EC3BD7" w:rsidRDefault="00DA3205" w:rsidP="00DA3205">
      <w:pPr>
        <w:pStyle w:val="Text"/>
        <w:widowControl w:val="0"/>
        <w:spacing w:before="0"/>
        <w:rPr>
          <w:color w:val="000000"/>
          <w:sz w:val="22"/>
          <w:szCs w:val="22"/>
          <w:lang w:val="et-EE"/>
        </w:rPr>
      </w:pPr>
      <w:r w:rsidRPr="00EC3BD7">
        <w:rPr>
          <w:color w:val="000000"/>
          <w:sz w:val="22"/>
          <w:szCs w:val="22"/>
          <w:lang w:val="et-EE"/>
        </w:rPr>
        <w:t>Hoida temperatuuril kuni 30</w:t>
      </w:r>
      <w:r w:rsidRPr="00EC3BD7">
        <w:rPr>
          <w:color w:val="000000"/>
          <w:sz w:val="22"/>
          <w:szCs w:val="22"/>
          <w:lang w:val="et-EE"/>
        </w:rPr>
        <w:sym w:font="Symbol" w:char="F0B0"/>
      </w:r>
      <w:r w:rsidRPr="00EC3BD7">
        <w:rPr>
          <w:color w:val="000000"/>
          <w:sz w:val="22"/>
          <w:szCs w:val="22"/>
          <w:lang w:val="et-EE"/>
        </w:rPr>
        <w:t>C. Hoida originaalpakendis, niiskuse eest kaitstult.</w:t>
      </w:r>
    </w:p>
    <w:p w14:paraId="20C86313" w14:textId="77777777" w:rsidR="00DA3205" w:rsidRPr="00EC3BD7" w:rsidRDefault="00DA3205" w:rsidP="00DA3205">
      <w:pPr>
        <w:tabs>
          <w:tab w:val="clear" w:pos="567"/>
        </w:tabs>
        <w:spacing w:line="240" w:lineRule="auto"/>
        <w:rPr>
          <w:color w:val="000000"/>
          <w:szCs w:val="22"/>
          <w:lang w:val="et-EE"/>
        </w:rPr>
      </w:pPr>
    </w:p>
    <w:p w14:paraId="428D8600" w14:textId="77777777" w:rsidR="00DA3205" w:rsidRPr="00EC3BD7" w:rsidRDefault="00DA3205" w:rsidP="00DA3205">
      <w:pPr>
        <w:tabs>
          <w:tab w:val="clear" w:pos="567"/>
        </w:tabs>
        <w:spacing w:line="240" w:lineRule="auto"/>
        <w:rPr>
          <w:color w:val="000000"/>
          <w:szCs w:val="22"/>
          <w:lang w:val="et-EE"/>
        </w:rPr>
      </w:pPr>
    </w:p>
    <w:p w14:paraId="4A5A8D62"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lastRenderedPageBreak/>
        <w:t>10.</w:t>
      </w:r>
      <w:r w:rsidRPr="00EC3BD7">
        <w:rPr>
          <w:b/>
          <w:color w:val="000000"/>
          <w:szCs w:val="22"/>
          <w:lang w:val="et-EE"/>
        </w:rPr>
        <w:tab/>
        <w:t>ERINÕUDED KASUTAMATA JÄÄNUD RAVIM</w:t>
      </w:r>
      <w:r w:rsidR="008E4954" w:rsidRPr="00EC3BD7">
        <w:rPr>
          <w:b/>
          <w:color w:val="000000"/>
          <w:szCs w:val="22"/>
          <w:lang w:val="et-EE"/>
        </w:rPr>
        <w:t>PREPARAAD</w:t>
      </w:r>
      <w:r w:rsidRPr="00EC3BD7">
        <w:rPr>
          <w:b/>
          <w:color w:val="000000"/>
          <w:szCs w:val="22"/>
          <w:lang w:val="et-EE"/>
        </w:rPr>
        <w:t xml:space="preserve">I VÕI </w:t>
      </w:r>
      <w:r w:rsidR="008E4954" w:rsidRPr="00EC3BD7">
        <w:rPr>
          <w:b/>
          <w:color w:val="000000"/>
          <w:szCs w:val="22"/>
          <w:lang w:val="et-EE"/>
        </w:rPr>
        <w:t xml:space="preserve">SELLEST TEKKINUD </w:t>
      </w:r>
      <w:r w:rsidRPr="00EC3BD7">
        <w:rPr>
          <w:b/>
          <w:color w:val="000000"/>
          <w:szCs w:val="22"/>
          <w:lang w:val="et-EE"/>
        </w:rPr>
        <w:t xml:space="preserve">JÄÄTMEMATERJALI HÄVITAMISEKS, VASTAVALT </w:t>
      </w:r>
      <w:r w:rsidR="008E4954" w:rsidRPr="00EC3BD7">
        <w:rPr>
          <w:b/>
          <w:color w:val="000000"/>
          <w:szCs w:val="22"/>
          <w:lang w:val="et-EE"/>
        </w:rPr>
        <w:t>VAJADUSELE</w:t>
      </w:r>
    </w:p>
    <w:p w14:paraId="0EEECB36" w14:textId="77777777" w:rsidR="00DA3205" w:rsidRPr="00EC3BD7" w:rsidRDefault="00DA3205" w:rsidP="00DA3205">
      <w:pPr>
        <w:tabs>
          <w:tab w:val="clear" w:pos="567"/>
        </w:tabs>
        <w:spacing w:line="240" w:lineRule="auto"/>
        <w:rPr>
          <w:color w:val="000000"/>
          <w:szCs w:val="22"/>
          <w:lang w:val="et-EE"/>
        </w:rPr>
      </w:pPr>
    </w:p>
    <w:p w14:paraId="79F68B97" w14:textId="77777777" w:rsidR="00DA3205" w:rsidRPr="00EC3BD7" w:rsidRDefault="00DA3205" w:rsidP="00DA3205">
      <w:pPr>
        <w:tabs>
          <w:tab w:val="clear" w:pos="567"/>
        </w:tabs>
        <w:spacing w:line="240" w:lineRule="auto"/>
        <w:rPr>
          <w:color w:val="000000"/>
          <w:szCs w:val="22"/>
          <w:lang w:val="et-EE"/>
        </w:rPr>
      </w:pPr>
    </w:p>
    <w:p w14:paraId="025609CF"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11.</w:t>
      </w:r>
      <w:r w:rsidRPr="00EC3BD7">
        <w:rPr>
          <w:b/>
          <w:color w:val="000000"/>
          <w:szCs w:val="22"/>
          <w:lang w:val="et-EE"/>
        </w:rPr>
        <w:tab/>
        <w:t>MÜÜGILOA HOIDJA NIMI JA AADRESS</w:t>
      </w:r>
    </w:p>
    <w:p w14:paraId="39C2F7AE" w14:textId="77777777" w:rsidR="00DA3205" w:rsidRPr="00EC3BD7" w:rsidRDefault="00DA3205" w:rsidP="00DA3205">
      <w:pPr>
        <w:tabs>
          <w:tab w:val="clear" w:pos="567"/>
        </w:tabs>
        <w:spacing w:line="240" w:lineRule="auto"/>
        <w:rPr>
          <w:color w:val="000000"/>
          <w:szCs w:val="22"/>
          <w:lang w:val="et-EE"/>
        </w:rPr>
      </w:pPr>
    </w:p>
    <w:p w14:paraId="07A4B1DF" w14:textId="77777777" w:rsidR="00DA3205" w:rsidRPr="00EC3BD7" w:rsidRDefault="00DA3205" w:rsidP="00B9089D">
      <w:pPr>
        <w:pStyle w:val="EndnoteText"/>
        <w:keepNext/>
        <w:widowControl w:val="0"/>
        <w:tabs>
          <w:tab w:val="clear" w:pos="567"/>
        </w:tabs>
        <w:rPr>
          <w:color w:val="000000"/>
          <w:szCs w:val="22"/>
          <w:lang w:val="et-EE"/>
        </w:rPr>
      </w:pPr>
      <w:r w:rsidRPr="00EC3BD7">
        <w:rPr>
          <w:color w:val="000000"/>
          <w:szCs w:val="22"/>
          <w:lang w:val="et-EE"/>
        </w:rPr>
        <w:t>Novartis Europharm Limited</w:t>
      </w:r>
    </w:p>
    <w:p w14:paraId="54487274" w14:textId="77777777" w:rsidR="003948E3" w:rsidRPr="00EC3BD7" w:rsidRDefault="003948E3" w:rsidP="003948E3">
      <w:pPr>
        <w:keepNext/>
        <w:widowControl w:val="0"/>
        <w:spacing w:line="240" w:lineRule="auto"/>
        <w:rPr>
          <w:color w:val="000000"/>
          <w:lang w:val="et-EE"/>
        </w:rPr>
      </w:pPr>
      <w:r w:rsidRPr="00EC3BD7">
        <w:rPr>
          <w:color w:val="000000"/>
          <w:lang w:val="et-EE"/>
        </w:rPr>
        <w:t>Vista Building</w:t>
      </w:r>
    </w:p>
    <w:p w14:paraId="7A5BC00D" w14:textId="77777777" w:rsidR="003948E3" w:rsidRPr="00EC3BD7" w:rsidRDefault="003948E3" w:rsidP="003948E3">
      <w:pPr>
        <w:keepNext/>
        <w:widowControl w:val="0"/>
        <w:spacing w:line="240" w:lineRule="auto"/>
        <w:rPr>
          <w:color w:val="000000"/>
        </w:rPr>
      </w:pPr>
      <w:r w:rsidRPr="00EC3BD7">
        <w:rPr>
          <w:color w:val="000000"/>
        </w:rPr>
        <w:t>Elm Park, Merrion Road</w:t>
      </w:r>
    </w:p>
    <w:p w14:paraId="2CE3B2DA" w14:textId="77777777" w:rsidR="003948E3" w:rsidRPr="00EC3BD7" w:rsidRDefault="003948E3" w:rsidP="003948E3">
      <w:pPr>
        <w:keepNext/>
        <w:widowControl w:val="0"/>
        <w:spacing w:line="240" w:lineRule="auto"/>
        <w:rPr>
          <w:color w:val="000000"/>
        </w:rPr>
      </w:pPr>
      <w:r w:rsidRPr="00EC3BD7">
        <w:rPr>
          <w:color w:val="000000"/>
        </w:rPr>
        <w:t>Dublin 4</w:t>
      </w:r>
    </w:p>
    <w:p w14:paraId="3651200D" w14:textId="77777777" w:rsidR="00DA3205" w:rsidRPr="00EC3BD7" w:rsidRDefault="003948E3" w:rsidP="00DA3205">
      <w:pPr>
        <w:tabs>
          <w:tab w:val="clear" w:pos="567"/>
        </w:tabs>
        <w:spacing w:line="240" w:lineRule="auto"/>
        <w:rPr>
          <w:color w:val="000000"/>
          <w:szCs w:val="22"/>
          <w:lang w:val="et-EE"/>
        </w:rPr>
      </w:pPr>
      <w:r w:rsidRPr="00EC3BD7">
        <w:rPr>
          <w:color w:val="000000"/>
        </w:rPr>
        <w:t>Iirimaa</w:t>
      </w:r>
    </w:p>
    <w:p w14:paraId="614757CE" w14:textId="77777777" w:rsidR="00DA3205" w:rsidRPr="00EC3BD7" w:rsidRDefault="00DA3205" w:rsidP="00DA3205">
      <w:pPr>
        <w:tabs>
          <w:tab w:val="clear" w:pos="567"/>
        </w:tabs>
        <w:spacing w:line="240" w:lineRule="auto"/>
        <w:rPr>
          <w:color w:val="000000"/>
          <w:szCs w:val="22"/>
          <w:lang w:val="et-EE"/>
        </w:rPr>
      </w:pPr>
    </w:p>
    <w:p w14:paraId="090065D0" w14:textId="77777777" w:rsidR="00DA3205" w:rsidRPr="00EC3BD7" w:rsidRDefault="00DA3205" w:rsidP="00DA3205">
      <w:pPr>
        <w:tabs>
          <w:tab w:val="clear" w:pos="567"/>
        </w:tabs>
        <w:spacing w:line="240" w:lineRule="auto"/>
        <w:rPr>
          <w:color w:val="000000"/>
          <w:szCs w:val="22"/>
          <w:lang w:val="et-EE"/>
        </w:rPr>
      </w:pPr>
    </w:p>
    <w:p w14:paraId="6F4E8638"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12.</w:t>
      </w:r>
      <w:r w:rsidRPr="00EC3BD7">
        <w:rPr>
          <w:b/>
          <w:color w:val="000000"/>
          <w:szCs w:val="22"/>
          <w:lang w:val="et-EE"/>
        </w:rPr>
        <w:tab/>
        <w:t>MÜÜGILOA NUMBER (NUMBRID)</w:t>
      </w:r>
    </w:p>
    <w:p w14:paraId="3280123F" w14:textId="77777777" w:rsidR="00DA3205" w:rsidRPr="00EC3BD7" w:rsidRDefault="00DA3205" w:rsidP="00DA3205">
      <w:pPr>
        <w:tabs>
          <w:tab w:val="clear" w:pos="567"/>
        </w:tabs>
        <w:spacing w:line="240" w:lineRule="auto"/>
        <w:rPr>
          <w:color w:val="000000"/>
          <w:szCs w:val="22"/>
          <w:lang w:val="et-EE"/>
        </w:rPr>
      </w:pPr>
    </w:p>
    <w:p w14:paraId="7648D71F" w14:textId="77777777" w:rsidR="00DA3205" w:rsidRPr="00EC3BD7" w:rsidRDefault="00DA3205" w:rsidP="00DA3205">
      <w:pPr>
        <w:tabs>
          <w:tab w:val="clear" w:pos="567"/>
          <w:tab w:val="left" w:pos="2268"/>
        </w:tabs>
        <w:spacing w:line="240" w:lineRule="auto"/>
        <w:rPr>
          <w:color w:val="000000"/>
          <w:szCs w:val="22"/>
          <w:shd w:val="clear" w:color="auto" w:fill="D9D9D9"/>
          <w:lang w:val="et-EE"/>
        </w:rPr>
      </w:pPr>
      <w:r w:rsidRPr="00EC3BD7">
        <w:rPr>
          <w:color w:val="000000"/>
          <w:szCs w:val="22"/>
          <w:lang w:val="et-EE"/>
        </w:rPr>
        <w:t>EU/1/01/198/007</w:t>
      </w:r>
      <w:r w:rsidRPr="00EC3BD7">
        <w:rPr>
          <w:color w:val="000000"/>
          <w:szCs w:val="22"/>
          <w:lang w:val="et-EE"/>
        </w:rPr>
        <w:tab/>
      </w:r>
      <w:r w:rsidRPr="00EC3BD7">
        <w:rPr>
          <w:color w:val="000000"/>
          <w:szCs w:val="22"/>
          <w:shd w:val="clear" w:color="auto" w:fill="D9D9D9"/>
          <w:lang w:val="et-EE"/>
        </w:rPr>
        <w:t>20 tabletti</w:t>
      </w:r>
      <w:r w:rsidR="00F34535" w:rsidRPr="00EC3BD7">
        <w:rPr>
          <w:color w:val="000000"/>
          <w:szCs w:val="22"/>
          <w:shd w:val="pct15" w:color="auto" w:fill="auto"/>
          <w:lang w:val="et-EE"/>
        </w:rPr>
        <w:t xml:space="preserve"> (PVC/alumiinium blister)</w:t>
      </w:r>
    </w:p>
    <w:p w14:paraId="6371B11A" w14:textId="77777777" w:rsidR="00DA3205" w:rsidRPr="00EC3BD7" w:rsidRDefault="00DA3205" w:rsidP="00DA3205">
      <w:pPr>
        <w:tabs>
          <w:tab w:val="clear" w:pos="567"/>
          <w:tab w:val="left" w:pos="2268"/>
        </w:tabs>
        <w:spacing w:line="240" w:lineRule="auto"/>
        <w:rPr>
          <w:color w:val="000000"/>
          <w:szCs w:val="22"/>
          <w:shd w:val="clear" w:color="auto" w:fill="D9D9D9"/>
          <w:lang w:val="et-EE"/>
        </w:rPr>
      </w:pPr>
      <w:r w:rsidRPr="00EC3BD7">
        <w:rPr>
          <w:color w:val="000000"/>
          <w:szCs w:val="22"/>
          <w:shd w:val="clear" w:color="auto" w:fill="D9D9D9"/>
          <w:lang w:val="et-EE"/>
        </w:rPr>
        <w:t>EU/1/01/198/008</w:t>
      </w:r>
      <w:r w:rsidRPr="00EC3BD7">
        <w:rPr>
          <w:color w:val="000000"/>
          <w:szCs w:val="22"/>
          <w:shd w:val="clear" w:color="auto" w:fill="D9D9D9"/>
          <w:lang w:val="et-EE"/>
        </w:rPr>
        <w:tab/>
        <w:t>60 tabletti</w:t>
      </w:r>
      <w:r w:rsidR="00F34535" w:rsidRPr="00EC3BD7">
        <w:rPr>
          <w:color w:val="000000"/>
          <w:szCs w:val="22"/>
          <w:shd w:val="pct15" w:color="auto" w:fill="auto"/>
          <w:lang w:val="et-EE"/>
        </w:rPr>
        <w:t xml:space="preserve"> (PVC/alumiinium blister)</w:t>
      </w:r>
    </w:p>
    <w:p w14:paraId="1BA42191" w14:textId="77777777" w:rsidR="00DA3205" w:rsidRPr="00EC3BD7" w:rsidRDefault="00DA3205" w:rsidP="00DA3205">
      <w:pPr>
        <w:tabs>
          <w:tab w:val="clear" w:pos="567"/>
          <w:tab w:val="left" w:pos="2268"/>
        </w:tabs>
        <w:spacing w:line="240" w:lineRule="auto"/>
        <w:rPr>
          <w:color w:val="000000"/>
          <w:szCs w:val="22"/>
          <w:shd w:val="clear" w:color="auto" w:fill="D9D9D9"/>
          <w:lang w:val="et-EE"/>
        </w:rPr>
      </w:pPr>
      <w:r w:rsidRPr="00EC3BD7">
        <w:rPr>
          <w:color w:val="000000"/>
          <w:szCs w:val="22"/>
          <w:shd w:val="clear" w:color="auto" w:fill="D9D9D9"/>
          <w:lang w:val="et-EE"/>
        </w:rPr>
        <w:t>EU/1/01/198/011</w:t>
      </w:r>
      <w:r w:rsidRPr="00EC3BD7">
        <w:rPr>
          <w:color w:val="000000"/>
          <w:szCs w:val="22"/>
          <w:shd w:val="clear" w:color="auto" w:fill="D9D9D9"/>
          <w:lang w:val="et-EE"/>
        </w:rPr>
        <w:tab/>
        <w:t>120 tabletti</w:t>
      </w:r>
      <w:r w:rsidR="00F34535" w:rsidRPr="00EC3BD7">
        <w:rPr>
          <w:color w:val="000000"/>
          <w:szCs w:val="22"/>
          <w:shd w:val="pct15" w:color="auto" w:fill="auto"/>
          <w:lang w:val="et-EE"/>
        </w:rPr>
        <w:t xml:space="preserve"> (PVC/alumiinium blister)</w:t>
      </w:r>
    </w:p>
    <w:p w14:paraId="02A87978" w14:textId="77777777" w:rsidR="00DA3205" w:rsidRPr="00EC3BD7" w:rsidRDefault="00DA3205" w:rsidP="00DA3205">
      <w:pPr>
        <w:tabs>
          <w:tab w:val="clear" w:pos="567"/>
          <w:tab w:val="left" w:pos="2268"/>
        </w:tabs>
        <w:spacing w:line="240" w:lineRule="auto"/>
        <w:rPr>
          <w:color w:val="000000"/>
          <w:szCs w:val="22"/>
          <w:shd w:val="clear" w:color="auto" w:fill="D9D9D9"/>
          <w:lang w:val="et-EE"/>
        </w:rPr>
      </w:pPr>
      <w:r w:rsidRPr="00EC3BD7">
        <w:rPr>
          <w:color w:val="000000"/>
          <w:szCs w:val="22"/>
          <w:shd w:val="clear" w:color="auto" w:fill="D9D9D9"/>
          <w:lang w:val="et-EE"/>
        </w:rPr>
        <w:t>EU/1/01/198/012</w:t>
      </w:r>
      <w:r w:rsidRPr="00EC3BD7">
        <w:rPr>
          <w:color w:val="000000"/>
          <w:szCs w:val="22"/>
          <w:shd w:val="clear" w:color="auto" w:fill="D9D9D9"/>
          <w:lang w:val="et-EE"/>
        </w:rPr>
        <w:tab/>
        <w:t>180 tabletti</w:t>
      </w:r>
      <w:r w:rsidR="00F34535" w:rsidRPr="00EC3BD7">
        <w:rPr>
          <w:color w:val="000000"/>
          <w:szCs w:val="22"/>
          <w:shd w:val="pct15" w:color="auto" w:fill="auto"/>
          <w:lang w:val="et-EE"/>
        </w:rPr>
        <w:t xml:space="preserve"> (PVC/alumiinium blister)</w:t>
      </w:r>
    </w:p>
    <w:p w14:paraId="14489024" w14:textId="77777777" w:rsidR="00F34535" w:rsidRPr="00EC3BD7" w:rsidRDefault="00F34535" w:rsidP="00F34535">
      <w:pPr>
        <w:tabs>
          <w:tab w:val="clear" w:pos="567"/>
        </w:tabs>
        <w:spacing w:line="240" w:lineRule="auto"/>
        <w:ind w:left="2268" w:hanging="2268"/>
        <w:rPr>
          <w:color w:val="000000"/>
          <w:szCs w:val="22"/>
          <w:shd w:val="pct15" w:color="auto" w:fill="auto"/>
          <w:lang w:val="et-EE"/>
        </w:rPr>
      </w:pPr>
      <w:r w:rsidRPr="00EC3BD7">
        <w:rPr>
          <w:color w:val="000000"/>
          <w:szCs w:val="22"/>
          <w:shd w:val="pct15" w:color="auto" w:fill="auto"/>
          <w:lang w:val="et-EE"/>
        </w:rPr>
        <w:t>EU/1/01/198/01</w:t>
      </w:r>
      <w:r w:rsidR="00FE277F" w:rsidRPr="00EC3BD7">
        <w:rPr>
          <w:color w:val="000000"/>
          <w:szCs w:val="22"/>
          <w:shd w:val="pct15" w:color="auto" w:fill="auto"/>
          <w:lang w:val="et-EE"/>
        </w:rPr>
        <w:t>4</w:t>
      </w:r>
      <w:r w:rsidRPr="00EC3BD7">
        <w:rPr>
          <w:color w:val="000000"/>
          <w:szCs w:val="22"/>
          <w:shd w:val="pct15" w:color="auto" w:fill="auto"/>
          <w:lang w:val="et-EE"/>
        </w:rPr>
        <w:tab/>
      </w:r>
      <w:r w:rsidR="00FE277F" w:rsidRPr="00EC3BD7">
        <w:rPr>
          <w:color w:val="000000"/>
          <w:szCs w:val="22"/>
          <w:shd w:val="pct15" w:color="auto" w:fill="auto"/>
          <w:lang w:val="et-EE"/>
        </w:rPr>
        <w:t>6</w:t>
      </w:r>
      <w:r w:rsidRPr="00EC3BD7">
        <w:rPr>
          <w:color w:val="000000"/>
          <w:szCs w:val="22"/>
          <w:shd w:val="pct15" w:color="auto" w:fill="auto"/>
          <w:lang w:val="et-EE"/>
        </w:rPr>
        <w:t>0 tabletti (PVDC/alumiinium blister)</w:t>
      </w:r>
    </w:p>
    <w:p w14:paraId="3ECE7A9D" w14:textId="77777777" w:rsidR="00F34535" w:rsidRPr="00EC3BD7" w:rsidRDefault="00F34535" w:rsidP="00F34535">
      <w:pPr>
        <w:tabs>
          <w:tab w:val="clear" w:pos="567"/>
        </w:tabs>
        <w:spacing w:line="240" w:lineRule="auto"/>
        <w:ind w:left="2268" w:hanging="2268"/>
        <w:rPr>
          <w:color w:val="000000"/>
          <w:szCs w:val="22"/>
          <w:shd w:val="pct15" w:color="auto" w:fill="auto"/>
          <w:lang w:val="et-EE"/>
        </w:rPr>
      </w:pPr>
      <w:r w:rsidRPr="00EC3BD7">
        <w:rPr>
          <w:color w:val="000000"/>
          <w:szCs w:val="22"/>
          <w:shd w:val="pct15" w:color="auto" w:fill="auto"/>
          <w:lang w:val="et-EE"/>
        </w:rPr>
        <w:t>EU/1/01/198/01</w:t>
      </w:r>
      <w:r w:rsidR="00FE277F" w:rsidRPr="00EC3BD7">
        <w:rPr>
          <w:color w:val="000000"/>
          <w:szCs w:val="22"/>
          <w:shd w:val="pct15" w:color="auto" w:fill="auto"/>
          <w:lang w:val="et-EE"/>
        </w:rPr>
        <w:t>5</w:t>
      </w:r>
      <w:r w:rsidRPr="00EC3BD7">
        <w:rPr>
          <w:color w:val="000000"/>
          <w:szCs w:val="22"/>
          <w:shd w:val="pct15" w:color="auto" w:fill="auto"/>
          <w:lang w:val="et-EE"/>
        </w:rPr>
        <w:tab/>
        <w:t>1</w:t>
      </w:r>
      <w:r w:rsidR="00FE277F" w:rsidRPr="00EC3BD7">
        <w:rPr>
          <w:color w:val="000000"/>
          <w:szCs w:val="22"/>
          <w:shd w:val="pct15" w:color="auto" w:fill="auto"/>
          <w:lang w:val="et-EE"/>
        </w:rPr>
        <w:t>2</w:t>
      </w:r>
      <w:r w:rsidRPr="00EC3BD7">
        <w:rPr>
          <w:color w:val="000000"/>
          <w:szCs w:val="22"/>
          <w:shd w:val="pct15" w:color="auto" w:fill="auto"/>
          <w:lang w:val="et-EE"/>
        </w:rPr>
        <w:t>0 tabletti (PVDC/alumiinium blister)</w:t>
      </w:r>
    </w:p>
    <w:p w14:paraId="1242B919" w14:textId="77777777" w:rsidR="00023B1E" w:rsidRPr="00EC3BD7" w:rsidRDefault="00023B1E" w:rsidP="00023B1E">
      <w:pPr>
        <w:tabs>
          <w:tab w:val="clear" w:pos="567"/>
          <w:tab w:val="left" w:pos="2268"/>
        </w:tabs>
        <w:spacing w:line="240" w:lineRule="auto"/>
        <w:rPr>
          <w:color w:val="000000"/>
          <w:szCs w:val="22"/>
          <w:shd w:val="clear" w:color="auto" w:fill="D9D9D9"/>
          <w:lang w:val="et-EE"/>
        </w:rPr>
      </w:pPr>
      <w:r w:rsidRPr="00EC3BD7">
        <w:rPr>
          <w:color w:val="000000"/>
          <w:szCs w:val="22"/>
          <w:shd w:val="clear" w:color="auto" w:fill="D9D9D9"/>
          <w:lang w:val="et-EE"/>
        </w:rPr>
        <w:t>EU/1/01/198/01</w:t>
      </w:r>
      <w:r w:rsidR="00FE277F" w:rsidRPr="00EC3BD7">
        <w:rPr>
          <w:color w:val="000000"/>
          <w:szCs w:val="22"/>
          <w:shd w:val="clear" w:color="auto" w:fill="D9D9D9"/>
          <w:lang w:val="et-EE"/>
        </w:rPr>
        <w:t>6</w:t>
      </w:r>
      <w:r w:rsidRPr="00EC3BD7">
        <w:rPr>
          <w:color w:val="000000"/>
          <w:szCs w:val="22"/>
          <w:shd w:val="clear" w:color="auto" w:fill="D9D9D9"/>
          <w:lang w:val="et-EE"/>
        </w:rPr>
        <w:tab/>
      </w:r>
      <w:r w:rsidR="00FE277F" w:rsidRPr="00EC3BD7">
        <w:rPr>
          <w:color w:val="000000"/>
          <w:szCs w:val="22"/>
          <w:shd w:val="clear" w:color="auto" w:fill="D9D9D9"/>
          <w:lang w:val="et-EE"/>
        </w:rPr>
        <w:t>18</w:t>
      </w:r>
      <w:r w:rsidRPr="00EC3BD7">
        <w:rPr>
          <w:color w:val="000000"/>
          <w:szCs w:val="22"/>
          <w:shd w:val="clear" w:color="auto" w:fill="D9D9D9"/>
          <w:lang w:val="et-EE"/>
        </w:rPr>
        <w:t>0 tabletti</w:t>
      </w:r>
      <w:r w:rsidRPr="00EC3BD7">
        <w:rPr>
          <w:color w:val="000000"/>
          <w:szCs w:val="22"/>
          <w:shd w:val="pct15" w:color="auto" w:fill="auto"/>
          <w:lang w:val="et-EE"/>
        </w:rPr>
        <w:t xml:space="preserve"> (PVDC/alumiinium blister)</w:t>
      </w:r>
    </w:p>
    <w:p w14:paraId="24C3A251" w14:textId="77777777" w:rsidR="00DA3205" w:rsidRPr="00EC3BD7" w:rsidRDefault="00DA3205" w:rsidP="00DA3205">
      <w:pPr>
        <w:tabs>
          <w:tab w:val="clear" w:pos="567"/>
        </w:tabs>
        <w:spacing w:line="240" w:lineRule="auto"/>
        <w:rPr>
          <w:color w:val="000000"/>
          <w:szCs w:val="22"/>
          <w:lang w:val="et-EE"/>
        </w:rPr>
      </w:pPr>
    </w:p>
    <w:p w14:paraId="0036B3AE" w14:textId="77777777" w:rsidR="00DA3205" w:rsidRPr="00EC3BD7" w:rsidRDefault="00DA3205" w:rsidP="00DA3205">
      <w:pPr>
        <w:tabs>
          <w:tab w:val="clear" w:pos="567"/>
        </w:tabs>
        <w:spacing w:line="240" w:lineRule="auto"/>
        <w:rPr>
          <w:color w:val="000000"/>
          <w:szCs w:val="22"/>
          <w:lang w:val="et-EE"/>
        </w:rPr>
      </w:pPr>
    </w:p>
    <w:p w14:paraId="4D97BACE"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13.</w:t>
      </w:r>
      <w:r w:rsidRPr="00EC3BD7">
        <w:rPr>
          <w:b/>
          <w:color w:val="000000"/>
          <w:szCs w:val="22"/>
          <w:lang w:val="et-EE"/>
        </w:rPr>
        <w:tab/>
        <w:t>PARTII NUMBER</w:t>
      </w:r>
    </w:p>
    <w:p w14:paraId="50E64B33" w14:textId="77777777" w:rsidR="00DA3205" w:rsidRPr="00EC3BD7" w:rsidRDefault="00DA3205" w:rsidP="00DA3205">
      <w:pPr>
        <w:tabs>
          <w:tab w:val="clear" w:pos="567"/>
        </w:tabs>
        <w:spacing w:line="240" w:lineRule="auto"/>
        <w:rPr>
          <w:color w:val="000000"/>
          <w:szCs w:val="22"/>
          <w:lang w:val="et-EE"/>
        </w:rPr>
      </w:pPr>
    </w:p>
    <w:p w14:paraId="2DDFCE00" w14:textId="77777777" w:rsidR="00DA3205" w:rsidRPr="00EC3BD7" w:rsidRDefault="00F95D17" w:rsidP="00DA3205">
      <w:pPr>
        <w:widowControl w:val="0"/>
        <w:tabs>
          <w:tab w:val="clear" w:pos="567"/>
        </w:tabs>
        <w:spacing w:line="240" w:lineRule="auto"/>
        <w:rPr>
          <w:color w:val="000000"/>
          <w:szCs w:val="22"/>
          <w:lang w:val="et-EE"/>
        </w:rPr>
      </w:pPr>
      <w:r w:rsidRPr="00EC3BD7">
        <w:rPr>
          <w:color w:val="000000"/>
          <w:szCs w:val="22"/>
          <w:lang w:val="et-EE"/>
        </w:rPr>
        <w:t>Lot</w:t>
      </w:r>
    </w:p>
    <w:p w14:paraId="7DEEB41B" w14:textId="77777777" w:rsidR="00DA3205" w:rsidRPr="00EC3BD7" w:rsidRDefault="00DA3205" w:rsidP="00DA3205">
      <w:pPr>
        <w:tabs>
          <w:tab w:val="clear" w:pos="567"/>
        </w:tabs>
        <w:spacing w:line="240" w:lineRule="auto"/>
        <w:rPr>
          <w:color w:val="000000"/>
          <w:szCs w:val="22"/>
          <w:lang w:val="et-EE"/>
        </w:rPr>
      </w:pPr>
    </w:p>
    <w:p w14:paraId="49807568" w14:textId="77777777" w:rsidR="00DA3205" w:rsidRPr="00EC3BD7" w:rsidRDefault="00DA3205" w:rsidP="00DA3205">
      <w:pPr>
        <w:tabs>
          <w:tab w:val="clear" w:pos="567"/>
        </w:tabs>
        <w:spacing w:line="240" w:lineRule="auto"/>
        <w:rPr>
          <w:color w:val="000000"/>
          <w:szCs w:val="22"/>
          <w:lang w:val="et-EE"/>
        </w:rPr>
      </w:pPr>
    </w:p>
    <w:p w14:paraId="6024EB86"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14.</w:t>
      </w:r>
      <w:r w:rsidRPr="00EC3BD7">
        <w:rPr>
          <w:b/>
          <w:color w:val="000000"/>
          <w:szCs w:val="22"/>
          <w:lang w:val="et-EE"/>
        </w:rPr>
        <w:tab/>
        <w:t>RAVIMI VÄLJASTAMISTINGIMUSED</w:t>
      </w:r>
    </w:p>
    <w:p w14:paraId="036C5E3B" w14:textId="77777777" w:rsidR="00DA3205" w:rsidRPr="00EC3BD7" w:rsidRDefault="00DA3205" w:rsidP="00DA3205">
      <w:pPr>
        <w:tabs>
          <w:tab w:val="clear" w:pos="567"/>
        </w:tabs>
        <w:spacing w:line="240" w:lineRule="auto"/>
        <w:rPr>
          <w:color w:val="000000"/>
          <w:szCs w:val="22"/>
          <w:lang w:val="et-EE"/>
        </w:rPr>
      </w:pPr>
    </w:p>
    <w:p w14:paraId="6F67BC25" w14:textId="77777777" w:rsidR="00DA3205" w:rsidRPr="00EC3BD7" w:rsidRDefault="00DA3205" w:rsidP="00DA3205">
      <w:pPr>
        <w:tabs>
          <w:tab w:val="clear" w:pos="567"/>
        </w:tabs>
        <w:spacing w:line="240" w:lineRule="auto"/>
        <w:rPr>
          <w:color w:val="000000"/>
          <w:szCs w:val="22"/>
          <w:lang w:val="et-EE"/>
        </w:rPr>
      </w:pPr>
    </w:p>
    <w:p w14:paraId="79A9D8EA"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15.</w:t>
      </w:r>
      <w:r w:rsidRPr="00EC3BD7">
        <w:rPr>
          <w:b/>
          <w:color w:val="000000"/>
          <w:szCs w:val="22"/>
          <w:lang w:val="et-EE"/>
        </w:rPr>
        <w:tab/>
        <w:t>KASUTUSJUHEND</w:t>
      </w:r>
    </w:p>
    <w:p w14:paraId="03F3846B" w14:textId="77777777" w:rsidR="00DA3205" w:rsidRPr="00EC3BD7" w:rsidRDefault="00DA3205" w:rsidP="00DA3205">
      <w:pPr>
        <w:tabs>
          <w:tab w:val="clear" w:pos="567"/>
        </w:tabs>
        <w:spacing w:line="240" w:lineRule="auto"/>
        <w:rPr>
          <w:color w:val="000000"/>
          <w:szCs w:val="22"/>
          <w:lang w:val="et-EE"/>
        </w:rPr>
      </w:pPr>
    </w:p>
    <w:p w14:paraId="302BB6A4" w14:textId="77777777" w:rsidR="00DA3205" w:rsidRPr="00EC3BD7" w:rsidRDefault="00DA3205" w:rsidP="00DA3205">
      <w:pPr>
        <w:tabs>
          <w:tab w:val="clear" w:pos="567"/>
        </w:tabs>
        <w:spacing w:line="240" w:lineRule="auto"/>
        <w:rPr>
          <w:color w:val="000000"/>
          <w:szCs w:val="22"/>
          <w:lang w:val="et-EE"/>
        </w:rPr>
      </w:pPr>
    </w:p>
    <w:p w14:paraId="180A8D25"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16.</w:t>
      </w:r>
      <w:r w:rsidRPr="00EC3BD7">
        <w:rPr>
          <w:b/>
          <w:color w:val="000000"/>
          <w:szCs w:val="22"/>
          <w:lang w:val="et-EE"/>
        </w:rPr>
        <w:tab/>
      </w:r>
      <w:r w:rsidR="00853FF3" w:rsidRPr="00EC3BD7">
        <w:rPr>
          <w:b/>
          <w:color w:val="000000"/>
          <w:szCs w:val="22"/>
          <w:lang w:val="et-EE"/>
        </w:rPr>
        <w:t>TEAVE</w:t>
      </w:r>
      <w:r w:rsidRPr="00EC3BD7">
        <w:rPr>
          <w:b/>
          <w:color w:val="000000"/>
          <w:szCs w:val="22"/>
          <w:lang w:val="et-EE"/>
        </w:rPr>
        <w:t xml:space="preserve"> BRAILLE’ KIRJAS (PUNKTKIRJAS)</w:t>
      </w:r>
    </w:p>
    <w:p w14:paraId="67D57691" w14:textId="77777777" w:rsidR="00DA3205" w:rsidRPr="00EC3BD7" w:rsidRDefault="00DA3205" w:rsidP="00DA3205">
      <w:pPr>
        <w:tabs>
          <w:tab w:val="clear" w:pos="567"/>
        </w:tabs>
        <w:spacing w:line="240" w:lineRule="auto"/>
        <w:rPr>
          <w:color w:val="000000"/>
          <w:szCs w:val="22"/>
          <w:lang w:val="et-EE"/>
        </w:rPr>
      </w:pPr>
    </w:p>
    <w:p w14:paraId="03328660" w14:textId="77777777" w:rsidR="00DA3205" w:rsidRPr="00EC3BD7" w:rsidRDefault="00DA3205" w:rsidP="00DA3205">
      <w:pPr>
        <w:tabs>
          <w:tab w:val="clear" w:pos="567"/>
        </w:tabs>
        <w:spacing w:line="240" w:lineRule="auto"/>
        <w:rPr>
          <w:color w:val="000000"/>
          <w:szCs w:val="22"/>
          <w:lang w:val="et-EE"/>
        </w:rPr>
      </w:pPr>
      <w:r w:rsidRPr="00EC3BD7">
        <w:rPr>
          <w:color w:val="000000"/>
          <w:szCs w:val="22"/>
          <w:lang w:val="et-EE"/>
        </w:rPr>
        <w:t>Glivec 100 mg</w:t>
      </w:r>
    </w:p>
    <w:p w14:paraId="4459C15B" w14:textId="77777777" w:rsidR="00DA3205" w:rsidRPr="00EC3BD7" w:rsidRDefault="00DA3205" w:rsidP="00DA3205">
      <w:pPr>
        <w:tabs>
          <w:tab w:val="clear" w:pos="567"/>
        </w:tabs>
        <w:spacing w:line="240" w:lineRule="auto"/>
        <w:rPr>
          <w:color w:val="000000"/>
          <w:szCs w:val="22"/>
          <w:lang w:val="et-EE"/>
        </w:rPr>
      </w:pPr>
    </w:p>
    <w:p w14:paraId="425B878B" w14:textId="77777777" w:rsidR="00750E63" w:rsidRPr="00EC3BD7" w:rsidRDefault="00750E63" w:rsidP="00750E63">
      <w:pPr>
        <w:widowControl w:val="0"/>
        <w:tabs>
          <w:tab w:val="clear" w:pos="567"/>
        </w:tabs>
        <w:spacing w:line="240" w:lineRule="auto"/>
        <w:rPr>
          <w:color w:val="000000"/>
          <w:szCs w:val="22"/>
          <w:lang w:val="et-EE"/>
        </w:rPr>
      </w:pPr>
    </w:p>
    <w:p w14:paraId="4C6BB4EA" w14:textId="77777777" w:rsidR="00750E63" w:rsidRPr="00EC3BD7" w:rsidRDefault="00750E63" w:rsidP="00750E63">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lang w:val="et-EE"/>
        </w:rPr>
      </w:pPr>
      <w:r w:rsidRPr="00EC3BD7">
        <w:rPr>
          <w:b/>
          <w:lang w:val="et-EE"/>
        </w:rPr>
        <w:t>17.</w:t>
      </w:r>
      <w:r w:rsidRPr="00EC3BD7">
        <w:rPr>
          <w:b/>
          <w:lang w:val="et-EE"/>
        </w:rPr>
        <w:tab/>
      </w:r>
      <w:r w:rsidRPr="00EC3BD7">
        <w:rPr>
          <w:b/>
          <w:lang w:val="et-EE" w:bidi="et-EE"/>
        </w:rPr>
        <w:t>AINULAADNE IDENTIFIKAATOR – 2D-vöötkood</w:t>
      </w:r>
    </w:p>
    <w:p w14:paraId="5B08518B" w14:textId="77777777" w:rsidR="00750E63" w:rsidRPr="00EC3BD7" w:rsidRDefault="00750E63" w:rsidP="00750E63">
      <w:pPr>
        <w:widowControl w:val="0"/>
        <w:tabs>
          <w:tab w:val="clear" w:pos="567"/>
        </w:tabs>
        <w:spacing w:line="240" w:lineRule="auto"/>
        <w:rPr>
          <w:lang w:val="et-EE"/>
        </w:rPr>
      </w:pPr>
    </w:p>
    <w:p w14:paraId="692D27D9" w14:textId="77777777" w:rsidR="00750E63" w:rsidRPr="00EC3BD7" w:rsidRDefault="00750E63" w:rsidP="00750E63">
      <w:pPr>
        <w:widowControl w:val="0"/>
        <w:tabs>
          <w:tab w:val="clear" w:pos="567"/>
        </w:tabs>
        <w:spacing w:line="240" w:lineRule="auto"/>
        <w:rPr>
          <w:szCs w:val="22"/>
          <w:shd w:val="pct15" w:color="auto" w:fill="auto"/>
          <w:lang w:val="et-EE"/>
        </w:rPr>
      </w:pPr>
      <w:r w:rsidRPr="00EC3BD7">
        <w:rPr>
          <w:szCs w:val="22"/>
          <w:shd w:val="pct15" w:color="auto" w:fill="auto"/>
          <w:lang w:val="et-EE" w:bidi="et-EE"/>
        </w:rPr>
        <w:t>Lisatud on 2D-vöötkood, mis sisaldab ainulaadset identifikaatorit.</w:t>
      </w:r>
    </w:p>
    <w:p w14:paraId="045E8E52" w14:textId="77777777" w:rsidR="00750E63" w:rsidRPr="00EC3BD7" w:rsidRDefault="00750E63" w:rsidP="00750E63">
      <w:pPr>
        <w:widowControl w:val="0"/>
        <w:tabs>
          <w:tab w:val="clear" w:pos="567"/>
        </w:tabs>
        <w:spacing w:line="240" w:lineRule="auto"/>
        <w:rPr>
          <w:szCs w:val="22"/>
          <w:shd w:val="clear" w:color="auto" w:fill="CCCCCC"/>
          <w:lang w:val="et-EE"/>
        </w:rPr>
      </w:pPr>
    </w:p>
    <w:p w14:paraId="3A869523" w14:textId="77777777" w:rsidR="00750E63" w:rsidRPr="00EC3BD7" w:rsidRDefault="00750E63" w:rsidP="00750E63">
      <w:pPr>
        <w:widowControl w:val="0"/>
        <w:tabs>
          <w:tab w:val="clear" w:pos="567"/>
        </w:tabs>
        <w:spacing w:line="240" w:lineRule="auto"/>
        <w:rPr>
          <w:lang w:val="et-EE"/>
        </w:rPr>
      </w:pPr>
    </w:p>
    <w:p w14:paraId="58144624" w14:textId="77777777" w:rsidR="00750E63" w:rsidRPr="00EC3BD7" w:rsidRDefault="00750E63" w:rsidP="00750E63">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lang w:val="et-EE"/>
        </w:rPr>
      </w:pPr>
      <w:r w:rsidRPr="00EC3BD7">
        <w:rPr>
          <w:b/>
          <w:lang w:val="et-EE"/>
        </w:rPr>
        <w:t>18.</w:t>
      </w:r>
      <w:r w:rsidRPr="00EC3BD7">
        <w:rPr>
          <w:b/>
          <w:lang w:val="et-EE"/>
        </w:rPr>
        <w:tab/>
      </w:r>
      <w:r w:rsidRPr="00EC3BD7">
        <w:rPr>
          <w:b/>
          <w:lang w:val="et-EE" w:bidi="et-EE"/>
        </w:rPr>
        <w:t>AINULAADNE IDENTIFIKAATOR – INIMLOETAVAD ANDMED</w:t>
      </w:r>
    </w:p>
    <w:p w14:paraId="1CD3B889" w14:textId="77777777" w:rsidR="00750E63" w:rsidRPr="00EC3BD7" w:rsidRDefault="00750E63" w:rsidP="00750E63">
      <w:pPr>
        <w:widowControl w:val="0"/>
        <w:tabs>
          <w:tab w:val="clear" w:pos="567"/>
        </w:tabs>
        <w:spacing w:line="240" w:lineRule="auto"/>
        <w:rPr>
          <w:lang w:val="et-EE"/>
        </w:rPr>
      </w:pPr>
    </w:p>
    <w:p w14:paraId="015B1100" w14:textId="77777777" w:rsidR="00750E63" w:rsidRPr="00EC3BD7" w:rsidRDefault="00750E63" w:rsidP="00750E63">
      <w:pPr>
        <w:widowControl w:val="0"/>
        <w:tabs>
          <w:tab w:val="clear" w:pos="567"/>
        </w:tabs>
        <w:rPr>
          <w:szCs w:val="22"/>
          <w:lang w:val="et-EE"/>
        </w:rPr>
      </w:pPr>
      <w:r w:rsidRPr="00EC3BD7">
        <w:rPr>
          <w:szCs w:val="22"/>
          <w:lang w:val="et-EE"/>
        </w:rPr>
        <w:t>PC:</w:t>
      </w:r>
    </w:p>
    <w:p w14:paraId="1DA7ED71" w14:textId="77777777" w:rsidR="00750E63" w:rsidRPr="00EC3BD7" w:rsidRDefault="00750E63" w:rsidP="00750E63">
      <w:pPr>
        <w:widowControl w:val="0"/>
        <w:tabs>
          <w:tab w:val="clear" w:pos="567"/>
        </w:tabs>
        <w:rPr>
          <w:szCs w:val="22"/>
          <w:lang w:val="et-EE"/>
        </w:rPr>
      </w:pPr>
      <w:r w:rsidRPr="00EC3BD7">
        <w:rPr>
          <w:szCs w:val="22"/>
          <w:lang w:val="et-EE"/>
        </w:rPr>
        <w:t>SN:</w:t>
      </w:r>
    </w:p>
    <w:p w14:paraId="4E4CC39F" w14:textId="77777777" w:rsidR="00750E63" w:rsidRPr="00EC3BD7" w:rsidRDefault="00750E63" w:rsidP="00750E63">
      <w:pPr>
        <w:widowControl w:val="0"/>
        <w:tabs>
          <w:tab w:val="clear" w:pos="567"/>
        </w:tabs>
        <w:rPr>
          <w:szCs w:val="22"/>
          <w:lang w:val="et-EE"/>
        </w:rPr>
      </w:pPr>
      <w:r w:rsidRPr="00EC3BD7">
        <w:rPr>
          <w:szCs w:val="22"/>
          <w:lang w:val="et-EE"/>
        </w:rPr>
        <w:t>NN:</w:t>
      </w:r>
    </w:p>
    <w:p w14:paraId="71F9793F" w14:textId="77777777" w:rsidR="00DA3205" w:rsidRPr="00EC3BD7" w:rsidRDefault="00DA3205" w:rsidP="00DA3205">
      <w:pPr>
        <w:tabs>
          <w:tab w:val="clear" w:pos="567"/>
        </w:tabs>
        <w:spacing w:line="240" w:lineRule="auto"/>
        <w:rPr>
          <w:color w:val="000000"/>
          <w:szCs w:val="22"/>
          <w:lang w:val="et-EE"/>
        </w:rPr>
      </w:pPr>
      <w:r w:rsidRPr="00EC3BD7">
        <w:rPr>
          <w:color w:val="000000"/>
          <w:szCs w:val="22"/>
          <w:lang w:val="et-EE"/>
        </w:rPr>
        <w:br w:type="page"/>
      </w:r>
    </w:p>
    <w:p w14:paraId="0AAD5D2D" w14:textId="77777777" w:rsidR="009A3C30" w:rsidRPr="00EC3BD7" w:rsidRDefault="009A3C30" w:rsidP="009A3C30">
      <w:pPr>
        <w:tabs>
          <w:tab w:val="clear" w:pos="567"/>
        </w:tabs>
        <w:spacing w:line="240" w:lineRule="auto"/>
        <w:rPr>
          <w:color w:val="000000"/>
          <w:szCs w:val="22"/>
          <w:lang w:val="et-EE"/>
        </w:rPr>
      </w:pPr>
    </w:p>
    <w:p w14:paraId="37DC416B"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et-EE"/>
        </w:rPr>
      </w:pPr>
      <w:r w:rsidRPr="00EC3BD7">
        <w:rPr>
          <w:b/>
          <w:color w:val="000000"/>
          <w:szCs w:val="22"/>
          <w:lang w:val="et-EE"/>
        </w:rPr>
        <w:t xml:space="preserve">MINIMAALSED </w:t>
      </w:r>
      <w:r w:rsidR="00C72DAC" w:rsidRPr="00EC3BD7">
        <w:rPr>
          <w:b/>
          <w:color w:val="000000"/>
          <w:szCs w:val="22"/>
          <w:lang w:val="et-EE"/>
        </w:rPr>
        <w:t>ANDMED</w:t>
      </w:r>
      <w:r w:rsidRPr="00EC3BD7">
        <w:rPr>
          <w:b/>
          <w:color w:val="000000"/>
          <w:szCs w:val="22"/>
          <w:lang w:val="et-EE"/>
        </w:rPr>
        <w:t>, MIS PEAVAD OLEMA BLISTER- VÕI RIBAPAKENDIL</w:t>
      </w:r>
    </w:p>
    <w:p w14:paraId="17C676F2"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et-EE"/>
        </w:rPr>
      </w:pPr>
    </w:p>
    <w:p w14:paraId="33CDE9EC"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et-EE"/>
        </w:rPr>
      </w:pPr>
      <w:r w:rsidRPr="00EC3BD7">
        <w:rPr>
          <w:b/>
          <w:color w:val="000000"/>
          <w:szCs w:val="22"/>
          <w:lang w:val="et-EE"/>
        </w:rPr>
        <w:t>BLISTRID</w:t>
      </w:r>
    </w:p>
    <w:p w14:paraId="7D93CB90" w14:textId="77777777" w:rsidR="00DA3205" w:rsidRPr="00EC3BD7" w:rsidRDefault="00DA3205" w:rsidP="00DA3205">
      <w:pPr>
        <w:tabs>
          <w:tab w:val="clear" w:pos="567"/>
        </w:tabs>
        <w:spacing w:line="240" w:lineRule="auto"/>
        <w:rPr>
          <w:color w:val="000000"/>
          <w:szCs w:val="22"/>
          <w:lang w:val="et-EE"/>
        </w:rPr>
      </w:pPr>
    </w:p>
    <w:p w14:paraId="29F5426F" w14:textId="77777777" w:rsidR="00DA3205" w:rsidRPr="00EC3BD7" w:rsidRDefault="00DA3205" w:rsidP="00DA3205">
      <w:pPr>
        <w:tabs>
          <w:tab w:val="clear" w:pos="567"/>
        </w:tabs>
        <w:spacing w:line="240" w:lineRule="auto"/>
        <w:rPr>
          <w:color w:val="000000"/>
          <w:szCs w:val="22"/>
          <w:lang w:val="et-EE"/>
        </w:rPr>
      </w:pPr>
    </w:p>
    <w:p w14:paraId="41025E30"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w:t>
      </w:r>
      <w:r w:rsidRPr="00EC3BD7">
        <w:rPr>
          <w:b/>
          <w:color w:val="000000"/>
          <w:szCs w:val="22"/>
          <w:lang w:val="et-EE"/>
        </w:rPr>
        <w:tab/>
        <w:t>RAVIMPREPARAADI NIMETUS</w:t>
      </w:r>
    </w:p>
    <w:p w14:paraId="12E42451" w14:textId="77777777" w:rsidR="00DA3205" w:rsidRPr="00EC3BD7" w:rsidRDefault="00DA3205" w:rsidP="00DA3205">
      <w:pPr>
        <w:tabs>
          <w:tab w:val="clear" w:pos="567"/>
        </w:tabs>
        <w:spacing w:line="240" w:lineRule="auto"/>
        <w:ind w:left="567" w:hanging="567"/>
        <w:rPr>
          <w:color w:val="000000"/>
          <w:szCs w:val="22"/>
          <w:lang w:val="et-EE"/>
        </w:rPr>
      </w:pPr>
    </w:p>
    <w:p w14:paraId="5551F8D6" w14:textId="77777777" w:rsidR="00DA3205" w:rsidRPr="00EC3BD7" w:rsidRDefault="00DA3205" w:rsidP="00DA3205">
      <w:pPr>
        <w:widowControl w:val="0"/>
        <w:tabs>
          <w:tab w:val="clear" w:pos="567"/>
        </w:tabs>
        <w:spacing w:line="240" w:lineRule="auto"/>
        <w:rPr>
          <w:color w:val="000000"/>
          <w:szCs w:val="22"/>
          <w:lang w:val="et-EE"/>
        </w:rPr>
      </w:pPr>
      <w:r w:rsidRPr="00EC3BD7">
        <w:rPr>
          <w:color w:val="000000"/>
          <w:szCs w:val="22"/>
          <w:lang w:val="et-EE"/>
        </w:rPr>
        <w:t>Glivec 100 mg tabletid</w:t>
      </w:r>
    </w:p>
    <w:p w14:paraId="44C41989" w14:textId="77777777" w:rsidR="00B2520A" w:rsidRPr="00EC3BD7" w:rsidRDefault="00B2520A" w:rsidP="00B2520A">
      <w:pPr>
        <w:widowControl w:val="0"/>
        <w:tabs>
          <w:tab w:val="clear" w:pos="567"/>
        </w:tabs>
        <w:spacing w:line="240" w:lineRule="auto"/>
        <w:rPr>
          <w:i/>
          <w:color w:val="000000"/>
          <w:szCs w:val="22"/>
          <w:lang w:val="et-EE"/>
        </w:rPr>
      </w:pPr>
      <w:r w:rsidRPr="00EC3BD7">
        <w:rPr>
          <w:i/>
          <w:color w:val="000000"/>
          <w:szCs w:val="22"/>
          <w:lang w:val="et-EE"/>
        </w:rPr>
        <w:t>imatinibum</w:t>
      </w:r>
    </w:p>
    <w:p w14:paraId="321476E9" w14:textId="77777777" w:rsidR="00DA3205" w:rsidRPr="00EC3BD7" w:rsidRDefault="00DA3205" w:rsidP="00DA3205">
      <w:pPr>
        <w:tabs>
          <w:tab w:val="clear" w:pos="567"/>
        </w:tabs>
        <w:spacing w:line="240" w:lineRule="auto"/>
        <w:rPr>
          <w:color w:val="000000"/>
          <w:szCs w:val="22"/>
          <w:lang w:val="et-EE"/>
        </w:rPr>
      </w:pPr>
    </w:p>
    <w:p w14:paraId="56228FD3" w14:textId="77777777" w:rsidR="00DA3205" w:rsidRPr="00EC3BD7" w:rsidRDefault="00DA3205" w:rsidP="00DA3205">
      <w:pPr>
        <w:tabs>
          <w:tab w:val="clear" w:pos="567"/>
        </w:tabs>
        <w:spacing w:line="240" w:lineRule="auto"/>
        <w:rPr>
          <w:color w:val="000000"/>
          <w:szCs w:val="22"/>
          <w:lang w:val="et-EE"/>
        </w:rPr>
      </w:pPr>
    </w:p>
    <w:p w14:paraId="06F480ED"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2.</w:t>
      </w:r>
      <w:r w:rsidRPr="00EC3BD7">
        <w:rPr>
          <w:b/>
          <w:color w:val="000000"/>
          <w:szCs w:val="22"/>
          <w:lang w:val="et-EE"/>
        </w:rPr>
        <w:tab/>
        <w:t>MÜÜGILOA HOIDJA NIMI</w:t>
      </w:r>
    </w:p>
    <w:p w14:paraId="6D02AD75" w14:textId="77777777" w:rsidR="00DA3205" w:rsidRPr="00EC3BD7" w:rsidRDefault="00DA3205" w:rsidP="00DA3205">
      <w:pPr>
        <w:tabs>
          <w:tab w:val="clear" w:pos="567"/>
        </w:tabs>
        <w:spacing w:line="240" w:lineRule="auto"/>
        <w:rPr>
          <w:color w:val="000000"/>
          <w:szCs w:val="22"/>
          <w:lang w:val="et-EE"/>
        </w:rPr>
      </w:pPr>
    </w:p>
    <w:p w14:paraId="1AC54589" w14:textId="77777777" w:rsidR="00DA3205" w:rsidRPr="00EC3BD7" w:rsidRDefault="00DA3205" w:rsidP="00DA3205">
      <w:pPr>
        <w:widowControl w:val="0"/>
        <w:tabs>
          <w:tab w:val="clear" w:pos="567"/>
        </w:tabs>
        <w:spacing w:line="240" w:lineRule="auto"/>
        <w:rPr>
          <w:color w:val="000000"/>
          <w:szCs w:val="22"/>
          <w:lang w:val="et-EE"/>
        </w:rPr>
      </w:pPr>
      <w:r w:rsidRPr="00EC3BD7">
        <w:rPr>
          <w:color w:val="000000"/>
          <w:szCs w:val="22"/>
          <w:lang w:val="et-EE"/>
        </w:rPr>
        <w:t>Novartis Europharm Limited</w:t>
      </w:r>
    </w:p>
    <w:p w14:paraId="1D095F21" w14:textId="77777777" w:rsidR="00DA3205" w:rsidRPr="00EC3BD7" w:rsidRDefault="00DA3205" w:rsidP="00DA3205">
      <w:pPr>
        <w:tabs>
          <w:tab w:val="clear" w:pos="567"/>
        </w:tabs>
        <w:spacing w:line="240" w:lineRule="auto"/>
        <w:rPr>
          <w:color w:val="000000"/>
          <w:szCs w:val="22"/>
          <w:lang w:val="et-EE"/>
        </w:rPr>
      </w:pPr>
    </w:p>
    <w:p w14:paraId="0B933DF9" w14:textId="77777777" w:rsidR="00DA3205" w:rsidRPr="00EC3BD7" w:rsidRDefault="00DA3205" w:rsidP="00DA3205">
      <w:pPr>
        <w:tabs>
          <w:tab w:val="clear" w:pos="567"/>
        </w:tabs>
        <w:spacing w:line="240" w:lineRule="auto"/>
        <w:rPr>
          <w:color w:val="000000"/>
          <w:szCs w:val="22"/>
          <w:lang w:val="et-EE"/>
        </w:rPr>
      </w:pPr>
    </w:p>
    <w:p w14:paraId="2ABD29CA"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3.</w:t>
      </w:r>
      <w:r w:rsidRPr="00EC3BD7">
        <w:rPr>
          <w:b/>
          <w:color w:val="000000"/>
          <w:szCs w:val="22"/>
          <w:lang w:val="et-EE"/>
        </w:rPr>
        <w:tab/>
        <w:t>KÕLBLIKKUSAEG</w:t>
      </w:r>
    </w:p>
    <w:p w14:paraId="35F8E3EE" w14:textId="77777777" w:rsidR="00DA3205" w:rsidRPr="00EC3BD7" w:rsidRDefault="00DA3205" w:rsidP="00DA3205">
      <w:pPr>
        <w:tabs>
          <w:tab w:val="clear" w:pos="567"/>
        </w:tabs>
        <w:spacing w:line="240" w:lineRule="auto"/>
        <w:rPr>
          <w:color w:val="000000"/>
          <w:szCs w:val="22"/>
          <w:lang w:val="et-EE"/>
        </w:rPr>
      </w:pPr>
    </w:p>
    <w:p w14:paraId="284CE81F" w14:textId="77777777" w:rsidR="00DA3205" w:rsidRPr="00EC3BD7" w:rsidRDefault="00DA3205" w:rsidP="00DA3205">
      <w:pPr>
        <w:tabs>
          <w:tab w:val="clear" w:pos="567"/>
        </w:tabs>
        <w:spacing w:line="240" w:lineRule="auto"/>
        <w:rPr>
          <w:color w:val="000000"/>
          <w:szCs w:val="22"/>
          <w:lang w:val="et-EE"/>
        </w:rPr>
      </w:pPr>
      <w:r w:rsidRPr="00EC3BD7">
        <w:rPr>
          <w:color w:val="000000"/>
          <w:szCs w:val="22"/>
          <w:lang w:val="et-EE"/>
        </w:rPr>
        <w:t>EXP</w:t>
      </w:r>
    </w:p>
    <w:p w14:paraId="2971ABC1" w14:textId="77777777" w:rsidR="00DA3205" w:rsidRPr="00EC3BD7" w:rsidRDefault="00DA3205" w:rsidP="00DA3205">
      <w:pPr>
        <w:tabs>
          <w:tab w:val="clear" w:pos="567"/>
        </w:tabs>
        <w:spacing w:line="240" w:lineRule="auto"/>
        <w:rPr>
          <w:color w:val="000000"/>
          <w:szCs w:val="22"/>
          <w:lang w:val="et-EE"/>
        </w:rPr>
      </w:pPr>
    </w:p>
    <w:p w14:paraId="08D6D153" w14:textId="77777777" w:rsidR="00DA3205" w:rsidRPr="00EC3BD7" w:rsidRDefault="00DA3205" w:rsidP="00DA3205">
      <w:pPr>
        <w:tabs>
          <w:tab w:val="clear" w:pos="567"/>
        </w:tabs>
        <w:spacing w:line="240" w:lineRule="auto"/>
        <w:rPr>
          <w:color w:val="000000"/>
          <w:szCs w:val="22"/>
          <w:lang w:val="et-EE"/>
        </w:rPr>
      </w:pPr>
    </w:p>
    <w:p w14:paraId="34291832"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4.</w:t>
      </w:r>
      <w:r w:rsidRPr="00EC3BD7">
        <w:rPr>
          <w:b/>
          <w:color w:val="000000"/>
          <w:szCs w:val="22"/>
          <w:lang w:val="et-EE"/>
        </w:rPr>
        <w:tab/>
        <w:t>PARTII NUMBER</w:t>
      </w:r>
    </w:p>
    <w:p w14:paraId="2792151A" w14:textId="77777777" w:rsidR="00DA3205" w:rsidRPr="00EC3BD7" w:rsidRDefault="00DA3205" w:rsidP="00DA3205">
      <w:pPr>
        <w:tabs>
          <w:tab w:val="clear" w:pos="567"/>
        </w:tabs>
        <w:spacing w:line="240" w:lineRule="auto"/>
        <w:rPr>
          <w:color w:val="000000"/>
          <w:szCs w:val="22"/>
          <w:lang w:val="et-EE"/>
        </w:rPr>
      </w:pPr>
    </w:p>
    <w:p w14:paraId="2A403F3E" w14:textId="77777777" w:rsidR="00DA3205" w:rsidRPr="00EC3BD7" w:rsidRDefault="00DA3205" w:rsidP="00DA3205">
      <w:pPr>
        <w:widowControl w:val="0"/>
        <w:tabs>
          <w:tab w:val="clear" w:pos="567"/>
        </w:tabs>
        <w:spacing w:line="240" w:lineRule="auto"/>
        <w:rPr>
          <w:color w:val="000000"/>
          <w:szCs w:val="22"/>
          <w:lang w:val="et-EE"/>
        </w:rPr>
      </w:pPr>
      <w:r w:rsidRPr="00EC3BD7">
        <w:rPr>
          <w:color w:val="000000"/>
          <w:szCs w:val="22"/>
          <w:lang w:val="et-EE"/>
        </w:rPr>
        <w:t>Lot</w:t>
      </w:r>
    </w:p>
    <w:p w14:paraId="7DC6FB38" w14:textId="77777777" w:rsidR="00DA3205" w:rsidRPr="00EC3BD7" w:rsidRDefault="00DA3205" w:rsidP="00DA3205">
      <w:pPr>
        <w:widowControl w:val="0"/>
        <w:tabs>
          <w:tab w:val="clear" w:pos="567"/>
        </w:tabs>
        <w:spacing w:line="240" w:lineRule="auto"/>
        <w:rPr>
          <w:color w:val="000000"/>
          <w:szCs w:val="22"/>
          <w:lang w:val="et-EE"/>
        </w:rPr>
      </w:pPr>
    </w:p>
    <w:p w14:paraId="55A0A168" w14:textId="77777777" w:rsidR="00DA3205" w:rsidRPr="00EC3BD7" w:rsidRDefault="00DA3205" w:rsidP="00DA3205">
      <w:pPr>
        <w:widowControl w:val="0"/>
        <w:tabs>
          <w:tab w:val="clear" w:pos="567"/>
        </w:tabs>
        <w:spacing w:line="240" w:lineRule="auto"/>
        <w:rPr>
          <w:color w:val="000000"/>
          <w:szCs w:val="22"/>
          <w:lang w:val="et-EE"/>
        </w:rPr>
      </w:pPr>
    </w:p>
    <w:p w14:paraId="0E5CFB9C"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5.</w:t>
      </w:r>
      <w:r w:rsidRPr="00EC3BD7">
        <w:rPr>
          <w:b/>
          <w:color w:val="000000"/>
          <w:szCs w:val="22"/>
          <w:lang w:val="et-EE"/>
        </w:rPr>
        <w:tab/>
        <w:t>MUU</w:t>
      </w:r>
    </w:p>
    <w:p w14:paraId="202D4792" w14:textId="77777777" w:rsidR="00DA3205" w:rsidRPr="00EC3BD7" w:rsidRDefault="00DA3205" w:rsidP="00DA3205">
      <w:pPr>
        <w:tabs>
          <w:tab w:val="clear" w:pos="567"/>
        </w:tabs>
        <w:spacing w:line="240" w:lineRule="auto"/>
        <w:rPr>
          <w:color w:val="000000"/>
          <w:szCs w:val="22"/>
          <w:lang w:val="et-EE"/>
        </w:rPr>
      </w:pPr>
    </w:p>
    <w:p w14:paraId="041F72DA" w14:textId="77777777" w:rsidR="00DA3205" w:rsidRPr="00EC3BD7" w:rsidRDefault="00DA3205" w:rsidP="00DA3205">
      <w:pPr>
        <w:tabs>
          <w:tab w:val="clear" w:pos="567"/>
        </w:tabs>
        <w:spacing w:line="240" w:lineRule="auto"/>
        <w:rPr>
          <w:color w:val="000000"/>
          <w:szCs w:val="22"/>
          <w:lang w:val="et-EE"/>
        </w:rPr>
      </w:pPr>
      <w:r w:rsidRPr="00EC3BD7">
        <w:rPr>
          <w:b/>
          <w:color w:val="000000"/>
          <w:szCs w:val="22"/>
          <w:lang w:val="et-EE"/>
        </w:rPr>
        <w:br w:type="page"/>
      </w:r>
    </w:p>
    <w:p w14:paraId="4585BB42" w14:textId="77777777" w:rsidR="009A3C30" w:rsidRPr="00EC3BD7" w:rsidRDefault="009A3C30" w:rsidP="009A3C30">
      <w:pPr>
        <w:tabs>
          <w:tab w:val="clear" w:pos="567"/>
        </w:tabs>
        <w:spacing w:line="240" w:lineRule="auto"/>
        <w:rPr>
          <w:color w:val="000000"/>
          <w:szCs w:val="22"/>
          <w:lang w:val="et-EE"/>
        </w:rPr>
      </w:pPr>
    </w:p>
    <w:p w14:paraId="366DB74E"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et-EE"/>
        </w:rPr>
      </w:pPr>
      <w:r w:rsidRPr="00EC3BD7">
        <w:rPr>
          <w:b/>
          <w:color w:val="000000"/>
          <w:szCs w:val="22"/>
          <w:lang w:val="et-EE"/>
        </w:rPr>
        <w:t>VÄLISPAKENDIL PEAVAD OLEMA JÄRGMISED ANDMED</w:t>
      </w:r>
    </w:p>
    <w:p w14:paraId="2A1E0D7E"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et-EE"/>
        </w:rPr>
      </w:pPr>
    </w:p>
    <w:p w14:paraId="5DF872AA" w14:textId="77777777" w:rsidR="00DA3205" w:rsidRPr="00EC3BD7" w:rsidRDefault="00DA3205" w:rsidP="00DA3205">
      <w:pPr>
        <w:pBdr>
          <w:top w:val="single" w:sz="4" w:space="1" w:color="auto"/>
          <w:left w:val="single" w:sz="4" w:space="4" w:color="auto"/>
          <w:bottom w:val="single" w:sz="4" w:space="1" w:color="auto"/>
          <w:right w:val="single" w:sz="4" w:space="4" w:color="auto"/>
        </w:pBdr>
        <w:spacing w:line="240" w:lineRule="auto"/>
        <w:rPr>
          <w:b/>
          <w:color w:val="000000"/>
          <w:szCs w:val="22"/>
          <w:lang w:val="et-EE"/>
        </w:rPr>
      </w:pPr>
      <w:r w:rsidRPr="00EC3BD7">
        <w:rPr>
          <w:b/>
          <w:color w:val="000000"/>
          <w:szCs w:val="22"/>
          <w:lang w:val="et-EE"/>
        </w:rPr>
        <w:t>KARP</w:t>
      </w:r>
    </w:p>
    <w:p w14:paraId="1F53C012" w14:textId="77777777" w:rsidR="00DA3205" w:rsidRPr="00EC3BD7" w:rsidRDefault="00DA3205" w:rsidP="00DA3205">
      <w:pPr>
        <w:tabs>
          <w:tab w:val="clear" w:pos="567"/>
        </w:tabs>
        <w:spacing w:line="240" w:lineRule="auto"/>
        <w:rPr>
          <w:color w:val="000000"/>
          <w:szCs w:val="22"/>
          <w:lang w:val="et-EE"/>
        </w:rPr>
      </w:pPr>
    </w:p>
    <w:p w14:paraId="6AFC43FC" w14:textId="77777777" w:rsidR="00DA3205" w:rsidRPr="00EC3BD7" w:rsidRDefault="00DA3205" w:rsidP="00DA3205">
      <w:pPr>
        <w:tabs>
          <w:tab w:val="clear" w:pos="567"/>
        </w:tabs>
        <w:spacing w:line="240" w:lineRule="auto"/>
        <w:rPr>
          <w:color w:val="000000"/>
          <w:szCs w:val="22"/>
          <w:lang w:val="et-EE"/>
        </w:rPr>
      </w:pPr>
    </w:p>
    <w:p w14:paraId="6AC90564"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w:t>
      </w:r>
      <w:r w:rsidRPr="00EC3BD7">
        <w:rPr>
          <w:b/>
          <w:color w:val="000000"/>
          <w:szCs w:val="22"/>
          <w:lang w:val="et-EE"/>
        </w:rPr>
        <w:tab/>
        <w:t>RAVIMPREPARAADI NIMETUS</w:t>
      </w:r>
    </w:p>
    <w:p w14:paraId="3CE0CE6E" w14:textId="77777777" w:rsidR="00DA3205" w:rsidRPr="00EC3BD7" w:rsidRDefault="00DA3205" w:rsidP="00DA3205">
      <w:pPr>
        <w:widowControl w:val="0"/>
        <w:tabs>
          <w:tab w:val="clear" w:pos="567"/>
        </w:tabs>
        <w:spacing w:line="240" w:lineRule="auto"/>
        <w:rPr>
          <w:color w:val="000000"/>
          <w:szCs w:val="22"/>
          <w:lang w:val="et-EE"/>
        </w:rPr>
      </w:pPr>
    </w:p>
    <w:p w14:paraId="175C2A9B" w14:textId="77777777" w:rsidR="00DA3205" w:rsidRPr="00EC3BD7" w:rsidRDefault="00DA3205" w:rsidP="00DA3205">
      <w:pPr>
        <w:widowControl w:val="0"/>
        <w:tabs>
          <w:tab w:val="clear" w:pos="567"/>
        </w:tabs>
        <w:spacing w:line="240" w:lineRule="auto"/>
        <w:rPr>
          <w:color w:val="000000"/>
          <w:szCs w:val="22"/>
          <w:lang w:val="et-EE"/>
        </w:rPr>
      </w:pPr>
      <w:r w:rsidRPr="00EC3BD7">
        <w:rPr>
          <w:color w:val="000000"/>
          <w:szCs w:val="22"/>
          <w:lang w:val="et-EE"/>
        </w:rPr>
        <w:t>Glivec 400 mg õhukese polümeerikattega tabletid</w:t>
      </w:r>
    </w:p>
    <w:p w14:paraId="45DB2B37" w14:textId="77777777" w:rsidR="00B2520A" w:rsidRPr="00EC3BD7" w:rsidRDefault="00B2520A" w:rsidP="00B2520A">
      <w:pPr>
        <w:widowControl w:val="0"/>
        <w:tabs>
          <w:tab w:val="clear" w:pos="567"/>
        </w:tabs>
        <w:spacing w:line="240" w:lineRule="auto"/>
        <w:rPr>
          <w:i/>
          <w:color w:val="000000"/>
          <w:szCs w:val="22"/>
          <w:lang w:val="et-EE"/>
        </w:rPr>
      </w:pPr>
      <w:r w:rsidRPr="00EC3BD7">
        <w:rPr>
          <w:i/>
          <w:color w:val="000000"/>
          <w:szCs w:val="22"/>
          <w:lang w:val="et-EE"/>
        </w:rPr>
        <w:t>imatinibum</w:t>
      </w:r>
    </w:p>
    <w:p w14:paraId="0415AB96" w14:textId="77777777" w:rsidR="00DA3205" w:rsidRPr="00EC3BD7" w:rsidRDefault="00DA3205" w:rsidP="00DA3205">
      <w:pPr>
        <w:tabs>
          <w:tab w:val="clear" w:pos="567"/>
        </w:tabs>
        <w:spacing w:line="240" w:lineRule="auto"/>
        <w:rPr>
          <w:color w:val="000000"/>
          <w:szCs w:val="22"/>
          <w:lang w:val="et-EE"/>
        </w:rPr>
      </w:pPr>
    </w:p>
    <w:p w14:paraId="4E643B5C" w14:textId="77777777" w:rsidR="00DA3205" w:rsidRPr="00EC3BD7" w:rsidRDefault="00DA3205" w:rsidP="00DA3205">
      <w:pPr>
        <w:tabs>
          <w:tab w:val="clear" w:pos="567"/>
        </w:tabs>
        <w:spacing w:line="240" w:lineRule="auto"/>
        <w:rPr>
          <w:color w:val="000000"/>
          <w:szCs w:val="22"/>
          <w:lang w:val="et-EE"/>
        </w:rPr>
      </w:pPr>
    </w:p>
    <w:p w14:paraId="76461627"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2.</w:t>
      </w:r>
      <w:r w:rsidRPr="00EC3BD7">
        <w:rPr>
          <w:b/>
          <w:color w:val="000000"/>
          <w:szCs w:val="22"/>
          <w:lang w:val="et-EE"/>
        </w:rPr>
        <w:tab/>
        <w:t>TOIMEAINE(TE) SISALDUS</w:t>
      </w:r>
    </w:p>
    <w:p w14:paraId="79CCDF49" w14:textId="77777777" w:rsidR="00DA3205" w:rsidRPr="00EC3BD7" w:rsidRDefault="00DA3205" w:rsidP="00DA3205">
      <w:pPr>
        <w:tabs>
          <w:tab w:val="clear" w:pos="567"/>
        </w:tabs>
        <w:spacing w:line="240" w:lineRule="auto"/>
        <w:rPr>
          <w:color w:val="000000"/>
          <w:szCs w:val="22"/>
          <w:lang w:val="et-EE"/>
        </w:rPr>
      </w:pPr>
    </w:p>
    <w:p w14:paraId="439EDCF2" w14:textId="77777777" w:rsidR="00DA3205" w:rsidRPr="00EC3BD7" w:rsidRDefault="00003EF4" w:rsidP="00DA3205">
      <w:pPr>
        <w:pStyle w:val="Text"/>
        <w:widowControl w:val="0"/>
        <w:spacing w:before="0"/>
        <w:rPr>
          <w:color w:val="000000"/>
          <w:sz w:val="22"/>
          <w:szCs w:val="22"/>
          <w:lang w:val="et-EE"/>
        </w:rPr>
      </w:pPr>
      <w:r w:rsidRPr="00EC3BD7">
        <w:rPr>
          <w:color w:val="000000"/>
          <w:sz w:val="22"/>
          <w:szCs w:val="22"/>
          <w:lang w:val="et-EE"/>
        </w:rPr>
        <w:t xml:space="preserve">Üks </w:t>
      </w:r>
      <w:r w:rsidR="00DA3205" w:rsidRPr="00EC3BD7">
        <w:rPr>
          <w:color w:val="000000"/>
          <w:sz w:val="22"/>
          <w:szCs w:val="22"/>
          <w:lang w:val="et-EE"/>
        </w:rPr>
        <w:t>õhukese polümeerikattega tablett sisaldab 400 mg imatiniibi (mes</w:t>
      </w:r>
      <w:r w:rsidRPr="00EC3BD7">
        <w:rPr>
          <w:color w:val="000000"/>
          <w:sz w:val="22"/>
          <w:szCs w:val="22"/>
          <w:lang w:val="et-EE"/>
        </w:rPr>
        <w:t>i</w:t>
      </w:r>
      <w:r w:rsidR="00DA3205" w:rsidRPr="00EC3BD7">
        <w:rPr>
          <w:color w:val="000000"/>
          <w:sz w:val="22"/>
          <w:szCs w:val="22"/>
          <w:lang w:val="et-EE"/>
        </w:rPr>
        <w:t>laadina).</w:t>
      </w:r>
    </w:p>
    <w:p w14:paraId="408EF945" w14:textId="77777777" w:rsidR="00DA3205" w:rsidRPr="00EC3BD7" w:rsidRDefault="00DA3205" w:rsidP="00DA3205">
      <w:pPr>
        <w:tabs>
          <w:tab w:val="clear" w:pos="567"/>
        </w:tabs>
        <w:spacing w:line="240" w:lineRule="auto"/>
        <w:rPr>
          <w:color w:val="000000"/>
          <w:szCs w:val="22"/>
          <w:lang w:val="et-EE"/>
        </w:rPr>
      </w:pPr>
    </w:p>
    <w:p w14:paraId="47FD9F3D" w14:textId="77777777" w:rsidR="00DA3205" w:rsidRPr="00EC3BD7" w:rsidRDefault="00DA3205" w:rsidP="00DA3205">
      <w:pPr>
        <w:tabs>
          <w:tab w:val="clear" w:pos="567"/>
        </w:tabs>
        <w:spacing w:line="240" w:lineRule="auto"/>
        <w:rPr>
          <w:color w:val="000000"/>
          <w:szCs w:val="22"/>
          <w:lang w:val="et-EE"/>
        </w:rPr>
      </w:pPr>
    </w:p>
    <w:p w14:paraId="67D2B276"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3.</w:t>
      </w:r>
      <w:r w:rsidRPr="00EC3BD7">
        <w:rPr>
          <w:b/>
          <w:color w:val="000000"/>
          <w:szCs w:val="22"/>
          <w:lang w:val="et-EE"/>
        </w:rPr>
        <w:tab/>
        <w:t>ABIAINED</w:t>
      </w:r>
    </w:p>
    <w:p w14:paraId="191547C4" w14:textId="77777777" w:rsidR="00DA3205" w:rsidRPr="00EC3BD7" w:rsidRDefault="00DA3205" w:rsidP="00DA3205">
      <w:pPr>
        <w:tabs>
          <w:tab w:val="clear" w:pos="567"/>
        </w:tabs>
        <w:spacing w:line="240" w:lineRule="auto"/>
        <w:rPr>
          <w:color w:val="000000"/>
          <w:szCs w:val="22"/>
          <w:lang w:val="et-EE"/>
        </w:rPr>
      </w:pPr>
    </w:p>
    <w:p w14:paraId="606ED715" w14:textId="77777777" w:rsidR="00DA3205" w:rsidRPr="00EC3BD7" w:rsidRDefault="00DA3205" w:rsidP="00DA3205">
      <w:pPr>
        <w:tabs>
          <w:tab w:val="clear" w:pos="567"/>
        </w:tabs>
        <w:spacing w:line="240" w:lineRule="auto"/>
        <w:rPr>
          <w:color w:val="000000"/>
          <w:szCs w:val="22"/>
          <w:lang w:val="et-EE"/>
        </w:rPr>
      </w:pPr>
    </w:p>
    <w:p w14:paraId="173E3944"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4.</w:t>
      </w:r>
      <w:r w:rsidRPr="00EC3BD7">
        <w:rPr>
          <w:b/>
          <w:color w:val="000000"/>
          <w:szCs w:val="22"/>
          <w:lang w:val="et-EE"/>
        </w:rPr>
        <w:tab/>
        <w:t>RAVIMVORM JA PAKENDI SUURUS</w:t>
      </w:r>
    </w:p>
    <w:p w14:paraId="4927AA1D" w14:textId="77777777" w:rsidR="00DA3205" w:rsidRPr="00EC3BD7" w:rsidRDefault="00DA3205" w:rsidP="00DA3205">
      <w:pPr>
        <w:tabs>
          <w:tab w:val="clear" w:pos="567"/>
        </w:tabs>
        <w:spacing w:line="240" w:lineRule="auto"/>
        <w:rPr>
          <w:color w:val="000000"/>
          <w:szCs w:val="22"/>
          <w:lang w:val="et-EE"/>
        </w:rPr>
      </w:pPr>
    </w:p>
    <w:p w14:paraId="11B5EE29" w14:textId="77777777" w:rsidR="00DA3205" w:rsidRPr="00EC3BD7" w:rsidRDefault="00DA3205" w:rsidP="00DA3205">
      <w:pPr>
        <w:pStyle w:val="EndnoteText"/>
        <w:widowControl w:val="0"/>
        <w:rPr>
          <w:color w:val="000000"/>
          <w:szCs w:val="22"/>
          <w:lang w:val="et-EE"/>
        </w:rPr>
      </w:pPr>
      <w:r w:rsidRPr="00EC3BD7">
        <w:rPr>
          <w:color w:val="000000"/>
          <w:szCs w:val="22"/>
          <w:lang w:val="et-EE"/>
        </w:rPr>
        <w:t>10 õhukese polümeerikattega tabletti</w:t>
      </w:r>
    </w:p>
    <w:p w14:paraId="0B7E4349" w14:textId="77777777" w:rsidR="00DA3205" w:rsidRPr="00EC3BD7" w:rsidRDefault="00DA3205" w:rsidP="00DA3205">
      <w:pPr>
        <w:tabs>
          <w:tab w:val="clear" w:pos="567"/>
        </w:tabs>
        <w:spacing w:line="240" w:lineRule="auto"/>
        <w:rPr>
          <w:color w:val="000000"/>
          <w:szCs w:val="22"/>
          <w:shd w:val="clear" w:color="auto" w:fill="D9D9D9"/>
          <w:lang w:val="et-EE"/>
        </w:rPr>
      </w:pPr>
      <w:r w:rsidRPr="00EC3BD7">
        <w:rPr>
          <w:color w:val="000000"/>
          <w:szCs w:val="22"/>
          <w:shd w:val="clear" w:color="auto" w:fill="D9D9D9"/>
          <w:lang w:val="et-EE"/>
        </w:rPr>
        <w:t>30 õhukese polümeerikattega</w:t>
      </w:r>
      <w:r w:rsidRPr="00EC3BD7" w:rsidDel="00EF0882">
        <w:rPr>
          <w:color w:val="000000"/>
          <w:szCs w:val="22"/>
          <w:shd w:val="clear" w:color="auto" w:fill="D9D9D9"/>
          <w:lang w:val="et-EE"/>
        </w:rPr>
        <w:t xml:space="preserve"> </w:t>
      </w:r>
      <w:r w:rsidRPr="00EC3BD7">
        <w:rPr>
          <w:color w:val="000000"/>
          <w:szCs w:val="22"/>
          <w:shd w:val="clear" w:color="auto" w:fill="D9D9D9"/>
          <w:lang w:val="et-EE"/>
        </w:rPr>
        <w:t>tabletti</w:t>
      </w:r>
    </w:p>
    <w:p w14:paraId="05E7F754" w14:textId="77777777" w:rsidR="00DA3205" w:rsidRPr="00EC3BD7" w:rsidRDefault="00DA3205" w:rsidP="00DA3205">
      <w:pPr>
        <w:tabs>
          <w:tab w:val="clear" w:pos="567"/>
        </w:tabs>
        <w:spacing w:line="240" w:lineRule="auto"/>
        <w:rPr>
          <w:color w:val="000000"/>
          <w:szCs w:val="22"/>
          <w:lang w:val="et-EE"/>
        </w:rPr>
      </w:pPr>
      <w:r w:rsidRPr="00EC3BD7">
        <w:rPr>
          <w:color w:val="000000"/>
          <w:szCs w:val="22"/>
          <w:shd w:val="clear" w:color="auto" w:fill="D9D9D9"/>
          <w:lang w:val="et-EE"/>
        </w:rPr>
        <w:t>90 õhukese polümeerikattega</w:t>
      </w:r>
      <w:r w:rsidRPr="00EC3BD7" w:rsidDel="00EF0882">
        <w:rPr>
          <w:color w:val="000000"/>
          <w:szCs w:val="22"/>
          <w:shd w:val="clear" w:color="auto" w:fill="D9D9D9"/>
          <w:lang w:val="et-EE"/>
        </w:rPr>
        <w:t xml:space="preserve"> </w:t>
      </w:r>
      <w:r w:rsidRPr="00EC3BD7">
        <w:rPr>
          <w:color w:val="000000"/>
          <w:szCs w:val="22"/>
          <w:shd w:val="clear" w:color="auto" w:fill="D9D9D9"/>
          <w:lang w:val="et-EE"/>
        </w:rPr>
        <w:t>tabletti</w:t>
      </w:r>
    </w:p>
    <w:p w14:paraId="2F0800A6" w14:textId="77777777" w:rsidR="00DA3205" w:rsidRPr="00EC3BD7" w:rsidRDefault="00DA3205" w:rsidP="00DA3205">
      <w:pPr>
        <w:tabs>
          <w:tab w:val="clear" w:pos="567"/>
        </w:tabs>
        <w:spacing w:line="240" w:lineRule="auto"/>
        <w:rPr>
          <w:color w:val="000000"/>
          <w:szCs w:val="22"/>
          <w:lang w:val="et-EE"/>
        </w:rPr>
      </w:pPr>
    </w:p>
    <w:p w14:paraId="610D9D72" w14:textId="77777777" w:rsidR="00DA3205" w:rsidRPr="00EC3BD7" w:rsidRDefault="00DA3205" w:rsidP="00DA3205">
      <w:pPr>
        <w:tabs>
          <w:tab w:val="clear" w:pos="567"/>
        </w:tabs>
        <w:spacing w:line="240" w:lineRule="auto"/>
        <w:rPr>
          <w:color w:val="000000"/>
          <w:szCs w:val="22"/>
          <w:lang w:val="et-EE"/>
        </w:rPr>
      </w:pPr>
    </w:p>
    <w:p w14:paraId="625E00A5"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5.</w:t>
      </w:r>
      <w:r w:rsidRPr="00EC3BD7">
        <w:rPr>
          <w:b/>
          <w:color w:val="000000"/>
          <w:szCs w:val="22"/>
          <w:lang w:val="et-EE"/>
        </w:rPr>
        <w:tab/>
        <w:t>MANUSTAMISVIIS JA –TEE</w:t>
      </w:r>
      <w:r w:rsidR="00780752" w:rsidRPr="00EC3BD7">
        <w:rPr>
          <w:b/>
          <w:color w:val="000000"/>
          <w:szCs w:val="22"/>
          <w:lang w:val="et-EE"/>
        </w:rPr>
        <w:t>(D)</w:t>
      </w:r>
    </w:p>
    <w:p w14:paraId="4B4B98CD" w14:textId="77777777" w:rsidR="00DA3205" w:rsidRPr="00EC3BD7" w:rsidRDefault="00DA3205" w:rsidP="00DA3205">
      <w:pPr>
        <w:tabs>
          <w:tab w:val="clear" w:pos="567"/>
        </w:tabs>
        <w:spacing w:line="240" w:lineRule="auto"/>
        <w:rPr>
          <w:color w:val="000000"/>
          <w:szCs w:val="22"/>
          <w:lang w:val="et-EE"/>
        </w:rPr>
      </w:pPr>
    </w:p>
    <w:p w14:paraId="2E31C8AA" w14:textId="77777777" w:rsidR="00DA3205" w:rsidRPr="00EC3BD7" w:rsidRDefault="00DA3205" w:rsidP="00DA3205">
      <w:pPr>
        <w:pStyle w:val="EndnoteText"/>
        <w:widowControl w:val="0"/>
        <w:tabs>
          <w:tab w:val="clear" w:pos="567"/>
        </w:tabs>
        <w:rPr>
          <w:color w:val="000000"/>
          <w:szCs w:val="22"/>
          <w:lang w:val="et-EE"/>
        </w:rPr>
      </w:pPr>
      <w:r w:rsidRPr="00EC3BD7">
        <w:rPr>
          <w:color w:val="000000"/>
          <w:szCs w:val="22"/>
          <w:lang w:val="et-EE"/>
        </w:rPr>
        <w:t>Suukaudne. Enne ravimi kasutamist lugege pakendi infolehte.</w:t>
      </w:r>
    </w:p>
    <w:p w14:paraId="46EBF394" w14:textId="77777777" w:rsidR="00DA3205" w:rsidRPr="00EC3BD7" w:rsidRDefault="00DA3205" w:rsidP="00DA3205">
      <w:pPr>
        <w:tabs>
          <w:tab w:val="clear" w:pos="567"/>
        </w:tabs>
        <w:spacing w:line="240" w:lineRule="auto"/>
        <w:rPr>
          <w:color w:val="000000"/>
          <w:szCs w:val="22"/>
          <w:lang w:val="et-EE"/>
        </w:rPr>
      </w:pPr>
    </w:p>
    <w:p w14:paraId="64EC5C17" w14:textId="77777777" w:rsidR="00DA3205" w:rsidRPr="00EC3BD7" w:rsidRDefault="00DA3205" w:rsidP="00DA3205">
      <w:pPr>
        <w:tabs>
          <w:tab w:val="clear" w:pos="567"/>
        </w:tabs>
        <w:spacing w:line="240" w:lineRule="auto"/>
        <w:rPr>
          <w:color w:val="000000"/>
          <w:szCs w:val="22"/>
          <w:lang w:val="et-EE"/>
        </w:rPr>
      </w:pPr>
    </w:p>
    <w:p w14:paraId="5A95CAB3"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6.</w:t>
      </w:r>
      <w:r w:rsidRPr="00EC3BD7">
        <w:rPr>
          <w:b/>
          <w:color w:val="000000"/>
          <w:szCs w:val="22"/>
          <w:lang w:val="et-EE"/>
        </w:rPr>
        <w:tab/>
        <w:t xml:space="preserve">ERIHOIATUS, ET RAVIMIT TULEB HOIDA LASTE EEST </w:t>
      </w:r>
      <w:r w:rsidR="00A55AA2" w:rsidRPr="00EC3BD7">
        <w:rPr>
          <w:b/>
          <w:color w:val="000000"/>
          <w:szCs w:val="22"/>
          <w:lang w:val="et-EE"/>
        </w:rPr>
        <w:t xml:space="preserve">VARJATUD JA </w:t>
      </w:r>
      <w:r w:rsidRPr="00EC3BD7">
        <w:rPr>
          <w:b/>
          <w:color w:val="000000"/>
          <w:szCs w:val="22"/>
          <w:lang w:val="et-EE"/>
        </w:rPr>
        <w:t>KÄTTESAAMATUS KOHAS</w:t>
      </w:r>
    </w:p>
    <w:p w14:paraId="3F8E27E5" w14:textId="77777777" w:rsidR="00DA3205" w:rsidRPr="00EC3BD7" w:rsidRDefault="00DA3205" w:rsidP="00DA3205">
      <w:pPr>
        <w:tabs>
          <w:tab w:val="clear" w:pos="567"/>
        </w:tabs>
        <w:spacing w:line="240" w:lineRule="auto"/>
        <w:rPr>
          <w:color w:val="000000"/>
          <w:szCs w:val="22"/>
          <w:lang w:val="et-EE"/>
        </w:rPr>
      </w:pPr>
    </w:p>
    <w:p w14:paraId="4B9D4120" w14:textId="77777777" w:rsidR="00DA3205" w:rsidRPr="00EC3BD7" w:rsidRDefault="00DA3205" w:rsidP="00DA3205">
      <w:pPr>
        <w:tabs>
          <w:tab w:val="clear" w:pos="567"/>
        </w:tabs>
        <w:spacing w:line="240" w:lineRule="auto"/>
        <w:rPr>
          <w:color w:val="000000"/>
          <w:szCs w:val="22"/>
          <w:lang w:val="et-EE"/>
        </w:rPr>
      </w:pPr>
      <w:r w:rsidRPr="00EC3BD7">
        <w:rPr>
          <w:color w:val="000000"/>
          <w:szCs w:val="22"/>
          <w:lang w:val="et-EE"/>
        </w:rPr>
        <w:t>Hoida laste eest varjatud ja kättesaamatus kohas.</w:t>
      </w:r>
    </w:p>
    <w:p w14:paraId="6AD846A8" w14:textId="77777777" w:rsidR="00DA3205" w:rsidRPr="00EC3BD7" w:rsidRDefault="00DA3205" w:rsidP="00DA3205">
      <w:pPr>
        <w:tabs>
          <w:tab w:val="clear" w:pos="567"/>
        </w:tabs>
        <w:spacing w:line="240" w:lineRule="auto"/>
        <w:rPr>
          <w:color w:val="000000"/>
          <w:szCs w:val="22"/>
          <w:lang w:val="et-EE"/>
        </w:rPr>
      </w:pPr>
    </w:p>
    <w:p w14:paraId="061B99AA" w14:textId="77777777" w:rsidR="00DA3205" w:rsidRPr="00EC3BD7" w:rsidRDefault="00DA3205" w:rsidP="00DA3205">
      <w:pPr>
        <w:tabs>
          <w:tab w:val="clear" w:pos="567"/>
        </w:tabs>
        <w:spacing w:line="240" w:lineRule="auto"/>
        <w:rPr>
          <w:color w:val="000000"/>
          <w:szCs w:val="22"/>
          <w:lang w:val="et-EE"/>
        </w:rPr>
      </w:pPr>
    </w:p>
    <w:p w14:paraId="6BE2C155"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7.</w:t>
      </w:r>
      <w:r w:rsidRPr="00EC3BD7">
        <w:rPr>
          <w:b/>
          <w:color w:val="000000"/>
          <w:szCs w:val="22"/>
          <w:lang w:val="et-EE"/>
        </w:rPr>
        <w:tab/>
        <w:t>TEISED ERIHOIATUSED (VAJADUSEL)</w:t>
      </w:r>
    </w:p>
    <w:p w14:paraId="751FCB05" w14:textId="77777777" w:rsidR="00DA3205" w:rsidRPr="00EC3BD7" w:rsidRDefault="00DA3205" w:rsidP="00DA3205">
      <w:pPr>
        <w:tabs>
          <w:tab w:val="clear" w:pos="567"/>
        </w:tabs>
        <w:spacing w:line="240" w:lineRule="auto"/>
        <w:rPr>
          <w:color w:val="000000"/>
          <w:szCs w:val="22"/>
          <w:lang w:val="et-EE"/>
        </w:rPr>
      </w:pPr>
    </w:p>
    <w:p w14:paraId="5FBC6372" w14:textId="77777777" w:rsidR="00DA3205" w:rsidRPr="00EC3BD7" w:rsidRDefault="00DA3205" w:rsidP="00DA3205">
      <w:pPr>
        <w:pStyle w:val="EndnoteText"/>
        <w:widowControl w:val="0"/>
        <w:tabs>
          <w:tab w:val="clear" w:pos="567"/>
        </w:tabs>
        <w:rPr>
          <w:color w:val="000000"/>
          <w:szCs w:val="22"/>
          <w:lang w:val="et-EE"/>
        </w:rPr>
      </w:pPr>
      <w:r w:rsidRPr="00EC3BD7">
        <w:rPr>
          <w:color w:val="000000"/>
          <w:szCs w:val="22"/>
          <w:lang w:val="et-EE"/>
        </w:rPr>
        <w:t>Kasutada ainult vastavalt arsti juhistele.</w:t>
      </w:r>
    </w:p>
    <w:p w14:paraId="593FE427" w14:textId="77777777" w:rsidR="00DA3205" w:rsidRPr="00EC3BD7" w:rsidRDefault="00DA3205" w:rsidP="00DA3205">
      <w:pPr>
        <w:tabs>
          <w:tab w:val="clear" w:pos="567"/>
        </w:tabs>
        <w:spacing w:line="240" w:lineRule="auto"/>
        <w:rPr>
          <w:color w:val="000000"/>
          <w:szCs w:val="22"/>
          <w:lang w:val="et-EE"/>
        </w:rPr>
      </w:pPr>
    </w:p>
    <w:p w14:paraId="0320A0E9" w14:textId="77777777" w:rsidR="00DA3205" w:rsidRPr="00EC3BD7" w:rsidRDefault="00DA3205" w:rsidP="00DA3205">
      <w:pPr>
        <w:tabs>
          <w:tab w:val="clear" w:pos="567"/>
        </w:tabs>
        <w:spacing w:line="240" w:lineRule="auto"/>
        <w:rPr>
          <w:color w:val="000000"/>
          <w:szCs w:val="22"/>
          <w:lang w:val="et-EE"/>
        </w:rPr>
      </w:pPr>
    </w:p>
    <w:p w14:paraId="15C9BDF9"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8.</w:t>
      </w:r>
      <w:r w:rsidRPr="00EC3BD7">
        <w:rPr>
          <w:b/>
          <w:color w:val="000000"/>
          <w:szCs w:val="22"/>
          <w:lang w:val="et-EE"/>
        </w:rPr>
        <w:tab/>
        <w:t>KÕLBLIKKUSAEG</w:t>
      </w:r>
    </w:p>
    <w:p w14:paraId="7789BD31" w14:textId="77777777" w:rsidR="00DA3205" w:rsidRPr="00EC3BD7" w:rsidRDefault="00DA3205" w:rsidP="00DA3205">
      <w:pPr>
        <w:tabs>
          <w:tab w:val="clear" w:pos="567"/>
        </w:tabs>
        <w:spacing w:line="240" w:lineRule="auto"/>
        <w:rPr>
          <w:color w:val="000000"/>
          <w:szCs w:val="22"/>
          <w:lang w:val="et-EE"/>
        </w:rPr>
      </w:pPr>
    </w:p>
    <w:p w14:paraId="7A2BF96F" w14:textId="77777777" w:rsidR="00DA3205" w:rsidRPr="00EC3BD7" w:rsidRDefault="00F95D17" w:rsidP="00DA3205">
      <w:pPr>
        <w:pStyle w:val="EndnoteText"/>
        <w:widowControl w:val="0"/>
        <w:tabs>
          <w:tab w:val="clear" w:pos="567"/>
        </w:tabs>
        <w:rPr>
          <w:color w:val="000000"/>
          <w:szCs w:val="22"/>
          <w:lang w:val="et-EE"/>
        </w:rPr>
      </w:pPr>
      <w:r w:rsidRPr="00EC3BD7">
        <w:rPr>
          <w:color w:val="000000"/>
          <w:szCs w:val="22"/>
          <w:lang w:val="et-EE"/>
        </w:rPr>
        <w:t>EXP</w:t>
      </w:r>
    </w:p>
    <w:p w14:paraId="040D0240" w14:textId="77777777" w:rsidR="00DA3205" w:rsidRPr="00EC3BD7" w:rsidRDefault="00DA3205" w:rsidP="00DA3205">
      <w:pPr>
        <w:tabs>
          <w:tab w:val="clear" w:pos="567"/>
        </w:tabs>
        <w:spacing w:line="240" w:lineRule="auto"/>
        <w:rPr>
          <w:color w:val="000000"/>
          <w:szCs w:val="22"/>
          <w:lang w:val="et-EE"/>
        </w:rPr>
      </w:pPr>
    </w:p>
    <w:p w14:paraId="021C0C86" w14:textId="77777777" w:rsidR="00DA3205" w:rsidRPr="00EC3BD7" w:rsidRDefault="00DA3205" w:rsidP="00DA3205">
      <w:pPr>
        <w:tabs>
          <w:tab w:val="clear" w:pos="567"/>
        </w:tabs>
        <w:spacing w:line="240" w:lineRule="auto"/>
        <w:rPr>
          <w:color w:val="000000"/>
          <w:szCs w:val="22"/>
          <w:lang w:val="et-EE"/>
        </w:rPr>
      </w:pPr>
    </w:p>
    <w:p w14:paraId="091917CC"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szCs w:val="22"/>
          <w:lang w:val="et-EE"/>
        </w:rPr>
      </w:pPr>
      <w:r w:rsidRPr="00EC3BD7">
        <w:rPr>
          <w:b/>
          <w:color w:val="000000"/>
          <w:szCs w:val="22"/>
          <w:lang w:val="et-EE"/>
        </w:rPr>
        <w:t>9.</w:t>
      </w:r>
      <w:r w:rsidRPr="00EC3BD7">
        <w:rPr>
          <w:b/>
          <w:color w:val="000000"/>
          <w:szCs w:val="22"/>
          <w:lang w:val="et-EE"/>
        </w:rPr>
        <w:tab/>
        <w:t>SÄILITAMISE ERITINGIMUSED</w:t>
      </w:r>
    </w:p>
    <w:p w14:paraId="22B2998C" w14:textId="77777777" w:rsidR="00DA3205" w:rsidRPr="00EC3BD7" w:rsidRDefault="00DA3205" w:rsidP="00DA3205">
      <w:pPr>
        <w:tabs>
          <w:tab w:val="clear" w:pos="567"/>
        </w:tabs>
        <w:spacing w:line="240" w:lineRule="auto"/>
        <w:rPr>
          <w:color w:val="000000"/>
          <w:szCs w:val="22"/>
          <w:lang w:val="et-EE"/>
        </w:rPr>
      </w:pPr>
    </w:p>
    <w:p w14:paraId="38B94F51" w14:textId="77777777" w:rsidR="00DA3205" w:rsidRPr="00EC3BD7" w:rsidRDefault="00DA3205" w:rsidP="00DA3205">
      <w:pPr>
        <w:pStyle w:val="Text"/>
        <w:widowControl w:val="0"/>
        <w:spacing w:before="0"/>
        <w:rPr>
          <w:color w:val="000000"/>
          <w:sz w:val="22"/>
          <w:szCs w:val="22"/>
          <w:lang w:val="et-EE"/>
        </w:rPr>
      </w:pPr>
      <w:r w:rsidRPr="00EC3BD7">
        <w:rPr>
          <w:color w:val="000000"/>
          <w:sz w:val="22"/>
          <w:szCs w:val="22"/>
          <w:lang w:val="et-EE"/>
        </w:rPr>
        <w:t>Hoida temperatuuril kuni 30</w:t>
      </w:r>
      <w:r w:rsidRPr="00EC3BD7">
        <w:rPr>
          <w:color w:val="000000"/>
          <w:sz w:val="22"/>
          <w:szCs w:val="22"/>
          <w:lang w:val="et-EE"/>
        </w:rPr>
        <w:sym w:font="Symbol" w:char="F0B0"/>
      </w:r>
      <w:r w:rsidRPr="00EC3BD7">
        <w:rPr>
          <w:color w:val="000000"/>
          <w:sz w:val="22"/>
          <w:szCs w:val="22"/>
          <w:lang w:val="et-EE"/>
        </w:rPr>
        <w:t xml:space="preserve">C. </w:t>
      </w:r>
      <w:bookmarkStart w:id="5" w:name="OLE_LINK2"/>
      <w:r w:rsidRPr="00EC3BD7">
        <w:rPr>
          <w:color w:val="000000"/>
          <w:sz w:val="22"/>
          <w:szCs w:val="22"/>
          <w:lang w:val="et-EE"/>
        </w:rPr>
        <w:t>Hoida originaalpakendis, niiskuse eest kaitstult.</w:t>
      </w:r>
      <w:bookmarkEnd w:id="5"/>
    </w:p>
    <w:p w14:paraId="38249B40" w14:textId="77777777" w:rsidR="00DA3205" w:rsidRPr="00EC3BD7" w:rsidRDefault="00DA3205" w:rsidP="00DA3205">
      <w:pPr>
        <w:tabs>
          <w:tab w:val="clear" w:pos="567"/>
        </w:tabs>
        <w:spacing w:line="240" w:lineRule="auto"/>
        <w:rPr>
          <w:color w:val="000000"/>
          <w:szCs w:val="22"/>
          <w:lang w:val="et-EE"/>
        </w:rPr>
      </w:pPr>
    </w:p>
    <w:p w14:paraId="6F64A6B0" w14:textId="77777777" w:rsidR="00DA3205" w:rsidRPr="00EC3BD7" w:rsidRDefault="00DA3205" w:rsidP="00DA3205">
      <w:pPr>
        <w:tabs>
          <w:tab w:val="clear" w:pos="567"/>
        </w:tabs>
        <w:spacing w:line="240" w:lineRule="auto"/>
        <w:rPr>
          <w:color w:val="000000"/>
          <w:szCs w:val="22"/>
          <w:lang w:val="et-EE"/>
        </w:rPr>
      </w:pPr>
    </w:p>
    <w:p w14:paraId="035B8FDF" w14:textId="77777777" w:rsidR="00DA3205" w:rsidRPr="00EC3BD7" w:rsidRDefault="00DA3205" w:rsidP="00B9089D">
      <w:pPr>
        <w:keepNext/>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lastRenderedPageBreak/>
        <w:t>10.</w:t>
      </w:r>
      <w:r w:rsidRPr="00EC3BD7">
        <w:rPr>
          <w:b/>
          <w:color w:val="000000"/>
          <w:szCs w:val="22"/>
          <w:lang w:val="et-EE"/>
        </w:rPr>
        <w:tab/>
        <w:t>ERINÕUDED KASUTAMATA JÄÄNUD RAVIM</w:t>
      </w:r>
      <w:r w:rsidR="00A55AA2" w:rsidRPr="00EC3BD7">
        <w:rPr>
          <w:b/>
          <w:color w:val="000000"/>
          <w:szCs w:val="22"/>
          <w:lang w:val="et-EE"/>
        </w:rPr>
        <w:t>PREPARAAD</w:t>
      </w:r>
      <w:r w:rsidRPr="00EC3BD7">
        <w:rPr>
          <w:b/>
          <w:color w:val="000000"/>
          <w:szCs w:val="22"/>
          <w:lang w:val="et-EE"/>
        </w:rPr>
        <w:t xml:space="preserve">I VÕI </w:t>
      </w:r>
      <w:r w:rsidR="00A55AA2" w:rsidRPr="00EC3BD7">
        <w:rPr>
          <w:b/>
          <w:color w:val="000000"/>
          <w:szCs w:val="22"/>
          <w:lang w:val="et-EE"/>
        </w:rPr>
        <w:t xml:space="preserve">SELLEST TEKKINUD </w:t>
      </w:r>
      <w:r w:rsidRPr="00EC3BD7">
        <w:rPr>
          <w:b/>
          <w:color w:val="000000"/>
          <w:szCs w:val="22"/>
          <w:lang w:val="et-EE"/>
        </w:rPr>
        <w:t xml:space="preserve">JÄÄTMEMATERJALI HÄVITAMISEKS, VASTAVALT </w:t>
      </w:r>
      <w:r w:rsidR="00A55AA2" w:rsidRPr="00EC3BD7">
        <w:rPr>
          <w:b/>
          <w:color w:val="000000"/>
          <w:szCs w:val="22"/>
          <w:lang w:val="et-EE"/>
        </w:rPr>
        <w:t>VAJADUSELE</w:t>
      </w:r>
    </w:p>
    <w:p w14:paraId="6AAB2112" w14:textId="77777777" w:rsidR="00DA3205" w:rsidRPr="00EC3BD7" w:rsidRDefault="00DA3205" w:rsidP="00B9089D">
      <w:pPr>
        <w:keepNext/>
        <w:tabs>
          <w:tab w:val="clear" w:pos="567"/>
        </w:tabs>
        <w:spacing w:line="240" w:lineRule="auto"/>
        <w:rPr>
          <w:color w:val="000000"/>
          <w:szCs w:val="22"/>
          <w:lang w:val="et-EE"/>
        </w:rPr>
      </w:pPr>
    </w:p>
    <w:p w14:paraId="42209F2F" w14:textId="77777777" w:rsidR="00DA3205" w:rsidRPr="00EC3BD7" w:rsidRDefault="00DA3205" w:rsidP="00DA3205">
      <w:pPr>
        <w:tabs>
          <w:tab w:val="clear" w:pos="567"/>
        </w:tabs>
        <w:spacing w:line="240" w:lineRule="auto"/>
        <w:rPr>
          <w:color w:val="000000"/>
          <w:szCs w:val="22"/>
          <w:lang w:val="et-EE"/>
        </w:rPr>
      </w:pPr>
    </w:p>
    <w:p w14:paraId="78879A46"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11.</w:t>
      </w:r>
      <w:r w:rsidRPr="00EC3BD7">
        <w:rPr>
          <w:b/>
          <w:color w:val="000000"/>
          <w:szCs w:val="22"/>
          <w:lang w:val="et-EE"/>
        </w:rPr>
        <w:tab/>
        <w:t>MÜÜGILOA HOIDJA NIMI JA AADRESS</w:t>
      </w:r>
    </w:p>
    <w:p w14:paraId="05366539" w14:textId="77777777" w:rsidR="00DA3205" w:rsidRPr="00EC3BD7" w:rsidRDefault="00DA3205" w:rsidP="00DA3205">
      <w:pPr>
        <w:tabs>
          <w:tab w:val="clear" w:pos="567"/>
        </w:tabs>
        <w:spacing w:line="240" w:lineRule="auto"/>
        <w:rPr>
          <w:color w:val="000000"/>
          <w:szCs w:val="22"/>
          <w:lang w:val="et-EE"/>
        </w:rPr>
      </w:pPr>
    </w:p>
    <w:p w14:paraId="12D5DD81" w14:textId="77777777" w:rsidR="00DA3205" w:rsidRPr="00EC3BD7" w:rsidRDefault="00DA3205" w:rsidP="00B9089D">
      <w:pPr>
        <w:pStyle w:val="EndnoteText"/>
        <w:keepNext/>
        <w:widowControl w:val="0"/>
        <w:tabs>
          <w:tab w:val="clear" w:pos="567"/>
        </w:tabs>
        <w:rPr>
          <w:color w:val="000000"/>
          <w:szCs w:val="22"/>
          <w:lang w:val="et-EE"/>
        </w:rPr>
      </w:pPr>
      <w:r w:rsidRPr="00EC3BD7">
        <w:rPr>
          <w:color w:val="000000"/>
          <w:szCs w:val="22"/>
          <w:lang w:val="et-EE"/>
        </w:rPr>
        <w:t>Novartis Europharm Limited</w:t>
      </w:r>
    </w:p>
    <w:p w14:paraId="319F4E45" w14:textId="77777777" w:rsidR="003948E3" w:rsidRPr="00EC3BD7" w:rsidRDefault="003948E3" w:rsidP="003948E3">
      <w:pPr>
        <w:keepNext/>
        <w:widowControl w:val="0"/>
        <w:spacing w:line="240" w:lineRule="auto"/>
        <w:rPr>
          <w:color w:val="000000"/>
          <w:lang w:val="et-EE"/>
        </w:rPr>
      </w:pPr>
      <w:r w:rsidRPr="00EC3BD7">
        <w:rPr>
          <w:color w:val="000000"/>
          <w:lang w:val="et-EE"/>
        </w:rPr>
        <w:t>Vista Building</w:t>
      </w:r>
    </w:p>
    <w:p w14:paraId="478A6D94" w14:textId="77777777" w:rsidR="003948E3" w:rsidRPr="00EC3BD7" w:rsidRDefault="003948E3" w:rsidP="003948E3">
      <w:pPr>
        <w:keepNext/>
        <w:widowControl w:val="0"/>
        <w:spacing w:line="240" w:lineRule="auto"/>
        <w:rPr>
          <w:color w:val="000000"/>
        </w:rPr>
      </w:pPr>
      <w:r w:rsidRPr="00EC3BD7">
        <w:rPr>
          <w:color w:val="000000"/>
        </w:rPr>
        <w:t>Elm Park, Merrion Road</w:t>
      </w:r>
    </w:p>
    <w:p w14:paraId="249AAFAB" w14:textId="77777777" w:rsidR="003948E3" w:rsidRPr="00EC3BD7" w:rsidRDefault="003948E3" w:rsidP="003948E3">
      <w:pPr>
        <w:keepNext/>
        <w:widowControl w:val="0"/>
        <w:spacing w:line="240" w:lineRule="auto"/>
        <w:rPr>
          <w:color w:val="000000"/>
        </w:rPr>
      </w:pPr>
      <w:r w:rsidRPr="00EC3BD7">
        <w:rPr>
          <w:color w:val="000000"/>
        </w:rPr>
        <w:t>Dublin 4</w:t>
      </w:r>
    </w:p>
    <w:p w14:paraId="5D51F1FC" w14:textId="77777777" w:rsidR="00DA3205" w:rsidRPr="00EC3BD7" w:rsidRDefault="003948E3" w:rsidP="00DA3205">
      <w:pPr>
        <w:widowControl w:val="0"/>
        <w:spacing w:line="240" w:lineRule="auto"/>
        <w:rPr>
          <w:color w:val="000000"/>
          <w:szCs w:val="22"/>
          <w:lang w:val="et-EE"/>
        </w:rPr>
      </w:pPr>
      <w:r w:rsidRPr="00EC3BD7">
        <w:rPr>
          <w:color w:val="000000"/>
          <w:lang w:val="en-US"/>
        </w:rPr>
        <w:t>Iirimaa</w:t>
      </w:r>
    </w:p>
    <w:p w14:paraId="2BBD3999" w14:textId="77777777" w:rsidR="00DA3205" w:rsidRPr="00EC3BD7" w:rsidRDefault="00DA3205" w:rsidP="00DA3205">
      <w:pPr>
        <w:tabs>
          <w:tab w:val="clear" w:pos="567"/>
        </w:tabs>
        <w:spacing w:line="240" w:lineRule="auto"/>
        <w:rPr>
          <w:color w:val="000000"/>
          <w:szCs w:val="22"/>
          <w:lang w:val="et-EE"/>
        </w:rPr>
      </w:pPr>
    </w:p>
    <w:p w14:paraId="15576F63" w14:textId="77777777" w:rsidR="00DA3205" w:rsidRPr="00EC3BD7" w:rsidRDefault="00DA3205" w:rsidP="00DA3205">
      <w:pPr>
        <w:tabs>
          <w:tab w:val="clear" w:pos="567"/>
        </w:tabs>
        <w:spacing w:line="240" w:lineRule="auto"/>
        <w:rPr>
          <w:color w:val="000000"/>
          <w:szCs w:val="22"/>
          <w:lang w:val="et-EE"/>
        </w:rPr>
      </w:pPr>
    </w:p>
    <w:p w14:paraId="5658E368"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12.</w:t>
      </w:r>
      <w:r w:rsidRPr="00EC3BD7">
        <w:rPr>
          <w:b/>
          <w:color w:val="000000"/>
          <w:szCs w:val="22"/>
          <w:lang w:val="et-EE"/>
        </w:rPr>
        <w:tab/>
        <w:t>MÜÜGILOA NUMBER(NUMBRID)</w:t>
      </w:r>
    </w:p>
    <w:p w14:paraId="2B1900B2" w14:textId="77777777" w:rsidR="00DA3205" w:rsidRPr="00EC3BD7" w:rsidRDefault="00DA3205" w:rsidP="00DA3205">
      <w:pPr>
        <w:tabs>
          <w:tab w:val="clear" w:pos="567"/>
        </w:tabs>
        <w:spacing w:line="240" w:lineRule="auto"/>
        <w:rPr>
          <w:color w:val="000000"/>
          <w:szCs w:val="22"/>
          <w:lang w:val="et-EE"/>
        </w:rPr>
      </w:pPr>
    </w:p>
    <w:p w14:paraId="793C866D" w14:textId="77777777" w:rsidR="00DA3205" w:rsidRPr="00EC3BD7" w:rsidRDefault="00DA3205" w:rsidP="00DA3205">
      <w:pPr>
        <w:tabs>
          <w:tab w:val="clear" w:pos="567"/>
          <w:tab w:val="left" w:pos="2268"/>
        </w:tabs>
        <w:spacing w:line="240" w:lineRule="auto"/>
        <w:rPr>
          <w:color w:val="000000"/>
          <w:szCs w:val="22"/>
          <w:shd w:val="clear" w:color="auto" w:fill="D9D9D9"/>
          <w:lang w:val="et-EE"/>
        </w:rPr>
      </w:pPr>
      <w:r w:rsidRPr="00EC3BD7">
        <w:rPr>
          <w:color w:val="000000"/>
          <w:szCs w:val="22"/>
          <w:lang w:val="et-EE"/>
        </w:rPr>
        <w:t>EU/1/01/198/009</w:t>
      </w:r>
      <w:r w:rsidRPr="00EC3BD7">
        <w:rPr>
          <w:color w:val="000000"/>
          <w:szCs w:val="22"/>
          <w:lang w:val="et-EE"/>
        </w:rPr>
        <w:tab/>
      </w:r>
      <w:r w:rsidRPr="00EC3BD7">
        <w:rPr>
          <w:color w:val="000000"/>
          <w:szCs w:val="22"/>
          <w:shd w:val="clear" w:color="auto" w:fill="D9D9D9"/>
          <w:lang w:val="et-EE"/>
        </w:rPr>
        <w:t>10 tabletti</w:t>
      </w:r>
    </w:p>
    <w:p w14:paraId="21FDF4AB" w14:textId="77777777" w:rsidR="00DA3205" w:rsidRPr="00EC3BD7" w:rsidRDefault="00DA3205" w:rsidP="00DA3205">
      <w:pPr>
        <w:tabs>
          <w:tab w:val="clear" w:pos="567"/>
          <w:tab w:val="left" w:pos="2268"/>
        </w:tabs>
        <w:spacing w:line="240" w:lineRule="auto"/>
        <w:rPr>
          <w:color w:val="000000"/>
          <w:szCs w:val="22"/>
          <w:shd w:val="clear" w:color="auto" w:fill="D9D9D9"/>
          <w:lang w:val="et-EE"/>
        </w:rPr>
      </w:pPr>
      <w:r w:rsidRPr="00EC3BD7">
        <w:rPr>
          <w:color w:val="000000"/>
          <w:szCs w:val="22"/>
          <w:shd w:val="clear" w:color="auto" w:fill="D9D9D9"/>
          <w:lang w:val="et-EE"/>
        </w:rPr>
        <w:t>EU/1/01/198/010</w:t>
      </w:r>
      <w:r w:rsidRPr="00EC3BD7">
        <w:rPr>
          <w:color w:val="000000"/>
          <w:szCs w:val="22"/>
          <w:shd w:val="clear" w:color="auto" w:fill="D9D9D9"/>
          <w:lang w:val="et-EE"/>
        </w:rPr>
        <w:tab/>
        <w:t>30 tabletti</w:t>
      </w:r>
    </w:p>
    <w:p w14:paraId="269FFB58" w14:textId="77777777" w:rsidR="00DA3205" w:rsidRPr="00EC3BD7" w:rsidRDefault="00DA3205" w:rsidP="00DA3205">
      <w:pPr>
        <w:tabs>
          <w:tab w:val="clear" w:pos="567"/>
          <w:tab w:val="left" w:pos="2268"/>
        </w:tabs>
        <w:spacing w:line="240" w:lineRule="auto"/>
        <w:rPr>
          <w:color w:val="000000"/>
          <w:szCs w:val="22"/>
          <w:shd w:val="clear" w:color="auto" w:fill="D9D9D9"/>
          <w:lang w:val="et-EE"/>
        </w:rPr>
      </w:pPr>
      <w:r w:rsidRPr="00EC3BD7">
        <w:rPr>
          <w:color w:val="000000"/>
          <w:szCs w:val="22"/>
          <w:shd w:val="clear" w:color="auto" w:fill="D9D9D9"/>
          <w:lang w:val="et-EE"/>
        </w:rPr>
        <w:t>EU/1/01/198/013</w:t>
      </w:r>
      <w:r w:rsidRPr="00EC3BD7">
        <w:rPr>
          <w:color w:val="000000"/>
          <w:szCs w:val="22"/>
          <w:shd w:val="clear" w:color="auto" w:fill="D9D9D9"/>
          <w:lang w:val="et-EE"/>
        </w:rPr>
        <w:tab/>
        <w:t>90 tabletti</w:t>
      </w:r>
    </w:p>
    <w:p w14:paraId="627A33C9" w14:textId="77777777" w:rsidR="00DA3205" w:rsidRPr="00EC3BD7" w:rsidRDefault="00DA3205" w:rsidP="00DA3205">
      <w:pPr>
        <w:tabs>
          <w:tab w:val="clear" w:pos="567"/>
        </w:tabs>
        <w:spacing w:line="240" w:lineRule="auto"/>
        <w:rPr>
          <w:color w:val="000000"/>
          <w:szCs w:val="22"/>
          <w:lang w:val="et-EE"/>
        </w:rPr>
      </w:pPr>
    </w:p>
    <w:p w14:paraId="0521978A" w14:textId="77777777" w:rsidR="00DA3205" w:rsidRPr="00EC3BD7" w:rsidRDefault="00DA3205" w:rsidP="00DA3205">
      <w:pPr>
        <w:tabs>
          <w:tab w:val="clear" w:pos="567"/>
        </w:tabs>
        <w:spacing w:line="240" w:lineRule="auto"/>
        <w:rPr>
          <w:color w:val="000000"/>
          <w:szCs w:val="22"/>
          <w:lang w:val="et-EE"/>
        </w:rPr>
      </w:pPr>
    </w:p>
    <w:p w14:paraId="74BF43B9"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13.</w:t>
      </w:r>
      <w:r w:rsidRPr="00EC3BD7">
        <w:rPr>
          <w:b/>
          <w:color w:val="000000"/>
          <w:szCs w:val="22"/>
          <w:lang w:val="et-EE"/>
        </w:rPr>
        <w:tab/>
        <w:t>PARTII NUMBER</w:t>
      </w:r>
    </w:p>
    <w:p w14:paraId="6896120E" w14:textId="77777777" w:rsidR="00DA3205" w:rsidRPr="00EC3BD7" w:rsidRDefault="00DA3205" w:rsidP="00DA3205">
      <w:pPr>
        <w:tabs>
          <w:tab w:val="clear" w:pos="567"/>
        </w:tabs>
        <w:spacing w:line="240" w:lineRule="auto"/>
        <w:rPr>
          <w:color w:val="000000"/>
          <w:szCs w:val="22"/>
          <w:lang w:val="et-EE"/>
        </w:rPr>
      </w:pPr>
    </w:p>
    <w:p w14:paraId="603F9B0B" w14:textId="77777777" w:rsidR="00DA3205" w:rsidRPr="00EC3BD7" w:rsidRDefault="00F95D17" w:rsidP="00DA3205">
      <w:pPr>
        <w:widowControl w:val="0"/>
        <w:tabs>
          <w:tab w:val="clear" w:pos="567"/>
        </w:tabs>
        <w:spacing w:line="240" w:lineRule="auto"/>
        <w:rPr>
          <w:color w:val="000000"/>
          <w:szCs w:val="22"/>
          <w:lang w:val="et-EE"/>
        </w:rPr>
      </w:pPr>
      <w:r w:rsidRPr="00EC3BD7">
        <w:rPr>
          <w:color w:val="000000"/>
          <w:szCs w:val="22"/>
          <w:lang w:val="et-EE"/>
        </w:rPr>
        <w:t>Lot</w:t>
      </w:r>
    </w:p>
    <w:p w14:paraId="032BEDC9" w14:textId="77777777" w:rsidR="00DA3205" w:rsidRPr="00EC3BD7" w:rsidRDefault="00DA3205" w:rsidP="00DA3205">
      <w:pPr>
        <w:tabs>
          <w:tab w:val="clear" w:pos="567"/>
        </w:tabs>
        <w:spacing w:line="240" w:lineRule="auto"/>
        <w:rPr>
          <w:color w:val="000000"/>
          <w:szCs w:val="22"/>
          <w:lang w:val="et-EE"/>
        </w:rPr>
      </w:pPr>
    </w:p>
    <w:p w14:paraId="474DE401" w14:textId="77777777" w:rsidR="00DA3205" w:rsidRPr="00EC3BD7" w:rsidRDefault="00DA3205" w:rsidP="00DA3205">
      <w:pPr>
        <w:tabs>
          <w:tab w:val="clear" w:pos="567"/>
        </w:tabs>
        <w:spacing w:line="240" w:lineRule="auto"/>
        <w:rPr>
          <w:color w:val="000000"/>
          <w:szCs w:val="22"/>
          <w:lang w:val="et-EE"/>
        </w:rPr>
      </w:pPr>
    </w:p>
    <w:p w14:paraId="1230C5BF"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14.</w:t>
      </w:r>
      <w:r w:rsidRPr="00EC3BD7">
        <w:rPr>
          <w:b/>
          <w:color w:val="000000"/>
          <w:szCs w:val="22"/>
          <w:lang w:val="et-EE"/>
        </w:rPr>
        <w:tab/>
        <w:t>RAVIMI VÄLJASTAMISTINGIMUSED</w:t>
      </w:r>
    </w:p>
    <w:p w14:paraId="741EF086" w14:textId="77777777" w:rsidR="00DA3205" w:rsidRPr="00EC3BD7" w:rsidRDefault="00DA3205" w:rsidP="00DA3205">
      <w:pPr>
        <w:tabs>
          <w:tab w:val="clear" w:pos="567"/>
        </w:tabs>
        <w:spacing w:line="240" w:lineRule="auto"/>
        <w:rPr>
          <w:color w:val="000000"/>
          <w:szCs w:val="22"/>
          <w:lang w:val="et-EE"/>
        </w:rPr>
      </w:pPr>
    </w:p>
    <w:p w14:paraId="61FE3119" w14:textId="77777777" w:rsidR="00DA3205" w:rsidRPr="00EC3BD7" w:rsidRDefault="00DA3205" w:rsidP="00DA3205">
      <w:pPr>
        <w:tabs>
          <w:tab w:val="clear" w:pos="567"/>
        </w:tabs>
        <w:spacing w:line="240" w:lineRule="auto"/>
        <w:rPr>
          <w:color w:val="000000"/>
          <w:szCs w:val="22"/>
          <w:lang w:val="et-EE"/>
        </w:rPr>
      </w:pPr>
    </w:p>
    <w:p w14:paraId="6FAE85FD"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15.</w:t>
      </w:r>
      <w:r w:rsidRPr="00EC3BD7">
        <w:rPr>
          <w:b/>
          <w:color w:val="000000"/>
          <w:szCs w:val="22"/>
          <w:lang w:val="et-EE"/>
        </w:rPr>
        <w:tab/>
        <w:t>KASUTUSJUHEND</w:t>
      </w:r>
    </w:p>
    <w:p w14:paraId="1557290F" w14:textId="77777777" w:rsidR="00DA3205" w:rsidRPr="00EC3BD7" w:rsidRDefault="00DA3205" w:rsidP="00DA3205">
      <w:pPr>
        <w:tabs>
          <w:tab w:val="clear" w:pos="567"/>
        </w:tabs>
        <w:spacing w:line="240" w:lineRule="auto"/>
        <w:rPr>
          <w:color w:val="000000"/>
          <w:szCs w:val="22"/>
          <w:lang w:val="et-EE"/>
        </w:rPr>
      </w:pPr>
    </w:p>
    <w:p w14:paraId="4BCED886" w14:textId="77777777" w:rsidR="00DA3205" w:rsidRPr="00EC3BD7" w:rsidRDefault="00DA3205" w:rsidP="00DA3205">
      <w:pPr>
        <w:tabs>
          <w:tab w:val="clear" w:pos="567"/>
        </w:tabs>
        <w:spacing w:line="240" w:lineRule="auto"/>
        <w:rPr>
          <w:color w:val="000000"/>
          <w:szCs w:val="22"/>
          <w:lang w:val="et-EE"/>
        </w:rPr>
      </w:pPr>
    </w:p>
    <w:p w14:paraId="59556FBC"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16.</w:t>
      </w:r>
      <w:r w:rsidRPr="00EC3BD7">
        <w:rPr>
          <w:b/>
          <w:color w:val="000000"/>
          <w:szCs w:val="22"/>
          <w:lang w:val="et-EE"/>
        </w:rPr>
        <w:tab/>
      </w:r>
      <w:r w:rsidR="001222B9" w:rsidRPr="00EC3BD7">
        <w:rPr>
          <w:b/>
          <w:color w:val="000000"/>
          <w:szCs w:val="22"/>
          <w:lang w:val="et-EE"/>
        </w:rPr>
        <w:t>TEAVE</w:t>
      </w:r>
      <w:r w:rsidRPr="00EC3BD7">
        <w:rPr>
          <w:b/>
          <w:color w:val="000000"/>
          <w:szCs w:val="22"/>
          <w:lang w:val="et-EE"/>
        </w:rPr>
        <w:t xml:space="preserve"> BRAILLE’ KIRJAS (PUNKTKIRJAS)</w:t>
      </w:r>
    </w:p>
    <w:p w14:paraId="3DAC5E15" w14:textId="77777777" w:rsidR="00DA3205" w:rsidRPr="00EC3BD7" w:rsidRDefault="00DA3205" w:rsidP="00DA3205">
      <w:pPr>
        <w:tabs>
          <w:tab w:val="clear" w:pos="567"/>
        </w:tabs>
        <w:spacing w:line="240" w:lineRule="auto"/>
        <w:rPr>
          <w:color w:val="000000"/>
          <w:szCs w:val="22"/>
          <w:lang w:val="et-EE"/>
        </w:rPr>
      </w:pPr>
    </w:p>
    <w:p w14:paraId="18A21CDB" w14:textId="77777777" w:rsidR="00DA3205" w:rsidRPr="00EC3BD7" w:rsidRDefault="00DA3205" w:rsidP="00DA3205">
      <w:pPr>
        <w:tabs>
          <w:tab w:val="clear" w:pos="567"/>
        </w:tabs>
        <w:spacing w:line="240" w:lineRule="auto"/>
        <w:rPr>
          <w:color w:val="000000"/>
          <w:szCs w:val="22"/>
          <w:lang w:val="et-EE"/>
        </w:rPr>
      </w:pPr>
      <w:r w:rsidRPr="00EC3BD7">
        <w:rPr>
          <w:color w:val="000000"/>
          <w:szCs w:val="22"/>
          <w:lang w:val="et-EE"/>
        </w:rPr>
        <w:t>Glivec 400 mg</w:t>
      </w:r>
    </w:p>
    <w:p w14:paraId="1E39AD24" w14:textId="77777777" w:rsidR="00DA3205" w:rsidRPr="00EC3BD7" w:rsidRDefault="00DA3205" w:rsidP="00DA3205">
      <w:pPr>
        <w:tabs>
          <w:tab w:val="clear" w:pos="567"/>
        </w:tabs>
        <w:spacing w:line="240" w:lineRule="auto"/>
        <w:rPr>
          <w:color w:val="000000"/>
          <w:szCs w:val="22"/>
          <w:lang w:val="et-EE"/>
        </w:rPr>
      </w:pPr>
    </w:p>
    <w:p w14:paraId="25B3FEAB" w14:textId="77777777" w:rsidR="00DA3205" w:rsidRPr="00EC3BD7" w:rsidRDefault="00DA3205" w:rsidP="00DA3205">
      <w:pPr>
        <w:tabs>
          <w:tab w:val="clear" w:pos="567"/>
        </w:tabs>
        <w:spacing w:line="240" w:lineRule="auto"/>
        <w:rPr>
          <w:color w:val="000000"/>
          <w:szCs w:val="22"/>
          <w:lang w:val="et-EE"/>
        </w:rPr>
      </w:pPr>
    </w:p>
    <w:p w14:paraId="053DAFA1" w14:textId="77777777" w:rsidR="00750E63" w:rsidRPr="00EC3BD7" w:rsidRDefault="00750E63" w:rsidP="00750E63">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lang w:val="et-EE"/>
        </w:rPr>
      </w:pPr>
      <w:r w:rsidRPr="00EC3BD7">
        <w:rPr>
          <w:b/>
          <w:lang w:val="et-EE"/>
        </w:rPr>
        <w:t>17.</w:t>
      </w:r>
      <w:r w:rsidRPr="00EC3BD7">
        <w:rPr>
          <w:b/>
          <w:lang w:val="et-EE"/>
        </w:rPr>
        <w:tab/>
      </w:r>
      <w:r w:rsidRPr="00EC3BD7">
        <w:rPr>
          <w:b/>
          <w:lang w:val="et-EE" w:bidi="et-EE"/>
        </w:rPr>
        <w:t>AINULAADNE IDENTIFIKAATOR – 2D-vöötkood</w:t>
      </w:r>
    </w:p>
    <w:p w14:paraId="2A876E3C" w14:textId="77777777" w:rsidR="00750E63" w:rsidRPr="00EC3BD7" w:rsidRDefault="00750E63" w:rsidP="00750E63">
      <w:pPr>
        <w:widowControl w:val="0"/>
        <w:tabs>
          <w:tab w:val="clear" w:pos="567"/>
        </w:tabs>
        <w:spacing w:line="240" w:lineRule="auto"/>
        <w:rPr>
          <w:lang w:val="et-EE"/>
        </w:rPr>
      </w:pPr>
    </w:p>
    <w:p w14:paraId="289CB6DC" w14:textId="77777777" w:rsidR="00750E63" w:rsidRPr="00EC3BD7" w:rsidRDefault="00750E63" w:rsidP="00750E63">
      <w:pPr>
        <w:widowControl w:val="0"/>
        <w:tabs>
          <w:tab w:val="clear" w:pos="567"/>
        </w:tabs>
        <w:spacing w:line="240" w:lineRule="auto"/>
        <w:rPr>
          <w:szCs w:val="22"/>
          <w:shd w:val="pct15" w:color="auto" w:fill="auto"/>
          <w:lang w:val="et-EE"/>
        </w:rPr>
      </w:pPr>
      <w:r w:rsidRPr="00EC3BD7">
        <w:rPr>
          <w:szCs w:val="22"/>
          <w:shd w:val="pct15" w:color="auto" w:fill="auto"/>
          <w:lang w:val="et-EE" w:bidi="et-EE"/>
        </w:rPr>
        <w:t>Lisatud on 2D-vöötkood, mis sisaldab ainulaadset identifikaatorit.</w:t>
      </w:r>
    </w:p>
    <w:p w14:paraId="1F1FDF34" w14:textId="77777777" w:rsidR="00750E63" w:rsidRPr="00EC3BD7" w:rsidRDefault="00750E63" w:rsidP="00750E63">
      <w:pPr>
        <w:widowControl w:val="0"/>
        <w:tabs>
          <w:tab w:val="clear" w:pos="567"/>
        </w:tabs>
        <w:spacing w:line="240" w:lineRule="auto"/>
        <w:rPr>
          <w:szCs w:val="22"/>
          <w:shd w:val="clear" w:color="auto" w:fill="CCCCCC"/>
          <w:lang w:val="et-EE"/>
        </w:rPr>
      </w:pPr>
    </w:p>
    <w:p w14:paraId="24C29A18" w14:textId="77777777" w:rsidR="00750E63" w:rsidRPr="00EC3BD7" w:rsidRDefault="00750E63" w:rsidP="00750E63">
      <w:pPr>
        <w:widowControl w:val="0"/>
        <w:tabs>
          <w:tab w:val="clear" w:pos="567"/>
        </w:tabs>
        <w:spacing w:line="240" w:lineRule="auto"/>
        <w:rPr>
          <w:lang w:val="et-EE"/>
        </w:rPr>
      </w:pPr>
    </w:p>
    <w:p w14:paraId="589E5A24" w14:textId="77777777" w:rsidR="00750E63" w:rsidRPr="00EC3BD7" w:rsidRDefault="00750E63" w:rsidP="00750E63">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lang w:val="et-EE"/>
        </w:rPr>
      </w:pPr>
      <w:r w:rsidRPr="00EC3BD7">
        <w:rPr>
          <w:b/>
          <w:lang w:val="et-EE"/>
        </w:rPr>
        <w:t>18.</w:t>
      </w:r>
      <w:r w:rsidRPr="00EC3BD7">
        <w:rPr>
          <w:b/>
          <w:lang w:val="et-EE"/>
        </w:rPr>
        <w:tab/>
      </w:r>
      <w:r w:rsidRPr="00EC3BD7">
        <w:rPr>
          <w:b/>
          <w:lang w:val="et-EE" w:bidi="et-EE"/>
        </w:rPr>
        <w:t>AINULAADNE IDENTIFIKAATOR – INIMLOETAVAD ANDMED</w:t>
      </w:r>
    </w:p>
    <w:p w14:paraId="4DF50599" w14:textId="77777777" w:rsidR="00750E63" w:rsidRPr="00EC3BD7" w:rsidRDefault="00750E63" w:rsidP="00750E63">
      <w:pPr>
        <w:widowControl w:val="0"/>
        <w:tabs>
          <w:tab w:val="clear" w:pos="567"/>
        </w:tabs>
        <w:spacing w:line="240" w:lineRule="auto"/>
        <w:rPr>
          <w:lang w:val="et-EE"/>
        </w:rPr>
      </w:pPr>
    </w:p>
    <w:p w14:paraId="4BE49559" w14:textId="77777777" w:rsidR="00750E63" w:rsidRPr="00EC3BD7" w:rsidRDefault="00750E63" w:rsidP="00750E63">
      <w:pPr>
        <w:widowControl w:val="0"/>
        <w:tabs>
          <w:tab w:val="clear" w:pos="567"/>
        </w:tabs>
        <w:rPr>
          <w:szCs w:val="22"/>
          <w:lang w:val="et-EE"/>
        </w:rPr>
      </w:pPr>
      <w:r w:rsidRPr="00EC3BD7">
        <w:rPr>
          <w:szCs w:val="22"/>
          <w:lang w:val="et-EE"/>
        </w:rPr>
        <w:t>PC:</w:t>
      </w:r>
    </w:p>
    <w:p w14:paraId="1B425E36" w14:textId="77777777" w:rsidR="00750E63" w:rsidRPr="00EC3BD7" w:rsidRDefault="00750E63" w:rsidP="00750E63">
      <w:pPr>
        <w:widowControl w:val="0"/>
        <w:tabs>
          <w:tab w:val="clear" w:pos="567"/>
        </w:tabs>
        <w:rPr>
          <w:szCs w:val="22"/>
          <w:lang w:val="et-EE"/>
        </w:rPr>
      </w:pPr>
      <w:r w:rsidRPr="00EC3BD7">
        <w:rPr>
          <w:szCs w:val="22"/>
          <w:lang w:val="et-EE"/>
        </w:rPr>
        <w:t>SN:</w:t>
      </w:r>
    </w:p>
    <w:p w14:paraId="5C250027" w14:textId="77777777" w:rsidR="00750E63" w:rsidRPr="00EC3BD7" w:rsidRDefault="00750E63" w:rsidP="00750E63">
      <w:pPr>
        <w:widowControl w:val="0"/>
        <w:tabs>
          <w:tab w:val="clear" w:pos="567"/>
        </w:tabs>
        <w:rPr>
          <w:szCs w:val="22"/>
          <w:lang w:val="et-EE"/>
        </w:rPr>
      </w:pPr>
      <w:r w:rsidRPr="00EC3BD7">
        <w:rPr>
          <w:szCs w:val="22"/>
          <w:lang w:val="et-EE"/>
        </w:rPr>
        <w:t>NN:</w:t>
      </w:r>
    </w:p>
    <w:p w14:paraId="1283BD66" w14:textId="77777777" w:rsidR="00DA3205" w:rsidRPr="00EC3BD7" w:rsidRDefault="00DA3205" w:rsidP="00DA3205">
      <w:pPr>
        <w:tabs>
          <w:tab w:val="clear" w:pos="567"/>
        </w:tabs>
        <w:spacing w:line="240" w:lineRule="auto"/>
        <w:rPr>
          <w:color w:val="000000"/>
          <w:szCs w:val="22"/>
          <w:lang w:val="et-EE"/>
        </w:rPr>
      </w:pPr>
      <w:r w:rsidRPr="00EC3BD7">
        <w:rPr>
          <w:color w:val="000000"/>
          <w:szCs w:val="22"/>
          <w:lang w:val="et-EE"/>
        </w:rPr>
        <w:br w:type="page"/>
      </w:r>
    </w:p>
    <w:p w14:paraId="6305B4BD" w14:textId="77777777" w:rsidR="009A3C30" w:rsidRPr="00EC3BD7" w:rsidRDefault="009A3C30" w:rsidP="009A3C30">
      <w:pPr>
        <w:tabs>
          <w:tab w:val="clear" w:pos="567"/>
        </w:tabs>
        <w:spacing w:line="240" w:lineRule="auto"/>
        <w:rPr>
          <w:color w:val="000000"/>
          <w:szCs w:val="22"/>
          <w:lang w:val="et-EE"/>
        </w:rPr>
      </w:pPr>
    </w:p>
    <w:p w14:paraId="6CF3A9D3"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et-EE"/>
        </w:rPr>
      </w:pPr>
      <w:r w:rsidRPr="00EC3BD7">
        <w:rPr>
          <w:b/>
          <w:color w:val="000000"/>
          <w:szCs w:val="22"/>
          <w:lang w:val="et-EE"/>
        </w:rPr>
        <w:t xml:space="preserve">MINIMAALSED </w:t>
      </w:r>
      <w:r w:rsidR="003A2D9B" w:rsidRPr="00EC3BD7">
        <w:rPr>
          <w:b/>
          <w:color w:val="000000"/>
          <w:szCs w:val="22"/>
          <w:lang w:val="et-EE"/>
        </w:rPr>
        <w:t>ANDMED</w:t>
      </w:r>
      <w:r w:rsidRPr="00EC3BD7">
        <w:rPr>
          <w:b/>
          <w:color w:val="000000"/>
          <w:szCs w:val="22"/>
          <w:lang w:val="et-EE"/>
        </w:rPr>
        <w:t>, MIS PEAVAD OLEMA BLISTER- VÕI RIBAPAKENDIL</w:t>
      </w:r>
    </w:p>
    <w:p w14:paraId="5AC6E475"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et-EE"/>
        </w:rPr>
      </w:pPr>
    </w:p>
    <w:p w14:paraId="1B37506C"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et-EE"/>
        </w:rPr>
      </w:pPr>
      <w:r w:rsidRPr="00EC3BD7">
        <w:rPr>
          <w:b/>
          <w:color w:val="000000"/>
          <w:szCs w:val="22"/>
          <w:lang w:val="et-EE"/>
        </w:rPr>
        <w:t>BLISTRID</w:t>
      </w:r>
    </w:p>
    <w:p w14:paraId="3414F2A3" w14:textId="77777777" w:rsidR="00DA3205" w:rsidRPr="00EC3BD7" w:rsidRDefault="00DA3205" w:rsidP="00DA3205">
      <w:pPr>
        <w:tabs>
          <w:tab w:val="clear" w:pos="567"/>
        </w:tabs>
        <w:spacing w:line="240" w:lineRule="auto"/>
        <w:rPr>
          <w:color w:val="000000"/>
          <w:szCs w:val="22"/>
          <w:lang w:val="et-EE"/>
        </w:rPr>
      </w:pPr>
    </w:p>
    <w:p w14:paraId="22AD21EC" w14:textId="77777777" w:rsidR="00DA3205" w:rsidRPr="00EC3BD7" w:rsidRDefault="00DA3205" w:rsidP="00DA3205">
      <w:pPr>
        <w:tabs>
          <w:tab w:val="clear" w:pos="567"/>
        </w:tabs>
        <w:spacing w:line="240" w:lineRule="auto"/>
        <w:rPr>
          <w:color w:val="000000"/>
          <w:szCs w:val="22"/>
          <w:lang w:val="et-EE"/>
        </w:rPr>
      </w:pPr>
    </w:p>
    <w:p w14:paraId="66FB11E1"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1.</w:t>
      </w:r>
      <w:r w:rsidRPr="00EC3BD7">
        <w:rPr>
          <w:b/>
          <w:color w:val="000000"/>
          <w:szCs w:val="22"/>
          <w:lang w:val="et-EE"/>
        </w:rPr>
        <w:tab/>
        <w:t>RAVIMPREPARAADI NIMETUS</w:t>
      </w:r>
    </w:p>
    <w:p w14:paraId="48E9D8F4" w14:textId="77777777" w:rsidR="00DA3205" w:rsidRPr="00EC3BD7" w:rsidRDefault="00DA3205" w:rsidP="00DA3205">
      <w:pPr>
        <w:tabs>
          <w:tab w:val="clear" w:pos="567"/>
        </w:tabs>
        <w:spacing w:line="240" w:lineRule="auto"/>
        <w:ind w:left="567" w:hanging="567"/>
        <w:rPr>
          <w:color w:val="000000"/>
          <w:szCs w:val="22"/>
          <w:lang w:val="et-EE"/>
        </w:rPr>
      </w:pPr>
    </w:p>
    <w:p w14:paraId="4E34D7EA" w14:textId="77777777" w:rsidR="00DA3205" w:rsidRPr="00EC3BD7" w:rsidRDefault="00DA3205" w:rsidP="00DA3205">
      <w:pPr>
        <w:widowControl w:val="0"/>
        <w:tabs>
          <w:tab w:val="clear" w:pos="567"/>
        </w:tabs>
        <w:spacing w:line="240" w:lineRule="auto"/>
        <w:rPr>
          <w:color w:val="000000"/>
          <w:szCs w:val="22"/>
          <w:lang w:val="et-EE"/>
        </w:rPr>
      </w:pPr>
      <w:r w:rsidRPr="00EC3BD7">
        <w:rPr>
          <w:color w:val="000000"/>
          <w:szCs w:val="22"/>
          <w:lang w:val="et-EE"/>
        </w:rPr>
        <w:t>Glivec 400 mg tabletid</w:t>
      </w:r>
    </w:p>
    <w:p w14:paraId="5C4C0C97" w14:textId="77777777" w:rsidR="00B2520A" w:rsidRPr="00EC3BD7" w:rsidRDefault="00B2520A" w:rsidP="00B2520A">
      <w:pPr>
        <w:widowControl w:val="0"/>
        <w:tabs>
          <w:tab w:val="clear" w:pos="567"/>
        </w:tabs>
        <w:spacing w:line="240" w:lineRule="auto"/>
        <w:rPr>
          <w:i/>
          <w:color w:val="000000"/>
          <w:szCs w:val="22"/>
          <w:lang w:val="et-EE"/>
        </w:rPr>
      </w:pPr>
      <w:r w:rsidRPr="00EC3BD7">
        <w:rPr>
          <w:i/>
          <w:color w:val="000000"/>
          <w:szCs w:val="22"/>
          <w:lang w:val="et-EE"/>
        </w:rPr>
        <w:t>imatinibum</w:t>
      </w:r>
    </w:p>
    <w:p w14:paraId="6C8BDBDD" w14:textId="77777777" w:rsidR="00DA3205" w:rsidRPr="00EC3BD7" w:rsidRDefault="00DA3205" w:rsidP="00DA3205">
      <w:pPr>
        <w:tabs>
          <w:tab w:val="clear" w:pos="567"/>
        </w:tabs>
        <w:spacing w:line="240" w:lineRule="auto"/>
        <w:rPr>
          <w:color w:val="000000"/>
          <w:szCs w:val="22"/>
          <w:lang w:val="et-EE"/>
        </w:rPr>
      </w:pPr>
    </w:p>
    <w:p w14:paraId="4C7E9369" w14:textId="77777777" w:rsidR="00DA3205" w:rsidRPr="00EC3BD7" w:rsidRDefault="00DA3205" w:rsidP="00DA3205">
      <w:pPr>
        <w:tabs>
          <w:tab w:val="clear" w:pos="567"/>
        </w:tabs>
        <w:spacing w:line="240" w:lineRule="auto"/>
        <w:rPr>
          <w:color w:val="000000"/>
          <w:szCs w:val="22"/>
          <w:lang w:val="et-EE"/>
        </w:rPr>
      </w:pPr>
    </w:p>
    <w:p w14:paraId="2EEA132A"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2.</w:t>
      </w:r>
      <w:r w:rsidRPr="00EC3BD7">
        <w:rPr>
          <w:b/>
          <w:color w:val="000000"/>
          <w:szCs w:val="22"/>
          <w:lang w:val="et-EE"/>
        </w:rPr>
        <w:tab/>
        <w:t>MÜÜGILOA HOIDJA NIMI</w:t>
      </w:r>
    </w:p>
    <w:p w14:paraId="64EDFAF0" w14:textId="77777777" w:rsidR="00DA3205" w:rsidRPr="00EC3BD7" w:rsidRDefault="00DA3205" w:rsidP="00DA3205">
      <w:pPr>
        <w:tabs>
          <w:tab w:val="clear" w:pos="567"/>
        </w:tabs>
        <w:spacing w:line="240" w:lineRule="auto"/>
        <w:rPr>
          <w:color w:val="000000"/>
          <w:szCs w:val="22"/>
          <w:lang w:val="et-EE"/>
        </w:rPr>
      </w:pPr>
    </w:p>
    <w:p w14:paraId="18C0AA5F" w14:textId="77777777" w:rsidR="00DA3205" w:rsidRPr="00EC3BD7" w:rsidRDefault="00DA3205" w:rsidP="00DA3205">
      <w:pPr>
        <w:widowControl w:val="0"/>
        <w:tabs>
          <w:tab w:val="clear" w:pos="567"/>
        </w:tabs>
        <w:spacing w:line="240" w:lineRule="auto"/>
        <w:rPr>
          <w:color w:val="000000"/>
          <w:szCs w:val="22"/>
          <w:lang w:val="et-EE"/>
        </w:rPr>
      </w:pPr>
      <w:r w:rsidRPr="00EC3BD7">
        <w:rPr>
          <w:color w:val="000000"/>
          <w:szCs w:val="22"/>
          <w:lang w:val="et-EE"/>
        </w:rPr>
        <w:t>Novartis Europharm Limited</w:t>
      </w:r>
    </w:p>
    <w:p w14:paraId="3254C88B" w14:textId="77777777" w:rsidR="00DA3205" w:rsidRPr="00EC3BD7" w:rsidRDefault="00DA3205" w:rsidP="00DA3205">
      <w:pPr>
        <w:tabs>
          <w:tab w:val="clear" w:pos="567"/>
        </w:tabs>
        <w:spacing w:line="240" w:lineRule="auto"/>
        <w:rPr>
          <w:color w:val="000000"/>
          <w:szCs w:val="22"/>
          <w:lang w:val="et-EE"/>
        </w:rPr>
      </w:pPr>
    </w:p>
    <w:p w14:paraId="799E41A7" w14:textId="77777777" w:rsidR="00DA3205" w:rsidRPr="00EC3BD7" w:rsidRDefault="00DA3205" w:rsidP="00DA3205">
      <w:pPr>
        <w:tabs>
          <w:tab w:val="clear" w:pos="567"/>
        </w:tabs>
        <w:spacing w:line="240" w:lineRule="auto"/>
        <w:rPr>
          <w:color w:val="000000"/>
          <w:szCs w:val="22"/>
          <w:lang w:val="et-EE"/>
        </w:rPr>
      </w:pPr>
    </w:p>
    <w:p w14:paraId="4749969C"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3.</w:t>
      </w:r>
      <w:r w:rsidRPr="00EC3BD7">
        <w:rPr>
          <w:b/>
          <w:color w:val="000000"/>
          <w:szCs w:val="22"/>
          <w:lang w:val="et-EE"/>
        </w:rPr>
        <w:tab/>
        <w:t>KÕLBLIKKUSAEG</w:t>
      </w:r>
    </w:p>
    <w:p w14:paraId="6D23AAB9" w14:textId="77777777" w:rsidR="00DA3205" w:rsidRPr="00EC3BD7" w:rsidRDefault="00DA3205" w:rsidP="00DA3205">
      <w:pPr>
        <w:tabs>
          <w:tab w:val="clear" w:pos="567"/>
        </w:tabs>
        <w:spacing w:line="240" w:lineRule="auto"/>
        <w:rPr>
          <w:color w:val="000000"/>
          <w:szCs w:val="22"/>
          <w:lang w:val="et-EE"/>
        </w:rPr>
      </w:pPr>
    </w:p>
    <w:p w14:paraId="0C596310" w14:textId="77777777" w:rsidR="00DA3205" w:rsidRPr="00EC3BD7" w:rsidRDefault="00DA3205" w:rsidP="00DA3205">
      <w:pPr>
        <w:tabs>
          <w:tab w:val="clear" w:pos="567"/>
        </w:tabs>
        <w:spacing w:line="240" w:lineRule="auto"/>
        <w:rPr>
          <w:color w:val="000000"/>
          <w:szCs w:val="22"/>
          <w:lang w:val="et-EE"/>
        </w:rPr>
      </w:pPr>
      <w:r w:rsidRPr="00EC3BD7">
        <w:rPr>
          <w:color w:val="000000"/>
          <w:szCs w:val="22"/>
          <w:lang w:val="et-EE"/>
        </w:rPr>
        <w:t>EXP</w:t>
      </w:r>
    </w:p>
    <w:p w14:paraId="5C3A06FF" w14:textId="77777777" w:rsidR="00DA3205" w:rsidRPr="00EC3BD7" w:rsidRDefault="00DA3205" w:rsidP="00DA3205">
      <w:pPr>
        <w:tabs>
          <w:tab w:val="clear" w:pos="567"/>
        </w:tabs>
        <w:spacing w:line="240" w:lineRule="auto"/>
        <w:rPr>
          <w:color w:val="000000"/>
          <w:szCs w:val="22"/>
          <w:lang w:val="et-EE"/>
        </w:rPr>
      </w:pPr>
    </w:p>
    <w:p w14:paraId="392B4898" w14:textId="77777777" w:rsidR="00DA3205" w:rsidRPr="00EC3BD7" w:rsidRDefault="00DA3205" w:rsidP="00DA3205">
      <w:pPr>
        <w:tabs>
          <w:tab w:val="clear" w:pos="567"/>
        </w:tabs>
        <w:spacing w:line="240" w:lineRule="auto"/>
        <w:rPr>
          <w:color w:val="000000"/>
          <w:szCs w:val="22"/>
          <w:lang w:val="et-EE"/>
        </w:rPr>
      </w:pPr>
    </w:p>
    <w:p w14:paraId="4C8CAE88"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4.</w:t>
      </w:r>
      <w:r w:rsidRPr="00EC3BD7">
        <w:rPr>
          <w:b/>
          <w:color w:val="000000"/>
          <w:szCs w:val="22"/>
          <w:lang w:val="et-EE"/>
        </w:rPr>
        <w:tab/>
        <w:t>PARTII NUMBER</w:t>
      </w:r>
    </w:p>
    <w:p w14:paraId="4C1083E7" w14:textId="77777777" w:rsidR="00DA3205" w:rsidRPr="00EC3BD7" w:rsidRDefault="00DA3205" w:rsidP="00DA3205">
      <w:pPr>
        <w:tabs>
          <w:tab w:val="clear" w:pos="567"/>
        </w:tabs>
        <w:spacing w:line="240" w:lineRule="auto"/>
        <w:rPr>
          <w:color w:val="000000"/>
          <w:szCs w:val="22"/>
          <w:lang w:val="et-EE"/>
        </w:rPr>
      </w:pPr>
    </w:p>
    <w:p w14:paraId="30A10F5C" w14:textId="77777777" w:rsidR="00DA3205" w:rsidRPr="00EC3BD7" w:rsidRDefault="00DA3205" w:rsidP="00DA3205">
      <w:pPr>
        <w:tabs>
          <w:tab w:val="clear" w:pos="567"/>
        </w:tabs>
        <w:spacing w:line="240" w:lineRule="auto"/>
        <w:rPr>
          <w:color w:val="000000"/>
          <w:szCs w:val="22"/>
          <w:lang w:val="et-EE"/>
        </w:rPr>
      </w:pPr>
      <w:r w:rsidRPr="00EC3BD7">
        <w:rPr>
          <w:color w:val="000000"/>
          <w:szCs w:val="22"/>
          <w:lang w:val="et-EE"/>
        </w:rPr>
        <w:t>Lot</w:t>
      </w:r>
    </w:p>
    <w:p w14:paraId="2DD6F91D" w14:textId="77777777" w:rsidR="00DA3205" w:rsidRPr="00EC3BD7" w:rsidRDefault="00DA3205" w:rsidP="00DA3205">
      <w:pPr>
        <w:tabs>
          <w:tab w:val="clear" w:pos="567"/>
        </w:tabs>
        <w:spacing w:line="240" w:lineRule="auto"/>
        <w:rPr>
          <w:color w:val="000000"/>
          <w:szCs w:val="22"/>
          <w:lang w:val="et-EE"/>
        </w:rPr>
      </w:pPr>
    </w:p>
    <w:p w14:paraId="2B1FAC52" w14:textId="77777777" w:rsidR="00DA3205" w:rsidRPr="00EC3BD7" w:rsidRDefault="00DA3205" w:rsidP="00DA3205">
      <w:pPr>
        <w:tabs>
          <w:tab w:val="clear" w:pos="567"/>
        </w:tabs>
        <w:spacing w:line="240" w:lineRule="auto"/>
        <w:rPr>
          <w:color w:val="000000"/>
          <w:szCs w:val="22"/>
          <w:lang w:val="et-EE"/>
        </w:rPr>
      </w:pPr>
    </w:p>
    <w:p w14:paraId="79229702" w14:textId="77777777" w:rsidR="00DA3205" w:rsidRPr="00EC3BD7" w:rsidRDefault="00DA3205" w:rsidP="00DA3205">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et-EE"/>
        </w:rPr>
      </w:pPr>
      <w:r w:rsidRPr="00EC3BD7">
        <w:rPr>
          <w:b/>
          <w:color w:val="000000"/>
          <w:szCs w:val="22"/>
          <w:lang w:val="et-EE"/>
        </w:rPr>
        <w:t>5.</w:t>
      </w:r>
      <w:r w:rsidRPr="00EC3BD7">
        <w:rPr>
          <w:b/>
          <w:color w:val="000000"/>
          <w:szCs w:val="22"/>
          <w:lang w:val="et-EE"/>
        </w:rPr>
        <w:tab/>
        <w:t>MUU</w:t>
      </w:r>
    </w:p>
    <w:p w14:paraId="3F082408" w14:textId="77777777" w:rsidR="00DA3205" w:rsidRPr="00EC3BD7" w:rsidRDefault="00DA3205" w:rsidP="00DA3205">
      <w:pPr>
        <w:tabs>
          <w:tab w:val="clear" w:pos="567"/>
        </w:tabs>
        <w:spacing w:line="240" w:lineRule="auto"/>
        <w:rPr>
          <w:color w:val="000000"/>
          <w:szCs w:val="22"/>
          <w:lang w:val="et-EE"/>
        </w:rPr>
      </w:pPr>
    </w:p>
    <w:p w14:paraId="365B2DEF" w14:textId="77777777" w:rsidR="00DA3205" w:rsidRPr="00EC3BD7" w:rsidRDefault="00DA3205" w:rsidP="00DA3205">
      <w:pPr>
        <w:tabs>
          <w:tab w:val="clear" w:pos="567"/>
        </w:tabs>
        <w:spacing w:line="240" w:lineRule="auto"/>
        <w:rPr>
          <w:color w:val="000000"/>
          <w:szCs w:val="22"/>
          <w:lang w:val="et-EE"/>
        </w:rPr>
      </w:pPr>
      <w:r w:rsidRPr="00EC3BD7">
        <w:rPr>
          <w:b/>
          <w:color w:val="000000"/>
          <w:szCs w:val="22"/>
          <w:lang w:val="et-EE"/>
        </w:rPr>
        <w:br w:type="page"/>
      </w:r>
    </w:p>
    <w:p w14:paraId="62FDFA4C" w14:textId="77777777" w:rsidR="00DA3205" w:rsidRPr="00EC3BD7" w:rsidRDefault="00DA3205" w:rsidP="00DA3205">
      <w:pPr>
        <w:tabs>
          <w:tab w:val="clear" w:pos="567"/>
        </w:tabs>
        <w:spacing w:line="240" w:lineRule="auto"/>
        <w:rPr>
          <w:color w:val="000000"/>
          <w:szCs w:val="22"/>
          <w:lang w:val="et-EE"/>
        </w:rPr>
      </w:pPr>
    </w:p>
    <w:p w14:paraId="44781298" w14:textId="77777777" w:rsidR="00DA3205" w:rsidRPr="00EC3BD7" w:rsidRDefault="00DA3205" w:rsidP="00DA3205">
      <w:pPr>
        <w:widowControl w:val="0"/>
        <w:tabs>
          <w:tab w:val="clear" w:pos="567"/>
        </w:tabs>
        <w:spacing w:line="240" w:lineRule="auto"/>
        <w:rPr>
          <w:color w:val="000000"/>
          <w:szCs w:val="22"/>
          <w:lang w:val="et-EE"/>
        </w:rPr>
      </w:pPr>
    </w:p>
    <w:p w14:paraId="4D6E3B04" w14:textId="77777777" w:rsidR="00DA3205" w:rsidRPr="00EC3BD7" w:rsidRDefault="00DA3205" w:rsidP="00DA3205">
      <w:pPr>
        <w:pStyle w:val="EndnoteText"/>
        <w:widowControl w:val="0"/>
        <w:tabs>
          <w:tab w:val="clear" w:pos="567"/>
        </w:tabs>
        <w:rPr>
          <w:color w:val="000000"/>
          <w:szCs w:val="22"/>
          <w:lang w:val="et-EE"/>
        </w:rPr>
      </w:pPr>
    </w:p>
    <w:p w14:paraId="18DAF494" w14:textId="77777777" w:rsidR="00DA3205" w:rsidRPr="00EC3BD7" w:rsidRDefault="00DA3205" w:rsidP="00DA3205">
      <w:pPr>
        <w:widowControl w:val="0"/>
        <w:tabs>
          <w:tab w:val="clear" w:pos="567"/>
        </w:tabs>
        <w:spacing w:line="240" w:lineRule="auto"/>
        <w:rPr>
          <w:color w:val="000000"/>
          <w:szCs w:val="22"/>
          <w:lang w:val="et-EE"/>
        </w:rPr>
      </w:pPr>
    </w:p>
    <w:p w14:paraId="22E5895D" w14:textId="77777777" w:rsidR="00DA3205" w:rsidRPr="00EC3BD7" w:rsidRDefault="00DA3205" w:rsidP="00DA3205">
      <w:pPr>
        <w:widowControl w:val="0"/>
        <w:tabs>
          <w:tab w:val="clear" w:pos="567"/>
        </w:tabs>
        <w:spacing w:line="240" w:lineRule="auto"/>
        <w:rPr>
          <w:color w:val="000000"/>
          <w:szCs w:val="22"/>
          <w:lang w:val="et-EE"/>
        </w:rPr>
      </w:pPr>
    </w:p>
    <w:p w14:paraId="5AD38615" w14:textId="77777777" w:rsidR="00DA3205" w:rsidRPr="00EC3BD7" w:rsidRDefault="00DA3205" w:rsidP="00DA3205">
      <w:pPr>
        <w:widowControl w:val="0"/>
        <w:tabs>
          <w:tab w:val="clear" w:pos="567"/>
        </w:tabs>
        <w:spacing w:line="240" w:lineRule="auto"/>
        <w:rPr>
          <w:color w:val="000000"/>
          <w:szCs w:val="22"/>
          <w:lang w:val="et-EE"/>
        </w:rPr>
      </w:pPr>
    </w:p>
    <w:p w14:paraId="7FCBB089" w14:textId="77777777" w:rsidR="00DA3205" w:rsidRPr="00EC3BD7" w:rsidRDefault="00DA3205" w:rsidP="00DA3205">
      <w:pPr>
        <w:widowControl w:val="0"/>
        <w:tabs>
          <w:tab w:val="clear" w:pos="567"/>
        </w:tabs>
        <w:spacing w:line="240" w:lineRule="auto"/>
        <w:rPr>
          <w:color w:val="000000"/>
          <w:szCs w:val="22"/>
          <w:lang w:val="et-EE"/>
        </w:rPr>
      </w:pPr>
    </w:p>
    <w:p w14:paraId="444080F7" w14:textId="77777777" w:rsidR="00DA3205" w:rsidRPr="00EC3BD7" w:rsidRDefault="00DA3205" w:rsidP="00DA3205">
      <w:pPr>
        <w:widowControl w:val="0"/>
        <w:tabs>
          <w:tab w:val="clear" w:pos="567"/>
        </w:tabs>
        <w:spacing w:line="240" w:lineRule="auto"/>
        <w:rPr>
          <w:color w:val="000000"/>
          <w:szCs w:val="22"/>
          <w:lang w:val="et-EE"/>
        </w:rPr>
      </w:pPr>
    </w:p>
    <w:p w14:paraId="79A04DAE" w14:textId="77777777" w:rsidR="00DA3205" w:rsidRPr="00EC3BD7" w:rsidRDefault="00DA3205" w:rsidP="00DA3205">
      <w:pPr>
        <w:widowControl w:val="0"/>
        <w:tabs>
          <w:tab w:val="clear" w:pos="567"/>
        </w:tabs>
        <w:spacing w:line="240" w:lineRule="auto"/>
        <w:rPr>
          <w:color w:val="000000"/>
          <w:szCs w:val="22"/>
          <w:lang w:val="et-EE"/>
        </w:rPr>
      </w:pPr>
    </w:p>
    <w:p w14:paraId="15D11722" w14:textId="77777777" w:rsidR="00DA3205" w:rsidRPr="00EC3BD7" w:rsidRDefault="00DA3205" w:rsidP="00DA3205">
      <w:pPr>
        <w:widowControl w:val="0"/>
        <w:tabs>
          <w:tab w:val="clear" w:pos="567"/>
        </w:tabs>
        <w:spacing w:line="240" w:lineRule="auto"/>
        <w:rPr>
          <w:color w:val="000000"/>
          <w:szCs w:val="22"/>
          <w:lang w:val="et-EE"/>
        </w:rPr>
      </w:pPr>
    </w:p>
    <w:p w14:paraId="11711DD7" w14:textId="77777777" w:rsidR="00DA3205" w:rsidRPr="00EC3BD7" w:rsidRDefault="00DA3205" w:rsidP="00DA3205">
      <w:pPr>
        <w:widowControl w:val="0"/>
        <w:tabs>
          <w:tab w:val="clear" w:pos="567"/>
        </w:tabs>
        <w:spacing w:line="240" w:lineRule="auto"/>
        <w:rPr>
          <w:color w:val="000000"/>
          <w:szCs w:val="22"/>
          <w:lang w:val="et-EE"/>
        </w:rPr>
      </w:pPr>
    </w:p>
    <w:p w14:paraId="3B927435" w14:textId="77777777" w:rsidR="00DA3205" w:rsidRPr="00EC3BD7" w:rsidRDefault="00DA3205" w:rsidP="00DA3205">
      <w:pPr>
        <w:widowControl w:val="0"/>
        <w:tabs>
          <w:tab w:val="clear" w:pos="567"/>
        </w:tabs>
        <w:spacing w:line="240" w:lineRule="auto"/>
        <w:rPr>
          <w:color w:val="000000"/>
          <w:szCs w:val="22"/>
          <w:lang w:val="et-EE"/>
        </w:rPr>
      </w:pPr>
    </w:p>
    <w:p w14:paraId="7C80EA72" w14:textId="77777777" w:rsidR="00DA3205" w:rsidRPr="00EC3BD7" w:rsidRDefault="00DA3205" w:rsidP="00DA3205">
      <w:pPr>
        <w:widowControl w:val="0"/>
        <w:tabs>
          <w:tab w:val="clear" w:pos="567"/>
        </w:tabs>
        <w:spacing w:line="240" w:lineRule="auto"/>
        <w:rPr>
          <w:color w:val="000000"/>
          <w:szCs w:val="22"/>
          <w:lang w:val="et-EE"/>
        </w:rPr>
      </w:pPr>
    </w:p>
    <w:p w14:paraId="78AF0568" w14:textId="77777777" w:rsidR="00DA3205" w:rsidRPr="00EC3BD7" w:rsidRDefault="00DA3205" w:rsidP="00DA3205">
      <w:pPr>
        <w:widowControl w:val="0"/>
        <w:tabs>
          <w:tab w:val="clear" w:pos="567"/>
        </w:tabs>
        <w:spacing w:line="240" w:lineRule="auto"/>
        <w:rPr>
          <w:color w:val="000000"/>
          <w:szCs w:val="22"/>
          <w:lang w:val="et-EE"/>
        </w:rPr>
      </w:pPr>
    </w:p>
    <w:p w14:paraId="6D6F597E" w14:textId="77777777" w:rsidR="00DA3205" w:rsidRPr="00EC3BD7" w:rsidRDefault="00DA3205" w:rsidP="00DA3205">
      <w:pPr>
        <w:widowControl w:val="0"/>
        <w:tabs>
          <w:tab w:val="clear" w:pos="567"/>
        </w:tabs>
        <w:spacing w:line="240" w:lineRule="auto"/>
        <w:rPr>
          <w:color w:val="000000"/>
          <w:szCs w:val="22"/>
          <w:lang w:val="et-EE"/>
        </w:rPr>
      </w:pPr>
    </w:p>
    <w:p w14:paraId="63C93A92" w14:textId="77777777" w:rsidR="00DA3205" w:rsidRPr="00EC3BD7" w:rsidRDefault="00DA3205" w:rsidP="00DA3205">
      <w:pPr>
        <w:widowControl w:val="0"/>
        <w:tabs>
          <w:tab w:val="clear" w:pos="567"/>
        </w:tabs>
        <w:spacing w:line="240" w:lineRule="auto"/>
        <w:rPr>
          <w:color w:val="000000"/>
          <w:szCs w:val="22"/>
          <w:lang w:val="et-EE"/>
        </w:rPr>
      </w:pPr>
    </w:p>
    <w:p w14:paraId="39D8E05C" w14:textId="77777777" w:rsidR="00DA3205" w:rsidRPr="00EC3BD7" w:rsidRDefault="00DA3205" w:rsidP="00DA3205">
      <w:pPr>
        <w:widowControl w:val="0"/>
        <w:tabs>
          <w:tab w:val="clear" w:pos="567"/>
        </w:tabs>
        <w:spacing w:line="240" w:lineRule="auto"/>
        <w:rPr>
          <w:color w:val="000000"/>
          <w:szCs w:val="22"/>
          <w:lang w:val="et-EE"/>
        </w:rPr>
      </w:pPr>
    </w:p>
    <w:p w14:paraId="502403C9" w14:textId="77777777" w:rsidR="00DA3205" w:rsidRPr="00EC3BD7" w:rsidRDefault="00DA3205" w:rsidP="00DA3205">
      <w:pPr>
        <w:widowControl w:val="0"/>
        <w:tabs>
          <w:tab w:val="clear" w:pos="567"/>
        </w:tabs>
        <w:spacing w:line="240" w:lineRule="auto"/>
        <w:rPr>
          <w:color w:val="000000"/>
          <w:szCs w:val="22"/>
          <w:lang w:val="et-EE"/>
        </w:rPr>
      </w:pPr>
    </w:p>
    <w:p w14:paraId="10B2121C" w14:textId="77777777" w:rsidR="00DA3205" w:rsidRPr="00EC3BD7" w:rsidRDefault="00DA3205" w:rsidP="00DA3205">
      <w:pPr>
        <w:widowControl w:val="0"/>
        <w:tabs>
          <w:tab w:val="clear" w:pos="567"/>
        </w:tabs>
        <w:spacing w:line="240" w:lineRule="auto"/>
        <w:rPr>
          <w:color w:val="000000"/>
          <w:szCs w:val="22"/>
          <w:lang w:val="et-EE"/>
        </w:rPr>
      </w:pPr>
    </w:p>
    <w:p w14:paraId="1A6D78B7" w14:textId="77777777" w:rsidR="00DA3205" w:rsidRPr="00EC3BD7" w:rsidRDefault="00DA3205" w:rsidP="00DA3205">
      <w:pPr>
        <w:widowControl w:val="0"/>
        <w:tabs>
          <w:tab w:val="clear" w:pos="567"/>
        </w:tabs>
        <w:spacing w:line="240" w:lineRule="auto"/>
        <w:rPr>
          <w:color w:val="000000"/>
          <w:szCs w:val="22"/>
          <w:lang w:val="et-EE"/>
        </w:rPr>
      </w:pPr>
    </w:p>
    <w:p w14:paraId="74BCD553" w14:textId="77777777" w:rsidR="00DA3205" w:rsidRPr="00EC3BD7" w:rsidRDefault="00DA3205" w:rsidP="00DA3205">
      <w:pPr>
        <w:widowControl w:val="0"/>
        <w:tabs>
          <w:tab w:val="clear" w:pos="567"/>
        </w:tabs>
        <w:spacing w:line="240" w:lineRule="auto"/>
        <w:rPr>
          <w:color w:val="000000"/>
          <w:szCs w:val="22"/>
          <w:lang w:val="et-EE"/>
        </w:rPr>
      </w:pPr>
    </w:p>
    <w:p w14:paraId="0B50D0FC" w14:textId="77777777" w:rsidR="00DA3205" w:rsidRPr="00EC3BD7" w:rsidRDefault="00DA3205" w:rsidP="00DA3205">
      <w:pPr>
        <w:widowControl w:val="0"/>
        <w:tabs>
          <w:tab w:val="clear" w:pos="567"/>
        </w:tabs>
        <w:spacing w:line="240" w:lineRule="auto"/>
        <w:rPr>
          <w:color w:val="000000"/>
          <w:szCs w:val="22"/>
          <w:lang w:val="et-EE"/>
        </w:rPr>
      </w:pPr>
    </w:p>
    <w:p w14:paraId="366E0287" w14:textId="77777777" w:rsidR="009A3C30" w:rsidRPr="00EC3BD7" w:rsidRDefault="009A3C30" w:rsidP="00DA3205">
      <w:pPr>
        <w:widowControl w:val="0"/>
        <w:tabs>
          <w:tab w:val="clear" w:pos="567"/>
        </w:tabs>
        <w:spacing w:line="240" w:lineRule="auto"/>
        <w:rPr>
          <w:color w:val="000000"/>
          <w:szCs w:val="22"/>
          <w:lang w:val="et-EE"/>
        </w:rPr>
      </w:pPr>
    </w:p>
    <w:p w14:paraId="3563CA9D" w14:textId="77777777" w:rsidR="00DA3205" w:rsidRPr="00EC3BD7" w:rsidRDefault="00DA3205" w:rsidP="00DA3205">
      <w:pPr>
        <w:tabs>
          <w:tab w:val="clear" w:pos="567"/>
        </w:tabs>
        <w:spacing w:line="240" w:lineRule="auto"/>
        <w:jc w:val="center"/>
        <w:rPr>
          <w:color w:val="000000"/>
          <w:szCs w:val="22"/>
          <w:lang w:val="et-EE"/>
        </w:rPr>
      </w:pPr>
      <w:r w:rsidRPr="00EC3BD7">
        <w:rPr>
          <w:b/>
          <w:color w:val="000000"/>
          <w:szCs w:val="22"/>
          <w:lang w:val="et-EE"/>
        </w:rPr>
        <w:t>B. PAKENDI INFOLEHT</w:t>
      </w:r>
    </w:p>
    <w:p w14:paraId="350906FA" w14:textId="77777777" w:rsidR="00DA3205" w:rsidRPr="00EC3BD7" w:rsidRDefault="00DA3205" w:rsidP="00DA3205">
      <w:pPr>
        <w:tabs>
          <w:tab w:val="clear" w:pos="567"/>
        </w:tabs>
        <w:spacing w:line="240" w:lineRule="auto"/>
        <w:jc w:val="center"/>
        <w:rPr>
          <w:b/>
          <w:color w:val="000000"/>
          <w:szCs w:val="22"/>
          <w:lang w:val="et-EE"/>
        </w:rPr>
      </w:pPr>
      <w:r w:rsidRPr="00EC3BD7">
        <w:rPr>
          <w:color w:val="000000"/>
          <w:szCs w:val="22"/>
          <w:lang w:val="et-EE"/>
        </w:rPr>
        <w:br w:type="page"/>
      </w:r>
      <w:r w:rsidR="00C4231E" w:rsidRPr="00EC3BD7">
        <w:rPr>
          <w:b/>
          <w:lang w:val="et-EE"/>
        </w:rPr>
        <w:lastRenderedPageBreak/>
        <w:t>Pakendi infoleht: teave kasutajale</w:t>
      </w:r>
    </w:p>
    <w:p w14:paraId="365D8627" w14:textId="77777777" w:rsidR="00DA3205" w:rsidRPr="00EC3BD7" w:rsidRDefault="00DA3205" w:rsidP="00DA3205">
      <w:pPr>
        <w:tabs>
          <w:tab w:val="clear" w:pos="567"/>
        </w:tabs>
        <w:spacing w:line="240" w:lineRule="auto"/>
        <w:jc w:val="center"/>
        <w:rPr>
          <w:color w:val="000000"/>
          <w:szCs w:val="22"/>
          <w:lang w:val="et-EE"/>
        </w:rPr>
      </w:pPr>
    </w:p>
    <w:p w14:paraId="3CF05E22" w14:textId="77777777" w:rsidR="00DA3205" w:rsidRPr="00EC3BD7" w:rsidRDefault="00DA3205" w:rsidP="00DA3205">
      <w:pPr>
        <w:tabs>
          <w:tab w:val="clear" w:pos="567"/>
        </w:tabs>
        <w:spacing w:line="240" w:lineRule="auto"/>
        <w:jc w:val="center"/>
        <w:rPr>
          <w:b/>
          <w:color w:val="000000"/>
          <w:szCs w:val="22"/>
          <w:lang w:val="et-EE"/>
        </w:rPr>
      </w:pPr>
      <w:r w:rsidRPr="00EC3BD7">
        <w:rPr>
          <w:b/>
          <w:color w:val="000000"/>
          <w:szCs w:val="22"/>
          <w:lang w:val="et-EE"/>
        </w:rPr>
        <w:t>Glivec 100 mg kõvakapslid</w:t>
      </w:r>
    </w:p>
    <w:p w14:paraId="6C5821A1" w14:textId="77777777" w:rsidR="00DA3205" w:rsidRPr="00EC3BD7" w:rsidRDefault="00B2520A" w:rsidP="00DA3205">
      <w:pPr>
        <w:tabs>
          <w:tab w:val="clear" w:pos="567"/>
        </w:tabs>
        <w:spacing w:line="240" w:lineRule="auto"/>
        <w:jc w:val="center"/>
        <w:rPr>
          <w:color w:val="000000"/>
          <w:szCs w:val="22"/>
          <w:lang w:val="et-EE"/>
        </w:rPr>
      </w:pPr>
      <w:r w:rsidRPr="00EC3BD7">
        <w:rPr>
          <w:color w:val="000000"/>
          <w:szCs w:val="22"/>
          <w:lang w:val="et-EE"/>
        </w:rPr>
        <w:t>i</w:t>
      </w:r>
      <w:r w:rsidR="00DA3205" w:rsidRPr="00EC3BD7">
        <w:rPr>
          <w:color w:val="000000"/>
          <w:szCs w:val="22"/>
          <w:lang w:val="et-EE"/>
        </w:rPr>
        <w:t>matiniib</w:t>
      </w:r>
      <w:r w:rsidR="00BB045E" w:rsidRPr="00EC3BD7">
        <w:rPr>
          <w:color w:val="000000"/>
          <w:szCs w:val="22"/>
          <w:lang w:val="et-EE"/>
        </w:rPr>
        <w:t xml:space="preserve"> (</w:t>
      </w:r>
      <w:r w:rsidRPr="00EC3BD7">
        <w:rPr>
          <w:i/>
          <w:color w:val="000000"/>
          <w:szCs w:val="22"/>
          <w:lang w:val="et-EE"/>
        </w:rPr>
        <w:t>i</w:t>
      </w:r>
      <w:r w:rsidR="00BB045E" w:rsidRPr="00EC3BD7">
        <w:rPr>
          <w:i/>
          <w:color w:val="000000"/>
          <w:szCs w:val="22"/>
          <w:lang w:val="et-EE"/>
        </w:rPr>
        <w:t>matinibum</w:t>
      </w:r>
      <w:r w:rsidR="00BB045E" w:rsidRPr="00EC3BD7">
        <w:rPr>
          <w:color w:val="000000"/>
          <w:szCs w:val="22"/>
          <w:lang w:val="et-EE"/>
        </w:rPr>
        <w:t>)</w:t>
      </w:r>
    </w:p>
    <w:p w14:paraId="0C0F112E" w14:textId="77777777" w:rsidR="00DA3205" w:rsidRPr="00EC3BD7" w:rsidRDefault="00DA3205" w:rsidP="009C30AC">
      <w:pPr>
        <w:tabs>
          <w:tab w:val="clear" w:pos="567"/>
        </w:tabs>
        <w:spacing w:line="240" w:lineRule="auto"/>
        <w:rPr>
          <w:color w:val="000000"/>
          <w:szCs w:val="22"/>
          <w:lang w:val="et-EE"/>
        </w:rPr>
      </w:pPr>
    </w:p>
    <w:p w14:paraId="3912D692" w14:textId="77777777" w:rsidR="00835F6C" w:rsidRPr="00EC3BD7" w:rsidRDefault="00602C2E" w:rsidP="00835F6C">
      <w:pPr>
        <w:tabs>
          <w:tab w:val="clear" w:pos="567"/>
        </w:tabs>
        <w:suppressAutoHyphens/>
        <w:spacing w:line="240" w:lineRule="auto"/>
        <w:rPr>
          <w:szCs w:val="24"/>
          <w:lang w:val="et-EE"/>
        </w:rPr>
      </w:pPr>
      <w:r w:rsidRPr="00EC3BD7">
        <w:rPr>
          <w:noProof/>
          <w:lang w:val="en-US"/>
        </w:rPr>
        <w:drawing>
          <wp:inline distT="0" distB="0" distL="0" distR="0" wp14:anchorId="681AE526" wp14:editId="6AD5D631">
            <wp:extent cx="198755" cy="174625"/>
            <wp:effectExtent l="0" t="0" r="0" b="0"/>
            <wp:docPr id="8"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835F6C" w:rsidRPr="00EC3BD7">
        <w:rPr>
          <w:szCs w:val="24"/>
          <w:lang w:val="et-EE"/>
        </w:rPr>
        <w:t>Käesoleva ravimi suhtes kohaldatakse täiendavat järelevalvet, mis võimaldab kiiresti tuvastada uut ohutusteavet. Te saate sellele kaasa aidata, teavitades ravimi kõigist võimalikest kõrvaltoimetest. Kõrvaltoimetest teavitamise kohta vt lõik 4.</w:t>
      </w:r>
    </w:p>
    <w:p w14:paraId="22BE761C" w14:textId="77777777" w:rsidR="00DA3205" w:rsidRPr="00EC3BD7" w:rsidRDefault="00DA3205" w:rsidP="009C30AC">
      <w:pPr>
        <w:tabs>
          <w:tab w:val="clear" w:pos="567"/>
        </w:tabs>
        <w:spacing w:line="240" w:lineRule="auto"/>
        <w:rPr>
          <w:color w:val="000000"/>
          <w:szCs w:val="22"/>
          <w:lang w:val="et-EE"/>
        </w:rPr>
      </w:pPr>
    </w:p>
    <w:p w14:paraId="7FC5C631" w14:textId="77777777" w:rsidR="002E5EA0" w:rsidRPr="00EC3BD7" w:rsidRDefault="002E5EA0" w:rsidP="002E5EA0">
      <w:pPr>
        <w:tabs>
          <w:tab w:val="clear" w:pos="567"/>
        </w:tabs>
        <w:spacing w:line="240" w:lineRule="auto"/>
        <w:ind w:right="-2"/>
        <w:rPr>
          <w:b/>
          <w:bCs/>
          <w:color w:val="000000"/>
          <w:szCs w:val="22"/>
          <w:lang w:val="et-EE"/>
        </w:rPr>
      </w:pPr>
      <w:r w:rsidRPr="00EC3BD7">
        <w:rPr>
          <w:b/>
          <w:bCs/>
          <w:color w:val="000000"/>
          <w:szCs w:val="22"/>
          <w:lang w:val="et-EE"/>
        </w:rPr>
        <w:t>Enne ravimi kasutamist lugege hoolikalt infolehte, sest siin on teile vajalikku teavet.</w:t>
      </w:r>
    </w:p>
    <w:p w14:paraId="61514494" w14:textId="77777777" w:rsidR="002E5EA0" w:rsidRPr="00EC3BD7" w:rsidRDefault="002E5EA0" w:rsidP="002E5EA0">
      <w:pPr>
        <w:numPr>
          <w:ilvl w:val="0"/>
          <w:numId w:val="1"/>
        </w:numPr>
        <w:tabs>
          <w:tab w:val="clear" w:pos="567"/>
        </w:tabs>
        <w:spacing w:line="240" w:lineRule="auto"/>
        <w:ind w:left="567" w:right="-2" w:hanging="567"/>
        <w:rPr>
          <w:color w:val="000000"/>
          <w:szCs w:val="22"/>
          <w:lang w:val="et-EE"/>
        </w:rPr>
      </w:pPr>
      <w:r w:rsidRPr="00EC3BD7">
        <w:rPr>
          <w:color w:val="000000"/>
          <w:szCs w:val="22"/>
          <w:lang w:val="et-EE"/>
        </w:rPr>
        <w:t>Hoidke infoleht alles, et seda vajadusel uuesti lugeda.</w:t>
      </w:r>
    </w:p>
    <w:p w14:paraId="05C0C87F" w14:textId="77777777" w:rsidR="002E5EA0" w:rsidRPr="00EC3BD7" w:rsidRDefault="002E5EA0" w:rsidP="002E5EA0">
      <w:pPr>
        <w:numPr>
          <w:ilvl w:val="0"/>
          <w:numId w:val="1"/>
        </w:numPr>
        <w:tabs>
          <w:tab w:val="clear" w:pos="567"/>
        </w:tabs>
        <w:spacing w:line="240" w:lineRule="auto"/>
        <w:ind w:left="567" w:right="-2" w:hanging="567"/>
        <w:rPr>
          <w:color w:val="000000"/>
          <w:szCs w:val="22"/>
          <w:lang w:val="et-EE"/>
        </w:rPr>
      </w:pPr>
      <w:r w:rsidRPr="00EC3BD7">
        <w:rPr>
          <w:color w:val="000000"/>
          <w:szCs w:val="22"/>
          <w:lang w:val="et-EE"/>
        </w:rPr>
        <w:t>Kui teil on lisaküsimusi, pidage nõu oma arsti, apteekri või meditsiiniõega.</w:t>
      </w:r>
    </w:p>
    <w:p w14:paraId="4FD864BC" w14:textId="77777777" w:rsidR="002E5EA0" w:rsidRPr="00EC3BD7" w:rsidRDefault="002E5EA0" w:rsidP="002E5EA0">
      <w:pPr>
        <w:numPr>
          <w:ilvl w:val="0"/>
          <w:numId w:val="1"/>
        </w:numPr>
        <w:tabs>
          <w:tab w:val="clear" w:pos="567"/>
        </w:tabs>
        <w:spacing w:line="240" w:lineRule="auto"/>
        <w:ind w:left="567" w:right="-2" w:hanging="567"/>
        <w:rPr>
          <w:color w:val="000000"/>
          <w:szCs w:val="22"/>
          <w:lang w:val="et-EE"/>
        </w:rPr>
      </w:pPr>
      <w:r w:rsidRPr="00EC3BD7">
        <w:rPr>
          <w:color w:val="000000"/>
          <w:szCs w:val="22"/>
          <w:lang w:val="et-EE"/>
        </w:rPr>
        <w:t>Ravim on välja kirjutatud üksnes teile. Ärge andke seda kellelegi teisele. Ravim võib olla neile kahjulik, isegi kui haigusnähud on sarnased.</w:t>
      </w:r>
    </w:p>
    <w:p w14:paraId="3B9D6DC5" w14:textId="77777777" w:rsidR="002E5EA0" w:rsidRPr="00EC3BD7" w:rsidRDefault="002E5EA0" w:rsidP="002E5EA0">
      <w:pPr>
        <w:widowControl w:val="0"/>
        <w:numPr>
          <w:ilvl w:val="0"/>
          <w:numId w:val="1"/>
        </w:numPr>
        <w:tabs>
          <w:tab w:val="clear" w:pos="567"/>
        </w:tabs>
        <w:spacing w:line="240" w:lineRule="auto"/>
        <w:ind w:left="567" w:right="-2" w:hanging="567"/>
        <w:rPr>
          <w:color w:val="000000"/>
          <w:szCs w:val="22"/>
          <w:lang w:val="et-EE"/>
        </w:rPr>
      </w:pPr>
      <w:r w:rsidRPr="00EC3BD7">
        <w:rPr>
          <w:color w:val="000000"/>
          <w:szCs w:val="22"/>
          <w:lang w:val="et-EE"/>
        </w:rPr>
        <w:t>Kui teil tekib ükskõik milline kõrvaltoime pidage nõu oma arsti, apteekri või meditsiiniõega. Kõrvaltoime võib olla ka selline, mida selles infolehes ei ole nimetatud.</w:t>
      </w:r>
      <w:r w:rsidR="00997DCF" w:rsidRPr="00EC3BD7">
        <w:rPr>
          <w:color w:val="000000"/>
          <w:szCs w:val="22"/>
          <w:lang w:val="et-EE"/>
        </w:rPr>
        <w:t xml:space="preserve"> Vt lõik</w:t>
      </w:r>
      <w:r w:rsidR="00DD7407" w:rsidRPr="00EC3BD7">
        <w:rPr>
          <w:color w:val="000000"/>
          <w:szCs w:val="22"/>
          <w:lang w:val="et-EE"/>
        </w:rPr>
        <w:t> </w:t>
      </w:r>
      <w:r w:rsidR="00997DCF" w:rsidRPr="00EC3BD7">
        <w:rPr>
          <w:color w:val="000000"/>
          <w:szCs w:val="22"/>
          <w:lang w:val="et-EE"/>
        </w:rPr>
        <w:t>4.</w:t>
      </w:r>
    </w:p>
    <w:p w14:paraId="2188E081" w14:textId="77777777" w:rsidR="002E5EA0" w:rsidRPr="00EC3BD7" w:rsidRDefault="002E5EA0" w:rsidP="002E5EA0">
      <w:pPr>
        <w:widowControl w:val="0"/>
        <w:numPr>
          <w:ilvl w:val="12"/>
          <w:numId w:val="0"/>
        </w:numPr>
        <w:tabs>
          <w:tab w:val="clear" w:pos="567"/>
        </w:tabs>
        <w:spacing w:line="240" w:lineRule="auto"/>
        <w:ind w:right="-2"/>
        <w:rPr>
          <w:color w:val="000000"/>
          <w:szCs w:val="22"/>
          <w:lang w:val="et-EE"/>
        </w:rPr>
      </w:pPr>
    </w:p>
    <w:p w14:paraId="1B1988B6" w14:textId="77777777" w:rsidR="002E5EA0" w:rsidRPr="00EC3BD7" w:rsidRDefault="002E5EA0" w:rsidP="002E5EA0">
      <w:pPr>
        <w:widowControl w:val="0"/>
        <w:numPr>
          <w:ilvl w:val="12"/>
          <w:numId w:val="0"/>
        </w:numPr>
        <w:tabs>
          <w:tab w:val="clear" w:pos="567"/>
        </w:tabs>
        <w:spacing w:line="240" w:lineRule="auto"/>
        <w:ind w:right="-2"/>
        <w:rPr>
          <w:color w:val="000000"/>
          <w:szCs w:val="22"/>
          <w:lang w:val="et-EE"/>
        </w:rPr>
      </w:pPr>
    </w:p>
    <w:p w14:paraId="3D9E6B69" w14:textId="77777777" w:rsidR="002E5EA0" w:rsidRPr="00EC3BD7" w:rsidRDefault="002E5EA0" w:rsidP="00B9089D">
      <w:pPr>
        <w:keepNext/>
        <w:widowControl w:val="0"/>
        <w:numPr>
          <w:ilvl w:val="12"/>
          <w:numId w:val="0"/>
        </w:numPr>
        <w:tabs>
          <w:tab w:val="clear" w:pos="567"/>
        </w:tabs>
        <w:spacing w:line="240" w:lineRule="auto"/>
        <w:ind w:right="-2"/>
        <w:rPr>
          <w:color w:val="000000"/>
          <w:szCs w:val="22"/>
          <w:lang w:val="et-EE"/>
        </w:rPr>
      </w:pPr>
      <w:r w:rsidRPr="00EC3BD7">
        <w:rPr>
          <w:b/>
          <w:color w:val="000000"/>
          <w:szCs w:val="22"/>
          <w:lang w:val="et-EE"/>
        </w:rPr>
        <w:t>Infolehe sisukord</w:t>
      </w:r>
    </w:p>
    <w:p w14:paraId="018B64F4" w14:textId="77777777" w:rsidR="002E5EA0" w:rsidRPr="00EC3BD7" w:rsidRDefault="002E5EA0" w:rsidP="002E5EA0">
      <w:pPr>
        <w:tabs>
          <w:tab w:val="clear" w:pos="567"/>
        </w:tabs>
        <w:spacing w:line="240" w:lineRule="auto"/>
        <w:ind w:left="567" w:right="-29" w:hanging="567"/>
        <w:rPr>
          <w:color w:val="000000"/>
          <w:szCs w:val="22"/>
          <w:lang w:val="et-EE"/>
        </w:rPr>
      </w:pPr>
      <w:r w:rsidRPr="00EC3BD7">
        <w:rPr>
          <w:color w:val="000000"/>
          <w:szCs w:val="22"/>
          <w:lang w:val="et-EE"/>
        </w:rPr>
        <w:t>1.</w:t>
      </w:r>
      <w:r w:rsidRPr="00EC3BD7">
        <w:rPr>
          <w:color w:val="000000"/>
          <w:szCs w:val="22"/>
          <w:lang w:val="et-EE"/>
        </w:rPr>
        <w:tab/>
        <w:t>Mis ravim on Glivec ja milleks seda kasutatakse</w:t>
      </w:r>
    </w:p>
    <w:p w14:paraId="5BAC94E5" w14:textId="77777777" w:rsidR="002E5EA0" w:rsidRPr="00EC3BD7" w:rsidRDefault="002E5EA0" w:rsidP="002E5EA0">
      <w:pPr>
        <w:tabs>
          <w:tab w:val="clear" w:pos="567"/>
        </w:tabs>
        <w:spacing w:line="240" w:lineRule="auto"/>
        <w:ind w:left="567" w:right="-29" w:hanging="567"/>
        <w:rPr>
          <w:color w:val="000000"/>
          <w:szCs w:val="22"/>
          <w:lang w:val="et-EE"/>
        </w:rPr>
      </w:pPr>
      <w:r w:rsidRPr="00EC3BD7">
        <w:rPr>
          <w:color w:val="000000"/>
          <w:szCs w:val="22"/>
          <w:lang w:val="et-EE"/>
        </w:rPr>
        <w:t>2.</w:t>
      </w:r>
      <w:r w:rsidRPr="00EC3BD7">
        <w:rPr>
          <w:color w:val="000000"/>
          <w:szCs w:val="22"/>
          <w:lang w:val="et-EE"/>
        </w:rPr>
        <w:tab/>
        <w:t>Mida on vaja teada enne Gliveci kasutamist</w:t>
      </w:r>
    </w:p>
    <w:p w14:paraId="06D8EE23" w14:textId="77777777" w:rsidR="002E5EA0" w:rsidRPr="00EC3BD7" w:rsidRDefault="002E5EA0" w:rsidP="002E5EA0">
      <w:pPr>
        <w:tabs>
          <w:tab w:val="clear" w:pos="567"/>
        </w:tabs>
        <w:spacing w:line="240" w:lineRule="auto"/>
        <w:ind w:left="567" w:right="-29" w:hanging="567"/>
        <w:rPr>
          <w:color w:val="000000"/>
          <w:szCs w:val="22"/>
          <w:lang w:val="et-EE"/>
        </w:rPr>
      </w:pPr>
      <w:r w:rsidRPr="00EC3BD7">
        <w:rPr>
          <w:color w:val="000000"/>
          <w:szCs w:val="22"/>
          <w:lang w:val="et-EE"/>
        </w:rPr>
        <w:t>3.</w:t>
      </w:r>
      <w:r w:rsidRPr="00EC3BD7">
        <w:rPr>
          <w:color w:val="000000"/>
          <w:szCs w:val="22"/>
          <w:lang w:val="et-EE"/>
        </w:rPr>
        <w:tab/>
        <w:t>Kuidas Glivecit kasutada</w:t>
      </w:r>
    </w:p>
    <w:p w14:paraId="4B346498" w14:textId="77777777" w:rsidR="002E5EA0" w:rsidRPr="00EC3BD7" w:rsidRDefault="002E5EA0" w:rsidP="002E5EA0">
      <w:pPr>
        <w:tabs>
          <w:tab w:val="clear" w:pos="567"/>
        </w:tabs>
        <w:spacing w:line="240" w:lineRule="auto"/>
        <w:ind w:left="567" w:right="-29" w:hanging="567"/>
        <w:rPr>
          <w:color w:val="000000"/>
          <w:szCs w:val="22"/>
          <w:lang w:val="et-EE"/>
        </w:rPr>
      </w:pPr>
      <w:r w:rsidRPr="00EC3BD7">
        <w:rPr>
          <w:color w:val="000000"/>
          <w:szCs w:val="22"/>
          <w:lang w:val="et-EE"/>
        </w:rPr>
        <w:t>4.</w:t>
      </w:r>
      <w:r w:rsidRPr="00EC3BD7">
        <w:rPr>
          <w:color w:val="000000"/>
          <w:szCs w:val="22"/>
          <w:lang w:val="et-EE"/>
        </w:rPr>
        <w:tab/>
        <w:t>Võimalikud kõrvaltoimed</w:t>
      </w:r>
    </w:p>
    <w:p w14:paraId="3403F7AE" w14:textId="77777777" w:rsidR="002E5EA0" w:rsidRPr="00EC3BD7" w:rsidRDefault="002E5EA0" w:rsidP="002E5EA0">
      <w:pPr>
        <w:tabs>
          <w:tab w:val="clear" w:pos="567"/>
        </w:tabs>
        <w:spacing w:line="240" w:lineRule="auto"/>
        <w:ind w:left="567" w:right="-29" w:hanging="567"/>
        <w:rPr>
          <w:color w:val="000000"/>
          <w:szCs w:val="22"/>
          <w:lang w:val="et-EE"/>
        </w:rPr>
      </w:pPr>
      <w:r w:rsidRPr="00EC3BD7">
        <w:rPr>
          <w:color w:val="000000"/>
          <w:szCs w:val="22"/>
          <w:lang w:val="et-EE"/>
        </w:rPr>
        <w:t>5.</w:t>
      </w:r>
      <w:r w:rsidRPr="00EC3BD7">
        <w:rPr>
          <w:color w:val="000000"/>
          <w:szCs w:val="22"/>
          <w:lang w:val="et-EE"/>
        </w:rPr>
        <w:tab/>
        <w:t>Kuidas Glivecit säilitada</w:t>
      </w:r>
    </w:p>
    <w:p w14:paraId="1741AD99" w14:textId="77777777" w:rsidR="002E5EA0" w:rsidRPr="00EC3BD7" w:rsidRDefault="002E5EA0" w:rsidP="002E5EA0">
      <w:pPr>
        <w:tabs>
          <w:tab w:val="clear" w:pos="567"/>
        </w:tabs>
        <w:spacing w:line="240" w:lineRule="auto"/>
        <w:ind w:left="567" w:right="-29" w:hanging="567"/>
        <w:rPr>
          <w:color w:val="000000"/>
          <w:szCs w:val="22"/>
          <w:lang w:val="et-EE"/>
        </w:rPr>
      </w:pPr>
      <w:r w:rsidRPr="00EC3BD7">
        <w:rPr>
          <w:color w:val="000000"/>
          <w:szCs w:val="22"/>
          <w:lang w:val="et-EE"/>
        </w:rPr>
        <w:t>6.</w:t>
      </w:r>
      <w:r w:rsidRPr="00EC3BD7">
        <w:rPr>
          <w:color w:val="000000"/>
          <w:szCs w:val="22"/>
          <w:lang w:val="et-EE"/>
        </w:rPr>
        <w:tab/>
        <w:t>Pakendi sisu ja muu teave</w:t>
      </w:r>
    </w:p>
    <w:p w14:paraId="4DAD82D3" w14:textId="77777777" w:rsidR="002E5EA0" w:rsidRPr="00EC3BD7" w:rsidRDefault="002E5EA0" w:rsidP="002E5EA0">
      <w:pPr>
        <w:widowControl w:val="0"/>
        <w:tabs>
          <w:tab w:val="clear" w:pos="567"/>
        </w:tabs>
        <w:spacing w:line="240" w:lineRule="auto"/>
        <w:ind w:right="-29"/>
        <w:rPr>
          <w:color w:val="000000"/>
          <w:szCs w:val="22"/>
          <w:lang w:val="et-EE"/>
        </w:rPr>
      </w:pPr>
    </w:p>
    <w:p w14:paraId="1480B3FE" w14:textId="77777777" w:rsidR="002E5EA0" w:rsidRPr="00EC3BD7" w:rsidRDefault="002E5EA0" w:rsidP="002E5EA0">
      <w:pPr>
        <w:pStyle w:val="EndnoteText"/>
        <w:widowControl w:val="0"/>
        <w:numPr>
          <w:ilvl w:val="12"/>
          <w:numId w:val="0"/>
        </w:numPr>
        <w:tabs>
          <w:tab w:val="clear" w:pos="567"/>
        </w:tabs>
        <w:rPr>
          <w:color w:val="000000"/>
          <w:szCs w:val="22"/>
          <w:lang w:val="et-EE"/>
        </w:rPr>
      </w:pPr>
    </w:p>
    <w:p w14:paraId="2885DADC" w14:textId="77777777" w:rsidR="002E5EA0" w:rsidRPr="00EC3BD7" w:rsidRDefault="002E5EA0" w:rsidP="00B9089D">
      <w:pPr>
        <w:keepNext/>
        <w:widowControl w:val="0"/>
        <w:numPr>
          <w:ilvl w:val="12"/>
          <w:numId w:val="0"/>
        </w:numPr>
        <w:tabs>
          <w:tab w:val="clear" w:pos="567"/>
        </w:tabs>
        <w:spacing w:line="240" w:lineRule="auto"/>
        <w:ind w:left="567" w:right="-2" w:hanging="567"/>
        <w:rPr>
          <w:color w:val="000000"/>
          <w:szCs w:val="22"/>
          <w:lang w:val="et-EE"/>
        </w:rPr>
      </w:pPr>
      <w:r w:rsidRPr="00EC3BD7">
        <w:rPr>
          <w:b/>
          <w:color w:val="000000"/>
          <w:szCs w:val="22"/>
          <w:lang w:val="et-EE"/>
        </w:rPr>
        <w:t>1.</w:t>
      </w:r>
      <w:r w:rsidRPr="00EC3BD7">
        <w:rPr>
          <w:b/>
          <w:color w:val="000000"/>
          <w:szCs w:val="22"/>
          <w:lang w:val="et-EE"/>
        </w:rPr>
        <w:tab/>
      </w:r>
      <w:r w:rsidRPr="00EC3BD7">
        <w:rPr>
          <w:b/>
          <w:lang w:val="et-EE"/>
        </w:rPr>
        <w:t>Mis ravim on Glivec ja milleks seda kasutatakse</w:t>
      </w:r>
    </w:p>
    <w:p w14:paraId="3229FD9E" w14:textId="77777777" w:rsidR="002E5EA0" w:rsidRPr="00EC3BD7" w:rsidRDefault="002E5EA0" w:rsidP="00B9089D">
      <w:pPr>
        <w:pStyle w:val="Text"/>
        <w:keepNext/>
        <w:widowControl w:val="0"/>
        <w:spacing w:before="0"/>
        <w:jc w:val="left"/>
        <w:rPr>
          <w:color w:val="000000"/>
          <w:sz w:val="22"/>
          <w:szCs w:val="22"/>
          <w:lang w:val="et-EE"/>
        </w:rPr>
      </w:pPr>
    </w:p>
    <w:p w14:paraId="0FF36C1F" w14:textId="77777777" w:rsidR="002E5EA0" w:rsidRPr="00EC3BD7" w:rsidRDefault="002E5EA0" w:rsidP="002E5EA0">
      <w:pPr>
        <w:pStyle w:val="Text"/>
        <w:widowControl w:val="0"/>
        <w:spacing w:before="0"/>
        <w:jc w:val="left"/>
        <w:rPr>
          <w:color w:val="000000"/>
          <w:sz w:val="22"/>
          <w:szCs w:val="22"/>
          <w:lang w:val="et-EE"/>
        </w:rPr>
      </w:pPr>
      <w:r w:rsidRPr="00EC3BD7">
        <w:rPr>
          <w:color w:val="000000"/>
          <w:sz w:val="22"/>
          <w:szCs w:val="22"/>
          <w:lang w:val="et-EE"/>
        </w:rPr>
        <w:t>Glivec on ravim, mis sisaldab toimeainet nimega imatiniib. See ravim toimib, pärssides allpool loetletud haiguste korral ebanormaalsete rakkude kasvu. Haiguste hulka kuuluvad mõned vähitüübid.</w:t>
      </w:r>
    </w:p>
    <w:p w14:paraId="08878CF3" w14:textId="77777777" w:rsidR="002E5EA0" w:rsidRPr="00EC3BD7" w:rsidRDefault="002E5EA0" w:rsidP="002E5EA0">
      <w:pPr>
        <w:pStyle w:val="Text"/>
        <w:widowControl w:val="0"/>
        <w:spacing w:before="0"/>
        <w:jc w:val="left"/>
        <w:rPr>
          <w:color w:val="000000"/>
          <w:sz w:val="22"/>
          <w:szCs w:val="22"/>
          <w:lang w:val="et-EE"/>
        </w:rPr>
      </w:pPr>
    </w:p>
    <w:p w14:paraId="5336F5C8" w14:textId="77777777" w:rsidR="002E5EA0" w:rsidRPr="00EC3BD7" w:rsidRDefault="002E5EA0" w:rsidP="00B9089D">
      <w:pPr>
        <w:pStyle w:val="Text"/>
        <w:keepNext/>
        <w:widowControl w:val="0"/>
        <w:spacing w:before="0"/>
        <w:jc w:val="left"/>
        <w:rPr>
          <w:b/>
          <w:bCs/>
          <w:color w:val="000000"/>
          <w:sz w:val="22"/>
          <w:szCs w:val="22"/>
          <w:lang w:val="et-EE"/>
        </w:rPr>
      </w:pPr>
      <w:r w:rsidRPr="00EC3BD7">
        <w:rPr>
          <w:b/>
          <w:bCs/>
          <w:color w:val="000000"/>
          <w:sz w:val="22"/>
          <w:szCs w:val="22"/>
          <w:lang w:val="et-EE"/>
        </w:rPr>
        <w:t>Glivecit kasutatakse täiskasvanutel ja lastel:</w:t>
      </w:r>
    </w:p>
    <w:p w14:paraId="7E7FD9A3" w14:textId="77777777" w:rsidR="002E5EA0" w:rsidRPr="00EC3BD7" w:rsidRDefault="002E5EA0" w:rsidP="00B9089D">
      <w:pPr>
        <w:pStyle w:val="Text"/>
        <w:keepNext/>
        <w:widowControl w:val="0"/>
        <w:spacing w:before="0"/>
        <w:jc w:val="left"/>
        <w:rPr>
          <w:color w:val="000000"/>
          <w:sz w:val="22"/>
          <w:szCs w:val="22"/>
          <w:lang w:val="et-EE"/>
        </w:rPr>
      </w:pPr>
    </w:p>
    <w:p w14:paraId="09CD3635" w14:textId="77777777" w:rsidR="002E5EA0" w:rsidRPr="00EC3BD7" w:rsidRDefault="002E5EA0" w:rsidP="002E5EA0">
      <w:pPr>
        <w:pStyle w:val="Text"/>
        <w:widowControl w:val="0"/>
        <w:numPr>
          <w:ilvl w:val="0"/>
          <w:numId w:val="16"/>
        </w:numPr>
        <w:tabs>
          <w:tab w:val="clear" w:pos="927"/>
          <w:tab w:val="num" w:pos="567"/>
        </w:tabs>
        <w:spacing w:before="0"/>
        <w:ind w:left="567" w:hanging="567"/>
        <w:jc w:val="left"/>
        <w:rPr>
          <w:color w:val="000000"/>
          <w:sz w:val="22"/>
          <w:szCs w:val="22"/>
          <w:lang w:val="et-EE"/>
        </w:rPr>
      </w:pPr>
      <w:r w:rsidRPr="00EC3BD7">
        <w:rPr>
          <w:b/>
          <w:bCs/>
          <w:color w:val="000000"/>
          <w:sz w:val="22"/>
          <w:szCs w:val="22"/>
          <w:lang w:val="et-EE"/>
        </w:rPr>
        <w:t>Kroonilise müeloidse leukeemia (</w:t>
      </w:r>
      <w:smartTag w:uri="urn:schemas-microsoft-com:office:smarttags" w:element="stockticker">
        <w:r w:rsidRPr="00EC3BD7">
          <w:rPr>
            <w:b/>
            <w:bCs/>
            <w:color w:val="000000"/>
            <w:sz w:val="22"/>
            <w:szCs w:val="22"/>
            <w:lang w:val="et-EE"/>
          </w:rPr>
          <w:t>KML</w:t>
        </w:r>
      </w:smartTag>
      <w:r w:rsidRPr="00EC3BD7">
        <w:rPr>
          <w:b/>
          <w:bCs/>
          <w:color w:val="000000"/>
          <w:sz w:val="22"/>
          <w:szCs w:val="22"/>
          <w:lang w:val="et-EE"/>
        </w:rPr>
        <w:t>) ravis</w:t>
      </w:r>
      <w:r w:rsidRPr="00EC3BD7">
        <w:rPr>
          <w:color w:val="000000"/>
          <w:sz w:val="22"/>
          <w:szCs w:val="22"/>
          <w:lang w:val="et-EE"/>
        </w:rPr>
        <w:t>. Leukeemia on valgete vererakkude vähk. Valged vererakud aitavad organismil tavaliselt võidelda infektsioonidega. Krooniline müeloidne leukeemia on leukeemia vorm, mille puhul ebanormaalseks muutunud valgete vererakkude (nimetatakse müeloidseteks rakkudeks) kasv väljub kontrolli alt.</w:t>
      </w:r>
    </w:p>
    <w:p w14:paraId="20A549A0" w14:textId="77777777" w:rsidR="00060D4A" w:rsidRPr="00EC3BD7" w:rsidRDefault="00060D4A" w:rsidP="002E5EA0">
      <w:pPr>
        <w:pStyle w:val="Text"/>
        <w:widowControl w:val="0"/>
        <w:numPr>
          <w:ilvl w:val="0"/>
          <w:numId w:val="16"/>
        </w:numPr>
        <w:tabs>
          <w:tab w:val="clear" w:pos="927"/>
          <w:tab w:val="num" w:pos="567"/>
        </w:tabs>
        <w:spacing w:before="0"/>
        <w:ind w:left="567" w:hanging="567"/>
        <w:jc w:val="left"/>
        <w:rPr>
          <w:color w:val="000000"/>
          <w:sz w:val="22"/>
          <w:szCs w:val="22"/>
          <w:lang w:val="et-EE"/>
        </w:rPr>
      </w:pPr>
      <w:r w:rsidRPr="00EC3BD7">
        <w:rPr>
          <w:b/>
          <w:bCs/>
          <w:color w:val="000000"/>
          <w:sz w:val="22"/>
          <w:szCs w:val="22"/>
          <w:lang w:val="et-EE"/>
        </w:rPr>
        <w:t xml:space="preserve">Philadelphia kromosoompositiivse ägeda lümfoblastse leukeemia (Ph-positiivne </w:t>
      </w:r>
      <w:smartTag w:uri="urn:schemas-microsoft-com:office:smarttags" w:element="stockticker">
        <w:r w:rsidRPr="00EC3BD7">
          <w:rPr>
            <w:b/>
            <w:bCs/>
            <w:color w:val="000000"/>
            <w:sz w:val="22"/>
            <w:szCs w:val="22"/>
            <w:lang w:val="et-EE"/>
          </w:rPr>
          <w:t>ALL</w:t>
        </w:r>
      </w:smartTag>
      <w:r w:rsidRPr="00EC3BD7">
        <w:rPr>
          <w:b/>
          <w:bCs/>
          <w:color w:val="000000"/>
          <w:sz w:val="22"/>
          <w:szCs w:val="22"/>
          <w:lang w:val="et-EE"/>
        </w:rPr>
        <w:t>) ravis</w:t>
      </w:r>
      <w:r w:rsidRPr="00EC3BD7">
        <w:rPr>
          <w:bCs/>
          <w:color w:val="000000"/>
          <w:sz w:val="22"/>
          <w:szCs w:val="22"/>
          <w:lang w:val="et-EE"/>
        </w:rPr>
        <w:t>. Leukeemia on vere valgeliblede vähktõbi. Vere valgelibled aitavad organismil tavaliselt võidelda infektsioonidega. Äge lümfoblastne leukeemia on leukeemia vorm, mille puhul teatud ebanormaalsete vere valgeliblede (nimetatakse lümfoblastideks) kasv väljub kontrolli alt. Glivec pärsib nende rakkude kasvu.</w:t>
      </w:r>
    </w:p>
    <w:p w14:paraId="000645B6" w14:textId="77777777" w:rsidR="002E5EA0" w:rsidRPr="00EC3BD7" w:rsidRDefault="002E5EA0" w:rsidP="002E5EA0">
      <w:pPr>
        <w:pStyle w:val="Text"/>
        <w:widowControl w:val="0"/>
        <w:spacing w:before="0"/>
        <w:jc w:val="left"/>
        <w:rPr>
          <w:color w:val="000000"/>
          <w:sz w:val="22"/>
          <w:szCs w:val="22"/>
          <w:lang w:val="et-EE"/>
        </w:rPr>
      </w:pPr>
    </w:p>
    <w:p w14:paraId="0BAD0EA4" w14:textId="77777777" w:rsidR="002E5EA0" w:rsidRPr="00EC3BD7" w:rsidRDefault="002E5EA0" w:rsidP="00B9089D">
      <w:pPr>
        <w:pStyle w:val="Text"/>
        <w:keepNext/>
        <w:widowControl w:val="0"/>
        <w:spacing w:before="0"/>
        <w:jc w:val="left"/>
        <w:rPr>
          <w:b/>
          <w:bCs/>
          <w:color w:val="000000"/>
          <w:sz w:val="22"/>
          <w:szCs w:val="22"/>
          <w:lang w:val="et-EE"/>
        </w:rPr>
      </w:pPr>
      <w:r w:rsidRPr="00EC3BD7">
        <w:rPr>
          <w:b/>
          <w:bCs/>
          <w:color w:val="000000"/>
          <w:sz w:val="22"/>
          <w:szCs w:val="22"/>
          <w:lang w:val="et-EE"/>
        </w:rPr>
        <w:t>Glivecit kasutatakse täiskasvanutel:</w:t>
      </w:r>
    </w:p>
    <w:p w14:paraId="091773E9" w14:textId="77777777" w:rsidR="002E5EA0" w:rsidRPr="00EC3BD7" w:rsidRDefault="002E5EA0" w:rsidP="00B9089D">
      <w:pPr>
        <w:pStyle w:val="Text"/>
        <w:keepNext/>
        <w:widowControl w:val="0"/>
        <w:spacing w:before="0"/>
        <w:jc w:val="left"/>
        <w:rPr>
          <w:color w:val="000000"/>
          <w:sz w:val="22"/>
          <w:szCs w:val="22"/>
          <w:lang w:val="et-EE"/>
        </w:rPr>
      </w:pPr>
    </w:p>
    <w:p w14:paraId="63C679F8" w14:textId="77777777" w:rsidR="002E5EA0" w:rsidRPr="00EC3BD7" w:rsidRDefault="002E5EA0" w:rsidP="002E5EA0">
      <w:pPr>
        <w:pStyle w:val="Text"/>
        <w:widowControl w:val="0"/>
        <w:numPr>
          <w:ilvl w:val="0"/>
          <w:numId w:val="16"/>
        </w:numPr>
        <w:tabs>
          <w:tab w:val="clear" w:pos="927"/>
          <w:tab w:val="num" w:pos="567"/>
        </w:tabs>
        <w:spacing w:before="0"/>
        <w:ind w:left="567" w:hanging="567"/>
        <w:jc w:val="left"/>
        <w:rPr>
          <w:color w:val="000000"/>
          <w:sz w:val="22"/>
          <w:szCs w:val="22"/>
          <w:lang w:val="et-EE"/>
        </w:rPr>
      </w:pPr>
      <w:r w:rsidRPr="00EC3BD7">
        <w:rPr>
          <w:b/>
          <w:bCs/>
          <w:color w:val="000000"/>
          <w:sz w:val="22"/>
          <w:szCs w:val="22"/>
          <w:lang w:val="et-EE"/>
        </w:rPr>
        <w:t>Müelodüsplastiliste/müeloproliferatiivsete haiguste (</w:t>
      </w:r>
      <w:smartTag w:uri="urn:schemas-microsoft-com:office:smarttags" w:element="stockticker">
        <w:r w:rsidRPr="00EC3BD7">
          <w:rPr>
            <w:b/>
            <w:bCs/>
            <w:color w:val="000000"/>
            <w:sz w:val="22"/>
            <w:szCs w:val="22"/>
            <w:lang w:val="et-EE"/>
          </w:rPr>
          <w:t>MDS</w:t>
        </w:r>
      </w:smartTag>
      <w:r w:rsidRPr="00EC3BD7">
        <w:rPr>
          <w:b/>
          <w:bCs/>
          <w:color w:val="000000"/>
          <w:sz w:val="22"/>
          <w:szCs w:val="22"/>
          <w:lang w:val="et-EE"/>
        </w:rPr>
        <w:t>/MPD) ravis.</w:t>
      </w:r>
      <w:r w:rsidRPr="00EC3BD7">
        <w:rPr>
          <w:color w:val="000000"/>
          <w:sz w:val="22"/>
          <w:szCs w:val="22"/>
          <w:lang w:val="et-EE"/>
        </w:rPr>
        <w:t xml:space="preserve"> Need on verehaigused, mille puhul mõnede vererakkude kasv väljub kontrolli alt. Nende haiguste mõningate alatüüpide korral pärsib Glivec nende rakkude kasvu.</w:t>
      </w:r>
    </w:p>
    <w:p w14:paraId="5041FBF3" w14:textId="77777777" w:rsidR="002E5EA0" w:rsidRPr="00EC3BD7" w:rsidRDefault="002E5EA0" w:rsidP="002E5EA0">
      <w:pPr>
        <w:pStyle w:val="Text"/>
        <w:widowControl w:val="0"/>
        <w:numPr>
          <w:ilvl w:val="0"/>
          <w:numId w:val="16"/>
        </w:numPr>
        <w:tabs>
          <w:tab w:val="clear" w:pos="927"/>
          <w:tab w:val="num" w:pos="567"/>
        </w:tabs>
        <w:spacing w:before="0"/>
        <w:ind w:left="567" w:hanging="567"/>
        <w:jc w:val="left"/>
        <w:rPr>
          <w:color w:val="000000"/>
          <w:sz w:val="22"/>
          <w:szCs w:val="22"/>
          <w:lang w:val="et-EE"/>
        </w:rPr>
      </w:pPr>
      <w:r w:rsidRPr="00EC3BD7">
        <w:rPr>
          <w:b/>
          <w:bCs/>
          <w:color w:val="000000"/>
          <w:sz w:val="22"/>
          <w:szCs w:val="22"/>
          <w:lang w:val="et-EE"/>
        </w:rPr>
        <w:t>Hüpereosinofiilse sündroomi (HES) ja/või kroonilise eosinofiilse leukeemia (KEL) ravis</w:t>
      </w:r>
      <w:r w:rsidRPr="00EC3BD7">
        <w:rPr>
          <w:color w:val="000000"/>
          <w:sz w:val="22"/>
          <w:szCs w:val="22"/>
          <w:lang w:val="et-EE"/>
        </w:rPr>
        <w:t>. Need on verehaigused, mille puhul teatud vererakkude (neid nimetatakse eosinofiilideks) kasv väljub kontrolli alt. Nende haiguste mõningate alatüüpide korral pärsib Glivec nende rakkude kasvu.</w:t>
      </w:r>
    </w:p>
    <w:p w14:paraId="0E6B6D46" w14:textId="77777777" w:rsidR="002E5EA0" w:rsidRPr="00EC3BD7" w:rsidRDefault="002E5EA0" w:rsidP="002E5EA0">
      <w:pPr>
        <w:pStyle w:val="Text"/>
        <w:widowControl w:val="0"/>
        <w:numPr>
          <w:ilvl w:val="0"/>
          <w:numId w:val="16"/>
        </w:numPr>
        <w:tabs>
          <w:tab w:val="clear" w:pos="927"/>
          <w:tab w:val="num" w:pos="567"/>
        </w:tabs>
        <w:spacing w:before="0"/>
        <w:ind w:left="567" w:hanging="567"/>
        <w:jc w:val="left"/>
        <w:rPr>
          <w:color w:val="000000"/>
          <w:sz w:val="22"/>
          <w:szCs w:val="22"/>
          <w:lang w:val="et-EE"/>
        </w:rPr>
      </w:pPr>
      <w:r w:rsidRPr="00EC3BD7">
        <w:rPr>
          <w:b/>
          <w:bCs/>
          <w:color w:val="000000"/>
          <w:sz w:val="22"/>
          <w:szCs w:val="22"/>
          <w:lang w:val="et-EE"/>
        </w:rPr>
        <w:t>Gastrointestinaalsete stromaaltuumorite (GIST) ravis. GIST on mao ja soolte vähk.</w:t>
      </w:r>
      <w:r w:rsidRPr="00EC3BD7">
        <w:rPr>
          <w:color w:val="000000"/>
          <w:sz w:val="22"/>
          <w:szCs w:val="22"/>
          <w:lang w:val="et-EE"/>
        </w:rPr>
        <w:t xml:space="preserve"> Ta tekib nende elundite toetavate kudede rakkude kontrollimatu kasvu tagajärjel.</w:t>
      </w:r>
    </w:p>
    <w:p w14:paraId="4A4BE1A8" w14:textId="77777777" w:rsidR="002E5EA0" w:rsidRPr="00EC3BD7" w:rsidRDefault="002E5EA0" w:rsidP="009A3C30">
      <w:pPr>
        <w:pStyle w:val="Text"/>
        <w:keepNext/>
        <w:keepLines/>
        <w:widowControl w:val="0"/>
        <w:numPr>
          <w:ilvl w:val="0"/>
          <w:numId w:val="16"/>
        </w:numPr>
        <w:tabs>
          <w:tab w:val="clear" w:pos="927"/>
          <w:tab w:val="num" w:pos="567"/>
        </w:tabs>
        <w:spacing w:before="0"/>
        <w:ind w:left="567" w:hanging="567"/>
        <w:jc w:val="left"/>
        <w:rPr>
          <w:color w:val="000000"/>
          <w:sz w:val="22"/>
          <w:szCs w:val="22"/>
          <w:lang w:val="et-EE"/>
        </w:rPr>
      </w:pPr>
      <w:r w:rsidRPr="00EC3BD7">
        <w:rPr>
          <w:b/>
          <w:bCs/>
          <w:color w:val="000000"/>
          <w:sz w:val="22"/>
          <w:szCs w:val="22"/>
          <w:lang w:val="et-EE"/>
        </w:rPr>
        <w:lastRenderedPageBreak/>
        <w:t>Protuberantne dermatofibrosarkoom (PDFS).</w:t>
      </w:r>
      <w:r w:rsidRPr="00EC3BD7">
        <w:rPr>
          <w:color w:val="000000"/>
          <w:sz w:val="22"/>
          <w:szCs w:val="22"/>
          <w:lang w:val="et-EE"/>
        </w:rPr>
        <w:t xml:space="preserve"> PDFS on nahaaluskoe vähk, mille puhul mõnede rakkude kasv väljub kontrolli alt. Glivec pärsib nende rakkude kasvu.</w:t>
      </w:r>
    </w:p>
    <w:p w14:paraId="5C1CD1F5" w14:textId="77777777" w:rsidR="002E5EA0" w:rsidRPr="00EC3BD7" w:rsidRDefault="002E5EA0" w:rsidP="002E5EA0">
      <w:pPr>
        <w:widowControl w:val="0"/>
        <w:rPr>
          <w:color w:val="000000"/>
          <w:szCs w:val="22"/>
          <w:lang w:val="et-EE"/>
        </w:rPr>
      </w:pPr>
      <w:r w:rsidRPr="00EC3BD7">
        <w:rPr>
          <w:color w:val="000000"/>
          <w:szCs w:val="22"/>
          <w:lang w:val="et-EE"/>
        </w:rPr>
        <w:t>Antud infolehe ülejäänud osas kasutame nendest haigustest rääkides lühendeid.</w:t>
      </w:r>
    </w:p>
    <w:p w14:paraId="58AF7B5E" w14:textId="77777777" w:rsidR="002E5EA0" w:rsidRPr="00EC3BD7" w:rsidRDefault="002E5EA0" w:rsidP="002E5EA0">
      <w:pPr>
        <w:pStyle w:val="Text"/>
        <w:widowControl w:val="0"/>
        <w:tabs>
          <w:tab w:val="left" w:pos="2160"/>
        </w:tabs>
        <w:spacing w:before="0"/>
        <w:jc w:val="left"/>
        <w:rPr>
          <w:color w:val="000000"/>
          <w:sz w:val="22"/>
          <w:szCs w:val="22"/>
          <w:lang w:val="et-EE"/>
        </w:rPr>
      </w:pPr>
    </w:p>
    <w:p w14:paraId="5F1CBD68" w14:textId="77777777" w:rsidR="002E5EA0" w:rsidRPr="00EC3BD7" w:rsidRDefault="002E5EA0" w:rsidP="002E5EA0">
      <w:pPr>
        <w:pStyle w:val="Text"/>
        <w:widowControl w:val="0"/>
        <w:spacing w:before="0"/>
        <w:jc w:val="left"/>
        <w:rPr>
          <w:color w:val="000000"/>
          <w:sz w:val="22"/>
          <w:szCs w:val="22"/>
          <w:lang w:val="et-EE"/>
        </w:rPr>
      </w:pPr>
      <w:r w:rsidRPr="00EC3BD7">
        <w:rPr>
          <w:color w:val="000000"/>
          <w:sz w:val="22"/>
          <w:szCs w:val="22"/>
          <w:lang w:val="et-EE"/>
        </w:rPr>
        <w:t>Kui teil on küsimusi, kuidas Glivec toimib või miks see ravim on teile määratud, pöörduge oma arsti poole.</w:t>
      </w:r>
    </w:p>
    <w:p w14:paraId="6C9B2D13" w14:textId="77777777" w:rsidR="002E5EA0" w:rsidRPr="00EC3BD7" w:rsidRDefault="002E5EA0" w:rsidP="002E5EA0">
      <w:pPr>
        <w:pStyle w:val="EndnoteText"/>
        <w:widowControl w:val="0"/>
        <w:numPr>
          <w:ilvl w:val="12"/>
          <w:numId w:val="0"/>
        </w:numPr>
        <w:tabs>
          <w:tab w:val="clear" w:pos="567"/>
        </w:tabs>
        <w:rPr>
          <w:color w:val="000000"/>
          <w:szCs w:val="22"/>
          <w:lang w:val="et-EE"/>
        </w:rPr>
      </w:pPr>
    </w:p>
    <w:p w14:paraId="181D1A21" w14:textId="77777777" w:rsidR="002E5EA0" w:rsidRPr="00EC3BD7" w:rsidRDefault="002E5EA0" w:rsidP="002E5EA0">
      <w:pPr>
        <w:pStyle w:val="EndnoteText"/>
        <w:widowControl w:val="0"/>
        <w:numPr>
          <w:ilvl w:val="12"/>
          <w:numId w:val="0"/>
        </w:numPr>
        <w:tabs>
          <w:tab w:val="clear" w:pos="567"/>
        </w:tabs>
        <w:rPr>
          <w:color w:val="000000"/>
          <w:szCs w:val="22"/>
          <w:lang w:val="et-EE"/>
        </w:rPr>
      </w:pPr>
    </w:p>
    <w:p w14:paraId="2F8030F1" w14:textId="77777777" w:rsidR="002E5EA0" w:rsidRPr="00EC3BD7" w:rsidRDefault="002E5EA0" w:rsidP="00B9089D">
      <w:pPr>
        <w:keepNext/>
        <w:widowControl w:val="0"/>
        <w:numPr>
          <w:ilvl w:val="12"/>
          <w:numId w:val="0"/>
        </w:numPr>
        <w:tabs>
          <w:tab w:val="clear" w:pos="567"/>
        </w:tabs>
        <w:spacing w:line="240" w:lineRule="auto"/>
        <w:ind w:left="567" w:right="-2" w:hanging="567"/>
        <w:rPr>
          <w:b/>
          <w:color w:val="000000"/>
          <w:szCs w:val="22"/>
          <w:lang w:val="et-EE"/>
        </w:rPr>
      </w:pPr>
      <w:r w:rsidRPr="00EC3BD7">
        <w:rPr>
          <w:b/>
          <w:color w:val="000000"/>
          <w:szCs w:val="22"/>
          <w:lang w:val="et-EE"/>
        </w:rPr>
        <w:t>2.</w:t>
      </w:r>
      <w:r w:rsidRPr="00EC3BD7">
        <w:rPr>
          <w:b/>
          <w:color w:val="000000"/>
          <w:szCs w:val="22"/>
          <w:lang w:val="et-EE"/>
        </w:rPr>
        <w:tab/>
      </w:r>
      <w:r w:rsidRPr="00EC3BD7">
        <w:rPr>
          <w:b/>
          <w:lang w:val="et-EE"/>
        </w:rPr>
        <w:t xml:space="preserve">Mida on vaja teada enne </w:t>
      </w:r>
      <w:r w:rsidRPr="00EC3BD7">
        <w:rPr>
          <w:b/>
          <w:color w:val="000000"/>
          <w:szCs w:val="22"/>
          <w:lang w:val="et-EE"/>
        </w:rPr>
        <w:t>Gliveci</w:t>
      </w:r>
      <w:r w:rsidRPr="00EC3BD7">
        <w:rPr>
          <w:b/>
          <w:lang w:val="et-EE"/>
        </w:rPr>
        <w:t xml:space="preserve"> kasutamist</w:t>
      </w:r>
    </w:p>
    <w:p w14:paraId="63E255EE" w14:textId="77777777" w:rsidR="002E5EA0" w:rsidRPr="00EC3BD7" w:rsidRDefault="002E5EA0" w:rsidP="00B9089D">
      <w:pPr>
        <w:keepNext/>
        <w:widowControl w:val="0"/>
        <w:numPr>
          <w:ilvl w:val="12"/>
          <w:numId w:val="0"/>
        </w:numPr>
        <w:tabs>
          <w:tab w:val="clear" w:pos="567"/>
        </w:tabs>
        <w:spacing w:line="240" w:lineRule="auto"/>
        <w:ind w:left="567" w:right="-2" w:hanging="567"/>
        <w:rPr>
          <w:color w:val="000000"/>
          <w:szCs w:val="22"/>
          <w:lang w:val="et-EE"/>
        </w:rPr>
      </w:pPr>
    </w:p>
    <w:p w14:paraId="7D077721" w14:textId="77777777" w:rsidR="002E5EA0" w:rsidRPr="00EC3BD7" w:rsidRDefault="002E5EA0" w:rsidP="002E5EA0">
      <w:pPr>
        <w:pStyle w:val="Text"/>
        <w:widowControl w:val="0"/>
        <w:spacing w:before="0"/>
        <w:jc w:val="left"/>
        <w:rPr>
          <w:color w:val="000000"/>
          <w:sz w:val="22"/>
          <w:szCs w:val="22"/>
          <w:lang w:val="et-EE"/>
        </w:rPr>
      </w:pPr>
      <w:r w:rsidRPr="00EC3BD7">
        <w:rPr>
          <w:color w:val="000000"/>
          <w:sz w:val="22"/>
          <w:szCs w:val="22"/>
          <w:lang w:val="et-EE"/>
        </w:rPr>
        <w:t>Gliveci määrab teile ainult arst, kellel on verevähi või soliidtuumorite ravi kogemused.</w:t>
      </w:r>
    </w:p>
    <w:p w14:paraId="22722DDE" w14:textId="77777777" w:rsidR="002E5EA0" w:rsidRPr="00EC3BD7" w:rsidRDefault="002E5EA0" w:rsidP="002E5EA0">
      <w:pPr>
        <w:widowControl w:val="0"/>
        <w:numPr>
          <w:ilvl w:val="12"/>
          <w:numId w:val="0"/>
        </w:numPr>
        <w:tabs>
          <w:tab w:val="clear" w:pos="567"/>
        </w:tabs>
        <w:spacing w:line="240" w:lineRule="auto"/>
        <w:ind w:right="-2"/>
        <w:rPr>
          <w:color w:val="000000"/>
          <w:szCs w:val="22"/>
          <w:lang w:val="et-EE"/>
        </w:rPr>
      </w:pPr>
    </w:p>
    <w:p w14:paraId="11566150" w14:textId="77777777" w:rsidR="002E5EA0" w:rsidRPr="00EC3BD7" w:rsidRDefault="002E5EA0" w:rsidP="002E5EA0">
      <w:pPr>
        <w:widowControl w:val="0"/>
        <w:numPr>
          <w:ilvl w:val="12"/>
          <w:numId w:val="0"/>
        </w:numPr>
        <w:tabs>
          <w:tab w:val="clear" w:pos="567"/>
        </w:tabs>
        <w:spacing w:line="240" w:lineRule="auto"/>
        <w:ind w:right="-2"/>
        <w:rPr>
          <w:color w:val="000000"/>
          <w:szCs w:val="22"/>
          <w:lang w:val="et-EE"/>
        </w:rPr>
      </w:pPr>
      <w:r w:rsidRPr="00EC3BD7">
        <w:rPr>
          <w:color w:val="000000"/>
          <w:szCs w:val="22"/>
          <w:lang w:val="et-EE"/>
        </w:rPr>
        <w:t>Järgige hoolikalt kõiki arsti juhiseid ka juhul, kui need erinevad käesolevas infolehes toodud üldinformatsioonist.</w:t>
      </w:r>
    </w:p>
    <w:p w14:paraId="39DFEE5D" w14:textId="77777777" w:rsidR="002E5EA0" w:rsidRPr="00EC3BD7" w:rsidRDefault="002E5EA0" w:rsidP="002E5EA0">
      <w:pPr>
        <w:widowControl w:val="0"/>
        <w:numPr>
          <w:ilvl w:val="12"/>
          <w:numId w:val="0"/>
        </w:numPr>
        <w:tabs>
          <w:tab w:val="clear" w:pos="567"/>
        </w:tabs>
        <w:spacing w:line="240" w:lineRule="auto"/>
        <w:ind w:right="-2"/>
        <w:rPr>
          <w:color w:val="000000"/>
          <w:szCs w:val="22"/>
          <w:lang w:val="et-EE"/>
        </w:rPr>
      </w:pPr>
    </w:p>
    <w:p w14:paraId="5EC83761" w14:textId="77777777" w:rsidR="002E5EA0" w:rsidRPr="00EC3BD7" w:rsidRDefault="002E5EA0" w:rsidP="00B9089D">
      <w:pPr>
        <w:keepNext/>
        <w:widowControl w:val="0"/>
        <w:numPr>
          <w:ilvl w:val="12"/>
          <w:numId w:val="0"/>
        </w:numPr>
        <w:tabs>
          <w:tab w:val="clear" w:pos="567"/>
        </w:tabs>
        <w:spacing w:line="240" w:lineRule="auto"/>
        <w:rPr>
          <w:color w:val="000000"/>
          <w:szCs w:val="22"/>
          <w:lang w:val="et-EE"/>
        </w:rPr>
      </w:pPr>
      <w:r w:rsidRPr="00EC3BD7">
        <w:rPr>
          <w:b/>
          <w:color w:val="000000"/>
          <w:szCs w:val="22"/>
          <w:lang w:val="et-EE"/>
        </w:rPr>
        <w:t>Ärge võtke Glivecit:</w:t>
      </w:r>
    </w:p>
    <w:p w14:paraId="42017D06" w14:textId="77777777" w:rsidR="002E5EA0" w:rsidRPr="00EC3BD7" w:rsidRDefault="002E5EA0" w:rsidP="00B9089D">
      <w:pPr>
        <w:keepNext/>
        <w:widowControl w:val="0"/>
        <w:numPr>
          <w:ilvl w:val="0"/>
          <w:numId w:val="16"/>
        </w:numPr>
        <w:tabs>
          <w:tab w:val="clear" w:pos="927"/>
          <w:tab w:val="num" w:pos="567"/>
        </w:tabs>
        <w:spacing w:line="240" w:lineRule="auto"/>
        <w:ind w:left="567" w:right="-2" w:hanging="567"/>
        <w:rPr>
          <w:color w:val="000000"/>
          <w:szCs w:val="22"/>
          <w:lang w:val="et-EE"/>
        </w:rPr>
      </w:pPr>
      <w:r w:rsidRPr="00EC3BD7">
        <w:rPr>
          <w:color w:val="000000"/>
          <w:szCs w:val="22"/>
          <w:lang w:val="et-EE"/>
        </w:rPr>
        <w:t xml:space="preserve">kui olete imatiniibi või </w:t>
      </w:r>
      <w:r w:rsidR="00BB045E" w:rsidRPr="00EC3BD7">
        <w:rPr>
          <w:color w:val="000000"/>
          <w:szCs w:val="22"/>
          <w:lang w:val="et-EE"/>
        </w:rPr>
        <w:t xml:space="preserve">selle ravimi </w:t>
      </w:r>
      <w:r w:rsidRPr="00EC3BD7">
        <w:rPr>
          <w:color w:val="000000"/>
          <w:szCs w:val="22"/>
          <w:lang w:val="et-EE"/>
        </w:rPr>
        <w:t>mis tahes koostisosade (loetletud lõigus</w:t>
      </w:r>
      <w:r w:rsidR="00DD7407" w:rsidRPr="00EC3BD7">
        <w:rPr>
          <w:color w:val="000000"/>
          <w:szCs w:val="22"/>
          <w:lang w:val="et-EE"/>
        </w:rPr>
        <w:t> </w:t>
      </w:r>
      <w:r w:rsidRPr="00EC3BD7">
        <w:rPr>
          <w:color w:val="000000"/>
          <w:szCs w:val="22"/>
          <w:lang w:val="et-EE"/>
        </w:rPr>
        <w:t>6) suhtes allergiline.</w:t>
      </w:r>
    </w:p>
    <w:p w14:paraId="4E262186" w14:textId="77777777" w:rsidR="002E5EA0" w:rsidRPr="00EC3BD7" w:rsidRDefault="002E5EA0" w:rsidP="002E5EA0">
      <w:pPr>
        <w:widowControl w:val="0"/>
        <w:tabs>
          <w:tab w:val="clear" w:pos="567"/>
        </w:tabs>
        <w:spacing w:line="240" w:lineRule="auto"/>
        <w:ind w:right="-2"/>
        <w:rPr>
          <w:color w:val="000000"/>
          <w:szCs w:val="22"/>
          <w:lang w:val="et-EE"/>
        </w:rPr>
      </w:pPr>
      <w:r w:rsidRPr="00EC3BD7">
        <w:rPr>
          <w:color w:val="000000"/>
          <w:szCs w:val="22"/>
          <w:lang w:val="et-EE"/>
        </w:rPr>
        <w:t xml:space="preserve">Kui see kehtib teie kohta, </w:t>
      </w:r>
      <w:r w:rsidRPr="00EC3BD7">
        <w:rPr>
          <w:b/>
          <w:color w:val="000000"/>
          <w:szCs w:val="22"/>
          <w:lang w:val="et-EE"/>
        </w:rPr>
        <w:t>pidage nõu oma arstiga ilma Glivecit võtmata.</w:t>
      </w:r>
    </w:p>
    <w:p w14:paraId="27E1036C" w14:textId="77777777" w:rsidR="002E5EA0" w:rsidRPr="00EC3BD7" w:rsidRDefault="002E5EA0" w:rsidP="002E5EA0">
      <w:pPr>
        <w:widowControl w:val="0"/>
        <w:tabs>
          <w:tab w:val="clear" w:pos="567"/>
        </w:tabs>
        <w:spacing w:line="240" w:lineRule="auto"/>
        <w:ind w:right="-2"/>
        <w:rPr>
          <w:color w:val="000000"/>
          <w:szCs w:val="22"/>
          <w:lang w:val="et-EE"/>
        </w:rPr>
      </w:pPr>
    </w:p>
    <w:p w14:paraId="7E4D15BB" w14:textId="77777777" w:rsidR="002E5EA0" w:rsidRPr="00EC3BD7" w:rsidRDefault="002E5EA0" w:rsidP="002E5EA0">
      <w:pPr>
        <w:widowControl w:val="0"/>
        <w:tabs>
          <w:tab w:val="clear" w:pos="567"/>
        </w:tabs>
        <w:spacing w:line="240" w:lineRule="auto"/>
        <w:ind w:right="-2"/>
        <w:rPr>
          <w:color w:val="000000"/>
          <w:szCs w:val="22"/>
          <w:lang w:val="et-EE"/>
        </w:rPr>
      </w:pPr>
      <w:r w:rsidRPr="00EC3BD7">
        <w:rPr>
          <w:color w:val="000000"/>
          <w:szCs w:val="22"/>
          <w:lang w:val="et-EE"/>
        </w:rPr>
        <w:t>Kui te arvate, et võite olla ülitundlik, kuid ei ole selles kindel, pidage nõu arstiga.</w:t>
      </w:r>
    </w:p>
    <w:p w14:paraId="6E479C6B" w14:textId="77777777" w:rsidR="002E5EA0" w:rsidRPr="00EC3BD7" w:rsidRDefault="002E5EA0" w:rsidP="002E5EA0">
      <w:pPr>
        <w:widowControl w:val="0"/>
        <w:numPr>
          <w:ilvl w:val="12"/>
          <w:numId w:val="0"/>
        </w:numPr>
        <w:tabs>
          <w:tab w:val="clear" w:pos="567"/>
        </w:tabs>
        <w:spacing w:line="240" w:lineRule="auto"/>
        <w:ind w:right="-2"/>
        <w:rPr>
          <w:color w:val="000000"/>
          <w:szCs w:val="22"/>
          <w:lang w:val="et-EE"/>
        </w:rPr>
      </w:pPr>
    </w:p>
    <w:p w14:paraId="4C48ADE1" w14:textId="77777777" w:rsidR="002E5EA0" w:rsidRPr="00EC3BD7" w:rsidRDefault="002E5EA0" w:rsidP="00B9089D">
      <w:pPr>
        <w:keepNext/>
        <w:numPr>
          <w:ilvl w:val="12"/>
          <w:numId w:val="0"/>
        </w:numPr>
        <w:tabs>
          <w:tab w:val="clear" w:pos="567"/>
        </w:tabs>
        <w:spacing w:line="240" w:lineRule="auto"/>
        <w:ind w:right="-2"/>
        <w:rPr>
          <w:b/>
          <w:color w:val="000000"/>
          <w:szCs w:val="22"/>
          <w:lang w:val="et-EE"/>
        </w:rPr>
      </w:pPr>
      <w:r w:rsidRPr="00EC3BD7">
        <w:rPr>
          <w:b/>
          <w:lang w:val="et-EE"/>
        </w:rPr>
        <w:t>Hoiatused ja ettevaatusabinõud</w:t>
      </w:r>
    </w:p>
    <w:p w14:paraId="1B437811" w14:textId="77777777" w:rsidR="002E5EA0" w:rsidRPr="00EC3BD7" w:rsidRDefault="002E5EA0" w:rsidP="00B9089D">
      <w:pPr>
        <w:keepNext/>
        <w:numPr>
          <w:ilvl w:val="12"/>
          <w:numId w:val="0"/>
        </w:numPr>
        <w:tabs>
          <w:tab w:val="clear" w:pos="567"/>
        </w:tabs>
        <w:spacing w:line="240" w:lineRule="auto"/>
        <w:ind w:right="-2"/>
        <w:rPr>
          <w:color w:val="000000"/>
          <w:szCs w:val="22"/>
          <w:lang w:val="et-EE"/>
        </w:rPr>
      </w:pPr>
      <w:r w:rsidRPr="00EC3BD7">
        <w:rPr>
          <w:color w:val="000000"/>
          <w:szCs w:val="22"/>
          <w:lang w:val="et-EE"/>
        </w:rPr>
        <w:t>Enne Gliveci võtmist pidage nõu oma arstiga.</w:t>
      </w:r>
    </w:p>
    <w:p w14:paraId="0661EA2A" w14:textId="77777777" w:rsidR="002E5EA0" w:rsidRPr="00EC3BD7" w:rsidRDefault="002E5EA0" w:rsidP="00B9089D">
      <w:pPr>
        <w:keepNext/>
        <w:widowControl w:val="0"/>
        <w:numPr>
          <w:ilvl w:val="12"/>
          <w:numId w:val="0"/>
        </w:numPr>
        <w:tabs>
          <w:tab w:val="clear" w:pos="567"/>
        </w:tabs>
        <w:spacing w:line="240" w:lineRule="auto"/>
        <w:rPr>
          <w:color w:val="000000"/>
          <w:szCs w:val="22"/>
          <w:lang w:val="et-EE"/>
        </w:rPr>
      </w:pPr>
      <w:r w:rsidRPr="00EC3BD7">
        <w:rPr>
          <w:color w:val="000000"/>
          <w:szCs w:val="22"/>
          <w:lang w:val="et-EE"/>
        </w:rPr>
        <w:t>-</w:t>
      </w:r>
      <w:r w:rsidRPr="00EC3BD7">
        <w:rPr>
          <w:color w:val="000000"/>
          <w:szCs w:val="22"/>
          <w:lang w:val="et-EE"/>
        </w:rPr>
        <w:tab/>
        <w:t>kui teil on või on kunagi olnud probleeme maksa, neerude või südamega.</w:t>
      </w:r>
    </w:p>
    <w:p w14:paraId="7560F365" w14:textId="77777777" w:rsidR="00FE4734" w:rsidRPr="00EC3BD7" w:rsidRDefault="002E5EA0" w:rsidP="00B9089D">
      <w:pPr>
        <w:keepNext/>
        <w:widowControl w:val="0"/>
        <w:numPr>
          <w:ilvl w:val="12"/>
          <w:numId w:val="0"/>
        </w:numPr>
        <w:tabs>
          <w:tab w:val="clear" w:pos="567"/>
        </w:tabs>
        <w:spacing w:line="240" w:lineRule="auto"/>
        <w:rPr>
          <w:color w:val="000000"/>
          <w:szCs w:val="22"/>
          <w:lang w:val="et-EE"/>
        </w:rPr>
      </w:pPr>
      <w:r w:rsidRPr="00EC3BD7">
        <w:rPr>
          <w:color w:val="000000"/>
          <w:szCs w:val="22"/>
          <w:lang w:val="et-EE"/>
        </w:rPr>
        <w:t>-</w:t>
      </w:r>
      <w:r w:rsidRPr="00EC3BD7">
        <w:rPr>
          <w:color w:val="000000"/>
          <w:szCs w:val="22"/>
          <w:lang w:val="et-EE"/>
        </w:rPr>
        <w:tab/>
        <w:t>kui te võtate ravimit levotüroksiin, kuna teie kilpnääre on eemaldatud.</w:t>
      </w:r>
      <w:r w:rsidR="00FE4734" w:rsidRPr="00EC3BD7">
        <w:rPr>
          <w:color w:val="000000"/>
          <w:szCs w:val="22"/>
          <w:lang w:val="et-EE"/>
        </w:rPr>
        <w:t xml:space="preserve"> </w:t>
      </w:r>
    </w:p>
    <w:p w14:paraId="236654FE" w14:textId="77777777" w:rsidR="00C20486" w:rsidRPr="00EC3BD7" w:rsidRDefault="00FE4734" w:rsidP="006648AE">
      <w:pPr>
        <w:keepNext/>
        <w:widowControl w:val="0"/>
        <w:numPr>
          <w:ilvl w:val="12"/>
          <w:numId w:val="0"/>
        </w:numPr>
        <w:tabs>
          <w:tab w:val="clear" w:pos="567"/>
        </w:tabs>
        <w:spacing w:line="240" w:lineRule="auto"/>
        <w:ind w:left="567" w:hanging="567"/>
        <w:rPr>
          <w:color w:val="000000"/>
          <w:szCs w:val="22"/>
          <w:lang w:val="et-EE"/>
        </w:rPr>
      </w:pPr>
      <w:r w:rsidRPr="00EC3BD7">
        <w:rPr>
          <w:color w:val="000000"/>
          <w:szCs w:val="22"/>
          <w:lang w:val="et-EE"/>
        </w:rPr>
        <w:t>-</w:t>
      </w:r>
      <w:r w:rsidRPr="00EC3BD7">
        <w:rPr>
          <w:color w:val="000000"/>
          <w:szCs w:val="22"/>
          <w:lang w:val="et-EE"/>
        </w:rPr>
        <w:tab/>
        <w:t>kui teil on kunagi olnud või võib praegu olla B-hepatiidi infektsioon. Glivec võib põhjustada B-hepatiidi taasaktiveerumist, mis võib mõnel juhul põhjustada surma. Enne ravi algust kontrollib arst patsiente hoolikalt selle infektsiooni nähtude suhtes.</w:t>
      </w:r>
      <w:r w:rsidR="00C20486" w:rsidRPr="00EC3BD7">
        <w:rPr>
          <w:color w:val="000000"/>
          <w:szCs w:val="22"/>
          <w:lang w:val="et-EE"/>
        </w:rPr>
        <w:tab/>
      </w:r>
    </w:p>
    <w:p w14:paraId="27D74BF2" w14:textId="77777777" w:rsidR="00C20486" w:rsidRPr="00EC3BD7" w:rsidRDefault="00C20486" w:rsidP="006B6C08">
      <w:pPr>
        <w:keepNext/>
        <w:widowControl w:val="0"/>
        <w:numPr>
          <w:ilvl w:val="12"/>
          <w:numId w:val="0"/>
        </w:numPr>
        <w:tabs>
          <w:tab w:val="clear" w:pos="567"/>
        </w:tabs>
        <w:spacing w:line="240" w:lineRule="auto"/>
        <w:ind w:left="567" w:hanging="567"/>
        <w:rPr>
          <w:color w:val="000000"/>
          <w:szCs w:val="22"/>
          <w:lang w:val="et-EE"/>
        </w:rPr>
      </w:pPr>
      <w:r w:rsidRPr="00EC3BD7">
        <w:rPr>
          <w:color w:val="000000"/>
          <w:szCs w:val="22"/>
          <w:lang w:val="et-EE"/>
        </w:rPr>
        <w:t>-</w:t>
      </w:r>
      <w:r w:rsidRPr="00EC3BD7">
        <w:rPr>
          <w:color w:val="000000"/>
          <w:szCs w:val="22"/>
          <w:lang w:val="et-EE"/>
        </w:rPr>
        <w:tab/>
        <w:t xml:space="preserve">kui teil tekivad Gliveci võtmise ajal verevalumid, </w:t>
      </w:r>
      <w:r w:rsidR="00A35476" w:rsidRPr="00EC3BD7">
        <w:rPr>
          <w:color w:val="000000"/>
          <w:szCs w:val="22"/>
          <w:lang w:val="et-EE"/>
        </w:rPr>
        <w:t>verejooksud</w:t>
      </w:r>
      <w:r w:rsidRPr="00EC3BD7">
        <w:rPr>
          <w:color w:val="000000"/>
          <w:szCs w:val="22"/>
          <w:lang w:val="et-EE"/>
        </w:rPr>
        <w:t>, palavik, väsimus ja segasus, võtke oma arstiga ühendust. See võib olla märk veresoonte kahjustusest</w:t>
      </w:r>
      <w:r w:rsidR="00DC342A" w:rsidRPr="00EC3BD7">
        <w:rPr>
          <w:color w:val="000000"/>
          <w:szCs w:val="22"/>
          <w:lang w:val="et-EE"/>
        </w:rPr>
        <w:t>,</w:t>
      </w:r>
      <w:r w:rsidRPr="00EC3BD7">
        <w:rPr>
          <w:color w:val="000000"/>
          <w:szCs w:val="22"/>
          <w:lang w:val="et-EE"/>
        </w:rPr>
        <w:t xml:space="preserve"> mida tuntakse nimega trombootiline mikroangiopaatia</w:t>
      </w:r>
      <w:r w:rsidR="00DC342A" w:rsidRPr="00EC3BD7">
        <w:rPr>
          <w:color w:val="000000"/>
          <w:szCs w:val="22"/>
          <w:lang w:val="et-EE"/>
        </w:rPr>
        <w:t xml:space="preserve"> (TMA)</w:t>
      </w:r>
      <w:r w:rsidRPr="00EC3BD7">
        <w:rPr>
          <w:color w:val="000000"/>
          <w:szCs w:val="22"/>
          <w:lang w:val="et-EE"/>
        </w:rPr>
        <w:t>.</w:t>
      </w:r>
    </w:p>
    <w:p w14:paraId="09895B2F" w14:textId="77777777" w:rsidR="002E5EA0" w:rsidRPr="00EC3BD7" w:rsidRDefault="002E5EA0" w:rsidP="002E5EA0">
      <w:pPr>
        <w:pStyle w:val="Text"/>
        <w:widowControl w:val="0"/>
        <w:spacing w:before="0"/>
        <w:jc w:val="left"/>
        <w:rPr>
          <w:b/>
          <w:color w:val="000000"/>
          <w:sz w:val="22"/>
          <w:szCs w:val="22"/>
          <w:lang w:val="et-EE"/>
        </w:rPr>
      </w:pPr>
      <w:r w:rsidRPr="00EC3BD7">
        <w:rPr>
          <w:color w:val="000000"/>
          <w:sz w:val="22"/>
          <w:szCs w:val="22"/>
          <w:lang w:val="et-EE"/>
        </w:rPr>
        <w:t xml:space="preserve">Kui mõni neist kehtib teie kohta, </w:t>
      </w:r>
      <w:r w:rsidRPr="00EC3BD7">
        <w:rPr>
          <w:b/>
          <w:color w:val="000000"/>
          <w:sz w:val="22"/>
          <w:szCs w:val="22"/>
          <w:lang w:val="et-EE"/>
        </w:rPr>
        <w:t>informeerige sellest arsti enne Gliveci võtmist.</w:t>
      </w:r>
    </w:p>
    <w:p w14:paraId="757BCC7F" w14:textId="77777777" w:rsidR="00B27DF4" w:rsidRPr="00EC3BD7" w:rsidRDefault="00B27DF4" w:rsidP="002E5EA0">
      <w:pPr>
        <w:pStyle w:val="Text"/>
        <w:widowControl w:val="0"/>
        <w:spacing w:before="0"/>
        <w:jc w:val="left"/>
        <w:rPr>
          <w:color w:val="000000"/>
          <w:sz w:val="22"/>
          <w:szCs w:val="22"/>
          <w:lang w:val="et-EE"/>
        </w:rPr>
      </w:pPr>
    </w:p>
    <w:p w14:paraId="29612DB5" w14:textId="77777777" w:rsidR="00B27DF4" w:rsidRPr="00EC3BD7" w:rsidRDefault="00B27DF4" w:rsidP="002E5EA0">
      <w:pPr>
        <w:pStyle w:val="Text"/>
        <w:widowControl w:val="0"/>
        <w:spacing w:before="0"/>
        <w:jc w:val="left"/>
        <w:rPr>
          <w:color w:val="000000"/>
          <w:sz w:val="22"/>
          <w:szCs w:val="22"/>
          <w:lang w:val="et-EE"/>
        </w:rPr>
      </w:pPr>
      <w:r w:rsidRPr="00EC3BD7">
        <w:rPr>
          <w:color w:val="000000"/>
          <w:sz w:val="22"/>
          <w:szCs w:val="22"/>
          <w:lang w:val="et-EE"/>
        </w:rPr>
        <w:t>Gliveci kasutamise ajal võite te olla tavapärasest tundlikum päikesekiirgusele. Oluline on, et te kasutaksite nahka katvat riietust ja kõrge päikesekaitsefaktori (SPF) sisaldusega päikesekreemi. Neid ettevaatusabinõusid tuleb rakendada ka lastel.</w:t>
      </w:r>
    </w:p>
    <w:p w14:paraId="10233F1D" w14:textId="77777777" w:rsidR="002E5EA0" w:rsidRPr="00EC3BD7" w:rsidRDefault="002E5EA0" w:rsidP="002E5EA0">
      <w:pPr>
        <w:pStyle w:val="Text"/>
        <w:widowControl w:val="0"/>
        <w:spacing w:before="0"/>
        <w:jc w:val="left"/>
        <w:rPr>
          <w:color w:val="000000"/>
          <w:sz w:val="22"/>
          <w:szCs w:val="22"/>
          <w:lang w:val="et-EE"/>
        </w:rPr>
      </w:pPr>
    </w:p>
    <w:p w14:paraId="33390484" w14:textId="77777777" w:rsidR="002E5EA0" w:rsidRPr="00EC3BD7" w:rsidRDefault="002E5EA0" w:rsidP="002E5EA0">
      <w:pPr>
        <w:pStyle w:val="Text"/>
        <w:widowControl w:val="0"/>
        <w:spacing w:before="0"/>
        <w:jc w:val="left"/>
        <w:rPr>
          <w:color w:val="000000"/>
          <w:sz w:val="22"/>
          <w:szCs w:val="22"/>
          <w:lang w:val="et-EE"/>
        </w:rPr>
      </w:pPr>
      <w:r w:rsidRPr="00EC3BD7">
        <w:rPr>
          <w:b/>
          <w:color w:val="000000"/>
          <w:sz w:val="22"/>
          <w:szCs w:val="22"/>
          <w:lang w:val="et-EE"/>
        </w:rPr>
        <w:t>Informeerige oma arsti otsekohe, kui te ravi jooksul Gliveciga</w:t>
      </w:r>
      <w:r w:rsidRPr="00EC3BD7">
        <w:rPr>
          <w:color w:val="000000"/>
          <w:sz w:val="22"/>
          <w:szCs w:val="22"/>
          <w:lang w:val="et-EE"/>
        </w:rPr>
        <w:t xml:space="preserve"> kaalus väga kiiresti juurde võtate. Glivec võib põhjustada vee peetumist organismis (rasket vedelikupeetust).</w:t>
      </w:r>
    </w:p>
    <w:p w14:paraId="2D6F12A6" w14:textId="77777777" w:rsidR="002E5EA0" w:rsidRPr="00EC3BD7" w:rsidRDefault="002E5EA0" w:rsidP="002E5EA0">
      <w:pPr>
        <w:pStyle w:val="Text"/>
        <w:widowControl w:val="0"/>
        <w:spacing w:before="0"/>
        <w:jc w:val="left"/>
        <w:rPr>
          <w:color w:val="000000"/>
          <w:sz w:val="22"/>
          <w:szCs w:val="22"/>
          <w:lang w:val="et-EE"/>
        </w:rPr>
      </w:pPr>
    </w:p>
    <w:p w14:paraId="192B23DA" w14:textId="77777777" w:rsidR="002E5EA0" w:rsidRPr="00EC3BD7" w:rsidRDefault="002E5EA0" w:rsidP="002E5EA0">
      <w:pPr>
        <w:pStyle w:val="Text"/>
        <w:widowControl w:val="0"/>
        <w:spacing w:before="0"/>
        <w:jc w:val="left"/>
        <w:rPr>
          <w:color w:val="000000"/>
          <w:sz w:val="22"/>
          <w:szCs w:val="22"/>
          <w:lang w:val="et-EE"/>
        </w:rPr>
      </w:pPr>
      <w:r w:rsidRPr="00EC3BD7">
        <w:rPr>
          <w:color w:val="000000"/>
          <w:sz w:val="22"/>
          <w:szCs w:val="22"/>
          <w:lang w:val="et-EE"/>
        </w:rPr>
        <w:t>Sellel ajal, kui Glivecit võtate, kontrollib teie arst regulaarselt, kas ravim toimib. Gliveci kasutamise ajal tehakse regulaarselt vereanalüüse ja teie kehakaalu kontrollitakse korrapäraselt.</w:t>
      </w:r>
    </w:p>
    <w:p w14:paraId="270B28DB" w14:textId="77777777" w:rsidR="002E5EA0" w:rsidRPr="00EC3BD7" w:rsidRDefault="002E5EA0" w:rsidP="002E5EA0">
      <w:pPr>
        <w:pStyle w:val="Text"/>
        <w:widowControl w:val="0"/>
        <w:spacing w:before="0"/>
        <w:jc w:val="left"/>
        <w:rPr>
          <w:color w:val="000000"/>
          <w:sz w:val="22"/>
          <w:szCs w:val="22"/>
          <w:lang w:val="et-EE"/>
        </w:rPr>
      </w:pPr>
    </w:p>
    <w:p w14:paraId="722B180C" w14:textId="77777777" w:rsidR="002E5EA0" w:rsidRPr="00EC3BD7" w:rsidRDefault="002E5EA0" w:rsidP="00B9089D">
      <w:pPr>
        <w:pStyle w:val="Text"/>
        <w:keepNext/>
        <w:widowControl w:val="0"/>
        <w:spacing w:before="0"/>
        <w:jc w:val="left"/>
        <w:rPr>
          <w:color w:val="000000"/>
          <w:sz w:val="22"/>
          <w:szCs w:val="22"/>
          <w:lang w:val="et-EE"/>
        </w:rPr>
      </w:pPr>
      <w:r w:rsidRPr="00EC3BD7">
        <w:rPr>
          <w:b/>
          <w:sz w:val="22"/>
          <w:szCs w:val="22"/>
          <w:lang w:val="et-EE"/>
        </w:rPr>
        <w:t>Lapsed ja noorukid</w:t>
      </w:r>
    </w:p>
    <w:p w14:paraId="7A4670ED" w14:textId="5048F0E8" w:rsidR="002E5EA0" w:rsidRPr="00EC3BD7" w:rsidRDefault="002E5EA0" w:rsidP="002E5EA0">
      <w:pPr>
        <w:pStyle w:val="EndnoteText"/>
        <w:widowControl w:val="0"/>
        <w:numPr>
          <w:ilvl w:val="12"/>
          <w:numId w:val="0"/>
        </w:numPr>
        <w:tabs>
          <w:tab w:val="clear" w:pos="567"/>
        </w:tabs>
        <w:rPr>
          <w:color w:val="000000"/>
          <w:szCs w:val="22"/>
          <w:lang w:val="et-EE"/>
        </w:rPr>
      </w:pPr>
      <w:r w:rsidRPr="00EC3BD7">
        <w:rPr>
          <w:color w:val="000000"/>
          <w:szCs w:val="22"/>
          <w:lang w:val="et-EE"/>
        </w:rPr>
        <w:t>Glivecit kasutatakse ka kroonilise müeloidse leukeemiaga raviks lastel. Puudub kogemus Gliveci kasutamisest alla 2</w:t>
      </w:r>
      <w:r w:rsidR="00DD7407" w:rsidRPr="00EC3BD7">
        <w:rPr>
          <w:color w:val="000000"/>
          <w:szCs w:val="22"/>
          <w:lang w:val="et-EE"/>
        </w:rPr>
        <w:noBreakHyphen/>
      </w:r>
      <w:r w:rsidRPr="00EC3BD7">
        <w:rPr>
          <w:color w:val="000000"/>
          <w:szCs w:val="22"/>
          <w:lang w:val="et-EE"/>
        </w:rPr>
        <w:t xml:space="preserve">aastastel lastel. Kasutamise kogemused lastel Ph-positiivse </w:t>
      </w:r>
      <w:smartTag w:uri="urn:schemas-microsoft-com:office:smarttags" w:element="stockticker">
        <w:r w:rsidRPr="00EC3BD7">
          <w:rPr>
            <w:color w:val="000000"/>
            <w:szCs w:val="22"/>
            <w:lang w:val="et-EE"/>
          </w:rPr>
          <w:t>ALL</w:t>
        </w:r>
      </w:smartTag>
      <w:r w:rsidRPr="00EC3BD7">
        <w:rPr>
          <w:color w:val="000000"/>
          <w:szCs w:val="22"/>
          <w:lang w:val="et-EE"/>
        </w:rPr>
        <w:t xml:space="preserve"> korral on piiratud</w:t>
      </w:r>
      <w:r w:rsidR="00412C64" w:rsidRPr="00EC3BD7">
        <w:rPr>
          <w:color w:val="000000"/>
          <w:szCs w:val="22"/>
          <w:lang w:val="et-EE"/>
        </w:rPr>
        <w:t xml:space="preserve"> ning MDS/MPD, PDFS</w:t>
      </w:r>
      <w:r w:rsidR="00DD0F07" w:rsidRPr="00593631">
        <w:rPr>
          <w:color w:val="000000"/>
          <w:szCs w:val="22"/>
          <w:lang w:val="et-EE"/>
        </w:rPr>
        <w:t>-i</w:t>
      </w:r>
      <w:r w:rsidR="00412C64" w:rsidRPr="00EC3BD7">
        <w:rPr>
          <w:color w:val="000000"/>
          <w:szCs w:val="22"/>
          <w:lang w:val="et-EE"/>
        </w:rPr>
        <w:t>, GIST</w:t>
      </w:r>
      <w:r w:rsidR="00DD0F07" w:rsidRPr="00593631">
        <w:rPr>
          <w:color w:val="000000"/>
          <w:szCs w:val="22"/>
          <w:lang w:val="et-EE"/>
        </w:rPr>
        <w:t>-i</w:t>
      </w:r>
      <w:r w:rsidR="00412C64" w:rsidRPr="00EC3BD7">
        <w:rPr>
          <w:color w:val="000000"/>
          <w:szCs w:val="22"/>
          <w:lang w:val="et-EE"/>
        </w:rPr>
        <w:t xml:space="preserve"> ja HES/KEL</w:t>
      </w:r>
      <w:r w:rsidR="00DD0F07" w:rsidRPr="00593631">
        <w:rPr>
          <w:color w:val="000000"/>
          <w:szCs w:val="22"/>
          <w:lang w:val="et-EE"/>
        </w:rPr>
        <w:t>-i</w:t>
      </w:r>
      <w:r w:rsidR="00412C64" w:rsidRPr="00EC3BD7">
        <w:rPr>
          <w:color w:val="000000"/>
          <w:szCs w:val="22"/>
          <w:lang w:val="et-EE"/>
        </w:rPr>
        <w:t xml:space="preserve"> korral väga piiratud</w:t>
      </w:r>
      <w:r w:rsidRPr="00EC3BD7">
        <w:rPr>
          <w:color w:val="000000"/>
          <w:szCs w:val="22"/>
          <w:lang w:val="et-EE"/>
        </w:rPr>
        <w:t>.</w:t>
      </w:r>
    </w:p>
    <w:p w14:paraId="7B673BF0" w14:textId="77777777" w:rsidR="002E5EA0" w:rsidRPr="00EC3BD7" w:rsidRDefault="002E5EA0" w:rsidP="002E5EA0">
      <w:pPr>
        <w:pStyle w:val="EndnoteText"/>
        <w:widowControl w:val="0"/>
        <w:numPr>
          <w:ilvl w:val="12"/>
          <w:numId w:val="0"/>
        </w:numPr>
        <w:tabs>
          <w:tab w:val="clear" w:pos="567"/>
        </w:tabs>
        <w:rPr>
          <w:color w:val="000000"/>
          <w:szCs w:val="22"/>
          <w:lang w:val="et-EE"/>
        </w:rPr>
      </w:pPr>
    </w:p>
    <w:p w14:paraId="42737287" w14:textId="77777777" w:rsidR="002E5EA0" w:rsidRPr="00EC3BD7" w:rsidRDefault="002E5EA0" w:rsidP="002E5EA0">
      <w:pPr>
        <w:pStyle w:val="EndnoteText"/>
        <w:widowControl w:val="0"/>
        <w:numPr>
          <w:ilvl w:val="12"/>
          <w:numId w:val="0"/>
        </w:numPr>
        <w:tabs>
          <w:tab w:val="clear" w:pos="567"/>
        </w:tabs>
        <w:rPr>
          <w:color w:val="000000"/>
          <w:szCs w:val="22"/>
          <w:lang w:val="et-EE"/>
        </w:rPr>
      </w:pPr>
      <w:r w:rsidRPr="00EC3BD7">
        <w:rPr>
          <w:color w:val="000000"/>
          <w:szCs w:val="22"/>
          <w:lang w:val="et-EE"/>
        </w:rPr>
        <w:t>Mõnedel Glivecit võtvatel lastel ja noorukitel võib kasv olla normaalsest aeglasem. Arst jälgib kasvu korrapärastel visiitidel.</w:t>
      </w:r>
    </w:p>
    <w:p w14:paraId="61FD871F" w14:textId="77777777" w:rsidR="002E5EA0" w:rsidRPr="00EC3BD7" w:rsidRDefault="002E5EA0" w:rsidP="002E5EA0">
      <w:pPr>
        <w:pStyle w:val="Text"/>
        <w:widowControl w:val="0"/>
        <w:spacing w:before="0"/>
        <w:jc w:val="left"/>
        <w:rPr>
          <w:color w:val="000000"/>
          <w:sz w:val="22"/>
          <w:szCs w:val="22"/>
          <w:lang w:val="et-EE"/>
        </w:rPr>
      </w:pPr>
    </w:p>
    <w:p w14:paraId="5635A78C" w14:textId="77777777" w:rsidR="002E5EA0" w:rsidRPr="00EC3BD7" w:rsidRDefault="002E5EA0" w:rsidP="00B9089D">
      <w:pPr>
        <w:pStyle w:val="EndnoteText"/>
        <w:keepNext/>
        <w:widowControl w:val="0"/>
        <w:numPr>
          <w:ilvl w:val="12"/>
          <w:numId w:val="0"/>
        </w:numPr>
        <w:tabs>
          <w:tab w:val="clear" w:pos="567"/>
        </w:tabs>
        <w:rPr>
          <w:b/>
          <w:color w:val="000000"/>
          <w:szCs w:val="22"/>
          <w:lang w:val="et-EE"/>
        </w:rPr>
      </w:pPr>
      <w:r w:rsidRPr="00EC3BD7">
        <w:rPr>
          <w:b/>
          <w:color w:val="000000"/>
          <w:szCs w:val="22"/>
          <w:lang w:val="et-EE"/>
        </w:rPr>
        <w:t>Muud ravimid ja Glivec</w:t>
      </w:r>
    </w:p>
    <w:p w14:paraId="6369864A" w14:textId="77777777" w:rsidR="002E5EA0" w:rsidRPr="00EC3BD7" w:rsidRDefault="002E5EA0" w:rsidP="002E5EA0">
      <w:pPr>
        <w:pStyle w:val="EndnoteText"/>
        <w:widowControl w:val="0"/>
        <w:numPr>
          <w:ilvl w:val="12"/>
          <w:numId w:val="0"/>
        </w:numPr>
        <w:tabs>
          <w:tab w:val="clear" w:pos="567"/>
        </w:tabs>
        <w:rPr>
          <w:color w:val="000000"/>
          <w:szCs w:val="22"/>
          <w:lang w:val="et-EE"/>
        </w:rPr>
      </w:pPr>
      <w:r w:rsidRPr="00EC3BD7">
        <w:rPr>
          <w:color w:val="000000"/>
          <w:szCs w:val="22"/>
          <w:lang w:val="et-EE"/>
        </w:rPr>
        <w:t xml:space="preserve">Teatage oma arstile või apteekrile, kui te kasutate või olete hiljuti kasutanud või kavatsete kasutada mis tahes muid ravimeid, kaasa arvatud ilma retseptita ostetud ravimeid (nagu paratsetamool), sealhulgas ravimtaimi (nagu naistepuna). Mõned ravimid võivad samaaegsel kasutamisel mõjutada Gliveci efektiivsust. Nende samaaegsel kasutamisel võib Gliveci toime kas nõrgeneda või tugevneda, samuti suurendada kõrvaltoimete esinemissagedust või muuta Gliveci kasutamine vähem efektiivseks. </w:t>
      </w:r>
      <w:r w:rsidRPr="00EC3BD7">
        <w:rPr>
          <w:color w:val="000000"/>
          <w:szCs w:val="22"/>
          <w:lang w:val="et-EE"/>
        </w:rPr>
        <w:lastRenderedPageBreak/>
        <w:t>Samuti võib Glivec mõjutada teiste ravimite toimet.</w:t>
      </w:r>
    </w:p>
    <w:p w14:paraId="6251BC51" w14:textId="77777777" w:rsidR="002F25A4" w:rsidRPr="00EC3BD7" w:rsidRDefault="002F25A4" w:rsidP="002F25A4">
      <w:pPr>
        <w:pStyle w:val="EndnoteText"/>
        <w:widowControl w:val="0"/>
        <w:numPr>
          <w:ilvl w:val="12"/>
          <w:numId w:val="0"/>
        </w:numPr>
        <w:tabs>
          <w:tab w:val="clear" w:pos="567"/>
        </w:tabs>
        <w:rPr>
          <w:color w:val="000000"/>
          <w:szCs w:val="22"/>
          <w:lang w:val="et-EE"/>
        </w:rPr>
      </w:pPr>
    </w:p>
    <w:p w14:paraId="74B25DCB" w14:textId="77777777" w:rsidR="002F25A4" w:rsidRPr="00EC3BD7" w:rsidRDefault="002F25A4" w:rsidP="002F25A4">
      <w:pPr>
        <w:pStyle w:val="EndnoteText"/>
        <w:widowControl w:val="0"/>
        <w:numPr>
          <w:ilvl w:val="12"/>
          <w:numId w:val="0"/>
        </w:numPr>
        <w:tabs>
          <w:tab w:val="clear" w:pos="567"/>
        </w:tabs>
        <w:rPr>
          <w:color w:val="000000"/>
          <w:szCs w:val="22"/>
          <w:lang w:val="et-EE"/>
        </w:rPr>
      </w:pPr>
      <w:r w:rsidRPr="00EC3BD7">
        <w:rPr>
          <w:color w:val="000000"/>
          <w:szCs w:val="22"/>
          <w:lang w:val="et-EE"/>
        </w:rPr>
        <w:t>Rääkige oma arstile, kui te kasutate trombide ennetuseks mõeldud ravimeid.</w:t>
      </w:r>
    </w:p>
    <w:p w14:paraId="79C523F0" w14:textId="77777777" w:rsidR="002E5EA0" w:rsidRPr="00EC3BD7" w:rsidRDefault="002E5EA0" w:rsidP="002E5EA0">
      <w:pPr>
        <w:pStyle w:val="EndnoteText"/>
        <w:widowControl w:val="0"/>
        <w:numPr>
          <w:ilvl w:val="12"/>
          <w:numId w:val="0"/>
        </w:numPr>
        <w:tabs>
          <w:tab w:val="clear" w:pos="567"/>
        </w:tabs>
        <w:rPr>
          <w:color w:val="000000"/>
          <w:szCs w:val="22"/>
          <w:lang w:val="et-EE"/>
        </w:rPr>
      </w:pPr>
    </w:p>
    <w:p w14:paraId="1B009D4F" w14:textId="77777777" w:rsidR="002E5EA0" w:rsidRPr="00EC3BD7" w:rsidRDefault="002E5EA0" w:rsidP="00B9089D">
      <w:pPr>
        <w:pStyle w:val="EndnoteText"/>
        <w:keepNext/>
        <w:widowControl w:val="0"/>
        <w:numPr>
          <w:ilvl w:val="12"/>
          <w:numId w:val="0"/>
        </w:numPr>
        <w:tabs>
          <w:tab w:val="clear" w:pos="567"/>
        </w:tabs>
        <w:rPr>
          <w:b/>
          <w:color w:val="000000"/>
          <w:szCs w:val="22"/>
          <w:lang w:val="et-EE"/>
        </w:rPr>
      </w:pPr>
      <w:r w:rsidRPr="00EC3BD7">
        <w:rPr>
          <w:b/>
          <w:color w:val="000000"/>
          <w:szCs w:val="22"/>
          <w:lang w:val="et-EE"/>
        </w:rPr>
        <w:t>Rasedus, imetamine ja viljakus</w:t>
      </w:r>
    </w:p>
    <w:p w14:paraId="019FA191" w14:textId="77777777" w:rsidR="002E5EA0" w:rsidRPr="00EC3BD7" w:rsidRDefault="002E5EA0" w:rsidP="002E5EA0">
      <w:pPr>
        <w:pStyle w:val="EndnoteText"/>
        <w:widowControl w:val="0"/>
        <w:numPr>
          <w:ilvl w:val="0"/>
          <w:numId w:val="16"/>
        </w:numPr>
        <w:tabs>
          <w:tab w:val="clear" w:pos="927"/>
          <w:tab w:val="num" w:pos="567"/>
        </w:tabs>
        <w:ind w:left="567" w:hanging="567"/>
        <w:rPr>
          <w:color w:val="000000"/>
          <w:szCs w:val="22"/>
          <w:lang w:val="et-EE"/>
        </w:rPr>
      </w:pPr>
      <w:r w:rsidRPr="00EC3BD7">
        <w:rPr>
          <w:lang w:val="et-EE"/>
        </w:rPr>
        <w:t xml:space="preserve">Kui te olete rase, imetate või arvate end olevat rase või kavatsete rasestuda, pidage enne selle ravimi kasutamist nõu oma </w:t>
      </w:r>
      <w:r w:rsidR="00BB045E" w:rsidRPr="00EC3BD7">
        <w:rPr>
          <w:lang w:val="et-EE"/>
        </w:rPr>
        <w:t>arstiga.</w:t>
      </w:r>
    </w:p>
    <w:p w14:paraId="6405DE30" w14:textId="77777777" w:rsidR="002E5EA0" w:rsidRPr="00EC3BD7" w:rsidRDefault="002E5EA0" w:rsidP="002E5EA0">
      <w:pPr>
        <w:pStyle w:val="EndnoteText"/>
        <w:widowControl w:val="0"/>
        <w:numPr>
          <w:ilvl w:val="0"/>
          <w:numId w:val="16"/>
        </w:numPr>
        <w:tabs>
          <w:tab w:val="clear" w:pos="927"/>
          <w:tab w:val="num" w:pos="567"/>
        </w:tabs>
        <w:ind w:left="567" w:hanging="567"/>
        <w:rPr>
          <w:color w:val="000000"/>
          <w:szCs w:val="22"/>
          <w:lang w:val="et-EE"/>
        </w:rPr>
      </w:pPr>
      <w:r w:rsidRPr="00EC3BD7">
        <w:rPr>
          <w:color w:val="000000"/>
          <w:szCs w:val="22"/>
          <w:lang w:val="et-EE"/>
        </w:rPr>
        <w:t>Glivec ei ole raseduse ajal soovitatav välja arvatud juhul, kui see on hädavajalik, kuna see võib kahjustada teie last. Arst räägib teile Gliveci kasutamisega seotud võimalikest riskidest raseduse ajal.</w:t>
      </w:r>
    </w:p>
    <w:p w14:paraId="5029BF37" w14:textId="77777777" w:rsidR="002E5EA0" w:rsidRPr="00EC3BD7" w:rsidRDefault="002E5EA0" w:rsidP="002E5EA0">
      <w:pPr>
        <w:pStyle w:val="EndnoteText"/>
        <w:widowControl w:val="0"/>
        <w:numPr>
          <w:ilvl w:val="0"/>
          <w:numId w:val="16"/>
        </w:numPr>
        <w:tabs>
          <w:tab w:val="clear" w:pos="927"/>
          <w:tab w:val="num" w:pos="567"/>
        </w:tabs>
        <w:ind w:left="567" w:hanging="567"/>
        <w:rPr>
          <w:color w:val="000000"/>
          <w:szCs w:val="22"/>
          <w:lang w:val="et-EE"/>
        </w:rPr>
      </w:pPr>
      <w:r w:rsidRPr="00EC3BD7">
        <w:rPr>
          <w:color w:val="000000"/>
          <w:szCs w:val="22"/>
          <w:lang w:val="et-EE"/>
        </w:rPr>
        <w:t xml:space="preserve">Viljakas eas naised peavad ravi </w:t>
      </w:r>
      <w:r w:rsidR="00550B98" w:rsidRPr="00EC3BD7">
        <w:rPr>
          <w:color w:val="000000"/>
          <w:szCs w:val="22"/>
          <w:lang w:val="et-EE"/>
        </w:rPr>
        <w:t xml:space="preserve">ja kuni 15 päeva pärast ravi lõpetamist </w:t>
      </w:r>
      <w:r w:rsidRPr="00EC3BD7">
        <w:rPr>
          <w:color w:val="000000"/>
          <w:szCs w:val="22"/>
          <w:lang w:val="et-EE"/>
        </w:rPr>
        <w:t>ajal kasutama tõhusaid rasestumisvastaseid vahendeid.</w:t>
      </w:r>
    </w:p>
    <w:p w14:paraId="6C9975DF" w14:textId="77777777" w:rsidR="002E5EA0" w:rsidRPr="00EC3BD7" w:rsidRDefault="002E5EA0" w:rsidP="002E5EA0">
      <w:pPr>
        <w:widowControl w:val="0"/>
        <w:numPr>
          <w:ilvl w:val="0"/>
          <w:numId w:val="16"/>
        </w:numPr>
        <w:tabs>
          <w:tab w:val="clear" w:pos="927"/>
          <w:tab w:val="num" w:pos="567"/>
        </w:tabs>
        <w:spacing w:line="240" w:lineRule="auto"/>
        <w:ind w:left="567" w:hanging="567"/>
        <w:rPr>
          <w:bCs/>
          <w:color w:val="000000"/>
          <w:szCs w:val="22"/>
          <w:lang w:val="et-EE"/>
        </w:rPr>
      </w:pPr>
      <w:r w:rsidRPr="00EC3BD7">
        <w:rPr>
          <w:color w:val="000000"/>
          <w:szCs w:val="22"/>
          <w:lang w:val="et-EE"/>
        </w:rPr>
        <w:t xml:space="preserve">Gliveci ravi ajal </w:t>
      </w:r>
      <w:r w:rsidR="00550B98" w:rsidRPr="00EC3BD7">
        <w:rPr>
          <w:color w:val="000000"/>
          <w:szCs w:val="22"/>
          <w:lang w:val="et-EE"/>
        </w:rPr>
        <w:t xml:space="preserve">ja kuni 15 päeva pärast ravi lõpetamist </w:t>
      </w:r>
      <w:r w:rsidRPr="00EC3BD7">
        <w:rPr>
          <w:bCs/>
          <w:color w:val="000000"/>
          <w:szCs w:val="22"/>
          <w:lang w:val="et-EE"/>
        </w:rPr>
        <w:t>ei tohi last rinnaga toita</w:t>
      </w:r>
      <w:r w:rsidR="00550B98" w:rsidRPr="00EC3BD7">
        <w:rPr>
          <w:bCs/>
          <w:color w:val="000000"/>
          <w:szCs w:val="22"/>
          <w:lang w:val="et-EE"/>
        </w:rPr>
        <w:t>, kuna see võib kahjustada teie last</w:t>
      </w:r>
      <w:r w:rsidRPr="00EC3BD7">
        <w:rPr>
          <w:bCs/>
          <w:color w:val="000000"/>
          <w:szCs w:val="22"/>
          <w:lang w:val="et-EE"/>
        </w:rPr>
        <w:t>.</w:t>
      </w:r>
    </w:p>
    <w:p w14:paraId="564BE47F" w14:textId="77777777" w:rsidR="002E5EA0" w:rsidRPr="00EC3BD7" w:rsidRDefault="002E5EA0" w:rsidP="002E5EA0">
      <w:pPr>
        <w:widowControl w:val="0"/>
        <w:numPr>
          <w:ilvl w:val="0"/>
          <w:numId w:val="16"/>
        </w:numPr>
        <w:tabs>
          <w:tab w:val="clear" w:pos="927"/>
          <w:tab w:val="num" w:pos="567"/>
        </w:tabs>
        <w:spacing w:line="240" w:lineRule="auto"/>
        <w:ind w:left="567" w:hanging="567"/>
        <w:rPr>
          <w:bCs/>
          <w:color w:val="000000"/>
          <w:szCs w:val="22"/>
          <w:lang w:val="et-EE"/>
        </w:rPr>
      </w:pPr>
      <w:r w:rsidRPr="00EC3BD7">
        <w:rPr>
          <w:bCs/>
          <w:color w:val="000000"/>
          <w:szCs w:val="22"/>
          <w:lang w:val="et-EE"/>
        </w:rPr>
        <w:t xml:space="preserve">Patsientidel, kes on mures oma viljakuse pärast </w:t>
      </w:r>
      <w:r w:rsidRPr="00EC3BD7">
        <w:rPr>
          <w:color w:val="000000"/>
          <w:szCs w:val="22"/>
          <w:lang w:val="et-EE"/>
        </w:rPr>
        <w:t>Gliveci võtmise ajal, on soovitatav pidada nõu oma arstiga.</w:t>
      </w:r>
    </w:p>
    <w:p w14:paraId="3889B8F9" w14:textId="77777777" w:rsidR="002E5EA0" w:rsidRPr="00EC3BD7" w:rsidRDefault="002E5EA0" w:rsidP="002E5EA0">
      <w:pPr>
        <w:widowControl w:val="0"/>
        <w:numPr>
          <w:ilvl w:val="12"/>
          <w:numId w:val="0"/>
        </w:numPr>
        <w:tabs>
          <w:tab w:val="clear" w:pos="567"/>
        </w:tabs>
        <w:spacing w:line="240" w:lineRule="auto"/>
        <w:rPr>
          <w:bCs/>
          <w:color w:val="000000"/>
          <w:szCs w:val="22"/>
          <w:lang w:val="et-EE"/>
        </w:rPr>
      </w:pPr>
    </w:p>
    <w:p w14:paraId="168A0452" w14:textId="77777777" w:rsidR="002E5EA0" w:rsidRPr="00EC3BD7" w:rsidRDefault="002E5EA0" w:rsidP="00B9089D">
      <w:pPr>
        <w:keepNext/>
        <w:widowControl w:val="0"/>
        <w:numPr>
          <w:ilvl w:val="12"/>
          <w:numId w:val="0"/>
        </w:numPr>
        <w:tabs>
          <w:tab w:val="clear" w:pos="567"/>
        </w:tabs>
        <w:spacing w:line="240" w:lineRule="auto"/>
        <w:ind w:right="-2"/>
        <w:rPr>
          <w:color w:val="000000"/>
          <w:szCs w:val="22"/>
          <w:lang w:val="et-EE"/>
        </w:rPr>
      </w:pPr>
      <w:r w:rsidRPr="00EC3BD7">
        <w:rPr>
          <w:b/>
          <w:color w:val="000000"/>
          <w:szCs w:val="22"/>
          <w:lang w:val="et-EE"/>
        </w:rPr>
        <w:t>Autojuhtimine ja masinatega töötamine</w:t>
      </w:r>
    </w:p>
    <w:p w14:paraId="47D48BCA" w14:textId="77777777" w:rsidR="002E5EA0" w:rsidRPr="00EC3BD7" w:rsidRDefault="002E5EA0" w:rsidP="002E5EA0">
      <w:pPr>
        <w:widowControl w:val="0"/>
        <w:numPr>
          <w:ilvl w:val="12"/>
          <w:numId w:val="0"/>
        </w:numPr>
        <w:tabs>
          <w:tab w:val="clear" w:pos="567"/>
        </w:tabs>
        <w:spacing w:line="240" w:lineRule="auto"/>
        <w:ind w:right="-29"/>
        <w:rPr>
          <w:color w:val="000000"/>
          <w:szCs w:val="22"/>
          <w:lang w:val="et-EE"/>
        </w:rPr>
      </w:pPr>
      <w:r w:rsidRPr="00EC3BD7">
        <w:rPr>
          <w:color w:val="000000"/>
          <w:szCs w:val="22"/>
          <w:lang w:val="et-EE"/>
        </w:rPr>
        <w:t>Te võite end ravimi kasutamise ajal tunda uimasena või unisena või teie nägemine võib hägustuda, ärge juhtige autot ja ärge töötage masinatega kuni nende nähtude möödumiseni.</w:t>
      </w:r>
    </w:p>
    <w:p w14:paraId="4003A198" w14:textId="77777777" w:rsidR="002E5EA0" w:rsidRPr="00EC3BD7" w:rsidRDefault="002E5EA0" w:rsidP="002E5EA0">
      <w:pPr>
        <w:widowControl w:val="0"/>
        <w:numPr>
          <w:ilvl w:val="12"/>
          <w:numId w:val="0"/>
        </w:numPr>
        <w:tabs>
          <w:tab w:val="clear" w:pos="567"/>
        </w:tabs>
        <w:spacing w:line="240" w:lineRule="auto"/>
        <w:ind w:right="-29"/>
        <w:rPr>
          <w:color w:val="000000"/>
          <w:szCs w:val="22"/>
          <w:lang w:val="et-EE"/>
        </w:rPr>
      </w:pPr>
    </w:p>
    <w:p w14:paraId="665B1C8F" w14:textId="77777777" w:rsidR="002E5EA0" w:rsidRPr="00EC3BD7" w:rsidRDefault="002E5EA0" w:rsidP="002E5EA0">
      <w:pPr>
        <w:pStyle w:val="EndnoteText"/>
        <w:widowControl w:val="0"/>
        <w:numPr>
          <w:ilvl w:val="12"/>
          <w:numId w:val="0"/>
        </w:numPr>
        <w:tabs>
          <w:tab w:val="clear" w:pos="567"/>
        </w:tabs>
        <w:rPr>
          <w:color w:val="000000"/>
          <w:szCs w:val="22"/>
          <w:lang w:val="et-EE"/>
        </w:rPr>
      </w:pPr>
    </w:p>
    <w:p w14:paraId="506379B5" w14:textId="77777777" w:rsidR="00DA3205" w:rsidRPr="00EC3BD7" w:rsidRDefault="00DA3205" w:rsidP="00B9089D">
      <w:pPr>
        <w:keepNext/>
        <w:widowControl w:val="0"/>
        <w:numPr>
          <w:ilvl w:val="12"/>
          <w:numId w:val="0"/>
        </w:numPr>
        <w:tabs>
          <w:tab w:val="clear" w:pos="567"/>
        </w:tabs>
        <w:spacing w:line="240" w:lineRule="auto"/>
        <w:ind w:left="567" w:right="-2" w:hanging="567"/>
        <w:rPr>
          <w:color w:val="000000"/>
          <w:szCs w:val="22"/>
          <w:lang w:val="et-EE"/>
        </w:rPr>
      </w:pPr>
      <w:r w:rsidRPr="00EC3BD7">
        <w:rPr>
          <w:b/>
          <w:color w:val="000000"/>
          <w:szCs w:val="22"/>
          <w:lang w:val="et-EE"/>
        </w:rPr>
        <w:t>3.</w:t>
      </w:r>
      <w:r w:rsidRPr="00EC3BD7">
        <w:rPr>
          <w:b/>
          <w:color w:val="000000"/>
          <w:szCs w:val="22"/>
          <w:lang w:val="et-EE"/>
        </w:rPr>
        <w:tab/>
      </w:r>
      <w:r w:rsidR="00C4231E" w:rsidRPr="00EC3BD7">
        <w:rPr>
          <w:b/>
          <w:lang w:val="et-EE"/>
        </w:rPr>
        <w:t xml:space="preserve">Kuidas </w:t>
      </w:r>
      <w:r w:rsidR="00C4231E" w:rsidRPr="00EC3BD7">
        <w:rPr>
          <w:b/>
          <w:color w:val="000000"/>
          <w:szCs w:val="22"/>
          <w:lang w:val="et-EE"/>
        </w:rPr>
        <w:t>Glivecit</w:t>
      </w:r>
      <w:r w:rsidR="00C4231E" w:rsidRPr="00EC3BD7">
        <w:rPr>
          <w:b/>
          <w:lang w:val="et-EE"/>
        </w:rPr>
        <w:t xml:space="preserve"> kasutada</w:t>
      </w:r>
    </w:p>
    <w:p w14:paraId="1340F3D7" w14:textId="77777777" w:rsidR="00DA3205" w:rsidRPr="00EC3BD7" w:rsidRDefault="00DA3205" w:rsidP="00B9089D">
      <w:pPr>
        <w:pStyle w:val="EndnoteText"/>
        <w:keepNext/>
        <w:widowControl w:val="0"/>
        <w:numPr>
          <w:ilvl w:val="12"/>
          <w:numId w:val="0"/>
        </w:numPr>
        <w:tabs>
          <w:tab w:val="clear" w:pos="567"/>
        </w:tabs>
        <w:rPr>
          <w:color w:val="000000"/>
          <w:szCs w:val="22"/>
          <w:lang w:val="et-EE"/>
        </w:rPr>
      </w:pPr>
    </w:p>
    <w:p w14:paraId="3DD745D7" w14:textId="77777777" w:rsidR="00DA3205" w:rsidRPr="00EC3BD7" w:rsidRDefault="00DA3205" w:rsidP="00DA3205">
      <w:pPr>
        <w:pStyle w:val="Text"/>
        <w:widowControl w:val="0"/>
        <w:spacing w:before="0"/>
        <w:jc w:val="left"/>
        <w:rPr>
          <w:rFonts w:cs="Helv"/>
          <w:color w:val="000000"/>
          <w:sz w:val="22"/>
          <w:szCs w:val="22"/>
          <w:lang w:val="et-EE" w:bidi="th-TH"/>
        </w:rPr>
      </w:pPr>
      <w:r w:rsidRPr="00EC3BD7">
        <w:rPr>
          <w:rFonts w:cs="Helv"/>
          <w:color w:val="000000"/>
          <w:sz w:val="22"/>
          <w:szCs w:val="22"/>
          <w:lang w:val="et-EE" w:bidi="th-TH"/>
        </w:rPr>
        <w:t>Arst on teile määranud Gliveci, kuna teil on tõsine haigus. Glivec võib aidata teil selle haigusega võidelda.</w:t>
      </w:r>
    </w:p>
    <w:p w14:paraId="069F0E91" w14:textId="77777777" w:rsidR="00DA3205" w:rsidRPr="00EC3BD7" w:rsidRDefault="00DA3205" w:rsidP="00DA3205">
      <w:pPr>
        <w:pStyle w:val="Text"/>
        <w:widowControl w:val="0"/>
        <w:spacing w:before="0"/>
        <w:jc w:val="left"/>
        <w:rPr>
          <w:rFonts w:cs="Helv"/>
          <w:color w:val="000000"/>
          <w:sz w:val="22"/>
          <w:szCs w:val="22"/>
          <w:lang w:val="et-EE" w:bidi="th-TH"/>
        </w:rPr>
      </w:pPr>
    </w:p>
    <w:p w14:paraId="1EFE92C4" w14:textId="77777777" w:rsidR="00DA3205" w:rsidRPr="00EC3BD7" w:rsidRDefault="00DA3205" w:rsidP="00DA3205">
      <w:pPr>
        <w:pStyle w:val="Default"/>
        <w:rPr>
          <w:sz w:val="22"/>
          <w:szCs w:val="22"/>
          <w:lang w:val="et-EE"/>
        </w:rPr>
      </w:pPr>
      <w:r w:rsidRPr="00EC3BD7">
        <w:rPr>
          <w:rFonts w:cs="Helv"/>
          <w:sz w:val="22"/>
          <w:szCs w:val="22"/>
          <w:lang w:val="et-EE" w:bidi="th-TH"/>
        </w:rPr>
        <w:t xml:space="preserve">Võtke </w:t>
      </w:r>
      <w:r w:rsidR="00C4231E" w:rsidRPr="00EC3BD7">
        <w:rPr>
          <w:rFonts w:cs="Helv"/>
          <w:sz w:val="22"/>
          <w:szCs w:val="22"/>
          <w:lang w:val="et-EE" w:bidi="th-TH"/>
        </w:rPr>
        <w:t xml:space="preserve">seda ravimit </w:t>
      </w:r>
      <w:r w:rsidRPr="00EC3BD7">
        <w:rPr>
          <w:rFonts w:cs="Helv"/>
          <w:sz w:val="22"/>
          <w:szCs w:val="22"/>
          <w:lang w:val="et-EE" w:bidi="th-TH"/>
        </w:rPr>
        <w:t xml:space="preserve">alati täpselt nii, nagu arst </w:t>
      </w:r>
      <w:r w:rsidR="00C4231E" w:rsidRPr="00EC3BD7">
        <w:rPr>
          <w:rFonts w:cs="Helv"/>
          <w:sz w:val="22"/>
          <w:szCs w:val="22"/>
          <w:lang w:val="et-EE" w:bidi="th-TH"/>
        </w:rPr>
        <w:t xml:space="preserve">või apteeker </w:t>
      </w:r>
      <w:r w:rsidRPr="00EC3BD7">
        <w:rPr>
          <w:rFonts w:cs="Helv"/>
          <w:sz w:val="22"/>
          <w:szCs w:val="22"/>
          <w:lang w:val="et-EE" w:bidi="th-TH"/>
        </w:rPr>
        <w:t xml:space="preserve">on teile </w:t>
      </w:r>
      <w:r w:rsidR="00C4231E" w:rsidRPr="00EC3BD7">
        <w:rPr>
          <w:rFonts w:cs="Helv"/>
          <w:sz w:val="22"/>
          <w:szCs w:val="22"/>
          <w:lang w:val="et-EE" w:bidi="th-TH"/>
        </w:rPr>
        <w:t>selgitanud</w:t>
      </w:r>
      <w:r w:rsidRPr="00EC3BD7">
        <w:rPr>
          <w:rFonts w:cs="Helv"/>
          <w:sz w:val="22"/>
          <w:szCs w:val="22"/>
          <w:lang w:val="et-EE" w:bidi="th-TH"/>
        </w:rPr>
        <w:t xml:space="preserve">. On oluline, et teete seda nii kaua kui arst </w:t>
      </w:r>
      <w:r w:rsidR="00C4231E" w:rsidRPr="00EC3BD7">
        <w:rPr>
          <w:rFonts w:cs="Helv"/>
          <w:sz w:val="22"/>
          <w:szCs w:val="22"/>
          <w:lang w:val="et-EE" w:bidi="th-TH"/>
        </w:rPr>
        <w:t xml:space="preserve">või apteeker </w:t>
      </w:r>
      <w:r w:rsidRPr="00EC3BD7">
        <w:rPr>
          <w:rFonts w:cs="Helv"/>
          <w:sz w:val="22"/>
          <w:szCs w:val="22"/>
          <w:lang w:val="et-EE" w:bidi="th-TH"/>
        </w:rPr>
        <w:t xml:space="preserve">on teile öelnud. </w:t>
      </w:r>
      <w:r w:rsidRPr="00EC3BD7">
        <w:rPr>
          <w:sz w:val="22"/>
          <w:szCs w:val="22"/>
          <w:lang w:val="et-EE"/>
        </w:rPr>
        <w:t>Kui te ei ole milleski kindel, pidage nõu oma arsti või apteekriga.</w:t>
      </w:r>
    </w:p>
    <w:p w14:paraId="275124A0" w14:textId="77777777" w:rsidR="00DA3205" w:rsidRPr="00EC3BD7" w:rsidRDefault="00DA3205" w:rsidP="00DA3205">
      <w:pPr>
        <w:pStyle w:val="Text"/>
        <w:widowControl w:val="0"/>
        <w:tabs>
          <w:tab w:val="left" w:pos="7548"/>
        </w:tabs>
        <w:spacing w:before="0"/>
        <w:jc w:val="left"/>
        <w:rPr>
          <w:rFonts w:cs="Helv"/>
          <w:color w:val="000000"/>
          <w:sz w:val="22"/>
          <w:szCs w:val="22"/>
          <w:lang w:val="et-EE" w:bidi="th-TH"/>
        </w:rPr>
      </w:pPr>
    </w:p>
    <w:p w14:paraId="6EF6C32C" w14:textId="77777777" w:rsidR="00DA3205" w:rsidRPr="00EC3BD7" w:rsidRDefault="00DA3205" w:rsidP="00DA3205">
      <w:pPr>
        <w:pStyle w:val="Text"/>
        <w:widowControl w:val="0"/>
        <w:spacing w:before="0"/>
        <w:jc w:val="left"/>
        <w:rPr>
          <w:rFonts w:cs="Helv"/>
          <w:color w:val="000000"/>
          <w:sz w:val="22"/>
          <w:szCs w:val="22"/>
          <w:lang w:val="et-EE" w:bidi="th-TH"/>
        </w:rPr>
      </w:pPr>
      <w:r w:rsidRPr="00EC3BD7">
        <w:rPr>
          <w:rFonts w:cs="Helv"/>
          <w:color w:val="000000"/>
          <w:sz w:val="22"/>
          <w:szCs w:val="22"/>
          <w:lang w:val="et-EE" w:bidi="th-TH"/>
        </w:rPr>
        <w:t>Ärge lõpetage Gliveci võtmist enne, kui arst seda soovitab. Kui te ei suuda ravimit võtta nii, nagu arst määras, või kui te tunnete, et seda enam ei vaja, võtke otsekohe ühendust oma arstiga.</w:t>
      </w:r>
    </w:p>
    <w:p w14:paraId="0BAA5FE8" w14:textId="77777777" w:rsidR="00DA3205" w:rsidRPr="00EC3BD7" w:rsidRDefault="00DA3205" w:rsidP="00DA3205">
      <w:pPr>
        <w:pStyle w:val="Text"/>
        <w:widowControl w:val="0"/>
        <w:spacing w:before="0"/>
        <w:jc w:val="left"/>
        <w:rPr>
          <w:color w:val="000000"/>
          <w:sz w:val="22"/>
          <w:szCs w:val="22"/>
          <w:lang w:val="et-EE"/>
        </w:rPr>
      </w:pPr>
    </w:p>
    <w:p w14:paraId="222DF092" w14:textId="77777777" w:rsidR="00DA3205" w:rsidRPr="00EC3BD7" w:rsidRDefault="00DA3205" w:rsidP="00B9089D">
      <w:pPr>
        <w:pStyle w:val="Heading2"/>
        <w:widowControl w:val="0"/>
        <w:spacing w:before="0" w:after="0" w:line="240" w:lineRule="auto"/>
        <w:rPr>
          <w:rFonts w:ascii="Times New Roman" w:hAnsi="Times New Roman"/>
          <w:i w:val="0"/>
          <w:color w:val="000000"/>
          <w:sz w:val="22"/>
          <w:szCs w:val="22"/>
          <w:lang w:val="et-EE"/>
        </w:rPr>
      </w:pPr>
      <w:r w:rsidRPr="00EC3BD7">
        <w:rPr>
          <w:rFonts w:ascii="Times New Roman" w:hAnsi="Times New Roman"/>
          <w:i w:val="0"/>
          <w:color w:val="000000"/>
          <w:sz w:val="22"/>
          <w:szCs w:val="22"/>
          <w:lang w:val="et-EE"/>
        </w:rPr>
        <w:t xml:space="preserve">Kui palju </w:t>
      </w:r>
      <w:r w:rsidR="00C4231E" w:rsidRPr="00EC3BD7">
        <w:rPr>
          <w:rFonts w:ascii="Times New Roman" w:hAnsi="Times New Roman"/>
          <w:i w:val="0"/>
          <w:color w:val="000000"/>
          <w:sz w:val="22"/>
          <w:szCs w:val="22"/>
          <w:lang w:val="et-EE"/>
        </w:rPr>
        <w:t xml:space="preserve">Glivecit </w:t>
      </w:r>
      <w:r w:rsidRPr="00EC3BD7">
        <w:rPr>
          <w:rFonts w:ascii="Times New Roman" w:hAnsi="Times New Roman"/>
          <w:i w:val="0"/>
          <w:color w:val="000000"/>
          <w:sz w:val="22"/>
          <w:szCs w:val="22"/>
          <w:lang w:val="et-EE"/>
        </w:rPr>
        <w:t>võtta</w:t>
      </w:r>
    </w:p>
    <w:p w14:paraId="5772C7BC" w14:textId="77777777" w:rsidR="00DA3205" w:rsidRPr="00EC3BD7" w:rsidRDefault="00DA3205" w:rsidP="00B9089D">
      <w:pPr>
        <w:keepNext/>
        <w:rPr>
          <w:color w:val="000000"/>
          <w:szCs w:val="22"/>
          <w:lang w:val="et-EE"/>
        </w:rPr>
      </w:pPr>
    </w:p>
    <w:p w14:paraId="69656810" w14:textId="77777777" w:rsidR="00DA3205" w:rsidRPr="00EC3BD7" w:rsidRDefault="00DA3205" w:rsidP="00B9089D">
      <w:pPr>
        <w:pStyle w:val="Text"/>
        <w:keepNext/>
        <w:widowControl w:val="0"/>
        <w:spacing w:before="0"/>
        <w:jc w:val="left"/>
        <w:rPr>
          <w:b/>
          <w:color w:val="000000"/>
          <w:sz w:val="22"/>
          <w:szCs w:val="22"/>
          <w:lang w:val="et-EE"/>
        </w:rPr>
      </w:pPr>
      <w:r w:rsidRPr="00EC3BD7">
        <w:rPr>
          <w:b/>
          <w:color w:val="000000"/>
          <w:sz w:val="22"/>
          <w:szCs w:val="22"/>
          <w:lang w:val="et-EE"/>
        </w:rPr>
        <w:t>Kasutamine täiskasvanutel</w:t>
      </w:r>
    </w:p>
    <w:p w14:paraId="725615CF" w14:textId="77777777" w:rsidR="00DA3205" w:rsidRPr="00EC3BD7" w:rsidRDefault="00DA3205" w:rsidP="00DA3205">
      <w:pPr>
        <w:pStyle w:val="Text"/>
        <w:widowControl w:val="0"/>
        <w:spacing w:before="0"/>
        <w:jc w:val="left"/>
        <w:rPr>
          <w:color w:val="000000"/>
          <w:sz w:val="22"/>
          <w:szCs w:val="22"/>
          <w:lang w:val="et-EE"/>
        </w:rPr>
      </w:pPr>
      <w:r w:rsidRPr="00EC3BD7">
        <w:rPr>
          <w:color w:val="000000"/>
          <w:sz w:val="22"/>
          <w:szCs w:val="22"/>
          <w:lang w:val="et-EE"/>
        </w:rPr>
        <w:t>Arst ütleb teile täpselt, mitu Gliveci kapslit võtta.</w:t>
      </w:r>
    </w:p>
    <w:p w14:paraId="6B8FAAE5" w14:textId="77777777" w:rsidR="00DA3205" w:rsidRPr="00EC3BD7" w:rsidRDefault="00DA3205" w:rsidP="00DA3205">
      <w:pPr>
        <w:pStyle w:val="Text"/>
        <w:widowControl w:val="0"/>
        <w:spacing w:before="0"/>
        <w:jc w:val="left"/>
        <w:rPr>
          <w:color w:val="000000"/>
          <w:sz w:val="22"/>
          <w:szCs w:val="22"/>
          <w:lang w:val="et-EE"/>
        </w:rPr>
      </w:pPr>
    </w:p>
    <w:p w14:paraId="019C0769" w14:textId="77777777" w:rsidR="00DA3205" w:rsidRPr="00EC3BD7" w:rsidRDefault="00DA3205" w:rsidP="00B9089D">
      <w:pPr>
        <w:pStyle w:val="Text"/>
        <w:keepNext/>
        <w:widowControl w:val="0"/>
        <w:numPr>
          <w:ilvl w:val="0"/>
          <w:numId w:val="17"/>
        </w:numPr>
        <w:tabs>
          <w:tab w:val="clear" w:pos="927"/>
          <w:tab w:val="num" w:pos="567"/>
        </w:tabs>
        <w:spacing w:before="0"/>
        <w:ind w:left="567" w:hanging="567"/>
        <w:jc w:val="left"/>
        <w:rPr>
          <w:b/>
          <w:bCs/>
          <w:color w:val="000000"/>
          <w:sz w:val="22"/>
          <w:szCs w:val="22"/>
          <w:lang w:val="et-EE"/>
        </w:rPr>
      </w:pPr>
      <w:r w:rsidRPr="00EC3BD7">
        <w:rPr>
          <w:b/>
          <w:bCs/>
          <w:color w:val="000000"/>
          <w:sz w:val="22"/>
          <w:szCs w:val="22"/>
          <w:lang w:val="et-EE"/>
        </w:rPr>
        <w:t>Kui teil ravitakse kroonilist müeloidset leukeemiat:</w:t>
      </w:r>
    </w:p>
    <w:p w14:paraId="59D4F021" w14:textId="77777777" w:rsidR="00DA3205" w:rsidRPr="00EC3BD7" w:rsidRDefault="00DA3205" w:rsidP="00B9089D">
      <w:pPr>
        <w:pStyle w:val="Text"/>
        <w:keepNext/>
        <w:widowControl w:val="0"/>
        <w:spacing w:before="0"/>
        <w:ind w:left="567"/>
        <w:jc w:val="left"/>
        <w:rPr>
          <w:rFonts w:cs="Helv"/>
          <w:color w:val="000000"/>
          <w:sz w:val="22"/>
          <w:szCs w:val="22"/>
          <w:lang w:val="et-EE" w:bidi="th-TH"/>
        </w:rPr>
      </w:pPr>
      <w:r w:rsidRPr="00EC3BD7">
        <w:rPr>
          <w:rFonts w:cs="Helv"/>
          <w:color w:val="000000"/>
          <w:sz w:val="22"/>
          <w:szCs w:val="22"/>
          <w:lang w:val="et-EE" w:bidi="th-TH"/>
        </w:rPr>
        <w:t xml:space="preserve">Sõltuvalt haigusest </w:t>
      </w:r>
      <w:r w:rsidRPr="00EC3BD7">
        <w:rPr>
          <w:color w:val="000000"/>
          <w:sz w:val="22"/>
          <w:szCs w:val="22"/>
          <w:lang w:val="et-EE"/>
        </w:rPr>
        <w:t>on tavaline annus ravi alguses</w:t>
      </w:r>
      <w:r w:rsidRPr="00EC3BD7">
        <w:rPr>
          <w:rFonts w:cs="Helv"/>
          <w:color w:val="000000"/>
          <w:sz w:val="22"/>
          <w:szCs w:val="22"/>
          <w:lang w:val="et-EE" w:bidi="th-TH"/>
        </w:rPr>
        <w:t xml:space="preserve"> kas 400 mg või 600 mg</w:t>
      </w:r>
      <w:r w:rsidRPr="00EC3BD7">
        <w:rPr>
          <w:color w:val="000000"/>
          <w:sz w:val="22"/>
          <w:szCs w:val="22"/>
          <w:lang w:val="et-EE"/>
        </w:rPr>
        <w:t>:</w:t>
      </w:r>
    </w:p>
    <w:p w14:paraId="590D098A" w14:textId="77777777" w:rsidR="00DA3205" w:rsidRPr="00EC3BD7" w:rsidRDefault="00DA3205" w:rsidP="00B9089D">
      <w:pPr>
        <w:pStyle w:val="Text"/>
        <w:keepNext/>
        <w:widowControl w:val="0"/>
        <w:numPr>
          <w:ilvl w:val="0"/>
          <w:numId w:val="8"/>
        </w:numPr>
        <w:tabs>
          <w:tab w:val="clear" w:pos="576"/>
          <w:tab w:val="num" w:pos="1134"/>
        </w:tabs>
        <w:spacing w:before="0"/>
        <w:ind w:left="1134" w:hanging="567"/>
        <w:jc w:val="left"/>
        <w:rPr>
          <w:color w:val="000000"/>
          <w:sz w:val="22"/>
          <w:szCs w:val="22"/>
          <w:lang w:val="et-EE"/>
        </w:rPr>
      </w:pPr>
      <w:r w:rsidRPr="00EC3BD7">
        <w:rPr>
          <w:b/>
          <w:bCs/>
          <w:color w:val="000000"/>
          <w:sz w:val="22"/>
          <w:szCs w:val="22"/>
          <w:lang w:val="et-EE"/>
        </w:rPr>
        <w:t>400 mg</w:t>
      </w:r>
      <w:r w:rsidRPr="00EC3BD7">
        <w:rPr>
          <w:color w:val="000000"/>
          <w:sz w:val="22"/>
          <w:szCs w:val="22"/>
          <w:lang w:val="et-EE"/>
        </w:rPr>
        <w:t xml:space="preserve">, mis saadakse 4 kapsli võtmisel </w:t>
      </w:r>
      <w:r w:rsidRPr="00EC3BD7">
        <w:rPr>
          <w:b/>
          <w:bCs/>
          <w:color w:val="000000"/>
          <w:sz w:val="22"/>
          <w:szCs w:val="22"/>
          <w:lang w:val="et-EE"/>
        </w:rPr>
        <w:t>üks kord</w:t>
      </w:r>
      <w:r w:rsidRPr="00EC3BD7">
        <w:rPr>
          <w:color w:val="000000"/>
          <w:sz w:val="22"/>
          <w:szCs w:val="22"/>
          <w:lang w:val="et-EE"/>
        </w:rPr>
        <w:t xml:space="preserve"> ööpäevas,</w:t>
      </w:r>
    </w:p>
    <w:p w14:paraId="6433D97C" w14:textId="77777777" w:rsidR="00DA3205" w:rsidRPr="00EC3BD7" w:rsidRDefault="00DA3205" w:rsidP="00DA3205">
      <w:pPr>
        <w:pStyle w:val="Text"/>
        <w:widowControl w:val="0"/>
        <w:numPr>
          <w:ilvl w:val="0"/>
          <w:numId w:val="8"/>
        </w:numPr>
        <w:tabs>
          <w:tab w:val="clear" w:pos="576"/>
          <w:tab w:val="num" w:pos="1134"/>
        </w:tabs>
        <w:spacing w:before="0"/>
        <w:ind w:left="1134" w:hanging="567"/>
        <w:jc w:val="left"/>
        <w:rPr>
          <w:b/>
          <w:bCs/>
          <w:color w:val="000000"/>
          <w:sz w:val="22"/>
          <w:szCs w:val="22"/>
          <w:lang w:val="et-EE"/>
        </w:rPr>
      </w:pPr>
      <w:r w:rsidRPr="00EC3BD7">
        <w:rPr>
          <w:b/>
          <w:bCs/>
          <w:color w:val="000000"/>
          <w:sz w:val="22"/>
          <w:szCs w:val="22"/>
          <w:lang w:val="et-EE"/>
        </w:rPr>
        <w:t>600 mg</w:t>
      </w:r>
      <w:r w:rsidRPr="00EC3BD7">
        <w:rPr>
          <w:color w:val="000000"/>
          <w:sz w:val="22"/>
          <w:szCs w:val="22"/>
          <w:lang w:val="et-EE"/>
        </w:rPr>
        <w:t xml:space="preserve">, mis saadakse 6 kapsli võtmisel </w:t>
      </w:r>
      <w:r w:rsidRPr="00EC3BD7">
        <w:rPr>
          <w:b/>
          <w:bCs/>
          <w:color w:val="000000"/>
          <w:sz w:val="22"/>
          <w:szCs w:val="22"/>
          <w:lang w:val="et-EE"/>
        </w:rPr>
        <w:t>üks kord</w:t>
      </w:r>
      <w:r w:rsidRPr="00EC3BD7">
        <w:rPr>
          <w:color w:val="000000"/>
          <w:sz w:val="22"/>
          <w:szCs w:val="22"/>
          <w:lang w:val="et-EE"/>
        </w:rPr>
        <w:t xml:space="preserve"> ööpäevas.</w:t>
      </w:r>
    </w:p>
    <w:p w14:paraId="342B4888" w14:textId="77777777" w:rsidR="00DA3205" w:rsidRPr="00EC3BD7" w:rsidRDefault="00DA3205" w:rsidP="00DA3205">
      <w:pPr>
        <w:pStyle w:val="Text"/>
        <w:widowControl w:val="0"/>
        <w:spacing w:before="0"/>
        <w:jc w:val="left"/>
        <w:rPr>
          <w:color w:val="000000"/>
          <w:sz w:val="22"/>
          <w:szCs w:val="22"/>
          <w:lang w:val="et-EE"/>
        </w:rPr>
      </w:pPr>
    </w:p>
    <w:p w14:paraId="7B8A651D" w14:textId="528FC796" w:rsidR="00DA3205" w:rsidRPr="00EC3BD7" w:rsidRDefault="00DA3205" w:rsidP="00B9089D">
      <w:pPr>
        <w:pStyle w:val="Text"/>
        <w:keepNext/>
        <w:widowControl w:val="0"/>
        <w:numPr>
          <w:ilvl w:val="1"/>
          <w:numId w:val="8"/>
        </w:numPr>
        <w:tabs>
          <w:tab w:val="clear" w:pos="1440"/>
          <w:tab w:val="num" w:pos="567"/>
        </w:tabs>
        <w:spacing w:before="0"/>
        <w:ind w:hanging="1440"/>
        <w:jc w:val="left"/>
        <w:rPr>
          <w:b/>
          <w:bCs/>
          <w:color w:val="000000"/>
          <w:sz w:val="22"/>
          <w:szCs w:val="22"/>
          <w:lang w:val="et-EE"/>
        </w:rPr>
      </w:pPr>
      <w:r w:rsidRPr="00EC3BD7">
        <w:rPr>
          <w:b/>
          <w:bCs/>
          <w:color w:val="000000"/>
          <w:sz w:val="22"/>
          <w:szCs w:val="22"/>
          <w:lang w:val="et-EE"/>
        </w:rPr>
        <w:t xml:space="preserve">Kui teil ravitakse </w:t>
      </w:r>
      <w:r w:rsidRPr="00DD0F07">
        <w:rPr>
          <w:b/>
          <w:bCs/>
          <w:color w:val="000000"/>
          <w:sz w:val="22"/>
          <w:szCs w:val="22"/>
          <w:lang w:val="et-EE"/>
        </w:rPr>
        <w:t>GIST</w:t>
      </w:r>
      <w:r w:rsidR="00DD0F07" w:rsidRPr="00DD0F07">
        <w:rPr>
          <w:b/>
          <w:bCs/>
          <w:color w:val="000000"/>
          <w:sz w:val="22"/>
          <w:szCs w:val="22"/>
          <w:lang w:val="et-EE"/>
        </w:rPr>
        <w:t>-</w:t>
      </w:r>
      <w:r w:rsidRPr="00DD0F07">
        <w:rPr>
          <w:b/>
          <w:bCs/>
          <w:color w:val="000000"/>
          <w:sz w:val="22"/>
          <w:szCs w:val="22"/>
          <w:lang w:val="et-EE"/>
        </w:rPr>
        <w:t>i:</w:t>
      </w:r>
    </w:p>
    <w:p w14:paraId="07561654" w14:textId="77777777" w:rsidR="00DA3205" w:rsidRPr="00EC3BD7" w:rsidRDefault="00DA3205" w:rsidP="00DA3205">
      <w:pPr>
        <w:pStyle w:val="Text"/>
        <w:widowControl w:val="0"/>
        <w:spacing w:before="0"/>
        <w:ind w:left="567"/>
        <w:jc w:val="left"/>
        <w:rPr>
          <w:color w:val="000000"/>
          <w:sz w:val="22"/>
          <w:szCs w:val="22"/>
          <w:lang w:val="et-EE"/>
        </w:rPr>
      </w:pPr>
      <w:r w:rsidRPr="00EC3BD7">
        <w:rPr>
          <w:color w:val="000000"/>
          <w:sz w:val="22"/>
          <w:szCs w:val="22"/>
          <w:lang w:val="et-EE"/>
        </w:rPr>
        <w:t xml:space="preserve">Annus ravi alguses on 400 mg, mis saadakse 4 kapsli võtmisel </w:t>
      </w:r>
      <w:r w:rsidRPr="00EC3BD7">
        <w:rPr>
          <w:b/>
          <w:bCs/>
          <w:color w:val="000000"/>
          <w:sz w:val="22"/>
          <w:szCs w:val="22"/>
          <w:lang w:val="et-EE"/>
        </w:rPr>
        <w:t>üks kord</w:t>
      </w:r>
      <w:r w:rsidRPr="00EC3BD7">
        <w:rPr>
          <w:color w:val="000000"/>
          <w:sz w:val="22"/>
          <w:szCs w:val="22"/>
          <w:lang w:val="et-EE"/>
        </w:rPr>
        <w:t xml:space="preserve"> ööpäevas.</w:t>
      </w:r>
    </w:p>
    <w:p w14:paraId="0CA353AF" w14:textId="77777777" w:rsidR="00DA3205" w:rsidRPr="00EC3BD7" w:rsidRDefault="00DA3205" w:rsidP="009A3C30">
      <w:pPr>
        <w:pStyle w:val="Text"/>
        <w:widowControl w:val="0"/>
        <w:spacing w:before="0"/>
        <w:jc w:val="left"/>
        <w:rPr>
          <w:color w:val="000000"/>
          <w:sz w:val="22"/>
          <w:szCs w:val="22"/>
          <w:lang w:val="et-EE"/>
        </w:rPr>
      </w:pPr>
    </w:p>
    <w:p w14:paraId="70CE18C5" w14:textId="28EA3DE5" w:rsidR="00DA3205" w:rsidRPr="00EC3BD7" w:rsidRDefault="00DA3205" w:rsidP="00DA3205">
      <w:pPr>
        <w:pStyle w:val="Text"/>
        <w:widowControl w:val="0"/>
        <w:spacing w:before="0"/>
        <w:jc w:val="left"/>
        <w:rPr>
          <w:color w:val="000000"/>
          <w:sz w:val="22"/>
          <w:szCs w:val="22"/>
          <w:lang w:val="et-EE"/>
        </w:rPr>
      </w:pPr>
      <w:smartTag w:uri="urn:schemas-microsoft-com:office:smarttags" w:element="stockticker">
        <w:r w:rsidRPr="00EC3BD7">
          <w:rPr>
            <w:rFonts w:cs="Helv"/>
            <w:color w:val="000000"/>
            <w:sz w:val="22"/>
            <w:szCs w:val="22"/>
            <w:lang w:val="et-EE" w:bidi="th-TH"/>
          </w:rPr>
          <w:t>KML</w:t>
        </w:r>
      </w:smartTag>
      <w:r w:rsidR="00DD0F07">
        <w:rPr>
          <w:rFonts w:cs="Helv"/>
          <w:color w:val="000000"/>
          <w:sz w:val="22"/>
          <w:szCs w:val="22"/>
          <w:lang w:val="et-EE" w:bidi="th-TH"/>
        </w:rPr>
        <w:t>-</w:t>
      </w:r>
      <w:r w:rsidRPr="00EC3BD7">
        <w:rPr>
          <w:rFonts w:cs="Helv"/>
          <w:color w:val="000000"/>
          <w:sz w:val="22"/>
          <w:szCs w:val="22"/>
          <w:lang w:val="et-EE" w:bidi="th-TH"/>
        </w:rPr>
        <w:t>i ja GIST</w:t>
      </w:r>
      <w:r w:rsidR="00DD0F07">
        <w:rPr>
          <w:rFonts w:cs="Helv"/>
          <w:color w:val="000000"/>
          <w:sz w:val="22"/>
          <w:szCs w:val="22"/>
          <w:lang w:val="et-EE" w:bidi="th-TH"/>
        </w:rPr>
        <w:t>-</w:t>
      </w:r>
      <w:r w:rsidRPr="00EC3BD7">
        <w:rPr>
          <w:rFonts w:cs="Helv"/>
          <w:color w:val="000000"/>
          <w:sz w:val="22"/>
          <w:szCs w:val="22"/>
          <w:lang w:val="et-EE" w:bidi="th-TH"/>
        </w:rPr>
        <w:t xml:space="preserve">i korral </w:t>
      </w:r>
      <w:r w:rsidRPr="00EC3BD7">
        <w:rPr>
          <w:color w:val="000000"/>
          <w:sz w:val="22"/>
          <w:szCs w:val="22"/>
          <w:lang w:val="et-EE"/>
        </w:rPr>
        <w:t>võib arst teile määrata suurema või väiksema annuse,</w:t>
      </w:r>
      <w:r w:rsidRPr="00EC3BD7">
        <w:rPr>
          <w:rFonts w:cs="Helv"/>
          <w:color w:val="000000"/>
          <w:sz w:val="22"/>
          <w:szCs w:val="22"/>
          <w:lang w:val="et-EE" w:bidi="th-TH"/>
        </w:rPr>
        <w:t xml:space="preserve"> sõltuvalt sellest, milline on teie ravivastus.</w:t>
      </w:r>
      <w:r w:rsidRPr="00EC3BD7">
        <w:rPr>
          <w:color w:val="000000"/>
          <w:sz w:val="22"/>
          <w:szCs w:val="22"/>
          <w:lang w:val="et-EE"/>
        </w:rPr>
        <w:t xml:space="preserve"> Kui teie ööpäevaseks annuseks on 800 mg (8 kapslit), peaksite võtma 4 kapslit hommikul ja 4 kapslit õhtul.</w:t>
      </w:r>
    </w:p>
    <w:p w14:paraId="2D992040" w14:textId="77777777" w:rsidR="00DA3205" w:rsidRPr="00EC3BD7" w:rsidRDefault="00DA3205" w:rsidP="00DA3205">
      <w:pPr>
        <w:pStyle w:val="Text"/>
        <w:widowControl w:val="0"/>
        <w:spacing w:before="0"/>
        <w:jc w:val="left"/>
        <w:rPr>
          <w:color w:val="000000"/>
          <w:sz w:val="22"/>
          <w:szCs w:val="22"/>
          <w:lang w:val="et-EE"/>
        </w:rPr>
      </w:pPr>
    </w:p>
    <w:p w14:paraId="6676F344" w14:textId="3D554725" w:rsidR="00DA3205" w:rsidRPr="00EC3BD7" w:rsidRDefault="00DA3205" w:rsidP="009A3C30">
      <w:pPr>
        <w:pStyle w:val="Text"/>
        <w:keepNext/>
        <w:widowControl w:val="0"/>
        <w:numPr>
          <w:ilvl w:val="0"/>
          <w:numId w:val="18"/>
        </w:numPr>
        <w:tabs>
          <w:tab w:val="clear" w:pos="360"/>
          <w:tab w:val="num" w:pos="567"/>
        </w:tabs>
        <w:spacing w:before="0"/>
        <w:ind w:left="567" w:hanging="567"/>
        <w:jc w:val="left"/>
        <w:rPr>
          <w:b/>
          <w:bCs/>
          <w:color w:val="000000"/>
          <w:sz w:val="22"/>
          <w:szCs w:val="22"/>
          <w:lang w:val="et-EE"/>
        </w:rPr>
      </w:pPr>
      <w:r w:rsidRPr="00EC3BD7">
        <w:rPr>
          <w:b/>
          <w:bCs/>
          <w:color w:val="000000"/>
          <w:sz w:val="22"/>
          <w:szCs w:val="22"/>
          <w:lang w:val="et-EE"/>
        </w:rPr>
        <w:t xml:space="preserve">Kui teil ravitakse Ph-positiivset </w:t>
      </w:r>
      <w:smartTag w:uri="urn:schemas-microsoft-com:office:smarttags" w:element="stockticker">
        <w:r w:rsidRPr="00EC3BD7">
          <w:rPr>
            <w:b/>
            <w:bCs/>
            <w:color w:val="000000"/>
            <w:sz w:val="22"/>
            <w:szCs w:val="22"/>
            <w:lang w:val="et-EE"/>
          </w:rPr>
          <w:t>ALL</w:t>
        </w:r>
      </w:smartTag>
      <w:r w:rsidR="00DD0F07">
        <w:rPr>
          <w:b/>
          <w:bCs/>
          <w:color w:val="000000"/>
          <w:sz w:val="22"/>
          <w:szCs w:val="22"/>
          <w:lang w:val="et-EE"/>
        </w:rPr>
        <w:t>-</w:t>
      </w:r>
      <w:r w:rsidRPr="00EC3BD7">
        <w:rPr>
          <w:b/>
          <w:bCs/>
          <w:color w:val="000000"/>
          <w:sz w:val="22"/>
          <w:szCs w:val="22"/>
          <w:lang w:val="et-EE"/>
        </w:rPr>
        <w:t>i:</w:t>
      </w:r>
    </w:p>
    <w:p w14:paraId="7C5F647F" w14:textId="77777777" w:rsidR="00DA3205" w:rsidRPr="00EC3BD7" w:rsidRDefault="00DA3205" w:rsidP="00DA3205">
      <w:pPr>
        <w:pStyle w:val="Text"/>
        <w:widowControl w:val="0"/>
        <w:spacing w:before="0"/>
        <w:ind w:left="567"/>
        <w:jc w:val="left"/>
        <w:rPr>
          <w:color w:val="000000"/>
          <w:sz w:val="22"/>
          <w:szCs w:val="22"/>
          <w:lang w:val="et-EE"/>
        </w:rPr>
      </w:pPr>
      <w:r w:rsidRPr="00EC3BD7">
        <w:rPr>
          <w:color w:val="000000"/>
          <w:sz w:val="22"/>
          <w:szCs w:val="22"/>
          <w:lang w:val="et-EE"/>
        </w:rPr>
        <w:t xml:space="preserve">On algannus 600 mg, mis võetakse sisse 6 kapslina </w:t>
      </w:r>
      <w:r w:rsidRPr="00EC3BD7">
        <w:rPr>
          <w:b/>
          <w:bCs/>
          <w:color w:val="000000"/>
          <w:sz w:val="22"/>
          <w:szCs w:val="22"/>
          <w:lang w:val="et-EE"/>
        </w:rPr>
        <w:t>üks kord</w:t>
      </w:r>
      <w:r w:rsidRPr="00EC3BD7">
        <w:rPr>
          <w:color w:val="000000"/>
          <w:sz w:val="22"/>
          <w:szCs w:val="22"/>
          <w:lang w:val="et-EE"/>
        </w:rPr>
        <w:t xml:space="preserve"> ööpäevas.</w:t>
      </w:r>
    </w:p>
    <w:p w14:paraId="729F5272" w14:textId="77777777" w:rsidR="00DA3205" w:rsidRPr="00EC3BD7" w:rsidRDefault="00DA3205" w:rsidP="00DA3205">
      <w:pPr>
        <w:pStyle w:val="Text"/>
        <w:widowControl w:val="0"/>
        <w:spacing w:before="0"/>
        <w:jc w:val="left"/>
        <w:rPr>
          <w:color w:val="000000"/>
          <w:sz w:val="22"/>
          <w:szCs w:val="22"/>
          <w:lang w:val="et-EE"/>
        </w:rPr>
      </w:pPr>
    </w:p>
    <w:p w14:paraId="652AD86C" w14:textId="64F81236" w:rsidR="00DA3205" w:rsidRPr="00EC3BD7" w:rsidRDefault="00DA3205" w:rsidP="009A3C30">
      <w:pPr>
        <w:pStyle w:val="Text"/>
        <w:keepNext/>
        <w:widowControl w:val="0"/>
        <w:numPr>
          <w:ilvl w:val="0"/>
          <w:numId w:val="18"/>
        </w:numPr>
        <w:tabs>
          <w:tab w:val="clear" w:pos="360"/>
          <w:tab w:val="num" w:pos="567"/>
        </w:tabs>
        <w:spacing w:before="0"/>
        <w:ind w:left="567" w:hanging="567"/>
        <w:jc w:val="left"/>
        <w:rPr>
          <w:b/>
          <w:bCs/>
          <w:color w:val="000000"/>
          <w:sz w:val="22"/>
          <w:szCs w:val="22"/>
          <w:lang w:val="et-EE"/>
        </w:rPr>
      </w:pPr>
      <w:r w:rsidRPr="00EC3BD7">
        <w:rPr>
          <w:b/>
          <w:bCs/>
          <w:color w:val="000000"/>
          <w:sz w:val="22"/>
          <w:szCs w:val="22"/>
          <w:lang w:val="et-EE"/>
        </w:rPr>
        <w:t xml:space="preserve">Kui teil ravitakse </w:t>
      </w:r>
      <w:smartTag w:uri="urn:schemas-microsoft-com:office:smarttags" w:element="stockticker">
        <w:r w:rsidRPr="00EC3BD7">
          <w:rPr>
            <w:b/>
            <w:bCs/>
            <w:color w:val="000000"/>
            <w:sz w:val="22"/>
            <w:szCs w:val="22"/>
            <w:lang w:val="et-EE"/>
          </w:rPr>
          <w:t>MDS</w:t>
        </w:r>
      </w:smartTag>
      <w:r w:rsidRPr="00EC3BD7">
        <w:rPr>
          <w:b/>
          <w:bCs/>
          <w:color w:val="000000"/>
          <w:sz w:val="22"/>
          <w:szCs w:val="22"/>
          <w:lang w:val="et-EE"/>
        </w:rPr>
        <w:t>/MPD</w:t>
      </w:r>
      <w:r w:rsidR="00DD0F07">
        <w:rPr>
          <w:b/>
          <w:bCs/>
          <w:color w:val="000000"/>
          <w:sz w:val="22"/>
          <w:szCs w:val="22"/>
          <w:lang w:val="et-EE"/>
        </w:rPr>
        <w:t>-d</w:t>
      </w:r>
      <w:r w:rsidRPr="00EC3BD7">
        <w:rPr>
          <w:b/>
          <w:bCs/>
          <w:color w:val="000000"/>
          <w:sz w:val="22"/>
          <w:szCs w:val="22"/>
          <w:lang w:val="et-EE"/>
        </w:rPr>
        <w:t>:</w:t>
      </w:r>
    </w:p>
    <w:p w14:paraId="37BD8E90" w14:textId="77777777" w:rsidR="00DA3205" w:rsidRPr="00EC3BD7" w:rsidRDefault="00DA3205" w:rsidP="00DA3205">
      <w:pPr>
        <w:pStyle w:val="Text"/>
        <w:widowControl w:val="0"/>
        <w:spacing w:before="0"/>
        <w:ind w:left="567"/>
        <w:jc w:val="left"/>
        <w:rPr>
          <w:color w:val="000000"/>
          <w:sz w:val="22"/>
          <w:szCs w:val="22"/>
          <w:lang w:val="et-EE"/>
        </w:rPr>
      </w:pPr>
      <w:r w:rsidRPr="00EC3BD7">
        <w:rPr>
          <w:color w:val="000000"/>
          <w:sz w:val="22"/>
          <w:szCs w:val="22"/>
          <w:lang w:val="et-EE"/>
        </w:rPr>
        <w:t xml:space="preserve">On algannus 400 mg, mis võetakse sisse 4 kapslina </w:t>
      </w:r>
      <w:r w:rsidRPr="00EC3BD7">
        <w:rPr>
          <w:b/>
          <w:bCs/>
          <w:color w:val="000000"/>
          <w:sz w:val="22"/>
          <w:szCs w:val="22"/>
          <w:lang w:val="et-EE"/>
        </w:rPr>
        <w:t>üks kord</w:t>
      </w:r>
      <w:r w:rsidRPr="00EC3BD7">
        <w:rPr>
          <w:color w:val="000000"/>
          <w:sz w:val="22"/>
          <w:szCs w:val="22"/>
          <w:lang w:val="et-EE"/>
        </w:rPr>
        <w:t xml:space="preserve"> ööpäevas.</w:t>
      </w:r>
    </w:p>
    <w:p w14:paraId="7E12F04B" w14:textId="77777777" w:rsidR="00DA3205" w:rsidRPr="00EC3BD7" w:rsidRDefault="00DA3205" w:rsidP="00DA3205">
      <w:pPr>
        <w:pStyle w:val="Text"/>
        <w:widowControl w:val="0"/>
        <w:spacing w:before="0"/>
        <w:ind w:left="567" w:hanging="567"/>
        <w:jc w:val="left"/>
        <w:rPr>
          <w:color w:val="000000"/>
          <w:sz w:val="22"/>
          <w:szCs w:val="22"/>
          <w:lang w:val="et-EE"/>
        </w:rPr>
      </w:pPr>
    </w:p>
    <w:p w14:paraId="3799601D" w14:textId="0B971ED3" w:rsidR="00DA3205" w:rsidRPr="00EC3BD7" w:rsidRDefault="00DA3205" w:rsidP="00B9089D">
      <w:pPr>
        <w:pStyle w:val="Text"/>
        <w:keepNext/>
        <w:widowControl w:val="0"/>
        <w:numPr>
          <w:ilvl w:val="0"/>
          <w:numId w:val="18"/>
        </w:numPr>
        <w:tabs>
          <w:tab w:val="clear" w:pos="360"/>
          <w:tab w:val="num" w:pos="567"/>
        </w:tabs>
        <w:spacing w:before="0"/>
        <w:ind w:left="567" w:hanging="567"/>
        <w:jc w:val="left"/>
        <w:rPr>
          <w:color w:val="000000"/>
          <w:sz w:val="22"/>
          <w:szCs w:val="22"/>
          <w:lang w:val="et-EE"/>
        </w:rPr>
      </w:pPr>
      <w:r w:rsidRPr="00EC3BD7">
        <w:rPr>
          <w:b/>
          <w:bCs/>
          <w:color w:val="000000"/>
          <w:sz w:val="22"/>
          <w:szCs w:val="22"/>
          <w:lang w:val="et-EE"/>
        </w:rPr>
        <w:lastRenderedPageBreak/>
        <w:t>Kui teil ravitakse HES/KEL</w:t>
      </w:r>
      <w:r w:rsidR="00DD0F07">
        <w:rPr>
          <w:b/>
          <w:bCs/>
          <w:color w:val="000000"/>
          <w:sz w:val="22"/>
          <w:szCs w:val="22"/>
          <w:lang w:val="et-EE"/>
        </w:rPr>
        <w:t>-</w:t>
      </w:r>
      <w:r w:rsidRPr="00EC3BD7">
        <w:rPr>
          <w:b/>
          <w:bCs/>
          <w:color w:val="000000"/>
          <w:sz w:val="22"/>
          <w:szCs w:val="22"/>
          <w:lang w:val="et-EE"/>
        </w:rPr>
        <w:t>i:</w:t>
      </w:r>
    </w:p>
    <w:p w14:paraId="1208FD8C" w14:textId="77777777" w:rsidR="00DA3205" w:rsidRPr="00EC3BD7" w:rsidRDefault="00DA3205" w:rsidP="009A3C30">
      <w:pPr>
        <w:pStyle w:val="Text"/>
        <w:keepLines/>
        <w:widowControl w:val="0"/>
        <w:spacing w:before="0"/>
        <w:ind w:left="567"/>
        <w:jc w:val="left"/>
        <w:rPr>
          <w:color w:val="000000"/>
          <w:sz w:val="22"/>
          <w:szCs w:val="22"/>
          <w:lang w:val="et-EE"/>
        </w:rPr>
      </w:pPr>
      <w:r w:rsidRPr="00EC3BD7">
        <w:rPr>
          <w:color w:val="000000"/>
          <w:sz w:val="22"/>
          <w:szCs w:val="22"/>
          <w:lang w:val="et-EE"/>
        </w:rPr>
        <w:t xml:space="preserve">On algannuseks 100 mg, mis võetakse ühe kapslina </w:t>
      </w:r>
      <w:r w:rsidRPr="00EC3BD7">
        <w:rPr>
          <w:b/>
          <w:bCs/>
          <w:color w:val="000000"/>
          <w:sz w:val="22"/>
          <w:szCs w:val="22"/>
          <w:lang w:val="et-EE"/>
        </w:rPr>
        <w:t>üks kord</w:t>
      </w:r>
      <w:r w:rsidRPr="00EC3BD7">
        <w:rPr>
          <w:color w:val="000000"/>
          <w:sz w:val="22"/>
          <w:szCs w:val="22"/>
          <w:lang w:val="et-EE"/>
        </w:rPr>
        <w:t xml:space="preserve"> ööpäevas. Sõltuvalt ravivastusest võib arst otsustada suurendada annust kuni 400 milligrammini, mis võetakse sisse 4 kapslina </w:t>
      </w:r>
      <w:r w:rsidRPr="00EC3BD7">
        <w:rPr>
          <w:b/>
          <w:bCs/>
          <w:color w:val="000000"/>
          <w:sz w:val="22"/>
          <w:szCs w:val="22"/>
          <w:lang w:val="et-EE"/>
        </w:rPr>
        <w:t>üks kord</w:t>
      </w:r>
      <w:r w:rsidRPr="00EC3BD7">
        <w:rPr>
          <w:color w:val="000000"/>
          <w:sz w:val="22"/>
          <w:szCs w:val="22"/>
          <w:lang w:val="et-EE"/>
        </w:rPr>
        <w:t xml:space="preserve"> ööpäevas.</w:t>
      </w:r>
    </w:p>
    <w:p w14:paraId="7DF3A27F" w14:textId="77777777" w:rsidR="00DA3205" w:rsidRPr="00EC3BD7" w:rsidRDefault="00DA3205" w:rsidP="00DA3205">
      <w:pPr>
        <w:pStyle w:val="Text"/>
        <w:widowControl w:val="0"/>
        <w:spacing w:before="0"/>
        <w:jc w:val="left"/>
        <w:rPr>
          <w:color w:val="000000"/>
          <w:sz w:val="22"/>
          <w:szCs w:val="22"/>
          <w:lang w:val="et-EE"/>
        </w:rPr>
      </w:pPr>
    </w:p>
    <w:p w14:paraId="06ADDCA6" w14:textId="3F8649F6" w:rsidR="00DA3205" w:rsidRPr="00EC3BD7" w:rsidRDefault="00DA3205" w:rsidP="009A3C30">
      <w:pPr>
        <w:pStyle w:val="Text"/>
        <w:keepNext/>
        <w:widowControl w:val="0"/>
        <w:numPr>
          <w:ilvl w:val="0"/>
          <w:numId w:val="18"/>
        </w:numPr>
        <w:tabs>
          <w:tab w:val="clear" w:pos="360"/>
          <w:tab w:val="num" w:pos="567"/>
        </w:tabs>
        <w:spacing w:before="0"/>
        <w:ind w:left="567" w:hanging="567"/>
        <w:jc w:val="left"/>
        <w:rPr>
          <w:b/>
          <w:bCs/>
          <w:color w:val="000000"/>
          <w:sz w:val="22"/>
          <w:szCs w:val="22"/>
          <w:lang w:val="et-EE"/>
        </w:rPr>
      </w:pPr>
      <w:r w:rsidRPr="00EC3BD7">
        <w:rPr>
          <w:b/>
          <w:bCs/>
          <w:color w:val="000000"/>
          <w:sz w:val="22"/>
          <w:szCs w:val="22"/>
          <w:lang w:val="et-EE"/>
        </w:rPr>
        <w:t>Kui teil ravitakse PDFS</w:t>
      </w:r>
      <w:r w:rsidR="00DD0F07">
        <w:rPr>
          <w:b/>
          <w:bCs/>
          <w:color w:val="000000"/>
          <w:sz w:val="22"/>
          <w:szCs w:val="22"/>
          <w:lang w:val="et-EE"/>
        </w:rPr>
        <w:t>-</w:t>
      </w:r>
      <w:r w:rsidRPr="00EC3BD7">
        <w:rPr>
          <w:b/>
          <w:bCs/>
          <w:color w:val="000000"/>
          <w:sz w:val="22"/>
          <w:szCs w:val="22"/>
          <w:lang w:val="et-EE"/>
        </w:rPr>
        <w:t>i:</w:t>
      </w:r>
    </w:p>
    <w:p w14:paraId="56F67F2E" w14:textId="77777777" w:rsidR="00DA3205" w:rsidRPr="00EC3BD7" w:rsidRDefault="00DA3205" w:rsidP="00DA3205">
      <w:pPr>
        <w:pStyle w:val="Text"/>
        <w:widowControl w:val="0"/>
        <w:spacing w:before="0"/>
        <w:ind w:left="567"/>
        <w:jc w:val="left"/>
        <w:rPr>
          <w:color w:val="000000"/>
          <w:sz w:val="22"/>
          <w:szCs w:val="22"/>
          <w:lang w:val="et-EE"/>
        </w:rPr>
      </w:pPr>
      <w:r w:rsidRPr="00EC3BD7">
        <w:rPr>
          <w:color w:val="000000"/>
          <w:sz w:val="22"/>
          <w:szCs w:val="22"/>
          <w:lang w:val="et-EE"/>
        </w:rPr>
        <w:t>On annus 800 mg ööpäevas (8 kapslit</w:t>
      </w:r>
      <w:r w:rsidRPr="00EC3BD7">
        <w:rPr>
          <w:b/>
          <w:bCs/>
          <w:color w:val="000000"/>
          <w:sz w:val="22"/>
          <w:szCs w:val="22"/>
          <w:lang w:val="et-EE"/>
        </w:rPr>
        <w:t>)</w:t>
      </w:r>
      <w:r w:rsidRPr="00EC3BD7">
        <w:rPr>
          <w:color w:val="000000"/>
          <w:sz w:val="22"/>
          <w:szCs w:val="22"/>
          <w:lang w:val="et-EE"/>
        </w:rPr>
        <w:t>, mis võetakse sisse 4 kapslina hommikul ja 4 kapslina õhtul.</w:t>
      </w:r>
    </w:p>
    <w:p w14:paraId="4979EE5D" w14:textId="77777777" w:rsidR="00DA3205" w:rsidRPr="00EC3BD7" w:rsidRDefault="00DA3205" w:rsidP="00DA3205">
      <w:pPr>
        <w:pStyle w:val="Text"/>
        <w:widowControl w:val="0"/>
        <w:spacing w:before="0"/>
        <w:jc w:val="left"/>
        <w:rPr>
          <w:bCs/>
          <w:color w:val="000000"/>
          <w:sz w:val="22"/>
          <w:szCs w:val="22"/>
          <w:lang w:val="et-EE"/>
        </w:rPr>
      </w:pPr>
    </w:p>
    <w:p w14:paraId="65BA39C7" w14:textId="77777777" w:rsidR="00DA3205" w:rsidRPr="00EC3BD7" w:rsidRDefault="00DA3205" w:rsidP="00B9089D">
      <w:pPr>
        <w:pStyle w:val="Text"/>
        <w:keepNext/>
        <w:widowControl w:val="0"/>
        <w:spacing w:before="0"/>
        <w:jc w:val="left"/>
        <w:rPr>
          <w:b/>
          <w:bCs/>
          <w:color w:val="000000"/>
          <w:sz w:val="22"/>
          <w:szCs w:val="22"/>
          <w:lang w:val="et-EE"/>
        </w:rPr>
      </w:pPr>
      <w:r w:rsidRPr="00EC3BD7">
        <w:rPr>
          <w:b/>
          <w:bCs/>
          <w:color w:val="000000"/>
          <w:sz w:val="22"/>
          <w:szCs w:val="22"/>
          <w:lang w:val="et-EE"/>
        </w:rPr>
        <w:t>Kasutamine lastel</w:t>
      </w:r>
      <w:r w:rsidR="00C4231E" w:rsidRPr="00EC3BD7">
        <w:rPr>
          <w:b/>
          <w:bCs/>
          <w:color w:val="000000"/>
          <w:sz w:val="22"/>
          <w:szCs w:val="22"/>
          <w:lang w:val="et-EE"/>
        </w:rPr>
        <w:t xml:space="preserve"> ja noorukitel</w:t>
      </w:r>
    </w:p>
    <w:p w14:paraId="344778E3" w14:textId="58BC6DC3" w:rsidR="00DA3205" w:rsidRPr="00EC3BD7" w:rsidRDefault="00DA3205" w:rsidP="00DA3205">
      <w:pPr>
        <w:pStyle w:val="Text"/>
        <w:widowControl w:val="0"/>
        <w:spacing w:before="0"/>
        <w:jc w:val="left"/>
        <w:rPr>
          <w:color w:val="000000"/>
          <w:sz w:val="22"/>
          <w:szCs w:val="22"/>
          <w:lang w:val="et-EE"/>
        </w:rPr>
      </w:pPr>
      <w:r w:rsidRPr="00EC3BD7">
        <w:rPr>
          <w:color w:val="000000"/>
          <w:sz w:val="22"/>
          <w:szCs w:val="22"/>
          <w:lang w:val="et-EE"/>
        </w:rPr>
        <w:t>Arst ütleb teile, mitu Gliveci kapslit lapsele anda. Gliveci annus sõltub teie lapse seisundist, kehakaalust ja pikkusest. Ööpäevane annus lastel ei tohi ületada 800 mg</w:t>
      </w:r>
      <w:r w:rsidR="002A76F6" w:rsidRPr="00EC3BD7">
        <w:rPr>
          <w:color w:val="000000"/>
          <w:sz w:val="22"/>
          <w:szCs w:val="22"/>
          <w:lang w:val="et-EE"/>
        </w:rPr>
        <w:t xml:space="preserve"> KML</w:t>
      </w:r>
      <w:r w:rsidR="00DD0F07">
        <w:rPr>
          <w:color w:val="000000"/>
          <w:sz w:val="22"/>
          <w:szCs w:val="22"/>
          <w:lang w:val="et-EE"/>
        </w:rPr>
        <w:t>-</w:t>
      </w:r>
      <w:r w:rsidR="002A76F6" w:rsidRPr="00EC3BD7">
        <w:rPr>
          <w:color w:val="000000"/>
          <w:sz w:val="22"/>
          <w:szCs w:val="22"/>
          <w:lang w:val="et-EE"/>
        </w:rPr>
        <w:t xml:space="preserve">i </w:t>
      </w:r>
      <w:r w:rsidR="002C30EA" w:rsidRPr="00EC3BD7">
        <w:rPr>
          <w:color w:val="000000"/>
          <w:sz w:val="22"/>
          <w:szCs w:val="22"/>
          <w:lang w:val="et-EE"/>
        </w:rPr>
        <w:t>puhu</w:t>
      </w:r>
      <w:r w:rsidR="002A76F6" w:rsidRPr="00EC3BD7">
        <w:rPr>
          <w:color w:val="000000"/>
          <w:sz w:val="22"/>
          <w:szCs w:val="22"/>
          <w:lang w:val="et-EE"/>
        </w:rPr>
        <w:t>l ning 600 mg Ph</w:t>
      </w:r>
      <w:r w:rsidR="002A76F6" w:rsidRPr="00EC3BD7">
        <w:rPr>
          <w:color w:val="000000"/>
          <w:sz w:val="22"/>
          <w:szCs w:val="22"/>
          <w:lang w:val="et-EE"/>
        </w:rPr>
        <w:noBreakHyphen/>
        <w:t>positiivse ALL</w:t>
      </w:r>
      <w:r w:rsidR="00DD0F07">
        <w:rPr>
          <w:color w:val="000000"/>
          <w:sz w:val="22"/>
          <w:szCs w:val="22"/>
          <w:lang w:val="et-EE"/>
        </w:rPr>
        <w:t>-</w:t>
      </w:r>
      <w:r w:rsidR="002A76F6" w:rsidRPr="00EC3BD7">
        <w:rPr>
          <w:color w:val="000000"/>
          <w:sz w:val="22"/>
          <w:szCs w:val="22"/>
          <w:lang w:val="et-EE"/>
        </w:rPr>
        <w:t xml:space="preserve">i </w:t>
      </w:r>
      <w:r w:rsidR="00FC3ABB" w:rsidRPr="00EC3BD7">
        <w:rPr>
          <w:color w:val="000000"/>
          <w:sz w:val="22"/>
          <w:szCs w:val="22"/>
          <w:lang w:val="et-EE"/>
        </w:rPr>
        <w:t>puhu</w:t>
      </w:r>
      <w:r w:rsidR="002A76F6" w:rsidRPr="00EC3BD7">
        <w:rPr>
          <w:color w:val="000000"/>
          <w:sz w:val="22"/>
          <w:szCs w:val="22"/>
          <w:lang w:val="et-EE"/>
        </w:rPr>
        <w:t>l</w:t>
      </w:r>
      <w:r w:rsidRPr="00EC3BD7">
        <w:rPr>
          <w:color w:val="000000"/>
          <w:sz w:val="22"/>
          <w:szCs w:val="22"/>
          <w:lang w:val="et-EE"/>
        </w:rPr>
        <w:t>. Ravimit võib anda kas ühekordse ööpäevase annusena või teise võimalusena jagada ööpäevane annus kaheks manustamiskorraks (pool annust hommikul ja pool annust õhtul).</w:t>
      </w:r>
    </w:p>
    <w:p w14:paraId="34F55E07" w14:textId="77777777" w:rsidR="00DA3205" w:rsidRPr="00EC3BD7" w:rsidRDefault="00DA3205" w:rsidP="00DA3205">
      <w:pPr>
        <w:pStyle w:val="Heading2"/>
        <w:keepNext w:val="0"/>
        <w:widowControl w:val="0"/>
        <w:spacing w:before="0" w:after="0" w:line="240" w:lineRule="auto"/>
        <w:rPr>
          <w:rFonts w:ascii="Times New Roman" w:hAnsi="Times New Roman"/>
          <w:b w:val="0"/>
          <w:i w:val="0"/>
          <w:color w:val="000000"/>
          <w:sz w:val="22"/>
          <w:szCs w:val="22"/>
          <w:lang w:val="et-EE"/>
        </w:rPr>
      </w:pPr>
    </w:p>
    <w:p w14:paraId="442509E9" w14:textId="77777777" w:rsidR="00DA3205" w:rsidRPr="00EC3BD7" w:rsidRDefault="00DA3205" w:rsidP="00B9089D">
      <w:pPr>
        <w:pStyle w:val="Text"/>
        <w:keepNext/>
        <w:widowControl w:val="0"/>
        <w:spacing w:before="0"/>
        <w:jc w:val="left"/>
        <w:rPr>
          <w:b/>
          <w:color w:val="000000"/>
          <w:sz w:val="22"/>
          <w:szCs w:val="22"/>
          <w:lang w:val="et-EE"/>
        </w:rPr>
      </w:pPr>
      <w:r w:rsidRPr="00EC3BD7">
        <w:rPr>
          <w:b/>
          <w:color w:val="000000"/>
          <w:sz w:val="22"/>
          <w:szCs w:val="22"/>
          <w:lang w:val="et-EE"/>
        </w:rPr>
        <w:t>Millal ja kuidas Glivecit võtta</w:t>
      </w:r>
    </w:p>
    <w:p w14:paraId="5BFA018A" w14:textId="77777777" w:rsidR="00DA3205" w:rsidRPr="00EC3BD7" w:rsidRDefault="00DA3205" w:rsidP="00DA3205">
      <w:pPr>
        <w:pStyle w:val="Text"/>
        <w:widowControl w:val="0"/>
        <w:numPr>
          <w:ilvl w:val="0"/>
          <w:numId w:val="19"/>
        </w:numPr>
        <w:tabs>
          <w:tab w:val="clear" w:pos="927"/>
          <w:tab w:val="num" w:pos="567"/>
        </w:tabs>
        <w:spacing w:before="0"/>
        <w:ind w:hanging="927"/>
        <w:jc w:val="left"/>
        <w:rPr>
          <w:bCs/>
          <w:color w:val="000000"/>
          <w:sz w:val="22"/>
          <w:szCs w:val="22"/>
          <w:lang w:val="et-EE"/>
        </w:rPr>
      </w:pPr>
      <w:r w:rsidRPr="00EC3BD7">
        <w:rPr>
          <w:b/>
          <w:color w:val="000000"/>
          <w:sz w:val="22"/>
          <w:szCs w:val="22"/>
          <w:lang w:val="et-EE"/>
        </w:rPr>
        <w:t xml:space="preserve">Võtke Glivec sisse söögi ajal. </w:t>
      </w:r>
      <w:r w:rsidRPr="00EC3BD7">
        <w:rPr>
          <w:bCs/>
          <w:color w:val="000000"/>
          <w:sz w:val="22"/>
          <w:szCs w:val="22"/>
          <w:lang w:val="et-EE"/>
        </w:rPr>
        <w:t>See aitab kaitsta magu, kui te võtate Glivecit.</w:t>
      </w:r>
    </w:p>
    <w:p w14:paraId="2119F96E" w14:textId="77777777" w:rsidR="00DA3205" w:rsidRPr="00EC3BD7" w:rsidRDefault="00DA3205" w:rsidP="00DA3205">
      <w:pPr>
        <w:pStyle w:val="Text"/>
        <w:widowControl w:val="0"/>
        <w:numPr>
          <w:ilvl w:val="0"/>
          <w:numId w:val="19"/>
        </w:numPr>
        <w:tabs>
          <w:tab w:val="clear" w:pos="927"/>
          <w:tab w:val="num" w:pos="567"/>
        </w:tabs>
        <w:spacing w:before="0"/>
        <w:ind w:left="567" w:hanging="567"/>
        <w:jc w:val="left"/>
        <w:rPr>
          <w:color w:val="000000"/>
          <w:sz w:val="22"/>
          <w:szCs w:val="22"/>
          <w:lang w:val="et-EE"/>
        </w:rPr>
      </w:pPr>
      <w:r w:rsidRPr="00EC3BD7">
        <w:rPr>
          <w:b/>
          <w:color w:val="000000"/>
          <w:sz w:val="22"/>
          <w:szCs w:val="22"/>
          <w:lang w:val="et-EE"/>
        </w:rPr>
        <w:t xml:space="preserve">Neelake kapslid tervelt koos suure klaasitäie veega. </w:t>
      </w:r>
      <w:r w:rsidRPr="00EC3BD7">
        <w:rPr>
          <w:color w:val="000000"/>
          <w:sz w:val="22"/>
          <w:szCs w:val="22"/>
          <w:lang w:val="et-EE"/>
        </w:rPr>
        <w:t>Ärge avage ega purustage kapsleid välja arvatud juhul, kui neid on raske neelata (näiteks lastel).</w:t>
      </w:r>
    </w:p>
    <w:p w14:paraId="7C82B2D2" w14:textId="77777777" w:rsidR="00DA3205" w:rsidRPr="00EC3BD7" w:rsidRDefault="00DA3205" w:rsidP="00DA3205">
      <w:pPr>
        <w:pStyle w:val="Text"/>
        <w:widowControl w:val="0"/>
        <w:numPr>
          <w:ilvl w:val="0"/>
          <w:numId w:val="19"/>
        </w:numPr>
        <w:tabs>
          <w:tab w:val="clear" w:pos="927"/>
          <w:tab w:val="num" w:pos="567"/>
        </w:tabs>
        <w:spacing w:before="0"/>
        <w:ind w:left="567" w:hanging="567"/>
        <w:jc w:val="left"/>
        <w:rPr>
          <w:color w:val="000000"/>
          <w:sz w:val="22"/>
          <w:szCs w:val="22"/>
          <w:lang w:val="et-EE"/>
        </w:rPr>
      </w:pPr>
      <w:r w:rsidRPr="00EC3BD7">
        <w:rPr>
          <w:color w:val="000000"/>
          <w:sz w:val="22"/>
          <w:szCs w:val="22"/>
          <w:lang w:val="et-EE"/>
        </w:rPr>
        <w:t>Kui te ei suuda kapsleid neelata, võite need avada ja valada pulbri klaasi gaseerimata vee või õunamahla hulka.</w:t>
      </w:r>
    </w:p>
    <w:p w14:paraId="3D131587" w14:textId="77777777" w:rsidR="00DA3205" w:rsidRPr="00EC3BD7" w:rsidRDefault="00DA3205" w:rsidP="00DA3205">
      <w:pPr>
        <w:pStyle w:val="Text"/>
        <w:widowControl w:val="0"/>
        <w:numPr>
          <w:ilvl w:val="0"/>
          <w:numId w:val="19"/>
        </w:numPr>
        <w:tabs>
          <w:tab w:val="clear" w:pos="927"/>
          <w:tab w:val="num" w:pos="567"/>
        </w:tabs>
        <w:spacing w:before="0"/>
        <w:ind w:left="567" w:hanging="567"/>
        <w:jc w:val="left"/>
        <w:rPr>
          <w:color w:val="000000"/>
          <w:sz w:val="22"/>
          <w:szCs w:val="22"/>
          <w:lang w:val="et-EE"/>
        </w:rPr>
      </w:pPr>
      <w:r w:rsidRPr="00EC3BD7">
        <w:rPr>
          <w:color w:val="000000"/>
          <w:sz w:val="22"/>
          <w:szCs w:val="22"/>
          <w:lang w:val="et-EE"/>
        </w:rPr>
        <w:t>Kui olete naine, kes on rase või kes võib jääda rasedaks ja te avate kapsleid, peate kapslite sisu käsitsema ettevaatlikult, et vältida ravimi kontakti naha või silmadega või ravimi sissehingamist. Pärast kapslite avamist tuleb käed viivitamatult puhtaks pesta.</w:t>
      </w:r>
    </w:p>
    <w:p w14:paraId="202DC3F9" w14:textId="77777777" w:rsidR="00DA3205" w:rsidRPr="00EC3BD7" w:rsidRDefault="00DA3205" w:rsidP="00DA3205">
      <w:pPr>
        <w:pStyle w:val="Heading2"/>
        <w:keepNext w:val="0"/>
        <w:widowControl w:val="0"/>
        <w:spacing w:before="0" w:after="0" w:line="240" w:lineRule="auto"/>
        <w:rPr>
          <w:rFonts w:ascii="Times New Roman" w:hAnsi="Times New Roman"/>
          <w:b w:val="0"/>
          <w:i w:val="0"/>
          <w:color w:val="000000"/>
          <w:sz w:val="22"/>
          <w:szCs w:val="22"/>
          <w:lang w:val="et-EE"/>
        </w:rPr>
      </w:pPr>
    </w:p>
    <w:p w14:paraId="16C3D877" w14:textId="77777777" w:rsidR="00DA3205" w:rsidRPr="00EC3BD7" w:rsidRDefault="00DA3205" w:rsidP="00B9089D">
      <w:pPr>
        <w:pStyle w:val="Heading2"/>
        <w:widowControl w:val="0"/>
        <w:spacing w:before="0" w:after="0" w:line="240" w:lineRule="auto"/>
        <w:rPr>
          <w:rFonts w:ascii="Times New Roman" w:hAnsi="Times New Roman"/>
          <w:i w:val="0"/>
          <w:color w:val="000000"/>
          <w:sz w:val="22"/>
          <w:szCs w:val="22"/>
          <w:lang w:val="et-EE"/>
        </w:rPr>
      </w:pPr>
      <w:r w:rsidRPr="00EC3BD7">
        <w:rPr>
          <w:rFonts w:ascii="Times New Roman" w:hAnsi="Times New Roman"/>
          <w:i w:val="0"/>
          <w:color w:val="000000"/>
          <w:sz w:val="22"/>
          <w:szCs w:val="22"/>
          <w:lang w:val="et-EE"/>
        </w:rPr>
        <w:t>Kui kaua Glivecit võtta</w:t>
      </w:r>
    </w:p>
    <w:p w14:paraId="7253F8C3" w14:textId="77777777" w:rsidR="00DA3205" w:rsidRPr="00EC3BD7" w:rsidRDefault="00DA3205" w:rsidP="00DA3205">
      <w:pPr>
        <w:pStyle w:val="Text"/>
        <w:widowControl w:val="0"/>
        <w:spacing w:before="0"/>
        <w:jc w:val="left"/>
        <w:rPr>
          <w:color w:val="000000"/>
          <w:sz w:val="22"/>
          <w:szCs w:val="22"/>
          <w:lang w:val="et-EE"/>
        </w:rPr>
      </w:pPr>
      <w:r w:rsidRPr="00EC3BD7">
        <w:rPr>
          <w:color w:val="000000"/>
          <w:sz w:val="22"/>
          <w:szCs w:val="22"/>
          <w:lang w:val="et-EE"/>
        </w:rPr>
        <w:t>Jätkake Gliveci võtmist iga päev nii kaua, kui arst on teile määranud.</w:t>
      </w:r>
    </w:p>
    <w:p w14:paraId="1A7B3F23" w14:textId="77777777" w:rsidR="00DA3205" w:rsidRPr="00EC3BD7" w:rsidRDefault="00DA3205" w:rsidP="00DA3205">
      <w:pPr>
        <w:pStyle w:val="Text"/>
        <w:widowControl w:val="0"/>
        <w:spacing w:before="0"/>
        <w:jc w:val="left"/>
        <w:rPr>
          <w:color w:val="000000"/>
          <w:sz w:val="22"/>
          <w:szCs w:val="22"/>
          <w:lang w:val="et-EE"/>
        </w:rPr>
      </w:pPr>
    </w:p>
    <w:p w14:paraId="0531E395" w14:textId="77777777" w:rsidR="00DA3205" w:rsidRPr="00EC3BD7" w:rsidRDefault="00DA3205" w:rsidP="00B9089D">
      <w:pPr>
        <w:keepNext/>
        <w:widowControl w:val="0"/>
        <w:numPr>
          <w:ilvl w:val="12"/>
          <w:numId w:val="0"/>
        </w:numPr>
        <w:tabs>
          <w:tab w:val="clear" w:pos="567"/>
        </w:tabs>
        <w:spacing w:line="240" w:lineRule="auto"/>
        <w:ind w:right="-2"/>
        <w:rPr>
          <w:color w:val="000000"/>
          <w:szCs w:val="22"/>
          <w:lang w:val="et-EE"/>
        </w:rPr>
      </w:pPr>
      <w:r w:rsidRPr="00EC3BD7">
        <w:rPr>
          <w:b/>
          <w:color w:val="000000"/>
          <w:szCs w:val="22"/>
          <w:lang w:val="et-EE"/>
        </w:rPr>
        <w:t>Kui te võtate Glivecit rohkem kui ette nähtud</w:t>
      </w:r>
    </w:p>
    <w:p w14:paraId="65F471A4" w14:textId="77777777" w:rsidR="00DA3205" w:rsidRPr="00EC3BD7" w:rsidRDefault="00DA3205" w:rsidP="00DA3205">
      <w:pPr>
        <w:rPr>
          <w:color w:val="000000"/>
          <w:szCs w:val="22"/>
          <w:lang w:val="et-EE"/>
        </w:rPr>
      </w:pPr>
      <w:r w:rsidRPr="00EC3BD7">
        <w:rPr>
          <w:color w:val="000000"/>
          <w:szCs w:val="22"/>
          <w:lang w:val="et-EE"/>
        </w:rPr>
        <w:t xml:space="preserve">Kui võtsite kogemata liiga palju kapsleid, </w:t>
      </w:r>
      <w:r w:rsidRPr="00EC3BD7">
        <w:rPr>
          <w:b/>
          <w:color w:val="000000"/>
          <w:szCs w:val="22"/>
          <w:lang w:val="et-EE"/>
        </w:rPr>
        <w:t>võtke viivitamatult ühendust arstiga</w:t>
      </w:r>
      <w:r w:rsidRPr="00EC3BD7">
        <w:rPr>
          <w:color w:val="000000"/>
          <w:szCs w:val="22"/>
          <w:lang w:val="et-EE"/>
        </w:rPr>
        <w:t>. Te võite vajada meditsiinilist abi. Võtke ravimipakk endaga kaasa.</w:t>
      </w:r>
    </w:p>
    <w:p w14:paraId="6DB8885A" w14:textId="77777777" w:rsidR="00DA3205" w:rsidRPr="00EC3BD7" w:rsidRDefault="00DA3205" w:rsidP="00DA3205">
      <w:pPr>
        <w:pStyle w:val="Text"/>
        <w:widowControl w:val="0"/>
        <w:spacing w:before="0"/>
        <w:jc w:val="left"/>
        <w:rPr>
          <w:color w:val="000000"/>
          <w:sz w:val="22"/>
          <w:szCs w:val="22"/>
          <w:lang w:val="et-EE"/>
        </w:rPr>
      </w:pPr>
    </w:p>
    <w:p w14:paraId="5B53D47D" w14:textId="77777777" w:rsidR="00DA3205" w:rsidRPr="00EC3BD7" w:rsidRDefault="00DA3205" w:rsidP="00B9089D">
      <w:pPr>
        <w:keepNext/>
        <w:numPr>
          <w:ilvl w:val="12"/>
          <w:numId w:val="0"/>
        </w:numPr>
        <w:tabs>
          <w:tab w:val="clear" w:pos="567"/>
        </w:tabs>
        <w:spacing w:line="240" w:lineRule="auto"/>
        <w:ind w:right="-2"/>
        <w:rPr>
          <w:b/>
          <w:color w:val="000000"/>
          <w:szCs w:val="22"/>
          <w:lang w:val="et-EE"/>
        </w:rPr>
      </w:pPr>
      <w:r w:rsidRPr="00EC3BD7">
        <w:rPr>
          <w:b/>
          <w:color w:val="000000"/>
          <w:szCs w:val="22"/>
          <w:lang w:val="et-EE"/>
        </w:rPr>
        <w:t>Kui te unustate Glivecit võtta</w:t>
      </w:r>
    </w:p>
    <w:p w14:paraId="3A0B998D" w14:textId="77777777" w:rsidR="00DA3205" w:rsidRPr="00EC3BD7" w:rsidRDefault="00DA3205" w:rsidP="00DA3205">
      <w:pPr>
        <w:widowControl w:val="0"/>
        <w:numPr>
          <w:ilvl w:val="0"/>
          <w:numId w:val="20"/>
        </w:numPr>
        <w:tabs>
          <w:tab w:val="clear" w:pos="567"/>
        </w:tabs>
        <w:spacing w:line="240" w:lineRule="auto"/>
        <w:ind w:left="567" w:right="-2" w:hanging="567"/>
        <w:rPr>
          <w:color w:val="000000"/>
          <w:szCs w:val="22"/>
          <w:lang w:val="et-EE"/>
        </w:rPr>
      </w:pPr>
      <w:r w:rsidRPr="00EC3BD7">
        <w:rPr>
          <w:color w:val="000000"/>
          <w:szCs w:val="22"/>
          <w:lang w:val="et-EE"/>
        </w:rPr>
        <w:t>Kui te unustate ühe annuse võtta, võtke see kohe, kui see teile meenub. Kui juba on peaaegu järgmise annuse võtmise aeg, jätke ununenud annus vahele.</w:t>
      </w:r>
    </w:p>
    <w:p w14:paraId="6A0E7D67" w14:textId="77777777" w:rsidR="00DA3205" w:rsidRPr="00EC3BD7" w:rsidRDefault="00DA3205" w:rsidP="00DA3205">
      <w:pPr>
        <w:widowControl w:val="0"/>
        <w:numPr>
          <w:ilvl w:val="0"/>
          <w:numId w:val="20"/>
        </w:numPr>
        <w:tabs>
          <w:tab w:val="clear" w:pos="567"/>
        </w:tabs>
        <w:spacing w:line="240" w:lineRule="auto"/>
        <w:ind w:left="567" w:right="-2" w:hanging="567"/>
        <w:rPr>
          <w:color w:val="000000"/>
          <w:szCs w:val="22"/>
          <w:lang w:val="et-EE"/>
        </w:rPr>
      </w:pPr>
      <w:r w:rsidRPr="00EC3BD7">
        <w:rPr>
          <w:color w:val="000000"/>
          <w:szCs w:val="22"/>
          <w:lang w:val="et-EE"/>
        </w:rPr>
        <w:t>Jätkake ravimi võtmist nagu tavaliselt.</w:t>
      </w:r>
    </w:p>
    <w:p w14:paraId="48EDC7B0" w14:textId="77777777" w:rsidR="00DA3205" w:rsidRPr="00EC3BD7" w:rsidRDefault="00DA3205" w:rsidP="00DA3205">
      <w:pPr>
        <w:widowControl w:val="0"/>
        <w:numPr>
          <w:ilvl w:val="0"/>
          <w:numId w:val="20"/>
        </w:numPr>
        <w:tabs>
          <w:tab w:val="clear" w:pos="567"/>
        </w:tabs>
        <w:spacing w:line="240" w:lineRule="auto"/>
        <w:ind w:left="567" w:right="-2" w:hanging="567"/>
        <w:rPr>
          <w:color w:val="000000"/>
          <w:szCs w:val="22"/>
          <w:lang w:val="et-EE"/>
        </w:rPr>
      </w:pPr>
      <w:r w:rsidRPr="00EC3BD7">
        <w:rPr>
          <w:color w:val="000000"/>
          <w:szCs w:val="22"/>
          <w:lang w:val="et-EE"/>
        </w:rPr>
        <w:t>Ärge võtke kahekordset annust, kui annus jäi eelmisel korral võtmata.</w:t>
      </w:r>
    </w:p>
    <w:p w14:paraId="65127AA9" w14:textId="77777777" w:rsidR="00DA3205" w:rsidRPr="00EC3BD7" w:rsidRDefault="00DA3205" w:rsidP="00DA3205">
      <w:pPr>
        <w:numPr>
          <w:ilvl w:val="12"/>
          <w:numId w:val="0"/>
        </w:numPr>
        <w:tabs>
          <w:tab w:val="clear" w:pos="567"/>
        </w:tabs>
        <w:spacing w:line="240" w:lineRule="auto"/>
        <w:ind w:right="-2"/>
        <w:rPr>
          <w:color w:val="000000"/>
          <w:szCs w:val="22"/>
          <w:lang w:val="et-EE"/>
        </w:rPr>
      </w:pPr>
    </w:p>
    <w:p w14:paraId="10F8896D" w14:textId="77777777" w:rsidR="00DA3205" w:rsidRPr="00EC3BD7" w:rsidRDefault="00DA3205" w:rsidP="00DA3205">
      <w:pPr>
        <w:pStyle w:val="Text"/>
        <w:widowControl w:val="0"/>
        <w:spacing w:before="0"/>
        <w:jc w:val="left"/>
        <w:rPr>
          <w:color w:val="000000"/>
          <w:sz w:val="22"/>
          <w:szCs w:val="22"/>
          <w:lang w:val="et-EE"/>
        </w:rPr>
      </w:pPr>
      <w:r w:rsidRPr="00EC3BD7">
        <w:rPr>
          <w:bCs/>
          <w:color w:val="000000"/>
          <w:sz w:val="22"/>
          <w:szCs w:val="22"/>
          <w:lang w:val="et-EE"/>
        </w:rPr>
        <w:t xml:space="preserve">Kui teil on lisaküsimusi selle ravimi kasutamise kohta, </w:t>
      </w:r>
      <w:r w:rsidRPr="00EC3BD7">
        <w:rPr>
          <w:color w:val="000000"/>
          <w:sz w:val="22"/>
          <w:szCs w:val="22"/>
          <w:lang w:val="et-EE"/>
        </w:rPr>
        <w:t>pidage nõu oma arsti</w:t>
      </w:r>
      <w:r w:rsidR="00C4231E" w:rsidRPr="00EC3BD7">
        <w:rPr>
          <w:color w:val="000000"/>
          <w:sz w:val="22"/>
          <w:szCs w:val="22"/>
          <w:lang w:val="et-EE"/>
        </w:rPr>
        <w:t>,</w:t>
      </w:r>
      <w:r w:rsidRPr="00EC3BD7">
        <w:rPr>
          <w:color w:val="000000"/>
          <w:sz w:val="22"/>
          <w:szCs w:val="22"/>
          <w:lang w:val="et-EE"/>
        </w:rPr>
        <w:t xml:space="preserve"> apteekri</w:t>
      </w:r>
      <w:r w:rsidR="00C4231E" w:rsidRPr="00EC3BD7">
        <w:rPr>
          <w:color w:val="000000"/>
          <w:sz w:val="22"/>
          <w:szCs w:val="22"/>
          <w:lang w:val="et-EE"/>
        </w:rPr>
        <w:t xml:space="preserve"> või meditsiiniõega</w:t>
      </w:r>
      <w:r w:rsidRPr="00EC3BD7">
        <w:rPr>
          <w:bCs/>
          <w:color w:val="000000"/>
          <w:sz w:val="22"/>
          <w:szCs w:val="22"/>
          <w:lang w:val="et-EE"/>
        </w:rPr>
        <w:t>.</w:t>
      </w:r>
    </w:p>
    <w:p w14:paraId="29BCE0E2" w14:textId="77777777" w:rsidR="00DA3205" w:rsidRPr="00EC3BD7" w:rsidRDefault="00DA3205" w:rsidP="00DA3205">
      <w:pPr>
        <w:widowControl w:val="0"/>
        <w:numPr>
          <w:ilvl w:val="12"/>
          <w:numId w:val="0"/>
        </w:numPr>
        <w:tabs>
          <w:tab w:val="clear" w:pos="567"/>
        </w:tabs>
        <w:spacing w:line="240" w:lineRule="auto"/>
        <w:ind w:right="-2"/>
        <w:rPr>
          <w:color w:val="000000"/>
          <w:szCs w:val="22"/>
          <w:lang w:val="et-EE"/>
        </w:rPr>
      </w:pPr>
    </w:p>
    <w:p w14:paraId="4E0C001D" w14:textId="77777777" w:rsidR="00DA3205" w:rsidRPr="00EC3BD7" w:rsidRDefault="00DA3205" w:rsidP="00DA3205">
      <w:pPr>
        <w:widowControl w:val="0"/>
        <w:numPr>
          <w:ilvl w:val="12"/>
          <w:numId w:val="0"/>
        </w:numPr>
        <w:tabs>
          <w:tab w:val="clear" w:pos="567"/>
        </w:tabs>
        <w:spacing w:line="240" w:lineRule="auto"/>
        <w:ind w:right="-2"/>
        <w:rPr>
          <w:color w:val="000000"/>
          <w:szCs w:val="22"/>
          <w:lang w:val="et-EE"/>
        </w:rPr>
      </w:pPr>
    </w:p>
    <w:p w14:paraId="3D6D3359" w14:textId="77777777" w:rsidR="00E21A2F" w:rsidRPr="00EC3BD7" w:rsidRDefault="00E21A2F" w:rsidP="00B9089D">
      <w:pPr>
        <w:keepNext/>
        <w:widowControl w:val="0"/>
        <w:numPr>
          <w:ilvl w:val="12"/>
          <w:numId w:val="0"/>
        </w:numPr>
        <w:tabs>
          <w:tab w:val="clear" w:pos="567"/>
        </w:tabs>
        <w:spacing w:line="240" w:lineRule="auto"/>
        <w:ind w:left="567" w:right="-2" w:hanging="567"/>
        <w:rPr>
          <w:color w:val="000000"/>
          <w:szCs w:val="22"/>
          <w:lang w:val="et-EE"/>
        </w:rPr>
      </w:pPr>
      <w:r w:rsidRPr="00EC3BD7">
        <w:rPr>
          <w:b/>
          <w:color w:val="000000"/>
          <w:szCs w:val="22"/>
          <w:lang w:val="et-EE"/>
        </w:rPr>
        <w:t>4.</w:t>
      </w:r>
      <w:r w:rsidRPr="00EC3BD7">
        <w:rPr>
          <w:b/>
          <w:color w:val="000000"/>
          <w:szCs w:val="22"/>
          <w:lang w:val="et-EE"/>
        </w:rPr>
        <w:tab/>
      </w:r>
      <w:r w:rsidRPr="00EC3BD7">
        <w:rPr>
          <w:b/>
          <w:lang w:val="et-EE"/>
        </w:rPr>
        <w:t>Võimalikud kõrvaltoimed</w:t>
      </w:r>
    </w:p>
    <w:p w14:paraId="2157BCDE" w14:textId="77777777" w:rsidR="00E21A2F" w:rsidRPr="00EC3BD7" w:rsidRDefault="00E21A2F" w:rsidP="00B9089D">
      <w:pPr>
        <w:pStyle w:val="Text"/>
        <w:keepNext/>
        <w:widowControl w:val="0"/>
        <w:spacing w:before="0"/>
        <w:jc w:val="left"/>
        <w:rPr>
          <w:color w:val="000000"/>
          <w:sz w:val="22"/>
          <w:szCs w:val="22"/>
          <w:lang w:val="et-EE"/>
        </w:rPr>
      </w:pPr>
    </w:p>
    <w:p w14:paraId="3DF55AD4" w14:textId="77777777" w:rsidR="00E21A2F" w:rsidRPr="00EC3BD7" w:rsidRDefault="00E21A2F" w:rsidP="00E21A2F">
      <w:pPr>
        <w:numPr>
          <w:ilvl w:val="12"/>
          <w:numId w:val="0"/>
        </w:numPr>
        <w:tabs>
          <w:tab w:val="clear" w:pos="567"/>
        </w:tabs>
        <w:spacing w:line="240" w:lineRule="auto"/>
        <w:ind w:right="-29"/>
        <w:rPr>
          <w:color w:val="000000"/>
          <w:szCs w:val="22"/>
          <w:lang w:val="et-EE"/>
        </w:rPr>
      </w:pPr>
      <w:r w:rsidRPr="00EC3BD7">
        <w:rPr>
          <w:color w:val="000000"/>
          <w:szCs w:val="22"/>
          <w:lang w:val="et-EE"/>
        </w:rPr>
        <w:t>Nagu kõik ravimid, võib ka see ravim põhjustada kõrvaltoimeid, kuigi kõigil neid ei teki. Need on tavaliselt kerged kuni mõõdukad.</w:t>
      </w:r>
    </w:p>
    <w:p w14:paraId="08AA4A1D" w14:textId="77777777" w:rsidR="00E21A2F" w:rsidRPr="00EC3BD7" w:rsidRDefault="00E21A2F" w:rsidP="00E21A2F">
      <w:pPr>
        <w:pStyle w:val="Text"/>
        <w:widowControl w:val="0"/>
        <w:spacing w:before="0"/>
        <w:jc w:val="left"/>
        <w:rPr>
          <w:color w:val="000000"/>
          <w:sz w:val="22"/>
          <w:szCs w:val="22"/>
          <w:lang w:val="et-EE"/>
        </w:rPr>
      </w:pPr>
    </w:p>
    <w:p w14:paraId="07E9FEE0" w14:textId="77777777" w:rsidR="00E21A2F" w:rsidRPr="00EC3BD7" w:rsidRDefault="00E21A2F" w:rsidP="00B9089D">
      <w:pPr>
        <w:pStyle w:val="Heading4"/>
        <w:widowControl w:val="0"/>
        <w:spacing w:line="240" w:lineRule="auto"/>
        <w:jc w:val="left"/>
        <w:rPr>
          <w:noProof w:val="0"/>
          <w:color w:val="000000"/>
          <w:szCs w:val="22"/>
          <w:lang w:val="et-EE"/>
        </w:rPr>
      </w:pPr>
      <w:r w:rsidRPr="00EC3BD7">
        <w:rPr>
          <w:noProof w:val="0"/>
          <w:color w:val="000000"/>
          <w:szCs w:val="22"/>
          <w:lang w:val="et-EE"/>
        </w:rPr>
        <w:t>Mõned kõrvaltoimed võivad olla tõsised. Öelge oma arstile otsekohe, kui teil tekib ükskõik milline järgnevatest:</w:t>
      </w:r>
    </w:p>
    <w:p w14:paraId="36E37DAA" w14:textId="77777777" w:rsidR="00E21A2F" w:rsidRPr="00EC3BD7" w:rsidRDefault="00E21A2F" w:rsidP="00B9089D">
      <w:pPr>
        <w:keepNext/>
        <w:rPr>
          <w:color w:val="000000"/>
          <w:szCs w:val="22"/>
          <w:lang w:val="et-EE"/>
        </w:rPr>
      </w:pPr>
    </w:p>
    <w:p w14:paraId="5058B5A1" w14:textId="77777777" w:rsidR="00E21A2F" w:rsidRPr="00EC3BD7" w:rsidRDefault="00E21A2F" w:rsidP="00B9089D">
      <w:pPr>
        <w:keepNext/>
        <w:numPr>
          <w:ilvl w:val="12"/>
          <w:numId w:val="0"/>
        </w:numPr>
        <w:tabs>
          <w:tab w:val="clear" w:pos="567"/>
        </w:tabs>
        <w:spacing w:line="240" w:lineRule="auto"/>
        <w:ind w:right="-29"/>
        <w:rPr>
          <w:b/>
          <w:color w:val="000000"/>
          <w:szCs w:val="22"/>
          <w:lang w:val="et-EE"/>
        </w:rPr>
      </w:pPr>
      <w:r w:rsidRPr="00EC3BD7">
        <w:rPr>
          <w:b/>
          <w:color w:val="000000"/>
          <w:szCs w:val="22"/>
          <w:lang w:val="et-EE"/>
        </w:rPr>
        <w:t>Väga sage</w:t>
      </w:r>
      <w:r w:rsidRPr="00EC3BD7">
        <w:rPr>
          <w:color w:val="000000"/>
          <w:szCs w:val="22"/>
          <w:lang w:val="et-EE"/>
        </w:rPr>
        <w:t xml:space="preserve"> (võib mõjutada rohkem kui 1 patsienti 10-st)</w:t>
      </w:r>
      <w:r w:rsidRPr="00EC3BD7">
        <w:rPr>
          <w:b/>
          <w:color w:val="000000"/>
          <w:szCs w:val="22"/>
          <w:lang w:val="et-EE"/>
        </w:rPr>
        <w:t xml:space="preserve"> või sage</w:t>
      </w:r>
      <w:r w:rsidRPr="00EC3BD7">
        <w:rPr>
          <w:color w:val="000000"/>
          <w:szCs w:val="22"/>
          <w:lang w:val="et-EE"/>
        </w:rPr>
        <w:t xml:space="preserve"> (võib mõjutada kuni 1 patsienti 10-st):</w:t>
      </w:r>
    </w:p>
    <w:p w14:paraId="763CB747" w14:textId="77777777" w:rsidR="00E21A2F" w:rsidRPr="00EC3BD7" w:rsidRDefault="00E21A2F" w:rsidP="00E21A2F">
      <w:pPr>
        <w:pStyle w:val="Text"/>
        <w:widowControl w:val="0"/>
        <w:numPr>
          <w:ilvl w:val="0"/>
          <w:numId w:val="3"/>
        </w:numPr>
        <w:tabs>
          <w:tab w:val="clear" w:pos="360"/>
        </w:tabs>
        <w:spacing w:before="0"/>
        <w:ind w:left="567" w:hanging="567"/>
        <w:jc w:val="left"/>
        <w:rPr>
          <w:color w:val="000000"/>
          <w:sz w:val="22"/>
          <w:szCs w:val="22"/>
          <w:lang w:val="et-EE"/>
        </w:rPr>
      </w:pPr>
      <w:r w:rsidRPr="00EC3BD7">
        <w:rPr>
          <w:color w:val="000000"/>
          <w:sz w:val="22"/>
          <w:szCs w:val="22"/>
          <w:lang w:val="et-EE"/>
        </w:rPr>
        <w:t>Kiire kaalutõus. Gliveci ravi ajal võib teie organismi koguneda vett (äge vedelikupeetus).</w:t>
      </w:r>
    </w:p>
    <w:p w14:paraId="12501E2D" w14:textId="77777777" w:rsidR="00E21A2F" w:rsidRPr="00EC3BD7" w:rsidRDefault="00E21A2F" w:rsidP="00E21A2F">
      <w:pPr>
        <w:pStyle w:val="Text"/>
        <w:widowControl w:val="0"/>
        <w:numPr>
          <w:ilvl w:val="0"/>
          <w:numId w:val="4"/>
        </w:numPr>
        <w:tabs>
          <w:tab w:val="clear" w:pos="360"/>
        </w:tabs>
        <w:spacing w:before="0"/>
        <w:ind w:left="567" w:hanging="567"/>
        <w:jc w:val="left"/>
        <w:rPr>
          <w:color w:val="000000"/>
          <w:sz w:val="22"/>
          <w:szCs w:val="22"/>
          <w:lang w:val="et-EE"/>
        </w:rPr>
      </w:pPr>
      <w:r w:rsidRPr="00EC3BD7">
        <w:rPr>
          <w:color w:val="000000"/>
          <w:sz w:val="22"/>
          <w:szCs w:val="22"/>
          <w:lang w:val="et-EE"/>
        </w:rPr>
        <w:t>Infektsiooni sümptomid nagu palavik, külmavärinad, kurguvalu või haavandid suus. Glivec võib vähendada valgete vererakkude arvu, mis võib põhjustada suuremat vastuvõtlikkust infektsioonidele.</w:t>
      </w:r>
    </w:p>
    <w:p w14:paraId="26A24FBC" w14:textId="77777777" w:rsidR="00E21A2F" w:rsidRPr="00EC3BD7" w:rsidRDefault="00E21A2F" w:rsidP="00E21A2F">
      <w:pPr>
        <w:pStyle w:val="Text"/>
        <w:widowControl w:val="0"/>
        <w:numPr>
          <w:ilvl w:val="0"/>
          <w:numId w:val="5"/>
        </w:numPr>
        <w:tabs>
          <w:tab w:val="clear" w:pos="360"/>
        </w:tabs>
        <w:spacing w:before="0"/>
        <w:ind w:left="567" w:hanging="567"/>
        <w:jc w:val="left"/>
        <w:rPr>
          <w:color w:val="000000"/>
          <w:sz w:val="22"/>
          <w:szCs w:val="22"/>
          <w:lang w:val="et-EE"/>
        </w:rPr>
      </w:pPr>
      <w:r w:rsidRPr="00EC3BD7">
        <w:rPr>
          <w:color w:val="000000"/>
          <w:sz w:val="22"/>
          <w:szCs w:val="22"/>
          <w:lang w:val="et-EE"/>
        </w:rPr>
        <w:lastRenderedPageBreak/>
        <w:t>Ootamatu verejooks või verevalumid (mis tahes vigastuse puudumisel).</w:t>
      </w:r>
    </w:p>
    <w:p w14:paraId="3BD9994B" w14:textId="77777777" w:rsidR="00E21A2F" w:rsidRPr="00EC3BD7" w:rsidRDefault="00E21A2F" w:rsidP="00E21A2F">
      <w:pPr>
        <w:pStyle w:val="Text"/>
        <w:widowControl w:val="0"/>
        <w:spacing w:before="0"/>
        <w:jc w:val="left"/>
        <w:rPr>
          <w:color w:val="000000"/>
          <w:sz w:val="22"/>
          <w:szCs w:val="22"/>
          <w:lang w:val="et-EE"/>
        </w:rPr>
      </w:pPr>
    </w:p>
    <w:p w14:paraId="25DA9C5A" w14:textId="77777777" w:rsidR="00E21A2F" w:rsidRPr="00EC3BD7" w:rsidRDefault="00E21A2F" w:rsidP="00B9089D">
      <w:pPr>
        <w:pStyle w:val="Text"/>
        <w:keepNext/>
        <w:widowControl w:val="0"/>
        <w:spacing w:before="0"/>
        <w:jc w:val="left"/>
        <w:rPr>
          <w:b/>
          <w:bCs/>
          <w:color w:val="000000"/>
          <w:sz w:val="22"/>
          <w:szCs w:val="22"/>
          <w:lang w:val="et-EE"/>
        </w:rPr>
      </w:pPr>
      <w:r w:rsidRPr="00EC3BD7">
        <w:rPr>
          <w:b/>
          <w:bCs/>
          <w:color w:val="000000"/>
          <w:sz w:val="22"/>
          <w:szCs w:val="22"/>
          <w:lang w:val="et-EE"/>
        </w:rPr>
        <w:t>Aeg-ajalt</w:t>
      </w:r>
      <w:r w:rsidRPr="00EC3BD7">
        <w:rPr>
          <w:bCs/>
          <w:color w:val="000000"/>
          <w:sz w:val="22"/>
          <w:szCs w:val="22"/>
          <w:lang w:val="et-EE"/>
        </w:rPr>
        <w:t xml:space="preserve"> (</w:t>
      </w:r>
      <w:r w:rsidRPr="00EC3BD7">
        <w:rPr>
          <w:color w:val="000000"/>
          <w:sz w:val="22"/>
          <w:szCs w:val="22"/>
          <w:lang w:val="et-EE"/>
        </w:rPr>
        <w:t>võib mõjutada kuni 1 patsienti 100-st</w:t>
      </w:r>
      <w:r w:rsidRPr="00EC3BD7">
        <w:rPr>
          <w:bCs/>
          <w:color w:val="000000"/>
          <w:sz w:val="22"/>
          <w:szCs w:val="22"/>
          <w:lang w:val="et-EE"/>
        </w:rPr>
        <w:t xml:space="preserve">) </w:t>
      </w:r>
      <w:r w:rsidRPr="00EC3BD7">
        <w:rPr>
          <w:b/>
          <w:bCs/>
          <w:color w:val="000000"/>
          <w:sz w:val="22"/>
          <w:szCs w:val="22"/>
          <w:lang w:val="et-EE"/>
        </w:rPr>
        <w:t xml:space="preserve">või harv </w:t>
      </w:r>
      <w:r w:rsidRPr="00EC3BD7">
        <w:rPr>
          <w:bCs/>
          <w:color w:val="000000"/>
          <w:sz w:val="22"/>
          <w:szCs w:val="22"/>
          <w:lang w:val="et-EE"/>
        </w:rPr>
        <w:t>(</w:t>
      </w:r>
      <w:r w:rsidRPr="00EC3BD7">
        <w:rPr>
          <w:color w:val="000000"/>
          <w:sz w:val="22"/>
          <w:szCs w:val="22"/>
          <w:lang w:val="et-EE"/>
        </w:rPr>
        <w:t>võib mõjutada kuni 1 patsienti 1000-st</w:t>
      </w:r>
      <w:r w:rsidRPr="00EC3BD7">
        <w:rPr>
          <w:bCs/>
          <w:color w:val="000000"/>
          <w:sz w:val="22"/>
          <w:szCs w:val="22"/>
          <w:lang w:val="et-EE"/>
        </w:rPr>
        <w:t>):</w:t>
      </w:r>
    </w:p>
    <w:p w14:paraId="4EACF4D2"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Valu rinnus, ebaregulaarne südamerütm (südame häirete tunnused).</w:t>
      </w:r>
    </w:p>
    <w:p w14:paraId="5C390B1B"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Köha, hingamisraskus või valulik hingamine (kopsu häirete tunnused).</w:t>
      </w:r>
    </w:p>
    <w:p w14:paraId="136BFD74"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Peapööritus, pearinglus või minestus (madala vererõhu tunnused).</w:t>
      </w:r>
    </w:p>
    <w:p w14:paraId="30E6FB2C"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Iiveldus koos isutusega, tumedat värvi uriin, kollane nahk või silmavalged (maksahäirete tunnused).</w:t>
      </w:r>
    </w:p>
    <w:p w14:paraId="283E8B05"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Lööve, nahapunetus koos villidega huultel, silmadel, nahal või suus, naha koorumine, palavik, nahapinnast kõrgemad punased või punakasvioletsed laigud, sügelemine, põletustunne, pustulaarne eruptsioon (nahaprobleemide tunnused).</w:t>
      </w:r>
    </w:p>
    <w:p w14:paraId="026815F6"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Tugev kõhuvalu, okses, väljaheites või uriinis esineb verd või väljaheide on must (seedetrakti häirete tunnused).</w:t>
      </w:r>
    </w:p>
    <w:p w14:paraId="6E1F3B5B"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Oluliselt vähenenud uriinieritus, janu (neeru häirete tunnused).</w:t>
      </w:r>
    </w:p>
    <w:p w14:paraId="3F350CB8"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Iiveldus koos kõhulahtisusega ja oksendamisega, kõhuvalu või palavik (seedetrakti häirete tunnused).</w:t>
      </w:r>
    </w:p>
    <w:p w14:paraId="7135C695"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Tugev peavalu, jäsemete või näo nõrkustunne või halvatus, kõnelemisraskused, äkiline teadvusekaotus (närvisüsteemi häirete nagu kolju/aju verejooksu või turse, tunnused).</w:t>
      </w:r>
    </w:p>
    <w:p w14:paraId="371036DE"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Kahvatu nahk, väsimustunne ja hingeldamine ning tumeda uriini esinemine (punaste vereliblede madala taseme tunnused).</w:t>
      </w:r>
    </w:p>
    <w:p w14:paraId="0415BC7E"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Valu silmades või nägemise halvenemine, verejooks silmades.</w:t>
      </w:r>
    </w:p>
    <w:p w14:paraId="50ECD915"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Valu puusas või raskusi käimisega.</w:t>
      </w:r>
    </w:p>
    <w:p w14:paraId="2950D405"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Tuimad või külmad varbad ja sõrmed (Raynaud’ sündroomi tundemärgid).</w:t>
      </w:r>
    </w:p>
    <w:p w14:paraId="1CE2920B"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Äkiline naha turse ja punetus (nahapõletiku tunnused, mida kutsutakse tselluliidiks).</w:t>
      </w:r>
    </w:p>
    <w:p w14:paraId="3B097BC0"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Kuulmishäired.</w:t>
      </w:r>
    </w:p>
    <w:p w14:paraId="75DD40B9"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Lihasnõrkus ja lihasspasmid koos südame rütmihäiretega (vere kaaliumisisalduse muutuste tunnused).</w:t>
      </w:r>
    </w:p>
    <w:p w14:paraId="44090074"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Sinikad.</w:t>
      </w:r>
    </w:p>
    <w:p w14:paraId="286336BD"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Kõhuvalu koos iiveldusega.</w:t>
      </w:r>
    </w:p>
    <w:p w14:paraId="0137A6EA"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Lihasspasmid koos palavikuga, punakaspruun uriin, lihasvalu või –nõrkus (lihaskahjustuste tunnused).</w:t>
      </w:r>
    </w:p>
    <w:p w14:paraId="4F0AFF9A"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Valu vaagnapiirkonnas, mõnikord koos iivelduse ja oksendamisega, koos ootamatu veritsusega tupest, pearinglus- või minestamistunne madala vererõhu tõttu (</w:t>
      </w:r>
      <w:r w:rsidRPr="00EC3BD7">
        <w:rPr>
          <w:color w:val="000000"/>
          <w:sz w:val="22"/>
          <w:szCs w:val="22"/>
          <w:lang w:val="et-EE" w:bidi="th-TH"/>
        </w:rPr>
        <w:t>munasarjade või emaka probleemide tunnused</w:t>
      </w:r>
      <w:r w:rsidRPr="00EC3BD7">
        <w:rPr>
          <w:color w:val="000000"/>
          <w:sz w:val="22"/>
          <w:szCs w:val="22"/>
          <w:lang w:val="et-EE"/>
        </w:rPr>
        <w:t>).</w:t>
      </w:r>
    </w:p>
    <w:p w14:paraId="73FC914F"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 xml:space="preserve">Iiveldus, hingeldus, ebaregulaarne südametöö, uriini hägusus, väsimus ja/või ebamugavustunne liigestes koos normist kõrvalekaldunud laboratoorsete näitajatega (nt kõrge kaaliumi, kusihappe ja </w:t>
      </w:r>
      <w:r w:rsidR="00BA7B8E" w:rsidRPr="00EC3BD7">
        <w:rPr>
          <w:color w:val="000000"/>
          <w:sz w:val="22"/>
          <w:szCs w:val="22"/>
          <w:lang w:val="et-EE"/>
        </w:rPr>
        <w:t>kaltsiumi</w:t>
      </w:r>
      <w:r w:rsidRPr="00EC3BD7">
        <w:rPr>
          <w:color w:val="000000"/>
          <w:sz w:val="22"/>
          <w:szCs w:val="22"/>
          <w:lang w:val="et-EE"/>
        </w:rPr>
        <w:t xml:space="preserve">sisaldus ja madal </w:t>
      </w:r>
      <w:r w:rsidR="00BA7B8E" w:rsidRPr="00EC3BD7">
        <w:rPr>
          <w:color w:val="000000"/>
          <w:sz w:val="22"/>
          <w:szCs w:val="22"/>
          <w:lang w:val="et-EE"/>
        </w:rPr>
        <w:t>fosfori</w:t>
      </w:r>
      <w:r w:rsidRPr="00EC3BD7">
        <w:rPr>
          <w:color w:val="000000"/>
          <w:sz w:val="22"/>
          <w:szCs w:val="22"/>
          <w:lang w:val="et-EE"/>
        </w:rPr>
        <w:t>sisaldus veres).</w:t>
      </w:r>
    </w:p>
    <w:p w14:paraId="3B5F6B40" w14:textId="77777777" w:rsidR="00DC342A" w:rsidRPr="00EC3BD7" w:rsidRDefault="00DC342A"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Verehüübed väikestes veresoontes (trombootiline mikroangiopaatia).</w:t>
      </w:r>
    </w:p>
    <w:p w14:paraId="56A25149" w14:textId="77777777" w:rsidR="00F1122F" w:rsidRPr="00EC3BD7" w:rsidRDefault="00F1122F" w:rsidP="00E21A2F">
      <w:pPr>
        <w:pStyle w:val="Text"/>
        <w:widowControl w:val="0"/>
        <w:spacing w:before="0"/>
        <w:jc w:val="left"/>
        <w:rPr>
          <w:color w:val="000000"/>
          <w:sz w:val="22"/>
          <w:szCs w:val="22"/>
          <w:lang w:val="et-EE"/>
        </w:rPr>
      </w:pPr>
    </w:p>
    <w:p w14:paraId="2C1551F6" w14:textId="77777777" w:rsidR="00F1122F" w:rsidRPr="00EC3BD7" w:rsidRDefault="00F1122F" w:rsidP="00B9089D">
      <w:pPr>
        <w:pStyle w:val="Text"/>
        <w:keepNext/>
        <w:widowControl w:val="0"/>
        <w:spacing w:before="0"/>
        <w:jc w:val="left"/>
        <w:rPr>
          <w:color w:val="000000"/>
          <w:sz w:val="22"/>
          <w:szCs w:val="22"/>
          <w:lang w:val="et-EE"/>
        </w:rPr>
      </w:pPr>
      <w:r w:rsidRPr="00EC3BD7">
        <w:rPr>
          <w:b/>
          <w:color w:val="000000"/>
          <w:sz w:val="22"/>
          <w:szCs w:val="22"/>
          <w:lang w:val="et-EE"/>
        </w:rPr>
        <w:t>Teadmata</w:t>
      </w:r>
      <w:r w:rsidR="00BA7B8E" w:rsidRPr="00EC3BD7">
        <w:rPr>
          <w:b/>
          <w:color w:val="000000"/>
          <w:sz w:val="22"/>
          <w:szCs w:val="22"/>
          <w:lang w:val="et-EE"/>
        </w:rPr>
        <w:t xml:space="preserve"> </w:t>
      </w:r>
      <w:r w:rsidR="00BA7B8E" w:rsidRPr="00EC3BD7">
        <w:rPr>
          <w:color w:val="000000"/>
          <w:sz w:val="22"/>
          <w:szCs w:val="22"/>
          <w:lang w:val="et-EE"/>
        </w:rPr>
        <w:t>(ei saa hinnata olemasolevate andmete alusel):</w:t>
      </w:r>
    </w:p>
    <w:p w14:paraId="48F6082F" w14:textId="77777777" w:rsidR="00F1122F" w:rsidRPr="00EC3BD7" w:rsidRDefault="00F1122F" w:rsidP="00B9089D">
      <w:pPr>
        <w:pStyle w:val="Text"/>
        <w:keepNext/>
        <w:widowControl w:val="0"/>
        <w:numPr>
          <w:ilvl w:val="0"/>
          <w:numId w:val="28"/>
        </w:numPr>
        <w:spacing w:before="0"/>
        <w:ind w:left="567" w:hanging="567"/>
        <w:jc w:val="left"/>
        <w:rPr>
          <w:color w:val="000000"/>
          <w:sz w:val="22"/>
          <w:szCs w:val="22"/>
          <w:lang w:val="et-EE"/>
        </w:rPr>
      </w:pPr>
      <w:r w:rsidRPr="00EC3BD7">
        <w:rPr>
          <w:color w:val="000000"/>
          <w:sz w:val="22"/>
          <w:szCs w:val="22"/>
          <w:lang w:val="et-EE"/>
        </w:rPr>
        <w:t xml:space="preserve">Koosesinev laialdane tõsine lööve, iiveldus, palavik ja teatud valgeliblede kõrge sisaldus veres või naha või silmade kollakaks värvumine (kollatõve nähud) koos õhupuudusega, valu ja ebamugavustunne rinnus, uriini hulga </w:t>
      </w:r>
      <w:r w:rsidR="00DD7407" w:rsidRPr="00EC3BD7">
        <w:rPr>
          <w:color w:val="000000"/>
          <w:sz w:val="22"/>
          <w:szCs w:val="22"/>
          <w:lang w:val="et-EE"/>
        </w:rPr>
        <w:t>oluline</w:t>
      </w:r>
      <w:r w:rsidRPr="00EC3BD7">
        <w:rPr>
          <w:color w:val="000000"/>
          <w:sz w:val="22"/>
          <w:szCs w:val="22"/>
          <w:lang w:val="et-EE"/>
        </w:rPr>
        <w:t xml:space="preserve"> vähenemine ning janu jne (raviga seotud allergilise reaktsiooni nähud).</w:t>
      </w:r>
    </w:p>
    <w:p w14:paraId="21A4C74C" w14:textId="77777777" w:rsidR="00FE4734" w:rsidRPr="00EC3BD7" w:rsidRDefault="00B03C08" w:rsidP="00B9089D">
      <w:pPr>
        <w:pStyle w:val="Text"/>
        <w:keepN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Krooniline neerupuudulikkus.</w:t>
      </w:r>
    </w:p>
    <w:p w14:paraId="497E6861" w14:textId="77777777" w:rsidR="00B03C08" w:rsidRPr="00EC3BD7" w:rsidRDefault="00FE4734" w:rsidP="00B9089D">
      <w:pPr>
        <w:pStyle w:val="Text"/>
        <w:keepNext/>
        <w:widowControl w:val="0"/>
        <w:numPr>
          <w:ilvl w:val="0"/>
          <w:numId w:val="28"/>
        </w:numPr>
        <w:spacing w:before="0"/>
        <w:ind w:left="567" w:hanging="567"/>
        <w:jc w:val="left"/>
        <w:rPr>
          <w:color w:val="000000"/>
          <w:sz w:val="22"/>
          <w:szCs w:val="22"/>
          <w:lang w:val="et-EE"/>
        </w:rPr>
      </w:pPr>
      <w:r w:rsidRPr="00EC3BD7">
        <w:rPr>
          <w:bCs/>
          <w:color w:val="000000"/>
          <w:sz w:val="22"/>
          <w:szCs w:val="22"/>
          <w:lang w:val="et-EE"/>
        </w:rPr>
        <w:t>B-hepatiidi infektsiooni taastekkimine (reaktiveerumine), kui teil on varem olnud B-hepatiit (teatud maksanakkus).</w:t>
      </w:r>
    </w:p>
    <w:p w14:paraId="11772CCE" w14:textId="77777777" w:rsidR="00F1122F" w:rsidRPr="00EC3BD7" w:rsidRDefault="00F1122F" w:rsidP="00E21A2F">
      <w:pPr>
        <w:pStyle w:val="Text"/>
        <w:widowControl w:val="0"/>
        <w:spacing w:before="0"/>
        <w:jc w:val="left"/>
        <w:rPr>
          <w:color w:val="000000"/>
          <w:sz w:val="22"/>
          <w:szCs w:val="22"/>
          <w:lang w:val="et-EE"/>
        </w:rPr>
      </w:pPr>
    </w:p>
    <w:p w14:paraId="23FE8CF7" w14:textId="77777777" w:rsidR="00E21A2F" w:rsidRPr="00EC3BD7" w:rsidRDefault="00E21A2F" w:rsidP="00E21A2F">
      <w:pPr>
        <w:pStyle w:val="Text"/>
        <w:widowControl w:val="0"/>
        <w:spacing w:before="0"/>
        <w:jc w:val="left"/>
        <w:rPr>
          <w:b/>
          <w:color w:val="000000"/>
          <w:sz w:val="22"/>
          <w:szCs w:val="22"/>
          <w:lang w:val="et-EE"/>
        </w:rPr>
      </w:pPr>
      <w:r w:rsidRPr="00EC3BD7">
        <w:rPr>
          <w:color w:val="000000"/>
          <w:sz w:val="22"/>
          <w:szCs w:val="22"/>
          <w:lang w:val="et-EE"/>
        </w:rPr>
        <w:t xml:space="preserve">Kui teil tekib ükskõik milline mainitutest, </w:t>
      </w:r>
      <w:r w:rsidRPr="00EC3BD7">
        <w:rPr>
          <w:b/>
          <w:color w:val="000000"/>
          <w:sz w:val="22"/>
          <w:szCs w:val="22"/>
          <w:lang w:val="et-EE"/>
        </w:rPr>
        <w:t>rääkige sellest otsekohe oma arstile.</w:t>
      </w:r>
    </w:p>
    <w:p w14:paraId="7772A70F" w14:textId="77777777" w:rsidR="00E21A2F" w:rsidRPr="00EC3BD7" w:rsidRDefault="00E21A2F" w:rsidP="00E21A2F">
      <w:pPr>
        <w:pStyle w:val="Text"/>
        <w:widowControl w:val="0"/>
        <w:spacing w:before="0"/>
        <w:jc w:val="left"/>
        <w:rPr>
          <w:color w:val="000000"/>
          <w:sz w:val="22"/>
          <w:szCs w:val="22"/>
          <w:lang w:val="et-EE"/>
        </w:rPr>
      </w:pPr>
    </w:p>
    <w:p w14:paraId="047FE7A9" w14:textId="77777777" w:rsidR="00E21A2F" w:rsidRPr="00EC3BD7" w:rsidRDefault="00E21A2F" w:rsidP="00B9089D">
      <w:pPr>
        <w:pStyle w:val="Text"/>
        <w:keepNext/>
        <w:widowControl w:val="0"/>
        <w:spacing w:before="0"/>
        <w:jc w:val="left"/>
        <w:rPr>
          <w:b/>
          <w:bCs/>
          <w:color w:val="000000"/>
          <w:sz w:val="22"/>
          <w:szCs w:val="22"/>
          <w:lang w:val="et-EE"/>
        </w:rPr>
      </w:pPr>
      <w:r w:rsidRPr="00EC3BD7">
        <w:rPr>
          <w:b/>
          <w:bCs/>
          <w:color w:val="000000"/>
          <w:sz w:val="22"/>
          <w:szCs w:val="22"/>
          <w:lang w:val="et-EE"/>
        </w:rPr>
        <w:t>Muud võimalikud kõrvaltoimed:</w:t>
      </w:r>
    </w:p>
    <w:p w14:paraId="39E6DF97" w14:textId="77777777" w:rsidR="00E21A2F" w:rsidRPr="00EC3BD7" w:rsidRDefault="00E21A2F" w:rsidP="00B9089D">
      <w:pPr>
        <w:pStyle w:val="Text"/>
        <w:keepNext/>
        <w:widowControl w:val="0"/>
        <w:spacing w:before="0"/>
        <w:jc w:val="left"/>
        <w:rPr>
          <w:color w:val="000000"/>
          <w:sz w:val="22"/>
          <w:szCs w:val="22"/>
          <w:lang w:val="et-EE"/>
        </w:rPr>
      </w:pPr>
    </w:p>
    <w:p w14:paraId="691C693D" w14:textId="77777777" w:rsidR="00E21A2F" w:rsidRPr="00EC3BD7" w:rsidRDefault="00E21A2F" w:rsidP="00B9089D">
      <w:pPr>
        <w:pStyle w:val="Text"/>
        <w:keepNext/>
        <w:widowControl w:val="0"/>
        <w:spacing w:before="0"/>
        <w:rPr>
          <w:b/>
          <w:color w:val="000000"/>
          <w:sz w:val="22"/>
          <w:szCs w:val="22"/>
          <w:lang w:val="et-EE"/>
        </w:rPr>
      </w:pPr>
      <w:r w:rsidRPr="00EC3BD7">
        <w:rPr>
          <w:b/>
          <w:color w:val="000000"/>
          <w:sz w:val="22"/>
          <w:szCs w:val="22"/>
          <w:lang w:val="et-EE"/>
        </w:rPr>
        <w:t>Väga sage</w:t>
      </w:r>
      <w:r w:rsidRPr="00EC3BD7">
        <w:rPr>
          <w:color w:val="000000"/>
          <w:sz w:val="22"/>
          <w:szCs w:val="22"/>
          <w:lang w:val="et-EE"/>
        </w:rPr>
        <w:t xml:space="preserve"> </w:t>
      </w:r>
      <w:r w:rsidRPr="00EC3BD7">
        <w:rPr>
          <w:color w:val="000000"/>
          <w:szCs w:val="22"/>
          <w:lang w:val="et-EE"/>
        </w:rPr>
        <w:t>(</w:t>
      </w:r>
      <w:r w:rsidRPr="00EC3BD7">
        <w:rPr>
          <w:color w:val="000000"/>
          <w:sz w:val="22"/>
          <w:szCs w:val="22"/>
          <w:lang w:val="et-EE"/>
        </w:rPr>
        <w:t>võib mõjutada rohkem kui 1 patsienti 10-st</w:t>
      </w:r>
      <w:r w:rsidRPr="00EC3BD7">
        <w:rPr>
          <w:color w:val="000000"/>
          <w:szCs w:val="22"/>
          <w:lang w:val="et-EE"/>
        </w:rPr>
        <w:t>)</w:t>
      </w:r>
      <w:r w:rsidRPr="00EC3BD7">
        <w:rPr>
          <w:color w:val="000000"/>
          <w:sz w:val="22"/>
          <w:szCs w:val="22"/>
          <w:lang w:val="et-EE"/>
        </w:rPr>
        <w:t>:</w:t>
      </w:r>
    </w:p>
    <w:p w14:paraId="01FE2AA5"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Peavalu või väsimus.</w:t>
      </w:r>
    </w:p>
    <w:p w14:paraId="0EB6BB7C"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Halb enesetunne (iiveldus), oksendamine, kõhulahtisus või seedehäired.</w:t>
      </w:r>
    </w:p>
    <w:p w14:paraId="134338BA"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lastRenderedPageBreak/>
        <w:t>Lööve.</w:t>
      </w:r>
    </w:p>
    <w:p w14:paraId="14E3F64A"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Lihaskrambid või liiges-, lihas- või luuvalu</w:t>
      </w:r>
      <w:r w:rsidR="00BB045E" w:rsidRPr="00EC3BD7">
        <w:rPr>
          <w:color w:val="000000"/>
          <w:sz w:val="22"/>
          <w:szCs w:val="22"/>
          <w:lang w:val="et-EE"/>
        </w:rPr>
        <w:t xml:space="preserve"> Gliveci ravi ajal või pärast ravi lõppu</w:t>
      </w:r>
      <w:r w:rsidRPr="00EC3BD7">
        <w:rPr>
          <w:color w:val="000000"/>
          <w:sz w:val="22"/>
          <w:szCs w:val="22"/>
          <w:lang w:val="et-EE"/>
        </w:rPr>
        <w:t>.</w:t>
      </w:r>
    </w:p>
    <w:p w14:paraId="086C29A3"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Tursed, näiteks hüppeliigeste piirkonnas või silmade ümber.</w:t>
      </w:r>
    </w:p>
    <w:p w14:paraId="388600E5" w14:textId="77777777" w:rsidR="00E21A2F" w:rsidRPr="00EC3BD7" w:rsidRDefault="00E21A2F" w:rsidP="009A3C30">
      <w:pPr>
        <w:pStyle w:val="Text"/>
        <w:keepN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Kaalutõus.</w:t>
      </w:r>
    </w:p>
    <w:p w14:paraId="07DD3141" w14:textId="77777777" w:rsidR="00E21A2F" w:rsidRPr="00EC3BD7" w:rsidRDefault="00E21A2F" w:rsidP="00E21A2F">
      <w:pPr>
        <w:pStyle w:val="Text"/>
        <w:widowControl w:val="0"/>
        <w:spacing w:before="0"/>
        <w:jc w:val="left"/>
        <w:rPr>
          <w:color w:val="000000"/>
          <w:sz w:val="22"/>
          <w:szCs w:val="22"/>
          <w:lang w:val="et-EE"/>
        </w:rPr>
      </w:pPr>
      <w:r w:rsidRPr="00EC3BD7">
        <w:rPr>
          <w:color w:val="000000"/>
          <w:sz w:val="22"/>
          <w:szCs w:val="22"/>
          <w:lang w:val="et-EE"/>
        </w:rPr>
        <w:t xml:space="preserve">Kui mõni neist häirib teid oluliselt, </w:t>
      </w:r>
      <w:r w:rsidRPr="00EC3BD7">
        <w:rPr>
          <w:b/>
          <w:color w:val="000000"/>
          <w:sz w:val="22"/>
          <w:szCs w:val="22"/>
          <w:lang w:val="et-EE"/>
        </w:rPr>
        <w:t>informeerige sellest oma arsti</w:t>
      </w:r>
      <w:r w:rsidRPr="00EC3BD7">
        <w:rPr>
          <w:color w:val="000000"/>
          <w:sz w:val="22"/>
          <w:szCs w:val="22"/>
          <w:lang w:val="et-EE"/>
        </w:rPr>
        <w:t>.</w:t>
      </w:r>
    </w:p>
    <w:p w14:paraId="4BB738D8" w14:textId="77777777" w:rsidR="00E21A2F" w:rsidRPr="00EC3BD7" w:rsidRDefault="00E21A2F" w:rsidP="00E21A2F">
      <w:pPr>
        <w:pStyle w:val="Text"/>
        <w:widowControl w:val="0"/>
        <w:spacing w:before="0"/>
        <w:jc w:val="left"/>
        <w:rPr>
          <w:color w:val="000000"/>
          <w:sz w:val="22"/>
          <w:szCs w:val="22"/>
          <w:lang w:val="et-EE"/>
        </w:rPr>
      </w:pPr>
    </w:p>
    <w:p w14:paraId="4F0C9314" w14:textId="77777777" w:rsidR="00E21A2F" w:rsidRPr="00EC3BD7" w:rsidRDefault="00E21A2F" w:rsidP="00B9089D">
      <w:pPr>
        <w:pStyle w:val="Text"/>
        <w:keepNext/>
        <w:widowControl w:val="0"/>
        <w:spacing w:before="0"/>
        <w:jc w:val="left"/>
        <w:rPr>
          <w:b/>
          <w:bCs/>
          <w:color w:val="000000"/>
          <w:sz w:val="22"/>
          <w:szCs w:val="22"/>
          <w:lang w:val="et-EE"/>
        </w:rPr>
      </w:pPr>
      <w:r w:rsidRPr="00EC3BD7">
        <w:rPr>
          <w:b/>
          <w:bCs/>
          <w:color w:val="000000"/>
          <w:sz w:val="22"/>
          <w:szCs w:val="22"/>
          <w:lang w:val="et-EE"/>
        </w:rPr>
        <w:t>Sage</w:t>
      </w:r>
      <w:r w:rsidRPr="00EC3BD7">
        <w:rPr>
          <w:bCs/>
          <w:color w:val="000000"/>
          <w:sz w:val="22"/>
          <w:szCs w:val="22"/>
          <w:lang w:val="et-EE"/>
        </w:rPr>
        <w:t xml:space="preserve"> </w:t>
      </w:r>
      <w:r w:rsidRPr="00EC3BD7">
        <w:rPr>
          <w:color w:val="000000"/>
          <w:szCs w:val="22"/>
          <w:lang w:val="et-EE"/>
        </w:rPr>
        <w:t>(</w:t>
      </w:r>
      <w:r w:rsidRPr="00EC3BD7">
        <w:rPr>
          <w:color w:val="000000"/>
          <w:sz w:val="22"/>
          <w:szCs w:val="22"/>
          <w:lang w:val="et-EE"/>
        </w:rPr>
        <w:t>võib mõjutada kuni 1 patsienti 10-st</w:t>
      </w:r>
      <w:r w:rsidRPr="00EC3BD7">
        <w:rPr>
          <w:color w:val="000000"/>
          <w:szCs w:val="22"/>
          <w:lang w:val="et-EE"/>
        </w:rPr>
        <w:t>)</w:t>
      </w:r>
      <w:r w:rsidRPr="00EC3BD7">
        <w:rPr>
          <w:bCs/>
          <w:color w:val="000000"/>
          <w:sz w:val="22"/>
          <w:szCs w:val="22"/>
          <w:lang w:val="et-EE"/>
        </w:rPr>
        <w:t>:</w:t>
      </w:r>
    </w:p>
    <w:p w14:paraId="30735396"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Anoreksia, kaalukaotus või maitsetundlikkuse häired.</w:t>
      </w:r>
    </w:p>
    <w:p w14:paraId="535A7BDB"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Pearinglus, nõrkustunne.</w:t>
      </w:r>
    </w:p>
    <w:p w14:paraId="514E5CA5"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Unetus.</w:t>
      </w:r>
    </w:p>
    <w:p w14:paraId="464508D9"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Rähmased sügelevad silmad, punetus ja turse (konjunktiviit), vesised silmad või hägune nägemine.</w:t>
      </w:r>
    </w:p>
    <w:p w14:paraId="61713DAE"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Ninaverejooks.</w:t>
      </w:r>
    </w:p>
    <w:p w14:paraId="505815AD"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Kõhuvalu või –turse, kõhupuhitus, kõrvetised või kõhukinnisus.</w:t>
      </w:r>
    </w:p>
    <w:p w14:paraId="5E44630A"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Sügelemine.</w:t>
      </w:r>
    </w:p>
    <w:p w14:paraId="009864A2"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Ebatavaline juuste väljalangemine või hõrenemine.</w:t>
      </w:r>
    </w:p>
    <w:p w14:paraId="715940D6"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Käte või jalgade tuimus.</w:t>
      </w:r>
    </w:p>
    <w:p w14:paraId="08195579"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Haavandid suus.</w:t>
      </w:r>
    </w:p>
    <w:p w14:paraId="4EF0A80C"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Liigesvalu tursetega.</w:t>
      </w:r>
    </w:p>
    <w:p w14:paraId="016BAAD5"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Suukuivus, nahakuivus või silmade kuivus.</w:t>
      </w:r>
    </w:p>
    <w:p w14:paraId="1A855205"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Naha tundlikkuse vähenemine või suurenemine.</w:t>
      </w:r>
    </w:p>
    <w:p w14:paraId="07A85CD8" w14:textId="77777777" w:rsidR="00E21A2F" w:rsidRPr="00EC3BD7" w:rsidRDefault="00E21A2F" w:rsidP="009A3C30">
      <w:pPr>
        <w:pStyle w:val="Text"/>
        <w:keepN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Kuumahood, külmavärinad või öine higistamine.</w:t>
      </w:r>
    </w:p>
    <w:p w14:paraId="60FE6CF9" w14:textId="77777777" w:rsidR="00E21A2F" w:rsidRPr="00EC3BD7" w:rsidRDefault="00E21A2F" w:rsidP="00E21A2F">
      <w:pPr>
        <w:pStyle w:val="Text"/>
        <w:widowControl w:val="0"/>
        <w:spacing w:before="0"/>
        <w:jc w:val="left"/>
        <w:rPr>
          <w:b/>
          <w:color w:val="000000"/>
          <w:sz w:val="22"/>
          <w:szCs w:val="22"/>
          <w:lang w:val="et-EE"/>
        </w:rPr>
      </w:pPr>
      <w:r w:rsidRPr="00EC3BD7">
        <w:rPr>
          <w:color w:val="000000"/>
          <w:sz w:val="22"/>
          <w:szCs w:val="22"/>
          <w:lang w:val="et-EE"/>
        </w:rPr>
        <w:t xml:space="preserve">Kui mõni neist häirib teid tugevalt, </w:t>
      </w:r>
      <w:r w:rsidRPr="00EC3BD7">
        <w:rPr>
          <w:b/>
          <w:color w:val="000000"/>
          <w:sz w:val="22"/>
          <w:szCs w:val="22"/>
          <w:lang w:val="et-EE"/>
        </w:rPr>
        <w:t>informeerige oma arsti.</w:t>
      </w:r>
    </w:p>
    <w:p w14:paraId="1BA76BE1" w14:textId="77777777" w:rsidR="00E21A2F" w:rsidRPr="00EC3BD7" w:rsidRDefault="00E21A2F" w:rsidP="00E21A2F">
      <w:pPr>
        <w:pStyle w:val="Text"/>
        <w:widowControl w:val="0"/>
        <w:spacing w:before="0"/>
        <w:jc w:val="left"/>
        <w:rPr>
          <w:color w:val="000000"/>
          <w:sz w:val="22"/>
          <w:szCs w:val="22"/>
          <w:lang w:val="et-EE"/>
        </w:rPr>
      </w:pPr>
    </w:p>
    <w:p w14:paraId="00E2699D" w14:textId="77777777" w:rsidR="00E21A2F" w:rsidRPr="00EC3BD7" w:rsidRDefault="00E21A2F" w:rsidP="00B9089D">
      <w:pPr>
        <w:pStyle w:val="Text"/>
        <w:keepNext/>
        <w:widowControl w:val="0"/>
        <w:spacing w:before="0"/>
        <w:jc w:val="left"/>
        <w:rPr>
          <w:b/>
          <w:bCs/>
          <w:color w:val="000000"/>
          <w:sz w:val="22"/>
          <w:szCs w:val="22"/>
          <w:lang w:val="et-EE"/>
        </w:rPr>
      </w:pPr>
      <w:r w:rsidRPr="00EC3BD7">
        <w:rPr>
          <w:b/>
          <w:bCs/>
          <w:color w:val="000000"/>
          <w:sz w:val="22"/>
          <w:szCs w:val="22"/>
          <w:lang w:val="et-EE"/>
        </w:rPr>
        <w:t>Teadmata</w:t>
      </w:r>
      <w:r w:rsidRPr="00EC3BD7">
        <w:rPr>
          <w:bCs/>
          <w:color w:val="000000"/>
          <w:sz w:val="22"/>
          <w:szCs w:val="22"/>
          <w:lang w:val="et-EE"/>
        </w:rPr>
        <w:t xml:space="preserve"> (</w:t>
      </w:r>
      <w:r w:rsidRPr="00EC3BD7">
        <w:rPr>
          <w:color w:val="000000"/>
          <w:sz w:val="22"/>
          <w:szCs w:val="22"/>
          <w:lang w:val="et-EE"/>
        </w:rPr>
        <w:t>sagedust ei saa hinnata olemasolevate andmete alusel</w:t>
      </w:r>
      <w:r w:rsidRPr="00EC3BD7">
        <w:rPr>
          <w:bCs/>
          <w:color w:val="000000"/>
          <w:sz w:val="22"/>
          <w:szCs w:val="22"/>
          <w:lang w:val="et-EE"/>
        </w:rPr>
        <w:t>):</w:t>
      </w:r>
    </w:p>
    <w:p w14:paraId="08FA5B78" w14:textId="77777777" w:rsidR="00E21A2F" w:rsidRPr="00EC3BD7" w:rsidRDefault="00E21A2F" w:rsidP="00E21A2F">
      <w:pPr>
        <w:pStyle w:val="Text"/>
        <w:widowControl w:val="0"/>
        <w:numPr>
          <w:ilvl w:val="0"/>
          <w:numId w:val="23"/>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peopesade ja jalataldade punetus ja/või turse, millega võib kaasneda pakitsustunne ja põletav valu.</w:t>
      </w:r>
    </w:p>
    <w:p w14:paraId="0793BD40" w14:textId="77777777" w:rsidR="00EF1F09" w:rsidRPr="00EC3BD7" w:rsidRDefault="00EF1F09" w:rsidP="00FD04EA">
      <w:pPr>
        <w:pStyle w:val="Text"/>
        <w:widowControl w:val="0"/>
        <w:numPr>
          <w:ilvl w:val="0"/>
          <w:numId w:val="23"/>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valulikud ja/või villidega nahakahjustused.</w:t>
      </w:r>
    </w:p>
    <w:p w14:paraId="49CFF722" w14:textId="77777777" w:rsidR="00E21A2F" w:rsidRPr="00EC3BD7" w:rsidRDefault="00E21A2F" w:rsidP="00B9089D">
      <w:pPr>
        <w:pStyle w:val="Text"/>
        <w:keepNext/>
        <w:widowControl w:val="0"/>
        <w:numPr>
          <w:ilvl w:val="0"/>
          <w:numId w:val="23"/>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kasvu aeglustumine lastel ja noorukitel.</w:t>
      </w:r>
    </w:p>
    <w:p w14:paraId="4A48C25C" w14:textId="77777777" w:rsidR="00E21A2F" w:rsidRPr="00EC3BD7" w:rsidRDefault="00E21A2F" w:rsidP="00E21A2F">
      <w:pPr>
        <w:pStyle w:val="Text"/>
        <w:widowControl w:val="0"/>
        <w:spacing w:before="0"/>
        <w:jc w:val="left"/>
        <w:rPr>
          <w:b/>
          <w:color w:val="000000"/>
          <w:sz w:val="22"/>
          <w:szCs w:val="22"/>
          <w:lang w:val="et-EE"/>
        </w:rPr>
      </w:pPr>
      <w:r w:rsidRPr="00EC3BD7">
        <w:rPr>
          <w:color w:val="000000"/>
          <w:sz w:val="22"/>
          <w:szCs w:val="22"/>
          <w:lang w:val="et-EE"/>
        </w:rPr>
        <w:t xml:space="preserve">Kui ükskõik milline neist kõrvaltoimetest teid tõsiselt mõjutab, </w:t>
      </w:r>
      <w:r w:rsidRPr="00EC3BD7">
        <w:rPr>
          <w:b/>
          <w:color w:val="000000"/>
          <w:sz w:val="22"/>
          <w:szCs w:val="22"/>
          <w:lang w:val="et-EE"/>
        </w:rPr>
        <w:t>rääkige sellest oma arstile.</w:t>
      </w:r>
    </w:p>
    <w:p w14:paraId="64550DE6" w14:textId="77777777" w:rsidR="00E21A2F" w:rsidRPr="00EC3BD7" w:rsidRDefault="00E21A2F" w:rsidP="00E21A2F">
      <w:pPr>
        <w:pStyle w:val="Text"/>
        <w:widowControl w:val="0"/>
        <w:spacing w:before="0"/>
        <w:jc w:val="left"/>
        <w:rPr>
          <w:color w:val="000000"/>
          <w:sz w:val="22"/>
          <w:szCs w:val="22"/>
          <w:lang w:val="et-EE"/>
        </w:rPr>
      </w:pPr>
    </w:p>
    <w:p w14:paraId="2E031F86" w14:textId="77777777" w:rsidR="00E21A2F" w:rsidRPr="00EC3BD7" w:rsidRDefault="00E21A2F" w:rsidP="00B9089D">
      <w:pPr>
        <w:keepNext/>
        <w:numPr>
          <w:ilvl w:val="12"/>
          <w:numId w:val="0"/>
        </w:numPr>
        <w:outlineLvl w:val="0"/>
        <w:rPr>
          <w:b/>
          <w:szCs w:val="24"/>
          <w:lang w:val="et-EE"/>
        </w:rPr>
      </w:pPr>
      <w:r w:rsidRPr="00EC3BD7">
        <w:rPr>
          <w:b/>
          <w:szCs w:val="24"/>
          <w:lang w:val="et-EE"/>
        </w:rPr>
        <w:t>Kõrvaltoimetest teavitamine</w:t>
      </w:r>
    </w:p>
    <w:p w14:paraId="48DD31E5" w14:textId="77777777" w:rsidR="00E21A2F" w:rsidRPr="00EC3BD7" w:rsidRDefault="00E21A2F" w:rsidP="00E21A2F">
      <w:pPr>
        <w:widowControl w:val="0"/>
        <w:numPr>
          <w:ilvl w:val="12"/>
          <w:numId w:val="0"/>
        </w:numPr>
        <w:tabs>
          <w:tab w:val="clear" w:pos="567"/>
        </w:tabs>
        <w:spacing w:line="240" w:lineRule="auto"/>
        <w:ind w:right="-2"/>
        <w:rPr>
          <w:color w:val="000000"/>
          <w:szCs w:val="22"/>
          <w:lang w:val="et-EE"/>
        </w:rPr>
      </w:pPr>
      <w:r w:rsidRPr="00EC3BD7">
        <w:rPr>
          <w:color w:val="000000"/>
          <w:szCs w:val="22"/>
          <w:lang w:val="et-EE"/>
        </w:rPr>
        <w:t xml:space="preserve">Kui teil tekib ükskõik milline kõrvaltoime, pidage nõu oma arsti, apteekri või meditsiiniõega. </w:t>
      </w:r>
      <w:r w:rsidRPr="00EC3BD7">
        <w:rPr>
          <w:szCs w:val="24"/>
          <w:lang w:val="et-EE"/>
        </w:rPr>
        <w:t xml:space="preserve">Kõrvaltoime võib olla ka selline, mida selles infolehes ei ole nimetatud. Kõrvaltoimetest võite ka ise teavitada </w:t>
      </w:r>
      <w:r w:rsidRPr="00EC3BD7">
        <w:rPr>
          <w:szCs w:val="24"/>
          <w:shd w:val="pct15" w:color="auto" w:fill="auto"/>
          <w:lang w:val="et-EE"/>
        </w:rPr>
        <w:t xml:space="preserve">riikliku teavitussüsteemi, mis on loetletud </w:t>
      </w:r>
      <w:hyperlink r:id="rId16" w:history="1">
        <w:r w:rsidRPr="00EC3BD7">
          <w:rPr>
            <w:color w:val="0000FF"/>
            <w:szCs w:val="24"/>
            <w:u w:val="single"/>
            <w:shd w:val="pct15" w:color="auto" w:fill="auto"/>
            <w:lang w:val="et-EE"/>
          </w:rPr>
          <w:t>V lisas</w:t>
        </w:r>
      </w:hyperlink>
      <w:r w:rsidRPr="00EC3BD7">
        <w:rPr>
          <w:szCs w:val="24"/>
          <w:shd w:val="pct15" w:color="auto" w:fill="auto"/>
          <w:lang w:val="et-EE"/>
        </w:rPr>
        <w:t>,</w:t>
      </w:r>
      <w:r w:rsidRPr="00EC3BD7">
        <w:rPr>
          <w:szCs w:val="24"/>
          <w:lang w:val="et-EE"/>
        </w:rPr>
        <w:t xml:space="preserve"> kaudu. Teavitades aitate saada rohkem infot ravimi ohutusest.</w:t>
      </w:r>
    </w:p>
    <w:p w14:paraId="68CFEC57" w14:textId="77777777" w:rsidR="00E21A2F" w:rsidRPr="00EC3BD7" w:rsidRDefault="00E21A2F" w:rsidP="00E21A2F">
      <w:pPr>
        <w:widowControl w:val="0"/>
        <w:numPr>
          <w:ilvl w:val="12"/>
          <w:numId w:val="0"/>
        </w:numPr>
        <w:tabs>
          <w:tab w:val="clear" w:pos="567"/>
        </w:tabs>
        <w:spacing w:line="240" w:lineRule="auto"/>
        <w:ind w:right="-2"/>
        <w:rPr>
          <w:color w:val="000000"/>
          <w:szCs w:val="22"/>
          <w:lang w:val="et-EE"/>
        </w:rPr>
      </w:pPr>
    </w:p>
    <w:p w14:paraId="0BAAB0C2" w14:textId="77777777" w:rsidR="00E21A2F" w:rsidRPr="00EC3BD7" w:rsidRDefault="00E21A2F" w:rsidP="00E21A2F">
      <w:pPr>
        <w:widowControl w:val="0"/>
        <w:numPr>
          <w:ilvl w:val="12"/>
          <w:numId w:val="0"/>
        </w:numPr>
        <w:tabs>
          <w:tab w:val="clear" w:pos="567"/>
        </w:tabs>
        <w:spacing w:line="240" w:lineRule="auto"/>
        <w:ind w:right="-2"/>
        <w:rPr>
          <w:color w:val="000000"/>
          <w:szCs w:val="22"/>
          <w:lang w:val="et-EE"/>
        </w:rPr>
      </w:pPr>
    </w:p>
    <w:p w14:paraId="2E4BAC37" w14:textId="77777777" w:rsidR="002E5EA0" w:rsidRPr="00EC3BD7" w:rsidRDefault="002E5EA0" w:rsidP="00B9089D">
      <w:pPr>
        <w:keepNext/>
        <w:widowControl w:val="0"/>
        <w:numPr>
          <w:ilvl w:val="12"/>
          <w:numId w:val="0"/>
        </w:numPr>
        <w:tabs>
          <w:tab w:val="clear" w:pos="567"/>
        </w:tabs>
        <w:spacing w:line="240" w:lineRule="auto"/>
        <w:ind w:left="567" w:right="-2" w:hanging="567"/>
        <w:rPr>
          <w:color w:val="000000"/>
          <w:szCs w:val="22"/>
          <w:lang w:val="et-EE"/>
        </w:rPr>
      </w:pPr>
      <w:r w:rsidRPr="00EC3BD7">
        <w:rPr>
          <w:b/>
          <w:color w:val="000000"/>
          <w:szCs w:val="22"/>
          <w:lang w:val="et-EE"/>
        </w:rPr>
        <w:t>5.</w:t>
      </w:r>
      <w:r w:rsidRPr="00EC3BD7">
        <w:rPr>
          <w:b/>
          <w:color w:val="000000"/>
          <w:szCs w:val="22"/>
          <w:lang w:val="et-EE"/>
        </w:rPr>
        <w:tab/>
      </w:r>
      <w:r w:rsidRPr="00EC3BD7">
        <w:rPr>
          <w:b/>
          <w:lang w:val="et-EE"/>
        </w:rPr>
        <w:t xml:space="preserve">Kuidas </w:t>
      </w:r>
      <w:r w:rsidRPr="00EC3BD7">
        <w:rPr>
          <w:b/>
          <w:color w:val="000000"/>
          <w:szCs w:val="22"/>
          <w:lang w:val="et-EE"/>
        </w:rPr>
        <w:t>Glivecit</w:t>
      </w:r>
      <w:r w:rsidRPr="00EC3BD7">
        <w:rPr>
          <w:b/>
          <w:lang w:val="et-EE"/>
        </w:rPr>
        <w:t xml:space="preserve"> säilitada</w:t>
      </w:r>
    </w:p>
    <w:p w14:paraId="281A7420" w14:textId="77777777" w:rsidR="002E5EA0" w:rsidRPr="00EC3BD7" w:rsidRDefault="002E5EA0" w:rsidP="00B9089D">
      <w:pPr>
        <w:keepNext/>
        <w:widowControl w:val="0"/>
        <w:numPr>
          <w:ilvl w:val="12"/>
          <w:numId w:val="0"/>
        </w:numPr>
        <w:tabs>
          <w:tab w:val="clear" w:pos="567"/>
        </w:tabs>
        <w:spacing w:line="240" w:lineRule="auto"/>
        <w:ind w:right="-2"/>
        <w:rPr>
          <w:color w:val="000000"/>
          <w:szCs w:val="22"/>
          <w:lang w:val="et-EE"/>
        </w:rPr>
      </w:pPr>
    </w:p>
    <w:p w14:paraId="19E5C7AB" w14:textId="77777777" w:rsidR="002E5EA0" w:rsidRPr="00EC3BD7" w:rsidRDefault="002E5EA0" w:rsidP="00FD04EA">
      <w:pPr>
        <w:pStyle w:val="Text"/>
        <w:widowControl w:val="0"/>
        <w:numPr>
          <w:ilvl w:val="0"/>
          <w:numId w:val="2"/>
        </w:numPr>
        <w:tabs>
          <w:tab w:val="clear" w:pos="360"/>
          <w:tab w:val="num" w:pos="-6804"/>
        </w:tabs>
        <w:spacing w:before="0"/>
        <w:ind w:left="567" w:hanging="567"/>
        <w:jc w:val="left"/>
        <w:rPr>
          <w:color w:val="000000"/>
          <w:sz w:val="22"/>
          <w:szCs w:val="22"/>
          <w:lang w:val="et-EE"/>
        </w:rPr>
      </w:pPr>
      <w:r w:rsidRPr="00EC3BD7">
        <w:rPr>
          <w:color w:val="000000"/>
          <w:sz w:val="22"/>
          <w:szCs w:val="22"/>
          <w:lang w:val="et-EE"/>
        </w:rPr>
        <w:t>Hoidke seda ravimit laste eest varjatud ja kättesaamatus kohas.</w:t>
      </w:r>
    </w:p>
    <w:p w14:paraId="1F29AF02" w14:textId="77777777" w:rsidR="002E5EA0" w:rsidRPr="00EC3BD7" w:rsidRDefault="002E5EA0" w:rsidP="00FD04EA">
      <w:pPr>
        <w:pStyle w:val="Text"/>
        <w:widowControl w:val="0"/>
        <w:numPr>
          <w:ilvl w:val="0"/>
          <w:numId w:val="2"/>
        </w:numPr>
        <w:tabs>
          <w:tab w:val="clear" w:pos="360"/>
          <w:tab w:val="num" w:pos="-6804"/>
        </w:tabs>
        <w:spacing w:before="0"/>
        <w:ind w:left="567" w:hanging="567"/>
        <w:jc w:val="left"/>
        <w:rPr>
          <w:color w:val="000000"/>
          <w:sz w:val="22"/>
          <w:szCs w:val="22"/>
          <w:lang w:val="et-EE"/>
        </w:rPr>
      </w:pPr>
      <w:r w:rsidRPr="00EC3BD7">
        <w:rPr>
          <w:color w:val="000000"/>
          <w:sz w:val="22"/>
          <w:szCs w:val="22"/>
          <w:lang w:val="et-EE"/>
        </w:rPr>
        <w:t>Ärge kasutage seda ravimit pärast kõlblikkusaega, mis on märgitud karbil</w:t>
      </w:r>
      <w:r w:rsidR="00723E13" w:rsidRPr="00EC3BD7">
        <w:rPr>
          <w:color w:val="000000"/>
          <w:sz w:val="22"/>
          <w:szCs w:val="22"/>
          <w:lang w:val="et-EE"/>
        </w:rPr>
        <w:t xml:space="preserve"> pärast „</w:t>
      </w:r>
      <w:r w:rsidR="0023323F" w:rsidRPr="00EC3BD7">
        <w:rPr>
          <w:color w:val="000000"/>
          <w:sz w:val="22"/>
          <w:szCs w:val="22"/>
          <w:lang w:val="et-EE"/>
        </w:rPr>
        <w:t>EXP</w:t>
      </w:r>
      <w:r w:rsidR="00723E13" w:rsidRPr="00EC3BD7">
        <w:rPr>
          <w:color w:val="000000"/>
          <w:sz w:val="22"/>
          <w:szCs w:val="22"/>
          <w:lang w:val="et-EE"/>
        </w:rPr>
        <w:t>“</w:t>
      </w:r>
      <w:r w:rsidRPr="00EC3BD7">
        <w:rPr>
          <w:color w:val="000000"/>
          <w:sz w:val="22"/>
          <w:szCs w:val="22"/>
          <w:lang w:val="et-EE"/>
        </w:rPr>
        <w:t>.</w:t>
      </w:r>
    </w:p>
    <w:p w14:paraId="1D2BA8EF" w14:textId="77777777" w:rsidR="002E5EA0" w:rsidRPr="00EC3BD7" w:rsidRDefault="002E5EA0" w:rsidP="00FD04EA">
      <w:pPr>
        <w:pStyle w:val="Text"/>
        <w:widowControl w:val="0"/>
        <w:numPr>
          <w:ilvl w:val="0"/>
          <w:numId w:val="2"/>
        </w:numPr>
        <w:tabs>
          <w:tab w:val="clear" w:pos="360"/>
          <w:tab w:val="num" w:pos="-6804"/>
        </w:tabs>
        <w:spacing w:before="0"/>
        <w:ind w:left="567" w:hanging="567"/>
        <w:jc w:val="left"/>
        <w:rPr>
          <w:color w:val="000000"/>
          <w:sz w:val="22"/>
          <w:szCs w:val="22"/>
          <w:lang w:val="et-EE"/>
        </w:rPr>
      </w:pPr>
      <w:r w:rsidRPr="00EC3BD7">
        <w:rPr>
          <w:color w:val="000000"/>
          <w:sz w:val="22"/>
          <w:szCs w:val="22"/>
          <w:lang w:val="et-EE"/>
        </w:rPr>
        <w:t>Hoida temperatuuril kuni 30</w:t>
      </w:r>
      <w:r w:rsidR="00DC1316" w:rsidRPr="00EC3BD7">
        <w:rPr>
          <w:color w:val="000000"/>
          <w:sz w:val="22"/>
          <w:szCs w:val="22"/>
          <w:lang w:val="et-EE"/>
        </w:rPr>
        <w:t> </w:t>
      </w:r>
      <w:r w:rsidRPr="00EC3BD7">
        <w:rPr>
          <w:color w:val="000000"/>
          <w:sz w:val="22"/>
          <w:szCs w:val="22"/>
          <w:lang w:val="et-EE"/>
        </w:rPr>
        <w:t>°C.</w:t>
      </w:r>
    </w:p>
    <w:p w14:paraId="2EFC9E0F" w14:textId="77777777" w:rsidR="002E5EA0" w:rsidRPr="00EC3BD7" w:rsidRDefault="002E5EA0" w:rsidP="00FD04EA">
      <w:pPr>
        <w:pStyle w:val="Text"/>
        <w:widowControl w:val="0"/>
        <w:numPr>
          <w:ilvl w:val="0"/>
          <w:numId w:val="2"/>
        </w:numPr>
        <w:tabs>
          <w:tab w:val="clear" w:pos="360"/>
          <w:tab w:val="num" w:pos="-6804"/>
        </w:tabs>
        <w:spacing w:before="0"/>
        <w:ind w:left="567" w:hanging="567"/>
        <w:jc w:val="left"/>
        <w:rPr>
          <w:color w:val="000000"/>
          <w:sz w:val="22"/>
          <w:szCs w:val="22"/>
          <w:lang w:val="et-EE"/>
        </w:rPr>
      </w:pPr>
      <w:r w:rsidRPr="00EC3BD7">
        <w:rPr>
          <w:color w:val="000000"/>
          <w:sz w:val="22"/>
          <w:szCs w:val="22"/>
          <w:lang w:val="et-EE"/>
        </w:rPr>
        <w:t>Hoida originaalpakendis, niiskuse eest kaitstult.</w:t>
      </w:r>
    </w:p>
    <w:p w14:paraId="2C4878FF" w14:textId="77777777" w:rsidR="002E5EA0" w:rsidRPr="00EC3BD7" w:rsidRDefault="002E5EA0" w:rsidP="00FD04EA">
      <w:pPr>
        <w:pStyle w:val="Text"/>
        <w:widowControl w:val="0"/>
        <w:numPr>
          <w:ilvl w:val="0"/>
          <w:numId w:val="2"/>
        </w:numPr>
        <w:tabs>
          <w:tab w:val="clear" w:pos="360"/>
          <w:tab w:val="num" w:pos="-6804"/>
        </w:tabs>
        <w:spacing w:before="0"/>
        <w:ind w:left="567" w:hanging="567"/>
        <w:jc w:val="left"/>
        <w:rPr>
          <w:color w:val="000000"/>
          <w:sz w:val="22"/>
          <w:szCs w:val="22"/>
          <w:lang w:val="et-EE"/>
        </w:rPr>
      </w:pPr>
      <w:r w:rsidRPr="00EC3BD7">
        <w:rPr>
          <w:color w:val="000000"/>
          <w:sz w:val="22"/>
          <w:szCs w:val="22"/>
          <w:lang w:val="et-EE"/>
        </w:rPr>
        <w:t>Ärge kasutage ühtegi pakendit, mis on kahjustatud või rikkumise tunnustega.</w:t>
      </w:r>
    </w:p>
    <w:p w14:paraId="7356966A" w14:textId="77777777" w:rsidR="00060D4A" w:rsidRPr="00EC3BD7" w:rsidRDefault="00060D4A" w:rsidP="00FD04EA">
      <w:pPr>
        <w:pStyle w:val="Text"/>
        <w:widowControl w:val="0"/>
        <w:numPr>
          <w:ilvl w:val="0"/>
          <w:numId w:val="2"/>
        </w:numPr>
        <w:tabs>
          <w:tab w:val="clear" w:pos="360"/>
          <w:tab w:val="num" w:pos="-6804"/>
        </w:tabs>
        <w:spacing w:before="0"/>
        <w:ind w:left="567" w:hanging="567"/>
        <w:jc w:val="left"/>
        <w:rPr>
          <w:color w:val="000000"/>
          <w:sz w:val="22"/>
          <w:szCs w:val="22"/>
          <w:lang w:val="et-EE"/>
        </w:rPr>
      </w:pPr>
      <w:r w:rsidRPr="00EC3BD7">
        <w:rPr>
          <w:color w:val="000000"/>
          <w:sz w:val="22"/>
          <w:szCs w:val="22"/>
          <w:lang w:val="et-EE"/>
        </w:rPr>
        <w:t>Ärge visake ravimeid kanalisatsiooni ega olmejäätmete hulka. Küsige oma apteekrilt, kuidas visata ära ravimeid, mida te enam ei kasuta. Need meetmed aitavad kaitsta keskkonda.</w:t>
      </w:r>
    </w:p>
    <w:p w14:paraId="5BD56129" w14:textId="77777777" w:rsidR="002E5EA0" w:rsidRPr="00EC3BD7" w:rsidRDefault="002E5EA0" w:rsidP="002E5EA0">
      <w:pPr>
        <w:pStyle w:val="Text"/>
        <w:widowControl w:val="0"/>
        <w:spacing w:before="0"/>
        <w:jc w:val="left"/>
        <w:rPr>
          <w:color w:val="000000"/>
          <w:sz w:val="22"/>
          <w:szCs w:val="22"/>
          <w:lang w:val="et-EE"/>
        </w:rPr>
      </w:pPr>
    </w:p>
    <w:p w14:paraId="23FD3717" w14:textId="77777777" w:rsidR="002E5EA0" w:rsidRPr="00EC3BD7" w:rsidRDefault="002E5EA0" w:rsidP="002E5EA0">
      <w:pPr>
        <w:widowControl w:val="0"/>
        <w:numPr>
          <w:ilvl w:val="12"/>
          <w:numId w:val="0"/>
        </w:numPr>
        <w:tabs>
          <w:tab w:val="clear" w:pos="567"/>
        </w:tabs>
        <w:spacing w:line="240" w:lineRule="auto"/>
        <w:ind w:right="-2"/>
        <w:rPr>
          <w:color w:val="000000"/>
          <w:szCs w:val="22"/>
          <w:lang w:val="et-EE"/>
        </w:rPr>
      </w:pPr>
    </w:p>
    <w:p w14:paraId="443734FD" w14:textId="77777777" w:rsidR="00DA3205" w:rsidRPr="00EC3BD7" w:rsidRDefault="00DA3205" w:rsidP="00B9089D">
      <w:pPr>
        <w:keepNext/>
        <w:widowControl w:val="0"/>
        <w:numPr>
          <w:ilvl w:val="12"/>
          <w:numId w:val="0"/>
        </w:numPr>
        <w:tabs>
          <w:tab w:val="clear" w:pos="567"/>
        </w:tabs>
        <w:spacing w:line="240" w:lineRule="auto"/>
        <w:ind w:right="-2"/>
        <w:jc w:val="both"/>
        <w:rPr>
          <w:caps/>
          <w:color w:val="000000"/>
          <w:szCs w:val="22"/>
          <w:lang w:val="et-EE"/>
        </w:rPr>
      </w:pPr>
      <w:r w:rsidRPr="00EC3BD7">
        <w:rPr>
          <w:b/>
          <w:caps/>
          <w:color w:val="000000"/>
          <w:szCs w:val="22"/>
          <w:lang w:val="et-EE"/>
        </w:rPr>
        <w:lastRenderedPageBreak/>
        <w:t>6.</w:t>
      </w:r>
      <w:r w:rsidRPr="00EC3BD7">
        <w:rPr>
          <w:b/>
          <w:caps/>
          <w:color w:val="000000"/>
          <w:szCs w:val="22"/>
          <w:lang w:val="et-EE"/>
        </w:rPr>
        <w:tab/>
      </w:r>
      <w:r w:rsidR="00FF4745" w:rsidRPr="00EC3BD7">
        <w:rPr>
          <w:b/>
          <w:lang w:val="et-EE"/>
        </w:rPr>
        <w:t>Pakendi sisu ja muu teave</w:t>
      </w:r>
    </w:p>
    <w:p w14:paraId="14F89A44" w14:textId="77777777" w:rsidR="00DA3205" w:rsidRPr="00EC3BD7" w:rsidRDefault="00DA3205" w:rsidP="00B9089D">
      <w:pPr>
        <w:keepNext/>
        <w:widowControl w:val="0"/>
        <w:numPr>
          <w:ilvl w:val="12"/>
          <w:numId w:val="0"/>
        </w:numPr>
        <w:tabs>
          <w:tab w:val="clear" w:pos="567"/>
        </w:tabs>
        <w:spacing w:line="240" w:lineRule="auto"/>
        <w:ind w:right="-2"/>
        <w:jc w:val="both"/>
        <w:rPr>
          <w:color w:val="000000"/>
          <w:szCs w:val="22"/>
          <w:lang w:val="et-EE"/>
        </w:rPr>
      </w:pPr>
    </w:p>
    <w:p w14:paraId="2042D9B4" w14:textId="77777777" w:rsidR="00DA3205" w:rsidRPr="00EC3BD7" w:rsidRDefault="00DA3205" w:rsidP="00B9089D">
      <w:pPr>
        <w:pStyle w:val="EndnoteText"/>
        <w:keepNext/>
        <w:widowControl w:val="0"/>
        <w:tabs>
          <w:tab w:val="clear" w:pos="567"/>
        </w:tabs>
        <w:rPr>
          <w:color w:val="000000"/>
          <w:szCs w:val="22"/>
          <w:lang w:val="et-EE"/>
        </w:rPr>
      </w:pPr>
      <w:r w:rsidRPr="00EC3BD7">
        <w:rPr>
          <w:b/>
          <w:color w:val="000000"/>
          <w:szCs w:val="22"/>
          <w:lang w:val="et-EE"/>
        </w:rPr>
        <w:t>Mida Glivec sisaldab</w:t>
      </w:r>
    </w:p>
    <w:p w14:paraId="3FA68E4E" w14:textId="77777777" w:rsidR="00DA3205" w:rsidRPr="00EC3BD7" w:rsidRDefault="00DA3205" w:rsidP="009A3C30">
      <w:pPr>
        <w:keepNext/>
        <w:widowControl w:val="0"/>
        <w:numPr>
          <w:ilvl w:val="0"/>
          <w:numId w:val="1"/>
        </w:numPr>
        <w:tabs>
          <w:tab w:val="clear" w:pos="567"/>
        </w:tabs>
        <w:spacing w:line="240" w:lineRule="auto"/>
        <w:ind w:left="567" w:hanging="567"/>
        <w:rPr>
          <w:color w:val="000000"/>
          <w:szCs w:val="22"/>
          <w:lang w:val="et-EE"/>
        </w:rPr>
      </w:pPr>
      <w:r w:rsidRPr="00EC3BD7">
        <w:rPr>
          <w:color w:val="000000"/>
          <w:szCs w:val="22"/>
          <w:lang w:val="et-EE"/>
        </w:rPr>
        <w:t>Toimeaine on imatiniibmes</w:t>
      </w:r>
      <w:r w:rsidR="00003EF4" w:rsidRPr="00EC3BD7">
        <w:rPr>
          <w:color w:val="000000"/>
          <w:szCs w:val="22"/>
          <w:lang w:val="et-EE"/>
        </w:rPr>
        <w:t>i</w:t>
      </w:r>
      <w:r w:rsidRPr="00EC3BD7">
        <w:rPr>
          <w:color w:val="000000"/>
          <w:szCs w:val="22"/>
          <w:lang w:val="et-EE"/>
        </w:rPr>
        <w:t xml:space="preserve">laat. </w:t>
      </w:r>
      <w:r w:rsidR="00003EF4" w:rsidRPr="00EC3BD7">
        <w:rPr>
          <w:color w:val="000000"/>
          <w:szCs w:val="22"/>
          <w:lang w:val="et-EE"/>
        </w:rPr>
        <w:t>Üks</w:t>
      </w:r>
      <w:r w:rsidRPr="00EC3BD7">
        <w:rPr>
          <w:color w:val="000000"/>
          <w:szCs w:val="22"/>
          <w:lang w:val="et-EE"/>
        </w:rPr>
        <w:t xml:space="preserve"> Gliveci kapsel sisaldab 100 mg imatiniib</w:t>
      </w:r>
      <w:r w:rsidR="00FF4745" w:rsidRPr="00EC3BD7">
        <w:rPr>
          <w:color w:val="000000"/>
          <w:szCs w:val="22"/>
          <w:lang w:val="et-EE"/>
        </w:rPr>
        <w:t>i (</w:t>
      </w:r>
      <w:r w:rsidRPr="00EC3BD7">
        <w:rPr>
          <w:color w:val="000000"/>
          <w:szCs w:val="22"/>
          <w:lang w:val="et-EE"/>
        </w:rPr>
        <w:t>mes</w:t>
      </w:r>
      <w:r w:rsidR="00003EF4" w:rsidRPr="00EC3BD7">
        <w:rPr>
          <w:color w:val="000000"/>
          <w:szCs w:val="22"/>
          <w:lang w:val="et-EE"/>
        </w:rPr>
        <w:t>i</w:t>
      </w:r>
      <w:r w:rsidRPr="00EC3BD7">
        <w:rPr>
          <w:color w:val="000000"/>
          <w:szCs w:val="22"/>
          <w:lang w:val="et-EE"/>
        </w:rPr>
        <w:t>laa</w:t>
      </w:r>
      <w:r w:rsidR="00FF4745" w:rsidRPr="00EC3BD7">
        <w:rPr>
          <w:color w:val="000000"/>
          <w:szCs w:val="22"/>
          <w:lang w:val="et-EE"/>
        </w:rPr>
        <w:t>d</w:t>
      </w:r>
      <w:r w:rsidRPr="00EC3BD7">
        <w:rPr>
          <w:color w:val="000000"/>
          <w:szCs w:val="22"/>
          <w:lang w:val="et-EE"/>
        </w:rPr>
        <w:t>i</w:t>
      </w:r>
      <w:r w:rsidR="00FF4745" w:rsidRPr="00EC3BD7">
        <w:rPr>
          <w:color w:val="000000"/>
          <w:szCs w:val="22"/>
          <w:lang w:val="et-EE"/>
        </w:rPr>
        <w:t>na)</w:t>
      </w:r>
      <w:r w:rsidRPr="00EC3BD7">
        <w:rPr>
          <w:color w:val="000000"/>
          <w:szCs w:val="22"/>
          <w:lang w:val="et-EE"/>
        </w:rPr>
        <w:t>.</w:t>
      </w:r>
    </w:p>
    <w:p w14:paraId="73AE1DD9" w14:textId="77777777" w:rsidR="00DA3205" w:rsidRPr="00EC3BD7" w:rsidRDefault="00FF4745" w:rsidP="009A3C30">
      <w:pPr>
        <w:keepLines/>
        <w:widowControl w:val="0"/>
        <w:numPr>
          <w:ilvl w:val="0"/>
          <w:numId w:val="1"/>
        </w:numPr>
        <w:tabs>
          <w:tab w:val="clear" w:pos="567"/>
        </w:tabs>
        <w:spacing w:line="240" w:lineRule="auto"/>
        <w:ind w:left="567" w:hanging="567"/>
        <w:rPr>
          <w:color w:val="000000"/>
          <w:szCs w:val="22"/>
          <w:lang w:val="et-EE"/>
        </w:rPr>
      </w:pPr>
      <w:r w:rsidRPr="00EC3BD7">
        <w:rPr>
          <w:color w:val="000000"/>
          <w:szCs w:val="22"/>
          <w:lang w:val="et-EE"/>
        </w:rPr>
        <w:t>Teised koostisosad</w:t>
      </w:r>
      <w:r w:rsidR="00DA3205" w:rsidRPr="00EC3BD7">
        <w:rPr>
          <w:color w:val="000000"/>
          <w:szCs w:val="22"/>
          <w:lang w:val="et-EE"/>
        </w:rPr>
        <w:t xml:space="preserve"> on mikrokristalliline tselluloos, krospovidoon, magneesiumstearaat ja veevaba kolloidne ränidioksiid. Kapsli kesta koostisse kuuluvad želatiin, punane raudoksiid (E172), kollane raudoksiid (E172) ja titaandioksiid (E171). Trükivärvi koostisse </w:t>
      </w:r>
      <w:r w:rsidR="008C3960" w:rsidRPr="00EC3BD7">
        <w:rPr>
          <w:color w:val="000000"/>
          <w:szCs w:val="22"/>
          <w:lang w:val="et-EE"/>
        </w:rPr>
        <w:t>kuuluvad punane raudoksiid (E172) ja šellak.</w:t>
      </w:r>
    </w:p>
    <w:p w14:paraId="79BC1407" w14:textId="77777777" w:rsidR="00DA3205" w:rsidRPr="00EC3BD7" w:rsidRDefault="00DA3205" w:rsidP="00DA3205">
      <w:pPr>
        <w:pStyle w:val="EndnoteText"/>
        <w:widowControl w:val="0"/>
        <w:numPr>
          <w:ilvl w:val="12"/>
          <w:numId w:val="0"/>
        </w:numPr>
        <w:tabs>
          <w:tab w:val="clear" w:pos="567"/>
        </w:tabs>
        <w:rPr>
          <w:color w:val="000000"/>
          <w:szCs w:val="22"/>
          <w:lang w:val="et-EE"/>
        </w:rPr>
      </w:pPr>
    </w:p>
    <w:p w14:paraId="3F5936AC" w14:textId="77777777" w:rsidR="00DA3205" w:rsidRPr="00EC3BD7" w:rsidRDefault="00DA3205" w:rsidP="00B9089D">
      <w:pPr>
        <w:pStyle w:val="EndnoteText"/>
        <w:keepNext/>
        <w:widowControl w:val="0"/>
        <w:numPr>
          <w:ilvl w:val="12"/>
          <w:numId w:val="0"/>
        </w:numPr>
        <w:tabs>
          <w:tab w:val="clear" w:pos="567"/>
        </w:tabs>
        <w:rPr>
          <w:b/>
          <w:color w:val="000000"/>
          <w:szCs w:val="22"/>
          <w:lang w:val="et-EE"/>
        </w:rPr>
      </w:pPr>
      <w:r w:rsidRPr="00EC3BD7">
        <w:rPr>
          <w:b/>
          <w:color w:val="000000"/>
          <w:szCs w:val="22"/>
          <w:lang w:val="et-EE"/>
        </w:rPr>
        <w:t>Kuidas Glivec välja näeb ja pakendi sisu</w:t>
      </w:r>
    </w:p>
    <w:p w14:paraId="5C932E23" w14:textId="77777777" w:rsidR="00DA3205" w:rsidRPr="00EC3BD7" w:rsidRDefault="00DA3205" w:rsidP="00DA3205">
      <w:pPr>
        <w:widowControl w:val="0"/>
        <w:tabs>
          <w:tab w:val="clear" w:pos="567"/>
        </w:tabs>
        <w:spacing w:line="240" w:lineRule="auto"/>
        <w:rPr>
          <w:color w:val="000000"/>
          <w:szCs w:val="22"/>
          <w:lang w:val="et-EE"/>
        </w:rPr>
      </w:pPr>
      <w:r w:rsidRPr="00EC3BD7">
        <w:rPr>
          <w:color w:val="000000"/>
          <w:szCs w:val="22"/>
          <w:lang w:val="et-EE"/>
        </w:rPr>
        <w:t>Glivec 100 mg kapslid on oranžid kuni hallikasoranžid, tähisega “</w:t>
      </w:r>
      <w:smartTag w:uri="urn:schemas-microsoft-com:office:smarttags" w:element="stockticker">
        <w:r w:rsidRPr="00EC3BD7">
          <w:rPr>
            <w:color w:val="000000"/>
            <w:szCs w:val="22"/>
            <w:lang w:val="et-EE"/>
          </w:rPr>
          <w:t>NVR</w:t>
        </w:r>
      </w:smartTag>
      <w:r w:rsidRPr="00EC3BD7">
        <w:rPr>
          <w:color w:val="000000"/>
          <w:szCs w:val="22"/>
          <w:lang w:val="et-EE"/>
        </w:rPr>
        <w:t> SI”. Nad sisaldavad valkjaskollakat pulbrit.</w:t>
      </w:r>
    </w:p>
    <w:p w14:paraId="155DE3C3" w14:textId="77777777" w:rsidR="00DA3205" w:rsidRPr="00EC3BD7" w:rsidRDefault="00DA3205" w:rsidP="00DA3205">
      <w:pPr>
        <w:pStyle w:val="EndnoteText"/>
        <w:widowControl w:val="0"/>
        <w:numPr>
          <w:ilvl w:val="12"/>
          <w:numId w:val="0"/>
        </w:numPr>
        <w:tabs>
          <w:tab w:val="clear" w:pos="567"/>
        </w:tabs>
        <w:rPr>
          <w:color w:val="000000"/>
          <w:szCs w:val="22"/>
          <w:lang w:val="et-EE"/>
        </w:rPr>
      </w:pPr>
    </w:p>
    <w:p w14:paraId="4DF76AA8" w14:textId="77777777" w:rsidR="00DA3205" w:rsidRPr="00EC3BD7" w:rsidRDefault="00DA3205" w:rsidP="00DA3205">
      <w:pPr>
        <w:pStyle w:val="EndnoteText"/>
        <w:widowControl w:val="0"/>
        <w:numPr>
          <w:ilvl w:val="12"/>
          <w:numId w:val="0"/>
        </w:numPr>
        <w:tabs>
          <w:tab w:val="clear" w:pos="567"/>
        </w:tabs>
        <w:rPr>
          <w:color w:val="000000"/>
          <w:szCs w:val="22"/>
          <w:lang w:val="et-EE"/>
        </w:rPr>
      </w:pPr>
      <w:r w:rsidRPr="00EC3BD7">
        <w:rPr>
          <w:color w:val="000000"/>
          <w:szCs w:val="22"/>
          <w:lang w:val="et-EE"/>
        </w:rPr>
        <w:t>Pakendis on 24, 48, 96, 120 või 180 kapslit. Kõik pakendi suurused ei pruugi olla müügil.</w:t>
      </w:r>
    </w:p>
    <w:p w14:paraId="27C39F6D" w14:textId="77777777" w:rsidR="00DA3205" w:rsidRPr="00EC3BD7" w:rsidRDefault="00DA3205" w:rsidP="00DA3205">
      <w:pPr>
        <w:pStyle w:val="EndnoteText"/>
        <w:widowControl w:val="0"/>
        <w:numPr>
          <w:ilvl w:val="12"/>
          <w:numId w:val="0"/>
        </w:numPr>
        <w:tabs>
          <w:tab w:val="clear" w:pos="567"/>
        </w:tabs>
        <w:rPr>
          <w:color w:val="000000"/>
          <w:szCs w:val="22"/>
          <w:lang w:val="et-EE"/>
        </w:rPr>
      </w:pPr>
    </w:p>
    <w:p w14:paraId="16C7DDC2" w14:textId="77777777" w:rsidR="00DA3205" w:rsidRPr="00EC3BD7" w:rsidRDefault="00DA3205" w:rsidP="00B9089D">
      <w:pPr>
        <w:pStyle w:val="Heading2"/>
        <w:widowControl w:val="0"/>
        <w:spacing w:before="0" w:after="0" w:line="240" w:lineRule="auto"/>
        <w:rPr>
          <w:rFonts w:ascii="Times New Roman" w:hAnsi="Times New Roman"/>
          <w:i w:val="0"/>
          <w:color w:val="000000"/>
          <w:sz w:val="22"/>
          <w:szCs w:val="22"/>
          <w:lang w:val="et-EE"/>
        </w:rPr>
      </w:pPr>
      <w:r w:rsidRPr="00EC3BD7">
        <w:rPr>
          <w:rFonts w:ascii="Times New Roman" w:hAnsi="Times New Roman"/>
          <w:i w:val="0"/>
          <w:color w:val="000000"/>
          <w:sz w:val="22"/>
          <w:szCs w:val="22"/>
          <w:lang w:val="et-EE"/>
        </w:rPr>
        <w:t>Müügiloa hoidja</w:t>
      </w:r>
    </w:p>
    <w:p w14:paraId="0C93280F" w14:textId="77777777" w:rsidR="00DA3205" w:rsidRPr="00EC3BD7" w:rsidRDefault="00DA3205" w:rsidP="00B9089D">
      <w:pPr>
        <w:pStyle w:val="EndnoteText"/>
        <w:keepNext/>
        <w:widowControl w:val="0"/>
        <w:tabs>
          <w:tab w:val="clear" w:pos="567"/>
        </w:tabs>
        <w:rPr>
          <w:color w:val="000000"/>
          <w:szCs w:val="22"/>
          <w:lang w:val="et-EE"/>
        </w:rPr>
      </w:pPr>
      <w:r w:rsidRPr="00EC3BD7">
        <w:rPr>
          <w:color w:val="000000"/>
          <w:szCs w:val="22"/>
          <w:lang w:val="et-EE"/>
        </w:rPr>
        <w:t>Novartis Europharm Limited</w:t>
      </w:r>
    </w:p>
    <w:p w14:paraId="04746CFE" w14:textId="77777777" w:rsidR="003948E3" w:rsidRPr="00EC3BD7" w:rsidRDefault="003948E3" w:rsidP="003948E3">
      <w:pPr>
        <w:keepNext/>
        <w:widowControl w:val="0"/>
        <w:spacing w:line="240" w:lineRule="auto"/>
        <w:rPr>
          <w:color w:val="000000"/>
        </w:rPr>
      </w:pPr>
      <w:r w:rsidRPr="00EC3BD7">
        <w:rPr>
          <w:color w:val="000000"/>
        </w:rPr>
        <w:t>Vista Building</w:t>
      </w:r>
    </w:p>
    <w:p w14:paraId="0185FFD4" w14:textId="77777777" w:rsidR="003948E3" w:rsidRPr="00EC3BD7" w:rsidRDefault="003948E3" w:rsidP="003948E3">
      <w:pPr>
        <w:keepNext/>
        <w:widowControl w:val="0"/>
        <w:spacing w:line="240" w:lineRule="auto"/>
        <w:rPr>
          <w:color w:val="000000"/>
        </w:rPr>
      </w:pPr>
      <w:r w:rsidRPr="00EC3BD7">
        <w:rPr>
          <w:color w:val="000000"/>
        </w:rPr>
        <w:t>Elm Park, Merrion Road</w:t>
      </w:r>
    </w:p>
    <w:p w14:paraId="0CB41A4C" w14:textId="77777777" w:rsidR="003948E3" w:rsidRPr="00EC3BD7" w:rsidRDefault="003948E3" w:rsidP="003948E3">
      <w:pPr>
        <w:keepNext/>
        <w:widowControl w:val="0"/>
        <w:spacing w:line="240" w:lineRule="auto"/>
        <w:rPr>
          <w:color w:val="000000"/>
        </w:rPr>
      </w:pPr>
      <w:r w:rsidRPr="00EC3BD7">
        <w:rPr>
          <w:color w:val="000000"/>
        </w:rPr>
        <w:t>Dublin 4</w:t>
      </w:r>
    </w:p>
    <w:p w14:paraId="74618483" w14:textId="77777777" w:rsidR="003948E3" w:rsidRPr="00EC3BD7" w:rsidRDefault="003948E3" w:rsidP="003948E3">
      <w:pPr>
        <w:pStyle w:val="Text"/>
        <w:widowControl w:val="0"/>
        <w:spacing w:before="0"/>
        <w:jc w:val="left"/>
        <w:rPr>
          <w:color w:val="000000"/>
          <w:sz w:val="22"/>
          <w:szCs w:val="22"/>
          <w:lang w:val="et-EE"/>
        </w:rPr>
      </w:pPr>
      <w:r w:rsidRPr="00EC3BD7">
        <w:rPr>
          <w:color w:val="000000"/>
          <w:sz w:val="22"/>
          <w:szCs w:val="22"/>
          <w:lang w:val="fr-CH"/>
        </w:rPr>
        <w:t>Iirimaa</w:t>
      </w:r>
    </w:p>
    <w:p w14:paraId="5C25960E" w14:textId="77777777" w:rsidR="00DA3205" w:rsidRPr="00EC3BD7" w:rsidRDefault="00DA3205" w:rsidP="00DA3205">
      <w:pPr>
        <w:pStyle w:val="Text"/>
        <w:widowControl w:val="0"/>
        <w:spacing w:before="0"/>
        <w:jc w:val="left"/>
        <w:rPr>
          <w:color w:val="000000"/>
          <w:szCs w:val="24"/>
          <w:lang w:val="et-EE"/>
        </w:rPr>
      </w:pPr>
    </w:p>
    <w:p w14:paraId="28FA6E14" w14:textId="77777777" w:rsidR="00DA3205" w:rsidRPr="00EC3BD7" w:rsidRDefault="00DA3205" w:rsidP="00B9089D">
      <w:pPr>
        <w:pStyle w:val="Heading2"/>
        <w:widowControl w:val="0"/>
        <w:spacing w:before="0" w:after="0" w:line="240" w:lineRule="auto"/>
        <w:rPr>
          <w:rFonts w:ascii="Times New Roman" w:hAnsi="Times New Roman"/>
          <w:i w:val="0"/>
          <w:color w:val="000000"/>
          <w:sz w:val="22"/>
          <w:szCs w:val="22"/>
          <w:lang w:val="et-EE"/>
        </w:rPr>
      </w:pPr>
      <w:r w:rsidRPr="00EC3BD7">
        <w:rPr>
          <w:rFonts w:ascii="Times New Roman" w:hAnsi="Times New Roman"/>
          <w:i w:val="0"/>
          <w:color w:val="000000"/>
          <w:sz w:val="22"/>
          <w:szCs w:val="22"/>
          <w:lang w:val="et-EE"/>
        </w:rPr>
        <w:t>Tootja</w:t>
      </w:r>
    </w:p>
    <w:p w14:paraId="2A5DCAAF" w14:textId="77777777" w:rsidR="00DA3205" w:rsidRPr="00EC3BD7" w:rsidRDefault="00DA3205" w:rsidP="00B9089D">
      <w:pPr>
        <w:keepNext/>
        <w:widowControl w:val="0"/>
        <w:spacing w:line="240" w:lineRule="auto"/>
        <w:rPr>
          <w:snapToGrid w:val="0"/>
          <w:color w:val="000000"/>
          <w:szCs w:val="22"/>
          <w:lang w:val="et-EE"/>
        </w:rPr>
      </w:pPr>
      <w:r w:rsidRPr="00EC3BD7">
        <w:rPr>
          <w:snapToGrid w:val="0"/>
          <w:color w:val="000000"/>
          <w:szCs w:val="22"/>
          <w:lang w:val="et-EE"/>
        </w:rPr>
        <w:t>Novartis Pharma GmbH</w:t>
      </w:r>
    </w:p>
    <w:p w14:paraId="6B35781C" w14:textId="77777777" w:rsidR="00DA3205" w:rsidRPr="00EC3BD7" w:rsidRDefault="00DA3205" w:rsidP="00B9089D">
      <w:pPr>
        <w:keepNext/>
        <w:widowControl w:val="0"/>
        <w:spacing w:line="240" w:lineRule="auto"/>
        <w:ind w:left="709" w:hanging="709"/>
        <w:rPr>
          <w:snapToGrid w:val="0"/>
          <w:color w:val="000000"/>
          <w:szCs w:val="22"/>
          <w:lang w:val="et-EE"/>
        </w:rPr>
      </w:pPr>
      <w:r w:rsidRPr="00EC3BD7">
        <w:rPr>
          <w:snapToGrid w:val="0"/>
          <w:color w:val="000000"/>
          <w:szCs w:val="22"/>
          <w:lang w:val="et-EE"/>
        </w:rPr>
        <w:t>Roonstrasse 25</w:t>
      </w:r>
    </w:p>
    <w:p w14:paraId="7D4DB085" w14:textId="77777777" w:rsidR="00DA3205" w:rsidRPr="00EC3BD7" w:rsidRDefault="00DA3205" w:rsidP="00B9089D">
      <w:pPr>
        <w:keepNext/>
        <w:widowControl w:val="0"/>
        <w:spacing w:line="240" w:lineRule="auto"/>
        <w:ind w:left="709" w:hanging="709"/>
        <w:rPr>
          <w:snapToGrid w:val="0"/>
          <w:color w:val="000000"/>
          <w:szCs w:val="22"/>
          <w:lang w:val="et-EE"/>
        </w:rPr>
      </w:pPr>
      <w:r w:rsidRPr="00EC3BD7">
        <w:rPr>
          <w:snapToGrid w:val="0"/>
          <w:color w:val="000000"/>
          <w:szCs w:val="22"/>
          <w:lang w:val="et-EE"/>
        </w:rPr>
        <w:t>D-90429 Nürnberg</w:t>
      </w:r>
    </w:p>
    <w:p w14:paraId="2879E351" w14:textId="77777777" w:rsidR="00DA3205" w:rsidRPr="00EC3BD7" w:rsidRDefault="00DA3205" w:rsidP="00DA3205">
      <w:pPr>
        <w:pStyle w:val="EndnoteText"/>
        <w:widowControl w:val="0"/>
        <w:numPr>
          <w:ilvl w:val="12"/>
          <w:numId w:val="0"/>
        </w:numPr>
        <w:tabs>
          <w:tab w:val="clear" w:pos="567"/>
        </w:tabs>
        <w:rPr>
          <w:snapToGrid w:val="0"/>
          <w:color w:val="000000"/>
          <w:szCs w:val="22"/>
          <w:lang w:val="et-EE"/>
        </w:rPr>
      </w:pPr>
      <w:r w:rsidRPr="00EC3BD7">
        <w:rPr>
          <w:snapToGrid w:val="0"/>
          <w:color w:val="000000"/>
          <w:szCs w:val="22"/>
          <w:lang w:val="et-EE"/>
        </w:rPr>
        <w:t>Saksamaa</w:t>
      </w:r>
    </w:p>
    <w:p w14:paraId="67125DC9" w14:textId="25D1CB2A" w:rsidR="00DA3205" w:rsidRDefault="00DA3205" w:rsidP="00DA3205">
      <w:pPr>
        <w:widowControl w:val="0"/>
        <w:numPr>
          <w:ilvl w:val="12"/>
          <w:numId w:val="0"/>
        </w:numPr>
        <w:tabs>
          <w:tab w:val="clear" w:pos="567"/>
        </w:tabs>
        <w:spacing w:line="240" w:lineRule="auto"/>
        <w:ind w:right="-2"/>
        <w:jc w:val="both"/>
        <w:rPr>
          <w:color w:val="000000"/>
          <w:szCs w:val="22"/>
          <w:lang w:val="et-EE"/>
        </w:rPr>
      </w:pPr>
    </w:p>
    <w:p w14:paraId="12F93697" w14:textId="77777777" w:rsidR="00B6362C" w:rsidRPr="00B6362C" w:rsidRDefault="00B6362C" w:rsidP="00B6362C">
      <w:pPr>
        <w:keepNext/>
        <w:rPr>
          <w:color w:val="000000"/>
          <w:szCs w:val="22"/>
          <w:shd w:val="pct15" w:color="auto" w:fill="auto"/>
          <w:lang w:val="et-EE"/>
        </w:rPr>
      </w:pPr>
      <w:r w:rsidRPr="00B6362C">
        <w:rPr>
          <w:color w:val="000000"/>
          <w:szCs w:val="22"/>
          <w:shd w:val="pct15" w:color="auto" w:fill="auto"/>
          <w:lang w:val="et-EE"/>
        </w:rPr>
        <w:t>Sandoz S.R.L.</w:t>
      </w:r>
    </w:p>
    <w:p w14:paraId="7DAFFB9E" w14:textId="77777777" w:rsidR="00B6362C" w:rsidRPr="00B6362C" w:rsidRDefault="00B6362C" w:rsidP="00B6362C">
      <w:pPr>
        <w:keepNext/>
        <w:rPr>
          <w:color w:val="000000"/>
          <w:szCs w:val="22"/>
          <w:shd w:val="pct15" w:color="auto" w:fill="auto"/>
          <w:lang w:val="et-EE"/>
        </w:rPr>
      </w:pPr>
      <w:r w:rsidRPr="00B6362C">
        <w:rPr>
          <w:color w:val="000000"/>
          <w:szCs w:val="22"/>
          <w:shd w:val="pct15" w:color="auto" w:fill="auto"/>
          <w:lang w:val="et-EE"/>
        </w:rPr>
        <w:t>Str. Livezeni nr. 7A</w:t>
      </w:r>
    </w:p>
    <w:p w14:paraId="6354E883" w14:textId="77777777" w:rsidR="00B6362C" w:rsidRPr="00B6362C" w:rsidRDefault="00B6362C" w:rsidP="00B6362C">
      <w:pPr>
        <w:keepNext/>
        <w:rPr>
          <w:color w:val="000000"/>
          <w:szCs w:val="22"/>
          <w:shd w:val="pct15" w:color="auto" w:fill="auto"/>
          <w:lang w:val="et-EE"/>
        </w:rPr>
      </w:pPr>
      <w:r w:rsidRPr="00B6362C">
        <w:rPr>
          <w:color w:val="000000"/>
          <w:szCs w:val="22"/>
          <w:shd w:val="pct15" w:color="auto" w:fill="auto"/>
          <w:lang w:val="et-EE"/>
        </w:rPr>
        <w:t>540472, Targu Mures</w:t>
      </w:r>
    </w:p>
    <w:p w14:paraId="7C6BD063" w14:textId="1051C269" w:rsidR="00B6362C" w:rsidRPr="00B6362C" w:rsidRDefault="00B6362C" w:rsidP="00B6362C">
      <w:pPr>
        <w:widowControl w:val="0"/>
        <w:numPr>
          <w:ilvl w:val="12"/>
          <w:numId w:val="0"/>
        </w:numPr>
        <w:tabs>
          <w:tab w:val="clear" w:pos="567"/>
        </w:tabs>
        <w:spacing w:line="240" w:lineRule="auto"/>
        <w:ind w:right="-2"/>
        <w:jc w:val="both"/>
        <w:rPr>
          <w:color w:val="000000"/>
          <w:szCs w:val="22"/>
          <w:shd w:val="pct15" w:color="auto" w:fill="auto"/>
          <w:lang w:val="et-EE"/>
        </w:rPr>
      </w:pPr>
      <w:r w:rsidRPr="00B6362C">
        <w:rPr>
          <w:color w:val="000000"/>
          <w:szCs w:val="22"/>
          <w:shd w:val="pct15" w:color="auto" w:fill="auto"/>
          <w:lang w:val="et-EE"/>
        </w:rPr>
        <w:t>Rumeenia</w:t>
      </w:r>
    </w:p>
    <w:p w14:paraId="2B9BFF80" w14:textId="77777777" w:rsidR="00B6362C" w:rsidRPr="00EC3BD7" w:rsidRDefault="00B6362C" w:rsidP="00B6362C">
      <w:pPr>
        <w:widowControl w:val="0"/>
        <w:numPr>
          <w:ilvl w:val="12"/>
          <w:numId w:val="0"/>
        </w:numPr>
        <w:tabs>
          <w:tab w:val="clear" w:pos="567"/>
        </w:tabs>
        <w:spacing w:line="240" w:lineRule="auto"/>
        <w:ind w:right="-2"/>
        <w:jc w:val="both"/>
        <w:rPr>
          <w:color w:val="000000"/>
          <w:szCs w:val="22"/>
          <w:lang w:val="et-EE"/>
        </w:rPr>
      </w:pPr>
    </w:p>
    <w:p w14:paraId="46A4CD2C" w14:textId="77777777" w:rsidR="00DA3205" w:rsidRPr="00EC3BD7" w:rsidRDefault="00DA3205" w:rsidP="00B9089D">
      <w:pPr>
        <w:keepNext/>
        <w:widowControl w:val="0"/>
        <w:numPr>
          <w:ilvl w:val="12"/>
          <w:numId w:val="0"/>
        </w:numPr>
        <w:tabs>
          <w:tab w:val="clear" w:pos="567"/>
        </w:tabs>
        <w:spacing w:line="240" w:lineRule="auto"/>
        <w:ind w:right="-2"/>
        <w:jc w:val="both"/>
        <w:rPr>
          <w:color w:val="000000"/>
          <w:szCs w:val="22"/>
          <w:lang w:val="et-EE"/>
        </w:rPr>
      </w:pPr>
      <w:r w:rsidRPr="00EC3BD7">
        <w:rPr>
          <w:color w:val="000000"/>
          <w:szCs w:val="22"/>
          <w:lang w:val="et-EE"/>
        </w:rPr>
        <w:t>Lisaküsimuste tekkimisel selle ravimi kohta pöörduge palun müügiloa hoidja kohaliku esindaja poole</w:t>
      </w:r>
      <w:r w:rsidR="00442F42" w:rsidRPr="00EC3BD7">
        <w:rPr>
          <w:color w:val="000000"/>
          <w:szCs w:val="22"/>
          <w:lang w:val="et-EE"/>
        </w:rPr>
        <w:t>:</w:t>
      </w:r>
    </w:p>
    <w:p w14:paraId="3B5FF311" w14:textId="77777777" w:rsidR="000A6B36" w:rsidRPr="00EC3BD7" w:rsidRDefault="000A6B36" w:rsidP="00B9089D">
      <w:pPr>
        <w:keepNext/>
        <w:widowControl w:val="0"/>
        <w:tabs>
          <w:tab w:val="clear" w:pos="567"/>
        </w:tabs>
        <w:spacing w:line="240" w:lineRule="auto"/>
        <w:ind w:right="-449"/>
        <w:rPr>
          <w:color w:val="000000"/>
          <w:szCs w:val="22"/>
          <w:lang w:val="et-EE"/>
        </w:rPr>
      </w:pPr>
    </w:p>
    <w:tbl>
      <w:tblPr>
        <w:tblW w:w="9300" w:type="dxa"/>
        <w:tblLayout w:type="fixed"/>
        <w:tblLook w:val="0000" w:firstRow="0" w:lastRow="0" w:firstColumn="0" w:lastColumn="0" w:noHBand="0" w:noVBand="0"/>
      </w:tblPr>
      <w:tblGrid>
        <w:gridCol w:w="4650"/>
        <w:gridCol w:w="4650"/>
      </w:tblGrid>
      <w:tr w:rsidR="000A6B36" w:rsidRPr="00EC3BD7" w14:paraId="69E58EF3" w14:textId="77777777" w:rsidTr="00F53D51">
        <w:trPr>
          <w:cantSplit/>
        </w:trPr>
        <w:tc>
          <w:tcPr>
            <w:tcW w:w="4650" w:type="dxa"/>
          </w:tcPr>
          <w:p w14:paraId="6AFCA419" w14:textId="77777777" w:rsidR="000A6B36" w:rsidRPr="00EC3BD7" w:rsidRDefault="000A6B36" w:rsidP="00BB79A3">
            <w:pPr>
              <w:rPr>
                <w:b/>
                <w:color w:val="000000"/>
                <w:szCs w:val="22"/>
                <w:lang w:val="et-EE"/>
              </w:rPr>
            </w:pPr>
            <w:r w:rsidRPr="00EC3BD7">
              <w:rPr>
                <w:b/>
                <w:color w:val="000000"/>
                <w:szCs w:val="22"/>
                <w:lang w:val="et-EE"/>
              </w:rPr>
              <w:t>België/Belgique/Belgien</w:t>
            </w:r>
          </w:p>
          <w:p w14:paraId="79303383" w14:textId="77777777" w:rsidR="000A6B36" w:rsidRPr="00EC3BD7" w:rsidRDefault="000A6B36" w:rsidP="00BB79A3">
            <w:pPr>
              <w:rPr>
                <w:color w:val="000000"/>
                <w:szCs w:val="22"/>
                <w:lang w:val="et-EE"/>
              </w:rPr>
            </w:pPr>
            <w:r w:rsidRPr="00EC3BD7">
              <w:rPr>
                <w:color w:val="000000"/>
                <w:szCs w:val="22"/>
                <w:lang w:val="et-EE"/>
              </w:rPr>
              <w:t>Novartis Pharma N.V.</w:t>
            </w:r>
          </w:p>
          <w:p w14:paraId="4935201A" w14:textId="77777777" w:rsidR="000A6B36" w:rsidRPr="00EC3BD7" w:rsidRDefault="000A6B36" w:rsidP="00BB79A3">
            <w:pPr>
              <w:rPr>
                <w:color w:val="000000"/>
                <w:szCs w:val="22"/>
                <w:lang w:val="et-EE"/>
              </w:rPr>
            </w:pPr>
            <w:r w:rsidRPr="00EC3BD7">
              <w:rPr>
                <w:color w:val="000000"/>
                <w:szCs w:val="22"/>
                <w:lang w:val="et-EE"/>
              </w:rPr>
              <w:t>Tél/Tel: +32 2 246 16 11</w:t>
            </w:r>
          </w:p>
          <w:p w14:paraId="161D547F" w14:textId="77777777" w:rsidR="000A6B36" w:rsidRPr="00EC3BD7" w:rsidRDefault="000A6B36" w:rsidP="00BB79A3">
            <w:pPr>
              <w:rPr>
                <w:b/>
                <w:color w:val="000000"/>
                <w:szCs w:val="22"/>
                <w:lang w:val="et-EE"/>
              </w:rPr>
            </w:pPr>
          </w:p>
        </w:tc>
        <w:tc>
          <w:tcPr>
            <w:tcW w:w="4650" w:type="dxa"/>
          </w:tcPr>
          <w:p w14:paraId="7E3F57D0" w14:textId="77777777" w:rsidR="000A6B36" w:rsidRPr="00EC3BD7" w:rsidRDefault="000A6B36" w:rsidP="00BB79A3">
            <w:pPr>
              <w:rPr>
                <w:b/>
                <w:color w:val="000000"/>
                <w:szCs w:val="22"/>
                <w:lang w:val="et-EE"/>
              </w:rPr>
            </w:pPr>
            <w:r w:rsidRPr="00EC3BD7">
              <w:rPr>
                <w:b/>
                <w:color w:val="000000"/>
                <w:szCs w:val="22"/>
                <w:lang w:val="et-EE"/>
              </w:rPr>
              <w:t>Lietuva</w:t>
            </w:r>
          </w:p>
          <w:p w14:paraId="5F18B1EF" w14:textId="53A5A276" w:rsidR="000A6B36" w:rsidRPr="00EC3BD7" w:rsidRDefault="00B27DF4" w:rsidP="00BB79A3">
            <w:pPr>
              <w:rPr>
                <w:color w:val="000000"/>
                <w:szCs w:val="22"/>
                <w:lang w:val="et-EE"/>
              </w:rPr>
            </w:pPr>
            <w:r w:rsidRPr="00EC3BD7">
              <w:rPr>
                <w:color w:val="000000"/>
                <w:szCs w:val="22"/>
                <w:lang w:val="et-EE"/>
              </w:rPr>
              <w:t>SIA Novartis Baltics Lietuvos filialas</w:t>
            </w:r>
          </w:p>
          <w:p w14:paraId="516F02E7" w14:textId="77777777" w:rsidR="000A6B36" w:rsidRPr="00EC3BD7" w:rsidRDefault="000A6B36" w:rsidP="00BB79A3">
            <w:pPr>
              <w:rPr>
                <w:color w:val="000000"/>
                <w:szCs w:val="22"/>
                <w:lang w:val="et-EE"/>
              </w:rPr>
            </w:pPr>
            <w:r w:rsidRPr="00EC3BD7">
              <w:rPr>
                <w:color w:val="000000"/>
                <w:szCs w:val="22"/>
                <w:lang w:val="et-EE"/>
              </w:rPr>
              <w:t>Tel: +370 5 269 16 50</w:t>
            </w:r>
          </w:p>
          <w:p w14:paraId="2ACF3308" w14:textId="77777777" w:rsidR="000A6B36" w:rsidRPr="00EC3BD7" w:rsidRDefault="000A6B36" w:rsidP="00BB79A3">
            <w:pPr>
              <w:rPr>
                <w:color w:val="000000"/>
                <w:szCs w:val="22"/>
                <w:lang w:val="et-EE"/>
              </w:rPr>
            </w:pPr>
          </w:p>
        </w:tc>
      </w:tr>
      <w:tr w:rsidR="000A6B36" w:rsidRPr="00EC3BD7" w14:paraId="6B72C282" w14:textId="77777777" w:rsidTr="00F53D51">
        <w:trPr>
          <w:cantSplit/>
        </w:trPr>
        <w:tc>
          <w:tcPr>
            <w:tcW w:w="4650" w:type="dxa"/>
          </w:tcPr>
          <w:p w14:paraId="26A9E056" w14:textId="77777777" w:rsidR="000A6B36" w:rsidRPr="00EC3BD7" w:rsidRDefault="000A6B36" w:rsidP="00BB79A3">
            <w:pPr>
              <w:rPr>
                <w:b/>
                <w:color w:val="000000"/>
                <w:szCs w:val="22"/>
                <w:lang w:val="et-EE"/>
              </w:rPr>
            </w:pPr>
            <w:r w:rsidRPr="00EC3BD7">
              <w:rPr>
                <w:b/>
                <w:color w:val="000000"/>
                <w:szCs w:val="22"/>
                <w:lang w:val="et-EE"/>
              </w:rPr>
              <w:t>България</w:t>
            </w:r>
          </w:p>
          <w:p w14:paraId="5E1017D6" w14:textId="77777777" w:rsidR="000A6B36" w:rsidRPr="00EC3BD7" w:rsidRDefault="00A26981" w:rsidP="00BB79A3">
            <w:pPr>
              <w:rPr>
                <w:color w:val="000000"/>
                <w:szCs w:val="22"/>
                <w:lang w:val="et-EE"/>
              </w:rPr>
            </w:pPr>
            <w:r w:rsidRPr="00EC3BD7">
              <w:rPr>
                <w:color w:val="000000"/>
                <w:szCs w:val="22"/>
                <w:lang w:val="et-EE"/>
              </w:rPr>
              <w:t>Novartis Bulgaria EOOD</w:t>
            </w:r>
          </w:p>
          <w:p w14:paraId="2A6F495B" w14:textId="77777777" w:rsidR="000A6B36" w:rsidRPr="00EC3BD7" w:rsidRDefault="000A6B36" w:rsidP="00BB79A3">
            <w:pPr>
              <w:rPr>
                <w:color w:val="000000"/>
                <w:szCs w:val="22"/>
                <w:lang w:val="et-EE"/>
              </w:rPr>
            </w:pPr>
            <w:r w:rsidRPr="00EC3BD7">
              <w:rPr>
                <w:color w:val="000000"/>
                <w:szCs w:val="22"/>
                <w:lang w:val="et-EE"/>
              </w:rPr>
              <w:t>Тел.: +359 2 489 98 28</w:t>
            </w:r>
          </w:p>
          <w:p w14:paraId="0A5DEF05" w14:textId="77777777" w:rsidR="000A6B36" w:rsidRPr="00EC3BD7" w:rsidRDefault="000A6B36" w:rsidP="00BB79A3">
            <w:pPr>
              <w:rPr>
                <w:b/>
                <w:color w:val="000000"/>
                <w:szCs w:val="22"/>
                <w:lang w:val="et-EE"/>
              </w:rPr>
            </w:pPr>
          </w:p>
        </w:tc>
        <w:tc>
          <w:tcPr>
            <w:tcW w:w="4650" w:type="dxa"/>
          </w:tcPr>
          <w:p w14:paraId="50A746D1" w14:textId="77777777" w:rsidR="000A6B36" w:rsidRPr="00EC3BD7" w:rsidRDefault="000A6B36" w:rsidP="00BB79A3">
            <w:pPr>
              <w:rPr>
                <w:b/>
                <w:color w:val="000000"/>
                <w:szCs w:val="22"/>
                <w:lang w:val="et-EE"/>
              </w:rPr>
            </w:pPr>
            <w:r w:rsidRPr="00EC3BD7">
              <w:rPr>
                <w:b/>
                <w:color w:val="000000"/>
                <w:szCs w:val="22"/>
                <w:lang w:val="et-EE"/>
              </w:rPr>
              <w:t>Luxembourg/Luxemburg</w:t>
            </w:r>
          </w:p>
          <w:p w14:paraId="3C549C03" w14:textId="77777777" w:rsidR="000A6B36" w:rsidRPr="00EC3BD7" w:rsidRDefault="000A6B36" w:rsidP="00BB79A3">
            <w:pPr>
              <w:rPr>
                <w:color w:val="000000"/>
                <w:szCs w:val="22"/>
                <w:lang w:val="et-EE"/>
              </w:rPr>
            </w:pPr>
            <w:r w:rsidRPr="00EC3BD7">
              <w:rPr>
                <w:color w:val="000000"/>
                <w:szCs w:val="22"/>
                <w:lang w:val="et-EE"/>
              </w:rPr>
              <w:t>Novartis Pharma N.V.</w:t>
            </w:r>
          </w:p>
          <w:p w14:paraId="14F20200" w14:textId="77777777" w:rsidR="000A6B36" w:rsidRPr="00EC3BD7" w:rsidRDefault="000A6B36" w:rsidP="00BB79A3">
            <w:pPr>
              <w:rPr>
                <w:color w:val="000000"/>
                <w:szCs w:val="22"/>
                <w:lang w:val="et-EE"/>
              </w:rPr>
            </w:pPr>
            <w:r w:rsidRPr="00EC3BD7">
              <w:rPr>
                <w:color w:val="000000"/>
                <w:szCs w:val="22"/>
                <w:lang w:val="et-EE"/>
              </w:rPr>
              <w:t>Tél/Tel: +32 2 246 16 11</w:t>
            </w:r>
          </w:p>
          <w:p w14:paraId="2343647D" w14:textId="77777777" w:rsidR="000A6B36" w:rsidRPr="00EC3BD7" w:rsidRDefault="000A6B36" w:rsidP="00BB79A3">
            <w:pPr>
              <w:rPr>
                <w:color w:val="000000"/>
                <w:szCs w:val="22"/>
                <w:lang w:val="et-EE"/>
              </w:rPr>
            </w:pPr>
          </w:p>
        </w:tc>
      </w:tr>
      <w:tr w:rsidR="000A6B36" w:rsidRPr="00EC3BD7" w14:paraId="14D6205B" w14:textId="77777777" w:rsidTr="00F53D51">
        <w:trPr>
          <w:cantSplit/>
        </w:trPr>
        <w:tc>
          <w:tcPr>
            <w:tcW w:w="4650" w:type="dxa"/>
          </w:tcPr>
          <w:p w14:paraId="2C9CF0C9" w14:textId="77777777" w:rsidR="000A6B36" w:rsidRPr="00EC3BD7" w:rsidRDefault="000A6B36" w:rsidP="00BB79A3">
            <w:pPr>
              <w:rPr>
                <w:b/>
                <w:color w:val="000000"/>
                <w:szCs w:val="22"/>
                <w:lang w:val="et-EE"/>
              </w:rPr>
            </w:pPr>
            <w:r w:rsidRPr="00EC3BD7">
              <w:rPr>
                <w:b/>
                <w:color w:val="000000"/>
                <w:szCs w:val="22"/>
                <w:lang w:val="et-EE"/>
              </w:rPr>
              <w:t>Česká republika</w:t>
            </w:r>
          </w:p>
          <w:p w14:paraId="1BCE16BA" w14:textId="77777777" w:rsidR="000A6B36" w:rsidRPr="00EC3BD7" w:rsidRDefault="000A6B36" w:rsidP="00BB79A3">
            <w:pPr>
              <w:rPr>
                <w:color w:val="000000"/>
                <w:szCs w:val="22"/>
                <w:lang w:val="et-EE"/>
              </w:rPr>
            </w:pPr>
            <w:r w:rsidRPr="00EC3BD7">
              <w:rPr>
                <w:color w:val="000000"/>
                <w:szCs w:val="22"/>
                <w:lang w:val="et-EE"/>
              </w:rPr>
              <w:t>Novartis s.r.o.</w:t>
            </w:r>
          </w:p>
          <w:p w14:paraId="4C4AB0E4" w14:textId="77777777" w:rsidR="000A6B36" w:rsidRPr="00EC3BD7" w:rsidRDefault="000A6B36" w:rsidP="00BB79A3">
            <w:pPr>
              <w:rPr>
                <w:color w:val="000000"/>
                <w:szCs w:val="22"/>
                <w:lang w:val="et-EE"/>
              </w:rPr>
            </w:pPr>
            <w:r w:rsidRPr="00EC3BD7">
              <w:rPr>
                <w:color w:val="000000"/>
                <w:szCs w:val="22"/>
                <w:lang w:val="et-EE"/>
              </w:rPr>
              <w:t>Tel: +420 225 775 111</w:t>
            </w:r>
          </w:p>
          <w:p w14:paraId="6870F411" w14:textId="77777777" w:rsidR="000A6B36" w:rsidRPr="00EC3BD7" w:rsidRDefault="000A6B36" w:rsidP="00BB79A3">
            <w:pPr>
              <w:rPr>
                <w:b/>
                <w:color w:val="000000"/>
                <w:szCs w:val="22"/>
                <w:lang w:val="et-EE"/>
              </w:rPr>
            </w:pPr>
          </w:p>
        </w:tc>
        <w:tc>
          <w:tcPr>
            <w:tcW w:w="4650" w:type="dxa"/>
          </w:tcPr>
          <w:p w14:paraId="505016D4" w14:textId="77777777" w:rsidR="000A6B36" w:rsidRPr="00EC3BD7" w:rsidRDefault="000A6B36" w:rsidP="00BB79A3">
            <w:pPr>
              <w:rPr>
                <w:b/>
                <w:color w:val="000000"/>
                <w:szCs w:val="22"/>
                <w:lang w:val="et-EE"/>
              </w:rPr>
            </w:pPr>
            <w:r w:rsidRPr="00EC3BD7">
              <w:rPr>
                <w:b/>
                <w:color w:val="000000"/>
                <w:szCs w:val="22"/>
                <w:lang w:val="et-EE"/>
              </w:rPr>
              <w:t>Magyarország</w:t>
            </w:r>
          </w:p>
          <w:p w14:paraId="2B889703" w14:textId="77777777" w:rsidR="000A6B36" w:rsidRPr="00EC3BD7" w:rsidRDefault="000A6B36" w:rsidP="00BB79A3">
            <w:pPr>
              <w:rPr>
                <w:color w:val="000000"/>
                <w:szCs w:val="22"/>
                <w:lang w:val="et-EE"/>
              </w:rPr>
            </w:pPr>
            <w:r w:rsidRPr="00EC3BD7">
              <w:rPr>
                <w:color w:val="000000"/>
                <w:szCs w:val="22"/>
                <w:lang w:val="et-EE"/>
              </w:rPr>
              <w:t xml:space="preserve">Novartis Hungária Kft. </w:t>
            </w:r>
          </w:p>
          <w:p w14:paraId="32161952" w14:textId="77777777" w:rsidR="000A6B36" w:rsidRPr="00EC3BD7" w:rsidRDefault="000A6B36" w:rsidP="00BB79A3">
            <w:pPr>
              <w:rPr>
                <w:color w:val="000000"/>
                <w:szCs w:val="22"/>
                <w:lang w:val="et-EE"/>
              </w:rPr>
            </w:pPr>
            <w:r w:rsidRPr="00EC3BD7">
              <w:rPr>
                <w:color w:val="000000"/>
                <w:szCs w:val="22"/>
                <w:lang w:val="et-EE"/>
              </w:rPr>
              <w:t>Tel.: +36 1 457 65 00</w:t>
            </w:r>
          </w:p>
        </w:tc>
      </w:tr>
      <w:tr w:rsidR="000A6B36" w:rsidRPr="00EC3BD7" w14:paraId="589F0FFA" w14:textId="77777777" w:rsidTr="00F53D51">
        <w:trPr>
          <w:cantSplit/>
        </w:trPr>
        <w:tc>
          <w:tcPr>
            <w:tcW w:w="4650" w:type="dxa"/>
          </w:tcPr>
          <w:p w14:paraId="75A3F40F" w14:textId="77777777" w:rsidR="000A6B36" w:rsidRPr="00EC3BD7" w:rsidRDefault="000A6B36" w:rsidP="00BB79A3">
            <w:pPr>
              <w:rPr>
                <w:b/>
                <w:color w:val="000000"/>
                <w:szCs w:val="22"/>
                <w:lang w:val="et-EE"/>
              </w:rPr>
            </w:pPr>
            <w:r w:rsidRPr="00EC3BD7">
              <w:rPr>
                <w:b/>
                <w:color w:val="000000"/>
                <w:szCs w:val="22"/>
                <w:lang w:val="et-EE"/>
              </w:rPr>
              <w:t>Danmark</w:t>
            </w:r>
          </w:p>
          <w:p w14:paraId="2DD6DBB6" w14:textId="77777777" w:rsidR="000A6B36" w:rsidRPr="00EC3BD7" w:rsidRDefault="000A6B36" w:rsidP="00BB79A3">
            <w:pPr>
              <w:rPr>
                <w:color w:val="000000"/>
                <w:szCs w:val="22"/>
                <w:lang w:val="et-EE"/>
              </w:rPr>
            </w:pPr>
            <w:r w:rsidRPr="00EC3BD7">
              <w:rPr>
                <w:color w:val="000000"/>
                <w:szCs w:val="22"/>
                <w:lang w:val="et-EE"/>
              </w:rPr>
              <w:t>Novartis Healthcare A/S</w:t>
            </w:r>
          </w:p>
          <w:p w14:paraId="26B79D20" w14:textId="77777777" w:rsidR="000A6B36" w:rsidRPr="00EC3BD7" w:rsidRDefault="000A6B36" w:rsidP="00BB79A3">
            <w:pPr>
              <w:rPr>
                <w:color w:val="000000"/>
                <w:szCs w:val="22"/>
                <w:lang w:val="et-EE"/>
              </w:rPr>
            </w:pPr>
            <w:r w:rsidRPr="00EC3BD7">
              <w:rPr>
                <w:color w:val="000000"/>
                <w:szCs w:val="22"/>
                <w:lang w:val="et-EE"/>
              </w:rPr>
              <w:t>Tlf: +45 39 16 84 00</w:t>
            </w:r>
          </w:p>
          <w:p w14:paraId="6D139D74" w14:textId="77777777" w:rsidR="000A6B36" w:rsidRPr="00EC3BD7" w:rsidRDefault="000A6B36" w:rsidP="00BB79A3">
            <w:pPr>
              <w:rPr>
                <w:b/>
                <w:color w:val="000000"/>
                <w:szCs w:val="22"/>
                <w:lang w:val="et-EE"/>
              </w:rPr>
            </w:pPr>
          </w:p>
        </w:tc>
        <w:tc>
          <w:tcPr>
            <w:tcW w:w="4650" w:type="dxa"/>
          </w:tcPr>
          <w:p w14:paraId="248C5A43" w14:textId="77777777" w:rsidR="000A6B36" w:rsidRPr="00EC3BD7" w:rsidRDefault="000A6B36" w:rsidP="00BB79A3">
            <w:pPr>
              <w:rPr>
                <w:b/>
                <w:color w:val="000000"/>
                <w:szCs w:val="22"/>
                <w:lang w:val="et-EE"/>
              </w:rPr>
            </w:pPr>
            <w:r w:rsidRPr="00EC3BD7">
              <w:rPr>
                <w:b/>
                <w:color w:val="000000"/>
                <w:szCs w:val="22"/>
                <w:lang w:val="et-EE"/>
              </w:rPr>
              <w:t>Malta</w:t>
            </w:r>
          </w:p>
          <w:p w14:paraId="376F7E34" w14:textId="77777777" w:rsidR="000A6B36" w:rsidRPr="00EC3BD7" w:rsidRDefault="000A6B36" w:rsidP="00BB79A3">
            <w:pPr>
              <w:rPr>
                <w:color w:val="000000"/>
                <w:szCs w:val="22"/>
                <w:lang w:val="et-EE"/>
              </w:rPr>
            </w:pPr>
            <w:r w:rsidRPr="00EC3BD7">
              <w:rPr>
                <w:color w:val="000000"/>
                <w:szCs w:val="22"/>
                <w:lang w:val="et-EE"/>
              </w:rPr>
              <w:t>Novartis Pharma Services Inc.</w:t>
            </w:r>
          </w:p>
          <w:p w14:paraId="4B495DC4" w14:textId="77777777" w:rsidR="000A6B36" w:rsidRPr="00EC3BD7" w:rsidRDefault="000A6B36" w:rsidP="00BB79A3">
            <w:pPr>
              <w:rPr>
                <w:color w:val="000000"/>
                <w:szCs w:val="22"/>
                <w:lang w:val="et-EE"/>
              </w:rPr>
            </w:pPr>
            <w:r w:rsidRPr="00EC3BD7">
              <w:rPr>
                <w:color w:val="000000"/>
                <w:szCs w:val="22"/>
                <w:lang w:val="et-EE"/>
              </w:rPr>
              <w:t xml:space="preserve">Tel: +356 </w:t>
            </w:r>
            <w:r w:rsidRPr="00EC3BD7">
              <w:rPr>
                <w:color w:val="000000"/>
                <w:lang w:val="et-EE"/>
              </w:rPr>
              <w:t>2122 2872</w:t>
            </w:r>
          </w:p>
        </w:tc>
      </w:tr>
      <w:tr w:rsidR="000A6B36" w:rsidRPr="00EC3BD7" w14:paraId="12192B9D" w14:textId="77777777" w:rsidTr="00F53D51">
        <w:trPr>
          <w:cantSplit/>
        </w:trPr>
        <w:tc>
          <w:tcPr>
            <w:tcW w:w="4650" w:type="dxa"/>
          </w:tcPr>
          <w:p w14:paraId="6934D99C" w14:textId="77777777" w:rsidR="000A6B36" w:rsidRPr="00EC3BD7" w:rsidRDefault="000A6B36" w:rsidP="00BB79A3">
            <w:pPr>
              <w:rPr>
                <w:b/>
                <w:color w:val="000000"/>
                <w:szCs w:val="22"/>
                <w:lang w:val="et-EE"/>
              </w:rPr>
            </w:pPr>
            <w:r w:rsidRPr="00EC3BD7">
              <w:rPr>
                <w:b/>
                <w:color w:val="000000"/>
                <w:szCs w:val="22"/>
                <w:lang w:val="et-EE"/>
              </w:rPr>
              <w:t>Deutschland</w:t>
            </w:r>
          </w:p>
          <w:p w14:paraId="2B8D362D" w14:textId="77777777" w:rsidR="000A6B36" w:rsidRPr="00EC3BD7" w:rsidRDefault="000A6B36" w:rsidP="00BB79A3">
            <w:pPr>
              <w:rPr>
                <w:color w:val="000000"/>
                <w:szCs w:val="22"/>
                <w:lang w:val="et-EE"/>
              </w:rPr>
            </w:pPr>
            <w:r w:rsidRPr="00EC3BD7">
              <w:rPr>
                <w:color w:val="000000"/>
                <w:szCs w:val="22"/>
                <w:lang w:val="et-EE"/>
              </w:rPr>
              <w:t>Novartis Pharma GmbH</w:t>
            </w:r>
          </w:p>
          <w:p w14:paraId="63642387" w14:textId="77777777" w:rsidR="000A6B36" w:rsidRPr="00EC3BD7" w:rsidRDefault="000A6B36" w:rsidP="00BB79A3">
            <w:pPr>
              <w:rPr>
                <w:color w:val="000000"/>
                <w:szCs w:val="22"/>
                <w:lang w:val="et-EE"/>
              </w:rPr>
            </w:pPr>
            <w:r w:rsidRPr="00EC3BD7">
              <w:rPr>
                <w:color w:val="000000"/>
                <w:szCs w:val="22"/>
                <w:lang w:val="et-EE"/>
              </w:rPr>
              <w:t>Tel: +49 911 273 0</w:t>
            </w:r>
          </w:p>
          <w:p w14:paraId="13B3E151" w14:textId="77777777" w:rsidR="000A6B36" w:rsidRPr="00EC3BD7" w:rsidRDefault="000A6B36" w:rsidP="00BB79A3">
            <w:pPr>
              <w:rPr>
                <w:b/>
                <w:color w:val="000000"/>
                <w:szCs w:val="22"/>
                <w:lang w:val="et-EE"/>
              </w:rPr>
            </w:pPr>
          </w:p>
        </w:tc>
        <w:tc>
          <w:tcPr>
            <w:tcW w:w="4650" w:type="dxa"/>
          </w:tcPr>
          <w:p w14:paraId="76D789C8" w14:textId="77777777" w:rsidR="000A6B36" w:rsidRPr="00EC3BD7" w:rsidRDefault="000A6B36" w:rsidP="00BB79A3">
            <w:pPr>
              <w:rPr>
                <w:b/>
                <w:color w:val="000000"/>
                <w:szCs w:val="22"/>
                <w:lang w:val="et-EE"/>
              </w:rPr>
            </w:pPr>
            <w:r w:rsidRPr="00EC3BD7">
              <w:rPr>
                <w:b/>
                <w:color w:val="000000"/>
                <w:szCs w:val="22"/>
                <w:lang w:val="et-EE"/>
              </w:rPr>
              <w:t>Nederland</w:t>
            </w:r>
          </w:p>
          <w:p w14:paraId="45CDC80C" w14:textId="77777777" w:rsidR="000A6B36" w:rsidRPr="00EC3BD7" w:rsidRDefault="000A6B36" w:rsidP="00BB79A3">
            <w:pPr>
              <w:rPr>
                <w:color w:val="000000"/>
                <w:szCs w:val="22"/>
                <w:lang w:val="et-EE"/>
              </w:rPr>
            </w:pPr>
            <w:r w:rsidRPr="00EC3BD7">
              <w:rPr>
                <w:color w:val="000000"/>
                <w:szCs w:val="22"/>
                <w:lang w:val="et-EE"/>
              </w:rPr>
              <w:t>Novartis Pharma B.V.</w:t>
            </w:r>
          </w:p>
          <w:p w14:paraId="02806116" w14:textId="14565B4B" w:rsidR="000A6B36" w:rsidRPr="00EC3BD7" w:rsidRDefault="000A6B36" w:rsidP="00565A4A">
            <w:pPr>
              <w:rPr>
                <w:color w:val="000000"/>
                <w:szCs w:val="22"/>
                <w:lang w:val="et-EE"/>
              </w:rPr>
            </w:pPr>
            <w:r w:rsidRPr="00EC3BD7">
              <w:rPr>
                <w:color w:val="000000"/>
                <w:szCs w:val="22"/>
                <w:lang w:val="et-EE"/>
              </w:rPr>
              <w:t xml:space="preserve">Tel: +31 </w:t>
            </w:r>
            <w:r w:rsidR="00565A4A">
              <w:rPr>
                <w:color w:val="000000"/>
                <w:szCs w:val="22"/>
                <w:lang w:val="et-EE"/>
              </w:rPr>
              <w:t>88 04 52</w:t>
            </w:r>
            <w:r w:rsidRPr="00EC3BD7">
              <w:rPr>
                <w:color w:val="000000"/>
                <w:szCs w:val="22"/>
                <w:lang w:val="et-EE"/>
              </w:rPr>
              <w:t xml:space="preserve"> </w:t>
            </w:r>
            <w:r w:rsidR="00997DCF" w:rsidRPr="00EC3BD7">
              <w:rPr>
                <w:color w:val="000000"/>
                <w:szCs w:val="22"/>
                <w:lang w:val="et-EE"/>
              </w:rPr>
              <w:t>555</w:t>
            </w:r>
          </w:p>
        </w:tc>
      </w:tr>
      <w:tr w:rsidR="000A6B36" w:rsidRPr="00EC3BD7" w14:paraId="5C2FD300" w14:textId="77777777" w:rsidTr="00F53D51">
        <w:trPr>
          <w:cantSplit/>
        </w:trPr>
        <w:tc>
          <w:tcPr>
            <w:tcW w:w="4650" w:type="dxa"/>
          </w:tcPr>
          <w:p w14:paraId="6AAAD65D" w14:textId="77777777" w:rsidR="000A6B36" w:rsidRPr="00EC3BD7" w:rsidRDefault="000A6B36" w:rsidP="00BB79A3">
            <w:pPr>
              <w:rPr>
                <w:b/>
                <w:color w:val="000000"/>
                <w:szCs w:val="22"/>
                <w:lang w:val="et-EE"/>
              </w:rPr>
            </w:pPr>
            <w:r w:rsidRPr="00EC3BD7">
              <w:rPr>
                <w:b/>
                <w:color w:val="000000"/>
                <w:szCs w:val="22"/>
                <w:lang w:val="et-EE"/>
              </w:rPr>
              <w:lastRenderedPageBreak/>
              <w:t>Eesti</w:t>
            </w:r>
          </w:p>
          <w:p w14:paraId="36EEA4B2" w14:textId="77777777" w:rsidR="000A6B36" w:rsidRPr="00EC3BD7" w:rsidRDefault="00B27DF4" w:rsidP="00BB79A3">
            <w:pPr>
              <w:rPr>
                <w:color w:val="000000"/>
                <w:szCs w:val="22"/>
                <w:lang w:val="et-EE"/>
              </w:rPr>
            </w:pPr>
            <w:r w:rsidRPr="00EC3BD7">
              <w:rPr>
                <w:color w:val="000000"/>
                <w:szCs w:val="22"/>
                <w:lang w:val="et-EE"/>
              </w:rPr>
              <w:t>SIA Novartis Baltics Eesti filiaal</w:t>
            </w:r>
          </w:p>
          <w:p w14:paraId="7C31249D" w14:textId="77777777" w:rsidR="000A6B36" w:rsidRPr="00EC3BD7" w:rsidRDefault="000A6B36" w:rsidP="00BB79A3">
            <w:pPr>
              <w:rPr>
                <w:color w:val="000000"/>
                <w:szCs w:val="22"/>
                <w:lang w:val="et-EE"/>
              </w:rPr>
            </w:pPr>
            <w:r w:rsidRPr="00EC3BD7">
              <w:rPr>
                <w:color w:val="000000"/>
                <w:szCs w:val="22"/>
                <w:lang w:val="et-EE"/>
              </w:rPr>
              <w:t>Tel: +372 66 30 810</w:t>
            </w:r>
          </w:p>
          <w:p w14:paraId="0456A715" w14:textId="77777777" w:rsidR="000A6B36" w:rsidRPr="00EC3BD7" w:rsidRDefault="000A6B36" w:rsidP="00BB79A3">
            <w:pPr>
              <w:rPr>
                <w:b/>
                <w:color w:val="000000"/>
                <w:szCs w:val="22"/>
                <w:lang w:val="et-EE"/>
              </w:rPr>
            </w:pPr>
          </w:p>
        </w:tc>
        <w:tc>
          <w:tcPr>
            <w:tcW w:w="4650" w:type="dxa"/>
          </w:tcPr>
          <w:p w14:paraId="0B54707A" w14:textId="77777777" w:rsidR="000A6B36" w:rsidRPr="00EC3BD7" w:rsidRDefault="000A6B36" w:rsidP="00BB79A3">
            <w:pPr>
              <w:rPr>
                <w:b/>
                <w:color w:val="000000"/>
                <w:szCs w:val="22"/>
                <w:lang w:val="et-EE"/>
              </w:rPr>
            </w:pPr>
            <w:r w:rsidRPr="00EC3BD7">
              <w:rPr>
                <w:b/>
                <w:color w:val="000000"/>
                <w:szCs w:val="22"/>
                <w:lang w:val="et-EE"/>
              </w:rPr>
              <w:t>Norge</w:t>
            </w:r>
          </w:p>
          <w:p w14:paraId="416BB35D" w14:textId="77777777" w:rsidR="000A6B36" w:rsidRPr="00EC3BD7" w:rsidRDefault="000A6B36" w:rsidP="00BB79A3">
            <w:pPr>
              <w:rPr>
                <w:color w:val="000000"/>
                <w:szCs w:val="22"/>
                <w:lang w:val="et-EE"/>
              </w:rPr>
            </w:pPr>
            <w:r w:rsidRPr="00EC3BD7">
              <w:rPr>
                <w:color w:val="000000"/>
                <w:szCs w:val="22"/>
                <w:lang w:val="et-EE"/>
              </w:rPr>
              <w:t>Novartis Norge AS</w:t>
            </w:r>
          </w:p>
          <w:p w14:paraId="5BCCD5B8" w14:textId="77777777" w:rsidR="000A6B36" w:rsidRPr="00EC3BD7" w:rsidRDefault="000A6B36" w:rsidP="00BB79A3">
            <w:pPr>
              <w:rPr>
                <w:color w:val="000000"/>
                <w:szCs w:val="22"/>
                <w:lang w:val="et-EE"/>
              </w:rPr>
            </w:pPr>
            <w:r w:rsidRPr="00EC3BD7">
              <w:rPr>
                <w:color w:val="000000"/>
                <w:szCs w:val="22"/>
                <w:lang w:val="et-EE"/>
              </w:rPr>
              <w:t>Tlf: +47 23 05 20 00</w:t>
            </w:r>
          </w:p>
        </w:tc>
      </w:tr>
      <w:tr w:rsidR="000A6B36" w:rsidRPr="005D29F8" w14:paraId="156F2E48" w14:textId="77777777" w:rsidTr="00F53D51">
        <w:trPr>
          <w:cantSplit/>
        </w:trPr>
        <w:tc>
          <w:tcPr>
            <w:tcW w:w="4650" w:type="dxa"/>
          </w:tcPr>
          <w:p w14:paraId="31BE9B11" w14:textId="77777777" w:rsidR="000A6B36" w:rsidRPr="00EC3BD7" w:rsidRDefault="000A6B36" w:rsidP="00BB79A3">
            <w:pPr>
              <w:rPr>
                <w:b/>
                <w:color w:val="000000"/>
                <w:szCs w:val="22"/>
                <w:lang w:val="et-EE"/>
              </w:rPr>
            </w:pPr>
            <w:r w:rsidRPr="00EC3BD7">
              <w:rPr>
                <w:b/>
                <w:color w:val="000000"/>
                <w:szCs w:val="22"/>
                <w:lang w:val="et-EE"/>
              </w:rPr>
              <w:t>Ελλάδα</w:t>
            </w:r>
          </w:p>
          <w:p w14:paraId="784F9C83" w14:textId="77777777" w:rsidR="000A6B36" w:rsidRPr="00EC3BD7" w:rsidRDefault="000A6B36" w:rsidP="00BB79A3">
            <w:pPr>
              <w:rPr>
                <w:color w:val="000000"/>
                <w:szCs w:val="22"/>
                <w:lang w:val="et-EE"/>
              </w:rPr>
            </w:pPr>
            <w:r w:rsidRPr="00EC3BD7">
              <w:rPr>
                <w:color w:val="000000"/>
                <w:szCs w:val="22"/>
                <w:lang w:val="et-EE"/>
              </w:rPr>
              <w:t>Novartis (Hellas) A.E.B.E.</w:t>
            </w:r>
          </w:p>
          <w:p w14:paraId="2134366B" w14:textId="77777777" w:rsidR="000A6B36" w:rsidRPr="00EC3BD7" w:rsidRDefault="000A6B36" w:rsidP="00BB79A3">
            <w:pPr>
              <w:rPr>
                <w:color w:val="000000"/>
                <w:szCs w:val="22"/>
                <w:lang w:val="et-EE"/>
              </w:rPr>
            </w:pPr>
            <w:r w:rsidRPr="00EC3BD7">
              <w:rPr>
                <w:color w:val="000000"/>
                <w:szCs w:val="22"/>
                <w:lang w:val="et-EE"/>
              </w:rPr>
              <w:t>Τηλ: +30 210 281 17 12</w:t>
            </w:r>
          </w:p>
          <w:p w14:paraId="6B185ED7" w14:textId="77777777" w:rsidR="000A6B36" w:rsidRPr="00EC3BD7" w:rsidRDefault="000A6B36" w:rsidP="00BB79A3">
            <w:pPr>
              <w:rPr>
                <w:b/>
                <w:color w:val="000000"/>
                <w:szCs w:val="22"/>
                <w:lang w:val="et-EE"/>
              </w:rPr>
            </w:pPr>
          </w:p>
        </w:tc>
        <w:tc>
          <w:tcPr>
            <w:tcW w:w="4650" w:type="dxa"/>
          </w:tcPr>
          <w:p w14:paraId="20FB523F" w14:textId="77777777" w:rsidR="000A6B36" w:rsidRPr="00EC3BD7" w:rsidRDefault="000A6B36" w:rsidP="00BB79A3">
            <w:pPr>
              <w:rPr>
                <w:b/>
                <w:color w:val="000000"/>
                <w:szCs w:val="22"/>
                <w:lang w:val="et-EE"/>
              </w:rPr>
            </w:pPr>
            <w:r w:rsidRPr="00EC3BD7">
              <w:rPr>
                <w:b/>
                <w:color w:val="000000"/>
                <w:szCs w:val="22"/>
                <w:lang w:val="et-EE"/>
              </w:rPr>
              <w:t>Österreich</w:t>
            </w:r>
          </w:p>
          <w:p w14:paraId="648F0357" w14:textId="77777777" w:rsidR="000A6B36" w:rsidRPr="00EC3BD7" w:rsidRDefault="000A6B36" w:rsidP="00BB79A3">
            <w:pPr>
              <w:rPr>
                <w:color w:val="000000"/>
                <w:szCs w:val="22"/>
                <w:lang w:val="et-EE"/>
              </w:rPr>
            </w:pPr>
            <w:r w:rsidRPr="00EC3BD7">
              <w:rPr>
                <w:color w:val="000000"/>
                <w:szCs w:val="22"/>
                <w:lang w:val="et-EE"/>
              </w:rPr>
              <w:t>Novartis Pharma GmbH</w:t>
            </w:r>
          </w:p>
          <w:p w14:paraId="5D80133F" w14:textId="77777777" w:rsidR="000A6B36" w:rsidRPr="00EC3BD7" w:rsidRDefault="000A6B36" w:rsidP="00BB79A3">
            <w:pPr>
              <w:rPr>
                <w:color w:val="000000"/>
                <w:szCs w:val="22"/>
                <w:lang w:val="et-EE"/>
              </w:rPr>
            </w:pPr>
            <w:r w:rsidRPr="00EC3BD7">
              <w:rPr>
                <w:color w:val="000000"/>
                <w:szCs w:val="22"/>
                <w:lang w:val="et-EE"/>
              </w:rPr>
              <w:t>Tel: +43 1 86 6570</w:t>
            </w:r>
          </w:p>
        </w:tc>
      </w:tr>
      <w:tr w:rsidR="000A6B36" w:rsidRPr="00EC3BD7" w14:paraId="29E6AFB4" w14:textId="77777777" w:rsidTr="00F53D51">
        <w:trPr>
          <w:cantSplit/>
        </w:trPr>
        <w:tc>
          <w:tcPr>
            <w:tcW w:w="4650" w:type="dxa"/>
          </w:tcPr>
          <w:p w14:paraId="654F4430" w14:textId="77777777" w:rsidR="000A6B36" w:rsidRPr="00EC3BD7" w:rsidRDefault="000A6B36" w:rsidP="00BB79A3">
            <w:pPr>
              <w:rPr>
                <w:b/>
                <w:color w:val="000000"/>
                <w:szCs w:val="22"/>
                <w:lang w:val="et-EE"/>
              </w:rPr>
            </w:pPr>
            <w:r w:rsidRPr="00EC3BD7">
              <w:rPr>
                <w:b/>
                <w:color w:val="000000"/>
                <w:szCs w:val="22"/>
                <w:lang w:val="et-EE"/>
              </w:rPr>
              <w:t>España</w:t>
            </w:r>
          </w:p>
          <w:p w14:paraId="2CF7E2F2" w14:textId="77777777" w:rsidR="000A6B36" w:rsidRPr="00EC3BD7" w:rsidRDefault="000A6B36" w:rsidP="00BB79A3">
            <w:pPr>
              <w:rPr>
                <w:color w:val="000000"/>
                <w:szCs w:val="22"/>
                <w:lang w:val="et-EE"/>
              </w:rPr>
            </w:pPr>
            <w:r w:rsidRPr="00EC3BD7">
              <w:rPr>
                <w:color w:val="000000"/>
                <w:szCs w:val="22"/>
                <w:lang w:val="et-EE"/>
              </w:rPr>
              <w:t>Novartis Farmacéutica, S.A.</w:t>
            </w:r>
          </w:p>
          <w:p w14:paraId="3CCA1AE8" w14:textId="77777777" w:rsidR="000A6B36" w:rsidRPr="00EC3BD7" w:rsidRDefault="000A6B36" w:rsidP="00BB79A3">
            <w:pPr>
              <w:rPr>
                <w:color w:val="000000"/>
                <w:szCs w:val="22"/>
                <w:lang w:val="et-EE"/>
              </w:rPr>
            </w:pPr>
            <w:r w:rsidRPr="00EC3BD7">
              <w:rPr>
                <w:color w:val="000000"/>
                <w:szCs w:val="22"/>
                <w:lang w:val="et-EE"/>
              </w:rPr>
              <w:t>Tel: +34 93 306 42 00</w:t>
            </w:r>
          </w:p>
          <w:p w14:paraId="30770A94" w14:textId="77777777" w:rsidR="000A6B36" w:rsidRPr="00EC3BD7" w:rsidRDefault="000A6B36" w:rsidP="00BB79A3">
            <w:pPr>
              <w:rPr>
                <w:b/>
                <w:color w:val="000000"/>
                <w:szCs w:val="22"/>
                <w:lang w:val="et-EE"/>
              </w:rPr>
            </w:pPr>
          </w:p>
        </w:tc>
        <w:tc>
          <w:tcPr>
            <w:tcW w:w="4650" w:type="dxa"/>
          </w:tcPr>
          <w:p w14:paraId="61DD9080" w14:textId="77777777" w:rsidR="000A6B36" w:rsidRPr="00EC3BD7" w:rsidRDefault="000A6B36" w:rsidP="00BB79A3">
            <w:pPr>
              <w:rPr>
                <w:b/>
                <w:color w:val="000000"/>
                <w:szCs w:val="22"/>
                <w:lang w:val="et-EE"/>
              </w:rPr>
            </w:pPr>
            <w:r w:rsidRPr="00EC3BD7">
              <w:rPr>
                <w:b/>
                <w:color w:val="000000"/>
                <w:szCs w:val="22"/>
                <w:lang w:val="et-EE"/>
              </w:rPr>
              <w:t>Polska</w:t>
            </w:r>
          </w:p>
          <w:p w14:paraId="0BFD7C4F" w14:textId="77777777" w:rsidR="000A6B36" w:rsidRPr="00EC3BD7" w:rsidRDefault="000A6B36" w:rsidP="00BB79A3">
            <w:pPr>
              <w:rPr>
                <w:color w:val="000000"/>
                <w:szCs w:val="22"/>
                <w:lang w:val="et-EE"/>
              </w:rPr>
            </w:pPr>
            <w:r w:rsidRPr="00EC3BD7">
              <w:rPr>
                <w:color w:val="000000"/>
                <w:szCs w:val="22"/>
                <w:lang w:val="et-EE"/>
              </w:rPr>
              <w:t>Novartis Poland Sp. z o.o.</w:t>
            </w:r>
          </w:p>
          <w:p w14:paraId="16969534" w14:textId="77777777" w:rsidR="000A6B36" w:rsidRPr="00EC3BD7" w:rsidRDefault="000A6B36" w:rsidP="00BB79A3">
            <w:pPr>
              <w:rPr>
                <w:color w:val="000000"/>
                <w:szCs w:val="22"/>
                <w:lang w:val="et-EE"/>
              </w:rPr>
            </w:pPr>
            <w:r w:rsidRPr="00EC3BD7">
              <w:rPr>
                <w:color w:val="000000"/>
                <w:szCs w:val="22"/>
                <w:lang w:val="et-EE"/>
              </w:rPr>
              <w:t xml:space="preserve">Tel.: +48 22 </w:t>
            </w:r>
            <w:r w:rsidRPr="00EC3BD7">
              <w:rPr>
                <w:szCs w:val="22"/>
                <w:lang w:val="et-EE"/>
              </w:rPr>
              <w:t>375 4888</w:t>
            </w:r>
          </w:p>
        </w:tc>
      </w:tr>
      <w:tr w:rsidR="000A6B36" w:rsidRPr="00EC3BD7" w14:paraId="6755FE77" w14:textId="77777777" w:rsidTr="00F53D51">
        <w:trPr>
          <w:cantSplit/>
        </w:trPr>
        <w:tc>
          <w:tcPr>
            <w:tcW w:w="4650" w:type="dxa"/>
          </w:tcPr>
          <w:p w14:paraId="11EF4EA1" w14:textId="77777777" w:rsidR="000A6B36" w:rsidRPr="00EC3BD7" w:rsidRDefault="000A6B36" w:rsidP="00BB79A3">
            <w:pPr>
              <w:rPr>
                <w:b/>
                <w:color w:val="000000"/>
                <w:szCs w:val="22"/>
                <w:lang w:val="et-EE"/>
              </w:rPr>
            </w:pPr>
            <w:r w:rsidRPr="00EC3BD7">
              <w:rPr>
                <w:b/>
                <w:color w:val="000000"/>
                <w:szCs w:val="22"/>
                <w:lang w:val="et-EE"/>
              </w:rPr>
              <w:t>France</w:t>
            </w:r>
          </w:p>
          <w:p w14:paraId="24A83FD8" w14:textId="77777777" w:rsidR="000A6B36" w:rsidRPr="00EC3BD7" w:rsidRDefault="000A6B36" w:rsidP="00BB79A3">
            <w:pPr>
              <w:rPr>
                <w:color w:val="000000"/>
                <w:szCs w:val="22"/>
                <w:lang w:val="et-EE"/>
              </w:rPr>
            </w:pPr>
            <w:r w:rsidRPr="00EC3BD7">
              <w:rPr>
                <w:color w:val="000000"/>
                <w:szCs w:val="22"/>
                <w:lang w:val="et-EE"/>
              </w:rPr>
              <w:t>Novartis Pharma S.A.S.</w:t>
            </w:r>
          </w:p>
          <w:p w14:paraId="65A614A3" w14:textId="77777777" w:rsidR="000A6B36" w:rsidRPr="00EC3BD7" w:rsidRDefault="000A6B36" w:rsidP="00BB79A3">
            <w:pPr>
              <w:rPr>
                <w:color w:val="000000"/>
                <w:szCs w:val="22"/>
                <w:lang w:val="et-EE"/>
              </w:rPr>
            </w:pPr>
            <w:r w:rsidRPr="00EC3BD7">
              <w:rPr>
                <w:color w:val="000000"/>
                <w:szCs w:val="22"/>
                <w:lang w:val="et-EE"/>
              </w:rPr>
              <w:t>Tél: +33 1 55 47 66 00</w:t>
            </w:r>
          </w:p>
          <w:p w14:paraId="2F72A2E2" w14:textId="77777777" w:rsidR="000A6B36" w:rsidRPr="00EC3BD7" w:rsidRDefault="000A6B36" w:rsidP="00BB79A3">
            <w:pPr>
              <w:rPr>
                <w:b/>
                <w:color w:val="000000"/>
                <w:szCs w:val="22"/>
                <w:lang w:val="et-EE"/>
              </w:rPr>
            </w:pPr>
          </w:p>
        </w:tc>
        <w:tc>
          <w:tcPr>
            <w:tcW w:w="4650" w:type="dxa"/>
          </w:tcPr>
          <w:p w14:paraId="5BDF80A1" w14:textId="77777777" w:rsidR="000A6B36" w:rsidRPr="00EC3BD7" w:rsidRDefault="000A6B36" w:rsidP="00BB79A3">
            <w:pPr>
              <w:rPr>
                <w:b/>
                <w:color w:val="000000"/>
                <w:szCs w:val="22"/>
                <w:lang w:val="et-EE"/>
              </w:rPr>
            </w:pPr>
            <w:r w:rsidRPr="00EC3BD7">
              <w:rPr>
                <w:b/>
                <w:color w:val="000000"/>
                <w:szCs w:val="22"/>
                <w:lang w:val="et-EE"/>
              </w:rPr>
              <w:t>Portugal</w:t>
            </w:r>
          </w:p>
          <w:p w14:paraId="28569A19" w14:textId="77777777" w:rsidR="000A6B36" w:rsidRPr="00EC3BD7" w:rsidRDefault="000A6B36" w:rsidP="00BB79A3">
            <w:pPr>
              <w:rPr>
                <w:color w:val="000000"/>
                <w:szCs w:val="22"/>
                <w:lang w:val="et-EE"/>
              </w:rPr>
            </w:pPr>
            <w:r w:rsidRPr="00EC3BD7">
              <w:rPr>
                <w:color w:val="000000"/>
                <w:szCs w:val="22"/>
                <w:lang w:val="et-EE"/>
              </w:rPr>
              <w:t>Novartis Farma - Produtos Farmacêuticos, S.A.</w:t>
            </w:r>
          </w:p>
          <w:p w14:paraId="1D62835B" w14:textId="77777777" w:rsidR="000A6B36" w:rsidRPr="00EC3BD7" w:rsidRDefault="000A6B36" w:rsidP="00BB79A3">
            <w:pPr>
              <w:rPr>
                <w:color w:val="000000"/>
                <w:szCs w:val="22"/>
                <w:lang w:val="et-EE"/>
              </w:rPr>
            </w:pPr>
            <w:r w:rsidRPr="00EC3BD7">
              <w:rPr>
                <w:color w:val="000000"/>
                <w:szCs w:val="22"/>
                <w:lang w:val="et-EE"/>
              </w:rPr>
              <w:t>Tel: +351 21 000 8600</w:t>
            </w:r>
          </w:p>
        </w:tc>
      </w:tr>
      <w:tr w:rsidR="000A6B36" w:rsidRPr="00EC3BD7" w14:paraId="19249DE5" w14:textId="77777777" w:rsidTr="00F53D51">
        <w:trPr>
          <w:cantSplit/>
        </w:trPr>
        <w:tc>
          <w:tcPr>
            <w:tcW w:w="4650" w:type="dxa"/>
          </w:tcPr>
          <w:p w14:paraId="69101536" w14:textId="77777777" w:rsidR="000A6B36" w:rsidRPr="00EC3BD7" w:rsidRDefault="000A6B36" w:rsidP="00BB79A3">
            <w:pPr>
              <w:rPr>
                <w:rFonts w:eastAsia="PMingLiU"/>
                <w:b/>
                <w:lang w:val="et-EE"/>
              </w:rPr>
            </w:pPr>
            <w:r w:rsidRPr="00EC3BD7">
              <w:rPr>
                <w:rFonts w:eastAsia="PMingLiU"/>
                <w:b/>
                <w:lang w:val="et-EE"/>
              </w:rPr>
              <w:t>Hrvatska</w:t>
            </w:r>
          </w:p>
          <w:p w14:paraId="290AADBB" w14:textId="77777777" w:rsidR="000A6B36" w:rsidRPr="00EC3BD7" w:rsidRDefault="000A6B36" w:rsidP="00BB79A3">
            <w:pPr>
              <w:rPr>
                <w:lang w:val="et-EE"/>
              </w:rPr>
            </w:pPr>
            <w:r w:rsidRPr="00EC3BD7">
              <w:rPr>
                <w:lang w:val="et-EE"/>
              </w:rPr>
              <w:t>Novartis Hrvatska d.o.o.</w:t>
            </w:r>
          </w:p>
          <w:p w14:paraId="19B7B51B" w14:textId="77777777" w:rsidR="000A6B36" w:rsidRPr="00EC3BD7" w:rsidRDefault="000A6B36" w:rsidP="00BB79A3">
            <w:pPr>
              <w:rPr>
                <w:lang w:val="et-EE"/>
              </w:rPr>
            </w:pPr>
            <w:r w:rsidRPr="00EC3BD7">
              <w:rPr>
                <w:lang w:val="et-EE"/>
              </w:rPr>
              <w:t>Tel. +385 1 6274 220</w:t>
            </w:r>
          </w:p>
          <w:p w14:paraId="37AB7BF0" w14:textId="77777777" w:rsidR="000A6B36" w:rsidRPr="00EC3BD7" w:rsidRDefault="000A6B36" w:rsidP="00BB79A3">
            <w:pPr>
              <w:rPr>
                <w:b/>
                <w:color w:val="000000"/>
                <w:szCs w:val="22"/>
                <w:lang w:val="et-EE"/>
              </w:rPr>
            </w:pPr>
          </w:p>
        </w:tc>
        <w:tc>
          <w:tcPr>
            <w:tcW w:w="4650" w:type="dxa"/>
          </w:tcPr>
          <w:p w14:paraId="48BE89B1" w14:textId="77777777" w:rsidR="000A6B36" w:rsidRPr="00EC3BD7" w:rsidRDefault="000A6B36" w:rsidP="00BB79A3">
            <w:pPr>
              <w:rPr>
                <w:b/>
                <w:color w:val="000000"/>
                <w:szCs w:val="22"/>
                <w:lang w:val="et-EE"/>
              </w:rPr>
            </w:pPr>
            <w:r w:rsidRPr="00EC3BD7">
              <w:rPr>
                <w:b/>
                <w:color w:val="000000"/>
                <w:szCs w:val="22"/>
                <w:lang w:val="et-EE"/>
              </w:rPr>
              <w:t>România</w:t>
            </w:r>
          </w:p>
          <w:p w14:paraId="50B52D88" w14:textId="77777777" w:rsidR="000A6B36" w:rsidRPr="00EC3BD7" w:rsidRDefault="000A6B36" w:rsidP="00BB79A3">
            <w:pPr>
              <w:rPr>
                <w:color w:val="000000"/>
                <w:szCs w:val="22"/>
                <w:lang w:val="et-EE"/>
              </w:rPr>
            </w:pPr>
            <w:r w:rsidRPr="00EC3BD7">
              <w:rPr>
                <w:color w:val="000000"/>
                <w:szCs w:val="22"/>
                <w:lang w:val="et-EE"/>
              </w:rPr>
              <w:t xml:space="preserve">Novartis Pharma Services </w:t>
            </w:r>
            <w:r w:rsidRPr="00EC3BD7">
              <w:rPr>
                <w:color w:val="2F2F2F"/>
                <w:szCs w:val="22"/>
                <w:lang w:val="et-EE"/>
              </w:rPr>
              <w:t>Romania SRL</w:t>
            </w:r>
          </w:p>
          <w:p w14:paraId="51A09944" w14:textId="77777777" w:rsidR="000A6B36" w:rsidRPr="00EC3BD7" w:rsidRDefault="000A6B36" w:rsidP="00BB79A3">
            <w:pPr>
              <w:rPr>
                <w:color w:val="000000"/>
                <w:szCs w:val="22"/>
                <w:lang w:val="et-EE"/>
              </w:rPr>
            </w:pPr>
            <w:r w:rsidRPr="00EC3BD7">
              <w:rPr>
                <w:color w:val="000000"/>
                <w:szCs w:val="22"/>
                <w:lang w:val="et-EE"/>
              </w:rPr>
              <w:t>Tel: +40 21 31299 01</w:t>
            </w:r>
          </w:p>
        </w:tc>
      </w:tr>
      <w:tr w:rsidR="000A6B36" w:rsidRPr="00EC3BD7" w14:paraId="5907A370" w14:textId="77777777" w:rsidTr="00F53D51">
        <w:trPr>
          <w:cantSplit/>
        </w:trPr>
        <w:tc>
          <w:tcPr>
            <w:tcW w:w="4650" w:type="dxa"/>
          </w:tcPr>
          <w:p w14:paraId="2CCA2C04" w14:textId="77777777" w:rsidR="000A6B36" w:rsidRPr="00EC3BD7" w:rsidRDefault="000A6B36" w:rsidP="00BB79A3">
            <w:pPr>
              <w:rPr>
                <w:b/>
                <w:color w:val="000000"/>
                <w:szCs w:val="22"/>
                <w:lang w:val="et-EE"/>
              </w:rPr>
            </w:pPr>
            <w:r w:rsidRPr="00EC3BD7">
              <w:rPr>
                <w:b/>
                <w:color w:val="000000"/>
                <w:szCs w:val="22"/>
                <w:lang w:val="et-EE"/>
              </w:rPr>
              <w:t>Ireland</w:t>
            </w:r>
          </w:p>
          <w:p w14:paraId="6307566A" w14:textId="77777777" w:rsidR="000A6B36" w:rsidRPr="00EC3BD7" w:rsidRDefault="000A6B36" w:rsidP="00BB79A3">
            <w:pPr>
              <w:rPr>
                <w:color w:val="000000"/>
                <w:szCs w:val="22"/>
                <w:lang w:val="et-EE"/>
              </w:rPr>
            </w:pPr>
            <w:r w:rsidRPr="00EC3BD7">
              <w:rPr>
                <w:color w:val="000000"/>
                <w:szCs w:val="22"/>
                <w:lang w:val="et-EE"/>
              </w:rPr>
              <w:t>Novartis Ireland Limited</w:t>
            </w:r>
          </w:p>
          <w:p w14:paraId="2B8B0CDB" w14:textId="77777777" w:rsidR="000A6B36" w:rsidRPr="00EC3BD7" w:rsidRDefault="000A6B36" w:rsidP="00BB79A3">
            <w:pPr>
              <w:rPr>
                <w:color w:val="000000"/>
                <w:szCs w:val="22"/>
                <w:lang w:val="et-EE"/>
              </w:rPr>
            </w:pPr>
            <w:r w:rsidRPr="00EC3BD7">
              <w:rPr>
                <w:color w:val="000000"/>
                <w:szCs w:val="22"/>
                <w:lang w:val="et-EE"/>
              </w:rPr>
              <w:t>Tel: +353 1 260 12 55</w:t>
            </w:r>
          </w:p>
          <w:p w14:paraId="1078FA10" w14:textId="77777777" w:rsidR="000A6B36" w:rsidRPr="00EC3BD7" w:rsidRDefault="000A6B36" w:rsidP="00BB79A3">
            <w:pPr>
              <w:rPr>
                <w:b/>
                <w:color w:val="000000"/>
                <w:szCs w:val="22"/>
                <w:lang w:val="et-EE"/>
              </w:rPr>
            </w:pPr>
          </w:p>
        </w:tc>
        <w:tc>
          <w:tcPr>
            <w:tcW w:w="4650" w:type="dxa"/>
          </w:tcPr>
          <w:p w14:paraId="0C1DFCC0" w14:textId="77777777" w:rsidR="000A6B36" w:rsidRPr="00EC3BD7" w:rsidRDefault="000A6B36" w:rsidP="00BB79A3">
            <w:pPr>
              <w:rPr>
                <w:b/>
                <w:color w:val="000000"/>
                <w:szCs w:val="22"/>
                <w:lang w:val="et-EE"/>
              </w:rPr>
            </w:pPr>
            <w:r w:rsidRPr="00EC3BD7">
              <w:rPr>
                <w:b/>
                <w:color w:val="000000"/>
                <w:szCs w:val="22"/>
                <w:lang w:val="et-EE"/>
              </w:rPr>
              <w:t>Slovenija</w:t>
            </w:r>
          </w:p>
          <w:p w14:paraId="7576096B" w14:textId="77777777" w:rsidR="000A6B36" w:rsidRPr="00EC3BD7" w:rsidRDefault="000A6B36" w:rsidP="00BB79A3">
            <w:pPr>
              <w:rPr>
                <w:color w:val="000000"/>
                <w:szCs w:val="22"/>
                <w:lang w:val="et-EE"/>
              </w:rPr>
            </w:pPr>
            <w:r w:rsidRPr="00EC3BD7">
              <w:rPr>
                <w:color w:val="000000"/>
                <w:szCs w:val="22"/>
                <w:lang w:val="et-EE"/>
              </w:rPr>
              <w:t>Novartis Pharma Services Inc.</w:t>
            </w:r>
          </w:p>
          <w:p w14:paraId="4C544C80" w14:textId="77777777" w:rsidR="000A6B36" w:rsidRPr="00EC3BD7" w:rsidRDefault="000A6B36" w:rsidP="00BB79A3">
            <w:pPr>
              <w:rPr>
                <w:color w:val="000000"/>
                <w:szCs w:val="22"/>
                <w:lang w:val="et-EE"/>
              </w:rPr>
            </w:pPr>
            <w:r w:rsidRPr="00EC3BD7">
              <w:rPr>
                <w:color w:val="000000"/>
                <w:szCs w:val="22"/>
                <w:lang w:val="et-EE"/>
              </w:rPr>
              <w:t>Tel: +386 1 300 75 50</w:t>
            </w:r>
          </w:p>
        </w:tc>
      </w:tr>
      <w:tr w:rsidR="000A6B36" w:rsidRPr="00EC3BD7" w14:paraId="3C09CD06" w14:textId="77777777" w:rsidTr="00F53D51">
        <w:trPr>
          <w:cantSplit/>
        </w:trPr>
        <w:tc>
          <w:tcPr>
            <w:tcW w:w="4650" w:type="dxa"/>
          </w:tcPr>
          <w:p w14:paraId="1515F0D5" w14:textId="77777777" w:rsidR="000A6B36" w:rsidRPr="00EC3BD7" w:rsidRDefault="000A6B36" w:rsidP="00BB79A3">
            <w:pPr>
              <w:rPr>
                <w:b/>
                <w:color w:val="000000"/>
                <w:szCs w:val="22"/>
                <w:lang w:val="et-EE"/>
              </w:rPr>
            </w:pPr>
            <w:r w:rsidRPr="00EC3BD7">
              <w:rPr>
                <w:b/>
                <w:color w:val="000000"/>
                <w:szCs w:val="22"/>
                <w:lang w:val="et-EE"/>
              </w:rPr>
              <w:t>Ísland</w:t>
            </w:r>
          </w:p>
          <w:p w14:paraId="05C4D980" w14:textId="77777777" w:rsidR="000A6B36" w:rsidRPr="00EC3BD7" w:rsidRDefault="000A6B36" w:rsidP="00BB79A3">
            <w:pPr>
              <w:rPr>
                <w:color w:val="000000"/>
                <w:szCs w:val="22"/>
                <w:lang w:val="et-EE"/>
              </w:rPr>
            </w:pPr>
            <w:r w:rsidRPr="00EC3BD7">
              <w:rPr>
                <w:color w:val="000000"/>
                <w:szCs w:val="22"/>
                <w:lang w:val="et-EE"/>
              </w:rPr>
              <w:t>Vistor hf.</w:t>
            </w:r>
          </w:p>
          <w:p w14:paraId="6BD8A6DD" w14:textId="77777777" w:rsidR="000A6B36" w:rsidRPr="00EC3BD7" w:rsidRDefault="000A6B36" w:rsidP="00BB79A3">
            <w:pPr>
              <w:rPr>
                <w:color w:val="000000"/>
                <w:szCs w:val="22"/>
                <w:lang w:val="et-EE"/>
              </w:rPr>
            </w:pPr>
            <w:r w:rsidRPr="00EC3BD7">
              <w:rPr>
                <w:color w:val="000000"/>
                <w:lang w:val="et-EE"/>
              </w:rPr>
              <w:t>Sími</w:t>
            </w:r>
            <w:r w:rsidRPr="00EC3BD7">
              <w:rPr>
                <w:color w:val="000000"/>
                <w:szCs w:val="22"/>
                <w:lang w:val="et-EE"/>
              </w:rPr>
              <w:t>: +354 535 7000</w:t>
            </w:r>
          </w:p>
          <w:p w14:paraId="7186624B" w14:textId="77777777" w:rsidR="000A6B36" w:rsidRPr="00EC3BD7" w:rsidRDefault="000A6B36" w:rsidP="00BB79A3">
            <w:pPr>
              <w:rPr>
                <w:b/>
                <w:color w:val="000000"/>
                <w:szCs w:val="22"/>
                <w:lang w:val="et-EE"/>
              </w:rPr>
            </w:pPr>
          </w:p>
        </w:tc>
        <w:tc>
          <w:tcPr>
            <w:tcW w:w="4650" w:type="dxa"/>
          </w:tcPr>
          <w:p w14:paraId="4B75DABF" w14:textId="77777777" w:rsidR="000A6B36" w:rsidRPr="00EC3BD7" w:rsidRDefault="000A6B36" w:rsidP="00BB79A3">
            <w:pPr>
              <w:rPr>
                <w:b/>
                <w:color w:val="000000"/>
                <w:szCs w:val="22"/>
                <w:lang w:val="et-EE"/>
              </w:rPr>
            </w:pPr>
            <w:r w:rsidRPr="00EC3BD7">
              <w:rPr>
                <w:b/>
                <w:color w:val="000000"/>
                <w:szCs w:val="22"/>
                <w:lang w:val="et-EE"/>
              </w:rPr>
              <w:t>Slovenská republika</w:t>
            </w:r>
          </w:p>
          <w:p w14:paraId="0355A2D6" w14:textId="77777777" w:rsidR="000A6B36" w:rsidRPr="00EC3BD7" w:rsidRDefault="000A6B36" w:rsidP="00BB79A3">
            <w:pPr>
              <w:rPr>
                <w:color w:val="000000"/>
                <w:szCs w:val="22"/>
                <w:lang w:val="et-EE"/>
              </w:rPr>
            </w:pPr>
            <w:r w:rsidRPr="00EC3BD7">
              <w:rPr>
                <w:color w:val="000000"/>
                <w:szCs w:val="22"/>
                <w:lang w:val="et-EE"/>
              </w:rPr>
              <w:t>Novartis Slovakia s.r.o.</w:t>
            </w:r>
          </w:p>
          <w:p w14:paraId="0754B03B" w14:textId="77777777" w:rsidR="000A6B36" w:rsidRPr="00EC3BD7" w:rsidRDefault="000A6B36" w:rsidP="00BB79A3">
            <w:pPr>
              <w:rPr>
                <w:color w:val="000000"/>
                <w:szCs w:val="22"/>
                <w:lang w:val="et-EE"/>
              </w:rPr>
            </w:pPr>
            <w:r w:rsidRPr="00EC3BD7">
              <w:rPr>
                <w:color w:val="000000"/>
                <w:szCs w:val="22"/>
                <w:lang w:val="et-EE"/>
              </w:rPr>
              <w:t>Tel: +421 2 5542 5439</w:t>
            </w:r>
          </w:p>
          <w:p w14:paraId="56F97BA8" w14:textId="77777777" w:rsidR="000A6B36" w:rsidRPr="00EC3BD7" w:rsidRDefault="000A6B36" w:rsidP="00BB79A3">
            <w:pPr>
              <w:rPr>
                <w:color w:val="000000"/>
                <w:szCs w:val="22"/>
                <w:lang w:val="et-EE"/>
              </w:rPr>
            </w:pPr>
          </w:p>
        </w:tc>
      </w:tr>
      <w:tr w:rsidR="000A6B36" w:rsidRPr="005D29F8" w14:paraId="0542AD34" w14:textId="77777777" w:rsidTr="00F53D51">
        <w:trPr>
          <w:cantSplit/>
        </w:trPr>
        <w:tc>
          <w:tcPr>
            <w:tcW w:w="4650" w:type="dxa"/>
          </w:tcPr>
          <w:p w14:paraId="5F0B35B8" w14:textId="77777777" w:rsidR="000A6B36" w:rsidRPr="00EC3BD7" w:rsidRDefault="000A6B36" w:rsidP="00BB79A3">
            <w:pPr>
              <w:rPr>
                <w:b/>
                <w:color w:val="000000"/>
                <w:szCs w:val="22"/>
                <w:lang w:val="et-EE"/>
              </w:rPr>
            </w:pPr>
            <w:r w:rsidRPr="00EC3BD7">
              <w:rPr>
                <w:b/>
                <w:color w:val="000000"/>
                <w:szCs w:val="22"/>
                <w:lang w:val="et-EE"/>
              </w:rPr>
              <w:t>Italia</w:t>
            </w:r>
          </w:p>
          <w:p w14:paraId="4C18CC2E" w14:textId="77777777" w:rsidR="000A6B36" w:rsidRPr="00EC3BD7" w:rsidRDefault="000A6B36" w:rsidP="00BB79A3">
            <w:pPr>
              <w:rPr>
                <w:color w:val="000000"/>
                <w:szCs w:val="22"/>
                <w:lang w:val="et-EE"/>
              </w:rPr>
            </w:pPr>
            <w:r w:rsidRPr="00EC3BD7">
              <w:rPr>
                <w:color w:val="000000"/>
                <w:szCs w:val="22"/>
                <w:lang w:val="et-EE"/>
              </w:rPr>
              <w:t>Novartis Farma S.p.A.</w:t>
            </w:r>
          </w:p>
          <w:p w14:paraId="6E5DCF9C" w14:textId="77777777" w:rsidR="000A6B36" w:rsidRPr="00EC3BD7" w:rsidRDefault="000A6B36" w:rsidP="00BB79A3">
            <w:pPr>
              <w:rPr>
                <w:b/>
                <w:color w:val="000000"/>
                <w:szCs w:val="22"/>
                <w:lang w:val="et-EE"/>
              </w:rPr>
            </w:pPr>
            <w:r w:rsidRPr="00EC3BD7">
              <w:rPr>
                <w:color w:val="000000"/>
                <w:szCs w:val="22"/>
                <w:lang w:val="et-EE"/>
              </w:rPr>
              <w:t>Tel: +39 02 96 54 1</w:t>
            </w:r>
          </w:p>
        </w:tc>
        <w:tc>
          <w:tcPr>
            <w:tcW w:w="4650" w:type="dxa"/>
          </w:tcPr>
          <w:p w14:paraId="1FF277C7" w14:textId="77777777" w:rsidR="000A6B36" w:rsidRPr="00EC3BD7" w:rsidRDefault="000A6B36" w:rsidP="00BB79A3">
            <w:pPr>
              <w:rPr>
                <w:b/>
                <w:color w:val="000000"/>
                <w:szCs w:val="22"/>
                <w:lang w:val="et-EE"/>
              </w:rPr>
            </w:pPr>
            <w:r w:rsidRPr="00EC3BD7">
              <w:rPr>
                <w:b/>
                <w:color w:val="000000"/>
                <w:szCs w:val="22"/>
                <w:lang w:val="et-EE"/>
              </w:rPr>
              <w:t>Suomi/Finland</w:t>
            </w:r>
          </w:p>
          <w:p w14:paraId="33E9DA8C" w14:textId="77777777" w:rsidR="000A6B36" w:rsidRPr="00EC3BD7" w:rsidRDefault="000A6B36" w:rsidP="00BB79A3">
            <w:pPr>
              <w:rPr>
                <w:color w:val="000000"/>
                <w:szCs w:val="22"/>
                <w:lang w:val="et-EE"/>
              </w:rPr>
            </w:pPr>
            <w:r w:rsidRPr="00EC3BD7">
              <w:rPr>
                <w:color w:val="000000"/>
                <w:szCs w:val="22"/>
                <w:lang w:val="et-EE"/>
              </w:rPr>
              <w:t>Novartis Finland Oy</w:t>
            </w:r>
          </w:p>
          <w:p w14:paraId="2D71EAC0" w14:textId="77777777" w:rsidR="000A6B36" w:rsidRPr="00EC3BD7" w:rsidRDefault="000A6B36" w:rsidP="00BB79A3">
            <w:pPr>
              <w:rPr>
                <w:color w:val="000000"/>
                <w:szCs w:val="22"/>
                <w:lang w:val="et-EE"/>
              </w:rPr>
            </w:pPr>
            <w:r w:rsidRPr="00EC3BD7">
              <w:rPr>
                <w:color w:val="000000"/>
                <w:szCs w:val="22"/>
                <w:lang w:val="et-EE"/>
              </w:rPr>
              <w:t xml:space="preserve">Puh/Tel: </w:t>
            </w:r>
            <w:r w:rsidRPr="00EC3BD7">
              <w:rPr>
                <w:color w:val="000000"/>
                <w:szCs w:val="22"/>
                <w:lang w:val="et-EE" w:bidi="he-IL"/>
              </w:rPr>
              <w:t>+358 (0)10 6133 200</w:t>
            </w:r>
          </w:p>
          <w:p w14:paraId="0647A2F1" w14:textId="77777777" w:rsidR="000A6B36" w:rsidRPr="00EC3BD7" w:rsidRDefault="000A6B36" w:rsidP="00BB79A3">
            <w:pPr>
              <w:rPr>
                <w:color w:val="000000"/>
                <w:szCs w:val="22"/>
                <w:lang w:val="et-EE"/>
              </w:rPr>
            </w:pPr>
          </w:p>
        </w:tc>
      </w:tr>
      <w:tr w:rsidR="000A6B36" w:rsidRPr="005D29F8" w14:paraId="6F37FCCF" w14:textId="77777777" w:rsidTr="00F53D51">
        <w:trPr>
          <w:cantSplit/>
        </w:trPr>
        <w:tc>
          <w:tcPr>
            <w:tcW w:w="4650" w:type="dxa"/>
          </w:tcPr>
          <w:p w14:paraId="69FB5976" w14:textId="77777777" w:rsidR="000A6B36" w:rsidRPr="00EC3BD7" w:rsidRDefault="000A6B36" w:rsidP="00BB79A3">
            <w:pPr>
              <w:rPr>
                <w:b/>
                <w:color w:val="000000"/>
                <w:szCs w:val="22"/>
                <w:lang w:val="et-EE"/>
              </w:rPr>
            </w:pPr>
            <w:r w:rsidRPr="00EC3BD7">
              <w:rPr>
                <w:b/>
                <w:color w:val="000000"/>
                <w:szCs w:val="22"/>
                <w:lang w:val="et-EE"/>
              </w:rPr>
              <w:t>Κύπρος</w:t>
            </w:r>
          </w:p>
          <w:p w14:paraId="6AA3FF32" w14:textId="77777777" w:rsidR="000A6B36" w:rsidRPr="00EC3BD7" w:rsidRDefault="000A6B36" w:rsidP="00BB79A3">
            <w:pPr>
              <w:rPr>
                <w:color w:val="000000"/>
                <w:szCs w:val="22"/>
                <w:lang w:val="et-EE"/>
              </w:rPr>
            </w:pPr>
            <w:r w:rsidRPr="00EC3BD7">
              <w:rPr>
                <w:color w:val="000000"/>
                <w:szCs w:val="22"/>
                <w:lang w:val="et-EE" w:bidi="he-IL"/>
              </w:rPr>
              <w:t>Novartis Pharma Services Inc.</w:t>
            </w:r>
          </w:p>
          <w:p w14:paraId="3082209E" w14:textId="77777777" w:rsidR="000A6B36" w:rsidRPr="00EC3BD7" w:rsidRDefault="000A6B36" w:rsidP="00BB79A3">
            <w:pPr>
              <w:rPr>
                <w:color w:val="000000"/>
                <w:szCs w:val="22"/>
                <w:lang w:val="et-EE"/>
              </w:rPr>
            </w:pPr>
            <w:r w:rsidRPr="00EC3BD7">
              <w:rPr>
                <w:color w:val="000000"/>
                <w:szCs w:val="22"/>
                <w:lang w:val="et-EE"/>
              </w:rPr>
              <w:t>Τηλ: +357 22 690 690</w:t>
            </w:r>
          </w:p>
          <w:p w14:paraId="0B2A261E" w14:textId="77777777" w:rsidR="000A6B36" w:rsidRPr="00EC3BD7" w:rsidRDefault="000A6B36" w:rsidP="00BB79A3">
            <w:pPr>
              <w:rPr>
                <w:b/>
                <w:color w:val="000000"/>
                <w:szCs w:val="22"/>
                <w:lang w:val="et-EE"/>
              </w:rPr>
            </w:pPr>
          </w:p>
        </w:tc>
        <w:tc>
          <w:tcPr>
            <w:tcW w:w="4650" w:type="dxa"/>
          </w:tcPr>
          <w:p w14:paraId="6B0502C5" w14:textId="77777777" w:rsidR="000A6B36" w:rsidRPr="00EC3BD7" w:rsidRDefault="000A6B36" w:rsidP="00BB79A3">
            <w:pPr>
              <w:rPr>
                <w:b/>
                <w:color w:val="000000"/>
                <w:szCs w:val="22"/>
                <w:lang w:val="et-EE"/>
              </w:rPr>
            </w:pPr>
            <w:r w:rsidRPr="00EC3BD7">
              <w:rPr>
                <w:b/>
                <w:color w:val="000000"/>
                <w:szCs w:val="22"/>
                <w:lang w:val="et-EE"/>
              </w:rPr>
              <w:t>Sverige</w:t>
            </w:r>
          </w:p>
          <w:p w14:paraId="3A483069" w14:textId="77777777" w:rsidR="000A6B36" w:rsidRPr="00EC3BD7" w:rsidRDefault="000A6B36" w:rsidP="00BB79A3">
            <w:pPr>
              <w:rPr>
                <w:color w:val="000000"/>
                <w:szCs w:val="22"/>
                <w:lang w:val="et-EE"/>
              </w:rPr>
            </w:pPr>
            <w:r w:rsidRPr="00EC3BD7">
              <w:rPr>
                <w:color w:val="000000"/>
                <w:szCs w:val="22"/>
                <w:lang w:val="et-EE"/>
              </w:rPr>
              <w:t>Novartis Sverige AB</w:t>
            </w:r>
          </w:p>
          <w:p w14:paraId="7E75F4E5" w14:textId="77777777" w:rsidR="000A6B36" w:rsidRPr="00EC3BD7" w:rsidRDefault="000A6B36" w:rsidP="00BB79A3">
            <w:pPr>
              <w:rPr>
                <w:color w:val="000000"/>
                <w:szCs w:val="22"/>
                <w:lang w:val="et-EE"/>
              </w:rPr>
            </w:pPr>
            <w:r w:rsidRPr="00EC3BD7">
              <w:rPr>
                <w:color w:val="000000"/>
                <w:szCs w:val="22"/>
                <w:lang w:val="et-EE"/>
              </w:rPr>
              <w:t>Tel: +46 8 732 32 00</w:t>
            </w:r>
          </w:p>
          <w:p w14:paraId="0E4103B5" w14:textId="77777777" w:rsidR="000A6B36" w:rsidRPr="00EC3BD7" w:rsidRDefault="000A6B36" w:rsidP="00BB79A3">
            <w:pPr>
              <w:rPr>
                <w:color w:val="000000"/>
                <w:szCs w:val="22"/>
                <w:lang w:val="et-EE"/>
              </w:rPr>
            </w:pPr>
          </w:p>
        </w:tc>
      </w:tr>
      <w:tr w:rsidR="000A6B36" w:rsidRPr="00EC3BD7" w14:paraId="625AEAF9" w14:textId="77777777" w:rsidTr="00F53D51">
        <w:trPr>
          <w:cantSplit/>
        </w:trPr>
        <w:tc>
          <w:tcPr>
            <w:tcW w:w="4650" w:type="dxa"/>
          </w:tcPr>
          <w:p w14:paraId="51EA8B08" w14:textId="77777777" w:rsidR="000A6B36" w:rsidRPr="00EC3BD7" w:rsidRDefault="000A6B36" w:rsidP="00BB79A3">
            <w:pPr>
              <w:rPr>
                <w:b/>
                <w:color w:val="000000"/>
                <w:szCs w:val="22"/>
                <w:lang w:val="et-EE"/>
              </w:rPr>
            </w:pPr>
            <w:r w:rsidRPr="00EC3BD7">
              <w:rPr>
                <w:b/>
                <w:color w:val="000000"/>
                <w:szCs w:val="22"/>
                <w:lang w:val="et-EE"/>
              </w:rPr>
              <w:t>Latvija</w:t>
            </w:r>
          </w:p>
          <w:p w14:paraId="2DE4993C" w14:textId="1D57BAD0" w:rsidR="00A26981" w:rsidRPr="00EC3BD7" w:rsidRDefault="00A26981" w:rsidP="00A26981">
            <w:pPr>
              <w:widowControl w:val="0"/>
              <w:rPr>
                <w:color w:val="000000"/>
                <w:szCs w:val="22"/>
                <w:lang w:val="it-IT"/>
              </w:rPr>
            </w:pPr>
            <w:r w:rsidRPr="00EC3BD7">
              <w:rPr>
                <w:szCs w:val="22"/>
                <w:lang w:val="it-IT"/>
              </w:rPr>
              <w:t>SIA Novartis Baltics</w:t>
            </w:r>
          </w:p>
          <w:p w14:paraId="35D758C8" w14:textId="77777777" w:rsidR="000A6B36" w:rsidRPr="00EC3BD7" w:rsidRDefault="000A6B36" w:rsidP="00BB79A3">
            <w:pPr>
              <w:rPr>
                <w:color w:val="000000"/>
                <w:szCs w:val="22"/>
                <w:lang w:val="et-EE"/>
              </w:rPr>
            </w:pPr>
            <w:r w:rsidRPr="00EC3BD7">
              <w:rPr>
                <w:color w:val="000000"/>
                <w:szCs w:val="22"/>
                <w:lang w:val="et-EE"/>
              </w:rPr>
              <w:t>Tel: +371 67 887 070</w:t>
            </w:r>
          </w:p>
          <w:p w14:paraId="2175BD29" w14:textId="77777777" w:rsidR="000A6B36" w:rsidRPr="00EC3BD7" w:rsidRDefault="000A6B36" w:rsidP="00BB79A3">
            <w:pPr>
              <w:rPr>
                <w:b/>
                <w:color w:val="000000"/>
                <w:szCs w:val="22"/>
                <w:lang w:val="et-EE"/>
              </w:rPr>
            </w:pPr>
          </w:p>
        </w:tc>
        <w:tc>
          <w:tcPr>
            <w:tcW w:w="4650" w:type="dxa"/>
          </w:tcPr>
          <w:p w14:paraId="3CE692D4" w14:textId="77777777" w:rsidR="000A6B36" w:rsidRPr="00EC3BD7" w:rsidRDefault="000A6B36" w:rsidP="00BB79A3">
            <w:pPr>
              <w:rPr>
                <w:b/>
                <w:color w:val="000000"/>
                <w:szCs w:val="22"/>
                <w:lang w:val="et-EE"/>
              </w:rPr>
            </w:pPr>
            <w:r w:rsidRPr="00EC3BD7">
              <w:rPr>
                <w:b/>
                <w:color w:val="000000"/>
                <w:szCs w:val="22"/>
                <w:lang w:val="et-EE"/>
              </w:rPr>
              <w:t>United Kingdom</w:t>
            </w:r>
          </w:p>
          <w:p w14:paraId="749BAD0C" w14:textId="77777777" w:rsidR="000A6B36" w:rsidRPr="00EC3BD7" w:rsidRDefault="000A6B36" w:rsidP="00BB79A3">
            <w:pPr>
              <w:rPr>
                <w:color w:val="000000"/>
                <w:szCs w:val="22"/>
                <w:lang w:val="et-EE"/>
              </w:rPr>
            </w:pPr>
            <w:r w:rsidRPr="00EC3BD7">
              <w:rPr>
                <w:color w:val="000000"/>
                <w:szCs w:val="22"/>
                <w:lang w:val="et-EE"/>
              </w:rPr>
              <w:t>Novartis Pharmaceuticals UK Ltd.</w:t>
            </w:r>
          </w:p>
          <w:p w14:paraId="134AA3FE" w14:textId="77777777" w:rsidR="000A6B36" w:rsidRPr="00EC3BD7" w:rsidRDefault="000A6B36" w:rsidP="00BB79A3">
            <w:pPr>
              <w:rPr>
                <w:color w:val="000000"/>
                <w:szCs w:val="22"/>
                <w:lang w:val="et-EE"/>
              </w:rPr>
            </w:pPr>
            <w:r w:rsidRPr="00EC3BD7">
              <w:rPr>
                <w:color w:val="000000"/>
                <w:szCs w:val="22"/>
                <w:lang w:val="et-EE"/>
              </w:rPr>
              <w:t>Tel: +44 1276 698370</w:t>
            </w:r>
          </w:p>
          <w:p w14:paraId="3181F9DA" w14:textId="77777777" w:rsidR="000A6B36" w:rsidRPr="00EC3BD7" w:rsidRDefault="000A6B36" w:rsidP="00BB79A3">
            <w:pPr>
              <w:rPr>
                <w:color w:val="000000"/>
                <w:szCs w:val="22"/>
                <w:lang w:val="et-EE"/>
              </w:rPr>
            </w:pPr>
          </w:p>
        </w:tc>
      </w:tr>
    </w:tbl>
    <w:p w14:paraId="54F536EF" w14:textId="77777777" w:rsidR="000A6B36" w:rsidRPr="00EC3BD7" w:rsidRDefault="000A6B36" w:rsidP="000A6B36">
      <w:pPr>
        <w:widowControl w:val="0"/>
        <w:tabs>
          <w:tab w:val="clear" w:pos="567"/>
        </w:tabs>
        <w:spacing w:line="240" w:lineRule="auto"/>
        <w:ind w:right="-449"/>
        <w:rPr>
          <w:color w:val="000000"/>
          <w:szCs w:val="22"/>
          <w:lang w:val="et-EE"/>
        </w:rPr>
      </w:pPr>
    </w:p>
    <w:p w14:paraId="5E495EEA" w14:textId="77777777" w:rsidR="00DA3205" w:rsidRPr="00EC3BD7" w:rsidRDefault="00DA3205" w:rsidP="00DA3205">
      <w:pPr>
        <w:widowControl w:val="0"/>
        <w:numPr>
          <w:ilvl w:val="12"/>
          <w:numId w:val="0"/>
        </w:numPr>
        <w:tabs>
          <w:tab w:val="clear" w:pos="567"/>
        </w:tabs>
        <w:spacing w:line="240" w:lineRule="auto"/>
        <w:ind w:right="-2"/>
        <w:jc w:val="both"/>
        <w:rPr>
          <w:b/>
          <w:color w:val="000000"/>
          <w:szCs w:val="22"/>
          <w:lang w:val="et-EE"/>
        </w:rPr>
      </w:pPr>
      <w:r w:rsidRPr="00EC3BD7">
        <w:rPr>
          <w:b/>
          <w:color w:val="000000"/>
          <w:szCs w:val="22"/>
          <w:lang w:val="et-EE"/>
        </w:rPr>
        <w:t xml:space="preserve">Infoleht on viimati </w:t>
      </w:r>
      <w:r w:rsidR="00714263" w:rsidRPr="00EC3BD7">
        <w:rPr>
          <w:b/>
          <w:color w:val="000000"/>
          <w:szCs w:val="22"/>
          <w:lang w:val="et-EE"/>
        </w:rPr>
        <w:t>uuendatud</w:t>
      </w:r>
    </w:p>
    <w:p w14:paraId="3FCB2D05" w14:textId="77777777" w:rsidR="00714263" w:rsidRPr="00EC3BD7" w:rsidRDefault="00714263" w:rsidP="00714263">
      <w:pPr>
        <w:widowControl w:val="0"/>
        <w:numPr>
          <w:ilvl w:val="12"/>
          <w:numId w:val="0"/>
        </w:numPr>
        <w:tabs>
          <w:tab w:val="clear" w:pos="567"/>
        </w:tabs>
        <w:spacing w:line="240" w:lineRule="auto"/>
        <w:ind w:right="-2"/>
        <w:jc w:val="both"/>
        <w:rPr>
          <w:color w:val="000000"/>
          <w:szCs w:val="22"/>
          <w:lang w:val="et-EE"/>
        </w:rPr>
      </w:pPr>
    </w:p>
    <w:p w14:paraId="708AF5E0" w14:textId="77777777" w:rsidR="00DA3205" w:rsidRPr="00EC3BD7" w:rsidRDefault="00714263" w:rsidP="00C20D7B">
      <w:pPr>
        <w:keepNext/>
        <w:widowControl w:val="0"/>
        <w:numPr>
          <w:ilvl w:val="12"/>
          <w:numId w:val="0"/>
        </w:numPr>
        <w:tabs>
          <w:tab w:val="clear" w:pos="567"/>
        </w:tabs>
        <w:spacing w:line="240" w:lineRule="auto"/>
        <w:rPr>
          <w:bCs/>
          <w:color w:val="000000"/>
          <w:szCs w:val="22"/>
          <w:lang w:val="et-EE"/>
        </w:rPr>
      </w:pPr>
      <w:r w:rsidRPr="00EC3BD7">
        <w:rPr>
          <w:b/>
          <w:color w:val="000000"/>
          <w:szCs w:val="22"/>
          <w:lang w:val="et-EE"/>
        </w:rPr>
        <w:t>Muud teabeallikad</w:t>
      </w:r>
    </w:p>
    <w:p w14:paraId="1E078325" w14:textId="77777777" w:rsidR="00DA3205" w:rsidRPr="00EC3BD7" w:rsidRDefault="00DA3205" w:rsidP="00DA3205">
      <w:pPr>
        <w:tabs>
          <w:tab w:val="clear" w:pos="567"/>
        </w:tabs>
        <w:spacing w:line="240" w:lineRule="auto"/>
        <w:rPr>
          <w:color w:val="000000"/>
          <w:szCs w:val="22"/>
          <w:lang w:val="et-EE"/>
        </w:rPr>
      </w:pPr>
      <w:r w:rsidRPr="00EC3BD7">
        <w:rPr>
          <w:color w:val="000000"/>
          <w:szCs w:val="22"/>
          <w:lang w:val="et-EE"/>
        </w:rPr>
        <w:t xml:space="preserve">Täpne </w:t>
      </w:r>
      <w:r w:rsidR="00714263" w:rsidRPr="00EC3BD7">
        <w:rPr>
          <w:color w:val="000000"/>
          <w:szCs w:val="22"/>
          <w:lang w:val="et-EE"/>
        </w:rPr>
        <w:t>teave</w:t>
      </w:r>
      <w:r w:rsidRPr="00EC3BD7">
        <w:rPr>
          <w:color w:val="000000"/>
          <w:szCs w:val="22"/>
          <w:lang w:val="et-EE"/>
        </w:rPr>
        <w:t xml:space="preserve"> selle ravimi kohta on Euroopa Ravimiameti kodulehel</w:t>
      </w:r>
      <w:r w:rsidR="00BB045E" w:rsidRPr="00EC3BD7">
        <w:rPr>
          <w:color w:val="000000"/>
          <w:szCs w:val="22"/>
          <w:lang w:val="et-EE"/>
        </w:rPr>
        <w:t>:</w:t>
      </w:r>
      <w:r w:rsidRPr="00EC3BD7">
        <w:rPr>
          <w:color w:val="000000"/>
          <w:szCs w:val="22"/>
          <w:lang w:val="et-EE"/>
        </w:rPr>
        <w:t xml:space="preserve"> http://www.ema.europa.eu</w:t>
      </w:r>
      <w:r w:rsidR="00BB045E" w:rsidRPr="00EC3BD7">
        <w:rPr>
          <w:color w:val="000000"/>
          <w:szCs w:val="22"/>
          <w:lang w:val="et-EE"/>
        </w:rPr>
        <w:t>.</w:t>
      </w:r>
    </w:p>
    <w:p w14:paraId="213EE428" w14:textId="77777777" w:rsidR="00DA3205" w:rsidRPr="00EC3BD7" w:rsidRDefault="00DA3205" w:rsidP="00DA3205">
      <w:pPr>
        <w:tabs>
          <w:tab w:val="clear" w:pos="567"/>
        </w:tabs>
        <w:spacing w:line="240" w:lineRule="auto"/>
        <w:jc w:val="center"/>
        <w:rPr>
          <w:b/>
          <w:color w:val="000000"/>
          <w:szCs w:val="22"/>
          <w:lang w:val="et-EE"/>
        </w:rPr>
      </w:pPr>
      <w:r w:rsidRPr="00EC3BD7">
        <w:rPr>
          <w:color w:val="000000"/>
          <w:szCs w:val="22"/>
          <w:lang w:val="et-EE"/>
        </w:rPr>
        <w:br w:type="page"/>
      </w:r>
      <w:r w:rsidR="009D4CE7" w:rsidRPr="00EC3BD7">
        <w:rPr>
          <w:b/>
          <w:lang w:val="et-EE"/>
        </w:rPr>
        <w:lastRenderedPageBreak/>
        <w:t>Pakendi infoleht: teave kasutajale</w:t>
      </w:r>
    </w:p>
    <w:p w14:paraId="04C3917A" w14:textId="77777777" w:rsidR="00DA3205" w:rsidRPr="00EC3BD7" w:rsidRDefault="00DA3205" w:rsidP="00DA3205">
      <w:pPr>
        <w:tabs>
          <w:tab w:val="clear" w:pos="567"/>
        </w:tabs>
        <w:spacing w:line="240" w:lineRule="auto"/>
        <w:jc w:val="center"/>
        <w:rPr>
          <w:color w:val="000000"/>
          <w:szCs w:val="22"/>
          <w:lang w:val="et-EE"/>
        </w:rPr>
      </w:pPr>
    </w:p>
    <w:p w14:paraId="5DB0989C" w14:textId="06E0354A" w:rsidR="00DA3205" w:rsidRDefault="00DA3205" w:rsidP="00DA3205">
      <w:pPr>
        <w:tabs>
          <w:tab w:val="clear" w:pos="567"/>
        </w:tabs>
        <w:spacing w:line="240" w:lineRule="auto"/>
        <w:jc w:val="center"/>
        <w:rPr>
          <w:b/>
          <w:color w:val="000000"/>
          <w:szCs w:val="22"/>
          <w:lang w:val="et-EE"/>
        </w:rPr>
      </w:pPr>
      <w:r w:rsidRPr="00EC3BD7">
        <w:rPr>
          <w:b/>
          <w:color w:val="000000"/>
          <w:szCs w:val="22"/>
          <w:lang w:val="et-EE"/>
        </w:rPr>
        <w:t>Glivec 100 mg õhukese polümeerikattega tabletid</w:t>
      </w:r>
    </w:p>
    <w:p w14:paraId="6269177F" w14:textId="1B068297" w:rsidR="00565A4A" w:rsidRPr="00EC3BD7" w:rsidRDefault="00565A4A" w:rsidP="00DA3205">
      <w:pPr>
        <w:tabs>
          <w:tab w:val="clear" w:pos="567"/>
        </w:tabs>
        <w:spacing w:line="240" w:lineRule="auto"/>
        <w:jc w:val="center"/>
        <w:rPr>
          <w:b/>
          <w:color w:val="000000"/>
          <w:szCs w:val="22"/>
          <w:lang w:val="et-EE"/>
        </w:rPr>
      </w:pPr>
      <w:r>
        <w:rPr>
          <w:b/>
          <w:color w:val="000000"/>
          <w:szCs w:val="22"/>
          <w:lang w:val="et-EE"/>
        </w:rPr>
        <w:t>Glivec 400 mg õhukese polümeerikattega tabletid</w:t>
      </w:r>
    </w:p>
    <w:p w14:paraId="5ADB87B7" w14:textId="77777777" w:rsidR="00DA3205" w:rsidRPr="00EC3BD7" w:rsidRDefault="00B2520A" w:rsidP="00DA3205">
      <w:pPr>
        <w:tabs>
          <w:tab w:val="clear" w:pos="567"/>
        </w:tabs>
        <w:spacing w:line="240" w:lineRule="auto"/>
        <w:jc w:val="center"/>
        <w:rPr>
          <w:color w:val="000000"/>
          <w:szCs w:val="22"/>
          <w:lang w:val="et-EE"/>
        </w:rPr>
      </w:pPr>
      <w:r w:rsidRPr="00EC3BD7">
        <w:rPr>
          <w:color w:val="000000"/>
          <w:szCs w:val="22"/>
          <w:lang w:val="et-EE"/>
        </w:rPr>
        <w:t>i</w:t>
      </w:r>
      <w:r w:rsidR="00DA3205" w:rsidRPr="00EC3BD7">
        <w:rPr>
          <w:color w:val="000000"/>
          <w:szCs w:val="22"/>
          <w:lang w:val="et-EE"/>
        </w:rPr>
        <w:t>matiniib</w:t>
      </w:r>
      <w:r w:rsidR="00BB045E" w:rsidRPr="00EC3BD7">
        <w:rPr>
          <w:color w:val="000000"/>
          <w:szCs w:val="22"/>
          <w:lang w:val="et-EE"/>
        </w:rPr>
        <w:t xml:space="preserve"> (</w:t>
      </w:r>
      <w:r w:rsidRPr="00EC3BD7">
        <w:rPr>
          <w:i/>
          <w:color w:val="000000"/>
          <w:szCs w:val="22"/>
          <w:lang w:val="et-EE"/>
        </w:rPr>
        <w:t>i</w:t>
      </w:r>
      <w:r w:rsidR="00BB045E" w:rsidRPr="00EC3BD7">
        <w:rPr>
          <w:i/>
          <w:color w:val="000000"/>
          <w:szCs w:val="22"/>
          <w:lang w:val="et-EE"/>
        </w:rPr>
        <w:t>matinibum</w:t>
      </w:r>
      <w:r w:rsidR="00BB045E" w:rsidRPr="00EC3BD7">
        <w:rPr>
          <w:color w:val="000000"/>
          <w:szCs w:val="22"/>
          <w:lang w:val="et-EE"/>
        </w:rPr>
        <w:t>)</w:t>
      </w:r>
    </w:p>
    <w:p w14:paraId="32F258AA" w14:textId="77777777" w:rsidR="00DA3205" w:rsidRPr="00EC3BD7" w:rsidRDefault="00DA3205" w:rsidP="009C30AC">
      <w:pPr>
        <w:tabs>
          <w:tab w:val="clear" w:pos="567"/>
        </w:tabs>
        <w:spacing w:line="240" w:lineRule="auto"/>
        <w:rPr>
          <w:color w:val="000000"/>
          <w:szCs w:val="22"/>
          <w:lang w:val="et-EE"/>
        </w:rPr>
      </w:pPr>
    </w:p>
    <w:p w14:paraId="16403BCA" w14:textId="77777777" w:rsidR="00835F6C" w:rsidRPr="00EC3BD7" w:rsidRDefault="00602C2E" w:rsidP="00835F6C">
      <w:pPr>
        <w:tabs>
          <w:tab w:val="clear" w:pos="567"/>
        </w:tabs>
        <w:suppressAutoHyphens/>
        <w:spacing w:line="240" w:lineRule="auto"/>
        <w:rPr>
          <w:szCs w:val="24"/>
          <w:lang w:val="et-EE"/>
        </w:rPr>
      </w:pPr>
      <w:r w:rsidRPr="00EC3BD7">
        <w:rPr>
          <w:noProof/>
          <w:lang w:val="en-US"/>
        </w:rPr>
        <w:drawing>
          <wp:inline distT="0" distB="0" distL="0" distR="0" wp14:anchorId="28870B84" wp14:editId="5FD18837">
            <wp:extent cx="198755" cy="174625"/>
            <wp:effectExtent l="0" t="0" r="0" b="0"/>
            <wp:docPr id="9"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835F6C" w:rsidRPr="00EC3BD7">
        <w:rPr>
          <w:szCs w:val="24"/>
          <w:lang w:val="et-EE"/>
        </w:rPr>
        <w:t>Käesoleva ravimi suhtes kohaldatakse täiendavat järelevalvet, mis võimaldab kiiresti tuvastada uut ohutusteavet. Te saate sellele kaasa aidata, teavitades ravimi kõigist võimalikest kõrvaltoimetest. Kõrvaltoimetest teavitamise kohta vt lõik 4.</w:t>
      </w:r>
    </w:p>
    <w:p w14:paraId="3942798B" w14:textId="77777777" w:rsidR="00DA3205" w:rsidRPr="00EC3BD7" w:rsidRDefault="00DA3205" w:rsidP="009C30AC">
      <w:pPr>
        <w:tabs>
          <w:tab w:val="clear" w:pos="567"/>
        </w:tabs>
        <w:spacing w:line="240" w:lineRule="auto"/>
        <w:rPr>
          <w:color w:val="000000"/>
          <w:szCs w:val="22"/>
          <w:lang w:val="et-EE"/>
        </w:rPr>
      </w:pPr>
    </w:p>
    <w:p w14:paraId="463D9613" w14:textId="77777777" w:rsidR="002E5EA0" w:rsidRPr="00EC3BD7" w:rsidRDefault="002E5EA0" w:rsidP="002E5EA0">
      <w:pPr>
        <w:tabs>
          <w:tab w:val="clear" w:pos="567"/>
        </w:tabs>
        <w:spacing w:line="240" w:lineRule="auto"/>
        <w:ind w:right="-2"/>
        <w:rPr>
          <w:b/>
          <w:bCs/>
          <w:color w:val="000000"/>
          <w:szCs w:val="22"/>
          <w:lang w:val="et-EE"/>
        </w:rPr>
      </w:pPr>
      <w:r w:rsidRPr="00EC3BD7">
        <w:rPr>
          <w:b/>
          <w:bCs/>
          <w:color w:val="000000"/>
          <w:szCs w:val="22"/>
          <w:lang w:val="et-EE"/>
        </w:rPr>
        <w:t>Enne ravimi kasutamist lugege hoolikalt infolehte, sest siin on teile vajalikku teavet.</w:t>
      </w:r>
    </w:p>
    <w:p w14:paraId="43B322CE" w14:textId="77777777" w:rsidR="002E5EA0" w:rsidRPr="00EC3BD7" w:rsidRDefault="002E5EA0" w:rsidP="002E5EA0">
      <w:pPr>
        <w:numPr>
          <w:ilvl w:val="0"/>
          <w:numId w:val="1"/>
        </w:numPr>
        <w:tabs>
          <w:tab w:val="clear" w:pos="567"/>
        </w:tabs>
        <w:spacing w:line="240" w:lineRule="auto"/>
        <w:ind w:left="567" w:right="-2" w:hanging="567"/>
        <w:rPr>
          <w:color w:val="000000"/>
          <w:szCs w:val="22"/>
          <w:lang w:val="et-EE"/>
        </w:rPr>
      </w:pPr>
      <w:r w:rsidRPr="00EC3BD7">
        <w:rPr>
          <w:color w:val="000000"/>
          <w:szCs w:val="22"/>
          <w:lang w:val="et-EE"/>
        </w:rPr>
        <w:t>Hoidke infoleht alles, et seda vajadusel uuesti lugeda.</w:t>
      </w:r>
    </w:p>
    <w:p w14:paraId="4A4B12C0" w14:textId="77777777" w:rsidR="002E5EA0" w:rsidRPr="00EC3BD7" w:rsidRDefault="002E5EA0" w:rsidP="002E5EA0">
      <w:pPr>
        <w:numPr>
          <w:ilvl w:val="0"/>
          <w:numId w:val="1"/>
        </w:numPr>
        <w:tabs>
          <w:tab w:val="clear" w:pos="567"/>
        </w:tabs>
        <w:spacing w:line="240" w:lineRule="auto"/>
        <w:ind w:left="567" w:right="-2" w:hanging="567"/>
        <w:rPr>
          <w:color w:val="000000"/>
          <w:szCs w:val="22"/>
          <w:lang w:val="et-EE"/>
        </w:rPr>
      </w:pPr>
      <w:r w:rsidRPr="00EC3BD7">
        <w:rPr>
          <w:color w:val="000000"/>
          <w:szCs w:val="22"/>
          <w:lang w:val="et-EE"/>
        </w:rPr>
        <w:t>Kui teil on lisaküsimusi, pidage nõu oma arsti, apteekri või meditsiiniõega.</w:t>
      </w:r>
    </w:p>
    <w:p w14:paraId="3D1B2864" w14:textId="77777777" w:rsidR="002E5EA0" w:rsidRPr="00EC3BD7" w:rsidRDefault="002E5EA0" w:rsidP="002E5EA0">
      <w:pPr>
        <w:numPr>
          <w:ilvl w:val="0"/>
          <w:numId w:val="1"/>
        </w:numPr>
        <w:tabs>
          <w:tab w:val="clear" w:pos="567"/>
        </w:tabs>
        <w:spacing w:line="240" w:lineRule="auto"/>
        <w:ind w:left="567" w:right="-2" w:hanging="567"/>
        <w:rPr>
          <w:color w:val="000000"/>
          <w:szCs w:val="22"/>
          <w:lang w:val="et-EE"/>
        </w:rPr>
      </w:pPr>
      <w:r w:rsidRPr="00EC3BD7">
        <w:rPr>
          <w:color w:val="000000"/>
          <w:szCs w:val="22"/>
          <w:lang w:val="et-EE"/>
        </w:rPr>
        <w:t>Ravim on välja kirjutatud üksnes teile. Ärge andke seda kellelegi teisele. Ravim võib olla neile kahjulik, isegi kui haigusnähud on sarnased.</w:t>
      </w:r>
    </w:p>
    <w:p w14:paraId="55E95998" w14:textId="77777777" w:rsidR="002E5EA0" w:rsidRPr="00EC3BD7" w:rsidRDefault="002E5EA0" w:rsidP="002E5EA0">
      <w:pPr>
        <w:widowControl w:val="0"/>
        <w:numPr>
          <w:ilvl w:val="0"/>
          <w:numId w:val="1"/>
        </w:numPr>
        <w:tabs>
          <w:tab w:val="clear" w:pos="567"/>
        </w:tabs>
        <w:spacing w:line="240" w:lineRule="auto"/>
        <w:ind w:left="567" w:right="-2" w:hanging="567"/>
        <w:rPr>
          <w:color w:val="000000"/>
          <w:szCs w:val="22"/>
          <w:lang w:val="et-EE"/>
        </w:rPr>
      </w:pPr>
      <w:r w:rsidRPr="00EC3BD7">
        <w:rPr>
          <w:color w:val="000000"/>
          <w:szCs w:val="22"/>
          <w:lang w:val="et-EE"/>
        </w:rPr>
        <w:t>Kui teil tekib ükskõik milline kõrvaltoime pidage nõu oma arsti, apteekri või meditsiiniõega. Kõrvaltoime võib olla ka selline, mida selles infolehes ei ole nimetatud.</w:t>
      </w:r>
      <w:r w:rsidR="00997DCF" w:rsidRPr="00EC3BD7">
        <w:rPr>
          <w:color w:val="000000"/>
          <w:szCs w:val="22"/>
          <w:lang w:val="et-EE"/>
        </w:rPr>
        <w:t xml:space="preserve"> Vt lõik</w:t>
      </w:r>
      <w:r w:rsidR="00DD7407" w:rsidRPr="00EC3BD7">
        <w:rPr>
          <w:color w:val="000000"/>
          <w:szCs w:val="22"/>
          <w:lang w:val="et-EE"/>
        </w:rPr>
        <w:t> </w:t>
      </w:r>
      <w:r w:rsidR="00997DCF" w:rsidRPr="00EC3BD7">
        <w:rPr>
          <w:color w:val="000000"/>
          <w:szCs w:val="22"/>
          <w:lang w:val="et-EE"/>
        </w:rPr>
        <w:t>4.</w:t>
      </w:r>
    </w:p>
    <w:p w14:paraId="741F112E" w14:textId="77777777" w:rsidR="002E5EA0" w:rsidRPr="00EC3BD7" w:rsidRDefault="002E5EA0" w:rsidP="002E5EA0">
      <w:pPr>
        <w:widowControl w:val="0"/>
        <w:numPr>
          <w:ilvl w:val="12"/>
          <w:numId w:val="0"/>
        </w:numPr>
        <w:tabs>
          <w:tab w:val="clear" w:pos="567"/>
        </w:tabs>
        <w:spacing w:line="240" w:lineRule="auto"/>
        <w:ind w:right="-2"/>
        <w:rPr>
          <w:color w:val="000000"/>
          <w:szCs w:val="22"/>
          <w:lang w:val="et-EE"/>
        </w:rPr>
      </w:pPr>
    </w:p>
    <w:p w14:paraId="66E3004E" w14:textId="77777777" w:rsidR="002E5EA0" w:rsidRPr="00EC3BD7" w:rsidRDefault="002E5EA0" w:rsidP="002E5EA0">
      <w:pPr>
        <w:widowControl w:val="0"/>
        <w:numPr>
          <w:ilvl w:val="12"/>
          <w:numId w:val="0"/>
        </w:numPr>
        <w:tabs>
          <w:tab w:val="clear" w:pos="567"/>
        </w:tabs>
        <w:spacing w:line="240" w:lineRule="auto"/>
        <w:ind w:right="-2"/>
        <w:rPr>
          <w:color w:val="000000"/>
          <w:szCs w:val="22"/>
          <w:lang w:val="et-EE"/>
        </w:rPr>
      </w:pPr>
    </w:p>
    <w:p w14:paraId="2D8F8E13" w14:textId="77777777" w:rsidR="002E5EA0" w:rsidRPr="00EC3BD7" w:rsidRDefault="002E5EA0" w:rsidP="00B9089D">
      <w:pPr>
        <w:keepNext/>
        <w:widowControl w:val="0"/>
        <w:numPr>
          <w:ilvl w:val="12"/>
          <w:numId w:val="0"/>
        </w:numPr>
        <w:tabs>
          <w:tab w:val="clear" w:pos="567"/>
        </w:tabs>
        <w:spacing w:line="240" w:lineRule="auto"/>
        <w:ind w:right="-2"/>
        <w:rPr>
          <w:color w:val="000000"/>
          <w:szCs w:val="22"/>
          <w:lang w:val="et-EE"/>
        </w:rPr>
      </w:pPr>
      <w:r w:rsidRPr="00EC3BD7">
        <w:rPr>
          <w:b/>
          <w:color w:val="000000"/>
          <w:szCs w:val="22"/>
          <w:lang w:val="et-EE"/>
        </w:rPr>
        <w:t>Infolehe sisukord</w:t>
      </w:r>
    </w:p>
    <w:p w14:paraId="774A2B4B" w14:textId="77777777" w:rsidR="002E5EA0" w:rsidRPr="00EC3BD7" w:rsidRDefault="002E5EA0" w:rsidP="002E5EA0">
      <w:pPr>
        <w:tabs>
          <w:tab w:val="clear" w:pos="567"/>
        </w:tabs>
        <w:spacing w:line="240" w:lineRule="auto"/>
        <w:ind w:left="567" w:right="-29" w:hanging="567"/>
        <w:rPr>
          <w:color w:val="000000"/>
          <w:szCs w:val="22"/>
          <w:lang w:val="et-EE"/>
        </w:rPr>
      </w:pPr>
      <w:r w:rsidRPr="00EC3BD7">
        <w:rPr>
          <w:color w:val="000000"/>
          <w:szCs w:val="22"/>
          <w:lang w:val="et-EE"/>
        </w:rPr>
        <w:t>1.</w:t>
      </w:r>
      <w:r w:rsidRPr="00EC3BD7">
        <w:rPr>
          <w:color w:val="000000"/>
          <w:szCs w:val="22"/>
          <w:lang w:val="et-EE"/>
        </w:rPr>
        <w:tab/>
        <w:t>Mis ravim on Glivec ja milleks seda kasutatakse</w:t>
      </w:r>
    </w:p>
    <w:p w14:paraId="736BC584" w14:textId="77777777" w:rsidR="002E5EA0" w:rsidRPr="00EC3BD7" w:rsidRDefault="002E5EA0" w:rsidP="002E5EA0">
      <w:pPr>
        <w:tabs>
          <w:tab w:val="clear" w:pos="567"/>
        </w:tabs>
        <w:spacing w:line="240" w:lineRule="auto"/>
        <w:ind w:left="567" w:right="-29" w:hanging="567"/>
        <w:rPr>
          <w:color w:val="000000"/>
          <w:szCs w:val="22"/>
          <w:lang w:val="et-EE"/>
        </w:rPr>
      </w:pPr>
      <w:r w:rsidRPr="00EC3BD7">
        <w:rPr>
          <w:color w:val="000000"/>
          <w:szCs w:val="22"/>
          <w:lang w:val="et-EE"/>
        </w:rPr>
        <w:t>2.</w:t>
      </w:r>
      <w:r w:rsidRPr="00EC3BD7">
        <w:rPr>
          <w:color w:val="000000"/>
          <w:szCs w:val="22"/>
          <w:lang w:val="et-EE"/>
        </w:rPr>
        <w:tab/>
        <w:t>Mida on vaja teada enne Gliveci kasutamist</w:t>
      </w:r>
    </w:p>
    <w:p w14:paraId="0885611A" w14:textId="77777777" w:rsidR="002E5EA0" w:rsidRPr="00EC3BD7" w:rsidRDefault="002E5EA0" w:rsidP="002E5EA0">
      <w:pPr>
        <w:tabs>
          <w:tab w:val="clear" w:pos="567"/>
        </w:tabs>
        <w:spacing w:line="240" w:lineRule="auto"/>
        <w:ind w:left="567" w:right="-29" w:hanging="567"/>
        <w:rPr>
          <w:color w:val="000000"/>
          <w:szCs w:val="22"/>
          <w:lang w:val="et-EE"/>
        </w:rPr>
      </w:pPr>
      <w:r w:rsidRPr="00EC3BD7">
        <w:rPr>
          <w:color w:val="000000"/>
          <w:szCs w:val="22"/>
          <w:lang w:val="et-EE"/>
        </w:rPr>
        <w:t>3.</w:t>
      </w:r>
      <w:r w:rsidRPr="00EC3BD7">
        <w:rPr>
          <w:color w:val="000000"/>
          <w:szCs w:val="22"/>
          <w:lang w:val="et-EE"/>
        </w:rPr>
        <w:tab/>
        <w:t>Kuidas Glivecit kasutada</w:t>
      </w:r>
    </w:p>
    <w:p w14:paraId="7FEAD791" w14:textId="77777777" w:rsidR="002E5EA0" w:rsidRPr="00EC3BD7" w:rsidRDefault="002E5EA0" w:rsidP="002E5EA0">
      <w:pPr>
        <w:tabs>
          <w:tab w:val="clear" w:pos="567"/>
        </w:tabs>
        <w:spacing w:line="240" w:lineRule="auto"/>
        <w:ind w:left="567" w:right="-29" w:hanging="567"/>
        <w:rPr>
          <w:color w:val="000000"/>
          <w:szCs w:val="22"/>
          <w:lang w:val="et-EE"/>
        </w:rPr>
      </w:pPr>
      <w:r w:rsidRPr="00EC3BD7">
        <w:rPr>
          <w:color w:val="000000"/>
          <w:szCs w:val="22"/>
          <w:lang w:val="et-EE"/>
        </w:rPr>
        <w:t>4.</w:t>
      </w:r>
      <w:r w:rsidRPr="00EC3BD7">
        <w:rPr>
          <w:color w:val="000000"/>
          <w:szCs w:val="22"/>
          <w:lang w:val="et-EE"/>
        </w:rPr>
        <w:tab/>
        <w:t>Võimalikud kõrvaltoimed</w:t>
      </w:r>
    </w:p>
    <w:p w14:paraId="6F5CCD8F" w14:textId="77777777" w:rsidR="002E5EA0" w:rsidRPr="00EC3BD7" w:rsidRDefault="002E5EA0" w:rsidP="002E5EA0">
      <w:pPr>
        <w:tabs>
          <w:tab w:val="clear" w:pos="567"/>
        </w:tabs>
        <w:spacing w:line="240" w:lineRule="auto"/>
        <w:ind w:left="567" w:right="-29" w:hanging="567"/>
        <w:rPr>
          <w:color w:val="000000"/>
          <w:szCs w:val="22"/>
          <w:lang w:val="et-EE"/>
        </w:rPr>
      </w:pPr>
      <w:r w:rsidRPr="00EC3BD7">
        <w:rPr>
          <w:color w:val="000000"/>
          <w:szCs w:val="22"/>
          <w:lang w:val="et-EE"/>
        </w:rPr>
        <w:t>5.</w:t>
      </w:r>
      <w:r w:rsidRPr="00EC3BD7">
        <w:rPr>
          <w:color w:val="000000"/>
          <w:szCs w:val="22"/>
          <w:lang w:val="et-EE"/>
        </w:rPr>
        <w:tab/>
        <w:t>Kuidas Glivecit säilitada</w:t>
      </w:r>
    </w:p>
    <w:p w14:paraId="5646D8C4" w14:textId="77777777" w:rsidR="002E5EA0" w:rsidRPr="00EC3BD7" w:rsidRDefault="002E5EA0" w:rsidP="002E5EA0">
      <w:pPr>
        <w:tabs>
          <w:tab w:val="clear" w:pos="567"/>
        </w:tabs>
        <w:spacing w:line="240" w:lineRule="auto"/>
        <w:ind w:left="567" w:right="-29" w:hanging="567"/>
        <w:rPr>
          <w:color w:val="000000"/>
          <w:szCs w:val="22"/>
          <w:lang w:val="et-EE"/>
        </w:rPr>
      </w:pPr>
      <w:r w:rsidRPr="00EC3BD7">
        <w:rPr>
          <w:color w:val="000000"/>
          <w:szCs w:val="22"/>
          <w:lang w:val="et-EE"/>
        </w:rPr>
        <w:t>6.</w:t>
      </w:r>
      <w:r w:rsidRPr="00EC3BD7">
        <w:rPr>
          <w:color w:val="000000"/>
          <w:szCs w:val="22"/>
          <w:lang w:val="et-EE"/>
        </w:rPr>
        <w:tab/>
        <w:t>Pakendi sisu ja muu teave</w:t>
      </w:r>
    </w:p>
    <w:p w14:paraId="76F6ADBE" w14:textId="77777777" w:rsidR="002E5EA0" w:rsidRPr="00EC3BD7" w:rsidRDefault="002E5EA0" w:rsidP="002E5EA0">
      <w:pPr>
        <w:widowControl w:val="0"/>
        <w:tabs>
          <w:tab w:val="clear" w:pos="567"/>
        </w:tabs>
        <w:spacing w:line="240" w:lineRule="auto"/>
        <w:ind w:right="-29"/>
        <w:rPr>
          <w:color w:val="000000"/>
          <w:szCs w:val="22"/>
          <w:lang w:val="et-EE"/>
        </w:rPr>
      </w:pPr>
    </w:p>
    <w:p w14:paraId="70744A5B" w14:textId="77777777" w:rsidR="002E5EA0" w:rsidRPr="00EC3BD7" w:rsidRDefault="002E5EA0" w:rsidP="002E5EA0">
      <w:pPr>
        <w:pStyle w:val="EndnoteText"/>
        <w:widowControl w:val="0"/>
        <w:numPr>
          <w:ilvl w:val="12"/>
          <w:numId w:val="0"/>
        </w:numPr>
        <w:tabs>
          <w:tab w:val="clear" w:pos="567"/>
        </w:tabs>
        <w:rPr>
          <w:color w:val="000000"/>
          <w:szCs w:val="22"/>
          <w:lang w:val="et-EE"/>
        </w:rPr>
      </w:pPr>
    </w:p>
    <w:p w14:paraId="38557A79" w14:textId="77777777" w:rsidR="002E5EA0" w:rsidRPr="00EC3BD7" w:rsidRDefault="002E5EA0" w:rsidP="00B9089D">
      <w:pPr>
        <w:keepNext/>
        <w:widowControl w:val="0"/>
        <w:numPr>
          <w:ilvl w:val="12"/>
          <w:numId w:val="0"/>
        </w:numPr>
        <w:tabs>
          <w:tab w:val="clear" w:pos="567"/>
        </w:tabs>
        <w:spacing w:line="240" w:lineRule="auto"/>
        <w:ind w:left="567" w:right="-2" w:hanging="567"/>
        <w:rPr>
          <w:color w:val="000000"/>
          <w:szCs w:val="22"/>
          <w:lang w:val="et-EE"/>
        </w:rPr>
      </w:pPr>
      <w:r w:rsidRPr="00EC3BD7">
        <w:rPr>
          <w:b/>
          <w:color w:val="000000"/>
          <w:szCs w:val="22"/>
          <w:lang w:val="et-EE"/>
        </w:rPr>
        <w:t>1.</w:t>
      </w:r>
      <w:r w:rsidRPr="00EC3BD7">
        <w:rPr>
          <w:b/>
          <w:color w:val="000000"/>
          <w:szCs w:val="22"/>
          <w:lang w:val="et-EE"/>
        </w:rPr>
        <w:tab/>
      </w:r>
      <w:r w:rsidRPr="00EC3BD7">
        <w:rPr>
          <w:b/>
          <w:lang w:val="et-EE"/>
        </w:rPr>
        <w:t>Mis ravim on Glivec ja milleks seda kasutatakse</w:t>
      </w:r>
    </w:p>
    <w:p w14:paraId="42483FB6" w14:textId="77777777" w:rsidR="002E5EA0" w:rsidRPr="00EC3BD7" w:rsidRDefault="002E5EA0" w:rsidP="00B9089D">
      <w:pPr>
        <w:pStyle w:val="Text"/>
        <w:keepNext/>
        <w:widowControl w:val="0"/>
        <w:spacing w:before="0"/>
        <w:jc w:val="left"/>
        <w:rPr>
          <w:color w:val="000000"/>
          <w:sz w:val="22"/>
          <w:szCs w:val="22"/>
          <w:lang w:val="et-EE"/>
        </w:rPr>
      </w:pPr>
    </w:p>
    <w:p w14:paraId="68C0F518" w14:textId="77777777" w:rsidR="002E5EA0" w:rsidRPr="00EC3BD7" w:rsidRDefault="002E5EA0" w:rsidP="002E5EA0">
      <w:pPr>
        <w:pStyle w:val="Text"/>
        <w:widowControl w:val="0"/>
        <w:spacing w:before="0"/>
        <w:jc w:val="left"/>
        <w:rPr>
          <w:color w:val="000000"/>
          <w:sz w:val="22"/>
          <w:szCs w:val="22"/>
          <w:lang w:val="et-EE"/>
        </w:rPr>
      </w:pPr>
      <w:r w:rsidRPr="00EC3BD7">
        <w:rPr>
          <w:color w:val="000000"/>
          <w:sz w:val="22"/>
          <w:szCs w:val="22"/>
          <w:lang w:val="et-EE"/>
        </w:rPr>
        <w:t>Glivec on ravim, mis sisaldab toimeainet nimega imatiniib. See ravim toimib, pärssides allpool loetletud haiguste korral ebanormaalsete rakkude kasvu. Haiguste hulka kuuluvad mõned vähitüübid.</w:t>
      </w:r>
    </w:p>
    <w:p w14:paraId="4D877A9A" w14:textId="77777777" w:rsidR="002E5EA0" w:rsidRPr="00EC3BD7" w:rsidRDefault="002E5EA0" w:rsidP="002E5EA0">
      <w:pPr>
        <w:pStyle w:val="Text"/>
        <w:widowControl w:val="0"/>
        <w:spacing w:before="0"/>
        <w:jc w:val="left"/>
        <w:rPr>
          <w:color w:val="000000"/>
          <w:sz w:val="22"/>
          <w:szCs w:val="22"/>
          <w:lang w:val="et-EE"/>
        </w:rPr>
      </w:pPr>
    </w:p>
    <w:p w14:paraId="61773A76" w14:textId="77777777" w:rsidR="002E5EA0" w:rsidRPr="00EC3BD7" w:rsidRDefault="002E5EA0" w:rsidP="00B9089D">
      <w:pPr>
        <w:pStyle w:val="Text"/>
        <w:keepNext/>
        <w:widowControl w:val="0"/>
        <w:spacing w:before="0"/>
        <w:jc w:val="left"/>
        <w:rPr>
          <w:b/>
          <w:bCs/>
          <w:color w:val="000000"/>
          <w:sz w:val="22"/>
          <w:szCs w:val="22"/>
          <w:lang w:val="et-EE"/>
        </w:rPr>
      </w:pPr>
      <w:r w:rsidRPr="00EC3BD7">
        <w:rPr>
          <w:b/>
          <w:bCs/>
          <w:color w:val="000000"/>
          <w:sz w:val="22"/>
          <w:szCs w:val="22"/>
          <w:lang w:val="et-EE"/>
        </w:rPr>
        <w:t>Glivecit kasutatakse täiskasvanutel ja lastel:</w:t>
      </w:r>
    </w:p>
    <w:p w14:paraId="360ABCE0" w14:textId="77777777" w:rsidR="002E5EA0" w:rsidRPr="00EC3BD7" w:rsidRDefault="002E5EA0" w:rsidP="00B9089D">
      <w:pPr>
        <w:pStyle w:val="Text"/>
        <w:keepNext/>
        <w:widowControl w:val="0"/>
        <w:spacing w:before="0"/>
        <w:jc w:val="left"/>
        <w:rPr>
          <w:color w:val="000000"/>
          <w:sz w:val="22"/>
          <w:szCs w:val="22"/>
          <w:lang w:val="et-EE"/>
        </w:rPr>
      </w:pPr>
    </w:p>
    <w:p w14:paraId="54FCA874" w14:textId="77777777" w:rsidR="002E5EA0" w:rsidRPr="00EC3BD7" w:rsidRDefault="002E5EA0" w:rsidP="002E5EA0">
      <w:pPr>
        <w:pStyle w:val="Text"/>
        <w:widowControl w:val="0"/>
        <w:numPr>
          <w:ilvl w:val="0"/>
          <w:numId w:val="16"/>
        </w:numPr>
        <w:tabs>
          <w:tab w:val="clear" w:pos="927"/>
          <w:tab w:val="num" w:pos="567"/>
        </w:tabs>
        <w:spacing w:before="0"/>
        <w:ind w:left="567" w:hanging="567"/>
        <w:jc w:val="left"/>
        <w:rPr>
          <w:color w:val="000000"/>
          <w:sz w:val="22"/>
          <w:szCs w:val="22"/>
          <w:lang w:val="et-EE"/>
        </w:rPr>
      </w:pPr>
      <w:r w:rsidRPr="00EC3BD7">
        <w:rPr>
          <w:b/>
          <w:bCs/>
          <w:color w:val="000000"/>
          <w:sz w:val="22"/>
          <w:szCs w:val="22"/>
          <w:lang w:val="et-EE"/>
        </w:rPr>
        <w:t>Kroonilise müeloidse leukeemia (</w:t>
      </w:r>
      <w:smartTag w:uri="urn:schemas-microsoft-com:office:smarttags" w:element="stockticker">
        <w:r w:rsidRPr="00EC3BD7">
          <w:rPr>
            <w:b/>
            <w:bCs/>
            <w:color w:val="000000"/>
            <w:sz w:val="22"/>
            <w:szCs w:val="22"/>
            <w:lang w:val="et-EE"/>
          </w:rPr>
          <w:t>KML</w:t>
        </w:r>
      </w:smartTag>
      <w:r w:rsidRPr="00EC3BD7">
        <w:rPr>
          <w:b/>
          <w:bCs/>
          <w:color w:val="000000"/>
          <w:sz w:val="22"/>
          <w:szCs w:val="22"/>
          <w:lang w:val="et-EE"/>
        </w:rPr>
        <w:t>) ravis</w:t>
      </w:r>
      <w:r w:rsidRPr="00EC3BD7">
        <w:rPr>
          <w:color w:val="000000"/>
          <w:sz w:val="22"/>
          <w:szCs w:val="22"/>
          <w:lang w:val="et-EE"/>
        </w:rPr>
        <w:t>. Leukeemia on valgete vererakkude vähk. Valged vererakud aitavad organismil tavaliselt võidelda infektsioonidega. Krooniline müeloidne leukeemia on leukeemia vorm, mille puhul ebanormaalseks muutunud valgete vererakkude (nimetatakse müeloidseteks rakkudeks) kasv väljub kontrolli alt.</w:t>
      </w:r>
    </w:p>
    <w:p w14:paraId="7BD74420" w14:textId="77777777" w:rsidR="00060D4A" w:rsidRPr="00EC3BD7" w:rsidRDefault="00060D4A" w:rsidP="002E5EA0">
      <w:pPr>
        <w:pStyle w:val="Text"/>
        <w:widowControl w:val="0"/>
        <w:numPr>
          <w:ilvl w:val="0"/>
          <w:numId w:val="16"/>
        </w:numPr>
        <w:tabs>
          <w:tab w:val="clear" w:pos="927"/>
          <w:tab w:val="num" w:pos="567"/>
        </w:tabs>
        <w:spacing w:before="0"/>
        <w:ind w:left="567" w:hanging="567"/>
        <w:jc w:val="left"/>
        <w:rPr>
          <w:color w:val="000000"/>
          <w:sz w:val="22"/>
          <w:szCs w:val="22"/>
          <w:lang w:val="et-EE"/>
        </w:rPr>
      </w:pPr>
      <w:r w:rsidRPr="00EC3BD7">
        <w:rPr>
          <w:b/>
          <w:bCs/>
          <w:color w:val="000000"/>
          <w:sz w:val="22"/>
          <w:szCs w:val="22"/>
          <w:lang w:val="et-EE"/>
        </w:rPr>
        <w:t xml:space="preserve">Philadelphia kromosoompositiivse ägeda lümfoblastse leukeemia (Ph-positiivne </w:t>
      </w:r>
      <w:smartTag w:uri="urn:schemas-microsoft-com:office:smarttags" w:element="stockticker">
        <w:r w:rsidRPr="00EC3BD7">
          <w:rPr>
            <w:b/>
            <w:bCs/>
            <w:color w:val="000000"/>
            <w:sz w:val="22"/>
            <w:szCs w:val="22"/>
            <w:lang w:val="et-EE"/>
          </w:rPr>
          <w:t>ALL</w:t>
        </w:r>
      </w:smartTag>
      <w:r w:rsidRPr="00EC3BD7">
        <w:rPr>
          <w:b/>
          <w:bCs/>
          <w:color w:val="000000"/>
          <w:sz w:val="22"/>
          <w:szCs w:val="22"/>
          <w:lang w:val="et-EE"/>
        </w:rPr>
        <w:t>) ravis</w:t>
      </w:r>
      <w:r w:rsidRPr="00EC3BD7">
        <w:rPr>
          <w:bCs/>
          <w:color w:val="000000"/>
          <w:sz w:val="22"/>
          <w:szCs w:val="22"/>
          <w:lang w:val="et-EE"/>
        </w:rPr>
        <w:t>. Leukeemia on vere valgeliblede vähktõbi. Vere valgelibled aitavad organismil tavaliselt võidelda infektsioonidega. Äge lümfoblastne leukeemia on leukeemia vorm, mille puhul teatud ebanormaalsete vere valgeliblede (nimetatakse lümfoblastideks) kasv väljub kontrolli alt. Glivec pärsib nende rakkude kasvu.</w:t>
      </w:r>
    </w:p>
    <w:p w14:paraId="0C5D859A" w14:textId="77777777" w:rsidR="002E5EA0" w:rsidRPr="00EC3BD7" w:rsidRDefault="002E5EA0" w:rsidP="002E5EA0">
      <w:pPr>
        <w:pStyle w:val="Text"/>
        <w:widowControl w:val="0"/>
        <w:spacing w:before="0"/>
        <w:jc w:val="left"/>
        <w:rPr>
          <w:color w:val="000000"/>
          <w:sz w:val="22"/>
          <w:szCs w:val="22"/>
          <w:lang w:val="et-EE"/>
        </w:rPr>
      </w:pPr>
    </w:p>
    <w:p w14:paraId="7ADB0FBA" w14:textId="77777777" w:rsidR="002E5EA0" w:rsidRPr="00EC3BD7" w:rsidRDefault="002E5EA0" w:rsidP="00B9089D">
      <w:pPr>
        <w:pStyle w:val="Text"/>
        <w:keepNext/>
        <w:widowControl w:val="0"/>
        <w:spacing w:before="0"/>
        <w:jc w:val="left"/>
        <w:rPr>
          <w:b/>
          <w:bCs/>
          <w:color w:val="000000"/>
          <w:sz w:val="22"/>
          <w:szCs w:val="22"/>
          <w:lang w:val="et-EE"/>
        </w:rPr>
      </w:pPr>
      <w:r w:rsidRPr="00EC3BD7">
        <w:rPr>
          <w:b/>
          <w:bCs/>
          <w:color w:val="000000"/>
          <w:sz w:val="22"/>
          <w:szCs w:val="22"/>
          <w:lang w:val="et-EE"/>
        </w:rPr>
        <w:t>Glivecit kasutatakse täiskasvanutel:</w:t>
      </w:r>
    </w:p>
    <w:p w14:paraId="40F747E9" w14:textId="77777777" w:rsidR="002E5EA0" w:rsidRPr="00EC3BD7" w:rsidRDefault="002E5EA0" w:rsidP="00B9089D">
      <w:pPr>
        <w:pStyle w:val="Text"/>
        <w:keepNext/>
        <w:widowControl w:val="0"/>
        <w:spacing w:before="0"/>
        <w:jc w:val="left"/>
        <w:rPr>
          <w:color w:val="000000"/>
          <w:sz w:val="22"/>
          <w:szCs w:val="22"/>
          <w:lang w:val="et-EE"/>
        </w:rPr>
      </w:pPr>
    </w:p>
    <w:p w14:paraId="698E7A80" w14:textId="77777777" w:rsidR="002E5EA0" w:rsidRPr="00EC3BD7" w:rsidRDefault="002E5EA0" w:rsidP="002E5EA0">
      <w:pPr>
        <w:pStyle w:val="Text"/>
        <w:widowControl w:val="0"/>
        <w:numPr>
          <w:ilvl w:val="0"/>
          <w:numId w:val="16"/>
        </w:numPr>
        <w:tabs>
          <w:tab w:val="clear" w:pos="927"/>
          <w:tab w:val="num" w:pos="567"/>
        </w:tabs>
        <w:spacing w:before="0"/>
        <w:ind w:left="567" w:hanging="567"/>
        <w:jc w:val="left"/>
        <w:rPr>
          <w:color w:val="000000"/>
          <w:sz w:val="22"/>
          <w:szCs w:val="22"/>
          <w:lang w:val="et-EE"/>
        </w:rPr>
      </w:pPr>
      <w:r w:rsidRPr="00EC3BD7">
        <w:rPr>
          <w:b/>
          <w:bCs/>
          <w:color w:val="000000"/>
          <w:sz w:val="22"/>
          <w:szCs w:val="22"/>
          <w:lang w:val="et-EE"/>
        </w:rPr>
        <w:t>Müelodüsplastiliste/müeloproliferatiivsete haiguste (</w:t>
      </w:r>
      <w:smartTag w:uri="urn:schemas-microsoft-com:office:smarttags" w:element="stockticker">
        <w:r w:rsidRPr="00EC3BD7">
          <w:rPr>
            <w:b/>
            <w:bCs/>
            <w:color w:val="000000"/>
            <w:sz w:val="22"/>
            <w:szCs w:val="22"/>
            <w:lang w:val="et-EE"/>
          </w:rPr>
          <w:t>MDS</w:t>
        </w:r>
      </w:smartTag>
      <w:r w:rsidRPr="00EC3BD7">
        <w:rPr>
          <w:b/>
          <w:bCs/>
          <w:color w:val="000000"/>
          <w:sz w:val="22"/>
          <w:szCs w:val="22"/>
          <w:lang w:val="et-EE"/>
        </w:rPr>
        <w:t>/MPD) ravis.</w:t>
      </w:r>
      <w:r w:rsidRPr="00EC3BD7">
        <w:rPr>
          <w:color w:val="000000"/>
          <w:sz w:val="22"/>
          <w:szCs w:val="22"/>
          <w:lang w:val="et-EE"/>
        </w:rPr>
        <w:t xml:space="preserve"> Need on verehaigused, mille puhul mõnede vererakkude kasv väljub kontrolli alt. Nende haiguste mõningate alatüüpide korral pärsib Glivec nende rakkude kasvu.</w:t>
      </w:r>
    </w:p>
    <w:p w14:paraId="19FE7DEF" w14:textId="77777777" w:rsidR="002E5EA0" w:rsidRPr="00EC3BD7" w:rsidRDefault="002E5EA0" w:rsidP="002E5EA0">
      <w:pPr>
        <w:pStyle w:val="Text"/>
        <w:widowControl w:val="0"/>
        <w:numPr>
          <w:ilvl w:val="0"/>
          <w:numId w:val="16"/>
        </w:numPr>
        <w:tabs>
          <w:tab w:val="clear" w:pos="927"/>
          <w:tab w:val="num" w:pos="567"/>
        </w:tabs>
        <w:spacing w:before="0"/>
        <w:ind w:left="567" w:hanging="567"/>
        <w:jc w:val="left"/>
        <w:rPr>
          <w:color w:val="000000"/>
          <w:sz w:val="22"/>
          <w:szCs w:val="22"/>
          <w:lang w:val="et-EE"/>
        </w:rPr>
      </w:pPr>
      <w:r w:rsidRPr="00EC3BD7">
        <w:rPr>
          <w:b/>
          <w:bCs/>
          <w:color w:val="000000"/>
          <w:sz w:val="22"/>
          <w:szCs w:val="22"/>
          <w:lang w:val="et-EE"/>
        </w:rPr>
        <w:t>Hüpereosinofiilse sündroomi (HES) ja/või kroonilise eosinofiilse leukeemia (KEL) ravis</w:t>
      </w:r>
      <w:r w:rsidRPr="00EC3BD7">
        <w:rPr>
          <w:color w:val="000000"/>
          <w:sz w:val="22"/>
          <w:szCs w:val="22"/>
          <w:lang w:val="et-EE"/>
        </w:rPr>
        <w:t>. Need on verehaigused, mille puhul teatud vererakkude (neid nimetatakse eosinofiilideks) kasv väljub kontrolli alt. Nende haiguste mõningate alatüüpide korral pärsib Glivec nende rakkude kasvu.</w:t>
      </w:r>
    </w:p>
    <w:p w14:paraId="5331EFD9" w14:textId="77777777" w:rsidR="002E5EA0" w:rsidRPr="00EC3BD7" w:rsidRDefault="002E5EA0" w:rsidP="002E5EA0">
      <w:pPr>
        <w:pStyle w:val="Text"/>
        <w:widowControl w:val="0"/>
        <w:numPr>
          <w:ilvl w:val="0"/>
          <w:numId w:val="16"/>
        </w:numPr>
        <w:tabs>
          <w:tab w:val="clear" w:pos="927"/>
          <w:tab w:val="num" w:pos="567"/>
        </w:tabs>
        <w:spacing w:before="0"/>
        <w:ind w:left="567" w:hanging="567"/>
        <w:jc w:val="left"/>
        <w:rPr>
          <w:color w:val="000000"/>
          <w:sz w:val="22"/>
          <w:szCs w:val="22"/>
          <w:lang w:val="et-EE"/>
        </w:rPr>
      </w:pPr>
      <w:r w:rsidRPr="00EC3BD7">
        <w:rPr>
          <w:b/>
          <w:bCs/>
          <w:color w:val="000000"/>
          <w:sz w:val="22"/>
          <w:szCs w:val="22"/>
          <w:lang w:val="et-EE"/>
        </w:rPr>
        <w:t>Gastrointestinaalsete stromaaltuumorite (GIST) ravis. GIST on mao ja soolte vähk.</w:t>
      </w:r>
      <w:r w:rsidRPr="00EC3BD7">
        <w:rPr>
          <w:color w:val="000000"/>
          <w:sz w:val="22"/>
          <w:szCs w:val="22"/>
          <w:lang w:val="et-EE"/>
        </w:rPr>
        <w:t xml:space="preserve"> Ta tekib nende elundite toetavate kudede rakkude kontrollimatu kasvu tagajärjel.</w:t>
      </w:r>
    </w:p>
    <w:p w14:paraId="3DCB303F" w14:textId="77777777" w:rsidR="002E5EA0" w:rsidRPr="00EC3BD7" w:rsidRDefault="002E5EA0" w:rsidP="002E5EA0">
      <w:pPr>
        <w:pStyle w:val="Text"/>
        <w:widowControl w:val="0"/>
        <w:numPr>
          <w:ilvl w:val="0"/>
          <w:numId w:val="16"/>
        </w:numPr>
        <w:tabs>
          <w:tab w:val="clear" w:pos="927"/>
          <w:tab w:val="num" w:pos="567"/>
        </w:tabs>
        <w:spacing w:before="0"/>
        <w:ind w:left="567" w:hanging="567"/>
        <w:jc w:val="left"/>
        <w:rPr>
          <w:color w:val="000000"/>
          <w:sz w:val="22"/>
          <w:szCs w:val="22"/>
          <w:lang w:val="et-EE"/>
        </w:rPr>
      </w:pPr>
      <w:r w:rsidRPr="00EC3BD7">
        <w:rPr>
          <w:b/>
          <w:bCs/>
          <w:color w:val="000000"/>
          <w:sz w:val="22"/>
          <w:szCs w:val="22"/>
          <w:lang w:val="et-EE"/>
        </w:rPr>
        <w:t>Protuberantne dermatofibrosarkoom (PDFS).</w:t>
      </w:r>
      <w:r w:rsidRPr="00EC3BD7">
        <w:rPr>
          <w:color w:val="000000"/>
          <w:sz w:val="22"/>
          <w:szCs w:val="22"/>
          <w:lang w:val="et-EE"/>
        </w:rPr>
        <w:t xml:space="preserve"> PDFS on nahaaluskoe vähk, mille puhul </w:t>
      </w:r>
      <w:r w:rsidRPr="00EC3BD7">
        <w:rPr>
          <w:color w:val="000000"/>
          <w:sz w:val="22"/>
          <w:szCs w:val="22"/>
          <w:lang w:val="et-EE"/>
        </w:rPr>
        <w:lastRenderedPageBreak/>
        <w:t>mõnede rakkude kasv väljub kontrolli alt. Glivec pärsib nende rakkude kasvu.</w:t>
      </w:r>
    </w:p>
    <w:p w14:paraId="3706C79D" w14:textId="77777777" w:rsidR="002E5EA0" w:rsidRPr="00EC3BD7" w:rsidRDefault="002E5EA0" w:rsidP="002E5EA0">
      <w:pPr>
        <w:widowControl w:val="0"/>
        <w:rPr>
          <w:color w:val="000000"/>
          <w:szCs w:val="22"/>
          <w:lang w:val="et-EE"/>
        </w:rPr>
      </w:pPr>
      <w:r w:rsidRPr="00EC3BD7">
        <w:rPr>
          <w:color w:val="000000"/>
          <w:szCs w:val="22"/>
          <w:lang w:val="et-EE"/>
        </w:rPr>
        <w:t>Antud infolehe ülejäänud osas kasutame nendest haigustest rääkides lühendeid.</w:t>
      </w:r>
    </w:p>
    <w:p w14:paraId="1A24AD00" w14:textId="77777777" w:rsidR="002E5EA0" w:rsidRPr="00EC3BD7" w:rsidRDefault="002E5EA0" w:rsidP="002E5EA0">
      <w:pPr>
        <w:pStyle w:val="Text"/>
        <w:widowControl w:val="0"/>
        <w:tabs>
          <w:tab w:val="left" w:pos="2160"/>
        </w:tabs>
        <w:spacing w:before="0"/>
        <w:jc w:val="left"/>
        <w:rPr>
          <w:color w:val="000000"/>
          <w:sz w:val="22"/>
          <w:szCs w:val="22"/>
          <w:lang w:val="et-EE"/>
        </w:rPr>
      </w:pPr>
    </w:p>
    <w:p w14:paraId="0C0DA01C" w14:textId="77777777" w:rsidR="002E5EA0" w:rsidRPr="00EC3BD7" w:rsidRDefault="002E5EA0" w:rsidP="002E5EA0">
      <w:pPr>
        <w:pStyle w:val="Text"/>
        <w:widowControl w:val="0"/>
        <w:spacing w:before="0"/>
        <w:jc w:val="left"/>
        <w:rPr>
          <w:color w:val="000000"/>
          <w:sz w:val="22"/>
          <w:szCs w:val="22"/>
          <w:lang w:val="et-EE"/>
        </w:rPr>
      </w:pPr>
      <w:r w:rsidRPr="00EC3BD7">
        <w:rPr>
          <w:color w:val="000000"/>
          <w:sz w:val="22"/>
          <w:szCs w:val="22"/>
          <w:lang w:val="et-EE"/>
        </w:rPr>
        <w:t>Kui teil on küsimusi, kuidas Glivec toimib või miks see ravim on teile määratud, pöörduge oma arsti poole.</w:t>
      </w:r>
    </w:p>
    <w:p w14:paraId="01C4141D" w14:textId="77777777" w:rsidR="002E5EA0" w:rsidRPr="00EC3BD7" w:rsidRDefault="002E5EA0" w:rsidP="002E5EA0">
      <w:pPr>
        <w:pStyle w:val="EndnoteText"/>
        <w:widowControl w:val="0"/>
        <w:numPr>
          <w:ilvl w:val="12"/>
          <w:numId w:val="0"/>
        </w:numPr>
        <w:tabs>
          <w:tab w:val="clear" w:pos="567"/>
        </w:tabs>
        <w:rPr>
          <w:color w:val="000000"/>
          <w:szCs w:val="22"/>
          <w:lang w:val="et-EE"/>
        </w:rPr>
      </w:pPr>
    </w:p>
    <w:p w14:paraId="5A444A04" w14:textId="77777777" w:rsidR="002E5EA0" w:rsidRPr="00EC3BD7" w:rsidRDefault="002E5EA0" w:rsidP="002E5EA0">
      <w:pPr>
        <w:pStyle w:val="EndnoteText"/>
        <w:widowControl w:val="0"/>
        <w:numPr>
          <w:ilvl w:val="12"/>
          <w:numId w:val="0"/>
        </w:numPr>
        <w:tabs>
          <w:tab w:val="clear" w:pos="567"/>
        </w:tabs>
        <w:rPr>
          <w:color w:val="000000"/>
          <w:szCs w:val="22"/>
          <w:lang w:val="et-EE"/>
        </w:rPr>
      </w:pPr>
    </w:p>
    <w:p w14:paraId="08D85F1D" w14:textId="77777777" w:rsidR="002E5EA0" w:rsidRPr="00EC3BD7" w:rsidRDefault="002E5EA0" w:rsidP="00B9089D">
      <w:pPr>
        <w:keepNext/>
        <w:widowControl w:val="0"/>
        <w:numPr>
          <w:ilvl w:val="12"/>
          <w:numId w:val="0"/>
        </w:numPr>
        <w:tabs>
          <w:tab w:val="clear" w:pos="567"/>
        </w:tabs>
        <w:spacing w:line="240" w:lineRule="auto"/>
        <w:ind w:left="567" w:right="-2" w:hanging="567"/>
        <w:rPr>
          <w:b/>
          <w:color w:val="000000"/>
          <w:szCs w:val="22"/>
          <w:lang w:val="et-EE"/>
        </w:rPr>
      </w:pPr>
      <w:r w:rsidRPr="00EC3BD7">
        <w:rPr>
          <w:b/>
          <w:color w:val="000000"/>
          <w:szCs w:val="22"/>
          <w:lang w:val="et-EE"/>
        </w:rPr>
        <w:t>2.</w:t>
      </w:r>
      <w:r w:rsidRPr="00EC3BD7">
        <w:rPr>
          <w:b/>
          <w:color w:val="000000"/>
          <w:szCs w:val="22"/>
          <w:lang w:val="et-EE"/>
        </w:rPr>
        <w:tab/>
      </w:r>
      <w:r w:rsidRPr="00EC3BD7">
        <w:rPr>
          <w:b/>
          <w:lang w:val="et-EE"/>
        </w:rPr>
        <w:t xml:space="preserve">Mida on vaja teada enne </w:t>
      </w:r>
      <w:r w:rsidRPr="00EC3BD7">
        <w:rPr>
          <w:b/>
          <w:color w:val="000000"/>
          <w:szCs w:val="22"/>
          <w:lang w:val="et-EE"/>
        </w:rPr>
        <w:t>Gliveci</w:t>
      </w:r>
      <w:r w:rsidRPr="00EC3BD7">
        <w:rPr>
          <w:b/>
          <w:lang w:val="et-EE"/>
        </w:rPr>
        <w:t xml:space="preserve"> kasutamist</w:t>
      </w:r>
    </w:p>
    <w:p w14:paraId="6FC595FA" w14:textId="77777777" w:rsidR="002E5EA0" w:rsidRPr="00EC3BD7" w:rsidRDefault="002E5EA0" w:rsidP="00B9089D">
      <w:pPr>
        <w:keepNext/>
        <w:widowControl w:val="0"/>
        <w:numPr>
          <w:ilvl w:val="12"/>
          <w:numId w:val="0"/>
        </w:numPr>
        <w:tabs>
          <w:tab w:val="clear" w:pos="567"/>
        </w:tabs>
        <w:spacing w:line="240" w:lineRule="auto"/>
        <w:ind w:left="567" w:right="-2" w:hanging="567"/>
        <w:rPr>
          <w:color w:val="000000"/>
          <w:szCs w:val="22"/>
          <w:lang w:val="et-EE"/>
        </w:rPr>
      </w:pPr>
    </w:p>
    <w:p w14:paraId="0A178BBD" w14:textId="77777777" w:rsidR="002E5EA0" w:rsidRPr="00EC3BD7" w:rsidRDefault="002E5EA0" w:rsidP="002E5EA0">
      <w:pPr>
        <w:pStyle w:val="Text"/>
        <w:widowControl w:val="0"/>
        <w:spacing w:before="0"/>
        <w:jc w:val="left"/>
        <w:rPr>
          <w:color w:val="000000"/>
          <w:sz w:val="22"/>
          <w:szCs w:val="22"/>
          <w:lang w:val="et-EE"/>
        </w:rPr>
      </w:pPr>
      <w:r w:rsidRPr="00EC3BD7">
        <w:rPr>
          <w:color w:val="000000"/>
          <w:sz w:val="22"/>
          <w:szCs w:val="22"/>
          <w:lang w:val="et-EE"/>
        </w:rPr>
        <w:t>Gliveci määrab teile ainult arst, kellel on verevähi või soliidtuumorite ravi kogemused.</w:t>
      </w:r>
    </w:p>
    <w:p w14:paraId="44588523" w14:textId="77777777" w:rsidR="002E5EA0" w:rsidRPr="00EC3BD7" w:rsidRDefault="002E5EA0" w:rsidP="002E5EA0">
      <w:pPr>
        <w:widowControl w:val="0"/>
        <w:numPr>
          <w:ilvl w:val="12"/>
          <w:numId w:val="0"/>
        </w:numPr>
        <w:tabs>
          <w:tab w:val="clear" w:pos="567"/>
        </w:tabs>
        <w:spacing w:line="240" w:lineRule="auto"/>
        <w:ind w:right="-2"/>
        <w:rPr>
          <w:color w:val="000000"/>
          <w:szCs w:val="22"/>
          <w:lang w:val="et-EE"/>
        </w:rPr>
      </w:pPr>
    </w:p>
    <w:p w14:paraId="12F86164" w14:textId="77777777" w:rsidR="002E5EA0" w:rsidRPr="00EC3BD7" w:rsidRDefault="002E5EA0" w:rsidP="002E5EA0">
      <w:pPr>
        <w:widowControl w:val="0"/>
        <w:numPr>
          <w:ilvl w:val="12"/>
          <w:numId w:val="0"/>
        </w:numPr>
        <w:tabs>
          <w:tab w:val="clear" w:pos="567"/>
        </w:tabs>
        <w:spacing w:line="240" w:lineRule="auto"/>
        <w:ind w:right="-2"/>
        <w:rPr>
          <w:color w:val="000000"/>
          <w:szCs w:val="22"/>
          <w:lang w:val="et-EE"/>
        </w:rPr>
      </w:pPr>
      <w:r w:rsidRPr="00EC3BD7">
        <w:rPr>
          <w:color w:val="000000"/>
          <w:szCs w:val="22"/>
          <w:lang w:val="et-EE"/>
        </w:rPr>
        <w:t>Järgige hoolikalt kõiki arsti juhiseid ka juhul, kui need erinevad käesolevas infolehes toodud üldinformatsioonist.</w:t>
      </w:r>
    </w:p>
    <w:p w14:paraId="5DBCEC5A" w14:textId="77777777" w:rsidR="002E5EA0" w:rsidRPr="00EC3BD7" w:rsidRDefault="002E5EA0" w:rsidP="002E5EA0">
      <w:pPr>
        <w:widowControl w:val="0"/>
        <w:numPr>
          <w:ilvl w:val="12"/>
          <w:numId w:val="0"/>
        </w:numPr>
        <w:tabs>
          <w:tab w:val="clear" w:pos="567"/>
        </w:tabs>
        <w:spacing w:line="240" w:lineRule="auto"/>
        <w:ind w:right="-2"/>
        <w:rPr>
          <w:color w:val="000000"/>
          <w:szCs w:val="22"/>
          <w:lang w:val="et-EE"/>
        </w:rPr>
      </w:pPr>
    </w:p>
    <w:p w14:paraId="33C42D49" w14:textId="77777777" w:rsidR="002E5EA0" w:rsidRPr="00EC3BD7" w:rsidRDefault="002E5EA0" w:rsidP="00B9089D">
      <w:pPr>
        <w:keepNext/>
        <w:widowControl w:val="0"/>
        <w:numPr>
          <w:ilvl w:val="12"/>
          <w:numId w:val="0"/>
        </w:numPr>
        <w:tabs>
          <w:tab w:val="clear" w:pos="567"/>
        </w:tabs>
        <w:spacing w:line="240" w:lineRule="auto"/>
        <w:rPr>
          <w:color w:val="000000"/>
          <w:szCs w:val="22"/>
          <w:lang w:val="et-EE"/>
        </w:rPr>
      </w:pPr>
      <w:r w:rsidRPr="00EC3BD7">
        <w:rPr>
          <w:b/>
          <w:color w:val="000000"/>
          <w:szCs w:val="22"/>
          <w:lang w:val="et-EE"/>
        </w:rPr>
        <w:t>Ärge võtke Glivecit:</w:t>
      </w:r>
    </w:p>
    <w:p w14:paraId="080A1547" w14:textId="77777777" w:rsidR="002E5EA0" w:rsidRPr="00EC3BD7" w:rsidRDefault="002E5EA0" w:rsidP="00B9089D">
      <w:pPr>
        <w:keepNext/>
        <w:widowControl w:val="0"/>
        <w:numPr>
          <w:ilvl w:val="0"/>
          <w:numId w:val="16"/>
        </w:numPr>
        <w:tabs>
          <w:tab w:val="clear" w:pos="927"/>
          <w:tab w:val="num" w:pos="567"/>
        </w:tabs>
        <w:spacing w:line="240" w:lineRule="auto"/>
        <w:ind w:left="567" w:right="-2" w:hanging="567"/>
        <w:rPr>
          <w:color w:val="000000"/>
          <w:szCs w:val="22"/>
          <w:lang w:val="et-EE"/>
        </w:rPr>
      </w:pPr>
      <w:r w:rsidRPr="00EC3BD7">
        <w:rPr>
          <w:color w:val="000000"/>
          <w:szCs w:val="22"/>
          <w:lang w:val="et-EE"/>
        </w:rPr>
        <w:t xml:space="preserve">kui olete imatiniibi või </w:t>
      </w:r>
      <w:r w:rsidR="00BB045E" w:rsidRPr="00EC3BD7">
        <w:rPr>
          <w:color w:val="000000"/>
          <w:szCs w:val="22"/>
          <w:lang w:val="et-EE"/>
        </w:rPr>
        <w:t xml:space="preserve">selle ravimi </w:t>
      </w:r>
      <w:r w:rsidRPr="00EC3BD7">
        <w:rPr>
          <w:color w:val="000000"/>
          <w:szCs w:val="22"/>
          <w:lang w:val="et-EE"/>
        </w:rPr>
        <w:t>mis tahes koostisosade (loetletud lõigus</w:t>
      </w:r>
      <w:r w:rsidR="00DD7407" w:rsidRPr="00EC3BD7">
        <w:rPr>
          <w:color w:val="000000"/>
          <w:szCs w:val="22"/>
          <w:lang w:val="et-EE"/>
        </w:rPr>
        <w:t> </w:t>
      </w:r>
      <w:r w:rsidRPr="00EC3BD7">
        <w:rPr>
          <w:color w:val="000000"/>
          <w:szCs w:val="22"/>
          <w:lang w:val="et-EE"/>
        </w:rPr>
        <w:t>6) suhtes allergiline.</w:t>
      </w:r>
    </w:p>
    <w:p w14:paraId="05DEEA69" w14:textId="77777777" w:rsidR="002E5EA0" w:rsidRPr="00EC3BD7" w:rsidRDefault="002E5EA0" w:rsidP="002E5EA0">
      <w:pPr>
        <w:widowControl w:val="0"/>
        <w:tabs>
          <w:tab w:val="clear" w:pos="567"/>
        </w:tabs>
        <w:spacing w:line="240" w:lineRule="auto"/>
        <w:ind w:right="-2"/>
        <w:rPr>
          <w:color w:val="000000"/>
          <w:szCs w:val="22"/>
          <w:lang w:val="et-EE"/>
        </w:rPr>
      </w:pPr>
      <w:r w:rsidRPr="00EC3BD7">
        <w:rPr>
          <w:color w:val="000000"/>
          <w:szCs w:val="22"/>
          <w:lang w:val="et-EE"/>
        </w:rPr>
        <w:t xml:space="preserve">Kui see kehtib teie kohta, </w:t>
      </w:r>
      <w:r w:rsidRPr="00EC3BD7">
        <w:rPr>
          <w:b/>
          <w:color w:val="000000"/>
          <w:szCs w:val="22"/>
          <w:lang w:val="et-EE"/>
        </w:rPr>
        <w:t>pidage nõu oma arstiga ilma Glivecit võtmata.</w:t>
      </w:r>
    </w:p>
    <w:p w14:paraId="53D378AA" w14:textId="77777777" w:rsidR="002E5EA0" w:rsidRPr="00EC3BD7" w:rsidRDefault="002E5EA0" w:rsidP="002E5EA0">
      <w:pPr>
        <w:widowControl w:val="0"/>
        <w:tabs>
          <w:tab w:val="clear" w:pos="567"/>
        </w:tabs>
        <w:spacing w:line="240" w:lineRule="auto"/>
        <w:ind w:right="-2"/>
        <w:rPr>
          <w:color w:val="000000"/>
          <w:szCs w:val="22"/>
          <w:lang w:val="et-EE"/>
        </w:rPr>
      </w:pPr>
    </w:p>
    <w:p w14:paraId="72C8E646" w14:textId="77777777" w:rsidR="002E5EA0" w:rsidRPr="00EC3BD7" w:rsidRDefault="002E5EA0" w:rsidP="002E5EA0">
      <w:pPr>
        <w:widowControl w:val="0"/>
        <w:tabs>
          <w:tab w:val="clear" w:pos="567"/>
        </w:tabs>
        <w:spacing w:line="240" w:lineRule="auto"/>
        <w:ind w:right="-2"/>
        <w:rPr>
          <w:color w:val="000000"/>
          <w:szCs w:val="22"/>
          <w:lang w:val="et-EE"/>
        </w:rPr>
      </w:pPr>
      <w:r w:rsidRPr="00EC3BD7">
        <w:rPr>
          <w:color w:val="000000"/>
          <w:szCs w:val="22"/>
          <w:lang w:val="et-EE"/>
        </w:rPr>
        <w:t>Kui te arvate, et võite olla ülitundlik, kuid ei ole selles kindel, pidage nõu arstiga.</w:t>
      </w:r>
    </w:p>
    <w:p w14:paraId="20370770" w14:textId="77777777" w:rsidR="002E5EA0" w:rsidRPr="00EC3BD7" w:rsidRDefault="002E5EA0" w:rsidP="002E5EA0">
      <w:pPr>
        <w:widowControl w:val="0"/>
        <w:numPr>
          <w:ilvl w:val="12"/>
          <w:numId w:val="0"/>
        </w:numPr>
        <w:tabs>
          <w:tab w:val="clear" w:pos="567"/>
        </w:tabs>
        <w:spacing w:line="240" w:lineRule="auto"/>
        <w:ind w:right="-2"/>
        <w:rPr>
          <w:color w:val="000000"/>
          <w:szCs w:val="22"/>
          <w:lang w:val="et-EE"/>
        </w:rPr>
      </w:pPr>
    </w:p>
    <w:p w14:paraId="7A251ED6" w14:textId="77777777" w:rsidR="002E5EA0" w:rsidRPr="00EC3BD7" w:rsidRDefault="002E5EA0" w:rsidP="00B9089D">
      <w:pPr>
        <w:keepNext/>
        <w:numPr>
          <w:ilvl w:val="12"/>
          <w:numId w:val="0"/>
        </w:numPr>
        <w:tabs>
          <w:tab w:val="clear" w:pos="567"/>
        </w:tabs>
        <w:spacing w:line="240" w:lineRule="auto"/>
        <w:ind w:right="-2"/>
        <w:rPr>
          <w:b/>
          <w:color w:val="000000"/>
          <w:szCs w:val="22"/>
          <w:lang w:val="et-EE"/>
        </w:rPr>
      </w:pPr>
      <w:r w:rsidRPr="00EC3BD7">
        <w:rPr>
          <w:b/>
          <w:lang w:val="et-EE"/>
        </w:rPr>
        <w:t>Hoiatused ja ettevaatusabinõud</w:t>
      </w:r>
    </w:p>
    <w:p w14:paraId="7D1CFF0F" w14:textId="77777777" w:rsidR="002E5EA0" w:rsidRPr="00EC3BD7" w:rsidRDefault="002E5EA0" w:rsidP="00B9089D">
      <w:pPr>
        <w:keepNext/>
        <w:numPr>
          <w:ilvl w:val="12"/>
          <w:numId w:val="0"/>
        </w:numPr>
        <w:tabs>
          <w:tab w:val="clear" w:pos="567"/>
        </w:tabs>
        <w:spacing w:line="240" w:lineRule="auto"/>
        <w:ind w:right="-2"/>
        <w:rPr>
          <w:color w:val="000000"/>
          <w:szCs w:val="22"/>
          <w:lang w:val="et-EE"/>
        </w:rPr>
      </w:pPr>
      <w:r w:rsidRPr="00EC3BD7">
        <w:rPr>
          <w:color w:val="000000"/>
          <w:szCs w:val="22"/>
          <w:lang w:val="et-EE"/>
        </w:rPr>
        <w:t>Enne Gliveci võtmist pidage nõu oma arstiga.</w:t>
      </w:r>
    </w:p>
    <w:p w14:paraId="5C71E473" w14:textId="77777777" w:rsidR="002E5EA0" w:rsidRPr="00EC3BD7" w:rsidRDefault="002E5EA0" w:rsidP="00B9089D">
      <w:pPr>
        <w:keepNext/>
        <w:widowControl w:val="0"/>
        <w:numPr>
          <w:ilvl w:val="12"/>
          <w:numId w:val="0"/>
        </w:numPr>
        <w:tabs>
          <w:tab w:val="clear" w:pos="567"/>
        </w:tabs>
        <w:spacing w:line="240" w:lineRule="auto"/>
        <w:rPr>
          <w:color w:val="000000"/>
          <w:szCs w:val="22"/>
          <w:lang w:val="et-EE"/>
        </w:rPr>
      </w:pPr>
      <w:r w:rsidRPr="00EC3BD7">
        <w:rPr>
          <w:color w:val="000000"/>
          <w:szCs w:val="22"/>
          <w:lang w:val="et-EE"/>
        </w:rPr>
        <w:t>-</w:t>
      </w:r>
      <w:r w:rsidRPr="00EC3BD7">
        <w:rPr>
          <w:color w:val="000000"/>
          <w:szCs w:val="22"/>
          <w:lang w:val="et-EE"/>
        </w:rPr>
        <w:tab/>
        <w:t>kui teil on või on kunagi olnud probleeme maksa, neerude või südamega.</w:t>
      </w:r>
    </w:p>
    <w:p w14:paraId="1855EF50" w14:textId="77777777" w:rsidR="00FF76CA" w:rsidRPr="00EC3BD7" w:rsidRDefault="002E5EA0" w:rsidP="00B9089D">
      <w:pPr>
        <w:keepNext/>
        <w:widowControl w:val="0"/>
        <w:numPr>
          <w:ilvl w:val="12"/>
          <w:numId w:val="0"/>
        </w:numPr>
        <w:tabs>
          <w:tab w:val="clear" w:pos="567"/>
        </w:tabs>
        <w:spacing w:line="240" w:lineRule="auto"/>
        <w:rPr>
          <w:color w:val="000000"/>
          <w:szCs w:val="22"/>
          <w:lang w:val="et-EE"/>
        </w:rPr>
      </w:pPr>
      <w:r w:rsidRPr="00EC3BD7">
        <w:rPr>
          <w:color w:val="000000"/>
          <w:szCs w:val="22"/>
          <w:lang w:val="et-EE"/>
        </w:rPr>
        <w:t>-</w:t>
      </w:r>
      <w:r w:rsidRPr="00EC3BD7">
        <w:rPr>
          <w:color w:val="000000"/>
          <w:szCs w:val="22"/>
          <w:lang w:val="et-EE"/>
        </w:rPr>
        <w:tab/>
        <w:t>kui te võtate ravimit levotüroksiin, kuna teie kilpnääre on eemaldatud.</w:t>
      </w:r>
    </w:p>
    <w:p w14:paraId="33CA9A3E" w14:textId="77777777" w:rsidR="002E5EA0" w:rsidRPr="00EC3BD7" w:rsidRDefault="00FF76CA" w:rsidP="00C20D7B">
      <w:pPr>
        <w:keepNext/>
        <w:widowControl w:val="0"/>
        <w:numPr>
          <w:ilvl w:val="12"/>
          <w:numId w:val="0"/>
        </w:numPr>
        <w:tabs>
          <w:tab w:val="clear" w:pos="567"/>
        </w:tabs>
        <w:spacing w:line="240" w:lineRule="auto"/>
        <w:ind w:left="567" w:hanging="567"/>
        <w:rPr>
          <w:color w:val="000000"/>
          <w:szCs w:val="22"/>
          <w:lang w:val="et-EE"/>
        </w:rPr>
      </w:pPr>
      <w:r w:rsidRPr="00EC3BD7">
        <w:rPr>
          <w:color w:val="000000"/>
          <w:szCs w:val="22"/>
          <w:lang w:val="et-EE"/>
        </w:rPr>
        <w:t>-</w:t>
      </w:r>
      <w:r w:rsidRPr="00EC3BD7">
        <w:rPr>
          <w:color w:val="000000"/>
          <w:szCs w:val="22"/>
          <w:lang w:val="et-EE"/>
        </w:rPr>
        <w:tab/>
        <w:t>kui teil on kunagi olnud või võib praegu olla B-hepatiidi infektsioon. Glivec võib põhjustada B-hepatiidi taasaktiveerumist, mis võib mõnel juhul põhjustada surma. Enne ravi algust kontrollib arst patsiente hoolikalt selle infektsiooni nähtude suhtes.</w:t>
      </w:r>
    </w:p>
    <w:p w14:paraId="7E8C0F9E" w14:textId="77777777" w:rsidR="00DC342A" w:rsidRPr="00EC3BD7" w:rsidRDefault="00DC342A" w:rsidP="006B6C08">
      <w:pPr>
        <w:keepNext/>
        <w:widowControl w:val="0"/>
        <w:numPr>
          <w:ilvl w:val="12"/>
          <w:numId w:val="0"/>
        </w:numPr>
        <w:tabs>
          <w:tab w:val="clear" w:pos="567"/>
        </w:tabs>
        <w:spacing w:line="240" w:lineRule="auto"/>
        <w:ind w:left="567" w:hanging="567"/>
        <w:rPr>
          <w:color w:val="000000"/>
          <w:szCs w:val="22"/>
          <w:lang w:val="et-EE"/>
        </w:rPr>
      </w:pPr>
      <w:r w:rsidRPr="00EC3BD7">
        <w:rPr>
          <w:color w:val="000000"/>
          <w:szCs w:val="22"/>
          <w:lang w:val="et-EE"/>
        </w:rPr>
        <w:t>-</w:t>
      </w:r>
      <w:r w:rsidRPr="00EC3BD7">
        <w:rPr>
          <w:color w:val="000000"/>
          <w:szCs w:val="22"/>
          <w:lang w:val="et-EE"/>
        </w:rPr>
        <w:tab/>
        <w:t xml:space="preserve">kui teil tekivad Gliveci võtmise ajal verevalumid, </w:t>
      </w:r>
      <w:r w:rsidR="00A35476" w:rsidRPr="00EC3BD7">
        <w:rPr>
          <w:color w:val="000000"/>
          <w:szCs w:val="22"/>
          <w:lang w:val="et-EE"/>
        </w:rPr>
        <w:t>verejooksud</w:t>
      </w:r>
      <w:r w:rsidRPr="00EC3BD7">
        <w:rPr>
          <w:color w:val="000000"/>
          <w:szCs w:val="22"/>
          <w:lang w:val="et-EE"/>
        </w:rPr>
        <w:t>, palavik, väsimus ja segasus, võtke oma arstiga ühendust. See võib olla märk veresoonte kahjustusest, mida tuntakse nimega trombootiline mikroangiopaatia (TMA).</w:t>
      </w:r>
    </w:p>
    <w:p w14:paraId="5E400B18" w14:textId="77777777" w:rsidR="002E5EA0" w:rsidRPr="00EC3BD7" w:rsidRDefault="002E5EA0" w:rsidP="002E5EA0">
      <w:pPr>
        <w:pStyle w:val="Text"/>
        <w:widowControl w:val="0"/>
        <w:spacing w:before="0"/>
        <w:jc w:val="left"/>
        <w:rPr>
          <w:b/>
          <w:color w:val="000000"/>
          <w:sz w:val="22"/>
          <w:szCs w:val="22"/>
          <w:lang w:val="et-EE"/>
        </w:rPr>
      </w:pPr>
      <w:r w:rsidRPr="00EC3BD7">
        <w:rPr>
          <w:color w:val="000000"/>
          <w:sz w:val="22"/>
          <w:szCs w:val="22"/>
          <w:lang w:val="et-EE"/>
        </w:rPr>
        <w:t xml:space="preserve">Kui mõni neist kehtib teie kohta, </w:t>
      </w:r>
      <w:r w:rsidRPr="00EC3BD7">
        <w:rPr>
          <w:b/>
          <w:color w:val="000000"/>
          <w:sz w:val="22"/>
          <w:szCs w:val="22"/>
          <w:lang w:val="et-EE"/>
        </w:rPr>
        <w:t>informeerige sellest arsti enne Gliveci võtmist.</w:t>
      </w:r>
    </w:p>
    <w:p w14:paraId="59F68ABB" w14:textId="77777777" w:rsidR="00B27DF4" w:rsidRPr="00EC3BD7" w:rsidRDefault="00B27DF4" w:rsidP="002E5EA0">
      <w:pPr>
        <w:pStyle w:val="Text"/>
        <w:widowControl w:val="0"/>
        <w:spacing w:before="0"/>
        <w:jc w:val="left"/>
        <w:rPr>
          <w:color w:val="000000"/>
          <w:sz w:val="22"/>
          <w:szCs w:val="22"/>
          <w:lang w:val="et-EE"/>
        </w:rPr>
      </w:pPr>
    </w:p>
    <w:p w14:paraId="6235212A" w14:textId="77777777" w:rsidR="00B27DF4" w:rsidRPr="00EC3BD7" w:rsidRDefault="00B27DF4" w:rsidP="002E5EA0">
      <w:pPr>
        <w:pStyle w:val="Text"/>
        <w:widowControl w:val="0"/>
        <w:spacing w:before="0"/>
        <w:jc w:val="left"/>
        <w:rPr>
          <w:color w:val="000000"/>
          <w:sz w:val="22"/>
          <w:szCs w:val="22"/>
          <w:lang w:val="et-EE"/>
        </w:rPr>
      </w:pPr>
      <w:r w:rsidRPr="00EC3BD7">
        <w:rPr>
          <w:color w:val="000000"/>
          <w:sz w:val="22"/>
          <w:szCs w:val="22"/>
          <w:lang w:val="et-EE"/>
        </w:rPr>
        <w:t>Gliveci kasutamise ajal võite te olla tavapärasest tundlikum päikesekiirgusele. Oluline on, et te kasutaksite nahka katvat riietust ja kõrge päikesekaitsefaktori (SPF) sisaldusega päikesekreemi. Neid ettevaatusabinõusid tuleb rakendada ka lastel.</w:t>
      </w:r>
    </w:p>
    <w:p w14:paraId="2B46446A" w14:textId="77777777" w:rsidR="002E5EA0" w:rsidRPr="00EC3BD7" w:rsidRDefault="002E5EA0" w:rsidP="002E5EA0">
      <w:pPr>
        <w:pStyle w:val="Text"/>
        <w:widowControl w:val="0"/>
        <w:spacing w:before="0"/>
        <w:jc w:val="left"/>
        <w:rPr>
          <w:color w:val="000000"/>
          <w:sz w:val="22"/>
          <w:szCs w:val="22"/>
          <w:lang w:val="et-EE"/>
        </w:rPr>
      </w:pPr>
    </w:p>
    <w:p w14:paraId="41BB6F86" w14:textId="77777777" w:rsidR="002E5EA0" w:rsidRPr="00EC3BD7" w:rsidRDefault="002E5EA0" w:rsidP="002E5EA0">
      <w:pPr>
        <w:pStyle w:val="Text"/>
        <w:widowControl w:val="0"/>
        <w:spacing w:before="0"/>
        <w:jc w:val="left"/>
        <w:rPr>
          <w:color w:val="000000"/>
          <w:sz w:val="22"/>
          <w:szCs w:val="22"/>
          <w:lang w:val="et-EE"/>
        </w:rPr>
      </w:pPr>
      <w:r w:rsidRPr="00EC3BD7">
        <w:rPr>
          <w:b/>
          <w:color w:val="000000"/>
          <w:sz w:val="22"/>
          <w:szCs w:val="22"/>
          <w:lang w:val="et-EE"/>
        </w:rPr>
        <w:t>Informeerige oma arsti otsekohe, kui te ravi jooksul Gliveciga</w:t>
      </w:r>
      <w:r w:rsidRPr="00EC3BD7">
        <w:rPr>
          <w:color w:val="000000"/>
          <w:sz w:val="22"/>
          <w:szCs w:val="22"/>
          <w:lang w:val="et-EE"/>
        </w:rPr>
        <w:t xml:space="preserve"> kaalus väga kiiresti juurde võtate. Glivec võib põhjustada vee peetumist organismis (rasket vedelikupeetust).</w:t>
      </w:r>
    </w:p>
    <w:p w14:paraId="4EB2396D" w14:textId="77777777" w:rsidR="002E5EA0" w:rsidRPr="00EC3BD7" w:rsidRDefault="002E5EA0" w:rsidP="002E5EA0">
      <w:pPr>
        <w:pStyle w:val="Text"/>
        <w:widowControl w:val="0"/>
        <w:spacing w:before="0"/>
        <w:jc w:val="left"/>
        <w:rPr>
          <w:color w:val="000000"/>
          <w:sz w:val="22"/>
          <w:szCs w:val="22"/>
          <w:lang w:val="et-EE"/>
        </w:rPr>
      </w:pPr>
    </w:p>
    <w:p w14:paraId="2651EAF5" w14:textId="77777777" w:rsidR="002E5EA0" w:rsidRPr="00EC3BD7" w:rsidRDefault="002E5EA0" w:rsidP="002E5EA0">
      <w:pPr>
        <w:pStyle w:val="Text"/>
        <w:widowControl w:val="0"/>
        <w:spacing w:before="0"/>
        <w:jc w:val="left"/>
        <w:rPr>
          <w:color w:val="000000"/>
          <w:sz w:val="22"/>
          <w:szCs w:val="22"/>
          <w:lang w:val="et-EE"/>
        </w:rPr>
      </w:pPr>
      <w:r w:rsidRPr="00EC3BD7">
        <w:rPr>
          <w:color w:val="000000"/>
          <w:sz w:val="22"/>
          <w:szCs w:val="22"/>
          <w:lang w:val="et-EE"/>
        </w:rPr>
        <w:t>Sellel ajal, kui Glivecit võtate, kontrollib teie arst regulaarselt, kas ravim toimib. Gliveci kasutamise ajal tehakse regulaarselt vereanalüüse ja teie kehakaalu kontrollitakse korrapäraselt.</w:t>
      </w:r>
    </w:p>
    <w:p w14:paraId="2FAF831C" w14:textId="77777777" w:rsidR="002E5EA0" w:rsidRPr="00EC3BD7" w:rsidRDefault="002E5EA0" w:rsidP="002E5EA0">
      <w:pPr>
        <w:pStyle w:val="Text"/>
        <w:widowControl w:val="0"/>
        <w:spacing w:before="0"/>
        <w:jc w:val="left"/>
        <w:rPr>
          <w:color w:val="000000"/>
          <w:sz w:val="22"/>
          <w:szCs w:val="22"/>
          <w:lang w:val="et-EE"/>
        </w:rPr>
      </w:pPr>
    </w:p>
    <w:p w14:paraId="7B45954C" w14:textId="77777777" w:rsidR="002E5EA0" w:rsidRPr="00EC3BD7" w:rsidRDefault="002E5EA0" w:rsidP="00B9089D">
      <w:pPr>
        <w:pStyle w:val="Text"/>
        <w:keepNext/>
        <w:widowControl w:val="0"/>
        <w:spacing w:before="0"/>
        <w:jc w:val="left"/>
        <w:rPr>
          <w:color w:val="000000"/>
          <w:sz w:val="22"/>
          <w:szCs w:val="22"/>
          <w:lang w:val="et-EE"/>
        </w:rPr>
      </w:pPr>
      <w:r w:rsidRPr="00EC3BD7">
        <w:rPr>
          <w:b/>
          <w:sz w:val="22"/>
          <w:szCs w:val="22"/>
          <w:lang w:val="et-EE"/>
        </w:rPr>
        <w:t>Lapsed ja noorukid</w:t>
      </w:r>
    </w:p>
    <w:p w14:paraId="377D736E" w14:textId="453B6AB1" w:rsidR="002E5EA0" w:rsidRPr="00EC3BD7" w:rsidRDefault="002E5EA0" w:rsidP="002E5EA0">
      <w:pPr>
        <w:pStyle w:val="EndnoteText"/>
        <w:widowControl w:val="0"/>
        <w:numPr>
          <w:ilvl w:val="12"/>
          <w:numId w:val="0"/>
        </w:numPr>
        <w:tabs>
          <w:tab w:val="clear" w:pos="567"/>
        </w:tabs>
        <w:rPr>
          <w:color w:val="000000"/>
          <w:szCs w:val="22"/>
          <w:lang w:val="et-EE"/>
        </w:rPr>
      </w:pPr>
      <w:r w:rsidRPr="00EC3BD7">
        <w:rPr>
          <w:color w:val="000000"/>
          <w:szCs w:val="22"/>
          <w:lang w:val="et-EE"/>
        </w:rPr>
        <w:t>Glivecit kasutatakse ka kroonilise müeloidse leukeemiaga raviks lastel. Puudub kogemus Gliveci kasutamisest alla 2</w:t>
      </w:r>
      <w:r w:rsidR="00DD7407" w:rsidRPr="00EC3BD7">
        <w:rPr>
          <w:color w:val="000000"/>
          <w:szCs w:val="22"/>
          <w:lang w:val="et-EE"/>
        </w:rPr>
        <w:noBreakHyphen/>
      </w:r>
      <w:r w:rsidRPr="00EC3BD7">
        <w:rPr>
          <w:color w:val="000000"/>
          <w:szCs w:val="22"/>
          <w:lang w:val="et-EE"/>
        </w:rPr>
        <w:t xml:space="preserve">aastastel lastel. Kasutamise kogemused lastel Ph-positiivse </w:t>
      </w:r>
      <w:smartTag w:uri="urn:schemas-microsoft-com:office:smarttags" w:element="stockticker">
        <w:r w:rsidRPr="00EC3BD7">
          <w:rPr>
            <w:color w:val="000000"/>
            <w:szCs w:val="22"/>
            <w:lang w:val="et-EE"/>
          </w:rPr>
          <w:t>ALL</w:t>
        </w:r>
      </w:smartTag>
      <w:r w:rsidRPr="00EC3BD7">
        <w:rPr>
          <w:color w:val="000000"/>
          <w:szCs w:val="22"/>
          <w:lang w:val="et-EE"/>
        </w:rPr>
        <w:t xml:space="preserve"> korral on piiratud</w:t>
      </w:r>
      <w:r w:rsidR="00A00D47" w:rsidRPr="00EC3BD7">
        <w:rPr>
          <w:color w:val="000000"/>
          <w:szCs w:val="22"/>
          <w:lang w:val="et-EE"/>
        </w:rPr>
        <w:t xml:space="preserve"> ning MDS/MPD, PDFS</w:t>
      </w:r>
      <w:r w:rsidR="00DD0F07" w:rsidRPr="00593631">
        <w:rPr>
          <w:color w:val="000000"/>
          <w:szCs w:val="22"/>
          <w:lang w:val="et-EE"/>
        </w:rPr>
        <w:t>-i</w:t>
      </w:r>
      <w:r w:rsidR="00A00D47" w:rsidRPr="00EC3BD7">
        <w:rPr>
          <w:color w:val="000000"/>
          <w:szCs w:val="22"/>
          <w:lang w:val="et-EE"/>
        </w:rPr>
        <w:t>, GIST</w:t>
      </w:r>
      <w:r w:rsidR="00DD0F07" w:rsidRPr="00593631">
        <w:rPr>
          <w:color w:val="000000"/>
          <w:szCs w:val="22"/>
          <w:lang w:val="et-EE"/>
        </w:rPr>
        <w:t>-i</w:t>
      </w:r>
      <w:r w:rsidR="00A00D47" w:rsidRPr="00EC3BD7">
        <w:rPr>
          <w:color w:val="000000"/>
          <w:szCs w:val="22"/>
          <w:lang w:val="et-EE"/>
        </w:rPr>
        <w:t xml:space="preserve"> ja HES/KEL</w:t>
      </w:r>
      <w:r w:rsidR="00DD0F07" w:rsidRPr="00593631">
        <w:rPr>
          <w:color w:val="000000"/>
          <w:szCs w:val="22"/>
          <w:lang w:val="et-EE"/>
        </w:rPr>
        <w:t>-i</w:t>
      </w:r>
      <w:r w:rsidR="00A00D47" w:rsidRPr="00EC3BD7">
        <w:rPr>
          <w:color w:val="000000"/>
          <w:szCs w:val="22"/>
          <w:lang w:val="et-EE"/>
        </w:rPr>
        <w:t xml:space="preserve"> korral väga piiratud</w:t>
      </w:r>
      <w:r w:rsidRPr="00EC3BD7">
        <w:rPr>
          <w:color w:val="000000"/>
          <w:szCs w:val="22"/>
          <w:lang w:val="et-EE"/>
        </w:rPr>
        <w:t>.</w:t>
      </w:r>
    </w:p>
    <w:p w14:paraId="62C20F50" w14:textId="77777777" w:rsidR="002E5EA0" w:rsidRPr="00EC3BD7" w:rsidRDefault="002E5EA0" w:rsidP="002E5EA0">
      <w:pPr>
        <w:pStyle w:val="EndnoteText"/>
        <w:widowControl w:val="0"/>
        <w:numPr>
          <w:ilvl w:val="12"/>
          <w:numId w:val="0"/>
        </w:numPr>
        <w:tabs>
          <w:tab w:val="clear" w:pos="567"/>
        </w:tabs>
        <w:rPr>
          <w:color w:val="000000"/>
          <w:szCs w:val="22"/>
          <w:lang w:val="et-EE"/>
        </w:rPr>
      </w:pPr>
    </w:p>
    <w:p w14:paraId="49D24D6C" w14:textId="77777777" w:rsidR="002E5EA0" w:rsidRPr="00EC3BD7" w:rsidRDefault="002E5EA0" w:rsidP="002E5EA0">
      <w:pPr>
        <w:pStyle w:val="EndnoteText"/>
        <w:widowControl w:val="0"/>
        <w:numPr>
          <w:ilvl w:val="12"/>
          <w:numId w:val="0"/>
        </w:numPr>
        <w:tabs>
          <w:tab w:val="clear" w:pos="567"/>
        </w:tabs>
        <w:rPr>
          <w:color w:val="000000"/>
          <w:szCs w:val="22"/>
          <w:lang w:val="et-EE"/>
        </w:rPr>
      </w:pPr>
      <w:r w:rsidRPr="00EC3BD7">
        <w:rPr>
          <w:color w:val="000000"/>
          <w:szCs w:val="22"/>
          <w:lang w:val="et-EE"/>
        </w:rPr>
        <w:t>Mõnedel Glivecit võtvatel lastel ja noorukitel võib kasv olla normaalsest aeglasem. Arst jälgib kasvu korrapärastel visiitidel.</w:t>
      </w:r>
    </w:p>
    <w:p w14:paraId="23F10E83" w14:textId="77777777" w:rsidR="002E5EA0" w:rsidRPr="00EC3BD7" w:rsidRDefault="002E5EA0" w:rsidP="002E5EA0">
      <w:pPr>
        <w:pStyle w:val="Text"/>
        <w:widowControl w:val="0"/>
        <w:spacing w:before="0"/>
        <w:jc w:val="left"/>
        <w:rPr>
          <w:color w:val="000000"/>
          <w:sz w:val="22"/>
          <w:szCs w:val="22"/>
          <w:lang w:val="et-EE"/>
        </w:rPr>
      </w:pPr>
    </w:p>
    <w:p w14:paraId="71C68F1A" w14:textId="77777777" w:rsidR="002E5EA0" w:rsidRPr="00EC3BD7" w:rsidRDefault="002E5EA0" w:rsidP="00B9089D">
      <w:pPr>
        <w:pStyle w:val="EndnoteText"/>
        <w:keepNext/>
        <w:widowControl w:val="0"/>
        <w:numPr>
          <w:ilvl w:val="12"/>
          <w:numId w:val="0"/>
        </w:numPr>
        <w:tabs>
          <w:tab w:val="clear" w:pos="567"/>
        </w:tabs>
        <w:rPr>
          <w:b/>
          <w:color w:val="000000"/>
          <w:szCs w:val="22"/>
          <w:lang w:val="et-EE"/>
        </w:rPr>
      </w:pPr>
      <w:r w:rsidRPr="00EC3BD7">
        <w:rPr>
          <w:b/>
          <w:color w:val="000000"/>
          <w:szCs w:val="22"/>
          <w:lang w:val="et-EE"/>
        </w:rPr>
        <w:t>Muud ravimid ja Glivec</w:t>
      </w:r>
    </w:p>
    <w:p w14:paraId="696CDEA4" w14:textId="77777777" w:rsidR="002E5EA0" w:rsidRPr="00EC3BD7" w:rsidRDefault="002E5EA0" w:rsidP="002E5EA0">
      <w:pPr>
        <w:pStyle w:val="EndnoteText"/>
        <w:widowControl w:val="0"/>
        <w:numPr>
          <w:ilvl w:val="12"/>
          <w:numId w:val="0"/>
        </w:numPr>
        <w:tabs>
          <w:tab w:val="clear" w:pos="567"/>
        </w:tabs>
        <w:rPr>
          <w:color w:val="000000"/>
          <w:szCs w:val="22"/>
          <w:lang w:val="et-EE"/>
        </w:rPr>
      </w:pPr>
      <w:r w:rsidRPr="00EC3BD7">
        <w:rPr>
          <w:color w:val="000000"/>
          <w:szCs w:val="22"/>
          <w:lang w:val="et-EE"/>
        </w:rPr>
        <w:t>Teatage oma arstile või apteekrile, kui te kasutate või olete hiljuti kasutanud või kavatsete kasutada mis tahes muid ravimeid, kaasa arvatud ilma retseptita ostetud ravimeid (nagu paratsetamool), sealhulgas ravimtaimi (nagu naistepuna). Mõned ravimid võivad samaaegsel kasutamisel mõjutada Gliveci efektiivsust. Nende samaaegsel kasutamisel võib Gliveci toime kas nõrgeneda või tugevneda, samuti suurendada kõrvaltoimete esinemissagedust või muuta Gliveci kasutamine vähem efektiivseks. Samuti võib Glivec mõjutada teiste ravimite toimet.</w:t>
      </w:r>
    </w:p>
    <w:p w14:paraId="10A61FB5" w14:textId="77777777" w:rsidR="002F25A4" w:rsidRPr="00EC3BD7" w:rsidRDefault="002F25A4" w:rsidP="002F25A4">
      <w:pPr>
        <w:pStyle w:val="EndnoteText"/>
        <w:widowControl w:val="0"/>
        <w:numPr>
          <w:ilvl w:val="12"/>
          <w:numId w:val="0"/>
        </w:numPr>
        <w:tabs>
          <w:tab w:val="clear" w:pos="567"/>
        </w:tabs>
        <w:rPr>
          <w:color w:val="000000"/>
          <w:szCs w:val="22"/>
          <w:lang w:val="et-EE"/>
        </w:rPr>
      </w:pPr>
    </w:p>
    <w:p w14:paraId="501B2C55" w14:textId="77777777" w:rsidR="002F25A4" w:rsidRPr="00EC3BD7" w:rsidRDefault="002F25A4" w:rsidP="002F25A4">
      <w:pPr>
        <w:pStyle w:val="EndnoteText"/>
        <w:widowControl w:val="0"/>
        <w:numPr>
          <w:ilvl w:val="12"/>
          <w:numId w:val="0"/>
        </w:numPr>
        <w:tabs>
          <w:tab w:val="clear" w:pos="567"/>
        </w:tabs>
        <w:rPr>
          <w:color w:val="000000"/>
          <w:szCs w:val="22"/>
          <w:lang w:val="et-EE"/>
        </w:rPr>
      </w:pPr>
      <w:r w:rsidRPr="00EC3BD7">
        <w:rPr>
          <w:color w:val="000000"/>
          <w:szCs w:val="22"/>
          <w:lang w:val="et-EE"/>
        </w:rPr>
        <w:t>Rääkige oma arstile, kui te kasutate trombide ennetuseks mõeldud ravimeid.</w:t>
      </w:r>
    </w:p>
    <w:p w14:paraId="3D80A0F4" w14:textId="77777777" w:rsidR="002E5EA0" w:rsidRPr="00EC3BD7" w:rsidRDefault="002E5EA0" w:rsidP="002E5EA0">
      <w:pPr>
        <w:pStyle w:val="EndnoteText"/>
        <w:widowControl w:val="0"/>
        <w:numPr>
          <w:ilvl w:val="12"/>
          <w:numId w:val="0"/>
        </w:numPr>
        <w:tabs>
          <w:tab w:val="clear" w:pos="567"/>
        </w:tabs>
        <w:rPr>
          <w:color w:val="000000"/>
          <w:szCs w:val="22"/>
          <w:lang w:val="et-EE"/>
        </w:rPr>
      </w:pPr>
    </w:p>
    <w:p w14:paraId="0AAB95F2" w14:textId="77777777" w:rsidR="002E5EA0" w:rsidRPr="00EC3BD7" w:rsidRDefault="002E5EA0" w:rsidP="00B9089D">
      <w:pPr>
        <w:pStyle w:val="EndnoteText"/>
        <w:keepNext/>
        <w:widowControl w:val="0"/>
        <w:numPr>
          <w:ilvl w:val="12"/>
          <w:numId w:val="0"/>
        </w:numPr>
        <w:tabs>
          <w:tab w:val="clear" w:pos="567"/>
        </w:tabs>
        <w:rPr>
          <w:b/>
          <w:color w:val="000000"/>
          <w:szCs w:val="22"/>
          <w:lang w:val="et-EE"/>
        </w:rPr>
      </w:pPr>
      <w:r w:rsidRPr="00EC3BD7">
        <w:rPr>
          <w:b/>
          <w:color w:val="000000"/>
          <w:szCs w:val="22"/>
          <w:lang w:val="et-EE"/>
        </w:rPr>
        <w:t>Rasedus, imetamine ja viljakus</w:t>
      </w:r>
    </w:p>
    <w:p w14:paraId="73A42E91" w14:textId="77777777" w:rsidR="002E5EA0" w:rsidRPr="00EC3BD7" w:rsidRDefault="002E5EA0" w:rsidP="002E5EA0">
      <w:pPr>
        <w:pStyle w:val="EndnoteText"/>
        <w:widowControl w:val="0"/>
        <w:numPr>
          <w:ilvl w:val="0"/>
          <w:numId w:val="16"/>
        </w:numPr>
        <w:tabs>
          <w:tab w:val="clear" w:pos="927"/>
          <w:tab w:val="num" w:pos="567"/>
        </w:tabs>
        <w:ind w:left="567" w:hanging="567"/>
        <w:rPr>
          <w:color w:val="000000"/>
          <w:szCs w:val="22"/>
          <w:lang w:val="et-EE"/>
        </w:rPr>
      </w:pPr>
      <w:r w:rsidRPr="00EC3BD7">
        <w:rPr>
          <w:lang w:val="et-EE"/>
        </w:rPr>
        <w:t xml:space="preserve">Kui te olete rase, imetate või arvate end olevat rase või kavatsete rasestuda, pidage enne selle ravimi kasutamist nõu oma </w:t>
      </w:r>
      <w:r w:rsidR="002441D5" w:rsidRPr="00EC3BD7">
        <w:rPr>
          <w:lang w:val="et-EE"/>
        </w:rPr>
        <w:t>arstiga.</w:t>
      </w:r>
    </w:p>
    <w:p w14:paraId="7C9B5FB7" w14:textId="77777777" w:rsidR="002E5EA0" w:rsidRPr="00EC3BD7" w:rsidRDefault="002E5EA0" w:rsidP="002E5EA0">
      <w:pPr>
        <w:pStyle w:val="EndnoteText"/>
        <w:widowControl w:val="0"/>
        <w:numPr>
          <w:ilvl w:val="0"/>
          <w:numId w:val="16"/>
        </w:numPr>
        <w:tabs>
          <w:tab w:val="clear" w:pos="927"/>
          <w:tab w:val="num" w:pos="567"/>
        </w:tabs>
        <w:ind w:left="567" w:hanging="567"/>
        <w:rPr>
          <w:color w:val="000000"/>
          <w:szCs w:val="22"/>
          <w:lang w:val="et-EE"/>
        </w:rPr>
      </w:pPr>
      <w:r w:rsidRPr="00EC3BD7">
        <w:rPr>
          <w:color w:val="000000"/>
          <w:szCs w:val="22"/>
          <w:lang w:val="et-EE"/>
        </w:rPr>
        <w:t>Glivec ei ole raseduse ajal soovitatav välja arvatud juhul, kui see on hädavajalik, kuna see võib kahjustada teie last. Arst räägib teile Gliveci kasutamisega seotud võimalikest riskidest raseduse ajal.</w:t>
      </w:r>
    </w:p>
    <w:p w14:paraId="6FB3F72C" w14:textId="77777777" w:rsidR="002E5EA0" w:rsidRPr="00EC3BD7" w:rsidRDefault="002E5EA0" w:rsidP="002E5EA0">
      <w:pPr>
        <w:pStyle w:val="EndnoteText"/>
        <w:widowControl w:val="0"/>
        <w:numPr>
          <w:ilvl w:val="0"/>
          <w:numId w:val="16"/>
        </w:numPr>
        <w:tabs>
          <w:tab w:val="clear" w:pos="927"/>
          <w:tab w:val="num" w:pos="567"/>
        </w:tabs>
        <w:ind w:left="567" w:hanging="567"/>
        <w:rPr>
          <w:color w:val="000000"/>
          <w:szCs w:val="22"/>
          <w:lang w:val="et-EE"/>
        </w:rPr>
      </w:pPr>
      <w:r w:rsidRPr="00EC3BD7">
        <w:rPr>
          <w:color w:val="000000"/>
          <w:szCs w:val="22"/>
          <w:lang w:val="et-EE"/>
        </w:rPr>
        <w:t xml:space="preserve">Viljakas eas naised peavad ravi ajal </w:t>
      </w:r>
      <w:r w:rsidR="00550B98" w:rsidRPr="00EC3BD7">
        <w:rPr>
          <w:color w:val="000000"/>
          <w:szCs w:val="22"/>
          <w:lang w:val="et-EE"/>
        </w:rPr>
        <w:t xml:space="preserve">ja kuni 15 päeva pärast ravi lõpetamist </w:t>
      </w:r>
      <w:r w:rsidRPr="00EC3BD7">
        <w:rPr>
          <w:color w:val="000000"/>
          <w:szCs w:val="22"/>
          <w:lang w:val="et-EE"/>
        </w:rPr>
        <w:t>kasutama tõhusaid rasestumisvastaseid vahendeid.</w:t>
      </w:r>
    </w:p>
    <w:p w14:paraId="661E5163" w14:textId="77777777" w:rsidR="002E5EA0" w:rsidRPr="00EC3BD7" w:rsidRDefault="002E5EA0" w:rsidP="002E5EA0">
      <w:pPr>
        <w:widowControl w:val="0"/>
        <w:numPr>
          <w:ilvl w:val="0"/>
          <w:numId w:val="16"/>
        </w:numPr>
        <w:tabs>
          <w:tab w:val="clear" w:pos="927"/>
          <w:tab w:val="num" w:pos="567"/>
        </w:tabs>
        <w:spacing w:line="240" w:lineRule="auto"/>
        <w:ind w:left="567" w:hanging="567"/>
        <w:rPr>
          <w:bCs/>
          <w:color w:val="000000"/>
          <w:szCs w:val="22"/>
          <w:lang w:val="et-EE"/>
        </w:rPr>
      </w:pPr>
      <w:r w:rsidRPr="00EC3BD7">
        <w:rPr>
          <w:color w:val="000000"/>
          <w:szCs w:val="22"/>
          <w:lang w:val="et-EE"/>
        </w:rPr>
        <w:t xml:space="preserve">Gliveci ravi ajal </w:t>
      </w:r>
      <w:r w:rsidR="00550B98" w:rsidRPr="00EC3BD7">
        <w:rPr>
          <w:color w:val="000000"/>
          <w:szCs w:val="22"/>
          <w:lang w:val="et-EE"/>
        </w:rPr>
        <w:t xml:space="preserve">ja kuni 15 päeva pärast ravi lõpetamist </w:t>
      </w:r>
      <w:r w:rsidRPr="00EC3BD7">
        <w:rPr>
          <w:bCs/>
          <w:color w:val="000000"/>
          <w:szCs w:val="22"/>
          <w:lang w:val="et-EE"/>
        </w:rPr>
        <w:t>ei tohi last rinnaga toita</w:t>
      </w:r>
      <w:r w:rsidR="00550B98" w:rsidRPr="00EC3BD7">
        <w:rPr>
          <w:bCs/>
          <w:color w:val="000000"/>
          <w:szCs w:val="22"/>
          <w:lang w:val="et-EE"/>
        </w:rPr>
        <w:t>, kuna see võib kahjustada teie last</w:t>
      </w:r>
      <w:r w:rsidRPr="00EC3BD7">
        <w:rPr>
          <w:bCs/>
          <w:color w:val="000000"/>
          <w:szCs w:val="22"/>
          <w:lang w:val="et-EE"/>
        </w:rPr>
        <w:t>.</w:t>
      </w:r>
    </w:p>
    <w:p w14:paraId="34252D4A" w14:textId="77777777" w:rsidR="002E5EA0" w:rsidRPr="00EC3BD7" w:rsidRDefault="002E5EA0" w:rsidP="002E5EA0">
      <w:pPr>
        <w:widowControl w:val="0"/>
        <w:numPr>
          <w:ilvl w:val="0"/>
          <w:numId w:val="16"/>
        </w:numPr>
        <w:tabs>
          <w:tab w:val="clear" w:pos="927"/>
          <w:tab w:val="num" w:pos="567"/>
        </w:tabs>
        <w:spacing w:line="240" w:lineRule="auto"/>
        <w:ind w:left="567" w:hanging="567"/>
        <w:rPr>
          <w:bCs/>
          <w:color w:val="000000"/>
          <w:szCs w:val="22"/>
          <w:lang w:val="et-EE"/>
        </w:rPr>
      </w:pPr>
      <w:r w:rsidRPr="00EC3BD7">
        <w:rPr>
          <w:bCs/>
          <w:color w:val="000000"/>
          <w:szCs w:val="22"/>
          <w:lang w:val="et-EE"/>
        </w:rPr>
        <w:t xml:space="preserve">Patsientidel, kes on mures oma viljakuse pärast </w:t>
      </w:r>
      <w:r w:rsidRPr="00EC3BD7">
        <w:rPr>
          <w:color w:val="000000"/>
          <w:szCs w:val="22"/>
          <w:lang w:val="et-EE"/>
        </w:rPr>
        <w:t>Gliveci võtmise ajal, on soovitatav pidada nõu oma arstiga.</w:t>
      </w:r>
    </w:p>
    <w:p w14:paraId="1147400F" w14:textId="77777777" w:rsidR="002E5EA0" w:rsidRPr="00EC3BD7" w:rsidRDefault="002E5EA0" w:rsidP="002E5EA0">
      <w:pPr>
        <w:widowControl w:val="0"/>
        <w:numPr>
          <w:ilvl w:val="12"/>
          <w:numId w:val="0"/>
        </w:numPr>
        <w:tabs>
          <w:tab w:val="clear" w:pos="567"/>
        </w:tabs>
        <w:spacing w:line="240" w:lineRule="auto"/>
        <w:rPr>
          <w:bCs/>
          <w:color w:val="000000"/>
          <w:szCs w:val="22"/>
          <w:lang w:val="et-EE"/>
        </w:rPr>
      </w:pPr>
    </w:p>
    <w:p w14:paraId="7571408F" w14:textId="77777777" w:rsidR="002E5EA0" w:rsidRPr="00EC3BD7" w:rsidRDefault="002E5EA0" w:rsidP="00B9089D">
      <w:pPr>
        <w:keepNext/>
        <w:widowControl w:val="0"/>
        <w:numPr>
          <w:ilvl w:val="12"/>
          <w:numId w:val="0"/>
        </w:numPr>
        <w:tabs>
          <w:tab w:val="clear" w:pos="567"/>
        </w:tabs>
        <w:spacing w:line="240" w:lineRule="auto"/>
        <w:ind w:right="-2"/>
        <w:rPr>
          <w:color w:val="000000"/>
          <w:szCs w:val="22"/>
          <w:lang w:val="et-EE"/>
        </w:rPr>
      </w:pPr>
      <w:r w:rsidRPr="00EC3BD7">
        <w:rPr>
          <w:b/>
          <w:color w:val="000000"/>
          <w:szCs w:val="22"/>
          <w:lang w:val="et-EE"/>
        </w:rPr>
        <w:t>Autojuhtimine ja masinatega töötamine</w:t>
      </w:r>
    </w:p>
    <w:p w14:paraId="14C6A83C" w14:textId="77777777" w:rsidR="002E5EA0" w:rsidRPr="00EC3BD7" w:rsidRDefault="002E5EA0" w:rsidP="002E5EA0">
      <w:pPr>
        <w:widowControl w:val="0"/>
        <w:numPr>
          <w:ilvl w:val="12"/>
          <w:numId w:val="0"/>
        </w:numPr>
        <w:tabs>
          <w:tab w:val="clear" w:pos="567"/>
        </w:tabs>
        <w:spacing w:line="240" w:lineRule="auto"/>
        <w:ind w:right="-29"/>
        <w:rPr>
          <w:color w:val="000000"/>
          <w:szCs w:val="22"/>
          <w:lang w:val="et-EE"/>
        </w:rPr>
      </w:pPr>
      <w:r w:rsidRPr="00EC3BD7">
        <w:rPr>
          <w:color w:val="000000"/>
          <w:szCs w:val="22"/>
          <w:lang w:val="et-EE"/>
        </w:rPr>
        <w:t>Te võite end ravimi kasutamise ajal tunda uimasena või unisena või teie nägemine võib hägustuda, ärge juhtige autot ja ärge töötage masinatega kuni nende nähtude möödumiseni.</w:t>
      </w:r>
    </w:p>
    <w:p w14:paraId="2430CA0F" w14:textId="77777777" w:rsidR="002E5EA0" w:rsidRPr="00EC3BD7" w:rsidRDefault="002E5EA0" w:rsidP="002E5EA0">
      <w:pPr>
        <w:widowControl w:val="0"/>
        <w:numPr>
          <w:ilvl w:val="12"/>
          <w:numId w:val="0"/>
        </w:numPr>
        <w:tabs>
          <w:tab w:val="clear" w:pos="567"/>
        </w:tabs>
        <w:spacing w:line="240" w:lineRule="auto"/>
        <w:ind w:right="-29"/>
        <w:rPr>
          <w:color w:val="000000"/>
          <w:szCs w:val="22"/>
          <w:lang w:val="et-EE"/>
        </w:rPr>
      </w:pPr>
    </w:p>
    <w:p w14:paraId="7EC46721" w14:textId="77777777" w:rsidR="002E5EA0" w:rsidRPr="00EC3BD7" w:rsidRDefault="002E5EA0" w:rsidP="002E5EA0">
      <w:pPr>
        <w:pStyle w:val="EndnoteText"/>
        <w:widowControl w:val="0"/>
        <w:numPr>
          <w:ilvl w:val="12"/>
          <w:numId w:val="0"/>
        </w:numPr>
        <w:tabs>
          <w:tab w:val="clear" w:pos="567"/>
        </w:tabs>
        <w:rPr>
          <w:color w:val="000000"/>
          <w:szCs w:val="22"/>
          <w:lang w:val="et-EE"/>
        </w:rPr>
      </w:pPr>
    </w:p>
    <w:p w14:paraId="4FB55A58" w14:textId="77777777" w:rsidR="00DA3205" w:rsidRPr="00EC3BD7" w:rsidRDefault="00DA3205" w:rsidP="00B9089D">
      <w:pPr>
        <w:keepNext/>
        <w:widowControl w:val="0"/>
        <w:numPr>
          <w:ilvl w:val="12"/>
          <w:numId w:val="0"/>
        </w:numPr>
        <w:tabs>
          <w:tab w:val="clear" w:pos="567"/>
        </w:tabs>
        <w:spacing w:line="240" w:lineRule="auto"/>
        <w:ind w:left="567" w:right="-2" w:hanging="567"/>
        <w:rPr>
          <w:b/>
          <w:color w:val="000000"/>
          <w:szCs w:val="22"/>
          <w:lang w:val="et-EE"/>
        </w:rPr>
      </w:pPr>
      <w:r w:rsidRPr="00EC3BD7">
        <w:rPr>
          <w:b/>
          <w:color w:val="000000"/>
          <w:szCs w:val="22"/>
          <w:lang w:val="et-EE"/>
        </w:rPr>
        <w:t>3.</w:t>
      </w:r>
      <w:r w:rsidRPr="00EC3BD7">
        <w:rPr>
          <w:b/>
          <w:color w:val="000000"/>
          <w:szCs w:val="22"/>
          <w:lang w:val="et-EE"/>
        </w:rPr>
        <w:tab/>
      </w:r>
      <w:r w:rsidR="009D4CE7" w:rsidRPr="00EC3BD7">
        <w:rPr>
          <w:b/>
          <w:lang w:val="et-EE"/>
        </w:rPr>
        <w:t xml:space="preserve">Kuidas </w:t>
      </w:r>
      <w:r w:rsidR="009D4CE7" w:rsidRPr="00EC3BD7">
        <w:rPr>
          <w:b/>
          <w:color w:val="000000"/>
          <w:szCs w:val="22"/>
          <w:lang w:val="et-EE"/>
        </w:rPr>
        <w:t>Glivecit</w:t>
      </w:r>
      <w:r w:rsidR="009D4CE7" w:rsidRPr="00EC3BD7">
        <w:rPr>
          <w:b/>
          <w:lang w:val="et-EE"/>
        </w:rPr>
        <w:t xml:space="preserve"> kasutada</w:t>
      </w:r>
    </w:p>
    <w:p w14:paraId="7B57B775" w14:textId="77777777" w:rsidR="00DA3205" w:rsidRPr="00EC3BD7" w:rsidRDefault="00DA3205" w:rsidP="00B9089D">
      <w:pPr>
        <w:keepNext/>
        <w:widowControl w:val="0"/>
        <w:numPr>
          <w:ilvl w:val="12"/>
          <w:numId w:val="0"/>
        </w:numPr>
        <w:tabs>
          <w:tab w:val="clear" w:pos="567"/>
        </w:tabs>
        <w:spacing w:line="240" w:lineRule="auto"/>
        <w:ind w:left="567" w:right="-2" w:hanging="567"/>
        <w:rPr>
          <w:color w:val="000000"/>
          <w:szCs w:val="22"/>
          <w:lang w:val="et-EE"/>
        </w:rPr>
      </w:pPr>
    </w:p>
    <w:p w14:paraId="6F260D5F" w14:textId="77777777" w:rsidR="00DA3205" w:rsidRPr="00EC3BD7" w:rsidRDefault="00DA3205" w:rsidP="00DA3205">
      <w:pPr>
        <w:pStyle w:val="Text"/>
        <w:widowControl w:val="0"/>
        <w:spacing w:before="0"/>
        <w:jc w:val="left"/>
        <w:rPr>
          <w:rFonts w:cs="Helv"/>
          <w:color w:val="000000"/>
          <w:sz w:val="22"/>
          <w:szCs w:val="22"/>
          <w:lang w:val="et-EE" w:bidi="th-TH"/>
        </w:rPr>
      </w:pPr>
      <w:r w:rsidRPr="00EC3BD7">
        <w:rPr>
          <w:rFonts w:cs="Helv"/>
          <w:color w:val="000000"/>
          <w:sz w:val="22"/>
          <w:szCs w:val="22"/>
          <w:lang w:val="et-EE" w:bidi="th-TH"/>
        </w:rPr>
        <w:t>Arst on teile määranud Gliveci, kuna teil on tõsine haigus. Glivec võib aidata teil selle haigusega võidelda.</w:t>
      </w:r>
    </w:p>
    <w:p w14:paraId="21DBD7BF" w14:textId="77777777" w:rsidR="00DA3205" w:rsidRPr="00EC3BD7" w:rsidRDefault="00DA3205" w:rsidP="00DA3205">
      <w:pPr>
        <w:pStyle w:val="Text"/>
        <w:widowControl w:val="0"/>
        <w:spacing w:before="0"/>
        <w:jc w:val="left"/>
        <w:rPr>
          <w:rFonts w:cs="Helv"/>
          <w:color w:val="000000"/>
          <w:sz w:val="22"/>
          <w:szCs w:val="22"/>
          <w:lang w:val="et-EE" w:bidi="th-TH"/>
        </w:rPr>
      </w:pPr>
    </w:p>
    <w:p w14:paraId="09F072F6" w14:textId="77777777" w:rsidR="00DA3205" w:rsidRPr="00EC3BD7" w:rsidRDefault="00DA3205" w:rsidP="00DA3205">
      <w:pPr>
        <w:pStyle w:val="Default"/>
        <w:rPr>
          <w:sz w:val="22"/>
          <w:szCs w:val="22"/>
          <w:lang w:val="et-EE"/>
        </w:rPr>
      </w:pPr>
      <w:r w:rsidRPr="00EC3BD7">
        <w:rPr>
          <w:rFonts w:cs="Helv"/>
          <w:sz w:val="22"/>
          <w:szCs w:val="22"/>
          <w:lang w:val="et-EE" w:bidi="th-TH"/>
        </w:rPr>
        <w:t xml:space="preserve">Võtke </w:t>
      </w:r>
      <w:r w:rsidR="009D4CE7" w:rsidRPr="00EC3BD7">
        <w:rPr>
          <w:rFonts w:cs="Helv"/>
          <w:sz w:val="22"/>
          <w:szCs w:val="22"/>
          <w:lang w:val="et-EE" w:bidi="th-TH"/>
        </w:rPr>
        <w:t>seda ravimit</w:t>
      </w:r>
      <w:r w:rsidRPr="00EC3BD7">
        <w:rPr>
          <w:rFonts w:cs="Helv"/>
          <w:sz w:val="22"/>
          <w:szCs w:val="22"/>
          <w:lang w:val="et-EE" w:bidi="th-TH"/>
        </w:rPr>
        <w:t xml:space="preserve"> alati täpselt nii, nagu arst </w:t>
      </w:r>
      <w:r w:rsidR="009D4CE7" w:rsidRPr="00EC3BD7">
        <w:rPr>
          <w:rFonts w:cs="Helv"/>
          <w:sz w:val="22"/>
          <w:szCs w:val="22"/>
          <w:lang w:val="et-EE" w:bidi="th-TH"/>
        </w:rPr>
        <w:t xml:space="preserve">või apteeker </w:t>
      </w:r>
      <w:r w:rsidRPr="00EC3BD7">
        <w:rPr>
          <w:rFonts w:cs="Helv"/>
          <w:sz w:val="22"/>
          <w:szCs w:val="22"/>
          <w:lang w:val="et-EE" w:bidi="th-TH"/>
        </w:rPr>
        <w:t xml:space="preserve">on teile </w:t>
      </w:r>
      <w:r w:rsidR="009D4CE7" w:rsidRPr="00EC3BD7">
        <w:rPr>
          <w:rFonts w:cs="Helv"/>
          <w:sz w:val="22"/>
          <w:szCs w:val="22"/>
          <w:lang w:val="et-EE" w:bidi="th-TH"/>
        </w:rPr>
        <w:t>selgitanud</w:t>
      </w:r>
      <w:r w:rsidRPr="00EC3BD7">
        <w:rPr>
          <w:rFonts w:cs="Helv"/>
          <w:sz w:val="22"/>
          <w:szCs w:val="22"/>
          <w:lang w:val="et-EE" w:bidi="th-TH"/>
        </w:rPr>
        <w:t xml:space="preserve">. On oluline, et teete seda nii kaua kui arst </w:t>
      </w:r>
      <w:r w:rsidR="009D4CE7" w:rsidRPr="00EC3BD7">
        <w:rPr>
          <w:rFonts w:cs="Helv"/>
          <w:sz w:val="22"/>
          <w:szCs w:val="22"/>
          <w:lang w:val="et-EE" w:bidi="th-TH"/>
        </w:rPr>
        <w:t xml:space="preserve">või apteeker </w:t>
      </w:r>
      <w:r w:rsidRPr="00EC3BD7">
        <w:rPr>
          <w:rFonts w:cs="Helv"/>
          <w:sz w:val="22"/>
          <w:szCs w:val="22"/>
          <w:lang w:val="et-EE" w:bidi="th-TH"/>
        </w:rPr>
        <w:t xml:space="preserve">on teile öelnud. </w:t>
      </w:r>
      <w:r w:rsidRPr="00EC3BD7">
        <w:rPr>
          <w:sz w:val="22"/>
          <w:szCs w:val="22"/>
          <w:lang w:val="et-EE"/>
        </w:rPr>
        <w:t>Kui te ei ole milleski kindel, pidage nõu oma arsti või apteekriga.</w:t>
      </w:r>
    </w:p>
    <w:p w14:paraId="68770029" w14:textId="77777777" w:rsidR="00DA3205" w:rsidRPr="00EC3BD7" w:rsidRDefault="00DA3205" w:rsidP="00DA3205">
      <w:pPr>
        <w:pStyle w:val="Text"/>
        <w:widowControl w:val="0"/>
        <w:tabs>
          <w:tab w:val="left" w:pos="7548"/>
        </w:tabs>
        <w:spacing w:before="0"/>
        <w:jc w:val="left"/>
        <w:rPr>
          <w:rFonts w:cs="Helv"/>
          <w:color w:val="000000"/>
          <w:sz w:val="22"/>
          <w:szCs w:val="22"/>
          <w:lang w:val="et-EE" w:bidi="th-TH"/>
        </w:rPr>
      </w:pPr>
    </w:p>
    <w:p w14:paraId="384E18F6" w14:textId="77777777" w:rsidR="00DA3205" w:rsidRPr="00EC3BD7" w:rsidRDefault="00DA3205" w:rsidP="00DA3205">
      <w:pPr>
        <w:pStyle w:val="Text"/>
        <w:widowControl w:val="0"/>
        <w:spacing w:before="0"/>
        <w:jc w:val="left"/>
        <w:rPr>
          <w:rFonts w:cs="Helv"/>
          <w:color w:val="000000"/>
          <w:sz w:val="22"/>
          <w:szCs w:val="22"/>
          <w:lang w:val="et-EE" w:bidi="th-TH"/>
        </w:rPr>
      </w:pPr>
      <w:r w:rsidRPr="00EC3BD7">
        <w:rPr>
          <w:rFonts w:cs="Helv"/>
          <w:color w:val="000000"/>
          <w:sz w:val="22"/>
          <w:szCs w:val="22"/>
          <w:lang w:val="et-EE" w:bidi="th-TH"/>
        </w:rPr>
        <w:t>Ärge lõpetage Gliveci võtmist enne, kui arst seda soovitab. Kui te ei suuda ravimit võtta nii, nagu arst määras, või kui te tunnete, et seda enam ei vaja, võtke otsekohe ühendust oma arstiga.</w:t>
      </w:r>
    </w:p>
    <w:p w14:paraId="272056B5" w14:textId="77777777" w:rsidR="00DA3205" w:rsidRPr="00EC3BD7" w:rsidRDefault="00DA3205" w:rsidP="00DA3205">
      <w:pPr>
        <w:pStyle w:val="EndnoteText"/>
        <w:widowControl w:val="0"/>
        <w:numPr>
          <w:ilvl w:val="12"/>
          <w:numId w:val="0"/>
        </w:numPr>
        <w:tabs>
          <w:tab w:val="clear" w:pos="567"/>
        </w:tabs>
        <w:rPr>
          <w:color w:val="000000"/>
          <w:szCs w:val="22"/>
          <w:lang w:val="et-EE"/>
        </w:rPr>
      </w:pPr>
    </w:p>
    <w:p w14:paraId="1EAB2038" w14:textId="77777777" w:rsidR="00DA3205" w:rsidRPr="00EC3BD7" w:rsidRDefault="00DA3205" w:rsidP="00B9089D">
      <w:pPr>
        <w:pStyle w:val="Heading2"/>
        <w:widowControl w:val="0"/>
        <w:spacing w:before="0" w:after="0" w:line="240" w:lineRule="auto"/>
        <w:rPr>
          <w:rFonts w:ascii="Times New Roman" w:hAnsi="Times New Roman"/>
          <w:i w:val="0"/>
          <w:color w:val="000000"/>
          <w:sz w:val="22"/>
          <w:szCs w:val="22"/>
          <w:lang w:val="et-EE"/>
        </w:rPr>
      </w:pPr>
      <w:r w:rsidRPr="00EC3BD7">
        <w:rPr>
          <w:rFonts w:ascii="Times New Roman" w:hAnsi="Times New Roman"/>
          <w:i w:val="0"/>
          <w:color w:val="000000"/>
          <w:sz w:val="22"/>
          <w:szCs w:val="22"/>
          <w:lang w:val="et-EE"/>
        </w:rPr>
        <w:t xml:space="preserve">Kui palju </w:t>
      </w:r>
      <w:r w:rsidR="009D4CE7" w:rsidRPr="00EC3BD7">
        <w:rPr>
          <w:rFonts w:ascii="Times New Roman" w:hAnsi="Times New Roman"/>
          <w:i w:val="0"/>
          <w:color w:val="000000"/>
          <w:sz w:val="22"/>
          <w:szCs w:val="22"/>
          <w:lang w:val="et-EE"/>
        </w:rPr>
        <w:t xml:space="preserve">Glivecit </w:t>
      </w:r>
      <w:r w:rsidRPr="00EC3BD7">
        <w:rPr>
          <w:rFonts w:ascii="Times New Roman" w:hAnsi="Times New Roman"/>
          <w:i w:val="0"/>
          <w:color w:val="000000"/>
          <w:sz w:val="22"/>
          <w:szCs w:val="22"/>
          <w:lang w:val="et-EE"/>
        </w:rPr>
        <w:t>võtta</w:t>
      </w:r>
    </w:p>
    <w:p w14:paraId="25FFBC3E" w14:textId="77777777" w:rsidR="00DA3205" w:rsidRPr="00EC3BD7" w:rsidRDefault="00DA3205" w:rsidP="00B9089D">
      <w:pPr>
        <w:keepNext/>
        <w:rPr>
          <w:color w:val="000000"/>
          <w:szCs w:val="22"/>
          <w:lang w:val="et-EE"/>
        </w:rPr>
      </w:pPr>
    </w:p>
    <w:p w14:paraId="5EE55D54" w14:textId="77777777" w:rsidR="00DA3205" w:rsidRPr="00EC3BD7" w:rsidRDefault="00DA3205" w:rsidP="00B9089D">
      <w:pPr>
        <w:pStyle w:val="Text"/>
        <w:keepNext/>
        <w:widowControl w:val="0"/>
        <w:spacing w:before="0"/>
        <w:jc w:val="left"/>
        <w:rPr>
          <w:b/>
          <w:bCs/>
          <w:color w:val="000000"/>
          <w:sz w:val="22"/>
          <w:szCs w:val="22"/>
          <w:lang w:val="et-EE"/>
        </w:rPr>
      </w:pPr>
      <w:r w:rsidRPr="00EC3BD7">
        <w:rPr>
          <w:b/>
          <w:bCs/>
          <w:color w:val="000000"/>
          <w:sz w:val="22"/>
          <w:szCs w:val="22"/>
          <w:lang w:val="et-EE"/>
        </w:rPr>
        <w:t>Kasutamine täiskasvanutel</w:t>
      </w:r>
    </w:p>
    <w:p w14:paraId="203A524F" w14:textId="77777777" w:rsidR="00DA3205" w:rsidRPr="00EC3BD7" w:rsidRDefault="00DA3205" w:rsidP="00DA3205">
      <w:pPr>
        <w:pStyle w:val="Text"/>
        <w:widowControl w:val="0"/>
        <w:spacing w:before="0"/>
        <w:jc w:val="left"/>
        <w:rPr>
          <w:color w:val="000000"/>
          <w:sz w:val="22"/>
          <w:szCs w:val="22"/>
          <w:lang w:val="et-EE"/>
        </w:rPr>
      </w:pPr>
      <w:r w:rsidRPr="00EC3BD7">
        <w:rPr>
          <w:color w:val="000000"/>
          <w:sz w:val="22"/>
          <w:szCs w:val="22"/>
          <w:lang w:val="et-EE"/>
        </w:rPr>
        <w:t>Arst ütleb teile täpselt, mitu Gliveci tabletti võtta.</w:t>
      </w:r>
    </w:p>
    <w:p w14:paraId="78745EA9" w14:textId="77777777" w:rsidR="00DA3205" w:rsidRPr="00EC3BD7" w:rsidRDefault="00DA3205" w:rsidP="00DA3205">
      <w:pPr>
        <w:pStyle w:val="Text"/>
        <w:widowControl w:val="0"/>
        <w:spacing w:before="0"/>
        <w:jc w:val="left"/>
        <w:rPr>
          <w:color w:val="000000"/>
          <w:sz w:val="22"/>
          <w:szCs w:val="22"/>
          <w:lang w:val="et-EE"/>
        </w:rPr>
      </w:pPr>
    </w:p>
    <w:p w14:paraId="236081EA" w14:textId="77777777" w:rsidR="00DA3205" w:rsidRPr="00EC3BD7" w:rsidRDefault="00DA3205" w:rsidP="00B9089D">
      <w:pPr>
        <w:pStyle w:val="Text"/>
        <w:keepNext/>
        <w:widowControl w:val="0"/>
        <w:numPr>
          <w:ilvl w:val="0"/>
          <w:numId w:val="18"/>
        </w:numPr>
        <w:tabs>
          <w:tab w:val="clear" w:pos="360"/>
          <w:tab w:val="num" w:pos="567"/>
        </w:tabs>
        <w:spacing w:before="0"/>
        <w:ind w:left="567" w:hanging="567"/>
        <w:jc w:val="left"/>
        <w:rPr>
          <w:b/>
          <w:bCs/>
          <w:color w:val="000000"/>
          <w:sz w:val="22"/>
          <w:szCs w:val="22"/>
          <w:lang w:val="et-EE"/>
        </w:rPr>
      </w:pPr>
      <w:r w:rsidRPr="00EC3BD7">
        <w:rPr>
          <w:b/>
          <w:bCs/>
          <w:color w:val="000000"/>
          <w:sz w:val="22"/>
          <w:szCs w:val="22"/>
          <w:lang w:val="et-EE"/>
        </w:rPr>
        <w:t>Kui teil ravitakse kroonilist müeloidset leukeemiat:</w:t>
      </w:r>
    </w:p>
    <w:p w14:paraId="4864C60C" w14:textId="49A68D10" w:rsidR="00DA3205" w:rsidRPr="00EC3BD7" w:rsidRDefault="00DA3205" w:rsidP="00B9089D">
      <w:pPr>
        <w:pStyle w:val="Text"/>
        <w:keepNext/>
        <w:widowControl w:val="0"/>
        <w:spacing w:before="0"/>
        <w:ind w:left="567"/>
        <w:jc w:val="left"/>
        <w:rPr>
          <w:color w:val="000000"/>
          <w:sz w:val="22"/>
          <w:szCs w:val="22"/>
          <w:lang w:val="et-EE"/>
        </w:rPr>
      </w:pPr>
      <w:r w:rsidRPr="00EC3BD7">
        <w:rPr>
          <w:color w:val="000000"/>
          <w:sz w:val="22"/>
          <w:szCs w:val="22"/>
          <w:lang w:val="et-EE"/>
        </w:rPr>
        <w:t>Sõltuvalt haigusest on tavaline annus ravi alguses</w:t>
      </w:r>
      <w:r w:rsidRPr="00EC3BD7">
        <w:rPr>
          <w:rFonts w:cs="Helv"/>
          <w:color w:val="000000"/>
          <w:sz w:val="22"/>
          <w:szCs w:val="22"/>
          <w:lang w:val="et-EE" w:bidi="th-TH"/>
        </w:rPr>
        <w:t xml:space="preserve"> kas </w:t>
      </w:r>
      <w:r w:rsidRPr="00637BB6">
        <w:rPr>
          <w:rFonts w:cs="Helv"/>
          <w:b/>
          <w:color w:val="000000"/>
          <w:sz w:val="22"/>
          <w:szCs w:val="22"/>
          <w:lang w:val="et-EE" w:bidi="th-TH"/>
        </w:rPr>
        <w:t>400 mg</w:t>
      </w:r>
      <w:r w:rsidRPr="00EC3BD7">
        <w:rPr>
          <w:rFonts w:cs="Helv"/>
          <w:color w:val="000000"/>
          <w:sz w:val="22"/>
          <w:szCs w:val="22"/>
          <w:lang w:val="et-EE" w:bidi="th-TH"/>
        </w:rPr>
        <w:t xml:space="preserve"> või </w:t>
      </w:r>
      <w:r w:rsidRPr="00637BB6">
        <w:rPr>
          <w:rFonts w:cs="Helv"/>
          <w:b/>
          <w:color w:val="000000"/>
          <w:sz w:val="22"/>
          <w:szCs w:val="22"/>
          <w:lang w:val="et-EE" w:bidi="th-TH"/>
        </w:rPr>
        <w:t>600 mg</w:t>
      </w:r>
      <w:r w:rsidR="00565A4A">
        <w:rPr>
          <w:color w:val="000000"/>
          <w:sz w:val="22"/>
          <w:szCs w:val="22"/>
          <w:lang w:val="et-EE"/>
        </w:rPr>
        <w:t xml:space="preserve">, mida tuleb võtta </w:t>
      </w:r>
      <w:r w:rsidR="00565A4A" w:rsidRPr="00637BB6">
        <w:rPr>
          <w:b/>
          <w:color w:val="000000"/>
          <w:sz w:val="22"/>
          <w:szCs w:val="22"/>
          <w:lang w:val="et-EE"/>
        </w:rPr>
        <w:t>üks kord</w:t>
      </w:r>
      <w:r w:rsidR="00565A4A">
        <w:rPr>
          <w:color w:val="000000"/>
          <w:sz w:val="22"/>
          <w:szCs w:val="22"/>
          <w:lang w:val="et-EE"/>
        </w:rPr>
        <w:t xml:space="preserve"> ööpäevas.</w:t>
      </w:r>
    </w:p>
    <w:p w14:paraId="10FA25FA" w14:textId="77777777" w:rsidR="00DA3205" w:rsidRPr="00EC3BD7" w:rsidRDefault="00DA3205" w:rsidP="00DA3205">
      <w:pPr>
        <w:pStyle w:val="Text"/>
        <w:widowControl w:val="0"/>
        <w:spacing w:before="0"/>
        <w:jc w:val="left"/>
        <w:rPr>
          <w:color w:val="000000"/>
          <w:sz w:val="22"/>
          <w:szCs w:val="22"/>
          <w:lang w:val="et-EE"/>
        </w:rPr>
      </w:pPr>
    </w:p>
    <w:p w14:paraId="678F9500" w14:textId="25D29A41" w:rsidR="00DA3205" w:rsidRPr="00EC3BD7" w:rsidRDefault="00DA3205" w:rsidP="00B9089D">
      <w:pPr>
        <w:pStyle w:val="Text"/>
        <w:keepNext/>
        <w:widowControl w:val="0"/>
        <w:numPr>
          <w:ilvl w:val="1"/>
          <w:numId w:val="13"/>
        </w:numPr>
        <w:tabs>
          <w:tab w:val="clear" w:pos="1440"/>
          <w:tab w:val="num" w:pos="567"/>
        </w:tabs>
        <w:spacing w:before="0"/>
        <w:ind w:left="567" w:hanging="567"/>
        <w:jc w:val="left"/>
        <w:rPr>
          <w:b/>
          <w:bCs/>
          <w:color w:val="000000"/>
          <w:sz w:val="22"/>
          <w:szCs w:val="22"/>
          <w:lang w:val="et-EE"/>
        </w:rPr>
      </w:pPr>
      <w:r w:rsidRPr="00EC3BD7">
        <w:rPr>
          <w:b/>
          <w:bCs/>
          <w:color w:val="000000"/>
          <w:sz w:val="22"/>
          <w:szCs w:val="22"/>
          <w:lang w:val="et-EE"/>
        </w:rPr>
        <w:t>Kui teil ravitakse GIST</w:t>
      </w:r>
      <w:r w:rsidR="00DD0F07">
        <w:rPr>
          <w:b/>
          <w:bCs/>
          <w:color w:val="000000"/>
          <w:sz w:val="22"/>
          <w:szCs w:val="22"/>
          <w:lang w:val="et-EE"/>
        </w:rPr>
        <w:t>-</w:t>
      </w:r>
      <w:r w:rsidRPr="00EC3BD7">
        <w:rPr>
          <w:b/>
          <w:bCs/>
          <w:color w:val="000000"/>
          <w:sz w:val="22"/>
          <w:szCs w:val="22"/>
          <w:lang w:val="et-EE"/>
        </w:rPr>
        <w:t>i:</w:t>
      </w:r>
    </w:p>
    <w:p w14:paraId="0A540F26" w14:textId="5F236BD2" w:rsidR="00DA3205" w:rsidRPr="00EC3BD7" w:rsidRDefault="00DA3205" w:rsidP="00DA3205">
      <w:pPr>
        <w:pStyle w:val="Text"/>
        <w:widowControl w:val="0"/>
        <w:spacing w:before="0"/>
        <w:ind w:left="567"/>
        <w:jc w:val="left"/>
        <w:rPr>
          <w:color w:val="000000"/>
          <w:sz w:val="22"/>
          <w:szCs w:val="22"/>
          <w:lang w:val="et-EE"/>
        </w:rPr>
      </w:pPr>
      <w:r w:rsidRPr="00EC3BD7">
        <w:rPr>
          <w:color w:val="000000"/>
          <w:sz w:val="22"/>
          <w:szCs w:val="22"/>
          <w:lang w:val="et-EE"/>
        </w:rPr>
        <w:t xml:space="preserve">Annus ravi alguses on 400 mg, </w:t>
      </w:r>
      <w:r w:rsidR="00565A4A">
        <w:rPr>
          <w:color w:val="000000"/>
          <w:sz w:val="22"/>
          <w:szCs w:val="22"/>
          <w:lang w:val="et-EE"/>
        </w:rPr>
        <w:t>mida tuleb võtta</w:t>
      </w:r>
      <w:r w:rsidRPr="00EC3BD7">
        <w:rPr>
          <w:color w:val="000000"/>
          <w:sz w:val="22"/>
          <w:szCs w:val="22"/>
          <w:lang w:val="et-EE"/>
        </w:rPr>
        <w:t xml:space="preserve"> </w:t>
      </w:r>
      <w:r w:rsidRPr="00EC3BD7">
        <w:rPr>
          <w:b/>
          <w:bCs/>
          <w:color w:val="000000"/>
          <w:sz w:val="22"/>
          <w:szCs w:val="22"/>
          <w:lang w:val="et-EE"/>
        </w:rPr>
        <w:t>üks kord</w:t>
      </w:r>
      <w:r w:rsidRPr="00EC3BD7">
        <w:rPr>
          <w:color w:val="000000"/>
          <w:sz w:val="22"/>
          <w:szCs w:val="22"/>
          <w:lang w:val="et-EE"/>
        </w:rPr>
        <w:t xml:space="preserve"> ööpäevas.</w:t>
      </w:r>
    </w:p>
    <w:p w14:paraId="55D5D8BB" w14:textId="77777777" w:rsidR="00DA3205" w:rsidRPr="00EC3BD7" w:rsidRDefault="00DA3205" w:rsidP="00DA3205">
      <w:pPr>
        <w:pStyle w:val="Text"/>
        <w:widowControl w:val="0"/>
        <w:spacing w:before="0"/>
        <w:jc w:val="left"/>
        <w:rPr>
          <w:color w:val="000000"/>
          <w:sz w:val="22"/>
          <w:szCs w:val="22"/>
          <w:lang w:val="et-EE"/>
        </w:rPr>
      </w:pPr>
    </w:p>
    <w:p w14:paraId="07E8530E" w14:textId="2482C7C3" w:rsidR="00DA3205" w:rsidRPr="00EC3BD7" w:rsidRDefault="00DA3205" w:rsidP="00DA3205">
      <w:pPr>
        <w:pStyle w:val="Text"/>
        <w:widowControl w:val="0"/>
        <w:spacing w:before="0"/>
        <w:jc w:val="left"/>
        <w:rPr>
          <w:color w:val="000000"/>
          <w:sz w:val="22"/>
          <w:szCs w:val="22"/>
          <w:lang w:val="et-EE"/>
        </w:rPr>
      </w:pPr>
      <w:smartTag w:uri="urn:schemas-microsoft-com:office:smarttags" w:element="stockticker">
        <w:r w:rsidRPr="00EC3BD7">
          <w:rPr>
            <w:rFonts w:cs="Helv"/>
            <w:color w:val="000000"/>
            <w:sz w:val="22"/>
            <w:szCs w:val="22"/>
            <w:lang w:val="et-EE" w:bidi="th-TH"/>
          </w:rPr>
          <w:t>KML</w:t>
        </w:r>
      </w:smartTag>
      <w:r w:rsidR="00DD0F07">
        <w:rPr>
          <w:rFonts w:cs="Helv"/>
          <w:color w:val="000000"/>
          <w:sz w:val="22"/>
          <w:szCs w:val="22"/>
          <w:lang w:val="et-EE" w:bidi="th-TH"/>
        </w:rPr>
        <w:t>-</w:t>
      </w:r>
      <w:r w:rsidRPr="00EC3BD7">
        <w:rPr>
          <w:rFonts w:cs="Helv"/>
          <w:color w:val="000000"/>
          <w:sz w:val="22"/>
          <w:szCs w:val="22"/>
          <w:lang w:val="et-EE" w:bidi="th-TH"/>
        </w:rPr>
        <w:t>i ja GIST</w:t>
      </w:r>
      <w:r w:rsidR="00DD0F07">
        <w:rPr>
          <w:rFonts w:cs="Helv"/>
          <w:color w:val="000000"/>
          <w:sz w:val="22"/>
          <w:szCs w:val="22"/>
          <w:lang w:val="et-EE" w:bidi="th-TH"/>
        </w:rPr>
        <w:t>-</w:t>
      </w:r>
      <w:r w:rsidRPr="00EC3BD7">
        <w:rPr>
          <w:rFonts w:cs="Helv"/>
          <w:color w:val="000000"/>
          <w:sz w:val="22"/>
          <w:szCs w:val="22"/>
          <w:lang w:val="et-EE" w:bidi="th-TH"/>
        </w:rPr>
        <w:t>i korral</w:t>
      </w:r>
      <w:r w:rsidRPr="00EC3BD7">
        <w:rPr>
          <w:color w:val="000000"/>
          <w:sz w:val="22"/>
          <w:szCs w:val="22"/>
          <w:lang w:val="et-EE"/>
        </w:rPr>
        <w:t xml:space="preserve"> võib arst teile määrata suurema või väiksema annuse</w:t>
      </w:r>
      <w:r w:rsidRPr="00EC3BD7">
        <w:rPr>
          <w:rFonts w:cs="Helv"/>
          <w:color w:val="000000"/>
          <w:sz w:val="22"/>
          <w:szCs w:val="22"/>
          <w:lang w:val="et-EE" w:bidi="th-TH"/>
        </w:rPr>
        <w:t xml:space="preserve"> sõltuvalt sellest, milline on teie ravivastus</w:t>
      </w:r>
      <w:r w:rsidRPr="00EC3BD7">
        <w:rPr>
          <w:color w:val="000000"/>
          <w:sz w:val="22"/>
          <w:szCs w:val="22"/>
          <w:lang w:val="et-EE"/>
        </w:rPr>
        <w:t>. Kui teie ööpäevaseks annuseks on 800 mg, peaksite võtma 4</w:t>
      </w:r>
      <w:r w:rsidR="00565A4A">
        <w:rPr>
          <w:color w:val="000000"/>
          <w:sz w:val="22"/>
          <w:szCs w:val="22"/>
          <w:lang w:val="et-EE"/>
        </w:rPr>
        <w:t>00</w:t>
      </w:r>
      <w:r w:rsidR="00365297">
        <w:rPr>
          <w:color w:val="000000"/>
          <w:sz w:val="22"/>
          <w:szCs w:val="22"/>
          <w:lang w:val="et-EE"/>
        </w:rPr>
        <w:t> </w:t>
      </w:r>
      <w:r w:rsidR="00565A4A">
        <w:rPr>
          <w:color w:val="000000"/>
          <w:sz w:val="22"/>
          <w:szCs w:val="22"/>
          <w:lang w:val="et-EE"/>
        </w:rPr>
        <w:t>mg</w:t>
      </w:r>
      <w:r w:rsidRPr="00EC3BD7">
        <w:rPr>
          <w:color w:val="000000"/>
          <w:sz w:val="22"/>
          <w:szCs w:val="22"/>
          <w:lang w:val="et-EE"/>
        </w:rPr>
        <w:t xml:space="preserve"> hommikul ja 4</w:t>
      </w:r>
      <w:r w:rsidR="00565A4A">
        <w:rPr>
          <w:color w:val="000000"/>
          <w:sz w:val="22"/>
          <w:szCs w:val="22"/>
          <w:lang w:val="et-EE"/>
        </w:rPr>
        <w:t>00</w:t>
      </w:r>
      <w:r w:rsidR="00365297">
        <w:rPr>
          <w:color w:val="000000"/>
          <w:sz w:val="22"/>
          <w:szCs w:val="22"/>
          <w:lang w:val="et-EE"/>
        </w:rPr>
        <w:t> </w:t>
      </w:r>
      <w:r w:rsidR="00565A4A">
        <w:rPr>
          <w:color w:val="000000"/>
          <w:sz w:val="22"/>
          <w:szCs w:val="22"/>
          <w:lang w:val="et-EE"/>
        </w:rPr>
        <w:t>mg</w:t>
      </w:r>
      <w:r w:rsidRPr="00EC3BD7">
        <w:rPr>
          <w:color w:val="000000"/>
          <w:sz w:val="22"/>
          <w:szCs w:val="22"/>
          <w:lang w:val="et-EE"/>
        </w:rPr>
        <w:t xml:space="preserve"> õhtul.</w:t>
      </w:r>
    </w:p>
    <w:p w14:paraId="76C700BF" w14:textId="77777777" w:rsidR="00DA3205" w:rsidRPr="00EC3BD7" w:rsidRDefault="00DA3205" w:rsidP="00DA3205">
      <w:pPr>
        <w:pStyle w:val="Listlevel1"/>
        <w:spacing w:before="0" w:after="0"/>
        <w:ind w:left="0" w:firstLine="0"/>
        <w:rPr>
          <w:color w:val="000000"/>
          <w:sz w:val="22"/>
          <w:szCs w:val="22"/>
          <w:lang w:val="et-EE"/>
        </w:rPr>
      </w:pPr>
    </w:p>
    <w:p w14:paraId="4B749639" w14:textId="4836446E" w:rsidR="00DA3205" w:rsidRPr="00EC3BD7" w:rsidRDefault="00DA3205" w:rsidP="00B9089D">
      <w:pPr>
        <w:pStyle w:val="Listlevel1"/>
        <w:keepNext/>
        <w:numPr>
          <w:ilvl w:val="0"/>
          <w:numId w:val="24"/>
        </w:numPr>
        <w:tabs>
          <w:tab w:val="clear" w:pos="1494"/>
          <w:tab w:val="num" w:pos="567"/>
        </w:tabs>
        <w:spacing w:before="0" w:after="0"/>
        <w:ind w:left="567" w:hanging="567"/>
        <w:rPr>
          <w:b/>
          <w:bCs/>
          <w:color w:val="000000"/>
          <w:sz w:val="22"/>
          <w:szCs w:val="22"/>
          <w:lang w:val="et-EE"/>
        </w:rPr>
      </w:pPr>
      <w:r w:rsidRPr="00EC3BD7">
        <w:rPr>
          <w:b/>
          <w:bCs/>
          <w:color w:val="000000"/>
          <w:sz w:val="22"/>
          <w:szCs w:val="22"/>
          <w:lang w:val="et-EE"/>
        </w:rPr>
        <w:t xml:space="preserve">Kui teil ravitakse Ph-positiivset </w:t>
      </w:r>
      <w:smartTag w:uri="urn:schemas-microsoft-com:office:smarttags" w:element="stockticker">
        <w:r w:rsidRPr="00EC3BD7">
          <w:rPr>
            <w:b/>
            <w:bCs/>
            <w:color w:val="000000"/>
            <w:sz w:val="22"/>
            <w:szCs w:val="22"/>
            <w:lang w:val="et-EE"/>
          </w:rPr>
          <w:t>ALL</w:t>
        </w:r>
      </w:smartTag>
      <w:r w:rsidR="00DD0F07">
        <w:rPr>
          <w:b/>
          <w:bCs/>
          <w:color w:val="000000"/>
          <w:sz w:val="22"/>
          <w:szCs w:val="22"/>
          <w:lang w:val="et-EE"/>
        </w:rPr>
        <w:t>-</w:t>
      </w:r>
      <w:r w:rsidRPr="00EC3BD7">
        <w:rPr>
          <w:b/>
          <w:bCs/>
          <w:color w:val="000000"/>
          <w:sz w:val="22"/>
          <w:szCs w:val="22"/>
          <w:lang w:val="et-EE"/>
        </w:rPr>
        <w:t>i:</w:t>
      </w:r>
    </w:p>
    <w:p w14:paraId="52B3E5D8" w14:textId="64EBF977" w:rsidR="00DA3205" w:rsidRPr="00EC3BD7" w:rsidRDefault="00DA3205" w:rsidP="00DA3205">
      <w:pPr>
        <w:pStyle w:val="Listlevel1"/>
        <w:spacing w:before="0" w:after="0"/>
        <w:ind w:left="567" w:firstLine="0"/>
        <w:rPr>
          <w:color w:val="000000"/>
          <w:sz w:val="22"/>
          <w:szCs w:val="22"/>
          <w:lang w:val="et-EE"/>
        </w:rPr>
      </w:pPr>
      <w:r w:rsidRPr="00EC3BD7">
        <w:rPr>
          <w:color w:val="000000"/>
          <w:sz w:val="22"/>
          <w:szCs w:val="22"/>
          <w:lang w:val="et-EE"/>
        </w:rPr>
        <w:t>On algannuseks 600 mg, mi</w:t>
      </w:r>
      <w:r w:rsidR="00CC2DF6">
        <w:rPr>
          <w:color w:val="000000"/>
          <w:sz w:val="22"/>
          <w:szCs w:val="22"/>
          <w:lang w:val="et-EE"/>
        </w:rPr>
        <w:t>da tuleb võtta</w:t>
      </w:r>
      <w:r w:rsidRPr="00EC3BD7">
        <w:rPr>
          <w:color w:val="000000"/>
          <w:sz w:val="22"/>
          <w:szCs w:val="22"/>
          <w:lang w:val="et-EE"/>
        </w:rPr>
        <w:t xml:space="preserve"> </w:t>
      </w:r>
      <w:r w:rsidRPr="00EC3BD7">
        <w:rPr>
          <w:b/>
          <w:bCs/>
          <w:color w:val="000000"/>
          <w:sz w:val="22"/>
          <w:szCs w:val="22"/>
          <w:lang w:val="et-EE"/>
        </w:rPr>
        <w:t xml:space="preserve">üks kord </w:t>
      </w:r>
      <w:r w:rsidRPr="00EC3BD7">
        <w:rPr>
          <w:color w:val="000000"/>
          <w:sz w:val="22"/>
          <w:szCs w:val="22"/>
          <w:lang w:val="et-EE"/>
        </w:rPr>
        <w:t>ööpäevas.</w:t>
      </w:r>
    </w:p>
    <w:p w14:paraId="5A8560D7" w14:textId="77777777" w:rsidR="00DA3205" w:rsidRPr="00EC3BD7" w:rsidRDefault="00DA3205" w:rsidP="00DA3205">
      <w:pPr>
        <w:pStyle w:val="Listlevel1"/>
        <w:spacing w:before="0" w:after="0"/>
        <w:ind w:left="0" w:firstLine="0"/>
        <w:rPr>
          <w:color w:val="000000"/>
          <w:sz w:val="22"/>
          <w:szCs w:val="22"/>
          <w:lang w:val="et-EE"/>
        </w:rPr>
      </w:pPr>
    </w:p>
    <w:p w14:paraId="49E0FBFC" w14:textId="7868D14A" w:rsidR="00DA3205" w:rsidRPr="00EC3BD7" w:rsidRDefault="00DA3205" w:rsidP="00B9089D">
      <w:pPr>
        <w:pStyle w:val="Text"/>
        <w:keepNext/>
        <w:widowControl w:val="0"/>
        <w:numPr>
          <w:ilvl w:val="0"/>
          <w:numId w:val="24"/>
        </w:numPr>
        <w:tabs>
          <w:tab w:val="clear" w:pos="1494"/>
          <w:tab w:val="num" w:pos="567"/>
        </w:tabs>
        <w:spacing w:before="0"/>
        <w:ind w:hanging="1494"/>
        <w:jc w:val="left"/>
        <w:rPr>
          <w:color w:val="000000"/>
          <w:sz w:val="22"/>
          <w:szCs w:val="22"/>
          <w:lang w:val="et-EE"/>
        </w:rPr>
      </w:pPr>
      <w:r w:rsidRPr="00EC3BD7">
        <w:rPr>
          <w:b/>
          <w:bCs/>
          <w:color w:val="000000"/>
          <w:sz w:val="22"/>
          <w:szCs w:val="22"/>
          <w:lang w:val="et-EE"/>
        </w:rPr>
        <w:t xml:space="preserve">Kui teil ravitakse </w:t>
      </w:r>
      <w:smartTag w:uri="urn:schemas-microsoft-com:office:smarttags" w:element="stockticker">
        <w:r w:rsidRPr="00EC3BD7">
          <w:rPr>
            <w:b/>
            <w:bCs/>
            <w:color w:val="000000"/>
            <w:sz w:val="22"/>
            <w:szCs w:val="22"/>
            <w:lang w:val="et-EE"/>
          </w:rPr>
          <w:t>MDS</w:t>
        </w:r>
      </w:smartTag>
      <w:r w:rsidRPr="00EC3BD7">
        <w:rPr>
          <w:b/>
          <w:bCs/>
          <w:color w:val="000000"/>
          <w:sz w:val="22"/>
          <w:szCs w:val="22"/>
          <w:lang w:val="et-EE"/>
        </w:rPr>
        <w:t>/MPD</w:t>
      </w:r>
      <w:r w:rsidR="00DD0F07">
        <w:rPr>
          <w:b/>
          <w:bCs/>
          <w:color w:val="000000"/>
          <w:sz w:val="22"/>
          <w:szCs w:val="22"/>
          <w:lang w:val="et-EE"/>
        </w:rPr>
        <w:t>-d</w:t>
      </w:r>
      <w:r w:rsidRPr="00EC3BD7">
        <w:rPr>
          <w:b/>
          <w:bCs/>
          <w:color w:val="000000"/>
          <w:sz w:val="22"/>
          <w:szCs w:val="22"/>
          <w:lang w:val="et-EE"/>
        </w:rPr>
        <w:t>:</w:t>
      </w:r>
    </w:p>
    <w:p w14:paraId="572FD141" w14:textId="4BCE2B56" w:rsidR="00DA3205" w:rsidRPr="00EC3BD7" w:rsidRDefault="00DA3205" w:rsidP="00DA3205">
      <w:pPr>
        <w:pStyle w:val="Text"/>
        <w:widowControl w:val="0"/>
        <w:spacing w:before="0"/>
        <w:ind w:left="567"/>
        <w:jc w:val="left"/>
        <w:rPr>
          <w:color w:val="000000"/>
          <w:sz w:val="22"/>
          <w:szCs w:val="22"/>
          <w:lang w:val="et-EE"/>
        </w:rPr>
      </w:pPr>
      <w:r w:rsidRPr="00EC3BD7">
        <w:rPr>
          <w:color w:val="000000"/>
          <w:sz w:val="22"/>
          <w:szCs w:val="22"/>
          <w:lang w:val="et-EE"/>
        </w:rPr>
        <w:t>On algannus</w:t>
      </w:r>
      <w:r w:rsidR="00CC2DF6">
        <w:rPr>
          <w:color w:val="000000"/>
          <w:sz w:val="22"/>
          <w:szCs w:val="22"/>
          <w:lang w:val="et-EE"/>
        </w:rPr>
        <w:t>eks</w:t>
      </w:r>
      <w:r w:rsidRPr="00EC3BD7">
        <w:rPr>
          <w:color w:val="000000"/>
          <w:sz w:val="22"/>
          <w:szCs w:val="22"/>
          <w:lang w:val="et-EE"/>
        </w:rPr>
        <w:t xml:space="preserve"> 400 mg, mi</w:t>
      </w:r>
      <w:r w:rsidR="00CC2DF6">
        <w:rPr>
          <w:color w:val="000000"/>
          <w:sz w:val="22"/>
          <w:szCs w:val="22"/>
          <w:lang w:val="et-EE"/>
        </w:rPr>
        <w:t>da tuleb võtta</w:t>
      </w:r>
      <w:r w:rsidRPr="00EC3BD7">
        <w:rPr>
          <w:color w:val="000000"/>
          <w:sz w:val="22"/>
          <w:szCs w:val="22"/>
          <w:lang w:val="et-EE"/>
        </w:rPr>
        <w:t xml:space="preserve"> </w:t>
      </w:r>
      <w:r w:rsidRPr="00EC3BD7">
        <w:rPr>
          <w:b/>
          <w:bCs/>
          <w:color w:val="000000"/>
          <w:sz w:val="22"/>
          <w:szCs w:val="22"/>
          <w:lang w:val="et-EE"/>
        </w:rPr>
        <w:t xml:space="preserve">üks kord </w:t>
      </w:r>
      <w:r w:rsidRPr="00EC3BD7">
        <w:rPr>
          <w:color w:val="000000"/>
          <w:sz w:val="22"/>
          <w:szCs w:val="22"/>
          <w:lang w:val="et-EE"/>
        </w:rPr>
        <w:t>ööpäevas.</w:t>
      </w:r>
    </w:p>
    <w:p w14:paraId="607B9B3B" w14:textId="77777777" w:rsidR="00DA3205" w:rsidRPr="00EC3BD7" w:rsidRDefault="00DA3205" w:rsidP="00DA3205">
      <w:pPr>
        <w:pStyle w:val="Text"/>
        <w:widowControl w:val="0"/>
        <w:spacing w:before="0"/>
        <w:jc w:val="left"/>
        <w:rPr>
          <w:color w:val="000000"/>
          <w:sz w:val="22"/>
          <w:szCs w:val="22"/>
          <w:lang w:val="et-EE"/>
        </w:rPr>
      </w:pPr>
    </w:p>
    <w:p w14:paraId="00FF0080" w14:textId="3F616BAB" w:rsidR="00DA3205" w:rsidRPr="00EC3BD7" w:rsidRDefault="00DA3205" w:rsidP="00B9089D">
      <w:pPr>
        <w:pStyle w:val="Text"/>
        <w:keepNext/>
        <w:widowControl w:val="0"/>
        <w:numPr>
          <w:ilvl w:val="0"/>
          <w:numId w:val="24"/>
        </w:numPr>
        <w:tabs>
          <w:tab w:val="clear" w:pos="1494"/>
          <w:tab w:val="num" w:pos="567"/>
          <w:tab w:val="left" w:pos="5387"/>
        </w:tabs>
        <w:spacing w:before="0"/>
        <w:ind w:left="567" w:hanging="567"/>
        <w:jc w:val="left"/>
        <w:rPr>
          <w:b/>
          <w:bCs/>
          <w:color w:val="000000"/>
          <w:sz w:val="22"/>
          <w:szCs w:val="22"/>
          <w:lang w:val="et-EE"/>
        </w:rPr>
      </w:pPr>
      <w:r w:rsidRPr="00EC3BD7">
        <w:rPr>
          <w:b/>
          <w:bCs/>
          <w:color w:val="000000"/>
          <w:sz w:val="22"/>
          <w:szCs w:val="22"/>
          <w:lang w:val="et-EE"/>
        </w:rPr>
        <w:t>Kui teil ravitakse HES/KEL</w:t>
      </w:r>
      <w:r w:rsidR="00DD0F07">
        <w:rPr>
          <w:b/>
          <w:bCs/>
          <w:color w:val="000000"/>
          <w:sz w:val="22"/>
          <w:szCs w:val="22"/>
          <w:lang w:val="et-EE"/>
        </w:rPr>
        <w:t>-</w:t>
      </w:r>
      <w:r w:rsidRPr="00EC3BD7">
        <w:rPr>
          <w:b/>
          <w:bCs/>
          <w:color w:val="000000"/>
          <w:sz w:val="22"/>
          <w:szCs w:val="22"/>
          <w:lang w:val="et-EE"/>
        </w:rPr>
        <w:t>i:</w:t>
      </w:r>
    </w:p>
    <w:p w14:paraId="51C2EEB6" w14:textId="3022639F" w:rsidR="00DA3205" w:rsidRPr="00EC3BD7" w:rsidRDefault="00DA3205" w:rsidP="00DA3205">
      <w:pPr>
        <w:pStyle w:val="Text"/>
        <w:widowControl w:val="0"/>
        <w:tabs>
          <w:tab w:val="left" w:pos="5387"/>
        </w:tabs>
        <w:spacing w:before="0"/>
        <w:ind w:left="567"/>
        <w:jc w:val="left"/>
        <w:rPr>
          <w:color w:val="000000"/>
          <w:sz w:val="22"/>
          <w:szCs w:val="22"/>
          <w:lang w:val="et-EE"/>
        </w:rPr>
      </w:pPr>
      <w:r w:rsidRPr="00EC3BD7">
        <w:rPr>
          <w:color w:val="000000"/>
          <w:sz w:val="22"/>
          <w:szCs w:val="22"/>
          <w:lang w:val="et-EE"/>
        </w:rPr>
        <w:t>On algannuseks 100 mg, mi</w:t>
      </w:r>
      <w:r w:rsidR="00CC2DF6">
        <w:rPr>
          <w:color w:val="000000"/>
          <w:sz w:val="22"/>
          <w:szCs w:val="22"/>
          <w:lang w:val="et-EE"/>
        </w:rPr>
        <w:t>da tuleb võtta</w:t>
      </w:r>
      <w:r w:rsidRPr="00EC3BD7">
        <w:rPr>
          <w:color w:val="000000"/>
          <w:sz w:val="22"/>
          <w:szCs w:val="22"/>
          <w:lang w:val="et-EE"/>
        </w:rPr>
        <w:t xml:space="preserve"> </w:t>
      </w:r>
      <w:r w:rsidRPr="00EC3BD7">
        <w:rPr>
          <w:b/>
          <w:bCs/>
          <w:color w:val="000000"/>
          <w:sz w:val="22"/>
          <w:szCs w:val="22"/>
          <w:lang w:val="et-EE"/>
        </w:rPr>
        <w:t>üks kord</w:t>
      </w:r>
      <w:r w:rsidRPr="00EC3BD7">
        <w:rPr>
          <w:color w:val="000000"/>
          <w:sz w:val="22"/>
          <w:szCs w:val="22"/>
          <w:lang w:val="et-EE"/>
        </w:rPr>
        <w:t xml:space="preserve"> ööpäevas. Sõltuvalt ravivastusest võib arst </w:t>
      </w:r>
      <w:r w:rsidRPr="00EC3BD7">
        <w:rPr>
          <w:color w:val="000000"/>
          <w:sz w:val="22"/>
          <w:szCs w:val="22"/>
          <w:lang w:val="et-EE"/>
        </w:rPr>
        <w:lastRenderedPageBreak/>
        <w:t>otsustada suurendada annust kuni 400 milligrammini, mi</w:t>
      </w:r>
      <w:r w:rsidR="00CC2DF6">
        <w:rPr>
          <w:color w:val="000000"/>
          <w:sz w:val="22"/>
          <w:szCs w:val="22"/>
          <w:lang w:val="et-EE"/>
        </w:rPr>
        <w:t>da tuleb võtta</w:t>
      </w:r>
      <w:r w:rsidRPr="00EC3BD7">
        <w:rPr>
          <w:color w:val="000000"/>
          <w:sz w:val="22"/>
          <w:szCs w:val="22"/>
          <w:lang w:val="et-EE"/>
        </w:rPr>
        <w:t xml:space="preserve"> </w:t>
      </w:r>
      <w:r w:rsidRPr="00EC3BD7">
        <w:rPr>
          <w:b/>
          <w:bCs/>
          <w:color w:val="000000"/>
          <w:sz w:val="22"/>
          <w:szCs w:val="22"/>
          <w:lang w:val="et-EE"/>
        </w:rPr>
        <w:t>üks kord</w:t>
      </w:r>
      <w:r w:rsidRPr="00EC3BD7">
        <w:rPr>
          <w:color w:val="000000"/>
          <w:sz w:val="22"/>
          <w:szCs w:val="22"/>
          <w:lang w:val="et-EE"/>
        </w:rPr>
        <w:t xml:space="preserve"> ööpäevas.</w:t>
      </w:r>
    </w:p>
    <w:p w14:paraId="3E4CAF82" w14:textId="77777777" w:rsidR="00DA3205" w:rsidRPr="00EC3BD7" w:rsidRDefault="00DA3205" w:rsidP="00DA3205">
      <w:pPr>
        <w:pStyle w:val="Listlevel1"/>
        <w:spacing w:before="0" w:after="0"/>
        <w:ind w:left="0" w:firstLine="0"/>
        <w:rPr>
          <w:color w:val="000000"/>
          <w:sz w:val="22"/>
          <w:szCs w:val="22"/>
          <w:lang w:val="et-EE"/>
        </w:rPr>
      </w:pPr>
    </w:p>
    <w:p w14:paraId="1EF5E90B" w14:textId="32549A30" w:rsidR="00DA3205" w:rsidRPr="00EC3BD7" w:rsidRDefault="00DA3205" w:rsidP="00B9089D">
      <w:pPr>
        <w:pStyle w:val="Listlevel1"/>
        <w:keepNext/>
        <w:numPr>
          <w:ilvl w:val="0"/>
          <w:numId w:val="24"/>
        </w:numPr>
        <w:tabs>
          <w:tab w:val="clear" w:pos="1494"/>
          <w:tab w:val="num" w:pos="567"/>
        </w:tabs>
        <w:spacing w:before="0" w:after="0"/>
        <w:ind w:left="567" w:hanging="567"/>
        <w:rPr>
          <w:b/>
          <w:bCs/>
          <w:color w:val="000000"/>
          <w:sz w:val="22"/>
          <w:szCs w:val="22"/>
          <w:lang w:val="et-EE"/>
        </w:rPr>
      </w:pPr>
      <w:r w:rsidRPr="00EC3BD7">
        <w:rPr>
          <w:b/>
          <w:bCs/>
          <w:color w:val="000000"/>
          <w:sz w:val="22"/>
          <w:szCs w:val="22"/>
          <w:lang w:val="et-EE"/>
        </w:rPr>
        <w:t>Kui teil ravitakse PDFS</w:t>
      </w:r>
      <w:r w:rsidR="00DD0F07">
        <w:rPr>
          <w:b/>
          <w:bCs/>
          <w:color w:val="000000"/>
          <w:sz w:val="22"/>
          <w:szCs w:val="22"/>
          <w:lang w:val="et-EE"/>
        </w:rPr>
        <w:t>-</w:t>
      </w:r>
      <w:r w:rsidRPr="00EC3BD7">
        <w:rPr>
          <w:b/>
          <w:bCs/>
          <w:color w:val="000000"/>
          <w:sz w:val="22"/>
          <w:szCs w:val="22"/>
          <w:lang w:val="et-EE"/>
        </w:rPr>
        <w:t>i:</w:t>
      </w:r>
    </w:p>
    <w:p w14:paraId="5AFA042A" w14:textId="264BEF5D" w:rsidR="00DA3205" w:rsidRPr="00EC3BD7" w:rsidRDefault="00DA3205" w:rsidP="00DA3205">
      <w:pPr>
        <w:pStyle w:val="Listlevel1"/>
        <w:spacing w:before="0" w:after="0"/>
        <w:ind w:left="567" w:firstLine="0"/>
        <w:rPr>
          <w:color w:val="000000"/>
          <w:sz w:val="22"/>
          <w:szCs w:val="22"/>
          <w:lang w:val="et-EE"/>
        </w:rPr>
      </w:pPr>
      <w:r w:rsidRPr="00EC3BD7">
        <w:rPr>
          <w:color w:val="000000"/>
          <w:sz w:val="22"/>
          <w:szCs w:val="22"/>
          <w:lang w:val="et-EE"/>
        </w:rPr>
        <w:t xml:space="preserve">On annuseks 800 mg ööpäevas, mille saamiseks </w:t>
      </w:r>
      <w:r w:rsidR="00CC2DF6">
        <w:rPr>
          <w:color w:val="000000"/>
          <w:sz w:val="22"/>
          <w:szCs w:val="22"/>
          <w:lang w:val="et-EE"/>
        </w:rPr>
        <w:t>tuleb võtta 400</w:t>
      </w:r>
      <w:r w:rsidR="00365297">
        <w:rPr>
          <w:color w:val="000000"/>
          <w:sz w:val="22"/>
          <w:szCs w:val="22"/>
          <w:lang w:val="et-EE"/>
        </w:rPr>
        <w:t> </w:t>
      </w:r>
      <w:r w:rsidR="00CC2DF6">
        <w:rPr>
          <w:color w:val="000000"/>
          <w:sz w:val="22"/>
          <w:szCs w:val="22"/>
          <w:lang w:val="et-EE"/>
        </w:rPr>
        <w:t>mg</w:t>
      </w:r>
      <w:r w:rsidRPr="00EC3BD7">
        <w:rPr>
          <w:color w:val="000000"/>
          <w:sz w:val="22"/>
          <w:szCs w:val="22"/>
          <w:lang w:val="et-EE"/>
        </w:rPr>
        <w:t xml:space="preserve"> hommikul ja </w:t>
      </w:r>
      <w:r w:rsidR="00CC2DF6">
        <w:rPr>
          <w:color w:val="000000"/>
          <w:sz w:val="22"/>
          <w:szCs w:val="22"/>
          <w:lang w:val="et-EE"/>
        </w:rPr>
        <w:t>400</w:t>
      </w:r>
      <w:r w:rsidR="00365297">
        <w:rPr>
          <w:color w:val="000000"/>
          <w:sz w:val="22"/>
          <w:szCs w:val="22"/>
          <w:lang w:val="et-EE"/>
        </w:rPr>
        <w:t> </w:t>
      </w:r>
      <w:r w:rsidR="00CC2DF6">
        <w:rPr>
          <w:color w:val="000000"/>
          <w:sz w:val="22"/>
          <w:szCs w:val="22"/>
          <w:lang w:val="et-EE"/>
        </w:rPr>
        <w:t>mg</w:t>
      </w:r>
      <w:r w:rsidRPr="00EC3BD7">
        <w:rPr>
          <w:color w:val="000000"/>
          <w:sz w:val="22"/>
          <w:szCs w:val="22"/>
          <w:lang w:val="et-EE"/>
        </w:rPr>
        <w:t xml:space="preserve"> õhtul.</w:t>
      </w:r>
    </w:p>
    <w:p w14:paraId="447EAFCD" w14:textId="4F7CAD31" w:rsidR="00DA3205" w:rsidRDefault="00DA3205" w:rsidP="00DA3205">
      <w:pPr>
        <w:pStyle w:val="Text"/>
        <w:widowControl w:val="0"/>
        <w:spacing w:before="0"/>
        <w:jc w:val="left"/>
        <w:rPr>
          <w:color w:val="000000"/>
          <w:sz w:val="22"/>
          <w:szCs w:val="22"/>
          <w:lang w:val="et-EE"/>
        </w:rPr>
      </w:pPr>
    </w:p>
    <w:p w14:paraId="7D0D010C" w14:textId="032490E8" w:rsidR="00CC2DF6" w:rsidRDefault="00CC2DF6" w:rsidP="00DA3205">
      <w:pPr>
        <w:pStyle w:val="Text"/>
        <w:widowControl w:val="0"/>
        <w:spacing w:before="0"/>
        <w:jc w:val="left"/>
        <w:rPr>
          <w:color w:val="000000"/>
          <w:sz w:val="22"/>
          <w:szCs w:val="22"/>
          <w:lang w:val="et-EE"/>
        </w:rPr>
      </w:pPr>
      <w:r>
        <w:rPr>
          <w:color w:val="000000"/>
          <w:sz w:val="22"/>
          <w:szCs w:val="22"/>
          <w:lang w:val="et-EE"/>
        </w:rPr>
        <w:t>400</w:t>
      </w:r>
      <w:r w:rsidR="00365297">
        <w:rPr>
          <w:color w:val="000000"/>
          <w:sz w:val="22"/>
          <w:szCs w:val="22"/>
          <w:lang w:val="et-EE"/>
        </w:rPr>
        <w:t> </w:t>
      </w:r>
      <w:r>
        <w:rPr>
          <w:color w:val="000000"/>
          <w:sz w:val="22"/>
          <w:szCs w:val="22"/>
          <w:lang w:val="et-EE"/>
        </w:rPr>
        <w:t>mg annuse saamiseks tuleb võtta üks 400</w:t>
      </w:r>
      <w:r w:rsidR="00365297">
        <w:rPr>
          <w:color w:val="000000"/>
          <w:sz w:val="22"/>
          <w:szCs w:val="22"/>
          <w:lang w:val="et-EE"/>
        </w:rPr>
        <w:t> </w:t>
      </w:r>
      <w:r>
        <w:rPr>
          <w:color w:val="000000"/>
          <w:sz w:val="22"/>
          <w:szCs w:val="22"/>
          <w:lang w:val="et-EE"/>
        </w:rPr>
        <w:t>mg-ne tablett või neli 100</w:t>
      </w:r>
      <w:r w:rsidR="00365297">
        <w:rPr>
          <w:color w:val="000000"/>
          <w:sz w:val="22"/>
          <w:szCs w:val="22"/>
          <w:lang w:val="et-EE"/>
        </w:rPr>
        <w:t> </w:t>
      </w:r>
      <w:r>
        <w:rPr>
          <w:color w:val="000000"/>
          <w:sz w:val="22"/>
          <w:szCs w:val="22"/>
          <w:lang w:val="et-EE"/>
        </w:rPr>
        <w:t>mg-st tabletti.</w:t>
      </w:r>
    </w:p>
    <w:p w14:paraId="2B4DCD1F" w14:textId="29935F73" w:rsidR="00CC2DF6" w:rsidRDefault="00CC2DF6" w:rsidP="00DA3205">
      <w:pPr>
        <w:pStyle w:val="Text"/>
        <w:widowControl w:val="0"/>
        <w:spacing w:before="0"/>
        <w:jc w:val="left"/>
        <w:rPr>
          <w:color w:val="000000"/>
          <w:sz w:val="22"/>
          <w:szCs w:val="22"/>
          <w:lang w:val="et-EE"/>
        </w:rPr>
      </w:pPr>
      <w:r>
        <w:rPr>
          <w:color w:val="000000"/>
          <w:sz w:val="22"/>
          <w:szCs w:val="22"/>
          <w:lang w:val="et-EE"/>
        </w:rPr>
        <w:t>600</w:t>
      </w:r>
      <w:r w:rsidR="00365297">
        <w:rPr>
          <w:color w:val="000000"/>
          <w:sz w:val="22"/>
          <w:szCs w:val="22"/>
          <w:lang w:val="et-EE"/>
        </w:rPr>
        <w:t> </w:t>
      </w:r>
      <w:r>
        <w:rPr>
          <w:color w:val="000000"/>
          <w:sz w:val="22"/>
          <w:szCs w:val="22"/>
          <w:lang w:val="et-EE"/>
        </w:rPr>
        <w:t>mg annuse saamiseks tuleb võtta üks 400</w:t>
      </w:r>
      <w:r w:rsidR="00365297">
        <w:rPr>
          <w:color w:val="000000"/>
          <w:sz w:val="22"/>
          <w:szCs w:val="22"/>
          <w:lang w:val="et-EE"/>
        </w:rPr>
        <w:t> </w:t>
      </w:r>
      <w:r>
        <w:rPr>
          <w:color w:val="000000"/>
          <w:sz w:val="22"/>
          <w:szCs w:val="22"/>
          <w:lang w:val="et-EE"/>
        </w:rPr>
        <w:t>mg-ne tablett ja kaks 100</w:t>
      </w:r>
      <w:r w:rsidR="00365297">
        <w:rPr>
          <w:color w:val="000000"/>
          <w:sz w:val="22"/>
          <w:szCs w:val="22"/>
          <w:lang w:val="et-EE"/>
        </w:rPr>
        <w:t> </w:t>
      </w:r>
      <w:r>
        <w:rPr>
          <w:color w:val="000000"/>
          <w:sz w:val="22"/>
          <w:szCs w:val="22"/>
          <w:lang w:val="et-EE"/>
        </w:rPr>
        <w:t>mg-st tabletti.</w:t>
      </w:r>
    </w:p>
    <w:p w14:paraId="5AAF554B" w14:textId="77777777" w:rsidR="00CC2DF6" w:rsidRPr="00EC3BD7" w:rsidRDefault="00CC2DF6" w:rsidP="00DA3205">
      <w:pPr>
        <w:pStyle w:val="Text"/>
        <w:widowControl w:val="0"/>
        <w:spacing w:before="0"/>
        <w:jc w:val="left"/>
        <w:rPr>
          <w:color w:val="000000"/>
          <w:sz w:val="22"/>
          <w:szCs w:val="22"/>
          <w:lang w:val="et-EE"/>
        </w:rPr>
      </w:pPr>
    </w:p>
    <w:p w14:paraId="4B2B1E91" w14:textId="77777777" w:rsidR="00DA3205" w:rsidRPr="00EC3BD7" w:rsidRDefault="00DA3205" w:rsidP="00B9089D">
      <w:pPr>
        <w:pStyle w:val="Text"/>
        <w:keepNext/>
        <w:widowControl w:val="0"/>
        <w:spacing w:before="0"/>
        <w:jc w:val="left"/>
        <w:rPr>
          <w:b/>
          <w:bCs/>
          <w:color w:val="000000"/>
          <w:sz w:val="22"/>
          <w:szCs w:val="22"/>
          <w:lang w:val="et-EE"/>
        </w:rPr>
      </w:pPr>
      <w:r w:rsidRPr="00EC3BD7">
        <w:rPr>
          <w:b/>
          <w:bCs/>
          <w:color w:val="000000"/>
          <w:sz w:val="22"/>
          <w:szCs w:val="22"/>
          <w:lang w:val="et-EE"/>
        </w:rPr>
        <w:t>Kasutamine lastel</w:t>
      </w:r>
      <w:r w:rsidR="009D4CE7" w:rsidRPr="00EC3BD7">
        <w:rPr>
          <w:b/>
          <w:bCs/>
          <w:color w:val="000000"/>
          <w:sz w:val="22"/>
          <w:szCs w:val="22"/>
          <w:lang w:val="et-EE"/>
        </w:rPr>
        <w:t xml:space="preserve"> ja noorukitel</w:t>
      </w:r>
    </w:p>
    <w:p w14:paraId="50408B5F" w14:textId="5C6EDE56" w:rsidR="00DA3205" w:rsidRPr="00EC3BD7" w:rsidRDefault="00DA3205" w:rsidP="00DA3205">
      <w:pPr>
        <w:pStyle w:val="Text"/>
        <w:widowControl w:val="0"/>
        <w:spacing w:before="0"/>
        <w:jc w:val="left"/>
        <w:rPr>
          <w:color w:val="000000"/>
          <w:sz w:val="22"/>
          <w:szCs w:val="22"/>
          <w:lang w:val="et-EE"/>
        </w:rPr>
      </w:pPr>
      <w:r w:rsidRPr="00EC3BD7">
        <w:rPr>
          <w:color w:val="000000"/>
          <w:sz w:val="22"/>
          <w:szCs w:val="22"/>
          <w:lang w:val="et-EE"/>
        </w:rPr>
        <w:t>Arst ütleb teile, mitu Gliveci tabletti lapsele anda. Gliveci annus sõltub teie lapse seisundist, kehakaalust ja pikkusest. Ööpäevane annus lastel ei tohi ületada 800 mg</w:t>
      </w:r>
      <w:r w:rsidR="002A76F6" w:rsidRPr="00EC3BD7">
        <w:rPr>
          <w:color w:val="000000"/>
          <w:sz w:val="22"/>
          <w:szCs w:val="22"/>
          <w:lang w:val="et-EE"/>
        </w:rPr>
        <w:t xml:space="preserve"> KML</w:t>
      </w:r>
      <w:r w:rsidR="00DD0F07">
        <w:rPr>
          <w:color w:val="000000"/>
          <w:sz w:val="22"/>
          <w:szCs w:val="22"/>
          <w:lang w:val="et-EE"/>
        </w:rPr>
        <w:t>-</w:t>
      </w:r>
      <w:r w:rsidR="002A76F6" w:rsidRPr="00EC3BD7">
        <w:rPr>
          <w:color w:val="000000"/>
          <w:sz w:val="22"/>
          <w:szCs w:val="22"/>
          <w:lang w:val="et-EE"/>
        </w:rPr>
        <w:t xml:space="preserve">i </w:t>
      </w:r>
      <w:r w:rsidR="002C30EA" w:rsidRPr="00EC3BD7">
        <w:rPr>
          <w:color w:val="000000"/>
          <w:sz w:val="22"/>
          <w:szCs w:val="22"/>
          <w:lang w:val="et-EE"/>
        </w:rPr>
        <w:t>puhu</w:t>
      </w:r>
      <w:r w:rsidR="002A76F6" w:rsidRPr="00EC3BD7">
        <w:rPr>
          <w:color w:val="000000"/>
          <w:sz w:val="22"/>
          <w:szCs w:val="22"/>
          <w:lang w:val="et-EE"/>
        </w:rPr>
        <w:t xml:space="preserve">l ning </w:t>
      </w:r>
      <w:r w:rsidR="00FC3ABB" w:rsidRPr="00EC3BD7">
        <w:rPr>
          <w:color w:val="000000"/>
          <w:sz w:val="22"/>
          <w:szCs w:val="22"/>
          <w:lang w:val="et-EE"/>
        </w:rPr>
        <w:t>600 mg Ph</w:t>
      </w:r>
      <w:r w:rsidR="00FC3ABB" w:rsidRPr="00EC3BD7">
        <w:rPr>
          <w:color w:val="000000"/>
          <w:sz w:val="22"/>
          <w:szCs w:val="22"/>
          <w:lang w:val="et-EE"/>
        </w:rPr>
        <w:noBreakHyphen/>
        <w:t>positiivse ALL</w:t>
      </w:r>
      <w:r w:rsidR="00DD0F07">
        <w:rPr>
          <w:color w:val="000000"/>
          <w:sz w:val="22"/>
          <w:szCs w:val="22"/>
          <w:lang w:val="et-EE"/>
        </w:rPr>
        <w:t>-</w:t>
      </w:r>
      <w:r w:rsidR="00FC3ABB" w:rsidRPr="00EC3BD7">
        <w:rPr>
          <w:color w:val="000000"/>
          <w:sz w:val="22"/>
          <w:szCs w:val="22"/>
          <w:lang w:val="et-EE"/>
        </w:rPr>
        <w:t>i puhu</w:t>
      </w:r>
      <w:r w:rsidR="002A76F6" w:rsidRPr="00EC3BD7">
        <w:rPr>
          <w:color w:val="000000"/>
          <w:sz w:val="22"/>
          <w:szCs w:val="22"/>
          <w:lang w:val="et-EE"/>
        </w:rPr>
        <w:t>l</w:t>
      </w:r>
      <w:r w:rsidRPr="00EC3BD7">
        <w:rPr>
          <w:color w:val="000000"/>
          <w:sz w:val="22"/>
          <w:szCs w:val="22"/>
          <w:lang w:val="et-EE"/>
        </w:rPr>
        <w:t>. Ravimit võib anda kas ühekordse ööpäevase annusena või teise võimalusena jagada ööpäevane annus kaheks manustamiskorraks (pool annust hommikul ja pool annust õhtul).</w:t>
      </w:r>
    </w:p>
    <w:p w14:paraId="572FAE87" w14:textId="77777777" w:rsidR="00DA3205" w:rsidRPr="00EC3BD7" w:rsidRDefault="00DA3205" w:rsidP="00DA3205">
      <w:pPr>
        <w:pStyle w:val="Heading2"/>
        <w:keepNext w:val="0"/>
        <w:widowControl w:val="0"/>
        <w:spacing w:before="0" w:after="0" w:line="240" w:lineRule="auto"/>
        <w:rPr>
          <w:rFonts w:ascii="Times New Roman" w:hAnsi="Times New Roman"/>
          <w:b w:val="0"/>
          <w:i w:val="0"/>
          <w:color w:val="000000"/>
          <w:sz w:val="22"/>
          <w:szCs w:val="22"/>
          <w:lang w:val="et-EE"/>
        </w:rPr>
      </w:pPr>
    </w:p>
    <w:p w14:paraId="5B4743EA" w14:textId="77777777" w:rsidR="00DA3205" w:rsidRPr="00EC3BD7" w:rsidRDefault="00DA3205" w:rsidP="00B9089D">
      <w:pPr>
        <w:pStyle w:val="Text"/>
        <w:keepNext/>
        <w:widowControl w:val="0"/>
        <w:spacing w:before="0"/>
        <w:jc w:val="left"/>
        <w:rPr>
          <w:b/>
          <w:color w:val="000000"/>
          <w:sz w:val="22"/>
          <w:szCs w:val="22"/>
          <w:lang w:val="et-EE"/>
        </w:rPr>
      </w:pPr>
      <w:r w:rsidRPr="00EC3BD7">
        <w:rPr>
          <w:b/>
          <w:color w:val="000000"/>
          <w:sz w:val="22"/>
          <w:szCs w:val="22"/>
          <w:lang w:val="et-EE"/>
        </w:rPr>
        <w:t>Millal ja kuidas Glivecit võtta</w:t>
      </w:r>
    </w:p>
    <w:p w14:paraId="58053DCD" w14:textId="77777777" w:rsidR="00DA3205" w:rsidRPr="00EC3BD7" w:rsidRDefault="00DA3205" w:rsidP="00DA3205">
      <w:pPr>
        <w:pStyle w:val="Text"/>
        <w:widowControl w:val="0"/>
        <w:numPr>
          <w:ilvl w:val="0"/>
          <w:numId w:val="24"/>
        </w:numPr>
        <w:tabs>
          <w:tab w:val="clear" w:pos="1494"/>
          <w:tab w:val="num" w:pos="567"/>
        </w:tabs>
        <w:spacing w:before="0"/>
        <w:ind w:left="567" w:hanging="567"/>
        <w:jc w:val="left"/>
        <w:rPr>
          <w:b/>
          <w:color w:val="000000"/>
          <w:sz w:val="22"/>
          <w:szCs w:val="22"/>
          <w:lang w:val="et-EE"/>
        </w:rPr>
      </w:pPr>
      <w:r w:rsidRPr="00EC3BD7">
        <w:rPr>
          <w:b/>
          <w:color w:val="000000"/>
          <w:sz w:val="22"/>
          <w:szCs w:val="22"/>
          <w:lang w:val="et-EE"/>
        </w:rPr>
        <w:t xml:space="preserve">Võtke Glivec sisse söögi ajal. </w:t>
      </w:r>
      <w:r w:rsidRPr="00EC3BD7">
        <w:rPr>
          <w:bCs/>
          <w:color w:val="000000"/>
          <w:sz w:val="22"/>
          <w:szCs w:val="22"/>
          <w:lang w:val="et-EE"/>
        </w:rPr>
        <w:t>See aitab kaitsta magu</w:t>
      </w:r>
      <w:r w:rsidRPr="00EC3BD7">
        <w:rPr>
          <w:b/>
          <w:color w:val="000000"/>
          <w:sz w:val="22"/>
          <w:szCs w:val="22"/>
          <w:lang w:val="et-EE"/>
        </w:rPr>
        <w:t>,</w:t>
      </w:r>
      <w:r w:rsidRPr="00EC3BD7">
        <w:rPr>
          <w:bCs/>
          <w:color w:val="000000"/>
          <w:sz w:val="22"/>
          <w:szCs w:val="22"/>
          <w:lang w:val="et-EE"/>
        </w:rPr>
        <w:t xml:space="preserve"> kui te võtate Glivecit</w:t>
      </w:r>
      <w:r w:rsidRPr="00EC3BD7">
        <w:rPr>
          <w:b/>
          <w:color w:val="000000"/>
          <w:sz w:val="22"/>
          <w:szCs w:val="22"/>
          <w:lang w:val="et-EE"/>
        </w:rPr>
        <w:t>.</w:t>
      </w:r>
    </w:p>
    <w:p w14:paraId="5C20BA7C" w14:textId="77777777" w:rsidR="00DA3205" w:rsidRPr="00EC3BD7" w:rsidRDefault="00DA3205" w:rsidP="00DA3205">
      <w:pPr>
        <w:pStyle w:val="Text"/>
        <w:widowControl w:val="0"/>
        <w:numPr>
          <w:ilvl w:val="0"/>
          <w:numId w:val="24"/>
        </w:numPr>
        <w:tabs>
          <w:tab w:val="clear" w:pos="1494"/>
          <w:tab w:val="num" w:pos="567"/>
        </w:tabs>
        <w:spacing w:before="0"/>
        <w:ind w:left="567" w:hanging="567"/>
        <w:jc w:val="left"/>
        <w:rPr>
          <w:b/>
          <w:color w:val="000000"/>
          <w:sz w:val="22"/>
          <w:szCs w:val="22"/>
          <w:lang w:val="et-EE"/>
        </w:rPr>
      </w:pPr>
      <w:r w:rsidRPr="00EC3BD7">
        <w:rPr>
          <w:b/>
          <w:color w:val="000000"/>
          <w:sz w:val="22"/>
          <w:szCs w:val="22"/>
          <w:lang w:val="et-EE"/>
        </w:rPr>
        <w:t>Neelake tabletid tervelt koos suure klaasitäie veega.</w:t>
      </w:r>
    </w:p>
    <w:p w14:paraId="6E9F1F28" w14:textId="77777777" w:rsidR="00DA3205" w:rsidRPr="00EC3BD7" w:rsidRDefault="00DA3205" w:rsidP="00DA3205">
      <w:pPr>
        <w:pStyle w:val="Text"/>
        <w:widowControl w:val="0"/>
        <w:spacing w:before="0"/>
        <w:jc w:val="left"/>
        <w:rPr>
          <w:color w:val="000000"/>
          <w:sz w:val="22"/>
          <w:szCs w:val="22"/>
          <w:lang w:val="et-EE"/>
        </w:rPr>
      </w:pPr>
    </w:p>
    <w:p w14:paraId="697B21E3" w14:textId="77777777" w:rsidR="00DA3205" w:rsidRPr="00EC3BD7" w:rsidRDefault="00DA3205" w:rsidP="00DA3205">
      <w:pPr>
        <w:pStyle w:val="Text"/>
        <w:widowControl w:val="0"/>
        <w:spacing w:before="0"/>
        <w:jc w:val="left"/>
        <w:rPr>
          <w:color w:val="000000"/>
          <w:sz w:val="22"/>
          <w:szCs w:val="22"/>
          <w:lang w:val="et-EE"/>
        </w:rPr>
      </w:pPr>
      <w:r w:rsidRPr="00EC3BD7">
        <w:rPr>
          <w:color w:val="000000"/>
          <w:sz w:val="22"/>
          <w:szCs w:val="22"/>
          <w:lang w:val="et-EE"/>
        </w:rPr>
        <w:t>Kui te ei saa tabletti neelata, võite need lahustada klaasitäies gaseerimata vees või õunamahlas:</w:t>
      </w:r>
    </w:p>
    <w:p w14:paraId="33CFF215" w14:textId="281A55BA" w:rsidR="00DA3205" w:rsidRPr="00EC3BD7" w:rsidRDefault="00DA3205" w:rsidP="00DA3205">
      <w:pPr>
        <w:pStyle w:val="Text"/>
        <w:widowControl w:val="0"/>
        <w:numPr>
          <w:ilvl w:val="0"/>
          <w:numId w:val="6"/>
        </w:numPr>
        <w:tabs>
          <w:tab w:val="clear" w:pos="720"/>
        </w:tabs>
        <w:spacing w:before="0"/>
        <w:ind w:hanging="567"/>
        <w:jc w:val="left"/>
        <w:rPr>
          <w:color w:val="000000"/>
          <w:sz w:val="22"/>
          <w:szCs w:val="22"/>
          <w:lang w:val="et-EE"/>
        </w:rPr>
      </w:pPr>
      <w:r w:rsidRPr="00EC3BD7">
        <w:rPr>
          <w:color w:val="000000"/>
          <w:sz w:val="22"/>
          <w:szCs w:val="22"/>
          <w:lang w:val="et-EE"/>
        </w:rPr>
        <w:t>Võtke umbes 50 ml vedelikku iga 100 mg</w:t>
      </w:r>
      <w:r w:rsidR="00CC2DF6">
        <w:rPr>
          <w:color w:val="000000"/>
          <w:sz w:val="22"/>
          <w:szCs w:val="22"/>
          <w:lang w:val="et-EE"/>
        </w:rPr>
        <w:t>-se</w:t>
      </w:r>
      <w:r w:rsidRPr="00EC3BD7">
        <w:rPr>
          <w:color w:val="000000"/>
          <w:sz w:val="22"/>
          <w:szCs w:val="22"/>
          <w:lang w:val="et-EE"/>
        </w:rPr>
        <w:t xml:space="preserve"> tableti jaoks</w:t>
      </w:r>
      <w:r w:rsidR="00CC2DF6">
        <w:rPr>
          <w:color w:val="000000"/>
          <w:sz w:val="22"/>
          <w:szCs w:val="22"/>
          <w:lang w:val="et-EE"/>
        </w:rPr>
        <w:t xml:space="preserve"> või 200</w:t>
      </w:r>
      <w:r w:rsidR="00365297">
        <w:rPr>
          <w:color w:val="000000"/>
          <w:sz w:val="22"/>
          <w:szCs w:val="22"/>
          <w:lang w:val="et-EE"/>
        </w:rPr>
        <w:t> </w:t>
      </w:r>
      <w:r w:rsidR="00CC2DF6">
        <w:rPr>
          <w:color w:val="000000"/>
          <w:sz w:val="22"/>
          <w:szCs w:val="22"/>
          <w:lang w:val="et-EE"/>
        </w:rPr>
        <w:t>ml iga 400</w:t>
      </w:r>
      <w:r w:rsidR="00365297">
        <w:rPr>
          <w:color w:val="000000"/>
          <w:sz w:val="22"/>
          <w:szCs w:val="22"/>
          <w:lang w:val="et-EE"/>
        </w:rPr>
        <w:t> </w:t>
      </w:r>
      <w:r w:rsidR="00CC2DF6">
        <w:rPr>
          <w:color w:val="000000"/>
          <w:sz w:val="22"/>
          <w:szCs w:val="22"/>
          <w:lang w:val="et-EE"/>
        </w:rPr>
        <w:t>mg-se tableti jaoks</w:t>
      </w:r>
      <w:r w:rsidRPr="00EC3BD7">
        <w:rPr>
          <w:color w:val="000000"/>
          <w:sz w:val="22"/>
          <w:szCs w:val="22"/>
          <w:lang w:val="et-EE"/>
        </w:rPr>
        <w:t>.</w:t>
      </w:r>
    </w:p>
    <w:p w14:paraId="4B86E9B1" w14:textId="77777777" w:rsidR="00DA3205" w:rsidRPr="00EC3BD7" w:rsidRDefault="00DA3205" w:rsidP="00DA3205">
      <w:pPr>
        <w:pStyle w:val="Text"/>
        <w:widowControl w:val="0"/>
        <w:numPr>
          <w:ilvl w:val="0"/>
          <w:numId w:val="6"/>
        </w:numPr>
        <w:tabs>
          <w:tab w:val="clear" w:pos="720"/>
        </w:tabs>
        <w:spacing w:before="0"/>
        <w:ind w:hanging="567"/>
        <w:jc w:val="left"/>
        <w:rPr>
          <w:color w:val="000000"/>
          <w:sz w:val="22"/>
          <w:szCs w:val="22"/>
          <w:lang w:val="et-EE"/>
        </w:rPr>
      </w:pPr>
      <w:r w:rsidRPr="00EC3BD7">
        <w:rPr>
          <w:color w:val="000000"/>
          <w:sz w:val="22"/>
          <w:szCs w:val="22"/>
          <w:lang w:val="et-EE"/>
        </w:rPr>
        <w:t>Segage lusikaga kuni tabletid lagunevad täielikult.</w:t>
      </w:r>
    </w:p>
    <w:p w14:paraId="11C011E1" w14:textId="77777777" w:rsidR="00DA3205" w:rsidRPr="00EC3BD7" w:rsidRDefault="00DA3205" w:rsidP="00DA3205">
      <w:pPr>
        <w:pStyle w:val="Text"/>
        <w:widowControl w:val="0"/>
        <w:numPr>
          <w:ilvl w:val="0"/>
          <w:numId w:val="6"/>
        </w:numPr>
        <w:tabs>
          <w:tab w:val="clear" w:pos="720"/>
        </w:tabs>
        <w:spacing w:before="0"/>
        <w:ind w:hanging="567"/>
        <w:jc w:val="left"/>
        <w:rPr>
          <w:color w:val="000000"/>
          <w:sz w:val="22"/>
          <w:szCs w:val="22"/>
          <w:lang w:val="et-EE"/>
        </w:rPr>
      </w:pPr>
      <w:r w:rsidRPr="00EC3BD7">
        <w:rPr>
          <w:color w:val="000000"/>
          <w:sz w:val="22"/>
          <w:szCs w:val="22"/>
          <w:lang w:val="et-EE"/>
        </w:rPr>
        <w:t>Kõik klaasis olev tuleb manustada koheselt peale tableti lagunemist. Klaasi sisepinnale võivad jääda tabletiosakeste jäljed.</w:t>
      </w:r>
    </w:p>
    <w:p w14:paraId="107AB1C5" w14:textId="77777777" w:rsidR="00DA3205" w:rsidRPr="00EC3BD7" w:rsidRDefault="00DA3205" w:rsidP="00DA3205">
      <w:pPr>
        <w:pStyle w:val="Heading2"/>
        <w:keepNext w:val="0"/>
        <w:widowControl w:val="0"/>
        <w:spacing w:before="0" w:after="0" w:line="240" w:lineRule="auto"/>
        <w:rPr>
          <w:rFonts w:ascii="Times New Roman" w:hAnsi="Times New Roman"/>
          <w:b w:val="0"/>
          <w:i w:val="0"/>
          <w:color w:val="000000"/>
          <w:sz w:val="22"/>
          <w:szCs w:val="22"/>
          <w:lang w:val="et-EE"/>
        </w:rPr>
      </w:pPr>
    </w:p>
    <w:p w14:paraId="4E027B8D" w14:textId="77777777" w:rsidR="00DA3205" w:rsidRPr="00EC3BD7" w:rsidRDefault="00DA3205" w:rsidP="00B9089D">
      <w:pPr>
        <w:pStyle w:val="Heading2"/>
        <w:widowControl w:val="0"/>
        <w:spacing w:before="0" w:after="0" w:line="240" w:lineRule="auto"/>
        <w:rPr>
          <w:rFonts w:ascii="Times New Roman" w:hAnsi="Times New Roman"/>
          <w:i w:val="0"/>
          <w:color w:val="000000"/>
          <w:sz w:val="22"/>
          <w:szCs w:val="22"/>
          <w:lang w:val="et-EE"/>
        </w:rPr>
      </w:pPr>
      <w:r w:rsidRPr="00EC3BD7">
        <w:rPr>
          <w:rFonts w:ascii="Times New Roman" w:hAnsi="Times New Roman"/>
          <w:i w:val="0"/>
          <w:color w:val="000000"/>
          <w:sz w:val="22"/>
          <w:szCs w:val="22"/>
          <w:lang w:val="et-EE"/>
        </w:rPr>
        <w:t>Kui kaua Glivecit võtta</w:t>
      </w:r>
    </w:p>
    <w:p w14:paraId="504AB7C6" w14:textId="77777777" w:rsidR="00DA3205" w:rsidRPr="00EC3BD7" w:rsidRDefault="00DA3205" w:rsidP="00DA3205">
      <w:pPr>
        <w:pStyle w:val="Text"/>
        <w:widowControl w:val="0"/>
        <w:spacing w:before="0"/>
        <w:jc w:val="left"/>
        <w:rPr>
          <w:color w:val="000000"/>
          <w:sz w:val="22"/>
          <w:szCs w:val="22"/>
          <w:lang w:val="et-EE"/>
        </w:rPr>
      </w:pPr>
      <w:r w:rsidRPr="00EC3BD7">
        <w:rPr>
          <w:color w:val="000000"/>
          <w:sz w:val="22"/>
          <w:szCs w:val="22"/>
          <w:lang w:val="et-EE"/>
        </w:rPr>
        <w:t>Jätkake Gliveci võtmist iga päev nii kaua, kui arst on teile määranud.</w:t>
      </w:r>
    </w:p>
    <w:p w14:paraId="5D7901D1" w14:textId="77777777" w:rsidR="00DA3205" w:rsidRPr="00EC3BD7" w:rsidRDefault="00DA3205" w:rsidP="00DA3205">
      <w:pPr>
        <w:pStyle w:val="Text"/>
        <w:widowControl w:val="0"/>
        <w:spacing w:before="0"/>
        <w:jc w:val="left"/>
        <w:rPr>
          <w:color w:val="000000"/>
          <w:sz w:val="22"/>
          <w:szCs w:val="22"/>
          <w:lang w:val="et-EE"/>
        </w:rPr>
      </w:pPr>
    </w:p>
    <w:p w14:paraId="0647956E" w14:textId="77777777" w:rsidR="00DA3205" w:rsidRPr="00EC3BD7" w:rsidRDefault="00DA3205" w:rsidP="00B9089D">
      <w:pPr>
        <w:keepNext/>
        <w:widowControl w:val="0"/>
        <w:numPr>
          <w:ilvl w:val="12"/>
          <w:numId w:val="0"/>
        </w:numPr>
        <w:tabs>
          <w:tab w:val="clear" w:pos="567"/>
        </w:tabs>
        <w:spacing w:line="240" w:lineRule="auto"/>
        <w:ind w:right="-2"/>
        <w:rPr>
          <w:color w:val="000000"/>
          <w:szCs w:val="22"/>
          <w:lang w:val="et-EE"/>
        </w:rPr>
      </w:pPr>
      <w:r w:rsidRPr="00EC3BD7">
        <w:rPr>
          <w:b/>
          <w:color w:val="000000"/>
          <w:szCs w:val="22"/>
          <w:lang w:val="et-EE"/>
        </w:rPr>
        <w:t>Kui te võtate Glivecit rohkem kui ette nähtud</w:t>
      </w:r>
    </w:p>
    <w:p w14:paraId="033C6306" w14:textId="77777777" w:rsidR="00DA3205" w:rsidRPr="00EC3BD7" w:rsidRDefault="00DA3205" w:rsidP="00DA3205">
      <w:pPr>
        <w:pStyle w:val="Text"/>
        <w:widowControl w:val="0"/>
        <w:spacing w:before="0"/>
        <w:jc w:val="left"/>
        <w:rPr>
          <w:color w:val="000000"/>
          <w:sz w:val="22"/>
          <w:szCs w:val="22"/>
          <w:lang w:val="et-EE"/>
        </w:rPr>
      </w:pPr>
      <w:r w:rsidRPr="00EC3BD7">
        <w:rPr>
          <w:color w:val="000000"/>
          <w:sz w:val="22"/>
          <w:szCs w:val="22"/>
          <w:lang w:val="et-EE"/>
        </w:rPr>
        <w:t xml:space="preserve">Kui võtsite kogemata liiga palju tablette, </w:t>
      </w:r>
      <w:r w:rsidRPr="00EC3BD7">
        <w:rPr>
          <w:b/>
          <w:color w:val="000000"/>
          <w:sz w:val="22"/>
          <w:szCs w:val="22"/>
          <w:lang w:val="et-EE"/>
        </w:rPr>
        <w:t>võtke viivitamatult ühendust arstiga</w:t>
      </w:r>
      <w:r w:rsidRPr="00EC3BD7">
        <w:rPr>
          <w:color w:val="000000"/>
          <w:sz w:val="22"/>
          <w:szCs w:val="22"/>
          <w:lang w:val="et-EE"/>
        </w:rPr>
        <w:t>. Te võite vajada meditsiinilist abi. Võtke ravimipakk endaga kaasa.</w:t>
      </w:r>
    </w:p>
    <w:p w14:paraId="3EAF8A49" w14:textId="77777777" w:rsidR="00DA3205" w:rsidRPr="00EC3BD7" w:rsidRDefault="00DA3205" w:rsidP="00DA3205">
      <w:pPr>
        <w:pStyle w:val="Text"/>
        <w:widowControl w:val="0"/>
        <w:spacing w:before="0"/>
        <w:jc w:val="left"/>
        <w:rPr>
          <w:color w:val="000000"/>
          <w:sz w:val="22"/>
          <w:szCs w:val="22"/>
          <w:lang w:val="et-EE"/>
        </w:rPr>
      </w:pPr>
    </w:p>
    <w:p w14:paraId="6F58F9B2" w14:textId="77777777" w:rsidR="00DA3205" w:rsidRPr="00EC3BD7" w:rsidRDefault="00DA3205" w:rsidP="00B9089D">
      <w:pPr>
        <w:keepNext/>
        <w:numPr>
          <w:ilvl w:val="12"/>
          <w:numId w:val="0"/>
        </w:numPr>
        <w:tabs>
          <w:tab w:val="clear" w:pos="567"/>
        </w:tabs>
        <w:spacing w:line="240" w:lineRule="auto"/>
        <w:ind w:right="-2"/>
        <w:rPr>
          <w:b/>
          <w:color w:val="000000"/>
          <w:szCs w:val="22"/>
          <w:lang w:val="et-EE"/>
        </w:rPr>
      </w:pPr>
      <w:r w:rsidRPr="00EC3BD7">
        <w:rPr>
          <w:b/>
          <w:color w:val="000000"/>
          <w:szCs w:val="22"/>
          <w:lang w:val="et-EE"/>
        </w:rPr>
        <w:t>Kui te unustate Glivecit võtta</w:t>
      </w:r>
    </w:p>
    <w:p w14:paraId="43701714" w14:textId="77777777" w:rsidR="00DA3205" w:rsidRPr="00EC3BD7" w:rsidRDefault="00DA3205" w:rsidP="00DA3205">
      <w:pPr>
        <w:widowControl w:val="0"/>
        <w:numPr>
          <w:ilvl w:val="0"/>
          <w:numId w:val="20"/>
        </w:numPr>
        <w:tabs>
          <w:tab w:val="clear" w:pos="567"/>
        </w:tabs>
        <w:spacing w:line="240" w:lineRule="auto"/>
        <w:ind w:left="567" w:right="-2" w:hanging="567"/>
        <w:rPr>
          <w:color w:val="000000"/>
          <w:szCs w:val="22"/>
          <w:lang w:val="et-EE"/>
        </w:rPr>
      </w:pPr>
      <w:r w:rsidRPr="00EC3BD7">
        <w:rPr>
          <w:color w:val="000000"/>
          <w:szCs w:val="22"/>
          <w:lang w:val="et-EE"/>
        </w:rPr>
        <w:t>Kui te unustate ühe annuse võtta, võtke see kohe, kui see teile meenub. Kui juba on peaaegu järgmise annuse võtmise aeg, jätke ununenud annus vahele.</w:t>
      </w:r>
    </w:p>
    <w:p w14:paraId="3E322605" w14:textId="77777777" w:rsidR="00DA3205" w:rsidRPr="00EC3BD7" w:rsidRDefault="00DA3205" w:rsidP="00DA3205">
      <w:pPr>
        <w:widowControl w:val="0"/>
        <w:numPr>
          <w:ilvl w:val="0"/>
          <w:numId w:val="20"/>
        </w:numPr>
        <w:tabs>
          <w:tab w:val="clear" w:pos="567"/>
        </w:tabs>
        <w:spacing w:line="240" w:lineRule="auto"/>
        <w:ind w:left="567" w:right="-2" w:hanging="567"/>
        <w:rPr>
          <w:color w:val="000000"/>
          <w:szCs w:val="22"/>
          <w:lang w:val="et-EE"/>
        </w:rPr>
      </w:pPr>
      <w:r w:rsidRPr="00EC3BD7">
        <w:rPr>
          <w:color w:val="000000"/>
          <w:szCs w:val="22"/>
          <w:lang w:val="et-EE"/>
        </w:rPr>
        <w:t>Jätkake ravimi võtmist nagu tavaliselt.</w:t>
      </w:r>
    </w:p>
    <w:p w14:paraId="24E959CC" w14:textId="77777777" w:rsidR="00DA3205" w:rsidRPr="00EC3BD7" w:rsidRDefault="00DA3205" w:rsidP="00DA3205">
      <w:pPr>
        <w:widowControl w:val="0"/>
        <w:numPr>
          <w:ilvl w:val="0"/>
          <w:numId w:val="20"/>
        </w:numPr>
        <w:tabs>
          <w:tab w:val="clear" w:pos="567"/>
        </w:tabs>
        <w:spacing w:line="240" w:lineRule="auto"/>
        <w:ind w:left="567" w:right="-2" w:hanging="567"/>
        <w:rPr>
          <w:color w:val="000000"/>
          <w:szCs w:val="22"/>
          <w:lang w:val="et-EE"/>
        </w:rPr>
      </w:pPr>
      <w:r w:rsidRPr="00EC3BD7">
        <w:rPr>
          <w:color w:val="000000"/>
          <w:szCs w:val="22"/>
          <w:lang w:val="et-EE"/>
        </w:rPr>
        <w:t>Ärge võtke kahekordset annust, kui annus jäi eelmisel korral võtmata.</w:t>
      </w:r>
    </w:p>
    <w:p w14:paraId="2726A1A1" w14:textId="77777777" w:rsidR="00DA3205" w:rsidRPr="00EC3BD7" w:rsidRDefault="00DA3205" w:rsidP="00DA3205">
      <w:pPr>
        <w:numPr>
          <w:ilvl w:val="12"/>
          <w:numId w:val="0"/>
        </w:numPr>
        <w:tabs>
          <w:tab w:val="clear" w:pos="567"/>
        </w:tabs>
        <w:spacing w:line="240" w:lineRule="auto"/>
        <w:ind w:right="-2"/>
        <w:rPr>
          <w:color w:val="000000"/>
          <w:szCs w:val="22"/>
          <w:lang w:val="et-EE"/>
        </w:rPr>
      </w:pPr>
    </w:p>
    <w:p w14:paraId="10137203" w14:textId="77777777" w:rsidR="00DA3205" w:rsidRPr="00EC3BD7" w:rsidRDefault="00DA3205" w:rsidP="00DA3205">
      <w:pPr>
        <w:widowControl w:val="0"/>
        <w:numPr>
          <w:ilvl w:val="12"/>
          <w:numId w:val="0"/>
        </w:numPr>
        <w:tabs>
          <w:tab w:val="clear" w:pos="567"/>
        </w:tabs>
        <w:spacing w:line="240" w:lineRule="auto"/>
        <w:ind w:right="-2"/>
        <w:rPr>
          <w:color w:val="000000"/>
          <w:szCs w:val="22"/>
          <w:lang w:val="et-EE"/>
        </w:rPr>
      </w:pPr>
      <w:r w:rsidRPr="00EC3BD7">
        <w:rPr>
          <w:bCs/>
          <w:color w:val="000000"/>
          <w:szCs w:val="22"/>
          <w:lang w:val="et-EE"/>
        </w:rPr>
        <w:t xml:space="preserve">Kui teil on lisaküsimusi selle ravimi kasutamise kohta, </w:t>
      </w:r>
      <w:r w:rsidRPr="00EC3BD7">
        <w:rPr>
          <w:color w:val="000000"/>
          <w:szCs w:val="22"/>
          <w:lang w:val="et-EE"/>
        </w:rPr>
        <w:t>pidage nõu oma arsti</w:t>
      </w:r>
      <w:r w:rsidR="009D4CE7" w:rsidRPr="00EC3BD7">
        <w:rPr>
          <w:color w:val="000000"/>
          <w:szCs w:val="22"/>
          <w:lang w:val="et-EE"/>
        </w:rPr>
        <w:t>,</w:t>
      </w:r>
      <w:r w:rsidRPr="00EC3BD7">
        <w:rPr>
          <w:color w:val="000000"/>
          <w:szCs w:val="22"/>
          <w:lang w:val="et-EE"/>
        </w:rPr>
        <w:t xml:space="preserve"> apteekri</w:t>
      </w:r>
      <w:r w:rsidR="009D4CE7" w:rsidRPr="00EC3BD7">
        <w:rPr>
          <w:color w:val="000000"/>
          <w:szCs w:val="22"/>
          <w:lang w:val="et-EE"/>
        </w:rPr>
        <w:t xml:space="preserve"> või meditsiiniõega</w:t>
      </w:r>
      <w:r w:rsidRPr="00EC3BD7">
        <w:rPr>
          <w:bCs/>
          <w:color w:val="000000"/>
          <w:szCs w:val="22"/>
          <w:lang w:val="et-EE"/>
        </w:rPr>
        <w:t>.</w:t>
      </w:r>
    </w:p>
    <w:p w14:paraId="55098C5E" w14:textId="77777777" w:rsidR="00DA3205" w:rsidRPr="00EC3BD7" w:rsidRDefault="00DA3205" w:rsidP="00DA3205">
      <w:pPr>
        <w:widowControl w:val="0"/>
        <w:numPr>
          <w:ilvl w:val="12"/>
          <w:numId w:val="0"/>
        </w:numPr>
        <w:tabs>
          <w:tab w:val="clear" w:pos="567"/>
        </w:tabs>
        <w:spacing w:line="240" w:lineRule="auto"/>
        <w:ind w:right="-2"/>
        <w:rPr>
          <w:color w:val="000000"/>
          <w:szCs w:val="22"/>
          <w:lang w:val="et-EE"/>
        </w:rPr>
      </w:pPr>
    </w:p>
    <w:p w14:paraId="6A5AE396" w14:textId="77777777" w:rsidR="00DA3205" w:rsidRPr="00EC3BD7" w:rsidRDefault="00DA3205" w:rsidP="00DA3205">
      <w:pPr>
        <w:widowControl w:val="0"/>
        <w:numPr>
          <w:ilvl w:val="12"/>
          <w:numId w:val="0"/>
        </w:numPr>
        <w:tabs>
          <w:tab w:val="clear" w:pos="567"/>
        </w:tabs>
        <w:spacing w:line="240" w:lineRule="auto"/>
        <w:ind w:right="-2"/>
        <w:rPr>
          <w:color w:val="000000"/>
          <w:szCs w:val="22"/>
          <w:lang w:val="et-EE"/>
        </w:rPr>
      </w:pPr>
    </w:p>
    <w:p w14:paraId="3BD9F1D8" w14:textId="77777777" w:rsidR="00E21A2F" w:rsidRPr="00EC3BD7" w:rsidRDefault="00E21A2F" w:rsidP="00B9089D">
      <w:pPr>
        <w:keepNext/>
        <w:widowControl w:val="0"/>
        <w:numPr>
          <w:ilvl w:val="12"/>
          <w:numId w:val="0"/>
        </w:numPr>
        <w:tabs>
          <w:tab w:val="clear" w:pos="567"/>
        </w:tabs>
        <w:spacing w:line="240" w:lineRule="auto"/>
        <w:ind w:left="567" w:right="-2" w:hanging="567"/>
        <w:rPr>
          <w:color w:val="000000"/>
          <w:szCs w:val="22"/>
          <w:lang w:val="et-EE"/>
        </w:rPr>
      </w:pPr>
      <w:r w:rsidRPr="00EC3BD7">
        <w:rPr>
          <w:b/>
          <w:color w:val="000000"/>
          <w:szCs w:val="22"/>
          <w:lang w:val="et-EE"/>
        </w:rPr>
        <w:t>4.</w:t>
      </w:r>
      <w:r w:rsidRPr="00EC3BD7">
        <w:rPr>
          <w:b/>
          <w:color w:val="000000"/>
          <w:szCs w:val="22"/>
          <w:lang w:val="et-EE"/>
        </w:rPr>
        <w:tab/>
      </w:r>
      <w:r w:rsidRPr="00EC3BD7">
        <w:rPr>
          <w:b/>
          <w:lang w:val="et-EE"/>
        </w:rPr>
        <w:t>Võimalikud kõrvaltoimed</w:t>
      </w:r>
    </w:p>
    <w:p w14:paraId="331FCB14" w14:textId="77777777" w:rsidR="00E21A2F" w:rsidRPr="00EC3BD7" w:rsidRDefault="00E21A2F" w:rsidP="00B9089D">
      <w:pPr>
        <w:pStyle w:val="Text"/>
        <w:keepNext/>
        <w:widowControl w:val="0"/>
        <w:spacing w:before="0"/>
        <w:jc w:val="left"/>
        <w:rPr>
          <w:color w:val="000000"/>
          <w:sz w:val="22"/>
          <w:szCs w:val="22"/>
          <w:lang w:val="et-EE"/>
        </w:rPr>
      </w:pPr>
    </w:p>
    <w:p w14:paraId="65BE8F69" w14:textId="77777777" w:rsidR="00E21A2F" w:rsidRPr="00EC3BD7" w:rsidRDefault="00E21A2F" w:rsidP="00E21A2F">
      <w:pPr>
        <w:numPr>
          <w:ilvl w:val="12"/>
          <w:numId w:val="0"/>
        </w:numPr>
        <w:tabs>
          <w:tab w:val="clear" w:pos="567"/>
        </w:tabs>
        <w:spacing w:line="240" w:lineRule="auto"/>
        <w:ind w:right="-29"/>
        <w:rPr>
          <w:color w:val="000000"/>
          <w:szCs w:val="22"/>
          <w:lang w:val="et-EE"/>
        </w:rPr>
      </w:pPr>
      <w:r w:rsidRPr="00EC3BD7">
        <w:rPr>
          <w:color w:val="000000"/>
          <w:szCs w:val="22"/>
          <w:lang w:val="et-EE"/>
        </w:rPr>
        <w:t>Nagu kõik ravimid, võib ka see ravim põhjustada kõrvaltoimeid, kuigi kõigil neid ei teki. Need on tavaliselt kerged kuni mõõdukad.</w:t>
      </w:r>
    </w:p>
    <w:p w14:paraId="5A90A47B" w14:textId="77777777" w:rsidR="00E21A2F" w:rsidRPr="00EC3BD7" w:rsidRDefault="00E21A2F" w:rsidP="00E21A2F">
      <w:pPr>
        <w:pStyle w:val="Text"/>
        <w:widowControl w:val="0"/>
        <w:spacing w:before="0"/>
        <w:jc w:val="left"/>
        <w:rPr>
          <w:color w:val="000000"/>
          <w:sz w:val="22"/>
          <w:szCs w:val="22"/>
          <w:lang w:val="et-EE"/>
        </w:rPr>
      </w:pPr>
    </w:p>
    <w:p w14:paraId="7A02EDC1" w14:textId="77777777" w:rsidR="00E21A2F" w:rsidRPr="00EC3BD7" w:rsidRDefault="00E21A2F" w:rsidP="00B9089D">
      <w:pPr>
        <w:pStyle w:val="Heading4"/>
        <w:widowControl w:val="0"/>
        <w:spacing w:line="240" w:lineRule="auto"/>
        <w:jc w:val="left"/>
        <w:rPr>
          <w:noProof w:val="0"/>
          <w:color w:val="000000"/>
          <w:szCs w:val="22"/>
          <w:lang w:val="et-EE"/>
        </w:rPr>
      </w:pPr>
      <w:r w:rsidRPr="00EC3BD7">
        <w:rPr>
          <w:noProof w:val="0"/>
          <w:color w:val="000000"/>
          <w:szCs w:val="22"/>
          <w:lang w:val="et-EE"/>
        </w:rPr>
        <w:t>Mõned kõrvaltoimed võivad olla tõsised. Öelge oma arstile otsekohe, kui teil tekib ükskõik milline järgnevatest:</w:t>
      </w:r>
    </w:p>
    <w:p w14:paraId="5D67F49B" w14:textId="77777777" w:rsidR="00E21A2F" w:rsidRPr="00EC3BD7" w:rsidRDefault="00E21A2F" w:rsidP="00B9089D">
      <w:pPr>
        <w:keepNext/>
        <w:rPr>
          <w:color w:val="000000"/>
          <w:szCs w:val="22"/>
          <w:lang w:val="et-EE"/>
        </w:rPr>
      </w:pPr>
    </w:p>
    <w:p w14:paraId="781FC2EF" w14:textId="77777777" w:rsidR="00E21A2F" w:rsidRPr="00EC3BD7" w:rsidRDefault="00E21A2F" w:rsidP="00B9089D">
      <w:pPr>
        <w:keepNext/>
        <w:numPr>
          <w:ilvl w:val="12"/>
          <w:numId w:val="0"/>
        </w:numPr>
        <w:tabs>
          <w:tab w:val="clear" w:pos="567"/>
        </w:tabs>
        <w:spacing w:line="240" w:lineRule="auto"/>
        <w:ind w:right="-29"/>
        <w:rPr>
          <w:b/>
          <w:color w:val="000000"/>
          <w:szCs w:val="22"/>
          <w:lang w:val="et-EE"/>
        </w:rPr>
      </w:pPr>
      <w:r w:rsidRPr="00EC3BD7">
        <w:rPr>
          <w:b/>
          <w:color w:val="000000"/>
          <w:szCs w:val="22"/>
          <w:lang w:val="et-EE"/>
        </w:rPr>
        <w:t>Väga sage</w:t>
      </w:r>
      <w:r w:rsidRPr="00EC3BD7">
        <w:rPr>
          <w:color w:val="000000"/>
          <w:szCs w:val="22"/>
          <w:lang w:val="et-EE"/>
        </w:rPr>
        <w:t xml:space="preserve"> (võib mõjutada rohkem kui 1 patsienti 10-st)</w:t>
      </w:r>
      <w:r w:rsidRPr="00EC3BD7">
        <w:rPr>
          <w:b/>
          <w:color w:val="000000"/>
          <w:szCs w:val="22"/>
          <w:lang w:val="et-EE"/>
        </w:rPr>
        <w:t xml:space="preserve"> või sage</w:t>
      </w:r>
      <w:r w:rsidRPr="00EC3BD7">
        <w:rPr>
          <w:color w:val="000000"/>
          <w:szCs w:val="22"/>
          <w:lang w:val="et-EE"/>
        </w:rPr>
        <w:t xml:space="preserve"> (võib mõjutada kuni 1 patsienti 10-st):</w:t>
      </w:r>
    </w:p>
    <w:p w14:paraId="758648DA" w14:textId="77777777" w:rsidR="00E21A2F" w:rsidRPr="00EC3BD7" w:rsidRDefault="00E21A2F" w:rsidP="00E21A2F">
      <w:pPr>
        <w:pStyle w:val="Text"/>
        <w:widowControl w:val="0"/>
        <w:numPr>
          <w:ilvl w:val="0"/>
          <w:numId w:val="3"/>
        </w:numPr>
        <w:tabs>
          <w:tab w:val="clear" w:pos="360"/>
        </w:tabs>
        <w:spacing w:before="0"/>
        <w:ind w:left="567" w:hanging="567"/>
        <w:jc w:val="left"/>
        <w:rPr>
          <w:color w:val="000000"/>
          <w:sz w:val="22"/>
          <w:szCs w:val="22"/>
          <w:lang w:val="et-EE"/>
        </w:rPr>
      </w:pPr>
      <w:r w:rsidRPr="00EC3BD7">
        <w:rPr>
          <w:color w:val="000000"/>
          <w:sz w:val="22"/>
          <w:szCs w:val="22"/>
          <w:lang w:val="et-EE"/>
        </w:rPr>
        <w:t>Kiire kaalutõus. Gliveci ravi ajal võib teie organismi koguneda vett (äge vedelikupeetus).</w:t>
      </w:r>
    </w:p>
    <w:p w14:paraId="3BA5C11E" w14:textId="77777777" w:rsidR="00E21A2F" w:rsidRPr="00EC3BD7" w:rsidRDefault="00E21A2F" w:rsidP="00E21A2F">
      <w:pPr>
        <w:pStyle w:val="Text"/>
        <w:widowControl w:val="0"/>
        <w:numPr>
          <w:ilvl w:val="0"/>
          <w:numId w:val="4"/>
        </w:numPr>
        <w:tabs>
          <w:tab w:val="clear" w:pos="360"/>
        </w:tabs>
        <w:spacing w:before="0"/>
        <w:ind w:left="567" w:hanging="567"/>
        <w:jc w:val="left"/>
        <w:rPr>
          <w:color w:val="000000"/>
          <w:sz w:val="22"/>
          <w:szCs w:val="22"/>
          <w:lang w:val="et-EE"/>
        </w:rPr>
      </w:pPr>
      <w:r w:rsidRPr="00EC3BD7">
        <w:rPr>
          <w:color w:val="000000"/>
          <w:sz w:val="22"/>
          <w:szCs w:val="22"/>
          <w:lang w:val="et-EE"/>
        </w:rPr>
        <w:t>Infektsiooni sümptomid nagu palavik, külmavärinad, kurguvalu või haavandid suus. Glivec võib vähendada valgete vererakkude arvu, mis võib põhjustada suuremat vastuvõtlikkust infektsioonidele.</w:t>
      </w:r>
    </w:p>
    <w:p w14:paraId="60EE615B" w14:textId="77777777" w:rsidR="00E21A2F" w:rsidRPr="00EC3BD7" w:rsidRDefault="00E21A2F" w:rsidP="00E21A2F">
      <w:pPr>
        <w:pStyle w:val="Text"/>
        <w:widowControl w:val="0"/>
        <w:numPr>
          <w:ilvl w:val="0"/>
          <w:numId w:val="5"/>
        </w:numPr>
        <w:tabs>
          <w:tab w:val="clear" w:pos="360"/>
        </w:tabs>
        <w:spacing w:before="0"/>
        <w:ind w:left="567" w:hanging="567"/>
        <w:jc w:val="left"/>
        <w:rPr>
          <w:color w:val="000000"/>
          <w:sz w:val="22"/>
          <w:szCs w:val="22"/>
          <w:lang w:val="et-EE"/>
        </w:rPr>
      </w:pPr>
      <w:r w:rsidRPr="00EC3BD7">
        <w:rPr>
          <w:color w:val="000000"/>
          <w:sz w:val="22"/>
          <w:szCs w:val="22"/>
          <w:lang w:val="et-EE"/>
        </w:rPr>
        <w:lastRenderedPageBreak/>
        <w:t>Ootamatu verejooks või verevalumid (mis tahes vigastuse puudumisel).</w:t>
      </w:r>
    </w:p>
    <w:p w14:paraId="3419C882" w14:textId="77777777" w:rsidR="00E21A2F" w:rsidRPr="00EC3BD7" w:rsidRDefault="00E21A2F" w:rsidP="00E21A2F">
      <w:pPr>
        <w:pStyle w:val="Text"/>
        <w:widowControl w:val="0"/>
        <w:spacing w:before="0"/>
        <w:jc w:val="left"/>
        <w:rPr>
          <w:color w:val="000000"/>
          <w:sz w:val="22"/>
          <w:szCs w:val="22"/>
          <w:lang w:val="et-EE"/>
        </w:rPr>
      </w:pPr>
    </w:p>
    <w:p w14:paraId="5C2E0502" w14:textId="77777777" w:rsidR="00E21A2F" w:rsidRPr="00EC3BD7" w:rsidRDefault="00E21A2F" w:rsidP="00B9089D">
      <w:pPr>
        <w:pStyle w:val="Text"/>
        <w:keepNext/>
        <w:widowControl w:val="0"/>
        <w:spacing w:before="0"/>
        <w:jc w:val="left"/>
        <w:rPr>
          <w:b/>
          <w:bCs/>
          <w:color w:val="000000"/>
          <w:sz w:val="22"/>
          <w:szCs w:val="22"/>
          <w:lang w:val="et-EE"/>
        </w:rPr>
      </w:pPr>
      <w:r w:rsidRPr="00EC3BD7">
        <w:rPr>
          <w:b/>
          <w:bCs/>
          <w:color w:val="000000"/>
          <w:sz w:val="22"/>
          <w:szCs w:val="22"/>
          <w:lang w:val="et-EE"/>
        </w:rPr>
        <w:t>Aeg-ajalt</w:t>
      </w:r>
      <w:r w:rsidRPr="00EC3BD7">
        <w:rPr>
          <w:bCs/>
          <w:color w:val="000000"/>
          <w:sz w:val="22"/>
          <w:szCs w:val="22"/>
          <w:lang w:val="et-EE"/>
        </w:rPr>
        <w:t xml:space="preserve"> (</w:t>
      </w:r>
      <w:r w:rsidRPr="00EC3BD7">
        <w:rPr>
          <w:color w:val="000000"/>
          <w:sz w:val="22"/>
          <w:szCs w:val="22"/>
          <w:lang w:val="et-EE"/>
        </w:rPr>
        <w:t>võib mõjutada kuni 1 patsienti 100-st</w:t>
      </w:r>
      <w:r w:rsidRPr="00EC3BD7">
        <w:rPr>
          <w:bCs/>
          <w:color w:val="000000"/>
          <w:sz w:val="22"/>
          <w:szCs w:val="22"/>
          <w:lang w:val="et-EE"/>
        </w:rPr>
        <w:t xml:space="preserve">) </w:t>
      </w:r>
      <w:r w:rsidRPr="00EC3BD7">
        <w:rPr>
          <w:b/>
          <w:bCs/>
          <w:color w:val="000000"/>
          <w:sz w:val="22"/>
          <w:szCs w:val="22"/>
          <w:lang w:val="et-EE"/>
        </w:rPr>
        <w:t xml:space="preserve">või harv </w:t>
      </w:r>
      <w:r w:rsidRPr="00EC3BD7">
        <w:rPr>
          <w:bCs/>
          <w:color w:val="000000"/>
          <w:sz w:val="22"/>
          <w:szCs w:val="22"/>
          <w:lang w:val="et-EE"/>
        </w:rPr>
        <w:t>(</w:t>
      </w:r>
      <w:r w:rsidRPr="00EC3BD7">
        <w:rPr>
          <w:color w:val="000000"/>
          <w:sz w:val="22"/>
          <w:szCs w:val="22"/>
          <w:lang w:val="et-EE"/>
        </w:rPr>
        <w:t>võib mõjutada kuni 1 patsienti 1000-st</w:t>
      </w:r>
      <w:r w:rsidRPr="00EC3BD7">
        <w:rPr>
          <w:bCs/>
          <w:color w:val="000000"/>
          <w:sz w:val="22"/>
          <w:szCs w:val="22"/>
          <w:lang w:val="et-EE"/>
        </w:rPr>
        <w:t>):</w:t>
      </w:r>
    </w:p>
    <w:p w14:paraId="6C82F923"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Valu rinnus, ebaregulaarne südamerütm (südame häirete tunnused).</w:t>
      </w:r>
    </w:p>
    <w:p w14:paraId="779CA4A1"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Köha, hingamisraskus või valulik hingamine (kopsu häirete tunnused).</w:t>
      </w:r>
    </w:p>
    <w:p w14:paraId="4F64AA80"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Peapööritus, pearinglus või minestus (madala vererõhu tunnused).</w:t>
      </w:r>
    </w:p>
    <w:p w14:paraId="63EDCDA2"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Iiveldus koos isutusega, tumedat värvi uriin, kollane nahk või silmavalged (maksahäirete tunnused).</w:t>
      </w:r>
    </w:p>
    <w:p w14:paraId="34F6B797"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Lööve, nahapunetus koos villidega huultel, silmadel, nahal või suus, naha koorumine, palavik, nahapinnast kõrgemad punased või punakasvioletsed laigud, sügelemine, põletustunne, pustulaarne eruptsioon (nahaprobleemide tunnused).</w:t>
      </w:r>
    </w:p>
    <w:p w14:paraId="77EDD95E"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Tugev kõhuvalu, okses, väljaheites või uriinis esineb verd või väljaheide on must (seedetrakti häirete tunnused).</w:t>
      </w:r>
    </w:p>
    <w:p w14:paraId="7AB8F038"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Oluliselt vähenenud uriinieritus, janu (neeru häirete tunnused).</w:t>
      </w:r>
    </w:p>
    <w:p w14:paraId="23E484F7"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Iiveldus koos kõhulahtisusega ja oksendamisega, kõhuvalu või palavik (seedetrakti häirete tunnused).</w:t>
      </w:r>
    </w:p>
    <w:p w14:paraId="10CDAB82"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Tugev peavalu, jäsemete või näo nõrkustunne või halvatus, kõnelemisraskused, äkiline teadvusekaotus (närvisüsteemi häirete nagu kolju/aju verejooksu või turse, tunnused).</w:t>
      </w:r>
    </w:p>
    <w:p w14:paraId="3D396169"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Kahvatu nahk, väsimustunne ja hingeldamine ning tumeda uriini esinemine (punaste vereliblede madala taseme tunnused).</w:t>
      </w:r>
    </w:p>
    <w:p w14:paraId="5D5AC20C"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Valu silmades või nägemise halvenemine, verejooks silmades.</w:t>
      </w:r>
    </w:p>
    <w:p w14:paraId="7DD33C71"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Valu puusas või raskusi käimisega.</w:t>
      </w:r>
    </w:p>
    <w:p w14:paraId="2BC2C572"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Tuimad või külmad varbad ja sõrmed (Raynaud’ sündroomi tundemärgid).</w:t>
      </w:r>
    </w:p>
    <w:p w14:paraId="6A1D6CC5"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Äkiline naha turse ja punetus (nahapõletiku tunnused, mida kutsutakse tselluliidiks).</w:t>
      </w:r>
    </w:p>
    <w:p w14:paraId="05E2B0EA"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Kuulmishäired.</w:t>
      </w:r>
    </w:p>
    <w:p w14:paraId="64A9B156"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Lihasnõrkus ja lihasspasmid koos südame rütmihäiretega (vere kaaliumisisalduse muutuste tunnused).</w:t>
      </w:r>
    </w:p>
    <w:p w14:paraId="5D051026"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Sinikad.</w:t>
      </w:r>
    </w:p>
    <w:p w14:paraId="26496ED4"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Kõhuvalu koos iiveldusega.</w:t>
      </w:r>
    </w:p>
    <w:p w14:paraId="6A2D7981"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Lihasspasmid koos palavikuga, punakaspruun uriin, lihasvalu või –nõrkus (lihaskahjustuste tunnused).</w:t>
      </w:r>
    </w:p>
    <w:p w14:paraId="6D9B366F"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Valu vaagnapiirkonnas, mõnikord koos iivelduse ja oksendamisega, koos ootamatu veritsusega tupest, pearinglus- või minestamistunne madala vererõhu tõttu (</w:t>
      </w:r>
      <w:r w:rsidRPr="00EC3BD7">
        <w:rPr>
          <w:color w:val="000000"/>
          <w:sz w:val="22"/>
          <w:szCs w:val="22"/>
          <w:lang w:val="et-EE" w:bidi="th-TH"/>
        </w:rPr>
        <w:t>munasarjade või emaka probleemide tunnused</w:t>
      </w:r>
      <w:r w:rsidRPr="00EC3BD7">
        <w:rPr>
          <w:color w:val="000000"/>
          <w:sz w:val="22"/>
          <w:szCs w:val="22"/>
          <w:lang w:val="et-EE"/>
        </w:rPr>
        <w:t>).</w:t>
      </w:r>
    </w:p>
    <w:p w14:paraId="768421BA" w14:textId="77777777" w:rsidR="00E21A2F" w:rsidRPr="00EC3BD7" w:rsidRDefault="00E21A2F"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 xml:space="preserve">Iiveldus, hingeldus, ebaregulaarne südametöö, uriini hägusus, väsimus ja/või ebamugavustunne liigestes koos normist kõrvalekaldunud laboratoorsete näitajatega (nt kõrge kaaliumi, kusihappe ja </w:t>
      </w:r>
      <w:r w:rsidR="00BA7B8E" w:rsidRPr="00EC3BD7">
        <w:rPr>
          <w:color w:val="000000"/>
          <w:sz w:val="22"/>
          <w:szCs w:val="22"/>
          <w:lang w:val="et-EE"/>
        </w:rPr>
        <w:t>kaltsiumi</w:t>
      </w:r>
      <w:r w:rsidRPr="00EC3BD7">
        <w:rPr>
          <w:color w:val="000000"/>
          <w:sz w:val="22"/>
          <w:szCs w:val="22"/>
          <w:lang w:val="et-EE"/>
        </w:rPr>
        <w:t xml:space="preserve">sisaldus ja madal </w:t>
      </w:r>
      <w:r w:rsidR="00BA7B8E" w:rsidRPr="00EC3BD7">
        <w:rPr>
          <w:color w:val="000000"/>
          <w:sz w:val="22"/>
          <w:szCs w:val="22"/>
          <w:lang w:val="et-EE"/>
        </w:rPr>
        <w:t>fosfori</w:t>
      </w:r>
      <w:r w:rsidRPr="00EC3BD7">
        <w:rPr>
          <w:color w:val="000000"/>
          <w:sz w:val="22"/>
          <w:szCs w:val="22"/>
          <w:lang w:val="et-EE"/>
        </w:rPr>
        <w:t>sisaldus veres).</w:t>
      </w:r>
    </w:p>
    <w:p w14:paraId="460EE1DE" w14:textId="77777777" w:rsidR="00DC342A" w:rsidRPr="00EC3BD7" w:rsidRDefault="00DC342A" w:rsidP="00E21A2F">
      <w:pPr>
        <w:pStyle w:val="T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Verehüübed väikestes veresoontes (trombootiline mikroangiopaatia).</w:t>
      </w:r>
    </w:p>
    <w:p w14:paraId="43FBE0E2" w14:textId="77777777" w:rsidR="00F1122F" w:rsidRPr="00EC3BD7" w:rsidRDefault="00F1122F" w:rsidP="00F1122F">
      <w:pPr>
        <w:pStyle w:val="Text"/>
        <w:widowControl w:val="0"/>
        <w:spacing w:before="0"/>
        <w:jc w:val="left"/>
        <w:rPr>
          <w:color w:val="000000"/>
          <w:sz w:val="22"/>
          <w:szCs w:val="22"/>
          <w:lang w:val="et-EE"/>
        </w:rPr>
      </w:pPr>
    </w:p>
    <w:p w14:paraId="30EF12C6" w14:textId="77777777" w:rsidR="00F1122F" w:rsidRPr="00EC3BD7" w:rsidRDefault="00F1122F" w:rsidP="00B9089D">
      <w:pPr>
        <w:pStyle w:val="Text"/>
        <w:keepNext/>
        <w:widowControl w:val="0"/>
        <w:spacing w:before="0"/>
        <w:jc w:val="left"/>
        <w:rPr>
          <w:color w:val="000000"/>
          <w:sz w:val="22"/>
          <w:szCs w:val="22"/>
          <w:lang w:val="et-EE"/>
        </w:rPr>
      </w:pPr>
      <w:r w:rsidRPr="00EC3BD7">
        <w:rPr>
          <w:b/>
          <w:color w:val="000000"/>
          <w:sz w:val="22"/>
          <w:szCs w:val="22"/>
          <w:lang w:val="et-EE"/>
        </w:rPr>
        <w:t>Teadmata</w:t>
      </w:r>
      <w:r w:rsidR="00BA7B8E" w:rsidRPr="00EC3BD7">
        <w:rPr>
          <w:b/>
          <w:color w:val="000000"/>
          <w:sz w:val="22"/>
          <w:szCs w:val="22"/>
          <w:lang w:val="et-EE"/>
        </w:rPr>
        <w:t xml:space="preserve"> </w:t>
      </w:r>
      <w:r w:rsidR="00BA7B8E" w:rsidRPr="00EC3BD7">
        <w:rPr>
          <w:color w:val="000000"/>
          <w:sz w:val="22"/>
          <w:szCs w:val="22"/>
          <w:lang w:val="et-EE"/>
        </w:rPr>
        <w:t>(ei saa hinnata olemasolevate andmete alusel):</w:t>
      </w:r>
    </w:p>
    <w:p w14:paraId="5EAFF325" w14:textId="77777777" w:rsidR="00F1122F" w:rsidRPr="00EC3BD7" w:rsidRDefault="00F1122F" w:rsidP="00B9089D">
      <w:pPr>
        <w:pStyle w:val="Text"/>
        <w:keepNext/>
        <w:widowControl w:val="0"/>
        <w:numPr>
          <w:ilvl w:val="0"/>
          <w:numId w:val="29"/>
        </w:numPr>
        <w:spacing w:before="0"/>
        <w:ind w:left="567" w:hanging="567"/>
        <w:jc w:val="left"/>
        <w:rPr>
          <w:color w:val="000000"/>
          <w:sz w:val="22"/>
          <w:szCs w:val="22"/>
          <w:lang w:val="et-EE"/>
        </w:rPr>
      </w:pPr>
      <w:r w:rsidRPr="00EC3BD7">
        <w:rPr>
          <w:color w:val="000000"/>
          <w:sz w:val="22"/>
          <w:szCs w:val="22"/>
          <w:lang w:val="et-EE"/>
        </w:rPr>
        <w:t xml:space="preserve">Koosesinev laialdane tõsine lööve, iiveldus, palavik ja teatud valgeliblede kõrge sisaldus veres või naha või silmade kollakaks värvumine (kollatõve nähud) koos õhupuudusega, valu ja ebamugavustunne rinnus, uriini hulga </w:t>
      </w:r>
      <w:r w:rsidR="00DD7407" w:rsidRPr="00EC3BD7">
        <w:rPr>
          <w:color w:val="000000"/>
          <w:sz w:val="22"/>
          <w:szCs w:val="22"/>
          <w:lang w:val="et-EE"/>
        </w:rPr>
        <w:t>olul</w:t>
      </w:r>
      <w:r w:rsidRPr="00EC3BD7">
        <w:rPr>
          <w:color w:val="000000"/>
          <w:sz w:val="22"/>
          <w:szCs w:val="22"/>
          <w:lang w:val="et-EE"/>
        </w:rPr>
        <w:t>ine vähenemine ning janu jne (raviga seotud allergilise reaktsiooni nähud).</w:t>
      </w:r>
    </w:p>
    <w:p w14:paraId="1F0FBBA5" w14:textId="77777777" w:rsidR="00FF76CA" w:rsidRPr="00EC3BD7" w:rsidRDefault="00B03C08" w:rsidP="00B9089D">
      <w:pPr>
        <w:pStyle w:val="Text"/>
        <w:keepNext/>
        <w:widowControl w:val="0"/>
        <w:numPr>
          <w:ilvl w:val="0"/>
          <w:numId w:val="14"/>
        </w:numPr>
        <w:tabs>
          <w:tab w:val="clear" w:pos="357"/>
        </w:tabs>
        <w:spacing w:before="0"/>
        <w:ind w:left="567" w:hanging="567"/>
        <w:jc w:val="left"/>
        <w:rPr>
          <w:color w:val="000000"/>
          <w:sz w:val="22"/>
          <w:szCs w:val="22"/>
          <w:lang w:val="et-EE"/>
        </w:rPr>
      </w:pPr>
      <w:r w:rsidRPr="00EC3BD7">
        <w:rPr>
          <w:color w:val="000000"/>
          <w:sz w:val="22"/>
          <w:szCs w:val="22"/>
          <w:lang w:val="et-EE"/>
        </w:rPr>
        <w:t>Krooniline neerupuudulikkus.</w:t>
      </w:r>
    </w:p>
    <w:p w14:paraId="399E5D51" w14:textId="77777777" w:rsidR="00B03C08" w:rsidRPr="00EC3BD7" w:rsidRDefault="00FF76CA" w:rsidP="00B9089D">
      <w:pPr>
        <w:pStyle w:val="Text"/>
        <w:keepNext/>
        <w:widowControl w:val="0"/>
        <w:numPr>
          <w:ilvl w:val="0"/>
          <w:numId w:val="29"/>
        </w:numPr>
        <w:spacing w:before="0"/>
        <w:ind w:left="567" w:hanging="567"/>
        <w:jc w:val="left"/>
        <w:rPr>
          <w:color w:val="000000"/>
          <w:sz w:val="22"/>
          <w:szCs w:val="22"/>
          <w:lang w:val="et-EE"/>
        </w:rPr>
      </w:pPr>
      <w:r w:rsidRPr="00EC3BD7">
        <w:rPr>
          <w:bCs/>
          <w:color w:val="000000"/>
          <w:sz w:val="22"/>
          <w:szCs w:val="22"/>
          <w:lang w:val="et-EE"/>
        </w:rPr>
        <w:t>B-hepatiidi infektsiooni taastekkimine (reaktiveerumine), kui teil on varem olnud B-hepatiit (teatud maksanakkus).</w:t>
      </w:r>
    </w:p>
    <w:p w14:paraId="0B6EC4FF" w14:textId="77777777" w:rsidR="00F1122F" w:rsidRPr="00EC3BD7" w:rsidRDefault="00F1122F" w:rsidP="00E21A2F">
      <w:pPr>
        <w:pStyle w:val="Text"/>
        <w:widowControl w:val="0"/>
        <w:spacing w:before="0"/>
        <w:jc w:val="left"/>
        <w:rPr>
          <w:color w:val="000000"/>
          <w:sz w:val="22"/>
          <w:szCs w:val="22"/>
          <w:lang w:val="et-EE"/>
        </w:rPr>
      </w:pPr>
    </w:p>
    <w:p w14:paraId="33881293" w14:textId="77777777" w:rsidR="00E21A2F" w:rsidRPr="00EC3BD7" w:rsidRDefault="00E21A2F" w:rsidP="00E21A2F">
      <w:pPr>
        <w:pStyle w:val="Text"/>
        <w:widowControl w:val="0"/>
        <w:spacing w:before="0"/>
        <w:jc w:val="left"/>
        <w:rPr>
          <w:b/>
          <w:color w:val="000000"/>
          <w:sz w:val="22"/>
          <w:szCs w:val="22"/>
          <w:lang w:val="et-EE"/>
        </w:rPr>
      </w:pPr>
      <w:r w:rsidRPr="00EC3BD7">
        <w:rPr>
          <w:color w:val="000000"/>
          <w:sz w:val="22"/>
          <w:szCs w:val="22"/>
          <w:lang w:val="et-EE"/>
        </w:rPr>
        <w:t xml:space="preserve">Kui teil tekib ükskõik milline mainitutest, </w:t>
      </w:r>
      <w:r w:rsidRPr="00EC3BD7">
        <w:rPr>
          <w:b/>
          <w:color w:val="000000"/>
          <w:sz w:val="22"/>
          <w:szCs w:val="22"/>
          <w:lang w:val="et-EE"/>
        </w:rPr>
        <w:t>rääkige sellest otsekohe oma arstile.</w:t>
      </w:r>
    </w:p>
    <w:p w14:paraId="063D6421" w14:textId="77777777" w:rsidR="00E21A2F" w:rsidRPr="00EC3BD7" w:rsidRDefault="00E21A2F" w:rsidP="00E21A2F">
      <w:pPr>
        <w:pStyle w:val="Text"/>
        <w:widowControl w:val="0"/>
        <w:spacing w:before="0"/>
        <w:jc w:val="left"/>
        <w:rPr>
          <w:color w:val="000000"/>
          <w:sz w:val="22"/>
          <w:szCs w:val="22"/>
          <w:lang w:val="et-EE"/>
        </w:rPr>
      </w:pPr>
    </w:p>
    <w:p w14:paraId="7C36E77A" w14:textId="77777777" w:rsidR="00E21A2F" w:rsidRPr="00EC3BD7" w:rsidRDefault="00E21A2F" w:rsidP="00B9089D">
      <w:pPr>
        <w:pStyle w:val="Text"/>
        <w:keepNext/>
        <w:widowControl w:val="0"/>
        <w:spacing w:before="0"/>
        <w:jc w:val="left"/>
        <w:rPr>
          <w:b/>
          <w:bCs/>
          <w:color w:val="000000"/>
          <w:sz w:val="22"/>
          <w:szCs w:val="22"/>
          <w:lang w:val="et-EE"/>
        </w:rPr>
      </w:pPr>
      <w:r w:rsidRPr="00EC3BD7">
        <w:rPr>
          <w:b/>
          <w:bCs/>
          <w:color w:val="000000"/>
          <w:sz w:val="22"/>
          <w:szCs w:val="22"/>
          <w:lang w:val="et-EE"/>
        </w:rPr>
        <w:t>Muud võimalikud kõrvaltoimed:</w:t>
      </w:r>
    </w:p>
    <w:p w14:paraId="615B3AF0" w14:textId="77777777" w:rsidR="00E21A2F" w:rsidRPr="00EC3BD7" w:rsidRDefault="00E21A2F" w:rsidP="00B9089D">
      <w:pPr>
        <w:pStyle w:val="Text"/>
        <w:keepNext/>
        <w:widowControl w:val="0"/>
        <w:spacing w:before="0"/>
        <w:jc w:val="left"/>
        <w:rPr>
          <w:color w:val="000000"/>
          <w:sz w:val="22"/>
          <w:szCs w:val="22"/>
          <w:lang w:val="et-EE"/>
        </w:rPr>
      </w:pPr>
    </w:p>
    <w:p w14:paraId="03F100B4" w14:textId="77777777" w:rsidR="00E21A2F" w:rsidRPr="00EC3BD7" w:rsidRDefault="00E21A2F" w:rsidP="00B9089D">
      <w:pPr>
        <w:pStyle w:val="Text"/>
        <w:keepNext/>
        <w:widowControl w:val="0"/>
        <w:spacing w:before="0"/>
        <w:rPr>
          <w:b/>
          <w:color w:val="000000"/>
          <w:sz w:val="22"/>
          <w:szCs w:val="22"/>
          <w:lang w:val="et-EE"/>
        </w:rPr>
      </w:pPr>
      <w:r w:rsidRPr="00EC3BD7">
        <w:rPr>
          <w:b/>
          <w:color w:val="000000"/>
          <w:sz w:val="22"/>
          <w:szCs w:val="22"/>
          <w:lang w:val="et-EE"/>
        </w:rPr>
        <w:t>Väga sage</w:t>
      </w:r>
      <w:r w:rsidRPr="00EC3BD7">
        <w:rPr>
          <w:color w:val="000000"/>
          <w:sz w:val="22"/>
          <w:szCs w:val="22"/>
          <w:lang w:val="et-EE"/>
        </w:rPr>
        <w:t xml:space="preserve"> </w:t>
      </w:r>
      <w:r w:rsidRPr="00EC3BD7">
        <w:rPr>
          <w:color w:val="000000"/>
          <w:szCs w:val="22"/>
          <w:lang w:val="et-EE"/>
        </w:rPr>
        <w:t>(</w:t>
      </w:r>
      <w:r w:rsidRPr="00EC3BD7">
        <w:rPr>
          <w:color w:val="000000"/>
          <w:sz w:val="22"/>
          <w:szCs w:val="22"/>
          <w:lang w:val="et-EE"/>
        </w:rPr>
        <w:t>võib mõjutada rohkem kui 1 patsienti 10-st</w:t>
      </w:r>
      <w:r w:rsidRPr="00EC3BD7">
        <w:rPr>
          <w:color w:val="000000"/>
          <w:szCs w:val="22"/>
          <w:lang w:val="et-EE"/>
        </w:rPr>
        <w:t>)</w:t>
      </w:r>
      <w:r w:rsidRPr="00EC3BD7">
        <w:rPr>
          <w:color w:val="000000"/>
          <w:sz w:val="22"/>
          <w:szCs w:val="22"/>
          <w:lang w:val="et-EE"/>
        </w:rPr>
        <w:t>:</w:t>
      </w:r>
    </w:p>
    <w:p w14:paraId="4FB4A200"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Peavalu või väsimus.</w:t>
      </w:r>
    </w:p>
    <w:p w14:paraId="5FB7C512"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Halb enesetunne (iiveldus), oksendamine, kõhulahtisus või seedehäired.</w:t>
      </w:r>
    </w:p>
    <w:p w14:paraId="28103309"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lastRenderedPageBreak/>
        <w:t>Lööve.</w:t>
      </w:r>
    </w:p>
    <w:p w14:paraId="10829E8A"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Lihaskrambid või liiges-, lihas- või luuvalu</w:t>
      </w:r>
      <w:r w:rsidR="002441D5" w:rsidRPr="00EC3BD7">
        <w:rPr>
          <w:color w:val="000000"/>
          <w:sz w:val="22"/>
          <w:szCs w:val="22"/>
          <w:lang w:val="et-EE"/>
        </w:rPr>
        <w:t xml:space="preserve"> Gliveci ravi ajal või pärast ravi lõppu</w:t>
      </w:r>
      <w:r w:rsidRPr="00EC3BD7">
        <w:rPr>
          <w:color w:val="000000"/>
          <w:sz w:val="22"/>
          <w:szCs w:val="22"/>
          <w:lang w:val="et-EE"/>
        </w:rPr>
        <w:t>.</w:t>
      </w:r>
    </w:p>
    <w:p w14:paraId="7E08C56F"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Tursed, näiteks hüppeliigeste piirkonnas või silmade ümber.</w:t>
      </w:r>
    </w:p>
    <w:p w14:paraId="318B2118" w14:textId="77777777" w:rsidR="00E21A2F" w:rsidRPr="00EC3BD7" w:rsidRDefault="00E21A2F" w:rsidP="009A3C30">
      <w:pPr>
        <w:pStyle w:val="Text"/>
        <w:keepN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Kaalutõus.</w:t>
      </w:r>
    </w:p>
    <w:p w14:paraId="4181739B" w14:textId="77777777" w:rsidR="00E21A2F" w:rsidRPr="00EC3BD7" w:rsidRDefault="00E21A2F" w:rsidP="00E21A2F">
      <w:pPr>
        <w:pStyle w:val="Text"/>
        <w:widowControl w:val="0"/>
        <w:spacing w:before="0"/>
        <w:jc w:val="left"/>
        <w:rPr>
          <w:color w:val="000000"/>
          <w:sz w:val="22"/>
          <w:szCs w:val="22"/>
          <w:lang w:val="et-EE"/>
        </w:rPr>
      </w:pPr>
      <w:r w:rsidRPr="00EC3BD7">
        <w:rPr>
          <w:color w:val="000000"/>
          <w:sz w:val="22"/>
          <w:szCs w:val="22"/>
          <w:lang w:val="et-EE"/>
        </w:rPr>
        <w:t xml:space="preserve">Kui mõni neist häirib teid oluliselt, </w:t>
      </w:r>
      <w:r w:rsidRPr="00EC3BD7">
        <w:rPr>
          <w:b/>
          <w:color w:val="000000"/>
          <w:sz w:val="22"/>
          <w:szCs w:val="22"/>
          <w:lang w:val="et-EE"/>
        </w:rPr>
        <w:t>informeerige sellest oma arsti</w:t>
      </w:r>
      <w:r w:rsidRPr="00EC3BD7">
        <w:rPr>
          <w:color w:val="000000"/>
          <w:sz w:val="22"/>
          <w:szCs w:val="22"/>
          <w:lang w:val="et-EE"/>
        </w:rPr>
        <w:t>.</w:t>
      </w:r>
    </w:p>
    <w:p w14:paraId="1E3CCBA4" w14:textId="77777777" w:rsidR="00E21A2F" w:rsidRPr="00EC3BD7" w:rsidRDefault="00E21A2F" w:rsidP="00E21A2F">
      <w:pPr>
        <w:pStyle w:val="Text"/>
        <w:widowControl w:val="0"/>
        <w:spacing w:before="0"/>
        <w:jc w:val="left"/>
        <w:rPr>
          <w:color w:val="000000"/>
          <w:sz w:val="22"/>
          <w:szCs w:val="22"/>
          <w:lang w:val="et-EE"/>
        </w:rPr>
      </w:pPr>
    </w:p>
    <w:p w14:paraId="1D5D0D40" w14:textId="77777777" w:rsidR="00E21A2F" w:rsidRPr="00EC3BD7" w:rsidRDefault="00E21A2F" w:rsidP="00B9089D">
      <w:pPr>
        <w:pStyle w:val="Text"/>
        <w:keepNext/>
        <w:widowControl w:val="0"/>
        <w:spacing w:before="0"/>
        <w:jc w:val="left"/>
        <w:rPr>
          <w:b/>
          <w:bCs/>
          <w:color w:val="000000"/>
          <w:sz w:val="22"/>
          <w:szCs w:val="22"/>
          <w:lang w:val="et-EE"/>
        </w:rPr>
      </w:pPr>
      <w:r w:rsidRPr="00EC3BD7">
        <w:rPr>
          <w:b/>
          <w:bCs/>
          <w:color w:val="000000"/>
          <w:sz w:val="22"/>
          <w:szCs w:val="22"/>
          <w:lang w:val="et-EE"/>
        </w:rPr>
        <w:t>Sage</w:t>
      </w:r>
      <w:r w:rsidRPr="00EC3BD7">
        <w:rPr>
          <w:bCs/>
          <w:color w:val="000000"/>
          <w:sz w:val="22"/>
          <w:szCs w:val="22"/>
          <w:lang w:val="et-EE"/>
        </w:rPr>
        <w:t xml:space="preserve"> </w:t>
      </w:r>
      <w:r w:rsidRPr="00EC3BD7">
        <w:rPr>
          <w:color w:val="000000"/>
          <w:szCs w:val="22"/>
          <w:lang w:val="et-EE"/>
        </w:rPr>
        <w:t>(</w:t>
      </w:r>
      <w:r w:rsidRPr="00EC3BD7">
        <w:rPr>
          <w:color w:val="000000"/>
          <w:sz w:val="22"/>
          <w:szCs w:val="22"/>
          <w:lang w:val="et-EE"/>
        </w:rPr>
        <w:t>võib mõjutada kuni 1 patsienti 10-st</w:t>
      </w:r>
      <w:r w:rsidRPr="00EC3BD7">
        <w:rPr>
          <w:color w:val="000000"/>
          <w:szCs w:val="22"/>
          <w:lang w:val="et-EE"/>
        </w:rPr>
        <w:t>)</w:t>
      </w:r>
      <w:r w:rsidRPr="00EC3BD7">
        <w:rPr>
          <w:bCs/>
          <w:color w:val="000000"/>
          <w:sz w:val="22"/>
          <w:szCs w:val="22"/>
          <w:lang w:val="et-EE"/>
        </w:rPr>
        <w:t>:</w:t>
      </w:r>
    </w:p>
    <w:p w14:paraId="15D20C58"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Anoreksia, kaalukaotus või maitsetundlikkuse häired.</w:t>
      </w:r>
    </w:p>
    <w:p w14:paraId="3630595F"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Pearinglus, nõrkustunne.</w:t>
      </w:r>
    </w:p>
    <w:p w14:paraId="77E15D56"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Unetus.</w:t>
      </w:r>
    </w:p>
    <w:p w14:paraId="1BC6A58E"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Rähmased sügelevad silmad, punetus ja turse (konjunktiviit), vesised silmad või hägune nägemine.</w:t>
      </w:r>
    </w:p>
    <w:p w14:paraId="2EC9EF0F"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Ninaverejooks.</w:t>
      </w:r>
    </w:p>
    <w:p w14:paraId="13E4EE50"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Kõhuvalu või –turse, kõhupuhitus, kõrvetised või kõhukinnisus.</w:t>
      </w:r>
    </w:p>
    <w:p w14:paraId="50974110"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Sügelemine.</w:t>
      </w:r>
    </w:p>
    <w:p w14:paraId="55A7E006"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Ebatavaline juuste väljalangemine või hõrenemine.</w:t>
      </w:r>
    </w:p>
    <w:p w14:paraId="244A1E86"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Käte või jalgade tuimus.</w:t>
      </w:r>
    </w:p>
    <w:p w14:paraId="4A81B413"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Haavandid suus.</w:t>
      </w:r>
    </w:p>
    <w:p w14:paraId="6CE61BFC"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Liigesvalu tursetega.</w:t>
      </w:r>
    </w:p>
    <w:p w14:paraId="52CC7FA4"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Suukuivus, nahakuivus või silmade kuivus.</w:t>
      </w:r>
    </w:p>
    <w:p w14:paraId="0A49A267" w14:textId="77777777" w:rsidR="00E21A2F" w:rsidRPr="00EC3BD7" w:rsidRDefault="00E21A2F" w:rsidP="00E21A2F">
      <w:pPr>
        <w:pStyle w:val="T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Naha tundlikkuse vähenemine või suurenemine.</w:t>
      </w:r>
    </w:p>
    <w:p w14:paraId="45E80B81" w14:textId="77777777" w:rsidR="00E21A2F" w:rsidRPr="00EC3BD7" w:rsidRDefault="00E21A2F" w:rsidP="009A3C30">
      <w:pPr>
        <w:pStyle w:val="Text"/>
        <w:keepNext/>
        <w:widowControl w:val="0"/>
        <w:numPr>
          <w:ilvl w:val="0"/>
          <w:numId w:val="22"/>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Kuumahood, külmavärinad või öine higistamine.</w:t>
      </w:r>
    </w:p>
    <w:p w14:paraId="720E35A4" w14:textId="77777777" w:rsidR="00E21A2F" w:rsidRPr="00EC3BD7" w:rsidRDefault="00E21A2F" w:rsidP="00E21A2F">
      <w:pPr>
        <w:pStyle w:val="Text"/>
        <w:widowControl w:val="0"/>
        <w:spacing w:before="0"/>
        <w:jc w:val="left"/>
        <w:rPr>
          <w:b/>
          <w:color w:val="000000"/>
          <w:sz w:val="22"/>
          <w:szCs w:val="22"/>
          <w:lang w:val="et-EE"/>
        </w:rPr>
      </w:pPr>
      <w:r w:rsidRPr="00EC3BD7">
        <w:rPr>
          <w:color w:val="000000"/>
          <w:sz w:val="22"/>
          <w:szCs w:val="22"/>
          <w:lang w:val="et-EE"/>
        </w:rPr>
        <w:t xml:space="preserve">Kui mõni neist häirib teid tugevalt, </w:t>
      </w:r>
      <w:r w:rsidRPr="00EC3BD7">
        <w:rPr>
          <w:b/>
          <w:color w:val="000000"/>
          <w:sz w:val="22"/>
          <w:szCs w:val="22"/>
          <w:lang w:val="et-EE"/>
        </w:rPr>
        <w:t>informeerige oma arsti.</w:t>
      </w:r>
    </w:p>
    <w:p w14:paraId="262CD65B" w14:textId="77777777" w:rsidR="00E21A2F" w:rsidRPr="00EC3BD7" w:rsidRDefault="00E21A2F" w:rsidP="00E21A2F">
      <w:pPr>
        <w:pStyle w:val="Text"/>
        <w:widowControl w:val="0"/>
        <w:spacing w:before="0"/>
        <w:jc w:val="left"/>
        <w:rPr>
          <w:color w:val="000000"/>
          <w:sz w:val="22"/>
          <w:szCs w:val="22"/>
          <w:lang w:val="et-EE"/>
        </w:rPr>
      </w:pPr>
    </w:p>
    <w:p w14:paraId="21282B9D" w14:textId="77777777" w:rsidR="00E21A2F" w:rsidRPr="00EC3BD7" w:rsidRDefault="00E21A2F" w:rsidP="00B9089D">
      <w:pPr>
        <w:pStyle w:val="Text"/>
        <w:keepNext/>
        <w:widowControl w:val="0"/>
        <w:spacing w:before="0"/>
        <w:jc w:val="left"/>
        <w:rPr>
          <w:b/>
          <w:bCs/>
          <w:color w:val="000000"/>
          <w:sz w:val="22"/>
          <w:szCs w:val="22"/>
          <w:lang w:val="et-EE"/>
        </w:rPr>
      </w:pPr>
      <w:r w:rsidRPr="00EC3BD7">
        <w:rPr>
          <w:b/>
          <w:bCs/>
          <w:color w:val="000000"/>
          <w:sz w:val="22"/>
          <w:szCs w:val="22"/>
          <w:lang w:val="et-EE"/>
        </w:rPr>
        <w:t>Teadmata</w:t>
      </w:r>
      <w:r w:rsidRPr="00EC3BD7">
        <w:rPr>
          <w:bCs/>
          <w:color w:val="000000"/>
          <w:sz w:val="22"/>
          <w:szCs w:val="22"/>
          <w:lang w:val="et-EE"/>
        </w:rPr>
        <w:t xml:space="preserve"> (</w:t>
      </w:r>
      <w:r w:rsidRPr="00EC3BD7">
        <w:rPr>
          <w:color w:val="000000"/>
          <w:sz w:val="22"/>
          <w:szCs w:val="22"/>
          <w:lang w:val="et-EE"/>
        </w:rPr>
        <w:t>sagedust ei saa hinnata olemasolevate andmete alusel</w:t>
      </w:r>
      <w:r w:rsidRPr="00EC3BD7">
        <w:rPr>
          <w:bCs/>
          <w:color w:val="000000"/>
          <w:sz w:val="22"/>
          <w:szCs w:val="22"/>
          <w:lang w:val="et-EE"/>
        </w:rPr>
        <w:t>):</w:t>
      </w:r>
    </w:p>
    <w:p w14:paraId="1D1DF59D" w14:textId="77777777" w:rsidR="00E21A2F" w:rsidRPr="00EC3BD7" w:rsidRDefault="00E21A2F" w:rsidP="00E21A2F">
      <w:pPr>
        <w:pStyle w:val="Text"/>
        <w:widowControl w:val="0"/>
        <w:numPr>
          <w:ilvl w:val="0"/>
          <w:numId w:val="23"/>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peopesade ja jalataldade punetus ja/või turse, millega võib kaasneda pakitsustunne ja põletav valu.</w:t>
      </w:r>
    </w:p>
    <w:p w14:paraId="216437C4" w14:textId="77777777" w:rsidR="00A77174" w:rsidRPr="00EC3BD7" w:rsidRDefault="00A77174" w:rsidP="009432CC">
      <w:pPr>
        <w:pStyle w:val="Text"/>
        <w:widowControl w:val="0"/>
        <w:numPr>
          <w:ilvl w:val="0"/>
          <w:numId w:val="23"/>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valulikud ja/või villidega nahakahjustused.</w:t>
      </w:r>
    </w:p>
    <w:p w14:paraId="1CBC28BB" w14:textId="77777777" w:rsidR="00E21A2F" w:rsidRPr="00EC3BD7" w:rsidRDefault="00E21A2F" w:rsidP="00B9089D">
      <w:pPr>
        <w:pStyle w:val="Text"/>
        <w:keepNext/>
        <w:widowControl w:val="0"/>
        <w:numPr>
          <w:ilvl w:val="0"/>
          <w:numId w:val="23"/>
        </w:numPr>
        <w:tabs>
          <w:tab w:val="clear" w:pos="357"/>
          <w:tab w:val="num" w:pos="567"/>
        </w:tabs>
        <w:spacing w:before="0"/>
        <w:ind w:left="567" w:hanging="567"/>
        <w:jc w:val="left"/>
        <w:rPr>
          <w:color w:val="000000"/>
          <w:sz w:val="22"/>
          <w:szCs w:val="22"/>
          <w:lang w:val="et-EE"/>
        </w:rPr>
      </w:pPr>
      <w:r w:rsidRPr="00EC3BD7">
        <w:rPr>
          <w:color w:val="000000"/>
          <w:sz w:val="22"/>
          <w:szCs w:val="22"/>
          <w:lang w:val="et-EE"/>
        </w:rPr>
        <w:t>kasvu aeglustumine lastel ja noorukitel.</w:t>
      </w:r>
    </w:p>
    <w:p w14:paraId="79734F31" w14:textId="77777777" w:rsidR="00E21A2F" w:rsidRPr="00EC3BD7" w:rsidRDefault="00E21A2F" w:rsidP="00E21A2F">
      <w:pPr>
        <w:pStyle w:val="Text"/>
        <w:widowControl w:val="0"/>
        <w:spacing w:before="0"/>
        <w:jc w:val="left"/>
        <w:rPr>
          <w:b/>
          <w:color w:val="000000"/>
          <w:sz w:val="22"/>
          <w:szCs w:val="22"/>
          <w:lang w:val="et-EE"/>
        </w:rPr>
      </w:pPr>
      <w:r w:rsidRPr="00EC3BD7">
        <w:rPr>
          <w:color w:val="000000"/>
          <w:sz w:val="22"/>
          <w:szCs w:val="22"/>
          <w:lang w:val="et-EE"/>
        </w:rPr>
        <w:t xml:space="preserve">Kui ükskõik milline neist kõrvaltoimetest teid tõsiselt mõjutab, </w:t>
      </w:r>
      <w:r w:rsidRPr="00EC3BD7">
        <w:rPr>
          <w:b/>
          <w:color w:val="000000"/>
          <w:sz w:val="22"/>
          <w:szCs w:val="22"/>
          <w:lang w:val="et-EE"/>
        </w:rPr>
        <w:t>rääkige sellest oma arstile.</w:t>
      </w:r>
    </w:p>
    <w:p w14:paraId="57B21305" w14:textId="77777777" w:rsidR="00E21A2F" w:rsidRPr="00EC3BD7" w:rsidRDefault="00E21A2F" w:rsidP="00E21A2F">
      <w:pPr>
        <w:pStyle w:val="Text"/>
        <w:widowControl w:val="0"/>
        <w:spacing w:before="0"/>
        <w:jc w:val="left"/>
        <w:rPr>
          <w:color w:val="000000"/>
          <w:sz w:val="22"/>
          <w:szCs w:val="22"/>
          <w:lang w:val="et-EE"/>
        </w:rPr>
      </w:pPr>
    </w:p>
    <w:p w14:paraId="65908958" w14:textId="77777777" w:rsidR="00E21A2F" w:rsidRPr="00EC3BD7" w:rsidRDefault="00E21A2F" w:rsidP="00B9089D">
      <w:pPr>
        <w:keepNext/>
        <w:numPr>
          <w:ilvl w:val="12"/>
          <w:numId w:val="0"/>
        </w:numPr>
        <w:outlineLvl w:val="0"/>
        <w:rPr>
          <w:b/>
          <w:szCs w:val="24"/>
          <w:lang w:val="et-EE"/>
        </w:rPr>
      </w:pPr>
      <w:r w:rsidRPr="00EC3BD7">
        <w:rPr>
          <w:b/>
          <w:szCs w:val="24"/>
          <w:lang w:val="et-EE"/>
        </w:rPr>
        <w:t>Kõrvaltoimetest teavitamine</w:t>
      </w:r>
    </w:p>
    <w:p w14:paraId="74F1EFB3" w14:textId="77777777" w:rsidR="00E21A2F" w:rsidRPr="00EC3BD7" w:rsidRDefault="00E21A2F" w:rsidP="00E21A2F">
      <w:pPr>
        <w:widowControl w:val="0"/>
        <w:numPr>
          <w:ilvl w:val="12"/>
          <w:numId w:val="0"/>
        </w:numPr>
        <w:tabs>
          <w:tab w:val="clear" w:pos="567"/>
        </w:tabs>
        <w:spacing w:line="240" w:lineRule="auto"/>
        <w:ind w:right="-2"/>
        <w:rPr>
          <w:color w:val="000000"/>
          <w:szCs w:val="22"/>
          <w:lang w:val="et-EE"/>
        </w:rPr>
      </w:pPr>
      <w:r w:rsidRPr="00EC3BD7">
        <w:rPr>
          <w:color w:val="000000"/>
          <w:szCs w:val="22"/>
          <w:lang w:val="et-EE"/>
        </w:rPr>
        <w:t xml:space="preserve">Kui teil tekib ükskõik milline kõrvaltoime, pidage nõu oma arsti, apteekri või meditsiiniõega. </w:t>
      </w:r>
      <w:r w:rsidRPr="00EC3BD7">
        <w:rPr>
          <w:szCs w:val="24"/>
          <w:lang w:val="et-EE"/>
        </w:rPr>
        <w:t xml:space="preserve">Kõrvaltoime võib olla ka selline, mida selles infolehes ei ole nimetatud. Kõrvaltoimetest võite ka ise teavitada </w:t>
      </w:r>
      <w:r w:rsidRPr="00EC3BD7">
        <w:rPr>
          <w:szCs w:val="24"/>
          <w:shd w:val="pct15" w:color="auto" w:fill="auto"/>
          <w:lang w:val="et-EE"/>
        </w:rPr>
        <w:t xml:space="preserve">riikliku teavitussüsteemi, mis on loetletud </w:t>
      </w:r>
      <w:hyperlink r:id="rId17" w:history="1">
        <w:r w:rsidRPr="00EC3BD7">
          <w:rPr>
            <w:color w:val="0000FF"/>
            <w:szCs w:val="24"/>
            <w:u w:val="single"/>
            <w:shd w:val="pct15" w:color="auto" w:fill="auto"/>
            <w:lang w:val="et-EE"/>
          </w:rPr>
          <w:t>V lisas</w:t>
        </w:r>
      </w:hyperlink>
      <w:r w:rsidRPr="00EC3BD7">
        <w:rPr>
          <w:szCs w:val="24"/>
          <w:shd w:val="pct15" w:color="auto" w:fill="auto"/>
          <w:lang w:val="et-EE"/>
        </w:rPr>
        <w:t>,</w:t>
      </w:r>
      <w:r w:rsidRPr="00EC3BD7">
        <w:rPr>
          <w:szCs w:val="24"/>
          <w:lang w:val="et-EE"/>
        </w:rPr>
        <w:t xml:space="preserve"> kaudu. Teavitades aitate saada rohkem infot ravimi ohutusest.</w:t>
      </w:r>
    </w:p>
    <w:p w14:paraId="0085941A" w14:textId="77777777" w:rsidR="00E21A2F" w:rsidRPr="00EC3BD7" w:rsidRDefault="00E21A2F" w:rsidP="00E21A2F">
      <w:pPr>
        <w:widowControl w:val="0"/>
        <w:numPr>
          <w:ilvl w:val="12"/>
          <w:numId w:val="0"/>
        </w:numPr>
        <w:tabs>
          <w:tab w:val="clear" w:pos="567"/>
        </w:tabs>
        <w:spacing w:line="240" w:lineRule="auto"/>
        <w:ind w:right="-2"/>
        <w:rPr>
          <w:color w:val="000000"/>
          <w:szCs w:val="22"/>
          <w:lang w:val="et-EE"/>
        </w:rPr>
      </w:pPr>
    </w:p>
    <w:p w14:paraId="1F8F567B" w14:textId="77777777" w:rsidR="00E21A2F" w:rsidRPr="00EC3BD7" w:rsidRDefault="00E21A2F" w:rsidP="00E21A2F">
      <w:pPr>
        <w:widowControl w:val="0"/>
        <w:numPr>
          <w:ilvl w:val="12"/>
          <w:numId w:val="0"/>
        </w:numPr>
        <w:tabs>
          <w:tab w:val="clear" w:pos="567"/>
        </w:tabs>
        <w:spacing w:line="240" w:lineRule="auto"/>
        <w:ind w:right="-2"/>
        <w:rPr>
          <w:color w:val="000000"/>
          <w:szCs w:val="22"/>
          <w:lang w:val="et-EE"/>
        </w:rPr>
      </w:pPr>
    </w:p>
    <w:p w14:paraId="58F56687" w14:textId="77777777" w:rsidR="002E5EA0" w:rsidRPr="00EC3BD7" w:rsidRDefault="002E5EA0" w:rsidP="00B9089D">
      <w:pPr>
        <w:keepNext/>
        <w:widowControl w:val="0"/>
        <w:numPr>
          <w:ilvl w:val="12"/>
          <w:numId w:val="0"/>
        </w:numPr>
        <w:tabs>
          <w:tab w:val="clear" w:pos="567"/>
        </w:tabs>
        <w:spacing w:line="240" w:lineRule="auto"/>
        <w:ind w:left="567" w:right="-2" w:hanging="567"/>
        <w:rPr>
          <w:color w:val="000000"/>
          <w:szCs w:val="22"/>
          <w:lang w:val="et-EE"/>
        </w:rPr>
      </w:pPr>
      <w:r w:rsidRPr="00EC3BD7">
        <w:rPr>
          <w:b/>
          <w:color w:val="000000"/>
          <w:szCs w:val="22"/>
          <w:lang w:val="et-EE"/>
        </w:rPr>
        <w:t>5.</w:t>
      </w:r>
      <w:r w:rsidRPr="00EC3BD7">
        <w:rPr>
          <w:b/>
          <w:color w:val="000000"/>
          <w:szCs w:val="22"/>
          <w:lang w:val="et-EE"/>
        </w:rPr>
        <w:tab/>
      </w:r>
      <w:r w:rsidRPr="00EC3BD7">
        <w:rPr>
          <w:b/>
          <w:lang w:val="et-EE"/>
        </w:rPr>
        <w:t xml:space="preserve">Kuidas </w:t>
      </w:r>
      <w:r w:rsidRPr="00EC3BD7">
        <w:rPr>
          <w:b/>
          <w:color w:val="000000"/>
          <w:szCs w:val="22"/>
          <w:lang w:val="et-EE"/>
        </w:rPr>
        <w:t>Glivecit</w:t>
      </w:r>
      <w:r w:rsidRPr="00EC3BD7">
        <w:rPr>
          <w:b/>
          <w:lang w:val="et-EE"/>
        </w:rPr>
        <w:t xml:space="preserve"> säilitada</w:t>
      </w:r>
    </w:p>
    <w:p w14:paraId="596B3713" w14:textId="77777777" w:rsidR="002E5EA0" w:rsidRPr="00EC3BD7" w:rsidRDefault="002E5EA0" w:rsidP="00B9089D">
      <w:pPr>
        <w:keepNext/>
        <w:widowControl w:val="0"/>
        <w:numPr>
          <w:ilvl w:val="12"/>
          <w:numId w:val="0"/>
        </w:numPr>
        <w:tabs>
          <w:tab w:val="clear" w:pos="567"/>
        </w:tabs>
        <w:spacing w:line="240" w:lineRule="auto"/>
        <w:ind w:right="-2"/>
        <w:rPr>
          <w:color w:val="000000"/>
          <w:szCs w:val="22"/>
          <w:lang w:val="et-EE"/>
        </w:rPr>
      </w:pPr>
    </w:p>
    <w:p w14:paraId="012CB6F6" w14:textId="77777777" w:rsidR="002E5EA0" w:rsidRPr="00EC3BD7" w:rsidRDefault="002E5EA0" w:rsidP="00FD04EA">
      <w:pPr>
        <w:pStyle w:val="Text"/>
        <w:widowControl w:val="0"/>
        <w:numPr>
          <w:ilvl w:val="0"/>
          <w:numId w:val="2"/>
        </w:numPr>
        <w:tabs>
          <w:tab w:val="clear" w:pos="360"/>
          <w:tab w:val="num" w:pos="-5103"/>
        </w:tabs>
        <w:spacing w:before="0"/>
        <w:ind w:left="567" w:hanging="567"/>
        <w:jc w:val="left"/>
        <w:rPr>
          <w:color w:val="000000"/>
          <w:sz w:val="22"/>
          <w:szCs w:val="22"/>
          <w:lang w:val="et-EE"/>
        </w:rPr>
      </w:pPr>
      <w:r w:rsidRPr="00EC3BD7">
        <w:rPr>
          <w:color w:val="000000"/>
          <w:sz w:val="22"/>
          <w:szCs w:val="22"/>
          <w:lang w:val="et-EE"/>
        </w:rPr>
        <w:t>Hoidke seda ravimit laste eest varjatud ja kättesaamatus kohas.</w:t>
      </w:r>
    </w:p>
    <w:p w14:paraId="2B73B3CA" w14:textId="77777777" w:rsidR="002E5EA0" w:rsidRPr="00EC3BD7" w:rsidRDefault="002E5EA0" w:rsidP="00FD04EA">
      <w:pPr>
        <w:pStyle w:val="Text"/>
        <w:widowControl w:val="0"/>
        <w:numPr>
          <w:ilvl w:val="0"/>
          <w:numId w:val="2"/>
        </w:numPr>
        <w:tabs>
          <w:tab w:val="clear" w:pos="360"/>
          <w:tab w:val="num" w:pos="-5103"/>
        </w:tabs>
        <w:spacing w:before="0"/>
        <w:ind w:left="567" w:hanging="567"/>
        <w:jc w:val="left"/>
        <w:rPr>
          <w:color w:val="000000"/>
          <w:sz w:val="22"/>
          <w:szCs w:val="22"/>
          <w:lang w:val="et-EE"/>
        </w:rPr>
      </w:pPr>
      <w:r w:rsidRPr="00EC3BD7">
        <w:rPr>
          <w:color w:val="000000"/>
          <w:sz w:val="22"/>
          <w:szCs w:val="22"/>
          <w:lang w:val="et-EE"/>
        </w:rPr>
        <w:t>Ärge kasutage seda ravimit pärast kõlblikkusaega, mis on märgitud karbil</w:t>
      </w:r>
      <w:r w:rsidR="00481F89" w:rsidRPr="00EC3BD7">
        <w:rPr>
          <w:color w:val="000000"/>
          <w:sz w:val="22"/>
          <w:szCs w:val="22"/>
          <w:lang w:val="et-EE"/>
        </w:rPr>
        <w:t xml:space="preserve"> pärast „</w:t>
      </w:r>
      <w:r w:rsidR="0023323F" w:rsidRPr="00EC3BD7">
        <w:rPr>
          <w:color w:val="000000"/>
          <w:sz w:val="22"/>
          <w:szCs w:val="22"/>
          <w:lang w:val="et-EE"/>
        </w:rPr>
        <w:t>EXP</w:t>
      </w:r>
      <w:r w:rsidR="00481F89" w:rsidRPr="00EC3BD7">
        <w:rPr>
          <w:color w:val="000000"/>
          <w:sz w:val="22"/>
          <w:szCs w:val="22"/>
          <w:lang w:val="et-EE"/>
        </w:rPr>
        <w:t>“</w:t>
      </w:r>
      <w:r w:rsidRPr="00EC3BD7">
        <w:rPr>
          <w:color w:val="000000"/>
          <w:sz w:val="22"/>
          <w:szCs w:val="22"/>
          <w:lang w:val="et-EE"/>
        </w:rPr>
        <w:t>.</w:t>
      </w:r>
    </w:p>
    <w:p w14:paraId="10C51D9C" w14:textId="77777777" w:rsidR="002E5EA0" w:rsidRPr="00EC3BD7" w:rsidRDefault="002E5EA0" w:rsidP="00FD04EA">
      <w:pPr>
        <w:pStyle w:val="Text"/>
        <w:widowControl w:val="0"/>
        <w:numPr>
          <w:ilvl w:val="0"/>
          <w:numId w:val="2"/>
        </w:numPr>
        <w:tabs>
          <w:tab w:val="clear" w:pos="360"/>
          <w:tab w:val="num" w:pos="-5103"/>
        </w:tabs>
        <w:spacing w:before="0"/>
        <w:ind w:left="567" w:hanging="567"/>
        <w:jc w:val="left"/>
        <w:rPr>
          <w:color w:val="000000"/>
          <w:sz w:val="22"/>
          <w:szCs w:val="22"/>
          <w:lang w:val="et-EE"/>
        </w:rPr>
      </w:pPr>
      <w:r w:rsidRPr="00EC3BD7">
        <w:rPr>
          <w:color w:val="000000"/>
          <w:sz w:val="22"/>
          <w:szCs w:val="22"/>
          <w:lang w:val="et-EE"/>
        </w:rPr>
        <w:t>Hoida temperatuuril kuni 30</w:t>
      </w:r>
      <w:r w:rsidR="00DC1316" w:rsidRPr="00EC3BD7">
        <w:rPr>
          <w:color w:val="000000"/>
          <w:sz w:val="22"/>
          <w:szCs w:val="22"/>
          <w:lang w:val="et-EE"/>
        </w:rPr>
        <w:t> </w:t>
      </w:r>
      <w:r w:rsidRPr="00EC3BD7">
        <w:rPr>
          <w:color w:val="000000"/>
          <w:sz w:val="22"/>
          <w:szCs w:val="22"/>
          <w:lang w:val="et-EE"/>
        </w:rPr>
        <w:t>°C.</w:t>
      </w:r>
    </w:p>
    <w:p w14:paraId="750DA4C0" w14:textId="77777777" w:rsidR="002E5EA0" w:rsidRPr="00EC3BD7" w:rsidRDefault="002E5EA0" w:rsidP="00FD04EA">
      <w:pPr>
        <w:pStyle w:val="Text"/>
        <w:widowControl w:val="0"/>
        <w:numPr>
          <w:ilvl w:val="0"/>
          <w:numId w:val="2"/>
        </w:numPr>
        <w:tabs>
          <w:tab w:val="clear" w:pos="360"/>
          <w:tab w:val="num" w:pos="-5103"/>
        </w:tabs>
        <w:spacing w:before="0"/>
        <w:ind w:left="567" w:hanging="567"/>
        <w:jc w:val="left"/>
        <w:rPr>
          <w:color w:val="000000"/>
          <w:sz w:val="22"/>
          <w:szCs w:val="22"/>
          <w:lang w:val="et-EE"/>
        </w:rPr>
      </w:pPr>
      <w:r w:rsidRPr="00EC3BD7">
        <w:rPr>
          <w:color w:val="000000"/>
          <w:sz w:val="22"/>
          <w:szCs w:val="22"/>
          <w:lang w:val="et-EE"/>
        </w:rPr>
        <w:t>Hoida originaalpakendis, niiskuse eest kaitstult.</w:t>
      </w:r>
    </w:p>
    <w:p w14:paraId="27764F5A" w14:textId="77777777" w:rsidR="002E5EA0" w:rsidRPr="00EC3BD7" w:rsidRDefault="002E5EA0" w:rsidP="00FD04EA">
      <w:pPr>
        <w:pStyle w:val="Text"/>
        <w:widowControl w:val="0"/>
        <w:numPr>
          <w:ilvl w:val="0"/>
          <w:numId w:val="2"/>
        </w:numPr>
        <w:tabs>
          <w:tab w:val="clear" w:pos="360"/>
          <w:tab w:val="num" w:pos="-5103"/>
        </w:tabs>
        <w:spacing w:before="0"/>
        <w:ind w:left="567" w:hanging="567"/>
        <w:jc w:val="left"/>
        <w:rPr>
          <w:color w:val="000000"/>
          <w:sz w:val="22"/>
          <w:szCs w:val="22"/>
          <w:lang w:val="et-EE"/>
        </w:rPr>
      </w:pPr>
      <w:r w:rsidRPr="00EC3BD7">
        <w:rPr>
          <w:color w:val="000000"/>
          <w:sz w:val="22"/>
          <w:szCs w:val="22"/>
          <w:lang w:val="et-EE"/>
        </w:rPr>
        <w:t>Ärge kasutage ühtegi pakendit, mis on kahjustatud või rikkumise tunnustega.</w:t>
      </w:r>
    </w:p>
    <w:p w14:paraId="00CEF9A7" w14:textId="77777777" w:rsidR="00060D4A" w:rsidRPr="00EC3BD7" w:rsidRDefault="00060D4A" w:rsidP="00FD04EA">
      <w:pPr>
        <w:pStyle w:val="Text"/>
        <w:widowControl w:val="0"/>
        <w:numPr>
          <w:ilvl w:val="0"/>
          <w:numId w:val="2"/>
        </w:numPr>
        <w:tabs>
          <w:tab w:val="clear" w:pos="360"/>
          <w:tab w:val="num" w:pos="-5103"/>
        </w:tabs>
        <w:spacing w:before="0"/>
        <w:ind w:left="567" w:hanging="567"/>
        <w:jc w:val="left"/>
        <w:rPr>
          <w:color w:val="000000"/>
          <w:sz w:val="22"/>
          <w:szCs w:val="22"/>
          <w:lang w:val="et-EE"/>
        </w:rPr>
      </w:pPr>
      <w:r w:rsidRPr="00EC3BD7">
        <w:rPr>
          <w:color w:val="000000"/>
          <w:sz w:val="22"/>
          <w:szCs w:val="22"/>
          <w:lang w:val="et-EE"/>
        </w:rPr>
        <w:t>Ärge visake ravimeid kanalisatsiooni ega olmejäätmete hulka. Küsige oma apteekrilt, kuidas visata ära ravimeid, mida te enam ei kasuta. Need meetmed aitavad kaitsta keskkonda.</w:t>
      </w:r>
    </w:p>
    <w:p w14:paraId="1F4C39DC" w14:textId="77777777" w:rsidR="002E5EA0" w:rsidRPr="00EC3BD7" w:rsidRDefault="002E5EA0" w:rsidP="002E5EA0">
      <w:pPr>
        <w:pStyle w:val="Text"/>
        <w:widowControl w:val="0"/>
        <w:spacing w:before="0"/>
        <w:jc w:val="left"/>
        <w:rPr>
          <w:color w:val="000000"/>
          <w:sz w:val="22"/>
          <w:szCs w:val="22"/>
          <w:lang w:val="et-EE"/>
        </w:rPr>
      </w:pPr>
    </w:p>
    <w:p w14:paraId="4A547D9F" w14:textId="77777777" w:rsidR="002E5EA0" w:rsidRPr="00EC3BD7" w:rsidRDefault="002E5EA0" w:rsidP="002E5EA0">
      <w:pPr>
        <w:widowControl w:val="0"/>
        <w:numPr>
          <w:ilvl w:val="12"/>
          <w:numId w:val="0"/>
        </w:numPr>
        <w:tabs>
          <w:tab w:val="clear" w:pos="567"/>
        </w:tabs>
        <w:spacing w:line="240" w:lineRule="auto"/>
        <w:ind w:right="-2"/>
        <w:rPr>
          <w:color w:val="000000"/>
          <w:szCs w:val="22"/>
          <w:lang w:val="et-EE"/>
        </w:rPr>
      </w:pPr>
    </w:p>
    <w:p w14:paraId="266413CB" w14:textId="77777777" w:rsidR="00DA3205" w:rsidRPr="00EC3BD7" w:rsidRDefault="00DA3205" w:rsidP="00B9089D">
      <w:pPr>
        <w:keepNext/>
        <w:widowControl w:val="0"/>
        <w:numPr>
          <w:ilvl w:val="12"/>
          <w:numId w:val="0"/>
        </w:numPr>
        <w:tabs>
          <w:tab w:val="clear" w:pos="567"/>
        </w:tabs>
        <w:spacing w:line="240" w:lineRule="auto"/>
        <w:ind w:right="-2"/>
        <w:jc w:val="both"/>
        <w:rPr>
          <w:caps/>
          <w:color w:val="000000"/>
          <w:szCs w:val="22"/>
          <w:lang w:val="et-EE"/>
        </w:rPr>
      </w:pPr>
      <w:r w:rsidRPr="00EC3BD7">
        <w:rPr>
          <w:b/>
          <w:caps/>
          <w:color w:val="000000"/>
          <w:szCs w:val="22"/>
          <w:lang w:val="et-EE"/>
        </w:rPr>
        <w:t>6.</w:t>
      </w:r>
      <w:r w:rsidRPr="00EC3BD7">
        <w:rPr>
          <w:b/>
          <w:caps/>
          <w:color w:val="000000"/>
          <w:szCs w:val="22"/>
          <w:lang w:val="et-EE"/>
        </w:rPr>
        <w:tab/>
      </w:r>
      <w:r w:rsidR="00296FFF" w:rsidRPr="00EC3BD7">
        <w:rPr>
          <w:b/>
          <w:lang w:val="et-EE"/>
        </w:rPr>
        <w:t>Pakendi sisu ja muu teave</w:t>
      </w:r>
    </w:p>
    <w:p w14:paraId="6858186D" w14:textId="77777777" w:rsidR="00DA3205" w:rsidRPr="00EC3BD7" w:rsidRDefault="00DA3205" w:rsidP="00B9089D">
      <w:pPr>
        <w:keepNext/>
        <w:widowControl w:val="0"/>
        <w:numPr>
          <w:ilvl w:val="12"/>
          <w:numId w:val="0"/>
        </w:numPr>
        <w:tabs>
          <w:tab w:val="clear" w:pos="567"/>
        </w:tabs>
        <w:spacing w:line="240" w:lineRule="auto"/>
        <w:ind w:right="-2"/>
        <w:jc w:val="both"/>
        <w:rPr>
          <w:color w:val="000000"/>
          <w:szCs w:val="22"/>
          <w:lang w:val="et-EE"/>
        </w:rPr>
      </w:pPr>
    </w:p>
    <w:p w14:paraId="16AE0AF5" w14:textId="77777777" w:rsidR="00DA3205" w:rsidRPr="00EC3BD7" w:rsidRDefault="00DA3205" w:rsidP="00B9089D">
      <w:pPr>
        <w:pStyle w:val="EndnoteText"/>
        <w:keepNext/>
        <w:widowControl w:val="0"/>
        <w:tabs>
          <w:tab w:val="clear" w:pos="567"/>
        </w:tabs>
        <w:rPr>
          <w:color w:val="000000"/>
          <w:szCs w:val="22"/>
          <w:lang w:val="et-EE"/>
        </w:rPr>
      </w:pPr>
      <w:r w:rsidRPr="00EC3BD7">
        <w:rPr>
          <w:b/>
          <w:color w:val="000000"/>
          <w:szCs w:val="22"/>
          <w:lang w:val="et-EE"/>
        </w:rPr>
        <w:t>Mida Glivec sisaldab</w:t>
      </w:r>
    </w:p>
    <w:p w14:paraId="1F6271B6" w14:textId="77777777" w:rsidR="00CC2DF6" w:rsidRDefault="00DA3205" w:rsidP="00DA3205">
      <w:pPr>
        <w:widowControl w:val="0"/>
        <w:numPr>
          <w:ilvl w:val="0"/>
          <w:numId w:val="9"/>
        </w:numPr>
        <w:tabs>
          <w:tab w:val="clear" w:pos="0"/>
          <w:tab w:val="clear" w:pos="567"/>
        </w:tabs>
        <w:spacing w:line="240" w:lineRule="auto"/>
        <w:ind w:left="567" w:right="-2" w:hanging="567"/>
        <w:rPr>
          <w:color w:val="000000"/>
          <w:szCs w:val="22"/>
          <w:lang w:val="et-EE"/>
        </w:rPr>
      </w:pPr>
      <w:r w:rsidRPr="00EC3BD7">
        <w:rPr>
          <w:color w:val="000000"/>
          <w:szCs w:val="22"/>
          <w:lang w:val="et-EE"/>
        </w:rPr>
        <w:t>Toimeaine on imatiniibmes</w:t>
      </w:r>
      <w:r w:rsidR="00003EF4" w:rsidRPr="00EC3BD7">
        <w:rPr>
          <w:color w:val="000000"/>
          <w:szCs w:val="22"/>
          <w:lang w:val="et-EE"/>
        </w:rPr>
        <w:t>i</w:t>
      </w:r>
      <w:r w:rsidRPr="00EC3BD7">
        <w:rPr>
          <w:color w:val="000000"/>
          <w:szCs w:val="22"/>
          <w:lang w:val="et-EE"/>
        </w:rPr>
        <w:t xml:space="preserve">laat. </w:t>
      </w:r>
    </w:p>
    <w:p w14:paraId="2DE7080F" w14:textId="228FF91C" w:rsidR="00DA3205" w:rsidRDefault="00CC2DF6" w:rsidP="00365297">
      <w:pPr>
        <w:widowControl w:val="0"/>
        <w:tabs>
          <w:tab w:val="clear" w:pos="567"/>
        </w:tabs>
        <w:spacing w:line="240" w:lineRule="auto"/>
        <w:ind w:right="-2" w:firstLine="567"/>
        <w:rPr>
          <w:color w:val="000000"/>
          <w:szCs w:val="22"/>
          <w:lang w:val="et-EE"/>
        </w:rPr>
      </w:pPr>
      <w:r>
        <w:rPr>
          <w:color w:val="000000"/>
          <w:szCs w:val="22"/>
          <w:lang w:val="et-EE"/>
        </w:rPr>
        <w:t>-</w:t>
      </w:r>
      <w:r w:rsidR="00AD4D2A">
        <w:rPr>
          <w:color w:val="000000"/>
          <w:szCs w:val="22"/>
          <w:lang w:val="et-EE"/>
        </w:rPr>
        <w:tab/>
      </w:r>
      <w:r w:rsidR="00003EF4" w:rsidRPr="00EC3BD7">
        <w:rPr>
          <w:color w:val="000000"/>
          <w:szCs w:val="22"/>
          <w:lang w:val="et-EE"/>
        </w:rPr>
        <w:t>Üks</w:t>
      </w:r>
      <w:r w:rsidR="00DA3205" w:rsidRPr="00EC3BD7">
        <w:rPr>
          <w:color w:val="000000"/>
          <w:szCs w:val="22"/>
          <w:lang w:val="et-EE"/>
        </w:rPr>
        <w:t xml:space="preserve"> </w:t>
      </w:r>
      <w:r w:rsidR="00AD4D2A">
        <w:rPr>
          <w:color w:val="000000"/>
          <w:szCs w:val="22"/>
          <w:lang w:val="et-EE"/>
        </w:rPr>
        <w:t>100</w:t>
      </w:r>
      <w:r w:rsidR="00365297">
        <w:rPr>
          <w:color w:val="000000"/>
          <w:szCs w:val="22"/>
          <w:lang w:val="et-EE"/>
        </w:rPr>
        <w:t> </w:t>
      </w:r>
      <w:r w:rsidR="00AD4D2A">
        <w:rPr>
          <w:color w:val="000000"/>
          <w:szCs w:val="22"/>
          <w:lang w:val="et-EE"/>
        </w:rPr>
        <w:t xml:space="preserve">mg </w:t>
      </w:r>
      <w:r w:rsidR="00DA3205" w:rsidRPr="00EC3BD7">
        <w:rPr>
          <w:color w:val="000000"/>
          <w:szCs w:val="22"/>
          <w:lang w:val="et-EE"/>
        </w:rPr>
        <w:t>Gliveci tablett sisaldab 100 mg imatiniib</w:t>
      </w:r>
      <w:r w:rsidR="00296FFF" w:rsidRPr="00EC3BD7">
        <w:rPr>
          <w:color w:val="000000"/>
          <w:szCs w:val="22"/>
          <w:lang w:val="et-EE"/>
        </w:rPr>
        <w:t>i (</w:t>
      </w:r>
      <w:r w:rsidR="00DA3205" w:rsidRPr="00EC3BD7">
        <w:rPr>
          <w:color w:val="000000"/>
          <w:szCs w:val="22"/>
          <w:lang w:val="et-EE"/>
        </w:rPr>
        <w:t>mes</w:t>
      </w:r>
      <w:r w:rsidR="00003EF4" w:rsidRPr="00EC3BD7">
        <w:rPr>
          <w:color w:val="000000"/>
          <w:szCs w:val="22"/>
          <w:lang w:val="et-EE"/>
        </w:rPr>
        <w:t>i</w:t>
      </w:r>
      <w:r w:rsidR="00DA3205" w:rsidRPr="00EC3BD7">
        <w:rPr>
          <w:color w:val="000000"/>
          <w:szCs w:val="22"/>
          <w:lang w:val="et-EE"/>
        </w:rPr>
        <w:t>laa</w:t>
      </w:r>
      <w:r w:rsidR="00296FFF" w:rsidRPr="00EC3BD7">
        <w:rPr>
          <w:color w:val="000000"/>
          <w:szCs w:val="22"/>
          <w:lang w:val="et-EE"/>
        </w:rPr>
        <w:t>d</w:t>
      </w:r>
      <w:r w:rsidR="00DA3205" w:rsidRPr="00EC3BD7">
        <w:rPr>
          <w:color w:val="000000"/>
          <w:szCs w:val="22"/>
          <w:lang w:val="et-EE"/>
        </w:rPr>
        <w:t>i</w:t>
      </w:r>
      <w:r w:rsidR="00296FFF" w:rsidRPr="00EC3BD7">
        <w:rPr>
          <w:color w:val="000000"/>
          <w:szCs w:val="22"/>
          <w:lang w:val="et-EE"/>
        </w:rPr>
        <w:t>na)</w:t>
      </w:r>
      <w:r w:rsidR="00DA3205" w:rsidRPr="00EC3BD7">
        <w:rPr>
          <w:color w:val="000000"/>
          <w:szCs w:val="22"/>
          <w:lang w:val="et-EE"/>
        </w:rPr>
        <w:t>.</w:t>
      </w:r>
    </w:p>
    <w:p w14:paraId="6ACBBB98" w14:textId="297845FB" w:rsidR="00AD4D2A" w:rsidRPr="00EC3BD7" w:rsidRDefault="00AD4D2A" w:rsidP="00365297">
      <w:pPr>
        <w:widowControl w:val="0"/>
        <w:tabs>
          <w:tab w:val="clear" w:pos="567"/>
        </w:tabs>
        <w:spacing w:line="240" w:lineRule="auto"/>
        <w:ind w:right="-2" w:firstLine="567"/>
        <w:rPr>
          <w:color w:val="000000"/>
          <w:szCs w:val="22"/>
          <w:lang w:val="et-EE"/>
        </w:rPr>
      </w:pPr>
      <w:r>
        <w:rPr>
          <w:color w:val="000000"/>
          <w:szCs w:val="22"/>
          <w:lang w:val="et-EE"/>
        </w:rPr>
        <w:t>-</w:t>
      </w:r>
      <w:r>
        <w:rPr>
          <w:color w:val="000000"/>
          <w:szCs w:val="22"/>
          <w:lang w:val="et-EE"/>
        </w:rPr>
        <w:tab/>
        <w:t>Üks 400</w:t>
      </w:r>
      <w:r w:rsidR="00365297">
        <w:rPr>
          <w:color w:val="000000"/>
          <w:szCs w:val="22"/>
          <w:lang w:val="et-EE"/>
        </w:rPr>
        <w:t> </w:t>
      </w:r>
      <w:r>
        <w:rPr>
          <w:color w:val="000000"/>
          <w:szCs w:val="22"/>
          <w:lang w:val="et-EE"/>
        </w:rPr>
        <w:t>mg Gliveci tablett sisaldab 400</w:t>
      </w:r>
      <w:r w:rsidR="00365297">
        <w:rPr>
          <w:color w:val="000000"/>
          <w:szCs w:val="22"/>
          <w:lang w:val="et-EE"/>
        </w:rPr>
        <w:t> </w:t>
      </w:r>
      <w:r>
        <w:rPr>
          <w:color w:val="000000"/>
          <w:szCs w:val="22"/>
          <w:lang w:val="et-EE"/>
        </w:rPr>
        <w:t>mg imatiniibi (mesilaadina).</w:t>
      </w:r>
    </w:p>
    <w:p w14:paraId="132D03FD" w14:textId="77777777" w:rsidR="00DA3205" w:rsidRPr="00EC3BD7" w:rsidRDefault="00296FFF" w:rsidP="00DA3205">
      <w:pPr>
        <w:widowControl w:val="0"/>
        <w:numPr>
          <w:ilvl w:val="0"/>
          <w:numId w:val="9"/>
        </w:numPr>
        <w:tabs>
          <w:tab w:val="clear" w:pos="0"/>
          <w:tab w:val="clear" w:pos="567"/>
        </w:tabs>
        <w:spacing w:line="240" w:lineRule="auto"/>
        <w:ind w:left="567" w:right="-2" w:hanging="567"/>
        <w:rPr>
          <w:color w:val="000000"/>
          <w:szCs w:val="22"/>
          <w:lang w:val="et-EE"/>
        </w:rPr>
      </w:pPr>
      <w:r w:rsidRPr="00EC3BD7">
        <w:rPr>
          <w:color w:val="000000"/>
          <w:szCs w:val="22"/>
          <w:lang w:val="et-EE"/>
        </w:rPr>
        <w:lastRenderedPageBreak/>
        <w:t>Teised koostisosad</w:t>
      </w:r>
      <w:r w:rsidR="00DA3205" w:rsidRPr="00EC3BD7">
        <w:rPr>
          <w:color w:val="000000"/>
          <w:szCs w:val="22"/>
          <w:lang w:val="et-EE"/>
        </w:rPr>
        <w:t xml:space="preserve"> on mikrokristalliline tselluloos, krospovidoon, hüpromelloos, magneesiumstearaat ja veevaba kolloidne ränidioksiid.</w:t>
      </w:r>
    </w:p>
    <w:p w14:paraId="40FEC0E6" w14:textId="77777777" w:rsidR="00DA3205" w:rsidRPr="00EC3BD7" w:rsidRDefault="00DA3205" w:rsidP="00DA3205">
      <w:pPr>
        <w:widowControl w:val="0"/>
        <w:numPr>
          <w:ilvl w:val="0"/>
          <w:numId w:val="9"/>
        </w:numPr>
        <w:tabs>
          <w:tab w:val="clear" w:pos="0"/>
          <w:tab w:val="clear" w:pos="567"/>
        </w:tabs>
        <w:spacing w:line="240" w:lineRule="auto"/>
        <w:ind w:left="567" w:right="-2" w:hanging="567"/>
        <w:rPr>
          <w:color w:val="000000"/>
          <w:szCs w:val="22"/>
          <w:lang w:val="et-EE"/>
        </w:rPr>
      </w:pPr>
      <w:r w:rsidRPr="00EC3BD7">
        <w:rPr>
          <w:color w:val="000000"/>
          <w:szCs w:val="22"/>
          <w:lang w:val="et-EE"/>
        </w:rPr>
        <w:t>Tableti katte koostises on punane raudoksiid (E172), kollane raudoksiid (E172), makrogool, talk ja hüpromelloos.</w:t>
      </w:r>
    </w:p>
    <w:p w14:paraId="083B160B" w14:textId="77777777" w:rsidR="00DA3205" w:rsidRPr="00EC3BD7" w:rsidRDefault="00DA3205" w:rsidP="00DA3205">
      <w:pPr>
        <w:pStyle w:val="EndnoteText"/>
        <w:widowControl w:val="0"/>
        <w:numPr>
          <w:ilvl w:val="12"/>
          <w:numId w:val="0"/>
        </w:numPr>
        <w:tabs>
          <w:tab w:val="clear" w:pos="567"/>
        </w:tabs>
        <w:rPr>
          <w:color w:val="000000"/>
          <w:szCs w:val="22"/>
          <w:lang w:val="et-EE"/>
        </w:rPr>
      </w:pPr>
    </w:p>
    <w:p w14:paraId="5DC95958" w14:textId="77777777" w:rsidR="00DA3205" w:rsidRPr="00EC3BD7" w:rsidRDefault="00DA3205" w:rsidP="00B9089D">
      <w:pPr>
        <w:pStyle w:val="EndnoteText"/>
        <w:keepNext/>
        <w:widowControl w:val="0"/>
        <w:numPr>
          <w:ilvl w:val="12"/>
          <w:numId w:val="0"/>
        </w:numPr>
        <w:tabs>
          <w:tab w:val="clear" w:pos="567"/>
        </w:tabs>
        <w:rPr>
          <w:b/>
          <w:color w:val="000000"/>
          <w:szCs w:val="22"/>
          <w:lang w:val="et-EE"/>
        </w:rPr>
      </w:pPr>
      <w:r w:rsidRPr="00EC3BD7">
        <w:rPr>
          <w:b/>
          <w:color w:val="000000"/>
          <w:szCs w:val="22"/>
          <w:lang w:val="et-EE"/>
        </w:rPr>
        <w:t>Kuidas Glivec välja näeb ja pakendi sisu</w:t>
      </w:r>
    </w:p>
    <w:p w14:paraId="10756B66" w14:textId="257F341D" w:rsidR="00DA3205" w:rsidRDefault="00DA3205" w:rsidP="00DA3205">
      <w:pPr>
        <w:widowControl w:val="0"/>
        <w:tabs>
          <w:tab w:val="clear" w:pos="567"/>
        </w:tabs>
        <w:spacing w:line="240" w:lineRule="auto"/>
        <w:rPr>
          <w:color w:val="000000"/>
          <w:szCs w:val="22"/>
          <w:lang w:val="et-EE"/>
        </w:rPr>
      </w:pPr>
      <w:r w:rsidRPr="00EC3BD7">
        <w:rPr>
          <w:color w:val="000000"/>
          <w:szCs w:val="22"/>
          <w:lang w:val="et-EE"/>
        </w:rPr>
        <w:t>Glivec 100 mg õhukese polümeerikattega tabletid on tumekollased kuni pruunikasoranžid</w:t>
      </w:r>
      <w:r w:rsidR="00AD4D2A">
        <w:rPr>
          <w:color w:val="000000"/>
          <w:szCs w:val="22"/>
          <w:lang w:val="et-EE"/>
        </w:rPr>
        <w:t>, ümara kujuga</w:t>
      </w:r>
      <w:r w:rsidRPr="00EC3BD7">
        <w:rPr>
          <w:color w:val="000000"/>
          <w:szCs w:val="22"/>
          <w:lang w:val="et-EE"/>
        </w:rPr>
        <w:t>, tähisega “</w:t>
      </w:r>
      <w:smartTag w:uri="urn:schemas-microsoft-com:office:smarttags" w:element="stockticker">
        <w:r w:rsidRPr="00EC3BD7">
          <w:rPr>
            <w:color w:val="000000"/>
            <w:szCs w:val="22"/>
            <w:lang w:val="et-EE"/>
          </w:rPr>
          <w:t>NVR</w:t>
        </w:r>
      </w:smartTag>
      <w:r w:rsidRPr="00EC3BD7">
        <w:rPr>
          <w:color w:val="000000"/>
          <w:szCs w:val="22"/>
          <w:lang w:val="et-EE"/>
        </w:rPr>
        <w:t>” ühel pool ja “SA” ning poolitusjoonega teisel pool.</w:t>
      </w:r>
    </w:p>
    <w:p w14:paraId="3E112E83" w14:textId="4FFA42B3" w:rsidR="00AD4D2A" w:rsidRDefault="00AD4D2A" w:rsidP="00AD4D2A">
      <w:pPr>
        <w:widowControl w:val="0"/>
        <w:tabs>
          <w:tab w:val="clear" w:pos="567"/>
        </w:tabs>
        <w:spacing w:line="240" w:lineRule="auto"/>
        <w:rPr>
          <w:color w:val="000000"/>
          <w:szCs w:val="22"/>
          <w:lang w:val="et-EE"/>
        </w:rPr>
      </w:pPr>
      <w:r>
        <w:rPr>
          <w:color w:val="000000"/>
          <w:szCs w:val="22"/>
          <w:lang w:val="et-EE"/>
        </w:rPr>
        <w:t>Glivec 400</w:t>
      </w:r>
      <w:r w:rsidR="00365297">
        <w:rPr>
          <w:color w:val="000000"/>
          <w:szCs w:val="22"/>
          <w:lang w:val="et-EE"/>
        </w:rPr>
        <w:t> </w:t>
      </w:r>
      <w:r>
        <w:rPr>
          <w:color w:val="000000"/>
          <w:szCs w:val="22"/>
          <w:lang w:val="et-EE"/>
        </w:rPr>
        <w:t xml:space="preserve">mg õhukese polümeerikattega tabletid on </w:t>
      </w:r>
      <w:r w:rsidRPr="00EC3BD7">
        <w:rPr>
          <w:color w:val="000000"/>
          <w:szCs w:val="22"/>
          <w:lang w:val="et-EE"/>
        </w:rPr>
        <w:t>tumekollased kuni pruunikasoranžid</w:t>
      </w:r>
      <w:r>
        <w:rPr>
          <w:color w:val="000000"/>
          <w:szCs w:val="22"/>
          <w:lang w:val="et-EE"/>
        </w:rPr>
        <w:t>, pikliku kujuga</w:t>
      </w:r>
      <w:r w:rsidRPr="00EC3BD7">
        <w:rPr>
          <w:color w:val="000000"/>
          <w:szCs w:val="22"/>
          <w:lang w:val="et-EE"/>
        </w:rPr>
        <w:t>, tähisega “</w:t>
      </w:r>
      <w:r>
        <w:rPr>
          <w:color w:val="000000"/>
          <w:szCs w:val="22"/>
          <w:lang w:val="et-EE"/>
        </w:rPr>
        <w:t>glivec</w:t>
      </w:r>
      <w:r w:rsidRPr="00EC3BD7">
        <w:rPr>
          <w:color w:val="000000"/>
          <w:szCs w:val="22"/>
          <w:lang w:val="et-EE"/>
        </w:rPr>
        <w:t>” ühel pool.</w:t>
      </w:r>
    </w:p>
    <w:p w14:paraId="460D701B" w14:textId="45D1D639" w:rsidR="00AD4D2A" w:rsidRPr="00EC3BD7" w:rsidRDefault="00AD4D2A" w:rsidP="00DA3205">
      <w:pPr>
        <w:widowControl w:val="0"/>
        <w:tabs>
          <w:tab w:val="clear" w:pos="567"/>
        </w:tabs>
        <w:spacing w:line="240" w:lineRule="auto"/>
        <w:rPr>
          <w:color w:val="000000"/>
          <w:szCs w:val="22"/>
          <w:lang w:val="et-EE"/>
        </w:rPr>
      </w:pPr>
    </w:p>
    <w:p w14:paraId="299F985C" w14:textId="5469EE4D" w:rsidR="00AD4D2A" w:rsidRDefault="00AD4D2A" w:rsidP="00DA3205">
      <w:pPr>
        <w:pStyle w:val="EndnoteText"/>
        <w:widowControl w:val="0"/>
        <w:numPr>
          <w:ilvl w:val="12"/>
          <w:numId w:val="0"/>
        </w:numPr>
        <w:tabs>
          <w:tab w:val="clear" w:pos="567"/>
        </w:tabs>
        <w:rPr>
          <w:color w:val="000000"/>
          <w:szCs w:val="22"/>
          <w:lang w:val="et-EE"/>
        </w:rPr>
      </w:pPr>
      <w:r>
        <w:rPr>
          <w:color w:val="000000"/>
          <w:szCs w:val="22"/>
          <w:lang w:val="et-EE"/>
        </w:rPr>
        <w:t>Glivec 100</w:t>
      </w:r>
      <w:r w:rsidR="00365297">
        <w:rPr>
          <w:color w:val="000000"/>
          <w:szCs w:val="22"/>
          <w:lang w:val="et-EE"/>
        </w:rPr>
        <w:t> </w:t>
      </w:r>
      <w:r>
        <w:rPr>
          <w:color w:val="000000"/>
          <w:szCs w:val="22"/>
          <w:lang w:val="et-EE"/>
        </w:rPr>
        <w:t>mg õhukese polümeerikattega tablett: p</w:t>
      </w:r>
      <w:r w:rsidR="00DA3205" w:rsidRPr="00EC3BD7">
        <w:rPr>
          <w:color w:val="000000"/>
          <w:szCs w:val="22"/>
          <w:lang w:val="et-EE"/>
        </w:rPr>
        <w:t>akendis on 20, 60, 120 või 180 tabletti.</w:t>
      </w:r>
    </w:p>
    <w:p w14:paraId="186389A7" w14:textId="1E27E606" w:rsidR="00AD4D2A" w:rsidRDefault="00AD4D2A" w:rsidP="00AD4D2A">
      <w:pPr>
        <w:pStyle w:val="EndnoteText"/>
        <w:widowControl w:val="0"/>
        <w:numPr>
          <w:ilvl w:val="12"/>
          <w:numId w:val="0"/>
        </w:numPr>
        <w:tabs>
          <w:tab w:val="clear" w:pos="567"/>
        </w:tabs>
        <w:rPr>
          <w:color w:val="000000"/>
          <w:szCs w:val="22"/>
          <w:lang w:val="et-EE"/>
        </w:rPr>
      </w:pPr>
      <w:r>
        <w:rPr>
          <w:color w:val="000000"/>
          <w:szCs w:val="22"/>
          <w:lang w:val="et-EE"/>
        </w:rPr>
        <w:t>Glivec 400</w:t>
      </w:r>
      <w:r w:rsidR="00365297">
        <w:rPr>
          <w:color w:val="000000"/>
          <w:szCs w:val="22"/>
          <w:lang w:val="et-EE"/>
        </w:rPr>
        <w:t> </w:t>
      </w:r>
      <w:r>
        <w:rPr>
          <w:color w:val="000000"/>
          <w:szCs w:val="22"/>
          <w:lang w:val="et-EE"/>
        </w:rPr>
        <w:t>mg õhukese polümeerikattega tablett: p</w:t>
      </w:r>
      <w:r w:rsidRPr="00EC3BD7">
        <w:rPr>
          <w:color w:val="000000"/>
          <w:szCs w:val="22"/>
          <w:lang w:val="et-EE"/>
        </w:rPr>
        <w:t xml:space="preserve">akendis on </w:t>
      </w:r>
      <w:r>
        <w:rPr>
          <w:color w:val="000000"/>
          <w:szCs w:val="22"/>
          <w:lang w:val="et-EE"/>
        </w:rPr>
        <w:t>10, 30 või 90</w:t>
      </w:r>
      <w:r w:rsidRPr="00EC3BD7">
        <w:rPr>
          <w:color w:val="000000"/>
          <w:szCs w:val="22"/>
          <w:lang w:val="et-EE"/>
        </w:rPr>
        <w:t> tabletti.</w:t>
      </w:r>
    </w:p>
    <w:p w14:paraId="203D4780" w14:textId="77777777" w:rsidR="00AD4D2A" w:rsidRDefault="00AD4D2A" w:rsidP="00DA3205">
      <w:pPr>
        <w:pStyle w:val="EndnoteText"/>
        <w:widowControl w:val="0"/>
        <w:numPr>
          <w:ilvl w:val="12"/>
          <w:numId w:val="0"/>
        </w:numPr>
        <w:tabs>
          <w:tab w:val="clear" w:pos="567"/>
        </w:tabs>
        <w:rPr>
          <w:color w:val="000000"/>
          <w:szCs w:val="22"/>
          <w:lang w:val="et-EE"/>
        </w:rPr>
      </w:pPr>
    </w:p>
    <w:p w14:paraId="0EA14E09" w14:textId="5543AC7E" w:rsidR="00DA3205" w:rsidRPr="00EC3BD7" w:rsidRDefault="00DA3205" w:rsidP="00DA3205">
      <w:pPr>
        <w:pStyle w:val="EndnoteText"/>
        <w:widowControl w:val="0"/>
        <w:numPr>
          <w:ilvl w:val="12"/>
          <w:numId w:val="0"/>
        </w:numPr>
        <w:tabs>
          <w:tab w:val="clear" w:pos="567"/>
        </w:tabs>
        <w:rPr>
          <w:color w:val="000000"/>
          <w:szCs w:val="22"/>
          <w:lang w:val="et-EE"/>
        </w:rPr>
      </w:pPr>
      <w:r w:rsidRPr="00EC3BD7">
        <w:rPr>
          <w:color w:val="000000"/>
          <w:szCs w:val="22"/>
          <w:lang w:val="et-EE"/>
        </w:rPr>
        <w:t>Kõik pakendi suurused ei pruugi olla müügil.</w:t>
      </w:r>
    </w:p>
    <w:p w14:paraId="5D3B6FB5" w14:textId="77777777" w:rsidR="00DA3205" w:rsidRPr="00EC3BD7" w:rsidRDefault="00DA3205" w:rsidP="00DA3205">
      <w:pPr>
        <w:pStyle w:val="EndnoteText"/>
        <w:widowControl w:val="0"/>
        <w:numPr>
          <w:ilvl w:val="12"/>
          <w:numId w:val="0"/>
        </w:numPr>
        <w:tabs>
          <w:tab w:val="clear" w:pos="567"/>
        </w:tabs>
        <w:rPr>
          <w:color w:val="000000"/>
          <w:szCs w:val="22"/>
          <w:lang w:val="et-EE"/>
        </w:rPr>
      </w:pPr>
    </w:p>
    <w:p w14:paraId="4C3954AF" w14:textId="77777777" w:rsidR="00DA3205" w:rsidRPr="00EC3BD7" w:rsidRDefault="00DA3205" w:rsidP="00B9089D">
      <w:pPr>
        <w:pStyle w:val="Heading2"/>
        <w:widowControl w:val="0"/>
        <w:spacing w:before="0" w:after="0" w:line="240" w:lineRule="auto"/>
        <w:rPr>
          <w:rFonts w:ascii="Times New Roman" w:hAnsi="Times New Roman"/>
          <w:i w:val="0"/>
          <w:color w:val="000000"/>
          <w:sz w:val="22"/>
          <w:szCs w:val="22"/>
          <w:lang w:val="et-EE"/>
        </w:rPr>
      </w:pPr>
      <w:r w:rsidRPr="00EC3BD7">
        <w:rPr>
          <w:rFonts w:ascii="Times New Roman" w:hAnsi="Times New Roman"/>
          <w:i w:val="0"/>
          <w:color w:val="000000"/>
          <w:sz w:val="22"/>
          <w:szCs w:val="22"/>
          <w:lang w:val="et-EE"/>
        </w:rPr>
        <w:t>Müügiloa hoidja</w:t>
      </w:r>
    </w:p>
    <w:p w14:paraId="4E72A6EC" w14:textId="77777777" w:rsidR="00DA3205" w:rsidRPr="00EC3BD7" w:rsidRDefault="00DA3205" w:rsidP="00B9089D">
      <w:pPr>
        <w:pStyle w:val="EndnoteText"/>
        <w:keepNext/>
        <w:widowControl w:val="0"/>
        <w:tabs>
          <w:tab w:val="clear" w:pos="567"/>
        </w:tabs>
        <w:rPr>
          <w:color w:val="000000"/>
          <w:szCs w:val="22"/>
          <w:lang w:val="et-EE"/>
        </w:rPr>
      </w:pPr>
      <w:r w:rsidRPr="00EC3BD7">
        <w:rPr>
          <w:color w:val="000000"/>
          <w:szCs w:val="22"/>
          <w:lang w:val="et-EE"/>
        </w:rPr>
        <w:t>Novartis Europharm Limited</w:t>
      </w:r>
    </w:p>
    <w:p w14:paraId="1F7A9469" w14:textId="77777777" w:rsidR="003948E3" w:rsidRPr="00EC3BD7" w:rsidRDefault="003948E3" w:rsidP="003948E3">
      <w:pPr>
        <w:keepNext/>
        <w:widowControl w:val="0"/>
        <w:spacing w:line="240" w:lineRule="auto"/>
        <w:rPr>
          <w:color w:val="000000"/>
        </w:rPr>
      </w:pPr>
      <w:r w:rsidRPr="00EC3BD7">
        <w:rPr>
          <w:color w:val="000000"/>
        </w:rPr>
        <w:t>Vista Building</w:t>
      </w:r>
    </w:p>
    <w:p w14:paraId="3C9C5078" w14:textId="77777777" w:rsidR="003948E3" w:rsidRPr="00EC3BD7" w:rsidRDefault="003948E3" w:rsidP="003948E3">
      <w:pPr>
        <w:keepNext/>
        <w:widowControl w:val="0"/>
        <w:spacing w:line="240" w:lineRule="auto"/>
        <w:rPr>
          <w:color w:val="000000"/>
        </w:rPr>
      </w:pPr>
      <w:r w:rsidRPr="00EC3BD7">
        <w:rPr>
          <w:color w:val="000000"/>
        </w:rPr>
        <w:t>Elm Park, Merrion Road</w:t>
      </w:r>
    </w:p>
    <w:p w14:paraId="53C7DAA4" w14:textId="77777777" w:rsidR="003948E3" w:rsidRPr="00EC3BD7" w:rsidRDefault="003948E3" w:rsidP="003948E3">
      <w:pPr>
        <w:keepNext/>
        <w:widowControl w:val="0"/>
        <w:spacing w:line="240" w:lineRule="auto"/>
        <w:rPr>
          <w:color w:val="000000"/>
        </w:rPr>
      </w:pPr>
      <w:r w:rsidRPr="00EC3BD7">
        <w:rPr>
          <w:color w:val="000000"/>
        </w:rPr>
        <w:t>Dublin 4</w:t>
      </w:r>
    </w:p>
    <w:p w14:paraId="351BB79F" w14:textId="77777777" w:rsidR="003948E3" w:rsidRPr="00EC3BD7" w:rsidRDefault="003948E3" w:rsidP="003948E3">
      <w:pPr>
        <w:pStyle w:val="Text"/>
        <w:widowControl w:val="0"/>
        <w:spacing w:before="0"/>
        <w:jc w:val="left"/>
        <w:rPr>
          <w:color w:val="000000"/>
          <w:sz w:val="22"/>
          <w:szCs w:val="22"/>
          <w:lang w:val="et-EE"/>
        </w:rPr>
      </w:pPr>
      <w:r w:rsidRPr="00EC3BD7">
        <w:rPr>
          <w:color w:val="000000"/>
          <w:sz w:val="22"/>
          <w:szCs w:val="22"/>
        </w:rPr>
        <w:t>Iirimaa</w:t>
      </w:r>
    </w:p>
    <w:p w14:paraId="036013C6" w14:textId="77777777" w:rsidR="00DA3205" w:rsidRPr="00EC3BD7" w:rsidRDefault="00DA3205" w:rsidP="00DA3205">
      <w:pPr>
        <w:pStyle w:val="Text"/>
        <w:widowControl w:val="0"/>
        <w:spacing w:before="0"/>
        <w:jc w:val="left"/>
        <w:rPr>
          <w:color w:val="000000"/>
          <w:sz w:val="22"/>
          <w:szCs w:val="22"/>
          <w:lang w:val="et-EE"/>
        </w:rPr>
      </w:pPr>
    </w:p>
    <w:p w14:paraId="17E35193" w14:textId="77777777" w:rsidR="00DA3205" w:rsidRPr="00EC3BD7" w:rsidRDefault="00DA3205" w:rsidP="00B9089D">
      <w:pPr>
        <w:pStyle w:val="Heading2"/>
        <w:widowControl w:val="0"/>
        <w:spacing w:before="0" w:after="0" w:line="240" w:lineRule="auto"/>
        <w:rPr>
          <w:rFonts w:ascii="Times New Roman" w:hAnsi="Times New Roman"/>
          <w:i w:val="0"/>
          <w:color w:val="000000"/>
          <w:sz w:val="22"/>
          <w:szCs w:val="22"/>
          <w:lang w:val="et-EE"/>
        </w:rPr>
      </w:pPr>
      <w:r w:rsidRPr="00EC3BD7">
        <w:rPr>
          <w:rFonts w:ascii="Times New Roman" w:hAnsi="Times New Roman"/>
          <w:i w:val="0"/>
          <w:color w:val="000000"/>
          <w:sz w:val="22"/>
          <w:szCs w:val="22"/>
          <w:lang w:val="et-EE"/>
        </w:rPr>
        <w:t>Tootja</w:t>
      </w:r>
    </w:p>
    <w:p w14:paraId="06BD2230" w14:textId="77777777" w:rsidR="005268C7" w:rsidRPr="00EC3BD7" w:rsidRDefault="005268C7" w:rsidP="005268C7">
      <w:pPr>
        <w:keepNext/>
        <w:widowControl w:val="0"/>
        <w:tabs>
          <w:tab w:val="left" w:pos="7513"/>
        </w:tabs>
        <w:spacing w:line="240" w:lineRule="auto"/>
        <w:rPr>
          <w:szCs w:val="22"/>
        </w:rPr>
      </w:pPr>
      <w:r w:rsidRPr="00EC3BD7">
        <w:rPr>
          <w:szCs w:val="22"/>
        </w:rPr>
        <w:t>Lek d.d, PE PROIZVODNJA LENDAVA</w:t>
      </w:r>
    </w:p>
    <w:p w14:paraId="20D53E3E" w14:textId="77777777" w:rsidR="005268C7" w:rsidRPr="00EC3BD7" w:rsidRDefault="005268C7" w:rsidP="005268C7">
      <w:pPr>
        <w:keepNext/>
        <w:widowControl w:val="0"/>
        <w:tabs>
          <w:tab w:val="left" w:pos="7513"/>
        </w:tabs>
        <w:spacing w:line="240" w:lineRule="auto"/>
        <w:rPr>
          <w:szCs w:val="22"/>
          <w:lang w:val="fr-CH"/>
        </w:rPr>
      </w:pPr>
      <w:r w:rsidRPr="00EC3BD7">
        <w:rPr>
          <w:szCs w:val="22"/>
          <w:lang w:val="fr-CH"/>
        </w:rPr>
        <w:t>Trimlini 2D</w:t>
      </w:r>
    </w:p>
    <w:p w14:paraId="2FC189D8" w14:textId="77777777" w:rsidR="005268C7" w:rsidRPr="00EC3BD7" w:rsidRDefault="005268C7" w:rsidP="005268C7">
      <w:pPr>
        <w:keepNext/>
        <w:widowControl w:val="0"/>
        <w:tabs>
          <w:tab w:val="left" w:pos="7513"/>
        </w:tabs>
        <w:spacing w:line="240" w:lineRule="auto"/>
        <w:rPr>
          <w:szCs w:val="22"/>
          <w:lang w:val="fr-CH"/>
        </w:rPr>
      </w:pPr>
      <w:r w:rsidRPr="00EC3BD7">
        <w:rPr>
          <w:szCs w:val="22"/>
          <w:lang w:val="fr-CH"/>
        </w:rPr>
        <w:t>Lendava, 9220</w:t>
      </w:r>
    </w:p>
    <w:p w14:paraId="2ED1FB96" w14:textId="77777777" w:rsidR="005268C7" w:rsidRPr="00EC3BD7" w:rsidRDefault="005268C7" w:rsidP="005268C7">
      <w:pPr>
        <w:widowControl w:val="0"/>
        <w:tabs>
          <w:tab w:val="left" w:pos="7513"/>
        </w:tabs>
        <w:spacing w:line="240" w:lineRule="auto"/>
        <w:rPr>
          <w:szCs w:val="22"/>
          <w:lang w:val="pt-BR"/>
        </w:rPr>
      </w:pPr>
      <w:r w:rsidRPr="00EC3BD7">
        <w:rPr>
          <w:szCs w:val="22"/>
          <w:lang w:val="fr-CH"/>
        </w:rPr>
        <w:t>Sloveenia</w:t>
      </w:r>
    </w:p>
    <w:p w14:paraId="48AD7458" w14:textId="77777777" w:rsidR="005268C7" w:rsidRPr="00EC3BD7" w:rsidRDefault="005268C7" w:rsidP="005268C7">
      <w:pPr>
        <w:widowControl w:val="0"/>
        <w:tabs>
          <w:tab w:val="left" w:pos="7513"/>
        </w:tabs>
        <w:spacing w:line="240" w:lineRule="auto"/>
        <w:rPr>
          <w:szCs w:val="22"/>
          <w:lang w:val="pt-BR"/>
        </w:rPr>
      </w:pPr>
    </w:p>
    <w:p w14:paraId="41553F6B" w14:textId="77777777" w:rsidR="00DA3205" w:rsidRPr="00EC3BD7" w:rsidRDefault="00DA3205" w:rsidP="00B9089D">
      <w:pPr>
        <w:keepNext/>
        <w:widowControl w:val="0"/>
        <w:spacing w:line="240" w:lineRule="auto"/>
        <w:rPr>
          <w:snapToGrid w:val="0"/>
          <w:color w:val="000000"/>
          <w:szCs w:val="22"/>
          <w:shd w:val="pct15" w:color="auto" w:fill="auto"/>
          <w:lang w:val="et-EE"/>
        </w:rPr>
      </w:pPr>
      <w:r w:rsidRPr="00EC3BD7">
        <w:rPr>
          <w:snapToGrid w:val="0"/>
          <w:color w:val="000000"/>
          <w:szCs w:val="22"/>
          <w:shd w:val="pct15" w:color="auto" w:fill="auto"/>
          <w:lang w:val="et-EE"/>
        </w:rPr>
        <w:t>Novartis Pharma GmbH</w:t>
      </w:r>
    </w:p>
    <w:p w14:paraId="7E6EB17A" w14:textId="77777777" w:rsidR="00DA3205" w:rsidRPr="00EC3BD7" w:rsidRDefault="00DA3205" w:rsidP="00B9089D">
      <w:pPr>
        <w:keepNext/>
        <w:widowControl w:val="0"/>
        <w:spacing w:line="240" w:lineRule="auto"/>
        <w:ind w:left="709" w:hanging="709"/>
        <w:rPr>
          <w:snapToGrid w:val="0"/>
          <w:color w:val="000000"/>
          <w:szCs w:val="22"/>
          <w:shd w:val="pct15" w:color="auto" w:fill="auto"/>
          <w:lang w:val="et-EE"/>
        </w:rPr>
      </w:pPr>
      <w:r w:rsidRPr="00EC3BD7">
        <w:rPr>
          <w:snapToGrid w:val="0"/>
          <w:color w:val="000000"/>
          <w:szCs w:val="22"/>
          <w:shd w:val="pct15" w:color="auto" w:fill="auto"/>
          <w:lang w:val="et-EE"/>
        </w:rPr>
        <w:t>Roonstrsse 25</w:t>
      </w:r>
    </w:p>
    <w:p w14:paraId="779B8BB4" w14:textId="77777777" w:rsidR="00DA3205" w:rsidRPr="00EC3BD7" w:rsidRDefault="00DA3205" w:rsidP="00B9089D">
      <w:pPr>
        <w:keepNext/>
        <w:widowControl w:val="0"/>
        <w:spacing w:line="240" w:lineRule="auto"/>
        <w:ind w:left="709" w:hanging="709"/>
        <w:rPr>
          <w:snapToGrid w:val="0"/>
          <w:color w:val="000000"/>
          <w:szCs w:val="22"/>
          <w:shd w:val="pct15" w:color="auto" w:fill="auto"/>
          <w:lang w:val="et-EE"/>
        </w:rPr>
      </w:pPr>
      <w:r w:rsidRPr="00EC3BD7">
        <w:rPr>
          <w:snapToGrid w:val="0"/>
          <w:color w:val="000000"/>
          <w:szCs w:val="22"/>
          <w:shd w:val="pct15" w:color="auto" w:fill="auto"/>
          <w:lang w:val="et-EE"/>
        </w:rPr>
        <w:t>D-90429 Nürnberg</w:t>
      </w:r>
    </w:p>
    <w:p w14:paraId="254B784C" w14:textId="77777777" w:rsidR="00DA3205" w:rsidRPr="00EC3BD7" w:rsidRDefault="00DA3205" w:rsidP="00DA3205">
      <w:pPr>
        <w:pStyle w:val="EndnoteText"/>
        <w:widowControl w:val="0"/>
        <w:numPr>
          <w:ilvl w:val="12"/>
          <w:numId w:val="0"/>
        </w:numPr>
        <w:tabs>
          <w:tab w:val="clear" w:pos="567"/>
        </w:tabs>
        <w:rPr>
          <w:snapToGrid w:val="0"/>
          <w:color w:val="000000"/>
          <w:szCs w:val="22"/>
          <w:shd w:val="pct15" w:color="auto" w:fill="auto"/>
          <w:lang w:val="et-EE"/>
        </w:rPr>
      </w:pPr>
      <w:r w:rsidRPr="00EC3BD7">
        <w:rPr>
          <w:snapToGrid w:val="0"/>
          <w:color w:val="000000"/>
          <w:szCs w:val="22"/>
          <w:shd w:val="pct15" w:color="auto" w:fill="auto"/>
          <w:lang w:val="et-EE"/>
        </w:rPr>
        <w:t>Saksamaa</w:t>
      </w:r>
    </w:p>
    <w:p w14:paraId="5B52B17B" w14:textId="77777777" w:rsidR="00DA3205" w:rsidRPr="00EC3BD7" w:rsidRDefault="00DA3205" w:rsidP="00DA3205">
      <w:pPr>
        <w:widowControl w:val="0"/>
        <w:numPr>
          <w:ilvl w:val="12"/>
          <w:numId w:val="0"/>
        </w:numPr>
        <w:tabs>
          <w:tab w:val="clear" w:pos="567"/>
        </w:tabs>
        <w:spacing w:line="240" w:lineRule="auto"/>
        <w:ind w:right="-2"/>
        <w:jc w:val="both"/>
        <w:rPr>
          <w:color w:val="000000"/>
          <w:szCs w:val="22"/>
          <w:lang w:val="et-EE"/>
        </w:rPr>
      </w:pPr>
    </w:p>
    <w:p w14:paraId="0E6FAC87" w14:textId="77777777" w:rsidR="00DA3205" w:rsidRPr="00EC3BD7" w:rsidRDefault="00DA3205" w:rsidP="00B9089D">
      <w:pPr>
        <w:keepNext/>
        <w:widowControl w:val="0"/>
        <w:numPr>
          <w:ilvl w:val="12"/>
          <w:numId w:val="0"/>
        </w:numPr>
        <w:tabs>
          <w:tab w:val="clear" w:pos="567"/>
        </w:tabs>
        <w:spacing w:line="240" w:lineRule="auto"/>
        <w:ind w:right="-2"/>
        <w:jc w:val="both"/>
        <w:rPr>
          <w:color w:val="000000"/>
          <w:szCs w:val="22"/>
          <w:lang w:val="et-EE"/>
        </w:rPr>
      </w:pPr>
      <w:r w:rsidRPr="00EC3BD7">
        <w:rPr>
          <w:color w:val="000000"/>
          <w:szCs w:val="22"/>
          <w:lang w:val="et-EE"/>
        </w:rPr>
        <w:t>Lisaküsimuste tekkimisel selle ravimi kohta pöörduge palun müügiloa hoidja kohaliku esindaja poole</w:t>
      </w:r>
      <w:r w:rsidR="00296FFF" w:rsidRPr="00EC3BD7">
        <w:rPr>
          <w:color w:val="000000"/>
          <w:szCs w:val="22"/>
          <w:lang w:val="et-EE"/>
        </w:rPr>
        <w:t>:</w:t>
      </w:r>
    </w:p>
    <w:p w14:paraId="6D3A7FA5" w14:textId="77777777" w:rsidR="000A6B36" w:rsidRPr="00EC3BD7" w:rsidRDefault="000A6B36" w:rsidP="00B9089D">
      <w:pPr>
        <w:keepNext/>
        <w:widowControl w:val="0"/>
        <w:tabs>
          <w:tab w:val="clear" w:pos="567"/>
        </w:tabs>
        <w:spacing w:line="240" w:lineRule="auto"/>
        <w:ind w:right="-449"/>
        <w:rPr>
          <w:color w:val="000000"/>
          <w:szCs w:val="22"/>
          <w:lang w:val="et-EE"/>
        </w:rPr>
      </w:pPr>
      <w:bookmarkStart w:id="6" w:name="OLE_LINK3"/>
    </w:p>
    <w:tbl>
      <w:tblPr>
        <w:tblW w:w="9300" w:type="dxa"/>
        <w:tblLayout w:type="fixed"/>
        <w:tblLook w:val="0000" w:firstRow="0" w:lastRow="0" w:firstColumn="0" w:lastColumn="0" w:noHBand="0" w:noVBand="0"/>
      </w:tblPr>
      <w:tblGrid>
        <w:gridCol w:w="4650"/>
        <w:gridCol w:w="4650"/>
      </w:tblGrid>
      <w:tr w:rsidR="000A6B36" w:rsidRPr="00EC3BD7" w14:paraId="428E4DD6" w14:textId="77777777" w:rsidTr="00F53D51">
        <w:trPr>
          <w:cantSplit/>
        </w:trPr>
        <w:tc>
          <w:tcPr>
            <w:tcW w:w="4650" w:type="dxa"/>
          </w:tcPr>
          <w:p w14:paraId="783FDD84" w14:textId="77777777" w:rsidR="000A6B36" w:rsidRPr="00EC3BD7" w:rsidRDefault="000A6B36" w:rsidP="00BB79A3">
            <w:pPr>
              <w:rPr>
                <w:b/>
                <w:color w:val="000000"/>
                <w:szCs w:val="22"/>
                <w:lang w:val="et-EE"/>
              </w:rPr>
            </w:pPr>
            <w:r w:rsidRPr="00EC3BD7">
              <w:rPr>
                <w:b/>
                <w:color w:val="000000"/>
                <w:szCs w:val="22"/>
                <w:lang w:val="et-EE"/>
              </w:rPr>
              <w:t>België/Belgique/Belgien</w:t>
            </w:r>
          </w:p>
          <w:p w14:paraId="45220577" w14:textId="77777777" w:rsidR="000A6B36" w:rsidRPr="00EC3BD7" w:rsidRDefault="000A6B36" w:rsidP="00BB79A3">
            <w:pPr>
              <w:rPr>
                <w:color w:val="000000"/>
                <w:szCs w:val="22"/>
                <w:lang w:val="et-EE"/>
              </w:rPr>
            </w:pPr>
            <w:r w:rsidRPr="00EC3BD7">
              <w:rPr>
                <w:color w:val="000000"/>
                <w:szCs w:val="22"/>
                <w:lang w:val="et-EE"/>
              </w:rPr>
              <w:t>Novartis Pharma N.V.</w:t>
            </w:r>
          </w:p>
          <w:p w14:paraId="45389174" w14:textId="77777777" w:rsidR="000A6B36" w:rsidRPr="00EC3BD7" w:rsidRDefault="000A6B36" w:rsidP="00BB79A3">
            <w:pPr>
              <w:rPr>
                <w:color w:val="000000"/>
                <w:szCs w:val="22"/>
                <w:lang w:val="et-EE"/>
              </w:rPr>
            </w:pPr>
            <w:r w:rsidRPr="00EC3BD7">
              <w:rPr>
                <w:color w:val="000000"/>
                <w:szCs w:val="22"/>
                <w:lang w:val="et-EE"/>
              </w:rPr>
              <w:t>Tél/Tel: +32 2 246 16 11</w:t>
            </w:r>
          </w:p>
          <w:p w14:paraId="2630E636" w14:textId="77777777" w:rsidR="000A6B36" w:rsidRPr="00EC3BD7" w:rsidRDefault="000A6B36" w:rsidP="00BB79A3">
            <w:pPr>
              <w:rPr>
                <w:b/>
                <w:color w:val="000000"/>
                <w:szCs w:val="22"/>
                <w:lang w:val="et-EE"/>
              </w:rPr>
            </w:pPr>
          </w:p>
        </w:tc>
        <w:tc>
          <w:tcPr>
            <w:tcW w:w="4650" w:type="dxa"/>
          </w:tcPr>
          <w:p w14:paraId="3CFC5BA4" w14:textId="77777777" w:rsidR="000A6B36" w:rsidRPr="00EC3BD7" w:rsidRDefault="000A6B36" w:rsidP="00BB79A3">
            <w:pPr>
              <w:rPr>
                <w:b/>
                <w:color w:val="000000"/>
                <w:szCs w:val="22"/>
                <w:lang w:val="et-EE"/>
              </w:rPr>
            </w:pPr>
            <w:r w:rsidRPr="00EC3BD7">
              <w:rPr>
                <w:b/>
                <w:color w:val="000000"/>
                <w:szCs w:val="22"/>
                <w:lang w:val="et-EE"/>
              </w:rPr>
              <w:t>Lietuva</w:t>
            </w:r>
          </w:p>
          <w:p w14:paraId="38547AFF" w14:textId="1F8A9303" w:rsidR="000A6B36" w:rsidRPr="00EC3BD7" w:rsidRDefault="00131AFE" w:rsidP="00BB79A3">
            <w:pPr>
              <w:rPr>
                <w:color w:val="000000"/>
                <w:szCs w:val="22"/>
                <w:lang w:val="et-EE"/>
              </w:rPr>
            </w:pPr>
            <w:r w:rsidRPr="00EC3BD7">
              <w:rPr>
                <w:color w:val="000000"/>
                <w:szCs w:val="22"/>
                <w:lang w:val="et-EE"/>
              </w:rPr>
              <w:t>SIA Novartis Baltics Lietuvos filialas</w:t>
            </w:r>
          </w:p>
          <w:p w14:paraId="1BFF4901" w14:textId="77777777" w:rsidR="000A6B36" w:rsidRPr="00EC3BD7" w:rsidRDefault="000A6B36" w:rsidP="00BB79A3">
            <w:pPr>
              <w:rPr>
                <w:color w:val="000000"/>
                <w:szCs w:val="22"/>
                <w:lang w:val="et-EE"/>
              </w:rPr>
            </w:pPr>
            <w:r w:rsidRPr="00EC3BD7">
              <w:rPr>
                <w:color w:val="000000"/>
                <w:szCs w:val="22"/>
                <w:lang w:val="et-EE"/>
              </w:rPr>
              <w:t>Tel: +370 5 269 16 50</w:t>
            </w:r>
          </w:p>
          <w:p w14:paraId="2BA05FF7" w14:textId="77777777" w:rsidR="000A6B36" w:rsidRPr="00EC3BD7" w:rsidRDefault="000A6B36" w:rsidP="00BB79A3">
            <w:pPr>
              <w:rPr>
                <w:color w:val="000000"/>
                <w:szCs w:val="22"/>
                <w:lang w:val="et-EE"/>
              </w:rPr>
            </w:pPr>
          </w:p>
        </w:tc>
      </w:tr>
      <w:tr w:rsidR="000A6B36" w:rsidRPr="00EC3BD7" w14:paraId="58E702ED" w14:textId="77777777" w:rsidTr="00F53D51">
        <w:trPr>
          <w:cantSplit/>
        </w:trPr>
        <w:tc>
          <w:tcPr>
            <w:tcW w:w="4650" w:type="dxa"/>
          </w:tcPr>
          <w:p w14:paraId="684CF30A" w14:textId="77777777" w:rsidR="000A6B36" w:rsidRPr="00EC3BD7" w:rsidRDefault="000A6B36" w:rsidP="00BB79A3">
            <w:pPr>
              <w:rPr>
                <w:b/>
                <w:color w:val="000000"/>
                <w:szCs w:val="22"/>
                <w:lang w:val="et-EE"/>
              </w:rPr>
            </w:pPr>
            <w:r w:rsidRPr="00EC3BD7">
              <w:rPr>
                <w:b/>
                <w:color w:val="000000"/>
                <w:szCs w:val="22"/>
                <w:lang w:val="et-EE"/>
              </w:rPr>
              <w:t>България</w:t>
            </w:r>
          </w:p>
          <w:p w14:paraId="6B14C0D7" w14:textId="77777777" w:rsidR="000A6B36" w:rsidRPr="00EC3BD7" w:rsidRDefault="009432CC" w:rsidP="00BB79A3">
            <w:pPr>
              <w:rPr>
                <w:color w:val="000000"/>
                <w:szCs w:val="22"/>
                <w:lang w:val="et-EE"/>
              </w:rPr>
            </w:pPr>
            <w:r w:rsidRPr="00EC3BD7">
              <w:rPr>
                <w:color w:val="000000"/>
                <w:szCs w:val="22"/>
                <w:lang w:val="et-EE"/>
              </w:rPr>
              <w:t>Novartis Bulgaria EOOD</w:t>
            </w:r>
          </w:p>
          <w:p w14:paraId="1636DBC3" w14:textId="77777777" w:rsidR="000A6B36" w:rsidRPr="00EC3BD7" w:rsidRDefault="000A6B36" w:rsidP="00BB79A3">
            <w:pPr>
              <w:rPr>
                <w:color w:val="000000"/>
                <w:szCs w:val="22"/>
                <w:lang w:val="et-EE"/>
              </w:rPr>
            </w:pPr>
            <w:r w:rsidRPr="00EC3BD7">
              <w:rPr>
                <w:color w:val="000000"/>
                <w:szCs w:val="22"/>
                <w:lang w:val="et-EE"/>
              </w:rPr>
              <w:t>Тел.: +359 2 489 98 28</w:t>
            </w:r>
          </w:p>
          <w:p w14:paraId="519991CB" w14:textId="77777777" w:rsidR="000A6B36" w:rsidRPr="00EC3BD7" w:rsidRDefault="000A6B36" w:rsidP="00BB79A3">
            <w:pPr>
              <w:rPr>
                <w:b/>
                <w:color w:val="000000"/>
                <w:szCs w:val="22"/>
                <w:lang w:val="et-EE"/>
              </w:rPr>
            </w:pPr>
          </w:p>
        </w:tc>
        <w:tc>
          <w:tcPr>
            <w:tcW w:w="4650" w:type="dxa"/>
          </w:tcPr>
          <w:p w14:paraId="0B7AFD4E" w14:textId="77777777" w:rsidR="000A6B36" w:rsidRPr="00EC3BD7" w:rsidRDefault="000A6B36" w:rsidP="00BB79A3">
            <w:pPr>
              <w:rPr>
                <w:b/>
                <w:color w:val="000000"/>
                <w:szCs w:val="22"/>
                <w:lang w:val="et-EE"/>
              </w:rPr>
            </w:pPr>
            <w:r w:rsidRPr="00EC3BD7">
              <w:rPr>
                <w:b/>
                <w:color w:val="000000"/>
                <w:szCs w:val="22"/>
                <w:lang w:val="et-EE"/>
              </w:rPr>
              <w:t>Luxembourg/Luxemburg</w:t>
            </w:r>
          </w:p>
          <w:p w14:paraId="085443AD" w14:textId="77777777" w:rsidR="000A6B36" w:rsidRPr="00EC3BD7" w:rsidRDefault="000A6B36" w:rsidP="00BB79A3">
            <w:pPr>
              <w:rPr>
                <w:color w:val="000000"/>
                <w:szCs w:val="22"/>
                <w:lang w:val="et-EE"/>
              </w:rPr>
            </w:pPr>
            <w:r w:rsidRPr="00EC3BD7">
              <w:rPr>
                <w:color w:val="000000"/>
                <w:szCs w:val="22"/>
                <w:lang w:val="et-EE"/>
              </w:rPr>
              <w:t>Novartis Pharma N.V.</w:t>
            </w:r>
          </w:p>
          <w:p w14:paraId="23B4E904" w14:textId="77777777" w:rsidR="000A6B36" w:rsidRPr="00EC3BD7" w:rsidRDefault="000A6B36" w:rsidP="00BB79A3">
            <w:pPr>
              <w:rPr>
                <w:color w:val="000000"/>
                <w:szCs w:val="22"/>
                <w:lang w:val="et-EE"/>
              </w:rPr>
            </w:pPr>
            <w:r w:rsidRPr="00EC3BD7">
              <w:rPr>
                <w:color w:val="000000"/>
                <w:szCs w:val="22"/>
                <w:lang w:val="et-EE"/>
              </w:rPr>
              <w:t>Tél/Tel: +32 2 246 16 11</w:t>
            </w:r>
          </w:p>
          <w:p w14:paraId="6E5BF586" w14:textId="77777777" w:rsidR="000A6B36" w:rsidRPr="00EC3BD7" w:rsidRDefault="000A6B36" w:rsidP="00BB79A3">
            <w:pPr>
              <w:rPr>
                <w:color w:val="000000"/>
                <w:szCs w:val="22"/>
                <w:lang w:val="et-EE"/>
              </w:rPr>
            </w:pPr>
          </w:p>
        </w:tc>
      </w:tr>
      <w:tr w:rsidR="000A6B36" w:rsidRPr="00EC3BD7" w14:paraId="46546594" w14:textId="77777777" w:rsidTr="00F53D51">
        <w:trPr>
          <w:cantSplit/>
        </w:trPr>
        <w:tc>
          <w:tcPr>
            <w:tcW w:w="4650" w:type="dxa"/>
          </w:tcPr>
          <w:p w14:paraId="316811A5" w14:textId="77777777" w:rsidR="000A6B36" w:rsidRPr="00EC3BD7" w:rsidRDefault="000A6B36" w:rsidP="00BB79A3">
            <w:pPr>
              <w:rPr>
                <w:b/>
                <w:color w:val="000000"/>
                <w:szCs w:val="22"/>
                <w:lang w:val="et-EE"/>
              </w:rPr>
            </w:pPr>
            <w:r w:rsidRPr="00EC3BD7">
              <w:rPr>
                <w:b/>
                <w:color w:val="000000"/>
                <w:szCs w:val="22"/>
                <w:lang w:val="et-EE"/>
              </w:rPr>
              <w:t>Česká republika</w:t>
            </w:r>
          </w:p>
          <w:p w14:paraId="0079AEBA" w14:textId="77777777" w:rsidR="000A6B36" w:rsidRPr="00EC3BD7" w:rsidRDefault="000A6B36" w:rsidP="00BB79A3">
            <w:pPr>
              <w:rPr>
                <w:color w:val="000000"/>
                <w:szCs w:val="22"/>
                <w:lang w:val="et-EE"/>
              </w:rPr>
            </w:pPr>
            <w:r w:rsidRPr="00EC3BD7">
              <w:rPr>
                <w:color w:val="000000"/>
                <w:szCs w:val="22"/>
                <w:lang w:val="et-EE"/>
              </w:rPr>
              <w:t>Novartis s.r.o.</w:t>
            </w:r>
          </w:p>
          <w:p w14:paraId="5730C97F" w14:textId="77777777" w:rsidR="000A6B36" w:rsidRPr="00EC3BD7" w:rsidRDefault="000A6B36" w:rsidP="00BB79A3">
            <w:pPr>
              <w:rPr>
                <w:color w:val="000000"/>
                <w:szCs w:val="22"/>
                <w:lang w:val="et-EE"/>
              </w:rPr>
            </w:pPr>
            <w:r w:rsidRPr="00EC3BD7">
              <w:rPr>
                <w:color w:val="000000"/>
                <w:szCs w:val="22"/>
                <w:lang w:val="et-EE"/>
              </w:rPr>
              <w:t>Tel: +420 225 775 111</w:t>
            </w:r>
          </w:p>
          <w:p w14:paraId="05AEE243" w14:textId="77777777" w:rsidR="000A6B36" w:rsidRPr="00EC3BD7" w:rsidRDefault="000A6B36" w:rsidP="00BB79A3">
            <w:pPr>
              <w:rPr>
                <w:b/>
                <w:color w:val="000000"/>
                <w:szCs w:val="22"/>
                <w:lang w:val="et-EE"/>
              </w:rPr>
            </w:pPr>
          </w:p>
        </w:tc>
        <w:tc>
          <w:tcPr>
            <w:tcW w:w="4650" w:type="dxa"/>
          </w:tcPr>
          <w:p w14:paraId="212ACA1B" w14:textId="77777777" w:rsidR="000A6B36" w:rsidRPr="00EC3BD7" w:rsidRDefault="000A6B36" w:rsidP="00BB79A3">
            <w:pPr>
              <w:rPr>
                <w:b/>
                <w:color w:val="000000"/>
                <w:szCs w:val="22"/>
                <w:lang w:val="et-EE"/>
              </w:rPr>
            </w:pPr>
            <w:r w:rsidRPr="00EC3BD7">
              <w:rPr>
                <w:b/>
                <w:color w:val="000000"/>
                <w:szCs w:val="22"/>
                <w:lang w:val="et-EE"/>
              </w:rPr>
              <w:t>Magyarország</w:t>
            </w:r>
          </w:p>
          <w:p w14:paraId="01983645" w14:textId="77777777" w:rsidR="000A6B36" w:rsidRPr="00EC3BD7" w:rsidRDefault="000A6B36" w:rsidP="00BB79A3">
            <w:pPr>
              <w:rPr>
                <w:color w:val="000000"/>
                <w:szCs w:val="22"/>
                <w:lang w:val="et-EE"/>
              </w:rPr>
            </w:pPr>
            <w:r w:rsidRPr="00EC3BD7">
              <w:rPr>
                <w:color w:val="000000"/>
                <w:szCs w:val="22"/>
                <w:lang w:val="et-EE"/>
              </w:rPr>
              <w:t xml:space="preserve">Novartis Hungária Kft. </w:t>
            </w:r>
          </w:p>
          <w:p w14:paraId="47669AFB" w14:textId="77777777" w:rsidR="000A6B36" w:rsidRPr="00EC3BD7" w:rsidRDefault="000A6B36" w:rsidP="00BB79A3">
            <w:pPr>
              <w:rPr>
                <w:color w:val="000000"/>
                <w:szCs w:val="22"/>
                <w:lang w:val="et-EE"/>
              </w:rPr>
            </w:pPr>
            <w:r w:rsidRPr="00EC3BD7">
              <w:rPr>
                <w:color w:val="000000"/>
                <w:szCs w:val="22"/>
                <w:lang w:val="et-EE"/>
              </w:rPr>
              <w:t>Tel.: +36 1 457 65 00</w:t>
            </w:r>
          </w:p>
        </w:tc>
      </w:tr>
      <w:tr w:rsidR="000A6B36" w:rsidRPr="00EC3BD7" w14:paraId="08C759A0" w14:textId="77777777" w:rsidTr="00F53D51">
        <w:trPr>
          <w:cantSplit/>
        </w:trPr>
        <w:tc>
          <w:tcPr>
            <w:tcW w:w="4650" w:type="dxa"/>
          </w:tcPr>
          <w:p w14:paraId="2EC9AE44" w14:textId="77777777" w:rsidR="000A6B36" w:rsidRPr="00EC3BD7" w:rsidRDefault="000A6B36" w:rsidP="00BB79A3">
            <w:pPr>
              <w:rPr>
                <w:b/>
                <w:color w:val="000000"/>
                <w:szCs w:val="22"/>
                <w:lang w:val="et-EE"/>
              </w:rPr>
            </w:pPr>
            <w:r w:rsidRPr="00EC3BD7">
              <w:rPr>
                <w:b/>
                <w:color w:val="000000"/>
                <w:szCs w:val="22"/>
                <w:lang w:val="et-EE"/>
              </w:rPr>
              <w:t>Danmark</w:t>
            </w:r>
          </w:p>
          <w:p w14:paraId="0A2F35D5" w14:textId="77777777" w:rsidR="000A6B36" w:rsidRPr="00EC3BD7" w:rsidRDefault="000A6B36" w:rsidP="00BB79A3">
            <w:pPr>
              <w:rPr>
                <w:color w:val="000000"/>
                <w:szCs w:val="22"/>
                <w:lang w:val="et-EE"/>
              </w:rPr>
            </w:pPr>
            <w:r w:rsidRPr="00EC3BD7">
              <w:rPr>
                <w:color w:val="000000"/>
                <w:szCs w:val="22"/>
                <w:lang w:val="et-EE"/>
              </w:rPr>
              <w:t>Novartis Healthcare A/S</w:t>
            </w:r>
          </w:p>
          <w:p w14:paraId="5030D8A9" w14:textId="77777777" w:rsidR="000A6B36" w:rsidRPr="00EC3BD7" w:rsidRDefault="000A6B36" w:rsidP="00BB79A3">
            <w:pPr>
              <w:rPr>
                <w:color w:val="000000"/>
                <w:szCs w:val="22"/>
                <w:lang w:val="et-EE"/>
              </w:rPr>
            </w:pPr>
            <w:r w:rsidRPr="00EC3BD7">
              <w:rPr>
                <w:color w:val="000000"/>
                <w:szCs w:val="22"/>
                <w:lang w:val="et-EE"/>
              </w:rPr>
              <w:t>Tlf: +45 39 16 84 00</w:t>
            </w:r>
          </w:p>
          <w:p w14:paraId="7CF4B2A4" w14:textId="77777777" w:rsidR="000A6B36" w:rsidRPr="00EC3BD7" w:rsidRDefault="000A6B36" w:rsidP="00BB79A3">
            <w:pPr>
              <w:rPr>
                <w:b/>
                <w:color w:val="000000"/>
                <w:szCs w:val="22"/>
                <w:lang w:val="et-EE"/>
              </w:rPr>
            </w:pPr>
          </w:p>
        </w:tc>
        <w:tc>
          <w:tcPr>
            <w:tcW w:w="4650" w:type="dxa"/>
          </w:tcPr>
          <w:p w14:paraId="52764952" w14:textId="77777777" w:rsidR="000A6B36" w:rsidRPr="00EC3BD7" w:rsidRDefault="000A6B36" w:rsidP="00BB79A3">
            <w:pPr>
              <w:rPr>
                <w:b/>
                <w:color w:val="000000"/>
                <w:szCs w:val="22"/>
                <w:lang w:val="et-EE"/>
              </w:rPr>
            </w:pPr>
            <w:r w:rsidRPr="00EC3BD7">
              <w:rPr>
                <w:b/>
                <w:color w:val="000000"/>
                <w:szCs w:val="22"/>
                <w:lang w:val="et-EE"/>
              </w:rPr>
              <w:t>Malta</w:t>
            </w:r>
          </w:p>
          <w:p w14:paraId="1EE79F7D" w14:textId="77777777" w:rsidR="000A6B36" w:rsidRPr="00EC3BD7" w:rsidRDefault="000A6B36" w:rsidP="00BB79A3">
            <w:pPr>
              <w:rPr>
                <w:color w:val="000000"/>
                <w:szCs w:val="22"/>
                <w:lang w:val="et-EE"/>
              </w:rPr>
            </w:pPr>
            <w:r w:rsidRPr="00EC3BD7">
              <w:rPr>
                <w:color w:val="000000"/>
                <w:szCs w:val="22"/>
                <w:lang w:val="et-EE"/>
              </w:rPr>
              <w:t>Novartis Pharma Services Inc.</w:t>
            </w:r>
          </w:p>
          <w:p w14:paraId="36DE49F0" w14:textId="77777777" w:rsidR="000A6B36" w:rsidRPr="00EC3BD7" w:rsidRDefault="000A6B36" w:rsidP="00BB79A3">
            <w:pPr>
              <w:rPr>
                <w:color w:val="000000"/>
                <w:szCs w:val="22"/>
                <w:lang w:val="et-EE"/>
              </w:rPr>
            </w:pPr>
            <w:r w:rsidRPr="00EC3BD7">
              <w:rPr>
                <w:color w:val="000000"/>
                <w:szCs w:val="22"/>
                <w:lang w:val="et-EE"/>
              </w:rPr>
              <w:t xml:space="preserve">Tel: +356 </w:t>
            </w:r>
            <w:r w:rsidRPr="00EC3BD7">
              <w:rPr>
                <w:color w:val="000000"/>
                <w:lang w:val="et-EE"/>
              </w:rPr>
              <w:t>2122 2872</w:t>
            </w:r>
          </w:p>
        </w:tc>
      </w:tr>
      <w:tr w:rsidR="000A6B36" w:rsidRPr="00EC3BD7" w14:paraId="76D7DD1F" w14:textId="77777777" w:rsidTr="00F53D51">
        <w:trPr>
          <w:cantSplit/>
        </w:trPr>
        <w:tc>
          <w:tcPr>
            <w:tcW w:w="4650" w:type="dxa"/>
          </w:tcPr>
          <w:p w14:paraId="62C61601" w14:textId="77777777" w:rsidR="000A6B36" w:rsidRPr="00EC3BD7" w:rsidRDefault="000A6B36" w:rsidP="00BB79A3">
            <w:pPr>
              <w:rPr>
                <w:b/>
                <w:color w:val="000000"/>
                <w:szCs w:val="22"/>
                <w:lang w:val="et-EE"/>
              </w:rPr>
            </w:pPr>
            <w:r w:rsidRPr="00EC3BD7">
              <w:rPr>
                <w:b/>
                <w:color w:val="000000"/>
                <w:szCs w:val="22"/>
                <w:lang w:val="et-EE"/>
              </w:rPr>
              <w:t>Deutschland</w:t>
            </w:r>
          </w:p>
          <w:p w14:paraId="64471E1F" w14:textId="77777777" w:rsidR="000A6B36" w:rsidRPr="00EC3BD7" w:rsidRDefault="000A6B36" w:rsidP="00BB79A3">
            <w:pPr>
              <w:rPr>
                <w:color w:val="000000"/>
                <w:szCs w:val="22"/>
                <w:lang w:val="et-EE"/>
              </w:rPr>
            </w:pPr>
            <w:r w:rsidRPr="00EC3BD7">
              <w:rPr>
                <w:color w:val="000000"/>
                <w:szCs w:val="22"/>
                <w:lang w:val="et-EE"/>
              </w:rPr>
              <w:t>Novartis Pharma GmbH</w:t>
            </w:r>
          </w:p>
          <w:p w14:paraId="175B6B79" w14:textId="77777777" w:rsidR="000A6B36" w:rsidRPr="00EC3BD7" w:rsidRDefault="000A6B36" w:rsidP="00BB79A3">
            <w:pPr>
              <w:rPr>
                <w:color w:val="000000"/>
                <w:szCs w:val="22"/>
                <w:lang w:val="et-EE"/>
              </w:rPr>
            </w:pPr>
            <w:r w:rsidRPr="00EC3BD7">
              <w:rPr>
                <w:color w:val="000000"/>
                <w:szCs w:val="22"/>
                <w:lang w:val="et-EE"/>
              </w:rPr>
              <w:t>Tel: +49 911 273 0</w:t>
            </w:r>
          </w:p>
          <w:p w14:paraId="2936BD20" w14:textId="77777777" w:rsidR="000A6B36" w:rsidRPr="00EC3BD7" w:rsidRDefault="000A6B36" w:rsidP="00BB79A3">
            <w:pPr>
              <w:rPr>
                <w:b/>
                <w:color w:val="000000"/>
                <w:szCs w:val="22"/>
                <w:lang w:val="et-EE"/>
              </w:rPr>
            </w:pPr>
          </w:p>
        </w:tc>
        <w:tc>
          <w:tcPr>
            <w:tcW w:w="4650" w:type="dxa"/>
          </w:tcPr>
          <w:p w14:paraId="340248FF" w14:textId="77777777" w:rsidR="000A6B36" w:rsidRPr="00EC3BD7" w:rsidRDefault="000A6B36" w:rsidP="00BB79A3">
            <w:pPr>
              <w:rPr>
                <w:b/>
                <w:color w:val="000000"/>
                <w:szCs w:val="22"/>
                <w:lang w:val="et-EE"/>
              </w:rPr>
            </w:pPr>
            <w:r w:rsidRPr="00EC3BD7">
              <w:rPr>
                <w:b/>
                <w:color w:val="000000"/>
                <w:szCs w:val="22"/>
                <w:lang w:val="et-EE"/>
              </w:rPr>
              <w:t>Nederland</w:t>
            </w:r>
          </w:p>
          <w:p w14:paraId="56B72658" w14:textId="77777777" w:rsidR="000A6B36" w:rsidRPr="00EC3BD7" w:rsidRDefault="000A6B36" w:rsidP="00BB79A3">
            <w:pPr>
              <w:rPr>
                <w:color w:val="000000"/>
                <w:szCs w:val="22"/>
                <w:lang w:val="et-EE"/>
              </w:rPr>
            </w:pPr>
            <w:r w:rsidRPr="00EC3BD7">
              <w:rPr>
                <w:color w:val="000000"/>
                <w:szCs w:val="22"/>
                <w:lang w:val="et-EE"/>
              </w:rPr>
              <w:t>Novartis Pharma B.V.</w:t>
            </w:r>
          </w:p>
          <w:p w14:paraId="4B46D14A" w14:textId="2236A5D8" w:rsidR="000A6B36" w:rsidRPr="00EC3BD7" w:rsidRDefault="000A6B36" w:rsidP="00AD4D2A">
            <w:pPr>
              <w:rPr>
                <w:color w:val="000000"/>
                <w:szCs w:val="22"/>
                <w:lang w:val="et-EE"/>
              </w:rPr>
            </w:pPr>
            <w:r w:rsidRPr="00EC3BD7">
              <w:rPr>
                <w:color w:val="000000"/>
                <w:szCs w:val="22"/>
                <w:lang w:val="et-EE"/>
              </w:rPr>
              <w:t xml:space="preserve">Tel: +31 </w:t>
            </w:r>
            <w:r w:rsidR="00AD4D2A">
              <w:rPr>
                <w:color w:val="000000"/>
                <w:szCs w:val="22"/>
                <w:lang w:val="et-EE"/>
              </w:rPr>
              <w:t>88 04 52</w:t>
            </w:r>
            <w:r w:rsidRPr="00EC3BD7">
              <w:rPr>
                <w:color w:val="000000"/>
                <w:szCs w:val="22"/>
                <w:lang w:val="et-EE"/>
              </w:rPr>
              <w:t xml:space="preserve"> </w:t>
            </w:r>
            <w:r w:rsidR="00997DCF" w:rsidRPr="00EC3BD7">
              <w:rPr>
                <w:color w:val="000000"/>
                <w:szCs w:val="22"/>
                <w:lang w:val="et-EE"/>
              </w:rPr>
              <w:t>555</w:t>
            </w:r>
          </w:p>
        </w:tc>
      </w:tr>
      <w:tr w:rsidR="000A6B36" w:rsidRPr="00EC3BD7" w14:paraId="7E749FD8" w14:textId="77777777" w:rsidTr="00F53D51">
        <w:trPr>
          <w:cantSplit/>
        </w:trPr>
        <w:tc>
          <w:tcPr>
            <w:tcW w:w="4650" w:type="dxa"/>
          </w:tcPr>
          <w:p w14:paraId="524AD4EA" w14:textId="77777777" w:rsidR="000A6B36" w:rsidRPr="00EC3BD7" w:rsidRDefault="000A6B36" w:rsidP="00BB79A3">
            <w:pPr>
              <w:rPr>
                <w:b/>
                <w:color w:val="000000"/>
                <w:szCs w:val="22"/>
                <w:lang w:val="et-EE"/>
              </w:rPr>
            </w:pPr>
            <w:r w:rsidRPr="00EC3BD7">
              <w:rPr>
                <w:b/>
                <w:color w:val="000000"/>
                <w:szCs w:val="22"/>
                <w:lang w:val="et-EE"/>
              </w:rPr>
              <w:lastRenderedPageBreak/>
              <w:t>Eesti</w:t>
            </w:r>
          </w:p>
          <w:p w14:paraId="1BD6E928" w14:textId="77777777" w:rsidR="000A6B36" w:rsidRPr="00EC3BD7" w:rsidRDefault="00131AFE" w:rsidP="00BB79A3">
            <w:pPr>
              <w:rPr>
                <w:color w:val="000000"/>
                <w:szCs w:val="22"/>
                <w:lang w:val="et-EE"/>
              </w:rPr>
            </w:pPr>
            <w:r w:rsidRPr="00EC3BD7">
              <w:rPr>
                <w:color w:val="000000"/>
                <w:szCs w:val="22"/>
                <w:lang w:val="et-EE"/>
              </w:rPr>
              <w:t>SIA Novartis Baltics Eesti filiaal</w:t>
            </w:r>
          </w:p>
          <w:p w14:paraId="1EBB5656" w14:textId="77777777" w:rsidR="000A6B36" w:rsidRPr="00EC3BD7" w:rsidRDefault="000A6B36" w:rsidP="00BB79A3">
            <w:pPr>
              <w:rPr>
                <w:color w:val="000000"/>
                <w:szCs w:val="22"/>
                <w:lang w:val="et-EE"/>
              </w:rPr>
            </w:pPr>
            <w:r w:rsidRPr="00EC3BD7">
              <w:rPr>
                <w:color w:val="000000"/>
                <w:szCs w:val="22"/>
                <w:lang w:val="et-EE"/>
              </w:rPr>
              <w:t>Tel: +372 66 30 810</w:t>
            </w:r>
          </w:p>
          <w:p w14:paraId="13EBDA91" w14:textId="77777777" w:rsidR="000A6B36" w:rsidRPr="00EC3BD7" w:rsidRDefault="000A6B36" w:rsidP="00BB79A3">
            <w:pPr>
              <w:rPr>
                <w:b/>
                <w:color w:val="000000"/>
                <w:szCs w:val="22"/>
                <w:lang w:val="et-EE"/>
              </w:rPr>
            </w:pPr>
          </w:p>
        </w:tc>
        <w:tc>
          <w:tcPr>
            <w:tcW w:w="4650" w:type="dxa"/>
          </w:tcPr>
          <w:p w14:paraId="5A2C9E6D" w14:textId="77777777" w:rsidR="000A6B36" w:rsidRPr="00EC3BD7" w:rsidRDefault="000A6B36" w:rsidP="00BB79A3">
            <w:pPr>
              <w:rPr>
                <w:b/>
                <w:color w:val="000000"/>
                <w:szCs w:val="22"/>
                <w:lang w:val="et-EE"/>
              </w:rPr>
            </w:pPr>
            <w:r w:rsidRPr="00EC3BD7">
              <w:rPr>
                <w:b/>
                <w:color w:val="000000"/>
                <w:szCs w:val="22"/>
                <w:lang w:val="et-EE"/>
              </w:rPr>
              <w:t>Norge</w:t>
            </w:r>
          </w:p>
          <w:p w14:paraId="7CC6ACD0" w14:textId="77777777" w:rsidR="000A6B36" w:rsidRPr="00EC3BD7" w:rsidRDefault="000A6B36" w:rsidP="00BB79A3">
            <w:pPr>
              <w:rPr>
                <w:color w:val="000000"/>
                <w:szCs w:val="22"/>
                <w:lang w:val="et-EE"/>
              </w:rPr>
            </w:pPr>
            <w:r w:rsidRPr="00EC3BD7">
              <w:rPr>
                <w:color w:val="000000"/>
                <w:szCs w:val="22"/>
                <w:lang w:val="et-EE"/>
              </w:rPr>
              <w:t>Novartis Norge AS</w:t>
            </w:r>
          </w:p>
          <w:p w14:paraId="6CE09302" w14:textId="77777777" w:rsidR="000A6B36" w:rsidRPr="00EC3BD7" w:rsidRDefault="000A6B36" w:rsidP="00BB79A3">
            <w:pPr>
              <w:rPr>
                <w:color w:val="000000"/>
                <w:szCs w:val="22"/>
                <w:lang w:val="et-EE"/>
              </w:rPr>
            </w:pPr>
            <w:r w:rsidRPr="00EC3BD7">
              <w:rPr>
                <w:color w:val="000000"/>
                <w:szCs w:val="22"/>
                <w:lang w:val="et-EE"/>
              </w:rPr>
              <w:t>Tlf: +47 23 05 20 00</w:t>
            </w:r>
          </w:p>
        </w:tc>
      </w:tr>
      <w:tr w:rsidR="000A6B36" w:rsidRPr="005D29F8" w14:paraId="11E29884" w14:textId="77777777" w:rsidTr="00F53D51">
        <w:trPr>
          <w:cantSplit/>
        </w:trPr>
        <w:tc>
          <w:tcPr>
            <w:tcW w:w="4650" w:type="dxa"/>
          </w:tcPr>
          <w:p w14:paraId="5B2525DE" w14:textId="77777777" w:rsidR="000A6B36" w:rsidRPr="00EC3BD7" w:rsidRDefault="000A6B36" w:rsidP="00BB79A3">
            <w:pPr>
              <w:rPr>
                <w:b/>
                <w:color w:val="000000"/>
                <w:szCs w:val="22"/>
                <w:lang w:val="et-EE"/>
              </w:rPr>
            </w:pPr>
            <w:r w:rsidRPr="00EC3BD7">
              <w:rPr>
                <w:b/>
                <w:color w:val="000000"/>
                <w:szCs w:val="22"/>
                <w:lang w:val="et-EE"/>
              </w:rPr>
              <w:t>Ελλάδα</w:t>
            </w:r>
          </w:p>
          <w:p w14:paraId="3B2A8DFD" w14:textId="77777777" w:rsidR="000A6B36" w:rsidRPr="00EC3BD7" w:rsidRDefault="000A6B36" w:rsidP="00BB79A3">
            <w:pPr>
              <w:rPr>
                <w:color w:val="000000"/>
                <w:szCs w:val="22"/>
                <w:lang w:val="et-EE"/>
              </w:rPr>
            </w:pPr>
            <w:r w:rsidRPr="00EC3BD7">
              <w:rPr>
                <w:color w:val="000000"/>
                <w:szCs w:val="22"/>
                <w:lang w:val="et-EE"/>
              </w:rPr>
              <w:t>Novartis (Hellas) A.E.B.E.</w:t>
            </w:r>
          </w:p>
          <w:p w14:paraId="6A9602AB" w14:textId="77777777" w:rsidR="000A6B36" w:rsidRPr="00EC3BD7" w:rsidRDefault="000A6B36" w:rsidP="00BB79A3">
            <w:pPr>
              <w:rPr>
                <w:color w:val="000000"/>
                <w:szCs w:val="22"/>
                <w:lang w:val="et-EE"/>
              </w:rPr>
            </w:pPr>
            <w:r w:rsidRPr="00EC3BD7">
              <w:rPr>
                <w:color w:val="000000"/>
                <w:szCs w:val="22"/>
                <w:lang w:val="et-EE"/>
              </w:rPr>
              <w:t>Τηλ: +30 210 281 17 12</w:t>
            </w:r>
          </w:p>
          <w:p w14:paraId="17F13935" w14:textId="77777777" w:rsidR="000A6B36" w:rsidRPr="00EC3BD7" w:rsidRDefault="000A6B36" w:rsidP="00BB79A3">
            <w:pPr>
              <w:rPr>
                <w:b/>
                <w:color w:val="000000"/>
                <w:szCs w:val="22"/>
                <w:lang w:val="et-EE"/>
              </w:rPr>
            </w:pPr>
          </w:p>
        </w:tc>
        <w:tc>
          <w:tcPr>
            <w:tcW w:w="4650" w:type="dxa"/>
          </w:tcPr>
          <w:p w14:paraId="1C2C6CFD" w14:textId="77777777" w:rsidR="000A6B36" w:rsidRPr="00EC3BD7" w:rsidRDefault="000A6B36" w:rsidP="00BB79A3">
            <w:pPr>
              <w:rPr>
                <w:b/>
                <w:color w:val="000000"/>
                <w:szCs w:val="22"/>
                <w:lang w:val="et-EE"/>
              </w:rPr>
            </w:pPr>
            <w:r w:rsidRPr="00EC3BD7">
              <w:rPr>
                <w:b/>
                <w:color w:val="000000"/>
                <w:szCs w:val="22"/>
                <w:lang w:val="et-EE"/>
              </w:rPr>
              <w:t>Österreich</w:t>
            </w:r>
          </w:p>
          <w:p w14:paraId="6F5DEB5E" w14:textId="77777777" w:rsidR="000A6B36" w:rsidRPr="00EC3BD7" w:rsidRDefault="000A6B36" w:rsidP="00BB79A3">
            <w:pPr>
              <w:rPr>
                <w:color w:val="000000"/>
                <w:szCs w:val="22"/>
                <w:lang w:val="et-EE"/>
              </w:rPr>
            </w:pPr>
            <w:r w:rsidRPr="00EC3BD7">
              <w:rPr>
                <w:color w:val="000000"/>
                <w:szCs w:val="22"/>
                <w:lang w:val="et-EE"/>
              </w:rPr>
              <w:t>Novartis Pharma GmbH</w:t>
            </w:r>
          </w:p>
          <w:p w14:paraId="011B5D9A" w14:textId="77777777" w:rsidR="000A6B36" w:rsidRPr="00EC3BD7" w:rsidRDefault="000A6B36" w:rsidP="00BB79A3">
            <w:pPr>
              <w:rPr>
                <w:color w:val="000000"/>
                <w:szCs w:val="22"/>
                <w:lang w:val="et-EE"/>
              </w:rPr>
            </w:pPr>
            <w:r w:rsidRPr="00EC3BD7">
              <w:rPr>
                <w:color w:val="000000"/>
                <w:szCs w:val="22"/>
                <w:lang w:val="et-EE"/>
              </w:rPr>
              <w:t>Tel: +43 1 86 6570</w:t>
            </w:r>
          </w:p>
        </w:tc>
      </w:tr>
      <w:tr w:rsidR="000A6B36" w:rsidRPr="00EC3BD7" w14:paraId="594403AC" w14:textId="77777777" w:rsidTr="00F53D51">
        <w:trPr>
          <w:cantSplit/>
        </w:trPr>
        <w:tc>
          <w:tcPr>
            <w:tcW w:w="4650" w:type="dxa"/>
          </w:tcPr>
          <w:p w14:paraId="3D01C2F1" w14:textId="77777777" w:rsidR="000A6B36" w:rsidRPr="00EC3BD7" w:rsidRDefault="000A6B36" w:rsidP="00BB79A3">
            <w:pPr>
              <w:rPr>
                <w:b/>
                <w:color w:val="000000"/>
                <w:szCs w:val="22"/>
                <w:lang w:val="et-EE"/>
              </w:rPr>
            </w:pPr>
            <w:r w:rsidRPr="00EC3BD7">
              <w:rPr>
                <w:b/>
                <w:color w:val="000000"/>
                <w:szCs w:val="22"/>
                <w:lang w:val="et-EE"/>
              </w:rPr>
              <w:t>España</w:t>
            </w:r>
          </w:p>
          <w:p w14:paraId="07A0655E" w14:textId="77777777" w:rsidR="000A6B36" w:rsidRPr="00EC3BD7" w:rsidRDefault="000A6B36" w:rsidP="00BB79A3">
            <w:pPr>
              <w:rPr>
                <w:color w:val="000000"/>
                <w:szCs w:val="22"/>
                <w:lang w:val="et-EE"/>
              </w:rPr>
            </w:pPr>
            <w:r w:rsidRPr="00EC3BD7">
              <w:rPr>
                <w:color w:val="000000"/>
                <w:szCs w:val="22"/>
                <w:lang w:val="et-EE"/>
              </w:rPr>
              <w:t>Novartis Farmacéutica, S.A.</w:t>
            </w:r>
          </w:p>
          <w:p w14:paraId="2F5D7FCC" w14:textId="77777777" w:rsidR="000A6B36" w:rsidRPr="00EC3BD7" w:rsidRDefault="000A6B36" w:rsidP="00BB79A3">
            <w:pPr>
              <w:rPr>
                <w:color w:val="000000"/>
                <w:szCs w:val="22"/>
                <w:lang w:val="et-EE"/>
              </w:rPr>
            </w:pPr>
            <w:r w:rsidRPr="00EC3BD7">
              <w:rPr>
                <w:color w:val="000000"/>
                <w:szCs w:val="22"/>
                <w:lang w:val="et-EE"/>
              </w:rPr>
              <w:t>Tel: +34 93 306 42 00</w:t>
            </w:r>
          </w:p>
          <w:p w14:paraId="30FC74E0" w14:textId="77777777" w:rsidR="000A6B36" w:rsidRPr="00EC3BD7" w:rsidRDefault="000A6B36" w:rsidP="00BB79A3">
            <w:pPr>
              <w:rPr>
                <w:b/>
                <w:color w:val="000000"/>
                <w:szCs w:val="22"/>
                <w:lang w:val="et-EE"/>
              </w:rPr>
            </w:pPr>
          </w:p>
        </w:tc>
        <w:tc>
          <w:tcPr>
            <w:tcW w:w="4650" w:type="dxa"/>
          </w:tcPr>
          <w:p w14:paraId="601C7EF4" w14:textId="77777777" w:rsidR="000A6B36" w:rsidRPr="00EC3BD7" w:rsidRDefault="000A6B36" w:rsidP="00BB79A3">
            <w:pPr>
              <w:rPr>
                <w:b/>
                <w:color w:val="000000"/>
                <w:szCs w:val="22"/>
                <w:lang w:val="et-EE"/>
              </w:rPr>
            </w:pPr>
            <w:r w:rsidRPr="00EC3BD7">
              <w:rPr>
                <w:b/>
                <w:color w:val="000000"/>
                <w:szCs w:val="22"/>
                <w:lang w:val="et-EE"/>
              </w:rPr>
              <w:t>Polska</w:t>
            </w:r>
          </w:p>
          <w:p w14:paraId="403F3EB7" w14:textId="77777777" w:rsidR="000A6B36" w:rsidRPr="00EC3BD7" w:rsidRDefault="000A6B36" w:rsidP="00BB79A3">
            <w:pPr>
              <w:rPr>
                <w:color w:val="000000"/>
                <w:szCs w:val="22"/>
                <w:lang w:val="et-EE"/>
              </w:rPr>
            </w:pPr>
            <w:r w:rsidRPr="00EC3BD7">
              <w:rPr>
                <w:color w:val="000000"/>
                <w:szCs w:val="22"/>
                <w:lang w:val="et-EE"/>
              </w:rPr>
              <w:t>Novartis Poland Sp. z o.o.</w:t>
            </w:r>
          </w:p>
          <w:p w14:paraId="5555D7C8" w14:textId="77777777" w:rsidR="000A6B36" w:rsidRPr="00EC3BD7" w:rsidRDefault="000A6B36" w:rsidP="00BB79A3">
            <w:pPr>
              <w:rPr>
                <w:color w:val="000000"/>
                <w:szCs w:val="22"/>
                <w:lang w:val="et-EE"/>
              </w:rPr>
            </w:pPr>
            <w:r w:rsidRPr="00EC3BD7">
              <w:rPr>
                <w:color w:val="000000"/>
                <w:szCs w:val="22"/>
                <w:lang w:val="et-EE"/>
              </w:rPr>
              <w:t xml:space="preserve">Tel.: +48 22 </w:t>
            </w:r>
            <w:r w:rsidRPr="00EC3BD7">
              <w:rPr>
                <w:szCs w:val="22"/>
                <w:lang w:val="et-EE"/>
              </w:rPr>
              <w:t>375 4888</w:t>
            </w:r>
          </w:p>
        </w:tc>
      </w:tr>
      <w:tr w:rsidR="000A6B36" w:rsidRPr="00EC3BD7" w14:paraId="7FB6FD73" w14:textId="77777777" w:rsidTr="00F53D51">
        <w:trPr>
          <w:cantSplit/>
        </w:trPr>
        <w:tc>
          <w:tcPr>
            <w:tcW w:w="4650" w:type="dxa"/>
          </w:tcPr>
          <w:p w14:paraId="214DCC88" w14:textId="77777777" w:rsidR="000A6B36" w:rsidRPr="00EC3BD7" w:rsidRDefault="000A6B36" w:rsidP="00BB79A3">
            <w:pPr>
              <w:rPr>
                <w:b/>
                <w:color w:val="000000"/>
                <w:szCs w:val="22"/>
                <w:lang w:val="et-EE"/>
              </w:rPr>
            </w:pPr>
            <w:r w:rsidRPr="00EC3BD7">
              <w:rPr>
                <w:b/>
                <w:color w:val="000000"/>
                <w:szCs w:val="22"/>
                <w:lang w:val="et-EE"/>
              </w:rPr>
              <w:t>France</w:t>
            </w:r>
          </w:p>
          <w:p w14:paraId="40AC383A" w14:textId="77777777" w:rsidR="000A6B36" w:rsidRPr="00EC3BD7" w:rsidRDefault="000A6B36" w:rsidP="00BB79A3">
            <w:pPr>
              <w:rPr>
                <w:color w:val="000000"/>
                <w:szCs w:val="22"/>
                <w:lang w:val="et-EE"/>
              </w:rPr>
            </w:pPr>
            <w:r w:rsidRPr="00EC3BD7">
              <w:rPr>
                <w:color w:val="000000"/>
                <w:szCs w:val="22"/>
                <w:lang w:val="et-EE"/>
              </w:rPr>
              <w:t>Novartis Pharma S.A.S.</w:t>
            </w:r>
          </w:p>
          <w:p w14:paraId="29F5D31A" w14:textId="77777777" w:rsidR="000A6B36" w:rsidRPr="00EC3BD7" w:rsidRDefault="000A6B36" w:rsidP="00BB79A3">
            <w:pPr>
              <w:rPr>
                <w:color w:val="000000"/>
                <w:szCs w:val="22"/>
                <w:lang w:val="et-EE"/>
              </w:rPr>
            </w:pPr>
            <w:r w:rsidRPr="00EC3BD7">
              <w:rPr>
                <w:color w:val="000000"/>
                <w:szCs w:val="22"/>
                <w:lang w:val="et-EE"/>
              </w:rPr>
              <w:t>Tél: +33 1 55 47 66 00</w:t>
            </w:r>
          </w:p>
          <w:p w14:paraId="56B0519A" w14:textId="77777777" w:rsidR="000A6B36" w:rsidRPr="00EC3BD7" w:rsidRDefault="000A6B36" w:rsidP="00BB79A3">
            <w:pPr>
              <w:rPr>
                <w:b/>
                <w:color w:val="000000"/>
                <w:szCs w:val="22"/>
                <w:lang w:val="et-EE"/>
              </w:rPr>
            </w:pPr>
          </w:p>
        </w:tc>
        <w:tc>
          <w:tcPr>
            <w:tcW w:w="4650" w:type="dxa"/>
          </w:tcPr>
          <w:p w14:paraId="453773E3" w14:textId="77777777" w:rsidR="000A6B36" w:rsidRPr="00EC3BD7" w:rsidRDefault="000A6B36" w:rsidP="00BB79A3">
            <w:pPr>
              <w:rPr>
                <w:b/>
                <w:color w:val="000000"/>
                <w:szCs w:val="22"/>
                <w:lang w:val="et-EE"/>
              </w:rPr>
            </w:pPr>
            <w:r w:rsidRPr="00EC3BD7">
              <w:rPr>
                <w:b/>
                <w:color w:val="000000"/>
                <w:szCs w:val="22"/>
                <w:lang w:val="et-EE"/>
              </w:rPr>
              <w:t>Portugal</w:t>
            </w:r>
          </w:p>
          <w:p w14:paraId="7B65975D" w14:textId="77777777" w:rsidR="000A6B36" w:rsidRPr="00EC3BD7" w:rsidRDefault="000A6B36" w:rsidP="00BB79A3">
            <w:pPr>
              <w:rPr>
                <w:color w:val="000000"/>
                <w:szCs w:val="22"/>
                <w:lang w:val="et-EE"/>
              </w:rPr>
            </w:pPr>
            <w:r w:rsidRPr="00EC3BD7">
              <w:rPr>
                <w:color w:val="000000"/>
                <w:szCs w:val="22"/>
                <w:lang w:val="et-EE"/>
              </w:rPr>
              <w:t>Novartis Farma - Produtos Farmacêuticos, S.A.</w:t>
            </w:r>
          </w:p>
          <w:p w14:paraId="036CCB11" w14:textId="77777777" w:rsidR="000A6B36" w:rsidRPr="00EC3BD7" w:rsidRDefault="000A6B36" w:rsidP="00BB79A3">
            <w:pPr>
              <w:rPr>
                <w:color w:val="000000"/>
                <w:szCs w:val="22"/>
                <w:lang w:val="et-EE"/>
              </w:rPr>
            </w:pPr>
            <w:r w:rsidRPr="00EC3BD7">
              <w:rPr>
                <w:color w:val="000000"/>
                <w:szCs w:val="22"/>
                <w:lang w:val="et-EE"/>
              </w:rPr>
              <w:t>Tel: +351 21 000 8600</w:t>
            </w:r>
          </w:p>
        </w:tc>
      </w:tr>
      <w:tr w:rsidR="000A6B36" w:rsidRPr="00EC3BD7" w14:paraId="586AD6DD" w14:textId="77777777" w:rsidTr="00F53D51">
        <w:trPr>
          <w:cantSplit/>
        </w:trPr>
        <w:tc>
          <w:tcPr>
            <w:tcW w:w="4650" w:type="dxa"/>
          </w:tcPr>
          <w:p w14:paraId="2A262069" w14:textId="77777777" w:rsidR="000A6B36" w:rsidRPr="00EC3BD7" w:rsidRDefault="000A6B36" w:rsidP="00BB79A3">
            <w:pPr>
              <w:rPr>
                <w:rFonts w:eastAsia="PMingLiU"/>
                <w:b/>
                <w:lang w:val="et-EE"/>
              </w:rPr>
            </w:pPr>
            <w:r w:rsidRPr="00EC3BD7">
              <w:rPr>
                <w:rFonts w:eastAsia="PMingLiU"/>
                <w:b/>
                <w:lang w:val="et-EE"/>
              </w:rPr>
              <w:t>Hrvatska</w:t>
            </w:r>
          </w:p>
          <w:p w14:paraId="13B62AE6" w14:textId="77777777" w:rsidR="000A6B36" w:rsidRPr="00EC3BD7" w:rsidRDefault="000A6B36" w:rsidP="00BB79A3">
            <w:pPr>
              <w:rPr>
                <w:lang w:val="et-EE"/>
              </w:rPr>
            </w:pPr>
            <w:r w:rsidRPr="00EC3BD7">
              <w:rPr>
                <w:lang w:val="et-EE"/>
              </w:rPr>
              <w:t>Novartis Hrvatska d.o.o.</w:t>
            </w:r>
          </w:p>
          <w:p w14:paraId="4E98695C" w14:textId="77777777" w:rsidR="000A6B36" w:rsidRPr="00EC3BD7" w:rsidRDefault="000A6B36" w:rsidP="00BB79A3">
            <w:pPr>
              <w:rPr>
                <w:lang w:val="et-EE"/>
              </w:rPr>
            </w:pPr>
            <w:r w:rsidRPr="00EC3BD7">
              <w:rPr>
                <w:lang w:val="et-EE"/>
              </w:rPr>
              <w:t>Tel. +385 1 6274 220</w:t>
            </w:r>
          </w:p>
          <w:p w14:paraId="480EC3EA" w14:textId="77777777" w:rsidR="000A6B36" w:rsidRPr="00EC3BD7" w:rsidRDefault="000A6B36" w:rsidP="00BB79A3">
            <w:pPr>
              <w:rPr>
                <w:b/>
                <w:color w:val="000000"/>
                <w:szCs w:val="22"/>
                <w:lang w:val="et-EE"/>
              </w:rPr>
            </w:pPr>
          </w:p>
        </w:tc>
        <w:tc>
          <w:tcPr>
            <w:tcW w:w="4650" w:type="dxa"/>
          </w:tcPr>
          <w:p w14:paraId="797ECB82" w14:textId="77777777" w:rsidR="000A6B36" w:rsidRPr="00EC3BD7" w:rsidRDefault="000A6B36" w:rsidP="00BB79A3">
            <w:pPr>
              <w:rPr>
                <w:b/>
                <w:color w:val="000000"/>
                <w:szCs w:val="22"/>
                <w:lang w:val="et-EE"/>
              </w:rPr>
            </w:pPr>
            <w:r w:rsidRPr="00EC3BD7">
              <w:rPr>
                <w:b/>
                <w:color w:val="000000"/>
                <w:szCs w:val="22"/>
                <w:lang w:val="et-EE"/>
              </w:rPr>
              <w:t>România</w:t>
            </w:r>
          </w:p>
          <w:p w14:paraId="105242D3" w14:textId="77777777" w:rsidR="000A6B36" w:rsidRPr="00EC3BD7" w:rsidRDefault="000A6B36" w:rsidP="00BB79A3">
            <w:pPr>
              <w:rPr>
                <w:color w:val="000000"/>
                <w:szCs w:val="22"/>
                <w:lang w:val="et-EE"/>
              </w:rPr>
            </w:pPr>
            <w:r w:rsidRPr="00EC3BD7">
              <w:rPr>
                <w:color w:val="000000"/>
                <w:szCs w:val="22"/>
                <w:lang w:val="et-EE"/>
              </w:rPr>
              <w:t xml:space="preserve">Novartis Pharma Services </w:t>
            </w:r>
            <w:r w:rsidRPr="00EC3BD7">
              <w:rPr>
                <w:color w:val="2F2F2F"/>
                <w:szCs w:val="22"/>
                <w:lang w:val="et-EE"/>
              </w:rPr>
              <w:t>Romania SRL</w:t>
            </w:r>
          </w:p>
          <w:p w14:paraId="3EDA5139" w14:textId="77777777" w:rsidR="000A6B36" w:rsidRPr="00EC3BD7" w:rsidRDefault="000A6B36" w:rsidP="00BB79A3">
            <w:pPr>
              <w:rPr>
                <w:color w:val="000000"/>
                <w:szCs w:val="22"/>
                <w:lang w:val="et-EE"/>
              </w:rPr>
            </w:pPr>
            <w:r w:rsidRPr="00EC3BD7">
              <w:rPr>
                <w:color w:val="000000"/>
                <w:szCs w:val="22"/>
                <w:lang w:val="et-EE"/>
              </w:rPr>
              <w:t>Tel: +40 21 31299 01</w:t>
            </w:r>
          </w:p>
        </w:tc>
      </w:tr>
      <w:tr w:rsidR="000A6B36" w:rsidRPr="00EC3BD7" w14:paraId="3976691E" w14:textId="77777777" w:rsidTr="00F53D51">
        <w:trPr>
          <w:cantSplit/>
        </w:trPr>
        <w:tc>
          <w:tcPr>
            <w:tcW w:w="4650" w:type="dxa"/>
          </w:tcPr>
          <w:p w14:paraId="15C1D05A" w14:textId="77777777" w:rsidR="000A6B36" w:rsidRPr="00EC3BD7" w:rsidRDefault="000A6B36" w:rsidP="00BB79A3">
            <w:pPr>
              <w:rPr>
                <w:b/>
                <w:color w:val="000000"/>
                <w:szCs w:val="22"/>
                <w:lang w:val="et-EE"/>
              </w:rPr>
            </w:pPr>
            <w:r w:rsidRPr="00EC3BD7">
              <w:rPr>
                <w:b/>
                <w:color w:val="000000"/>
                <w:szCs w:val="22"/>
                <w:lang w:val="et-EE"/>
              </w:rPr>
              <w:t>Ireland</w:t>
            </w:r>
          </w:p>
          <w:p w14:paraId="4762CE08" w14:textId="77777777" w:rsidR="000A6B36" w:rsidRPr="00EC3BD7" w:rsidRDefault="000A6B36" w:rsidP="00BB79A3">
            <w:pPr>
              <w:rPr>
                <w:color w:val="000000"/>
                <w:szCs w:val="22"/>
                <w:lang w:val="et-EE"/>
              </w:rPr>
            </w:pPr>
            <w:r w:rsidRPr="00EC3BD7">
              <w:rPr>
                <w:color w:val="000000"/>
                <w:szCs w:val="22"/>
                <w:lang w:val="et-EE"/>
              </w:rPr>
              <w:t>Novartis Ireland Limited</w:t>
            </w:r>
          </w:p>
          <w:p w14:paraId="3486F1BB" w14:textId="77777777" w:rsidR="000A6B36" w:rsidRPr="00EC3BD7" w:rsidRDefault="000A6B36" w:rsidP="00BB79A3">
            <w:pPr>
              <w:rPr>
                <w:color w:val="000000"/>
                <w:szCs w:val="22"/>
                <w:lang w:val="et-EE"/>
              </w:rPr>
            </w:pPr>
            <w:r w:rsidRPr="00EC3BD7">
              <w:rPr>
                <w:color w:val="000000"/>
                <w:szCs w:val="22"/>
                <w:lang w:val="et-EE"/>
              </w:rPr>
              <w:t>Tel: +353 1 260 12 55</w:t>
            </w:r>
          </w:p>
          <w:p w14:paraId="37F47132" w14:textId="77777777" w:rsidR="000A6B36" w:rsidRPr="00EC3BD7" w:rsidRDefault="000A6B36" w:rsidP="00BB79A3">
            <w:pPr>
              <w:rPr>
                <w:b/>
                <w:color w:val="000000"/>
                <w:szCs w:val="22"/>
                <w:lang w:val="et-EE"/>
              </w:rPr>
            </w:pPr>
          </w:p>
        </w:tc>
        <w:tc>
          <w:tcPr>
            <w:tcW w:w="4650" w:type="dxa"/>
          </w:tcPr>
          <w:p w14:paraId="37A751F9" w14:textId="77777777" w:rsidR="000A6B36" w:rsidRPr="00EC3BD7" w:rsidRDefault="000A6B36" w:rsidP="00BB79A3">
            <w:pPr>
              <w:rPr>
                <w:b/>
                <w:color w:val="000000"/>
                <w:szCs w:val="22"/>
                <w:lang w:val="et-EE"/>
              </w:rPr>
            </w:pPr>
            <w:r w:rsidRPr="00EC3BD7">
              <w:rPr>
                <w:b/>
                <w:color w:val="000000"/>
                <w:szCs w:val="22"/>
                <w:lang w:val="et-EE"/>
              </w:rPr>
              <w:t>Slovenija</w:t>
            </w:r>
          </w:p>
          <w:p w14:paraId="290089E3" w14:textId="77777777" w:rsidR="000A6B36" w:rsidRPr="00EC3BD7" w:rsidRDefault="000A6B36" w:rsidP="00BB79A3">
            <w:pPr>
              <w:rPr>
                <w:color w:val="000000"/>
                <w:szCs w:val="22"/>
                <w:lang w:val="et-EE"/>
              </w:rPr>
            </w:pPr>
            <w:r w:rsidRPr="00EC3BD7">
              <w:rPr>
                <w:color w:val="000000"/>
                <w:szCs w:val="22"/>
                <w:lang w:val="et-EE"/>
              </w:rPr>
              <w:t>Novartis Pharma Services Inc.</w:t>
            </w:r>
          </w:p>
          <w:p w14:paraId="14B6876F" w14:textId="77777777" w:rsidR="000A6B36" w:rsidRPr="00EC3BD7" w:rsidRDefault="000A6B36" w:rsidP="00BB79A3">
            <w:pPr>
              <w:rPr>
                <w:color w:val="000000"/>
                <w:szCs w:val="22"/>
                <w:lang w:val="et-EE"/>
              </w:rPr>
            </w:pPr>
            <w:r w:rsidRPr="00EC3BD7">
              <w:rPr>
                <w:color w:val="000000"/>
                <w:szCs w:val="22"/>
                <w:lang w:val="et-EE"/>
              </w:rPr>
              <w:t>Tel: +386 1 300 75 50</w:t>
            </w:r>
          </w:p>
        </w:tc>
      </w:tr>
      <w:tr w:rsidR="000A6B36" w:rsidRPr="00EC3BD7" w14:paraId="7A44D969" w14:textId="77777777" w:rsidTr="00F53D51">
        <w:trPr>
          <w:cantSplit/>
        </w:trPr>
        <w:tc>
          <w:tcPr>
            <w:tcW w:w="4650" w:type="dxa"/>
          </w:tcPr>
          <w:p w14:paraId="0EAB7BCB" w14:textId="77777777" w:rsidR="000A6B36" w:rsidRPr="00EC3BD7" w:rsidRDefault="000A6B36" w:rsidP="00BB79A3">
            <w:pPr>
              <w:rPr>
                <w:b/>
                <w:color w:val="000000"/>
                <w:szCs w:val="22"/>
                <w:lang w:val="et-EE"/>
              </w:rPr>
            </w:pPr>
            <w:r w:rsidRPr="00EC3BD7">
              <w:rPr>
                <w:b/>
                <w:color w:val="000000"/>
                <w:szCs w:val="22"/>
                <w:lang w:val="et-EE"/>
              </w:rPr>
              <w:t>Ísland</w:t>
            </w:r>
          </w:p>
          <w:p w14:paraId="63B8D0B1" w14:textId="77777777" w:rsidR="000A6B36" w:rsidRPr="00EC3BD7" w:rsidRDefault="000A6B36" w:rsidP="00BB79A3">
            <w:pPr>
              <w:rPr>
                <w:color w:val="000000"/>
                <w:szCs w:val="22"/>
                <w:lang w:val="et-EE"/>
              </w:rPr>
            </w:pPr>
            <w:r w:rsidRPr="00EC3BD7">
              <w:rPr>
                <w:color w:val="000000"/>
                <w:szCs w:val="22"/>
                <w:lang w:val="et-EE"/>
              </w:rPr>
              <w:t>Vistor hf.</w:t>
            </w:r>
          </w:p>
          <w:p w14:paraId="442B0E1C" w14:textId="77777777" w:rsidR="000A6B36" w:rsidRPr="00EC3BD7" w:rsidRDefault="000A6B36" w:rsidP="00BB79A3">
            <w:pPr>
              <w:rPr>
                <w:color w:val="000000"/>
                <w:szCs w:val="22"/>
                <w:lang w:val="et-EE"/>
              </w:rPr>
            </w:pPr>
            <w:r w:rsidRPr="00EC3BD7">
              <w:rPr>
                <w:color w:val="000000"/>
                <w:lang w:val="et-EE"/>
              </w:rPr>
              <w:t>Sími</w:t>
            </w:r>
            <w:r w:rsidRPr="00EC3BD7">
              <w:rPr>
                <w:color w:val="000000"/>
                <w:szCs w:val="22"/>
                <w:lang w:val="et-EE"/>
              </w:rPr>
              <w:t>: +354 535 7000</w:t>
            </w:r>
          </w:p>
          <w:p w14:paraId="42C93305" w14:textId="77777777" w:rsidR="000A6B36" w:rsidRPr="00EC3BD7" w:rsidRDefault="000A6B36" w:rsidP="00BB79A3">
            <w:pPr>
              <w:rPr>
                <w:b/>
                <w:color w:val="000000"/>
                <w:szCs w:val="22"/>
                <w:lang w:val="et-EE"/>
              </w:rPr>
            </w:pPr>
          </w:p>
        </w:tc>
        <w:tc>
          <w:tcPr>
            <w:tcW w:w="4650" w:type="dxa"/>
          </w:tcPr>
          <w:p w14:paraId="3BB72168" w14:textId="77777777" w:rsidR="000A6B36" w:rsidRPr="00EC3BD7" w:rsidRDefault="000A6B36" w:rsidP="00BB79A3">
            <w:pPr>
              <w:rPr>
                <w:b/>
                <w:color w:val="000000"/>
                <w:szCs w:val="22"/>
                <w:lang w:val="et-EE"/>
              </w:rPr>
            </w:pPr>
            <w:r w:rsidRPr="00EC3BD7">
              <w:rPr>
                <w:b/>
                <w:color w:val="000000"/>
                <w:szCs w:val="22"/>
                <w:lang w:val="et-EE"/>
              </w:rPr>
              <w:t>Slovenská republika</w:t>
            </w:r>
          </w:p>
          <w:p w14:paraId="7B895D68" w14:textId="77777777" w:rsidR="000A6B36" w:rsidRPr="00EC3BD7" w:rsidRDefault="000A6B36" w:rsidP="00BB79A3">
            <w:pPr>
              <w:rPr>
                <w:color w:val="000000"/>
                <w:szCs w:val="22"/>
                <w:lang w:val="et-EE"/>
              </w:rPr>
            </w:pPr>
            <w:r w:rsidRPr="00EC3BD7">
              <w:rPr>
                <w:color w:val="000000"/>
                <w:szCs w:val="22"/>
                <w:lang w:val="et-EE"/>
              </w:rPr>
              <w:t>Novartis Slovakia s.r.o.</w:t>
            </w:r>
          </w:p>
          <w:p w14:paraId="5FD15BAF" w14:textId="77777777" w:rsidR="000A6B36" w:rsidRPr="00EC3BD7" w:rsidRDefault="000A6B36" w:rsidP="00BB79A3">
            <w:pPr>
              <w:rPr>
                <w:color w:val="000000"/>
                <w:szCs w:val="22"/>
                <w:lang w:val="et-EE"/>
              </w:rPr>
            </w:pPr>
            <w:r w:rsidRPr="00EC3BD7">
              <w:rPr>
                <w:color w:val="000000"/>
                <w:szCs w:val="22"/>
                <w:lang w:val="et-EE"/>
              </w:rPr>
              <w:t>Tel: +421 2 5542 5439</w:t>
            </w:r>
          </w:p>
          <w:p w14:paraId="7DB740FB" w14:textId="77777777" w:rsidR="000A6B36" w:rsidRPr="00EC3BD7" w:rsidRDefault="000A6B36" w:rsidP="00BB79A3">
            <w:pPr>
              <w:rPr>
                <w:color w:val="000000"/>
                <w:szCs w:val="22"/>
                <w:lang w:val="et-EE"/>
              </w:rPr>
            </w:pPr>
          </w:p>
        </w:tc>
      </w:tr>
      <w:tr w:rsidR="000A6B36" w:rsidRPr="005D29F8" w14:paraId="75CABD23" w14:textId="77777777" w:rsidTr="00F53D51">
        <w:trPr>
          <w:cantSplit/>
        </w:trPr>
        <w:tc>
          <w:tcPr>
            <w:tcW w:w="4650" w:type="dxa"/>
          </w:tcPr>
          <w:p w14:paraId="3E5597A4" w14:textId="77777777" w:rsidR="000A6B36" w:rsidRPr="00EC3BD7" w:rsidRDefault="000A6B36" w:rsidP="00BB79A3">
            <w:pPr>
              <w:rPr>
                <w:b/>
                <w:color w:val="000000"/>
                <w:szCs w:val="22"/>
                <w:lang w:val="et-EE"/>
              </w:rPr>
            </w:pPr>
            <w:r w:rsidRPr="00EC3BD7">
              <w:rPr>
                <w:b/>
                <w:color w:val="000000"/>
                <w:szCs w:val="22"/>
                <w:lang w:val="et-EE"/>
              </w:rPr>
              <w:t>Italia</w:t>
            </w:r>
          </w:p>
          <w:p w14:paraId="74A74A36" w14:textId="77777777" w:rsidR="000A6B36" w:rsidRPr="00EC3BD7" w:rsidRDefault="000A6B36" w:rsidP="00BB79A3">
            <w:pPr>
              <w:rPr>
                <w:color w:val="000000"/>
                <w:szCs w:val="22"/>
                <w:lang w:val="et-EE"/>
              </w:rPr>
            </w:pPr>
            <w:r w:rsidRPr="00EC3BD7">
              <w:rPr>
                <w:color w:val="000000"/>
                <w:szCs w:val="22"/>
                <w:lang w:val="et-EE"/>
              </w:rPr>
              <w:t>Novartis Farma S.p.A.</w:t>
            </w:r>
          </w:p>
          <w:p w14:paraId="50D6FF70" w14:textId="77777777" w:rsidR="000A6B36" w:rsidRPr="00EC3BD7" w:rsidRDefault="000A6B36" w:rsidP="00BB79A3">
            <w:pPr>
              <w:rPr>
                <w:b/>
                <w:color w:val="000000"/>
                <w:szCs w:val="22"/>
                <w:lang w:val="et-EE"/>
              </w:rPr>
            </w:pPr>
            <w:r w:rsidRPr="00EC3BD7">
              <w:rPr>
                <w:color w:val="000000"/>
                <w:szCs w:val="22"/>
                <w:lang w:val="et-EE"/>
              </w:rPr>
              <w:t>Tel: +39 02 96 54 1</w:t>
            </w:r>
          </w:p>
        </w:tc>
        <w:tc>
          <w:tcPr>
            <w:tcW w:w="4650" w:type="dxa"/>
          </w:tcPr>
          <w:p w14:paraId="63125569" w14:textId="77777777" w:rsidR="000A6B36" w:rsidRPr="00EC3BD7" w:rsidRDefault="000A6B36" w:rsidP="00BB79A3">
            <w:pPr>
              <w:rPr>
                <w:b/>
                <w:color w:val="000000"/>
                <w:szCs w:val="22"/>
                <w:lang w:val="et-EE"/>
              </w:rPr>
            </w:pPr>
            <w:r w:rsidRPr="00EC3BD7">
              <w:rPr>
                <w:b/>
                <w:color w:val="000000"/>
                <w:szCs w:val="22"/>
                <w:lang w:val="et-EE"/>
              </w:rPr>
              <w:t>Suomi/Finland</w:t>
            </w:r>
          </w:p>
          <w:p w14:paraId="5163824C" w14:textId="77777777" w:rsidR="000A6B36" w:rsidRPr="00EC3BD7" w:rsidRDefault="000A6B36" w:rsidP="00BB79A3">
            <w:pPr>
              <w:rPr>
                <w:color w:val="000000"/>
                <w:szCs w:val="22"/>
                <w:lang w:val="et-EE"/>
              </w:rPr>
            </w:pPr>
            <w:r w:rsidRPr="00EC3BD7">
              <w:rPr>
                <w:color w:val="000000"/>
                <w:szCs w:val="22"/>
                <w:lang w:val="et-EE"/>
              </w:rPr>
              <w:t>Novartis Finland Oy</w:t>
            </w:r>
          </w:p>
          <w:p w14:paraId="718A7FB0" w14:textId="77777777" w:rsidR="000A6B36" w:rsidRPr="00EC3BD7" w:rsidRDefault="000A6B36" w:rsidP="00BB79A3">
            <w:pPr>
              <w:rPr>
                <w:color w:val="000000"/>
                <w:szCs w:val="22"/>
                <w:lang w:val="et-EE"/>
              </w:rPr>
            </w:pPr>
            <w:r w:rsidRPr="00EC3BD7">
              <w:rPr>
                <w:color w:val="000000"/>
                <w:szCs w:val="22"/>
                <w:lang w:val="et-EE"/>
              </w:rPr>
              <w:t xml:space="preserve">Puh/Tel: </w:t>
            </w:r>
            <w:r w:rsidRPr="00EC3BD7">
              <w:rPr>
                <w:color w:val="000000"/>
                <w:szCs w:val="22"/>
                <w:lang w:val="et-EE" w:bidi="he-IL"/>
              </w:rPr>
              <w:t>+358 (0)10 6133 200</w:t>
            </w:r>
          </w:p>
          <w:p w14:paraId="69517A39" w14:textId="77777777" w:rsidR="000A6B36" w:rsidRPr="00EC3BD7" w:rsidRDefault="000A6B36" w:rsidP="00BB79A3">
            <w:pPr>
              <w:rPr>
                <w:color w:val="000000"/>
                <w:szCs w:val="22"/>
                <w:lang w:val="et-EE"/>
              </w:rPr>
            </w:pPr>
          </w:p>
        </w:tc>
      </w:tr>
      <w:tr w:rsidR="000A6B36" w:rsidRPr="005D29F8" w14:paraId="6042FADF" w14:textId="77777777" w:rsidTr="00F53D51">
        <w:trPr>
          <w:cantSplit/>
        </w:trPr>
        <w:tc>
          <w:tcPr>
            <w:tcW w:w="4650" w:type="dxa"/>
          </w:tcPr>
          <w:p w14:paraId="7DC6DF26" w14:textId="77777777" w:rsidR="000A6B36" w:rsidRPr="00EC3BD7" w:rsidRDefault="000A6B36" w:rsidP="00BB79A3">
            <w:pPr>
              <w:rPr>
                <w:b/>
                <w:color w:val="000000"/>
                <w:szCs w:val="22"/>
                <w:lang w:val="et-EE"/>
              </w:rPr>
            </w:pPr>
            <w:r w:rsidRPr="00EC3BD7">
              <w:rPr>
                <w:b/>
                <w:color w:val="000000"/>
                <w:szCs w:val="22"/>
                <w:lang w:val="et-EE"/>
              </w:rPr>
              <w:t>Κύπρος</w:t>
            </w:r>
          </w:p>
          <w:p w14:paraId="516BA353" w14:textId="77777777" w:rsidR="000A6B36" w:rsidRPr="00EC3BD7" w:rsidRDefault="000A6B36" w:rsidP="00BB79A3">
            <w:pPr>
              <w:rPr>
                <w:color w:val="000000"/>
                <w:szCs w:val="22"/>
                <w:lang w:val="et-EE"/>
              </w:rPr>
            </w:pPr>
            <w:r w:rsidRPr="00EC3BD7">
              <w:rPr>
                <w:color w:val="000000"/>
                <w:szCs w:val="22"/>
                <w:lang w:val="et-EE" w:bidi="he-IL"/>
              </w:rPr>
              <w:t>Novartis Pharma Services Inc.</w:t>
            </w:r>
          </w:p>
          <w:p w14:paraId="29657DFF" w14:textId="77777777" w:rsidR="000A6B36" w:rsidRPr="00EC3BD7" w:rsidRDefault="000A6B36" w:rsidP="00BB79A3">
            <w:pPr>
              <w:rPr>
                <w:color w:val="000000"/>
                <w:szCs w:val="22"/>
                <w:lang w:val="et-EE"/>
              </w:rPr>
            </w:pPr>
            <w:r w:rsidRPr="00EC3BD7">
              <w:rPr>
                <w:color w:val="000000"/>
                <w:szCs w:val="22"/>
                <w:lang w:val="et-EE"/>
              </w:rPr>
              <w:t>Τηλ: +357 22 690 690</w:t>
            </w:r>
          </w:p>
          <w:p w14:paraId="359F671F" w14:textId="77777777" w:rsidR="000A6B36" w:rsidRPr="00EC3BD7" w:rsidRDefault="000A6B36" w:rsidP="00BB79A3">
            <w:pPr>
              <w:rPr>
                <w:b/>
                <w:color w:val="000000"/>
                <w:szCs w:val="22"/>
                <w:lang w:val="et-EE"/>
              </w:rPr>
            </w:pPr>
          </w:p>
        </w:tc>
        <w:tc>
          <w:tcPr>
            <w:tcW w:w="4650" w:type="dxa"/>
          </w:tcPr>
          <w:p w14:paraId="3F43CEAD" w14:textId="77777777" w:rsidR="000A6B36" w:rsidRPr="00EC3BD7" w:rsidRDefault="000A6B36" w:rsidP="00BB79A3">
            <w:pPr>
              <w:rPr>
                <w:b/>
                <w:color w:val="000000"/>
                <w:szCs w:val="22"/>
                <w:lang w:val="et-EE"/>
              </w:rPr>
            </w:pPr>
            <w:r w:rsidRPr="00EC3BD7">
              <w:rPr>
                <w:b/>
                <w:color w:val="000000"/>
                <w:szCs w:val="22"/>
                <w:lang w:val="et-EE"/>
              </w:rPr>
              <w:t>Sverige</w:t>
            </w:r>
          </w:p>
          <w:p w14:paraId="275CA874" w14:textId="77777777" w:rsidR="000A6B36" w:rsidRPr="00EC3BD7" w:rsidRDefault="000A6B36" w:rsidP="00BB79A3">
            <w:pPr>
              <w:rPr>
                <w:color w:val="000000"/>
                <w:szCs w:val="22"/>
                <w:lang w:val="et-EE"/>
              </w:rPr>
            </w:pPr>
            <w:r w:rsidRPr="00EC3BD7">
              <w:rPr>
                <w:color w:val="000000"/>
                <w:szCs w:val="22"/>
                <w:lang w:val="et-EE"/>
              </w:rPr>
              <w:t>Novartis Sverige AB</w:t>
            </w:r>
          </w:p>
          <w:p w14:paraId="28B7294F" w14:textId="77777777" w:rsidR="000A6B36" w:rsidRPr="00EC3BD7" w:rsidRDefault="000A6B36" w:rsidP="00BB79A3">
            <w:pPr>
              <w:rPr>
                <w:color w:val="000000"/>
                <w:szCs w:val="22"/>
                <w:lang w:val="et-EE"/>
              </w:rPr>
            </w:pPr>
            <w:r w:rsidRPr="00EC3BD7">
              <w:rPr>
                <w:color w:val="000000"/>
                <w:szCs w:val="22"/>
                <w:lang w:val="et-EE"/>
              </w:rPr>
              <w:t>Tel: +46 8 732 32 00</w:t>
            </w:r>
          </w:p>
          <w:p w14:paraId="15B873E6" w14:textId="77777777" w:rsidR="000A6B36" w:rsidRPr="00EC3BD7" w:rsidRDefault="000A6B36" w:rsidP="00BB79A3">
            <w:pPr>
              <w:rPr>
                <w:color w:val="000000"/>
                <w:szCs w:val="22"/>
                <w:lang w:val="et-EE"/>
              </w:rPr>
            </w:pPr>
          </w:p>
        </w:tc>
      </w:tr>
      <w:tr w:rsidR="000A6B36" w:rsidRPr="00EC3BD7" w14:paraId="2A2B82AF" w14:textId="77777777" w:rsidTr="00F53D51">
        <w:trPr>
          <w:cantSplit/>
        </w:trPr>
        <w:tc>
          <w:tcPr>
            <w:tcW w:w="4650" w:type="dxa"/>
          </w:tcPr>
          <w:p w14:paraId="049F1F52" w14:textId="77777777" w:rsidR="000A6B36" w:rsidRPr="00EC3BD7" w:rsidRDefault="000A6B36" w:rsidP="00BB79A3">
            <w:pPr>
              <w:rPr>
                <w:b/>
                <w:color w:val="000000"/>
                <w:szCs w:val="22"/>
                <w:lang w:val="et-EE"/>
              </w:rPr>
            </w:pPr>
            <w:r w:rsidRPr="00EC3BD7">
              <w:rPr>
                <w:b/>
                <w:color w:val="000000"/>
                <w:szCs w:val="22"/>
                <w:lang w:val="et-EE"/>
              </w:rPr>
              <w:t>Latvija</w:t>
            </w:r>
          </w:p>
          <w:p w14:paraId="67814C40" w14:textId="7E7AC54B" w:rsidR="009432CC" w:rsidRPr="00EC3BD7" w:rsidRDefault="009432CC" w:rsidP="009432CC">
            <w:pPr>
              <w:widowControl w:val="0"/>
              <w:rPr>
                <w:color w:val="000000"/>
                <w:szCs w:val="22"/>
                <w:lang w:val="it-IT"/>
              </w:rPr>
            </w:pPr>
            <w:r w:rsidRPr="00EC3BD7">
              <w:rPr>
                <w:szCs w:val="22"/>
                <w:lang w:val="it-IT"/>
              </w:rPr>
              <w:t>SIA Novartis Baltics</w:t>
            </w:r>
          </w:p>
          <w:p w14:paraId="66572DAE" w14:textId="77777777" w:rsidR="000A6B36" w:rsidRPr="00EC3BD7" w:rsidRDefault="000A6B36" w:rsidP="00BB79A3">
            <w:pPr>
              <w:rPr>
                <w:color w:val="000000"/>
                <w:szCs w:val="22"/>
                <w:lang w:val="et-EE"/>
              </w:rPr>
            </w:pPr>
            <w:r w:rsidRPr="00EC3BD7">
              <w:rPr>
                <w:color w:val="000000"/>
                <w:szCs w:val="22"/>
                <w:lang w:val="et-EE"/>
              </w:rPr>
              <w:t>Tel: +371 67 887 070</w:t>
            </w:r>
          </w:p>
          <w:p w14:paraId="398064C5" w14:textId="77777777" w:rsidR="000A6B36" w:rsidRPr="00EC3BD7" w:rsidRDefault="000A6B36" w:rsidP="00BB79A3">
            <w:pPr>
              <w:rPr>
                <w:b/>
                <w:color w:val="000000"/>
                <w:szCs w:val="22"/>
                <w:lang w:val="et-EE"/>
              </w:rPr>
            </w:pPr>
          </w:p>
        </w:tc>
        <w:tc>
          <w:tcPr>
            <w:tcW w:w="4650" w:type="dxa"/>
          </w:tcPr>
          <w:p w14:paraId="0DA6BD60" w14:textId="77777777" w:rsidR="000A6B36" w:rsidRPr="00EC3BD7" w:rsidRDefault="000A6B36" w:rsidP="00BB79A3">
            <w:pPr>
              <w:rPr>
                <w:b/>
                <w:color w:val="000000"/>
                <w:szCs w:val="22"/>
                <w:lang w:val="et-EE"/>
              </w:rPr>
            </w:pPr>
            <w:r w:rsidRPr="00EC3BD7">
              <w:rPr>
                <w:b/>
                <w:color w:val="000000"/>
                <w:szCs w:val="22"/>
                <w:lang w:val="et-EE"/>
              </w:rPr>
              <w:t>United Kingdom</w:t>
            </w:r>
          </w:p>
          <w:p w14:paraId="50BBBD41" w14:textId="77777777" w:rsidR="000A6B36" w:rsidRPr="00EC3BD7" w:rsidRDefault="000A6B36" w:rsidP="00BB79A3">
            <w:pPr>
              <w:rPr>
                <w:color w:val="000000"/>
                <w:szCs w:val="22"/>
                <w:lang w:val="et-EE"/>
              </w:rPr>
            </w:pPr>
            <w:r w:rsidRPr="00EC3BD7">
              <w:rPr>
                <w:color w:val="000000"/>
                <w:szCs w:val="22"/>
                <w:lang w:val="et-EE"/>
              </w:rPr>
              <w:t>Novartis Pharmaceuticals UK Ltd.</w:t>
            </w:r>
          </w:p>
          <w:p w14:paraId="4D5834FD" w14:textId="77777777" w:rsidR="000A6B36" w:rsidRPr="00EC3BD7" w:rsidRDefault="000A6B36" w:rsidP="00BB79A3">
            <w:pPr>
              <w:rPr>
                <w:color w:val="000000"/>
                <w:szCs w:val="22"/>
                <w:lang w:val="et-EE"/>
              </w:rPr>
            </w:pPr>
            <w:r w:rsidRPr="00EC3BD7">
              <w:rPr>
                <w:color w:val="000000"/>
                <w:szCs w:val="22"/>
                <w:lang w:val="et-EE"/>
              </w:rPr>
              <w:t>Tel: +44 1276 698370</w:t>
            </w:r>
          </w:p>
          <w:p w14:paraId="4BF5A799" w14:textId="77777777" w:rsidR="000A6B36" w:rsidRPr="00EC3BD7" w:rsidRDefault="000A6B36" w:rsidP="00BB79A3">
            <w:pPr>
              <w:rPr>
                <w:color w:val="000000"/>
                <w:szCs w:val="22"/>
                <w:lang w:val="et-EE"/>
              </w:rPr>
            </w:pPr>
          </w:p>
        </w:tc>
      </w:tr>
    </w:tbl>
    <w:p w14:paraId="62412ED7" w14:textId="77777777" w:rsidR="000A6B36" w:rsidRPr="00EC3BD7" w:rsidRDefault="000A6B36" w:rsidP="000A6B36">
      <w:pPr>
        <w:widowControl w:val="0"/>
        <w:tabs>
          <w:tab w:val="clear" w:pos="567"/>
        </w:tabs>
        <w:spacing w:line="240" w:lineRule="auto"/>
        <w:ind w:right="-449"/>
        <w:rPr>
          <w:color w:val="000000"/>
          <w:szCs w:val="22"/>
          <w:lang w:val="et-EE"/>
        </w:rPr>
      </w:pPr>
    </w:p>
    <w:p w14:paraId="79AEE1F1" w14:textId="77777777" w:rsidR="00DA3205" w:rsidRPr="00EC3BD7" w:rsidRDefault="00DA3205" w:rsidP="00DA3205">
      <w:pPr>
        <w:widowControl w:val="0"/>
        <w:numPr>
          <w:ilvl w:val="12"/>
          <w:numId w:val="0"/>
        </w:numPr>
        <w:tabs>
          <w:tab w:val="clear" w:pos="567"/>
        </w:tabs>
        <w:spacing w:line="240" w:lineRule="auto"/>
        <w:ind w:right="-2"/>
        <w:jc w:val="both"/>
        <w:rPr>
          <w:b/>
          <w:color w:val="000000"/>
          <w:szCs w:val="22"/>
          <w:lang w:val="et-EE"/>
        </w:rPr>
      </w:pPr>
      <w:r w:rsidRPr="00EC3BD7">
        <w:rPr>
          <w:b/>
          <w:color w:val="000000"/>
          <w:szCs w:val="22"/>
          <w:lang w:val="et-EE"/>
        </w:rPr>
        <w:t xml:space="preserve">Infoleht on viimati </w:t>
      </w:r>
      <w:r w:rsidR="00406966" w:rsidRPr="00EC3BD7">
        <w:rPr>
          <w:b/>
          <w:color w:val="000000"/>
          <w:szCs w:val="22"/>
          <w:lang w:val="et-EE"/>
        </w:rPr>
        <w:t>uuendatud</w:t>
      </w:r>
    </w:p>
    <w:p w14:paraId="451ED3B6" w14:textId="77777777" w:rsidR="00AD1ADC" w:rsidRPr="00EC3BD7" w:rsidRDefault="00AD1ADC" w:rsidP="00AD1ADC">
      <w:pPr>
        <w:widowControl w:val="0"/>
        <w:numPr>
          <w:ilvl w:val="12"/>
          <w:numId w:val="0"/>
        </w:numPr>
        <w:tabs>
          <w:tab w:val="clear" w:pos="567"/>
        </w:tabs>
        <w:spacing w:line="240" w:lineRule="auto"/>
        <w:ind w:right="-2"/>
        <w:jc w:val="both"/>
        <w:rPr>
          <w:color w:val="000000"/>
          <w:szCs w:val="22"/>
          <w:lang w:val="et-EE"/>
        </w:rPr>
      </w:pPr>
    </w:p>
    <w:p w14:paraId="4AACBC04" w14:textId="77777777" w:rsidR="00DA3205" w:rsidRPr="00EC3BD7" w:rsidRDefault="00AD1ADC" w:rsidP="00B9089D">
      <w:pPr>
        <w:keepNext/>
        <w:tabs>
          <w:tab w:val="clear" w:pos="567"/>
        </w:tabs>
        <w:spacing w:line="240" w:lineRule="auto"/>
        <w:rPr>
          <w:color w:val="000000"/>
          <w:szCs w:val="22"/>
          <w:lang w:val="et-EE"/>
        </w:rPr>
      </w:pPr>
      <w:r w:rsidRPr="00EC3BD7">
        <w:rPr>
          <w:b/>
          <w:color w:val="000000"/>
          <w:szCs w:val="22"/>
          <w:lang w:val="et-EE"/>
        </w:rPr>
        <w:t>Muud teabeallikad</w:t>
      </w:r>
    </w:p>
    <w:p w14:paraId="5FB5C98E" w14:textId="77777777" w:rsidR="00DA3205" w:rsidRPr="00EC3BD7" w:rsidRDefault="00DA3205" w:rsidP="00DA3205">
      <w:pPr>
        <w:tabs>
          <w:tab w:val="clear" w:pos="567"/>
        </w:tabs>
        <w:spacing w:line="240" w:lineRule="auto"/>
        <w:rPr>
          <w:color w:val="000000"/>
          <w:szCs w:val="22"/>
          <w:lang w:val="et-EE"/>
        </w:rPr>
      </w:pPr>
      <w:r w:rsidRPr="00EC3BD7">
        <w:rPr>
          <w:color w:val="000000"/>
          <w:szCs w:val="22"/>
          <w:lang w:val="et-EE"/>
        </w:rPr>
        <w:t xml:space="preserve">Täpne </w:t>
      </w:r>
      <w:r w:rsidR="00406966" w:rsidRPr="00EC3BD7">
        <w:rPr>
          <w:color w:val="000000"/>
          <w:szCs w:val="22"/>
          <w:lang w:val="et-EE"/>
        </w:rPr>
        <w:t>teave</w:t>
      </w:r>
      <w:r w:rsidRPr="00EC3BD7">
        <w:rPr>
          <w:color w:val="000000"/>
          <w:szCs w:val="22"/>
          <w:lang w:val="et-EE"/>
        </w:rPr>
        <w:t xml:space="preserve"> selle ravimi kohta on Euroopa Ravimiameti kodulehel</w:t>
      </w:r>
      <w:r w:rsidR="002441D5" w:rsidRPr="00EC3BD7">
        <w:rPr>
          <w:color w:val="000000"/>
          <w:szCs w:val="22"/>
          <w:lang w:val="et-EE"/>
        </w:rPr>
        <w:t>:</w:t>
      </w:r>
      <w:r w:rsidRPr="00EC3BD7">
        <w:rPr>
          <w:color w:val="000000"/>
          <w:szCs w:val="22"/>
          <w:lang w:val="et-EE"/>
        </w:rPr>
        <w:t xml:space="preserve"> http://www.ema.europa.eu</w:t>
      </w:r>
      <w:r w:rsidR="002441D5" w:rsidRPr="00EC3BD7">
        <w:rPr>
          <w:color w:val="000000"/>
          <w:szCs w:val="22"/>
          <w:lang w:val="et-EE"/>
        </w:rPr>
        <w:t>.</w:t>
      </w:r>
    </w:p>
    <w:bookmarkEnd w:id="6"/>
    <w:p w14:paraId="62A46641" w14:textId="77777777" w:rsidR="00A0577C" w:rsidRPr="00F112FD" w:rsidRDefault="00A0577C" w:rsidP="00000489">
      <w:pPr>
        <w:tabs>
          <w:tab w:val="clear" w:pos="567"/>
        </w:tabs>
        <w:spacing w:line="240" w:lineRule="auto"/>
        <w:rPr>
          <w:color w:val="000000"/>
          <w:szCs w:val="22"/>
          <w:lang w:val="et-EE"/>
        </w:rPr>
      </w:pPr>
    </w:p>
    <w:sectPr w:rsidR="00A0577C" w:rsidRPr="00F112FD" w:rsidSect="00885890">
      <w:headerReference w:type="even" r:id="rId18"/>
      <w:headerReference w:type="default" r:id="rId19"/>
      <w:footerReference w:type="even" r:id="rId20"/>
      <w:footerReference w:type="default" r:id="rId21"/>
      <w:headerReference w:type="first" r:id="rId22"/>
      <w:footerReference w:type="first" r:id="rId23"/>
      <w:endnotePr>
        <w:numFmt w:val="decimal"/>
      </w:endnotePr>
      <w:pgSz w:w="11907" w:h="16840" w:code="9"/>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CE517" w14:textId="77777777" w:rsidR="003A489E" w:rsidRDefault="003A489E">
      <w:r>
        <w:separator/>
      </w:r>
    </w:p>
  </w:endnote>
  <w:endnote w:type="continuationSeparator" w:id="0">
    <w:p w14:paraId="28FB7FA7" w14:textId="77777777" w:rsidR="003A489E" w:rsidRDefault="003A4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
    <w:panose1 w:val="020B0604020202030204"/>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5EC78" w14:textId="77777777" w:rsidR="003A489E" w:rsidRDefault="003A48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1D186" w14:textId="12E4BB45" w:rsidR="003A489E" w:rsidRPr="00885890" w:rsidRDefault="003A489E">
    <w:pPr>
      <w:pStyle w:val="Footer"/>
      <w:tabs>
        <w:tab w:val="clear" w:pos="8930"/>
        <w:tab w:val="right" w:pos="8931"/>
      </w:tabs>
      <w:ind w:right="96"/>
      <w:jc w:val="center"/>
      <w:rPr>
        <w:rFonts w:ascii="Arial" w:hAnsi="Arial" w:cs="Arial"/>
      </w:rPr>
    </w:pPr>
    <w:r>
      <w:fldChar w:fldCharType="begin"/>
    </w:r>
    <w:r>
      <w:instrText xml:space="preserve"> EQ </w:instrText>
    </w:r>
    <w:r>
      <w:fldChar w:fldCharType="end"/>
    </w:r>
    <w:r w:rsidRPr="00885890">
      <w:rPr>
        <w:rStyle w:val="PageNumber"/>
        <w:rFonts w:ascii="Arial" w:hAnsi="Arial" w:cs="Arial"/>
      </w:rPr>
      <w:fldChar w:fldCharType="begin"/>
    </w:r>
    <w:r w:rsidRPr="00885890">
      <w:rPr>
        <w:rStyle w:val="PageNumber"/>
        <w:rFonts w:ascii="Arial" w:hAnsi="Arial" w:cs="Arial"/>
      </w:rPr>
      <w:instrText xml:space="preserve">PAGE  </w:instrText>
    </w:r>
    <w:r w:rsidRPr="00885890">
      <w:rPr>
        <w:rStyle w:val="PageNumber"/>
        <w:rFonts w:ascii="Arial" w:hAnsi="Arial" w:cs="Arial"/>
      </w:rPr>
      <w:fldChar w:fldCharType="separate"/>
    </w:r>
    <w:r w:rsidR="00000489">
      <w:rPr>
        <w:rStyle w:val="PageNumber"/>
        <w:rFonts w:ascii="Arial" w:hAnsi="Arial" w:cs="Arial"/>
        <w:noProof/>
      </w:rPr>
      <w:t>47</w:t>
    </w:r>
    <w:r w:rsidRPr="00885890">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3786F" w14:textId="77777777" w:rsidR="003A489E" w:rsidRDefault="003A489E" w:rsidP="008858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FE748" w14:textId="77777777" w:rsidR="003A489E" w:rsidRDefault="003A489E">
    <w:pPr>
      <w:pStyle w:val="Footer"/>
      <w:tabs>
        <w:tab w:val="clear" w:pos="8930"/>
        <w:tab w:val="right" w:pos="8931"/>
      </w:tabs>
      <w:ind w:right="96"/>
      <w:jc w:val="center"/>
    </w:pPr>
    <w:r>
      <w:fldChar w:fldCharType="begin"/>
    </w:r>
    <w:r>
      <w:instrText xml:space="preserve"> EQ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17968" w14:textId="77777777" w:rsidR="003A489E" w:rsidRDefault="003A489E">
      <w:r>
        <w:separator/>
      </w:r>
    </w:p>
  </w:footnote>
  <w:footnote w:type="continuationSeparator" w:id="0">
    <w:p w14:paraId="5518BE67" w14:textId="77777777" w:rsidR="003A489E" w:rsidRDefault="003A4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981A7" w14:textId="77777777" w:rsidR="003A489E" w:rsidRDefault="003A48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A6C03" w14:textId="77777777" w:rsidR="003A489E" w:rsidRDefault="003A48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72D5B" w14:textId="77777777" w:rsidR="003A489E" w:rsidRDefault="003A48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1">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A30B05"/>
    <w:multiLevelType w:val="hybridMultilevel"/>
    <w:tmpl w:val="F70C3C58"/>
    <w:lvl w:ilvl="0" w:tplc="23443C8A">
      <w:start w:val="1"/>
      <w:numFmt w:val="bullet"/>
      <w:lvlText w:val=""/>
      <w:lvlJc w:val="left"/>
      <w:pPr>
        <w:tabs>
          <w:tab w:val="num" w:pos="357"/>
        </w:tabs>
        <w:ind w:left="357"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6D3BAD"/>
    <w:multiLevelType w:val="hybridMultilevel"/>
    <w:tmpl w:val="FE0C9902"/>
    <w:lvl w:ilvl="0" w:tplc="524C977E">
      <w:start w:val="1"/>
      <w:numFmt w:val="bullet"/>
      <w:lvlText w:val="-"/>
      <w:lvlJc w:val="left"/>
      <w:pPr>
        <w:tabs>
          <w:tab w:val="num" w:pos="0"/>
        </w:tabs>
        <w:ind w:left="357" w:hanging="357"/>
      </w:pPr>
      <w:rPr>
        <w:rFonts w:hint="default"/>
      </w:rPr>
    </w:lvl>
    <w:lvl w:ilvl="1" w:tplc="06AC63A4">
      <w:start w:val="2"/>
      <w:numFmt w:val="bullet"/>
      <w:lvlText w:val="-"/>
      <w:lvlJc w:val="left"/>
      <w:pPr>
        <w:tabs>
          <w:tab w:val="num" w:pos="1440"/>
        </w:tabs>
        <w:ind w:left="1440" w:hanging="360"/>
      </w:pPr>
      <w:rPr>
        <w:rFonts w:hint="default"/>
        <w:u w:val="none" w:color="000000"/>
      </w:rPr>
    </w:lvl>
    <w:lvl w:ilvl="2" w:tplc="AB267F12">
      <w:start w:val="1"/>
      <w:numFmt w:val="bullet"/>
      <w:lvlText w:val=""/>
      <w:lvlJc w:val="left"/>
      <w:pPr>
        <w:tabs>
          <w:tab w:val="num" w:pos="2160"/>
        </w:tabs>
        <w:ind w:left="21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6E3162"/>
    <w:multiLevelType w:val="hybridMultilevel"/>
    <w:tmpl w:val="17349AAE"/>
    <w:lvl w:ilvl="0" w:tplc="5CC6A978">
      <w:start w:val="2"/>
      <w:numFmt w:val="bullet"/>
      <w:lvlText w:val="-"/>
      <w:lvlJc w:val="left"/>
      <w:pPr>
        <w:tabs>
          <w:tab w:val="num" w:pos="927"/>
        </w:tabs>
        <w:ind w:left="927" w:hanging="360"/>
      </w:pPr>
      <w:rPr>
        <w:rFonts w:hint="default"/>
        <w:u w:val="none" w:color="000000"/>
      </w:rPr>
    </w:lvl>
    <w:lvl w:ilvl="1" w:tplc="FFFFFFFF">
      <w:start w:val="1"/>
      <w:numFmt w:val="bullet"/>
      <w:lvlText w:val="-"/>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AB0D51"/>
    <w:multiLevelType w:val="hybridMultilevel"/>
    <w:tmpl w:val="402E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40C06"/>
    <w:multiLevelType w:val="hybridMultilevel"/>
    <w:tmpl w:val="0254C620"/>
    <w:lvl w:ilvl="0" w:tplc="FFFFFFFF">
      <w:start w:val="1"/>
      <w:numFmt w:val="bullet"/>
      <w:lvlText w:val="-"/>
      <w:lvlJc w:val="left"/>
      <w:pPr>
        <w:tabs>
          <w:tab w:val="num" w:pos="927"/>
        </w:tabs>
        <w:ind w:left="927" w:hanging="360"/>
      </w:pPr>
      <w:rPr>
        <w:rFonts w:hint="default"/>
        <w:color w:val="auto"/>
        <w:u w:val="none" w:color="000000"/>
      </w:rPr>
    </w:lvl>
    <w:lvl w:ilvl="1" w:tplc="04250003" w:tentative="1">
      <w:start w:val="1"/>
      <w:numFmt w:val="bullet"/>
      <w:lvlText w:val="o"/>
      <w:lvlJc w:val="left"/>
      <w:pPr>
        <w:tabs>
          <w:tab w:val="num" w:pos="1440"/>
        </w:tabs>
        <w:ind w:left="1440" w:hanging="360"/>
      </w:pPr>
      <w:rPr>
        <w:rFonts w:ascii="Courier New" w:hAnsi="Courier New" w:cs="Courier New" w:hint="default"/>
      </w:rPr>
    </w:lvl>
    <w:lvl w:ilvl="2" w:tplc="04250005" w:tentative="1">
      <w:start w:val="1"/>
      <w:numFmt w:val="bullet"/>
      <w:lvlText w:val=""/>
      <w:lvlJc w:val="left"/>
      <w:pPr>
        <w:tabs>
          <w:tab w:val="num" w:pos="2160"/>
        </w:tabs>
        <w:ind w:left="2160" w:hanging="360"/>
      </w:pPr>
      <w:rPr>
        <w:rFonts w:ascii="Wingdings" w:hAnsi="Wingdings" w:hint="default"/>
      </w:rPr>
    </w:lvl>
    <w:lvl w:ilvl="3" w:tplc="04250001" w:tentative="1">
      <w:start w:val="1"/>
      <w:numFmt w:val="bullet"/>
      <w:lvlText w:val=""/>
      <w:lvlJc w:val="left"/>
      <w:pPr>
        <w:tabs>
          <w:tab w:val="num" w:pos="2880"/>
        </w:tabs>
        <w:ind w:left="2880" w:hanging="360"/>
      </w:pPr>
      <w:rPr>
        <w:rFonts w:ascii="Symbol" w:hAnsi="Symbol" w:hint="default"/>
      </w:rPr>
    </w:lvl>
    <w:lvl w:ilvl="4" w:tplc="04250003" w:tentative="1">
      <w:start w:val="1"/>
      <w:numFmt w:val="bullet"/>
      <w:lvlText w:val="o"/>
      <w:lvlJc w:val="left"/>
      <w:pPr>
        <w:tabs>
          <w:tab w:val="num" w:pos="3600"/>
        </w:tabs>
        <w:ind w:left="3600" w:hanging="360"/>
      </w:pPr>
      <w:rPr>
        <w:rFonts w:ascii="Courier New" w:hAnsi="Courier New" w:cs="Courier New" w:hint="default"/>
      </w:rPr>
    </w:lvl>
    <w:lvl w:ilvl="5" w:tplc="04250005" w:tentative="1">
      <w:start w:val="1"/>
      <w:numFmt w:val="bullet"/>
      <w:lvlText w:val=""/>
      <w:lvlJc w:val="left"/>
      <w:pPr>
        <w:tabs>
          <w:tab w:val="num" w:pos="4320"/>
        </w:tabs>
        <w:ind w:left="4320" w:hanging="360"/>
      </w:pPr>
      <w:rPr>
        <w:rFonts w:ascii="Wingdings" w:hAnsi="Wingdings" w:hint="default"/>
      </w:rPr>
    </w:lvl>
    <w:lvl w:ilvl="6" w:tplc="04250001" w:tentative="1">
      <w:start w:val="1"/>
      <w:numFmt w:val="bullet"/>
      <w:lvlText w:val=""/>
      <w:lvlJc w:val="left"/>
      <w:pPr>
        <w:tabs>
          <w:tab w:val="num" w:pos="5040"/>
        </w:tabs>
        <w:ind w:left="5040" w:hanging="360"/>
      </w:pPr>
      <w:rPr>
        <w:rFonts w:ascii="Symbol" w:hAnsi="Symbol" w:hint="default"/>
      </w:rPr>
    </w:lvl>
    <w:lvl w:ilvl="7" w:tplc="04250003" w:tentative="1">
      <w:start w:val="1"/>
      <w:numFmt w:val="bullet"/>
      <w:lvlText w:val="o"/>
      <w:lvlJc w:val="left"/>
      <w:pPr>
        <w:tabs>
          <w:tab w:val="num" w:pos="5760"/>
        </w:tabs>
        <w:ind w:left="5760" w:hanging="360"/>
      </w:pPr>
      <w:rPr>
        <w:rFonts w:ascii="Courier New" w:hAnsi="Courier New" w:cs="Courier New" w:hint="default"/>
      </w:rPr>
    </w:lvl>
    <w:lvl w:ilvl="8" w:tplc="0425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6B2391"/>
    <w:multiLevelType w:val="hybridMultilevel"/>
    <w:tmpl w:val="FBD6CFB8"/>
    <w:lvl w:ilvl="0" w:tplc="06AC63A4">
      <w:start w:val="2"/>
      <w:numFmt w:val="bullet"/>
      <w:lvlText w:val="-"/>
      <w:lvlJc w:val="left"/>
      <w:pPr>
        <w:tabs>
          <w:tab w:val="num" w:pos="1494"/>
        </w:tabs>
        <w:ind w:left="1494" w:hanging="360"/>
      </w:pPr>
      <w:rPr>
        <w:rFonts w:hint="default"/>
        <w:u w:val="none" w:color="000000"/>
      </w:rPr>
    </w:lvl>
    <w:lvl w:ilvl="1" w:tplc="04250003" w:tentative="1">
      <w:start w:val="1"/>
      <w:numFmt w:val="bullet"/>
      <w:lvlText w:val="o"/>
      <w:lvlJc w:val="left"/>
      <w:pPr>
        <w:tabs>
          <w:tab w:val="num" w:pos="1440"/>
        </w:tabs>
        <w:ind w:left="1440" w:hanging="360"/>
      </w:pPr>
      <w:rPr>
        <w:rFonts w:ascii="Courier New" w:hAnsi="Courier New" w:cs="Courier New" w:hint="default"/>
      </w:rPr>
    </w:lvl>
    <w:lvl w:ilvl="2" w:tplc="04250005" w:tentative="1">
      <w:start w:val="1"/>
      <w:numFmt w:val="bullet"/>
      <w:lvlText w:val=""/>
      <w:lvlJc w:val="left"/>
      <w:pPr>
        <w:tabs>
          <w:tab w:val="num" w:pos="2160"/>
        </w:tabs>
        <w:ind w:left="2160" w:hanging="360"/>
      </w:pPr>
      <w:rPr>
        <w:rFonts w:ascii="Wingdings" w:hAnsi="Wingdings" w:hint="default"/>
      </w:rPr>
    </w:lvl>
    <w:lvl w:ilvl="3" w:tplc="04250001" w:tentative="1">
      <w:start w:val="1"/>
      <w:numFmt w:val="bullet"/>
      <w:lvlText w:val=""/>
      <w:lvlJc w:val="left"/>
      <w:pPr>
        <w:tabs>
          <w:tab w:val="num" w:pos="2880"/>
        </w:tabs>
        <w:ind w:left="2880" w:hanging="360"/>
      </w:pPr>
      <w:rPr>
        <w:rFonts w:ascii="Symbol" w:hAnsi="Symbol" w:hint="default"/>
      </w:rPr>
    </w:lvl>
    <w:lvl w:ilvl="4" w:tplc="04250003" w:tentative="1">
      <w:start w:val="1"/>
      <w:numFmt w:val="bullet"/>
      <w:lvlText w:val="o"/>
      <w:lvlJc w:val="left"/>
      <w:pPr>
        <w:tabs>
          <w:tab w:val="num" w:pos="3600"/>
        </w:tabs>
        <w:ind w:left="3600" w:hanging="360"/>
      </w:pPr>
      <w:rPr>
        <w:rFonts w:ascii="Courier New" w:hAnsi="Courier New" w:cs="Courier New" w:hint="default"/>
      </w:rPr>
    </w:lvl>
    <w:lvl w:ilvl="5" w:tplc="04250005" w:tentative="1">
      <w:start w:val="1"/>
      <w:numFmt w:val="bullet"/>
      <w:lvlText w:val=""/>
      <w:lvlJc w:val="left"/>
      <w:pPr>
        <w:tabs>
          <w:tab w:val="num" w:pos="4320"/>
        </w:tabs>
        <w:ind w:left="4320" w:hanging="360"/>
      </w:pPr>
      <w:rPr>
        <w:rFonts w:ascii="Wingdings" w:hAnsi="Wingdings" w:hint="default"/>
      </w:rPr>
    </w:lvl>
    <w:lvl w:ilvl="6" w:tplc="04250001" w:tentative="1">
      <w:start w:val="1"/>
      <w:numFmt w:val="bullet"/>
      <w:lvlText w:val=""/>
      <w:lvlJc w:val="left"/>
      <w:pPr>
        <w:tabs>
          <w:tab w:val="num" w:pos="5040"/>
        </w:tabs>
        <w:ind w:left="5040" w:hanging="360"/>
      </w:pPr>
      <w:rPr>
        <w:rFonts w:ascii="Symbol" w:hAnsi="Symbol" w:hint="default"/>
      </w:rPr>
    </w:lvl>
    <w:lvl w:ilvl="7" w:tplc="04250003" w:tentative="1">
      <w:start w:val="1"/>
      <w:numFmt w:val="bullet"/>
      <w:lvlText w:val="o"/>
      <w:lvlJc w:val="left"/>
      <w:pPr>
        <w:tabs>
          <w:tab w:val="num" w:pos="5760"/>
        </w:tabs>
        <w:ind w:left="5760" w:hanging="360"/>
      </w:pPr>
      <w:rPr>
        <w:rFonts w:ascii="Courier New" w:hAnsi="Courier New" w:cs="Courier New" w:hint="default"/>
      </w:rPr>
    </w:lvl>
    <w:lvl w:ilvl="8" w:tplc="042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4441A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343C7D"/>
    <w:multiLevelType w:val="hybridMultilevel"/>
    <w:tmpl w:val="3C76CB34"/>
    <w:lvl w:ilvl="0" w:tplc="5CC6A978">
      <w:start w:val="2"/>
      <w:numFmt w:val="bullet"/>
      <w:lvlText w:val="-"/>
      <w:lvlJc w:val="left"/>
      <w:pPr>
        <w:tabs>
          <w:tab w:val="num" w:pos="927"/>
        </w:tabs>
        <w:ind w:left="927" w:hanging="360"/>
      </w:pPr>
      <w:rPr>
        <w:rFonts w:hint="default"/>
        <w:u w:val="none" w:color="000000"/>
      </w:rPr>
    </w:lvl>
    <w:lvl w:ilvl="1" w:tplc="06AC63A4">
      <w:start w:val="2"/>
      <w:numFmt w:val="bullet"/>
      <w:lvlText w:val="-"/>
      <w:lvlJc w:val="left"/>
      <w:pPr>
        <w:tabs>
          <w:tab w:val="num" w:pos="1440"/>
        </w:tabs>
        <w:ind w:left="1440" w:hanging="360"/>
      </w:pPr>
      <w:rPr>
        <w:rFonts w:hint="default"/>
        <w:u w:val="none" w:color="000000"/>
      </w:rPr>
    </w:lvl>
    <w:lvl w:ilvl="2" w:tplc="04250005" w:tentative="1">
      <w:start w:val="1"/>
      <w:numFmt w:val="bullet"/>
      <w:lvlText w:val=""/>
      <w:lvlJc w:val="left"/>
      <w:pPr>
        <w:tabs>
          <w:tab w:val="num" w:pos="2160"/>
        </w:tabs>
        <w:ind w:left="2160" w:hanging="360"/>
      </w:pPr>
      <w:rPr>
        <w:rFonts w:ascii="Wingdings" w:hAnsi="Wingdings" w:hint="default"/>
      </w:rPr>
    </w:lvl>
    <w:lvl w:ilvl="3" w:tplc="04250001" w:tentative="1">
      <w:start w:val="1"/>
      <w:numFmt w:val="bullet"/>
      <w:lvlText w:val=""/>
      <w:lvlJc w:val="left"/>
      <w:pPr>
        <w:tabs>
          <w:tab w:val="num" w:pos="2880"/>
        </w:tabs>
        <w:ind w:left="2880" w:hanging="360"/>
      </w:pPr>
      <w:rPr>
        <w:rFonts w:ascii="Symbol" w:hAnsi="Symbol" w:hint="default"/>
      </w:rPr>
    </w:lvl>
    <w:lvl w:ilvl="4" w:tplc="04250003" w:tentative="1">
      <w:start w:val="1"/>
      <w:numFmt w:val="bullet"/>
      <w:lvlText w:val="o"/>
      <w:lvlJc w:val="left"/>
      <w:pPr>
        <w:tabs>
          <w:tab w:val="num" w:pos="3600"/>
        </w:tabs>
        <w:ind w:left="3600" w:hanging="360"/>
      </w:pPr>
      <w:rPr>
        <w:rFonts w:ascii="Courier New" w:hAnsi="Courier New" w:cs="Courier New" w:hint="default"/>
      </w:rPr>
    </w:lvl>
    <w:lvl w:ilvl="5" w:tplc="04250005" w:tentative="1">
      <w:start w:val="1"/>
      <w:numFmt w:val="bullet"/>
      <w:lvlText w:val=""/>
      <w:lvlJc w:val="left"/>
      <w:pPr>
        <w:tabs>
          <w:tab w:val="num" w:pos="4320"/>
        </w:tabs>
        <w:ind w:left="4320" w:hanging="360"/>
      </w:pPr>
      <w:rPr>
        <w:rFonts w:ascii="Wingdings" w:hAnsi="Wingdings" w:hint="default"/>
      </w:rPr>
    </w:lvl>
    <w:lvl w:ilvl="6" w:tplc="04250001" w:tentative="1">
      <w:start w:val="1"/>
      <w:numFmt w:val="bullet"/>
      <w:lvlText w:val=""/>
      <w:lvlJc w:val="left"/>
      <w:pPr>
        <w:tabs>
          <w:tab w:val="num" w:pos="5040"/>
        </w:tabs>
        <w:ind w:left="5040" w:hanging="360"/>
      </w:pPr>
      <w:rPr>
        <w:rFonts w:ascii="Symbol" w:hAnsi="Symbol" w:hint="default"/>
      </w:rPr>
    </w:lvl>
    <w:lvl w:ilvl="7" w:tplc="04250003" w:tentative="1">
      <w:start w:val="1"/>
      <w:numFmt w:val="bullet"/>
      <w:lvlText w:val="o"/>
      <w:lvlJc w:val="left"/>
      <w:pPr>
        <w:tabs>
          <w:tab w:val="num" w:pos="5760"/>
        </w:tabs>
        <w:ind w:left="5760" w:hanging="360"/>
      </w:pPr>
      <w:rPr>
        <w:rFonts w:ascii="Courier New" w:hAnsi="Courier New" w:cs="Courier New" w:hint="default"/>
      </w:rPr>
    </w:lvl>
    <w:lvl w:ilvl="8" w:tplc="042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3B0B19"/>
    <w:multiLevelType w:val="hybridMultilevel"/>
    <w:tmpl w:val="D3062020"/>
    <w:lvl w:ilvl="0" w:tplc="BDD2CE42">
      <w:start w:val="1"/>
      <w:numFmt w:val="bullet"/>
      <w:lvlText w:val=""/>
      <w:lvlJc w:val="left"/>
      <w:pPr>
        <w:tabs>
          <w:tab w:val="num" w:pos="360"/>
        </w:tabs>
        <w:ind w:left="36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4130BA"/>
    <w:multiLevelType w:val="hybridMultilevel"/>
    <w:tmpl w:val="122EBCCE"/>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1F123A"/>
    <w:multiLevelType w:val="hybridMultilevel"/>
    <w:tmpl w:val="F134FE7A"/>
    <w:lvl w:ilvl="0" w:tplc="524C977E">
      <w:start w:val="1"/>
      <w:numFmt w:val="bullet"/>
      <w:lvlText w:val="-"/>
      <w:lvlJc w:val="left"/>
      <w:pPr>
        <w:tabs>
          <w:tab w:val="num" w:pos="0"/>
        </w:tabs>
        <w:ind w:left="357" w:hanging="357"/>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36567C"/>
    <w:multiLevelType w:val="hybridMultilevel"/>
    <w:tmpl w:val="1E5E721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358A2CD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770019D"/>
    <w:multiLevelType w:val="hybridMultilevel"/>
    <w:tmpl w:val="4ECC4284"/>
    <w:lvl w:ilvl="0" w:tplc="E3608AC0">
      <w:start w:val="2"/>
      <w:numFmt w:val="bullet"/>
      <w:lvlText w:val="-"/>
      <w:lvlJc w:val="left"/>
      <w:pPr>
        <w:tabs>
          <w:tab w:val="num" w:pos="576"/>
        </w:tabs>
        <w:ind w:left="576" w:hanging="570"/>
      </w:pPr>
      <w:rPr>
        <w:rFonts w:hint="default"/>
        <w:b w:val="0"/>
        <w:i w:val="0"/>
      </w:rPr>
    </w:lvl>
    <w:lvl w:ilvl="1" w:tplc="FFFFFFFF">
      <w:start w:val="1"/>
      <w:numFmt w:val="bullet"/>
      <w:lvlText w:val="-"/>
      <w:lvlJc w:val="left"/>
      <w:pPr>
        <w:tabs>
          <w:tab w:val="num" w:pos="1440"/>
        </w:tabs>
        <w:ind w:left="1440" w:hanging="360"/>
      </w:pPr>
      <w:rPr>
        <w:rFonts w:hint="default"/>
        <w:b w:val="0"/>
        <w:i w:val="0"/>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06447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D772F71"/>
    <w:multiLevelType w:val="hybridMultilevel"/>
    <w:tmpl w:val="883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71075"/>
    <w:multiLevelType w:val="hybridMultilevel"/>
    <w:tmpl w:val="295CFF12"/>
    <w:lvl w:ilvl="0" w:tplc="6436D93A">
      <w:start w:val="1"/>
      <w:numFmt w:val="bullet"/>
      <w:lvlText w:val=""/>
      <w:lvlJc w:val="left"/>
      <w:pPr>
        <w:tabs>
          <w:tab w:val="num" w:pos="720"/>
        </w:tabs>
        <w:ind w:left="567" w:hanging="207"/>
      </w:pPr>
      <w:rPr>
        <w:rFonts w:ascii="Symbol" w:hAnsi="Symbol" w:hint="default"/>
      </w:rPr>
    </w:lvl>
    <w:lvl w:ilvl="1" w:tplc="48AED19C" w:tentative="1">
      <w:start w:val="1"/>
      <w:numFmt w:val="bullet"/>
      <w:lvlText w:val="o"/>
      <w:lvlJc w:val="left"/>
      <w:pPr>
        <w:tabs>
          <w:tab w:val="num" w:pos="1440"/>
        </w:tabs>
        <w:ind w:left="1440" w:hanging="360"/>
      </w:pPr>
      <w:rPr>
        <w:rFonts w:ascii="Courier New" w:hAnsi="Courier New" w:cs="Courier New" w:hint="default"/>
      </w:rPr>
    </w:lvl>
    <w:lvl w:ilvl="2" w:tplc="D40A3B4C" w:tentative="1">
      <w:start w:val="1"/>
      <w:numFmt w:val="bullet"/>
      <w:lvlText w:val=""/>
      <w:lvlJc w:val="left"/>
      <w:pPr>
        <w:tabs>
          <w:tab w:val="num" w:pos="2160"/>
        </w:tabs>
        <w:ind w:left="2160" w:hanging="360"/>
      </w:pPr>
      <w:rPr>
        <w:rFonts w:ascii="Wingdings" w:hAnsi="Wingdings" w:hint="default"/>
      </w:rPr>
    </w:lvl>
    <w:lvl w:ilvl="3" w:tplc="5164B818" w:tentative="1">
      <w:start w:val="1"/>
      <w:numFmt w:val="bullet"/>
      <w:lvlText w:val=""/>
      <w:lvlJc w:val="left"/>
      <w:pPr>
        <w:tabs>
          <w:tab w:val="num" w:pos="2880"/>
        </w:tabs>
        <w:ind w:left="2880" w:hanging="360"/>
      </w:pPr>
      <w:rPr>
        <w:rFonts w:ascii="Symbol" w:hAnsi="Symbol" w:hint="default"/>
      </w:rPr>
    </w:lvl>
    <w:lvl w:ilvl="4" w:tplc="F36AF318" w:tentative="1">
      <w:start w:val="1"/>
      <w:numFmt w:val="bullet"/>
      <w:lvlText w:val="o"/>
      <w:lvlJc w:val="left"/>
      <w:pPr>
        <w:tabs>
          <w:tab w:val="num" w:pos="3600"/>
        </w:tabs>
        <w:ind w:left="3600" w:hanging="360"/>
      </w:pPr>
      <w:rPr>
        <w:rFonts w:ascii="Courier New" w:hAnsi="Courier New" w:cs="Courier New" w:hint="default"/>
      </w:rPr>
    </w:lvl>
    <w:lvl w:ilvl="5" w:tplc="76A29BD4" w:tentative="1">
      <w:start w:val="1"/>
      <w:numFmt w:val="bullet"/>
      <w:lvlText w:val=""/>
      <w:lvlJc w:val="left"/>
      <w:pPr>
        <w:tabs>
          <w:tab w:val="num" w:pos="4320"/>
        </w:tabs>
        <w:ind w:left="4320" w:hanging="360"/>
      </w:pPr>
      <w:rPr>
        <w:rFonts w:ascii="Wingdings" w:hAnsi="Wingdings" w:hint="default"/>
      </w:rPr>
    </w:lvl>
    <w:lvl w:ilvl="6" w:tplc="8CD67FA8" w:tentative="1">
      <w:start w:val="1"/>
      <w:numFmt w:val="bullet"/>
      <w:lvlText w:val=""/>
      <w:lvlJc w:val="left"/>
      <w:pPr>
        <w:tabs>
          <w:tab w:val="num" w:pos="5040"/>
        </w:tabs>
        <w:ind w:left="5040" w:hanging="360"/>
      </w:pPr>
      <w:rPr>
        <w:rFonts w:ascii="Symbol" w:hAnsi="Symbol" w:hint="default"/>
      </w:rPr>
    </w:lvl>
    <w:lvl w:ilvl="7" w:tplc="CCE4F984" w:tentative="1">
      <w:start w:val="1"/>
      <w:numFmt w:val="bullet"/>
      <w:lvlText w:val="o"/>
      <w:lvlJc w:val="left"/>
      <w:pPr>
        <w:tabs>
          <w:tab w:val="num" w:pos="5760"/>
        </w:tabs>
        <w:ind w:left="5760" w:hanging="360"/>
      </w:pPr>
      <w:rPr>
        <w:rFonts w:ascii="Courier New" w:hAnsi="Courier New" w:cs="Courier New" w:hint="default"/>
      </w:rPr>
    </w:lvl>
    <w:lvl w:ilvl="8" w:tplc="ED7430C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48746F"/>
    <w:multiLevelType w:val="hybridMultilevel"/>
    <w:tmpl w:val="1B5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BE3006"/>
    <w:multiLevelType w:val="hybridMultilevel"/>
    <w:tmpl w:val="9CD662A2"/>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26644C"/>
    <w:multiLevelType w:val="hybridMultilevel"/>
    <w:tmpl w:val="FF8E949E"/>
    <w:lvl w:ilvl="0" w:tplc="B4D4A7CA">
      <w:start w:val="1"/>
      <w:numFmt w:val="bullet"/>
      <w:lvlText w:val=""/>
      <w:lvlJc w:val="left"/>
      <w:pPr>
        <w:tabs>
          <w:tab w:val="num" w:pos="357"/>
        </w:tabs>
        <w:ind w:left="357" w:hanging="35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106C15"/>
    <w:multiLevelType w:val="hybridMultilevel"/>
    <w:tmpl w:val="5052F1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8F12439"/>
    <w:multiLevelType w:val="hybridMultilevel"/>
    <w:tmpl w:val="8E6AF424"/>
    <w:lvl w:ilvl="0" w:tplc="5CC6A978">
      <w:start w:val="2"/>
      <w:numFmt w:val="bullet"/>
      <w:lvlText w:val="-"/>
      <w:lvlJc w:val="left"/>
      <w:pPr>
        <w:tabs>
          <w:tab w:val="num" w:pos="927"/>
        </w:tabs>
        <w:ind w:left="927" w:hanging="360"/>
      </w:pPr>
      <w:rPr>
        <w:rFonts w:hint="default"/>
        <w:u w:val="none" w:color="000000"/>
      </w:rPr>
    </w:lvl>
    <w:lvl w:ilvl="1" w:tplc="04250003" w:tentative="1">
      <w:start w:val="1"/>
      <w:numFmt w:val="bullet"/>
      <w:lvlText w:val="o"/>
      <w:lvlJc w:val="left"/>
      <w:pPr>
        <w:tabs>
          <w:tab w:val="num" w:pos="1440"/>
        </w:tabs>
        <w:ind w:left="1440" w:hanging="360"/>
      </w:pPr>
      <w:rPr>
        <w:rFonts w:ascii="Courier New" w:hAnsi="Courier New" w:cs="Courier New" w:hint="default"/>
      </w:rPr>
    </w:lvl>
    <w:lvl w:ilvl="2" w:tplc="04250005" w:tentative="1">
      <w:start w:val="1"/>
      <w:numFmt w:val="bullet"/>
      <w:lvlText w:val=""/>
      <w:lvlJc w:val="left"/>
      <w:pPr>
        <w:tabs>
          <w:tab w:val="num" w:pos="2160"/>
        </w:tabs>
        <w:ind w:left="2160" w:hanging="360"/>
      </w:pPr>
      <w:rPr>
        <w:rFonts w:ascii="Wingdings" w:hAnsi="Wingdings" w:hint="default"/>
      </w:rPr>
    </w:lvl>
    <w:lvl w:ilvl="3" w:tplc="04250001" w:tentative="1">
      <w:start w:val="1"/>
      <w:numFmt w:val="bullet"/>
      <w:lvlText w:val=""/>
      <w:lvlJc w:val="left"/>
      <w:pPr>
        <w:tabs>
          <w:tab w:val="num" w:pos="2880"/>
        </w:tabs>
        <w:ind w:left="2880" w:hanging="360"/>
      </w:pPr>
      <w:rPr>
        <w:rFonts w:ascii="Symbol" w:hAnsi="Symbol" w:hint="default"/>
      </w:rPr>
    </w:lvl>
    <w:lvl w:ilvl="4" w:tplc="04250003" w:tentative="1">
      <w:start w:val="1"/>
      <w:numFmt w:val="bullet"/>
      <w:lvlText w:val="o"/>
      <w:lvlJc w:val="left"/>
      <w:pPr>
        <w:tabs>
          <w:tab w:val="num" w:pos="3600"/>
        </w:tabs>
        <w:ind w:left="3600" w:hanging="360"/>
      </w:pPr>
      <w:rPr>
        <w:rFonts w:ascii="Courier New" w:hAnsi="Courier New" w:cs="Courier New" w:hint="default"/>
      </w:rPr>
    </w:lvl>
    <w:lvl w:ilvl="5" w:tplc="04250005" w:tentative="1">
      <w:start w:val="1"/>
      <w:numFmt w:val="bullet"/>
      <w:lvlText w:val=""/>
      <w:lvlJc w:val="left"/>
      <w:pPr>
        <w:tabs>
          <w:tab w:val="num" w:pos="4320"/>
        </w:tabs>
        <w:ind w:left="4320" w:hanging="360"/>
      </w:pPr>
      <w:rPr>
        <w:rFonts w:ascii="Wingdings" w:hAnsi="Wingdings" w:hint="default"/>
      </w:rPr>
    </w:lvl>
    <w:lvl w:ilvl="6" w:tplc="04250001" w:tentative="1">
      <w:start w:val="1"/>
      <w:numFmt w:val="bullet"/>
      <w:lvlText w:val=""/>
      <w:lvlJc w:val="left"/>
      <w:pPr>
        <w:tabs>
          <w:tab w:val="num" w:pos="5040"/>
        </w:tabs>
        <w:ind w:left="5040" w:hanging="360"/>
      </w:pPr>
      <w:rPr>
        <w:rFonts w:ascii="Symbol" w:hAnsi="Symbol" w:hint="default"/>
      </w:rPr>
    </w:lvl>
    <w:lvl w:ilvl="7" w:tplc="04250003" w:tentative="1">
      <w:start w:val="1"/>
      <w:numFmt w:val="bullet"/>
      <w:lvlText w:val="o"/>
      <w:lvlJc w:val="left"/>
      <w:pPr>
        <w:tabs>
          <w:tab w:val="num" w:pos="5760"/>
        </w:tabs>
        <w:ind w:left="5760" w:hanging="360"/>
      </w:pPr>
      <w:rPr>
        <w:rFonts w:ascii="Courier New" w:hAnsi="Courier New" w:cs="Courier New" w:hint="default"/>
      </w:rPr>
    </w:lvl>
    <w:lvl w:ilvl="8" w:tplc="0425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906B5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F9337D0"/>
    <w:multiLevelType w:val="hybridMultilevel"/>
    <w:tmpl w:val="883027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9B526E"/>
    <w:multiLevelType w:val="hybridMultilevel"/>
    <w:tmpl w:val="1B70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A383B"/>
    <w:multiLevelType w:val="hybridMultilevel"/>
    <w:tmpl w:val="328ECE7E"/>
    <w:lvl w:ilvl="0" w:tplc="FFFFFFFF">
      <w:start w:val="1"/>
      <w:numFmt w:val="bullet"/>
      <w:lvlText w:val="-"/>
      <w:lvlJc w:val="left"/>
      <w:pPr>
        <w:tabs>
          <w:tab w:val="num" w:pos="360"/>
        </w:tabs>
        <w:ind w:left="360" w:hanging="360"/>
      </w:pPr>
      <w:rPr>
        <w:rFonts w:hint="default"/>
        <w:color w:val="auto"/>
      </w:rPr>
    </w:lvl>
    <w:lvl w:ilvl="1" w:tplc="04250003">
      <w:start w:val="1"/>
      <w:numFmt w:val="bullet"/>
      <w:lvlText w:val="o"/>
      <w:lvlJc w:val="left"/>
      <w:pPr>
        <w:tabs>
          <w:tab w:val="num" w:pos="1440"/>
        </w:tabs>
        <w:ind w:left="1440" w:hanging="360"/>
      </w:pPr>
      <w:rPr>
        <w:rFonts w:ascii="Courier New" w:hAnsi="Courier New" w:cs="Courier New" w:hint="default"/>
      </w:rPr>
    </w:lvl>
    <w:lvl w:ilvl="2" w:tplc="04250005" w:tentative="1">
      <w:start w:val="1"/>
      <w:numFmt w:val="bullet"/>
      <w:lvlText w:val=""/>
      <w:lvlJc w:val="left"/>
      <w:pPr>
        <w:tabs>
          <w:tab w:val="num" w:pos="2160"/>
        </w:tabs>
        <w:ind w:left="2160" w:hanging="360"/>
      </w:pPr>
      <w:rPr>
        <w:rFonts w:ascii="Wingdings" w:hAnsi="Wingdings" w:hint="default"/>
      </w:rPr>
    </w:lvl>
    <w:lvl w:ilvl="3" w:tplc="04250001" w:tentative="1">
      <w:start w:val="1"/>
      <w:numFmt w:val="bullet"/>
      <w:lvlText w:val=""/>
      <w:lvlJc w:val="left"/>
      <w:pPr>
        <w:tabs>
          <w:tab w:val="num" w:pos="2880"/>
        </w:tabs>
        <w:ind w:left="2880" w:hanging="360"/>
      </w:pPr>
      <w:rPr>
        <w:rFonts w:ascii="Symbol" w:hAnsi="Symbol" w:hint="default"/>
      </w:rPr>
    </w:lvl>
    <w:lvl w:ilvl="4" w:tplc="04250003" w:tentative="1">
      <w:start w:val="1"/>
      <w:numFmt w:val="bullet"/>
      <w:lvlText w:val="o"/>
      <w:lvlJc w:val="left"/>
      <w:pPr>
        <w:tabs>
          <w:tab w:val="num" w:pos="3600"/>
        </w:tabs>
        <w:ind w:left="3600" w:hanging="360"/>
      </w:pPr>
      <w:rPr>
        <w:rFonts w:ascii="Courier New" w:hAnsi="Courier New" w:cs="Courier New" w:hint="default"/>
      </w:rPr>
    </w:lvl>
    <w:lvl w:ilvl="5" w:tplc="04250005" w:tentative="1">
      <w:start w:val="1"/>
      <w:numFmt w:val="bullet"/>
      <w:lvlText w:val=""/>
      <w:lvlJc w:val="left"/>
      <w:pPr>
        <w:tabs>
          <w:tab w:val="num" w:pos="4320"/>
        </w:tabs>
        <w:ind w:left="4320" w:hanging="360"/>
      </w:pPr>
      <w:rPr>
        <w:rFonts w:ascii="Wingdings" w:hAnsi="Wingdings" w:hint="default"/>
      </w:rPr>
    </w:lvl>
    <w:lvl w:ilvl="6" w:tplc="04250001" w:tentative="1">
      <w:start w:val="1"/>
      <w:numFmt w:val="bullet"/>
      <w:lvlText w:val=""/>
      <w:lvlJc w:val="left"/>
      <w:pPr>
        <w:tabs>
          <w:tab w:val="num" w:pos="5040"/>
        </w:tabs>
        <w:ind w:left="5040" w:hanging="360"/>
      </w:pPr>
      <w:rPr>
        <w:rFonts w:ascii="Symbol" w:hAnsi="Symbol" w:hint="default"/>
      </w:rPr>
    </w:lvl>
    <w:lvl w:ilvl="7" w:tplc="04250003" w:tentative="1">
      <w:start w:val="1"/>
      <w:numFmt w:val="bullet"/>
      <w:lvlText w:val="o"/>
      <w:lvlJc w:val="left"/>
      <w:pPr>
        <w:tabs>
          <w:tab w:val="num" w:pos="5760"/>
        </w:tabs>
        <w:ind w:left="5760" w:hanging="360"/>
      </w:pPr>
      <w:rPr>
        <w:rFonts w:ascii="Courier New" w:hAnsi="Courier New" w:cs="Courier New" w:hint="default"/>
      </w:rPr>
    </w:lvl>
    <w:lvl w:ilvl="8" w:tplc="0425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117A0C"/>
    <w:multiLevelType w:val="hybridMultilevel"/>
    <w:tmpl w:val="ECEEF9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BE66DC5"/>
    <w:multiLevelType w:val="hybridMultilevel"/>
    <w:tmpl w:val="D5EC7E28"/>
    <w:lvl w:ilvl="0" w:tplc="B10C9E72">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14"/>
  </w:num>
  <w:num w:numId="3">
    <w:abstractNumId w:val="8"/>
  </w:num>
  <w:num w:numId="4">
    <w:abstractNumId w:val="24"/>
  </w:num>
  <w:num w:numId="5">
    <w:abstractNumId w:val="16"/>
  </w:num>
  <w:num w:numId="6">
    <w:abstractNumId w:val="18"/>
  </w:num>
  <w:num w:numId="7">
    <w:abstractNumId w:val="0"/>
    <w:lvlOverride w:ilvl="0">
      <w:lvl w:ilvl="0">
        <w:start w:val="1"/>
        <w:numFmt w:val="bullet"/>
        <w:lvlText w:val=""/>
        <w:lvlJc w:val="left"/>
        <w:pPr>
          <w:ind w:left="360" w:hanging="360"/>
        </w:pPr>
        <w:rPr>
          <w:rFonts w:ascii="Symbol" w:hAnsi="Symbol" w:cs="Symbol" w:hint="default"/>
        </w:rPr>
      </w:lvl>
    </w:lvlOverride>
  </w:num>
  <w:num w:numId="8">
    <w:abstractNumId w:val="15"/>
  </w:num>
  <w:num w:numId="9">
    <w:abstractNumId w:val="12"/>
  </w:num>
  <w:num w:numId="10">
    <w:abstractNumId w:val="13"/>
  </w:num>
  <w:num w:numId="11">
    <w:abstractNumId w:val="22"/>
  </w:num>
  <w:num w:numId="12">
    <w:abstractNumId w:val="28"/>
  </w:num>
  <w:num w:numId="13">
    <w:abstractNumId w:val="3"/>
  </w:num>
  <w:num w:numId="14">
    <w:abstractNumId w:val="29"/>
  </w:num>
  <w:num w:numId="15">
    <w:abstractNumId w:val="1"/>
  </w:num>
  <w:num w:numId="16">
    <w:abstractNumId w:val="9"/>
  </w:num>
  <w:num w:numId="17">
    <w:abstractNumId w:val="6"/>
  </w:num>
  <w:num w:numId="18">
    <w:abstractNumId w:val="27"/>
  </w:num>
  <w:num w:numId="19">
    <w:abstractNumId w:val="23"/>
  </w:num>
  <w:num w:numId="20">
    <w:abstractNumId w:val="11"/>
  </w:num>
  <w:num w:numId="21">
    <w:abstractNumId w:val="20"/>
  </w:num>
  <w:num w:numId="22">
    <w:abstractNumId w:val="21"/>
  </w:num>
  <w:num w:numId="23">
    <w:abstractNumId w:val="2"/>
  </w:num>
  <w:num w:numId="24">
    <w:abstractNumId w:val="7"/>
  </w:num>
  <w:num w:numId="25">
    <w:abstractNumId w:val="10"/>
  </w:num>
  <w:num w:numId="26">
    <w:abstractNumId w:val="25"/>
  </w:num>
  <w:num w:numId="27">
    <w:abstractNumId w:val="26"/>
  </w:num>
  <w:num w:numId="28">
    <w:abstractNumId w:val="5"/>
  </w:num>
  <w:num w:numId="29">
    <w:abstractNumId w:val="17"/>
  </w:num>
  <w:num w:numId="30">
    <w:abstractNumId w:val="19"/>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fr-FR" w:vendorID="9" w:dllVersion="512" w:checkStyle="1"/>
  <w:activeWritingStyle w:appName="MSWord" w:lang="fi-FI" w:vendorID="666" w:dllVersion="513" w:checkStyle="1"/>
  <w:activeWritingStyle w:appName="MSWord" w:lang="fi-FI" w:vendorID="22" w:dllVersion="513" w:checkStyle="1"/>
  <w:activeWritingStyle w:appName="MSWord" w:lang="it-IT" w:vendorID="3" w:dllVersion="517"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isplayHorizontalDrawingGridEvery w:val="0"/>
  <w:displayVerticalDrawingGridEvery w:val="0"/>
  <w:doNotUseMarginsForDrawingGridOrigin/>
  <w:noPunctuationKerning/>
  <w:characterSpacingControl w:val="doNotCompress"/>
  <w:hdrShapeDefaults>
    <o:shapedefaults v:ext="edit" spidmax="29697"/>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306276"/>
    <w:rsid w:val="00000489"/>
    <w:rsid w:val="000014E0"/>
    <w:rsid w:val="00001D0C"/>
    <w:rsid w:val="0000294F"/>
    <w:rsid w:val="00003EF4"/>
    <w:rsid w:val="000060FD"/>
    <w:rsid w:val="000067C1"/>
    <w:rsid w:val="00010A6E"/>
    <w:rsid w:val="00010EB0"/>
    <w:rsid w:val="00011C29"/>
    <w:rsid w:val="00014CF7"/>
    <w:rsid w:val="00014DDC"/>
    <w:rsid w:val="00016755"/>
    <w:rsid w:val="00016FDE"/>
    <w:rsid w:val="000178BB"/>
    <w:rsid w:val="00020593"/>
    <w:rsid w:val="00021198"/>
    <w:rsid w:val="00021436"/>
    <w:rsid w:val="0002275D"/>
    <w:rsid w:val="00022DC9"/>
    <w:rsid w:val="00023B1E"/>
    <w:rsid w:val="00024179"/>
    <w:rsid w:val="00024F85"/>
    <w:rsid w:val="00030363"/>
    <w:rsid w:val="000313C3"/>
    <w:rsid w:val="000314E5"/>
    <w:rsid w:val="000343FF"/>
    <w:rsid w:val="000345E8"/>
    <w:rsid w:val="000358FD"/>
    <w:rsid w:val="00040960"/>
    <w:rsid w:val="00041441"/>
    <w:rsid w:val="000415F9"/>
    <w:rsid w:val="00045F94"/>
    <w:rsid w:val="00047A8D"/>
    <w:rsid w:val="00050C58"/>
    <w:rsid w:val="000518FA"/>
    <w:rsid w:val="00052E1E"/>
    <w:rsid w:val="00052E91"/>
    <w:rsid w:val="00054368"/>
    <w:rsid w:val="00054EE7"/>
    <w:rsid w:val="00056DDB"/>
    <w:rsid w:val="0005749B"/>
    <w:rsid w:val="00057787"/>
    <w:rsid w:val="00057EFE"/>
    <w:rsid w:val="00060D4A"/>
    <w:rsid w:val="000617E6"/>
    <w:rsid w:val="00062C43"/>
    <w:rsid w:val="00065019"/>
    <w:rsid w:val="00066E63"/>
    <w:rsid w:val="00067E31"/>
    <w:rsid w:val="00070D54"/>
    <w:rsid w:val="0007109E"/>
    <w:rsid w:val="00072FC7"/>
    <w:rsid w:val="000734CC"/>
    <w:rsid w:val="00073595"/>
    <w:rsid w:val="0007494A"/>
    <w:rsid w:val="00082340"/>
    <w:rsid w:val="00090948"/>
    <w:rsid w:val="00092307"/>
    <w:rsid w:val="000924F3"/>
    <w:rsid w:val="000932B0"/>
    <w:rsid w:val="00093AE6"/>
    <w:rsid w:val="00094099"/>
    <w:rsid w:val="00094287"/>
    <w:rsid w:val="00094811"/>
    <w:rsid w:val="000951C5"/>
    <w:rsid w:val="00096E7F"/>
    <w:rsid w:val="000974A3"/>
    <w:rsid w:val="000A0590"/>
    <w:rsid w:val="000A2EA6"/>
    <w:rsid w:val="000A347F"/>
    <w:rsid w:val="000A34B7"/>
    <w:rsid w:val="000A3DDB"/>
    <w:rsid w:val="000A438B"/>
    <w:rsid w:val="000A6B36"/>
    <w:rsid w:val="000B0306"/>
    <w:rsid w:val="000B2E8D"/>
    <w:rsid w:val="000B384B"/>
    <w:rsid w:val="000B3B91"/>
    <w:rsid w:val="000B3F31"/>
    <w:rsid w:val="000B4868"/>
    <w:rsid w:val="000B4E29"/>
    <w:rsid w:val="000B623C"/>
    <w:rsid w:val="000B760F"/>
    <w:rsid w:val="000C1850"/>
    <w:rsid w:val="000C251A"/>
    <w:rsid w:val="000C3818"/>
    <w:rsid w:val="000C460A"/>
    <w:rsid w:val="000C5E43"/>
    <w:rsid w:val="000C5F0A"/>
    <w:rsid w:val="000C5F3F"/>
    <w:rsid w:val="000C6F0D"/>
    <w:rsid w:val="000D0948"/>
    <w:rsid w:val="000D11C1"/>
    <w:rsid w:val="000D21BA"/>
    <w:rsid w:val="000D3411"/>
    <w:rsid w:val="000D3548"/>
    <w:rsid w:val="000D36BF"/>
    <w:rsid w:val="000D5EEC"/>
    <w:rsid w:val="000D66A3"/>
    <w:rsid w:val="000D7850"/>
    <w:rsid w:val="000E0B96"/>
    <w:rsid w:val="000E1388"/>
    <w:rsid w:val="000E20C8"/>
    <w:rsid w:val="000E375F"/>
    <w:rsid w:val="000E390B"/>
    <w:rsid w:val="000E39BC"/>
    <w:rsid w:val="000E405E"/>
    <w:rsid w:val="000E481D"/>
    <w:rsid w:val="000E51CD"/>
    <w:rsid w:val="000E5A66"/>
    <w:rsid w:val="000E5CC8"/>
    <w:rsid w:val="000E72B0"/>
    <w:rsid w:val="000F0277"/>
    <w:rsid w:val="000F08C5"/>
    <w:rsid w:val="000F0D7D"/>
    <w:rsid w:val="000F106E"/>
    <w:rsid w:val="000F338A"/>
    <w:rsid w:val="000F3503"/>
    <w:rsid w:val="000F60B7"/>
    <w:rsid w:val="000F7BFE"/>
    <w:rsid w:val="00100911"/>
    <w:rsid w:val="00100CBB"/>
    <w:rsid w:val="001015B8"/>
    <w:rsid w:val="00101AA3"/>
    <w:rsid w:val="00102180"/>
    <w:rsid w:val="001043F5"/>
    <w:rsid w:val="00106044"/>
    <w:rsid w:val="00106EBC"/>
    <w:rsid w:val="001078ED"/>
    <w:rsid w:val="00111C25"/>
    <w:rsid w:val="00112DC9"/>
    <w:rsid w:val="001140A7"/>
    <w:rsid w:val="001148FD"/>
    <w:rsid w:val="00116294"/>
    <w:rsid w:val="00117362"/>
    <w:rsid w:val="00121D51"/>
    <w:rsid w:val="001222B9"/>
    <w:rsid w:val="001227EE"/>
    <w:rsid w:val="001242F8"/>
    <w:rsid w:val="00126274"/>
    <w:rsid w:val="001308FB"/>
    <w:rsid w:val="00131AFE"/>
    <w:rsid w:val="001321FB"/>
    <w:rsid w:val="001355D7"/>
    <w:rsid w:val="00136210"/>
    <w:rsid w:val="0013774B"/>
    <w:rsid w:val="00140701"/>
    <w:rsid w:val="001412E8"/>
    <w:rsid w:val="00141328"/>
    <w:rsid w:val="001437DC"/>
    <w:rsid w:val="001442FF"/>
    <w:rsid w:val="00145378"/>
    <w:rsid w:val="00145F94"/>
    <w:rsid w:val="00150C28"/>
    <w:rsid w:val="00151038"/>
    <w:rsid w:val="00152FBC"/>
    <w:rsid w:val="00153228"/>
    <w:rsid w:val="001533DB"/>
    <w:rsid w:val="001547A1"/>
    <w:rsid w:val="0015668E"/>
    <w:rsid w:val="00161DE4"/>
    <w:rsid w:val="00163570"/>
    <w:rsid w:val="00164291"/>
    <w:rsid w:val="001645F8"/>
    <w:rsid w:val="00166D65"/>
    <w:rsid w:val="00170BB6"/>
    <w:rsid w:val="00172C8A"/>
    <w:rsid w:val="00172E3F"/>
    <w:rsid w:val="00173409"/>
    <w:rsid w:val="00175043"/>
    <w:rsid w:val="00175314"/>
    <w:rsid w:val="00175621"/>
    <w:rsid w:val="00176773"/>
    <w:rsid w:val="001777EF"/>
    <w:rsid w:val="00180C26"/>
    <w:rsid w:val="0018121F"/>
    <w:rsid w:val="0018144B"/>
    <w:rsid w:val="001825ED"/>
    <w:rsid w:val="0018278E"/>
    <w:rsid w:val="001843F7"/>
    <w:rsid w:val="00184B56"/>
    <w:rsid w:val="001853D1"/>
    <w:rsid w:val="00193B44"/>
    <w:rsid w:val="00197947"/>
    <w:rsid w:val="00197E1F"/>
    <w:rsid w:val="00197E7F"/>
    <w:rsid w:val="001A1B2E"/>
    <w:rsid w:val="001A358F"/>
    <w:rsid w:val="001A3650"/>
    <w:rsid w:val="001A3AF6"/>
    <w:rsid w:val="001A549E"/>
    <w:rsid w:val="001A7723"/>
    <w:rsid w:val="001A7999"/>
    <w:rsid w:val="001B0253"/>
    <w:rsid w:val="001B0D6A"/>
    <w:rsid w:val="001B21C2"/>
    <w:rsid w:val="001B2CF2"/>
    <w:rsid w:val="001B5ACD"/>
    <w:rsid w:val="001B69A6"/>
    <w:rsid w:val="001C08D6"/>
    <w:rsid w:val="001C21B5"/>
    <w:rsid w:val="001C27BD"/>
    <w:rsid w:val="001C33D0"/>
    <w:rsid w:val="001C7A9D"/>
    <w:rsid w:val="001C7C68"/>
    <w:rsid w:val="001D080B"/>
    <w:rsid w:val="001D23D2"/>
    <w:rsid w:val="001D3C52"/>
    <w:rsid w:val="001D4F90"/>
    <w:rsid w:val="001D5636"/>
    <w:rsid w:val="001D7897"/>
    <w:rsid w:val="001D7FEE"/>
    <w:rsid w:val="001E0581"/>
    <w:rsid w:val="001E2897"/>
    <w:rsid w:val="001E4565"/>
    <w:rsid w:val="001E508A"/>
    <w:rsid w:val="001E72D2"/>
    <w:rsid w:val="001E76AC"/>
    <w:rsid w:val="001E7CEF"/>
    <w:rsid w:val="001F0428"/>
    <w:rsid w:val="001F0C1F"/>
    <w:rsid w:val="001F152F"/>
    <w:rsid w:val="001F15D0"/>
    <w:rsid w:val="001F1664"/>
    <w:rsid w:val="001F2B25"/>
    <w:rsid w:val="001F59B6"/>
    <w:rsid w:val="001F65DB"/>
    <w:rsid w:val="001F69F8"/>
    <w:rsid w:val="002001B4"/>
    <w:rsid w:val="00200255"/>
    <w:rsid w:val="0020227F"/>
    <w:rsid w:val="00202DB7"/>
    <w:rsid w:val="00205B77"/>
    <w:rsid w:val="00206F29"/>
    <w:rsid w:val="00211A19"/>
    <w:rsid w:val="00211BEF"/>
    <w:rsid w:val="00213C03"/>
    <w:rsid w:val="00215D7D"/>
    <w:rsid w:val="00215F4A"/>
    <w:rsid w:val="0021677D"/>
    <w:rsid w:val="00216D63"/>
    <w:rsid w:val="00217EB3"/>
    <w:rsid w:val="00225E00"/>
    <w:rsid w:val="00226110"/>
    <w:rsid w:val="00227363"/>
    <w:rsid w:val="002304FC"/>
    <w:rsid w:val="00230C8D"/>
    <w:rsid w:val="00232FA1"/>
    <w:rsid w:val="0023323F"/>
    <w:rsid w:val="00233D65"/>
    <w:rsid w:val="0023574C"/>
    <w:rsid w:val="00235763"/>
    <w:rsid w:val="00235A9D"/>
    <w:rsid w:val="0023759F"/>
    <w:rsid w:val="0024007B"/>
    <w:rsid w:val="002401CE"/>
    <w:rsid w:val="00240C2F"/>
    <w:rsid w:val="002419C1"/>
    <w:rsid w:val="00242C61"/>
    <w:rsid w:val="00244124"/>
    <w:rsid w:val="002441D5"/>
    <w:rsid w:val="00244FDC"/>
    <w:rsid w:val="002451E5"/>
    <w:rsid w:val="00245B2F"/>
    <w:rsid w:val="002461B2"/>
    <w:rsid w:val="00246D12"/>
    <w:rsid w:val="00247DF6"/>
    <w:rsid w:val="0025023C"/>
    <w:rsid w:val="002504F9"/>
    <w:rsid w:val="00251E07"/>
    <w:rsid w:val="00251E99"/>
    <w:rsid w:val="00252FB7"/>
    <w:rsid w:val="00253600"/>
    <w:rsid w:val="0025393C"/>
    <w:rsid w:val="002553C9"/>
    <w:rsid w:val="00255F36"/>
    <w:rsid w:val="002564F5"/>
    <w:rsid w:val="00256CFD"/>
    <w:rsid w:val="002575C9"/>
    <w:rsid w:val="002628AE"/>
    <w:rsid w:val="00263849"/>
    <w:rsid w:val="00263B0A"/>
    <w:rsid w:val="0026662E"/>
    <w:rsid w:val="0026753D"/>
    <w:rsid w:val="002703D3"/>
    <w:rsid w:val="0027052C"/>
    <w:rsid w:val="002706F4"/>
    <w:rsid w:val="002733E2"/>
    <w:rsid w:val="00273E2C"/>
    <w:rsid w:val="00274D17"/>
    <w:rsid w:val="00275BB0"/>
    <w:rsid w:val="00277732"/>
    <w:rsid w:val="00282D05"/>
    <w:rsid w:val="00283A60"/>
    <w:rsid w:val="00283DD6"/>
    <w:rsid w:val="00290456"/>
    <w:rsid w:val="00291739"/>
    <w:rsid w:val="00292729"/>
    <w:rsid w:val="0029303A"/>
    <w:rsid w:val="0029542A"/>
    <w:rsid w:val="00296100"/>
    <w:rsid w:val="00296A25"/>
    <w:rsid w:val="00296FFF"/>
    <w:rsid w:val="002A09FE"/>
    <w:rsid w:val="002A219C"/>
    <w:rsid w:val="002A4AD5"/>
    <w:rsid w:val="002A7491"/>
    <w:rsid w:val="002A76F6"/>
    <w:rsid w:val="002B1834"/>
    <w:rsid w:val="002B1A90"/>
    <w:rsid w:val="002B2167"/>
    <w:rsid w:val="002B3059"/>
    <w:rsid w:val="002B37C6"/>
    <w:rsid w:val="002B4ED2"/>
    <w:rsid w:val="002B65C6"/>
    <w:rsid w:val="002B6745"/>
    <w:rsid w:val="002B7C9B"/>
    <w:rsid w:val="002C0013"/>
    <w:rsid w:val="002C30EA"/>
    <w:rsid w:val="002C47EB"/>
    <w:rsid w:val="002C56DE"/>
    <w:rsid w:val="002C7EBB"/>
    <w:rsid w:val="002D0826"/>
    <w:rsid w:val="002D0AFE"/>
    <w:rsid w:val="002D2C50"/>
    <w:rsid w:val="002D35D0"/>
    <w:rsid w:val="002D3E6C"/>
    <w:rsid w:val="002D5D7C"/>
    <w:rsid w:val="002D63B5"/>
    <w:rsid w:val="002D6C47"/>
    <w:rsid w:val="002D7FE2"/>
    <w:rsid w:val="002E0C83"/>
    <w:rsid w:val="002E2463"/>
    <w:rsid w:val="002E3DB2"/>
    <w:rsid w:val="002E42FE"/>
    <w:rsid w:val="002E459C"/>
    <w:rsid w:val="002E52B6"/>
    <w:rsid w:val="002E5BC2"/>
    <w:rsid w:val="002E5EA0"/>
    <w:rsid w:val="002E6425"/>
    <w:rsid w:val="002E7FD3"/>
    <w:rsid w:val="002F017A"/>
    <w:rsid w:val="002F057E"/>
    <w:rsid w:val="002F1058"/>
    <w:rsid w:val="002F1371"/>
    <w:rsid w:val="002F2287"/>
    <w:rsid w:val="002F25A4"/>
    <w:rsid w:val="002F4860"/>
    <w:rsid w:val="0030031A"/>
    <w:rsid w:val="00301090"/>
    <w:rsid w:val="0030418C"/>
    <w:rsid w:val="0030456C"/>
    <w:rsid w:val="00304F9F"/>
    <w:rsid w:val="00306276"/>
    <w:rsid w:val="00306689"/>
    <w:rsid w:val="003066D1"/>
    <w:rsid w:val="00307C06"/>
    <w:rsid w:val="003105CF"/>
    <w:rsid w:val="00310C88"/>
    <w:rsid w:val="00311E66"/>
    <w:rsid w:val="00312D57"/>
    <w:rsid w:val="00313C04"/>
    <w:rsid w:val="00314DBA"/>
    <w:rsid w:val="00315743"/>
    <w:rsid w:val="00315E73"/>
    <w:rsid w:val="0031759F"/>
    <w:rsid w:val="003179FE"/>
    <w:rsid w:val="00320FA3"/>
    <w:rsid w:val="00323A5D"/>
    <w:rsid w:val="00326624"/>
    <w:rsid w:val="00330A0C"/>
    <w:rsid w:val="00332615"/>
    <w:rsid w:val="00333232"/>
    <w:rsid w:val="00333357"/>
    <w:rsid w:val="00334EC8"/>
    <w:rsid w:val="00336E2B"/>
    <w:rsid w:val="00337CE0"/>
    <w:rsid w:val="00337EBF"/>
    <w:rsid w:val="00342208"/>
    <w:rsid w:val="00344C80"/>
    <w:rsid w:val="00347035"/>
    <w:rsid w:val="00350627"/>
    <w:rsid w:val="00351584"/>
    <w:rsid w:val="00352201"/>
    <w:rsid w:val="003543C6"/>
    <w:rsid w:val="00360383"/>
    <w:rsid w:val="003634E6"/>
    <w:rsid w:val="0036440C"/>
    <w:rsid w:val="00365297"/>
    <w:rsid w:val="00366B10"/>
    <w:rsid w:val="00367BE8"/>
    <w:rsid w:val="00371114"/>
    <w:rsid w:val="00371159"/>
    <w:rsid w:val="0037161C"/>
    <w:rsid w:val="00372650"/>
    <w:rsid w:val="00374843"/>
    <w:rsid w:val="003750E6"/>
    <w:rsid w:val="00377D61"/>
    <w:rsid w:val="00382515"/>
    <w:rsid w:val="0038268D"/>
    <w:rsid w:val="00383AB2"/>
    <w:rsid w:val="0038500C"/>
    <w:rsid w:val="003867B1"/>
    <w:rsid w:val="00390A14"/>
    <w:rsid w:val="003912B5"/>
    <w:rsid w:val="00393A9B"/>
    <w:rsid w:val="0039488C"/>
    <w:rsid w:val="003948E3"/>
    <w:rsid w:val="003A0828"/>
    <w:rsid w:val="003A15E5"/>
    <w:rsid w:val="003A2D9B"/>
    <w:rsid w:val="003A443B"/>
    <w:rsid w:val="003A459B"/>
    <w:rsid w:val="003A489E"/>
    <w:rsid w:val="003A53E9"/>
    <w:rsid w:val="003A5F3C"/>
    <w:rsid w:val="003A6078"/>
    <w:rsid w:val="003A60E0"/>
    <w:rsid w:val="003A7CC1"/>
    <w:rsid w:val="003B009F"/>
    <w:rsid w:val="003B29FB"/>
    <w:rsid w:val="003B3CDA"/>
    <w:rsid w:val="003B3D98"/>
    <w:rsid w:val="003B3EE3"/>
    <w:rsid w:val="003B4FEF"/>
    <w:rsid w:val="003B7476"/>
    <w:rsid w:val="003C155D"/>
    <w:rsid w:val="003C1D8B"/>
    <w:rsid w:val="003C5F22"/>
    <w:rsid w:val="003C71AD"/>
    <w:rsid w:val="003C76E8"/>
    <w:rsid w:val="003C7DA1"/>
    <w:rsid w:val="003D017A"/>
    <w:rsid w:val="003D06E2"/>
    <w:rsid w:val="003D0BDB"/>
    <w:rsid w:val="003D1DE8"/>
    <w:rsid w:val="003D270B"/>
    <w:rsid w:val="003D4E31"/>
    <w:rsid w:val="003D5DDB"/>
    <w:rsid w:val="003D6863"/>
    <w:rsid w:val="003E194D"/>
    <w:rsid w:val="003E1EA4"/>
    <w:rsid w:val="003E6948"/>
    <w:rsid w:val="003E77CE"/>
    <w:rsid w:val="003F1ED7"/>
    <w:rsid w:val="003F239F"/>
    <w:rsid w:val="003F2E65"/>
    <w:rsid w:val="003F3426"/>
    <w:rsid w:val="003F487B"/>
    <w:rsid w:val="004029D4"/>
    <w:rsid w:val="00403667"/>
    <w:rsid w:val="004047CF"/>
    <w:rsid w:val="004053D6"/>
    <w:rsid w:val="004058FF"/>
    <w:rsid w:val="00405DAE"/>
    <w:rsid w:val="004064C7"/>
    <w:rsid w:val="00406966"/>
    <w:rsid w:val="004120D8"/>
    <w:rsid w:val="00412C64"/>
    <w:rsid w:val="00417195"/>
    <w:rsid w:val="00417EB9"/>
    <w:rsid w:val="0042038F"/>
    <w:rsid w:val="00421235"/>
    <w:rsid w:val="0042250F"/>
    <w:rsid w:val="00422B53"/>
    <w:rsid w:val="0042349E"/>
    <w:rsid w:val="00424E20"/>
    <w:rsid w:val="004256B4"/>
    <w:rsid w:val="00427895"/>
    <w:rsid w:val="00430470"/>
    <w:rsid w:val="004324DA"/>
    <w:rsid w:val="00434F79"/>
    <w:rsid w:val="004351DC"/>
    <w:rsid w:val="00435EB4"/>
    <w:rsid w:val="004375FB"/>
    <w:rsid w:val="0044037A"/>
    <w:rsid w:val="00442F42"/>
    <w:rsid w:val="00443977"/>
    <w:rsid w:val="0044524C"/>
    <w:rsid w:val="00445299"/>
    <w:rsid w:val="004465EF"/>
    <w:rsid w:val="00446C56"/>
    <w:rsid w:val="00447340"/>
    <w:rsid w:val="00447732"/>
    <w:rsid w:val="00447969"/>
    <w:rsid w:val="00451CCA"/>
    <w:rsid w:val="004528D4"/>
    <w:rsid w:val="004536E8"/>
    <w:rsid w:val="00454CD0"/>
    <w:rsid w:val="00461141"/>
    <w:rsid w:val="00461437"/>
    <w:rsid w:val="00461773"/>
    <w:rsid w:val="00465903"/>
    <w:rsid w:val="00465CAB"/>
    <w:rsid w:val="00466BEA"/>
    <w:rsid w:val="00471118"/>
    <w:rsid w:val="00471409"/>
    <w:rsid w:val="00472452"/>
    <w:rsid w:val="00474A1F"/>
    <w:rsid w:val="00476A3A"/>
    <w:rsid w:val="00477194"/>
    <w:rsid w:val="0048031D"/>
    <w:rsid w:val="00480A88"/>
    <w:rsid w:val="004810A1"/>
    <w:rsid w:val="00481F89"/>
    <w:rsid w:val="004841EA"/>
    <w:rsid w:val="00484A01"/>
    <w:rsid w:val="00486933"/>
    <w:rsid w:val="00486CE3"/>
    <w:rsid w:val="00486D60"/>
    <w:rsid w:val="00487BBA"/>
    <w:rsid w:val="00490BEA"/>
    <w:rsid w:val="004915AE"/>
    <w:rsid w:val="004920C4"/>
    <w:rsid w:val="004924B8"/>
    <w:rsid w:val="0049262B"/>
    <w:rsid w:val="004929B3"/>
    <w:rsid w:val="00492FB9"/>
    <w:rsid w:val="00494F1D"/>
    <w:rsid w:val="00495C0D"/>
    <w:rsid w:val="0049687E"/>
    <w:rsid w:val="004968E8"/>
    <w:rsid w:val="00496AB0"/>
    <w:rsid w:val="00496CB4"/>
    <w:rsid w:val="004A0095"/>
    <w:rsid w:val="004A0310"/>
    <w:rsid w:val="004A0BEB"/>
    <w:rsid w:val="004A14E9"/>
    <w:rsid w:val="004A1CD5"/>
    <w:rsid w:val="004A2146"/>
    <w:rsid w:val="004A2E91"/>
    <w:rsid w:val="004A3C86"/>
    <w:rsid w:val="004A3D5E"/>
    <w:rsid w:val="004A5E26"/>
    <w:rsid w:val="004A781D"/>
    <w:rsid w:val="004B44D0"/>
    <w:rsid w:val="004B4EB0"/>
    <w:rsid w:val="004B5A1D"/>
    <w:rsid w:val="004B7624"/>
    <w:rsid w:val="004C08DD"/>
    <w:rsid w:val="004C1100"/>
    <w:rsid w:val="004C1553"/>
    <w:rsid w:val="004C240E"/>
    <w:rsid w:val="004C3E22"/>
    <w:rsid w:val="004C6554"/>
    <w:rsid w:val="004C70A9"/>
    <w:rsid w:val="004D37C1"/>
    <w:rsid w:val="004D3840"/>
    <w:rsid w:val="004D7075"/>
    <w:rsid w:val="004D7A8E"/>
    <w:rsid w:val="004D7B9A"/>
    <w:rsid w:val="004E0375"/>
    <w:rsid w:val="004E0555"/>
    <w:rsid w:val="004E0748"/>
    <w:rsid w:val="004E0AD2"/>
    <w:rsid w:val="004E18A9"/>
    <w:rsid w:val="004E1FA5"/>
    <w:rsid w:val="004E28C3"/>
    <w:rsid w:val="004E2EE2"/>
    <w:rsid w:val="004E56AF"/>
    <w:rsid w:val="004E5B4B"/>
    <w:rsid w:val="004E6E0E"/>
    <w:rsid w:val="004F16BE"/>
    <w:rsid w:val="004F23FD"/>
    <w:rsid w:val="004F3467"/>
    <w:rsid w:val="004F34FF"/>
    <w:rsid w:val="004F4069"/>
    <w:rsid w:val="004F48B4"/>
    <w:rsid w:val="004F5F81"/>
    <w:rsid w:val="004F623C"/>
    <w:rsid w:val="004F7512"/>
    <w:rsid w:val="004F7613"/>
    <w:rsid w:val="004F7B0D"/>
    <w:rsid w:val="0050049D"/>
    <w:rsid w:val="005006D1"/>
    <w:rsid w:val="005017B0"/>
    <w:rsid w:val="005067E4"/>
    <w:rsid w:val="00506847"/>
    <w:rsid w:val="00512057"/>
    <w:rsid w:val="00512BC6"/>
    <w:rsid w:val="005203BC"/>
    <w:rsid w:val="00520DCB"/>
    <w:rsid w:val="00522054"/>
    <w:rsid w:val="0052299D"/>
    <w:rsid w:val="00522EDE"/>
    <w:rsid w:val="00523A4F"/>
    <w:rsid w:val="005255CC"/>
    <w:rsid w:val="0052586A"/>
    <w:rsid w:val="00526173"/>
    <w:rsid w:val="005268C7"/>
    <w:rsid w:val="00530316"/>
    <w:rsid w:val="00531BC9"/>
    <w:rsid w:val="00534379"/>
    <w:rsid w:val="00535195"/>
    <w:rsid w:val="00536FFA"/>
    <w:rsid w:val="0054014C"/>
    <w:rsid w:val="005403C2"/>
    <w:rsid w:val="00541A91"/>
    <w:rsid w:val="00542765"/>
    <w:rsid w:val="00544304"/>
    <w:rsid w:val="00544E01"/>
    <w:rsid w:val="00550B98"/>
    <w:rsid w:val="00551286"/>
    <w:rsid w:val="0055276D"/>
    <w:rsid w:val="00555AC2"/>
    <w:rsid w:val="0055602F"/>
    <w:rsid w:val="00556923"/>
    <w:rsid w:val="00556CBF"/>
    <w:rsid w:val="0056108F"/>
    <w:rsid w:val="005616C3"/>
    <w:rsid w:val="00561DD6"/>
    <w:rsid w:val="00563125"/>
    <w:rsid w:val="005635EE"/>
    <w:rsid w:val="00565808"/>
    <w:rsid w:val="00565A4A"/>
    <w:rsid w:val="0056791F"/>
    <w:rsid w:val="00571838"/>
    <w:rsid w:val="005718A5"/>
    <w:rsid w:val="00572A1F"/>
    <w:rsid w:val="00573E44"/>
    <w:rsid w:val="005802B4"/>
    <w:rsid w:val="00580982"/>
    <w:rsid w:val="00581B3D"/>
    <w:rsid w:val="00583145"/>
    <w:rsid w:val="005833A1"/>
    <w:rsid w:val="00584804"/>
    <w:rsid w:val="0058530A"/>
    <w:rsid w:val="0058669C"/>
    <w:rsid w:val="00590049"/>
    <w:rsid w:val="005902F6"/>
    <w:rsid w:val="00590814"/>
    <w:rsid w:val="0059081D"/>
    <w:rsid w:val="0059239E"/>
    <w:rsid w:val="005943DF"/>
    <w:rsid w:val="00594E44"/>
    <w:rsid w:val="00595793"/>
    <w:rsid w:val="005969DC"/>
    <w:rsid w:val="005970EF"/>
    <w:rsid w:val="00597887"/>
    <w:rsid w:val="005A0226"/>
    <w:rsid w:val="005A0EE7"/>
    <w:rsid w:val="005A4447"/>
    <w:rsid w:val="005A5B83"/>
    <w:rsid w:val="005A64DA"/>
    <w:rsid w:val="005A6B5A"/>
    <w:rsid w:val="005A7006"/>
    <w:rsid w:val="005A7648"/>
    <w:rsid w:val="005A7F9A"/>
    <w:rsid w:val="005B2DAC"/>
    <w:rsid w:val="005B3A2A"/>
    <w:rsid w:val="005B4376"/>
    <w:rsid w:val="005B5F60"/>
    <w:rsid w:val="005B6337"/>
    <w:rsid w:val="005B7978"/>
    <w:rsid w:val="005C0AA8"/>
    <w:rsid w:val="005C14F0"/>
    <w:rsid w:val="005C4707"/>
    <w:rsid w:val="005C4A64"/>
    <w:rsid w:val="005C5C90"/>
    <w:rsid w:val="005C66B1"/>
    <w:rsid w:val="005C7C20"/>
    <w:rsid w:val="005D0933"/>
    <w:rsid w:val="005D2861"/>
    <w:rsid w:val="005D29F8"/>
    <w:rsid w:val="005D4D9D"/>
    <w:rsid w:val="005D56BD"/>
    <w:rsid w:val="005D6385"/>
    <w:rsid w:val="005D6626"/>
    <w:rsid w:val="005E020E"/>
    <w:rsid w:val="005E144A"/>
    <w:rsid w:val="005E1C6B"/>
    <w:rsid w:val="005E1F22"/>
    <w:rsid w:val="005E3AA0"/>
    <w:rsid w:val="005E3C6B"/>
    <w:rsid w:val="005E3E64"/>
    <w:rsid w:val="005E763A"/>
    <w:rsid w:val="005F0471"/>
    <w:rsid w:val="005F09AD"/>
    <w:rsid w:val="005F0F99"/>
    <w:rsid w:val="005F1098"/>
    <w:rsid w:val="005F15B8"/>
    <w:rsid w:val="005F48D2"/>
    <w:rsid w:val="005F4AEF"/>
    <w:rsid w:val="005F6523"/>
    <w:rsid w:val="005F7462"/>
    <w:rsid w:val="00600C1D"/>
    <w:rsid w:val="00602C2E"/>
    <w:rsid w:val="00602E81"/>
    <w:rsid w:val="0060335E"/>
    <w:rsid w:val="00603AD4"/>
    <w:rsid w:val="00605733"/>
    <w:rsid w:val="00605ABC"/>
    <w:rsid w:val="0060692C"/>
    <w:rsid w:val="00607D8E"/>
    <w:rsid w:val="00610507"/>
    <w:rsid w:val="006142B7"/>
    <w:rsid w:val="0061675A"/>
    <w:rsid w:val="00617AA2"/>
    <w:rsid w:val="0062049D"/>
    <w:rsid w:val="00620560"/>
    <w:rsid w:val="006210C4"/>
    <w:rsid w:val="00623B08"/>
    <w:rsid w:val="00625752"/>
    <w:rsid w:val="00626075"/>
    <w:rsid w:val="00626B29"/>
    <w:rsid w:val="00626EA9"/>
    <w:rsid w:val="00630DB6"/>
    <w:rsid w:val="00633F13"/>
    <w:rsid w:val="006358DD"/>
    <w:rsid w:val="006358F4"/>
    <w:rsid w:val="00637BB6"/>
    <w:rsid w:val="00644682"/>
    <w:rsid w:val="00647937"/>
    <w:rsid w:val="006506DB"/>
    <w:rsid w:val="00650FDD"/>
    <w:rsid w:val="006530C6"/>
    <w:rsid w:val="00653EA0"/>
    <w:rsid w:val="006542A2"/>
    <w:rsid w:val="00654600"/>
    <w:rsid w:val="00656EB7"/>
    <w:rsid w:val="00662971"/>
    <w:rsid w:val="006648AE"/>
    <w:rsid w:val="006673B8"/>
    <w:rsid w:val="00672791"/>
    <w:rsid w:val="0067325E"/>
    <w:rsid w:val="00674AE4"/>
    <w:rsid w:val="0067535F"/>
    <w:rsid w:val="00676F31"/>
    <w:rsid w:val="00677E8C"/>
    <w:rsid w:val="006806E9"/>
    <w:rsid w:val="006845C4"/>
    <w:rsid w:val="0068480C"/>
    <w:rsid w:val="00686C9C"/>
    <w:rsid w:val="00690C45"/>
    <w:rsid w:val="006912C0"/>
    <w:rsid w:val="00691D39"/>
    <w:rsid w:val="006925F3"/>
    <w:rsid w:val="00693A1D"/>
    <w:rsid w:val="00693F46"/>
    <w:rsid w:val="0069591D"/>
    <w:rsid w:val="00697026"/>
    <w:rsid w:val="006A2B7D"/>
    <w:rsid w:val="006A3A07"/>
    <w:rsid w:val="006A3E09"/>
    <w:rsid w:val="006A76CE"/>
    <w:rsid w:val="006A7A1C"/>
    <w:rsid w:val="006B0B30"/>
    <w:rsid w:val="006B2097"/>
    <w:rsid w:val="006B2F83"/>
    <w:rsid w:val="006B37CA"/>
    <w:rsid w:val="006B39C1"/>
    <w:rsid w:val="006B3AA9"/>
    <w:rsid w:val="006B5326"/>
    <w:rsid w:val="006B608D"/>
    <w:rsid w:val="006B6C08"/>
    <w:rsid w:val="006B7011"/>
    <w:rsid w:val="006B749C"/>
    <w:rsid w:val="006B7787"/>
    <w:rsid w:val="006B7F4E"/>
    <w:rsid w:val="006C0EEC"/>
    <w:rsid w:val="006C1E4F"/>
    <w:rsid w:val="006C3FFE"/>
    <w:rsid w:val="006C4B70"/>
    <w:rsid w:val="006C5580"/>
    <w:rsid w:val="006C57D9"/>
    <w:rsid w:val="006C5DB0"/>
    <w:rsid w:val="006C7AD1"/>
    <w:rsid w:val="006D1770"/>
    <w:rsid w:val="006D205C"/>
    <w:rsid w:val="006D24BD"/>
    <w:rsid w:val="006D2601"/>
    <w:rsid w:val="006D3BB3"/>
    <w:rsid w:val="006D4561"/>
    <w:rsid w:val="006D4717"/>
    <w:rsid w:val="006D4A5A"/>
    <w:rsid w:val="006D5CF9"/>
    <w:rsid w:val="006D6782"/>
    <w:rsid w:val="006D7695"/>
    <w:rsid w:val="006D7C11"/>
    <w:rsid w:val="006E0346"/>
    <w:rsid w:val="006E0D74"/>
    <w:rsid w:val="006E3C0B"/>
    <w:rsid w:val="006E511E"/>
    <w:rsid w:val="006E5571"/>
    <w:rsid w:val="006E646A"/>
    <w:rsid w:val="006E6703"/>
    <w:rsid w:val="006E6E36"/>
    <w:rsid w:val="006E6F33"/>
    <w:rsid w:val="006E708A"/>
    <w:rsid w:val="006E770C"/>
    <w:rsid w:val="006F127A"/>
    <w:rsid w:val="006F15CC"/>
    <w:rsid w:val="006F1FC9"/>
    <w:rsid w:val="006F312B"/>
    <w:rsid w:val="006F38AE"/>
    <w:rsid w:val="006F3ACE"/>
    <w:rsid w:val="006F3C75"/>
    <w:rsid w:val="006F402E"/>
    <w:rsid w:val="006F627D"/>
    <w:rsid w:val="006F73CE"/>
    <w:rsid w:val="007016B6"/>
    <w:rsid w:val="007037D1"/>
    <w:rsid w:val="007047B7"/>
    <w:rsid w:val="00705069"/>
    <w:rsid w:val="0070547F"/>
    <w:rsid w:val="0071129A"/>
    <w:rsid w:val="007113CE"/>
    <w:rsid w:val="0071167B"/>
    <w:rsid w:val="00713FA4"/>
    <w:rsid w:val="00714149"/>
    <w:rsid w:val="00714263"/>
    <w:rsid w:val="00714687"/>
    <w:rsid w:val="00715FEC"/>
    <w:rsid w:val="00716222"/>
    <w:rsid w:val="00721BAD"/>
    <w:rsid w:val="00722B15"/>
    <w:rsid w:val="00723E13"/>
    <w:rsid w:val="00726073"/>
    <w:rsid w:val="00731D9F"/>
    <w:rsid w:val="007325DA"/>
    <w:rsid w:val="00734545"/>
    <w:rsid w:val="007352F8"/>
    <w:rsid w:val="007354AD"/>
    <w:rsid w:val="00736646"/>
    <w:rsid w:val="0074004B"/>
    <w:rsid w:val="00740360"/>
    <w:rsid w:val="00741C5A"/>
    <w:rsid w:val="00742A66"/>
    <w:rsid w:val="00743D51"/>
    <w:rsid w:val="007448C9"/>
    <w:rsid w:val="007457C6"/>
    <w:rsid w:val="00746791"/>
    <w:rsid w:val="00746997"/>
    <w:rsid w:val="007479B8"/>
    <w:rsid w:val="007509DF"/>
    <w:rsid w:val="00750A17"/>
    <w:rsid w:val="00750E63"/>
    <w:rsid w:val="007511E5"/>
    <w:rsid w:val="00751C8F"/>
    <w:rsid w:val="00752A51"/>
    <w:rsid w:val="00752EEB"/>
    <w:rsid w:val="00755EB2"/>
    <w:rsid w:val="00756E03"/>
    <w:rsid w:val="007577AC"/>
    <w:rsid w:val="00762913"/>
    <w:rsid w:val="00770814"/>
    <w:rsid w:val="00771695"/>
    <w:rsid w:val="00773E6B"/>
    <w:rsid w:val="00774220"/>
    <w:rsid w:val="00774E47"/>
    <w:rsid w:val="007762FD"/>
    <w:rsid w:val="007769D1"/>
    <w:rsid w:val="007776FC"/>
    <w:rsid w:val="00780752"/>
    <w:rsid w:val="007814B1"/>
    <w:rsid w:val="00781C1F"/>
    <w:rsid w:val="00784549"/>
    <w:rsid w:val="007846B7"/>
    <w:rsid w:val="007863D9"/>
    <w:rsid w:val="007924C0"/>
    <w:rsid w:val="0079345E"/>
    <w:rsid w:val="00794DBA"/>
    <w:rsid w:val="0079671D"/>
    <w:rsid w:val="00796A39"/>
    <w:rsid w:val="00797AA7"/>
    <w:rsid w:val="00797D0B"/>
    <w:rsid w:val="007A035A"/>
    <w:rsid w:val="007A0B69"/>
    <w:rsid w:val="007A0DA1"/>
    <w:rsid w:val="007A1FE9"/>
    <w:rsid w:val="007A2E62"/>
    <w:rsid w:val="007A3D8B"/>
    <w:rsid w:val="007A487C"/>
    <w:rsid w:val="007A53C3"/>
    <w:rsid w:val="007A5C7C"/>
    <w:rsid w:val="007A6672"/>
    <w:rsid w:val="007A6F4F"/>
    <w:rsid w:val="007B17E0"/>
    <w:rsid w:val="007B1E0A"/>
    <w:rsid w:val="007B3EDB"/>
    <w:rsid w:val="007B4C1F"/>
    <w:rsid w:val="007B76E9"/>
    <w:rsid w:val="007C0265"/>
    <w:rsid w:val="007C08B9"/>
    <w:rsid w:val="007C0F6B"/>
    <w:rsid w:val="007C2360"/>
    <w:rsid w:val="007C2FDC"/>
    <w:rsid w:val="007C385A"/>
    <w:rsid w:val="007C3EA3"/>
    <w:rsid w:val="007C6FE2"/>
    <w:rsid w:val="007D1FCF"/>
    <w:rsid w:val="007D212F"/>
    <w:rsid w:val="007D4DC9"/>
    <w:rsid w:val="007D5948"/>
    <w:rsid w:val="007D72D1"/>
    <w:rsid w:val="007D7BE4"/>
    <w:rsid w:val="007E1570"/>
    <w:rsid w:val="007E1731"/>
    <w:rsid w:val="007E2020"/>
    <w:rsid w:val="007E34FF"/>
    <w:rsid w:val="007E385E"/>
    <w:rsid w:val="007E3C98"/>
    <w:rsid w:val="007E4308"/>
    <w:rsid w:val="007E4659"/>
    <w:rsid w:val="007E5A14"/>
    <w:rsid w:val="007E611F"/>
    <w:rsid w:val="007E64DC"/>
    <w:rsid w:val="007E7396"/>
    <w:rsid w:val="007F04BE"/>
    <w:rsid w:val="007F30FF"/>
    <w:rsid w:val="007F56F0"/>
    <w:rsid w:val="007F5E3F"/>
    <w:rsid w:val="007F6FEA"/>
    <w:rsid w:val="007F78FC"/>
    <w:rsid w:val="008002AF"/>
    <w:rsid w:val="00800C33"/>
    <w:rsid w:val="00801AA1"/>
    <w:rsid w:val="008037BF"/>
    <w:rsid w:val="00804448"/>
    <w:rsid w:val="008049BF"/>
    <w:rsid w:val="0080545E"/>
    <w:rsid w:val="00810EE9"/>
    <w:rsid w:val="008139D0"/>
    <w:rsid w:val="00813EB2"/>
    <w:rsid w:val="0081418A"/>
    <w:rsid w:val="008154B8"/>
    <w:rsid w:val="00815E2C"/>
    <w:rsid w:val="008160E9"/>
    <w:rsid w:val="008162B9"/>
    <w:rsid w:val="00816EB9"/>
    <w:rsid w:val="008174D6"/>
    <w:rsid w:val="00820188"/>
    <w:rsid w:val="0082205E"/>
    <w:rsid w:val="008248B4"/>
    <w:rsid w:val="00825DB8"/>
    <w:rsid w:val="008315C7"/>
    <w:rsid w:val="00832377"/>
    <w:rsid w:val="008338D6"/>
    <w:rsid w:val="008341DB"/>
    <w:rsid w:val="008353DA"/>
    <w:rsid w:val="00835F6C"/>
    <w:rsid w:val="00836A46"/>
    <w:rsid w:val="008373A3"/>
    <w:rsid w:val="008376F3"/>
    <w:rsid w:val="00841BBA"/>
    <w:rsid w:val="00842353"/>
    <w:rsid w:val="00842387"/>
    <w:rsid w:val="00843B21"/>
    <w:rsid w:val="00844201"/>
    <w:rsid w:val="00844957"/>
    <w:rsid w:val="00845066"/>
    <w:rsid w:val="00847081"/>
    <w:rsid w:val="00847D8B"/>
    <w:rsid w:val="008516CE"/>
    <w:rsid w:val="00851B9D"/>
    <w:rsid w:val="00851D94"/>
    <w:rsid w:val="008523C8"/>
    <w:rsid w:val="00853FF3"/>
    <w:rsid w:val="00854148"/>
    <w:rsid w:val="008543ED"/>
    <w:rsid w:val="008565C5"/>
    <w:rsid w:val="00860EBF"/>
    <w:rsid w:val="008613C4"/>
    <w:rsid w:val="00865450"/>
    <w:rsid w:val="00865560"/>
    <w:rsid w:val="008667AF"/>
    <w:rsid w:val="0086749D"/>
    <w:rsid w:val="008674FB"/>
    <w:rsid w:val="008676B1"/>
    <w:rsid w:val="0087074D"/>
    <w:rsid w:val="00871586"/>
    <w:rsid w:val="00875CC9"/>
    <w:rsid w:val="0087603D"/>
    <w:rsid w:val="00876681"/>
    <w:rsid w:val="00877234"/>
    <w:rsid w:val="008813D0"/>
    <w:rsid w:val="00882B64"/>
    <w:rsid w:val="00883BE4"/>
    <w:rsid w:val="00883CB6"/>
    <w:rsid w:val="00884D19"/>
    <w:rsid w:val="00885890"/>
    <w:rsid w:val="00887336"/>
    <w:rsid w:val="008900E6"/>
    <w:rsid w:val="00892567"/>
    <w:rsid w:val="00893882"/>
    <w:rsid w:val="00893D8B"/>
    <w:rsid w:val="00893E0C"/>
    <w:rsid w:val="008945B8"/>
    <w:rsid w:val="00894CBF"/>
    <w:rsid w:val="008950A9"/>
    <w:rsid w:val="0089582A"/>
    <w:rsid w:val="008967A2"/>
    <w:rsid w:val="00896A3B"/>
    <w:rsid w:val="008A2226"/>
    <w:rsid w:val="008A2E0A"/>
    <w:rsid w:val="008A2E95"/>
    <w:rsid w:val="008A3435"/>
    <w:rsid w:val="008A5034"/>
    <w:rsid w:val="008B1609"/>
    <w:rsid w:val="008B1FE2"/>
    <w:rsid w:val="008B231E"/>
    <w:rsid w:val="008B35B7"/>
    <w:rsid w:val="008B3E89"/>
    <w:rsid w:val="008B5684"/>
    <w:rsid w:val="008B7052"/>
    <w:rsid w:val="008B75CD"/>
    <w:rsid w:val="008C0818"/>
    <w:rsid w:val="008C0D07"/>
    <w:rsid w:val="008C2B4C"/>
    <w:rsid w:val="008C2B86"/>
    <w:rsid w:val="008C3960"/>
    <w:rsid w:val="008C592C"/>
    <w:rsid w:val="008C5C66"/>
    <w:rsid w:val="008C644F"/>
    <w:rsid w:val="008C6ED8"/>
    <w:rsid w:val="008C77E9"/>
    <w:rsid w:val="008D323E"/>
    <w:rsid w:val="008D5115"/>
    <w:rsid w:val="008D561B"/>
    <w:rsid w:val="008E0498"/>
    <w:rsid w:val="008E246F"/>
    <w:rsid w:val="008E3E22"/>
    <w:rsid w:val="008E4954"/>
    <w:rsid w:val="008F4DAA"/>
    <w:rsid w:val="008F53F3"/>
    <w:rsid w:val="008F5C05"/>
    <w:rsid w:val="008F75C3"/>
    <w:rsid w:val="008F7A7F"/>
    <w:rsid w:val="009066AD"/>
    <w:rsid w:val="0090766D"/>
    <w:rsid w:val="00911A35"/>
    <w:rsid w:val="00911B93"/>
    <w:rsid w:val="0091522F"/>
    <w:rsid w:val="00916ABD"/>
    <w:rsid w:val="00920E78"/>
    <w:rsid w:val="0092132D"/>
    <w:rsid w:val="00922693"/>
    <w:rsid w:val="00925668"/>
    <w:rsid w:val="0093091F"/>
    <w:rsid w:val="00930F4F"/>
    <w:rsid w:val="00936546"/>
    <w:rsid w:val="00940539"/>
    <w:rsid w:val="00940AD2"/>
    <w:rsid w:val="00942E0C"/>
    <w:rsid w:val="0094313D"/>
    <w:rsid w:val="009432CC"/>
    <w:rsid w:val="00943616"/>
    <w:rsid w:val="0094624E"/>
    <w:rsid w:val="00947652"/>
    <w:rsid w:val="00953442"/>
    <w:rsid w:val="009543A8"/>
    <w:rsid w:val="00956269"/>
    <w:rsid w:val="009562A6"/>
    <w:rsid w:val="009603B4"/>
    <w:rsid w:val="0096227A"/>
    <w:rsid w:val="00963247"/>
    <w:rsid w:val="00963AB1"/>
    <w:rsid w:val="009642F4"/>
    <w:rsid w:val="00964F61"/>
    <w:rsid w:val="00965A23"/>
    <w:rsid w:val="009660F7"/>
    <w:rsid w:val="00970E6C"/>
    <w:rsid w:val="0097458D"/>
    <w:rsid w:val="0097473A"/>
    <w:rsid w:val="00975ACC"/>
    <w:rsid w:val="00975B4A"/>
    <w:rsid w:val="00976973"/>
    <w:rsid w:val="0097749E"/>
    <w:rsid w:val="00977663"/>
    <w:rsid w:val="00981B02"/>
    <w:rsid w:val="00983442"/>
    <w:rsid w:val="00983E62"/>
    <w:rsid w:val="00983F55"/>
    <w:rsid w:val="0098409D"/>
    <w:rsid w:val="00984675"/>
    <w:rsid w:val="009849C3"/>
    <w:rsid w:val="0098536D"/>
    <w:rsid w:val="0098541A"/>
    <w:rsid w:val="00985D93"/>
    <w:rsid w:val="009874EA"/>
    <w:rsid w:val="00990030"/>
    <w:rsid w:val="0099137B"/>
    <w:rsid w:val="009929F9"/>
    <w:rsid w:val="00994B72"/>
    <w:rsid w:val="00995B05"/>
    <w:rsid w:val="00996870"/>
    <w:rsid w:val="00997DCF"/>
    <w:rsid w:val="009A060C"/>
    <w:rsid w:val="009A0752"/>
    <w:rsid w:val="009A2410"/>
    <w:rsid w:val="009A2F5B"/>
    <w:rsid w:val="009A2FDE"/>
    <w:rsid w:val="009A3255"/>
    <w:rsid w:val="009A38AD"/>
    <w:rsid w:val="009A3B6C"/>
    <w:rsid w:val="009A3C30"/>
    <w:rsid w:val="009A5F71"/>
    <w:rsid w:val="009A72D1"/>
    <w:rsid w:val="009A75C8"/>
    <w:rsid w:val="009B0924"/>
    <w:rsid w:val="009B0CF1"/>
    <w:rsid w:val="009B193C"/>
    <w:rsid w:val="009B77E4"/>
    <w:rsid w:val="009B788D"/>
    <w:rsid w:val="009C0A9F"/>
    <w:rsid w:val="009C1682"/>
    <w:rsid w:val="009C30AC"/>
    <w:rsid w:val="009C6F47"/>
    <w:rsid w:val="009C7333"/>
    <w:rsid w:val="009C77F3"/>
    <w:rsid w:val="009D0280"/>
    <w:rsid w:val="009D1F18"/>
    <w:rsid w:val="009D2ABF"/>
    <w:rsid w:val="009D2E6A"/>
    <w:rsid w:val="009D4CE7"/>
    <w:rsid w:val="009D6702"/>
    <w:rsid w:val="009D79E8"/>
    <w:rsid w:val="009E05E9"/>
    <w:rsid w:val="009E19E5"/>
    <w:rsid w:val="009E24E2"/>
    <w:rsid w:val="009E3AE2"/>
    <w:rsid w:val="009E44D2"/>
    <w:rsid w:val="009E4974"/>
    <w:rsid w:val="009E4AFB"/>
    <w:rsid w:val="009F1EDF"/>
    <w:rsid w:val="009F2E12"/>
    <w:rsid w:val="009F686C"/>
    <w:rsid w:val="00A00695"/>
    <w:rsid w:val="00A00D47"/>
    <w:rsid w:val="00A02890"/>
    <w:rsid w:val="00A042B1"/>
    <w:rsid w:val="00A04F2E"/>
    <w:rsid w:val="00A0577C"/>
    <w:rsid w:val="00A05D64"/>
    <w:rsid w:val="00A062FC"/>
    <w:rsid w:val="00A07D60"/>
    <w:rsid w:val="00A10001"/>
    <w:rsid w:val="00A11796"/>
    <w:rsid w:val="00A11F69"/>
    <w:rsid w:val="00A127FD"/>
    <w:rsid w:val="00A13EC4"/>
    <w:rsid w:val="00A1528F"/>
    <w:rsid w:val="00A157F4"/>
    <w:rsid w:val="00A166A1"/>
    <w:rsid w:val="00A2060F"/>
    <w:rsid w:val="00A216D6"/>
    <w:rsid w:val="00A252EE"/>
    <w:rsid w:val="00A26981"/>
    <w:rsid w:val="00A3089C"/>
    <w:rsid w:val="00A338C5"/>
    <w:rsid w:val="00A348F5"/>
    <w:rsid w:val="00A35476"/>
    <w:rsid w:val="00A372F4"/>
    <w:rsid w:val="00A404E5"/>
    <w:rsid w:val="00A40D12"/>
    <w:rsid w:val="00A415FC"/>
    <w:rsid w:val="00A417F5"/>
    <w:rsid w:val="00A41F84"/>
    <w:rsid w:val="00A420BA"/>
    <w:rsid w:val="00A4224E"/>
    <w:rsid w:val="00A44024"/>
    <w:rsid w:val="00A44270"/>
    <w:rsid w:val="00A45254"/>
    <w:rsid w:val="00A469B1"/>
    <w:rsid w:val="00A4746A"/>
    <w:rsid w:val="00A47D3A"/>
    <w:rsid w:val="00A502B1"/>
    <w:rsid w:val="00A504CA"/>
    <w:rsid w:val="00A5418A"/>
    <w:rsid w:val="00A54CDB"/>
    <w:rsid w:val="00A55877"/>
    <w:rsid w:val="00A55AA2"/>
    <w:rsid w:val="00A560A6"/>
    <w:rsid w:val="00A56379"/>
    <w:rsid w:val="00A574AD"/>
    <w:rsid w:val="00A574BF"/>
    <w:rsid w:val="00A60801"/>
    <w:rsid w:val="00A63108"/>
    <w:rsid w:val="00A63BE1"/>
    <w:rsid w:val="00A65D29"/>
    <w:rsid w:val="00A66656"/>
    <w:rsid w:val="00A67E6A"/>
    <w:rsid w:val="00A67E82"/>
    <w:rsid w:val="00A7197D"/>
    <w:rsid w:val="00A719DC"/>
    <w:rsid w:val="00A7218B"/>
    <w:rsid w:val="00A7457F"/>
    <w:rsid w:val="00A75D83"/>
    <w:rsid w:val="00A77174"/>
    <w:rsid w:val="00A804F6"/>
    <w:rsid w:val="00A807D0"/>
    <w:rsid w:val="00A8265F"/>
    <w:rsid w:val="00A841EA"/>
    <w:rsid w:val="00A84581"/>
    <w:rsid w:val="00A84D61"/>
    <w:rsid w:val="00A8527E"/>
    <w:rsid w:val="00A85D5C"/>
    <w:rsid w:val="00A925F2"/>
    <w:rsid w:val="00A9464C"/>
    <w:rsid w:val="00A94C7E"/>
    <w:rsid w:val="00AA0AF9"/>
    <w:rsid w:val="00AA236C"/>
    <w:rsid w:val="00AA34C8"/>
    <w:rsid w:val="00AA3D29"/>
    <w:rsid w:val="00AB0954"/>
    <w:rsid w:val="00AB26D9"/>
    <w:rsid w:val="00AB2BB7"/>
    <w:rsid w:val="00AB57EE"/>
    <w:rsid w:val="00AB6748"/>
    <w:rsid w:val="00AC017F"/>
    <w:rsid w:val="00AC3E73"/>
    <w:rsid w:val="00AC47E8"/>
    <w:rsid w:val="00AC554E"/>
    <w:rsid w:val="00AC5D92"/>
    <w:rsid w:val="00AC6960"/>
    <w:rsid w:val="00AD1ADC"/>
    <w:rsid w:val="00AD224F"/>
    <w:rsid w:val="00AD2B25"/>
    <w:rsid w:val="00AD2EFF"/>
    <w:rsid w:val="00AD3361"/>
    <w:rsid w:val="00AD37CE"/>
    <w:rsid w:val="00AD3832"/>
    <w:rsid w:val="00AD4B5A"/>
    <w:rsid w:val="00AD4D2A"/>
    <w:rsid w:val="00AD50B8"/>
    <w:rsid w:val="00AD6E60"/>
    <w:rsid w:val="00AD74D5"/>
    <w:rsid w:val="00AE0155"/>
    <w:rsid w:val="00AE221D"/>
    <w:rsid w:val="00AE542A"/>
    <w:rsid w:val="00AE5CF5"/>
    <w:rsid w:val="00AF10F4"/>
    <w:rsid w:val="00AF1463"/>
    <w:rsid w:val="00AF2529"/>
    <w:rsid w:val="00AF3E07"/>
    <w:rsid w:val="00AF4AF1"/>
    <w:rsid w:val="00AF588D"/>
    <w:rsid w:val="00AF75FA"/>
    <w:rsid w:val="00AF75FE"/>
    <w:rsid w:val="00B0001F"/>
    <w:rsid w:val="00B0099A"/>
    <w:rsid w:val="00B00A71"/>
    <w:rsid w:val="00B0106B"/>
    <w:rsid w:val="00B01FA1"/>
    <w:rsid w:val="00B02816"/>
    <w:rsid w:val="00B03C08"/>
    <w:rsid w:val="00B04D72"/>
    <w:rsid w:val="00B052B3"/>
    <w:rsid w:val="00B062B9"/>
    <w:rsid w:val="00B07C58"/>
    <w:rsid w:val="00B1071F"/>
    <w:rsid w:val="00B109D5"/>
    <w:rsid w:val="00B1402B"/>
    <w:rsid w:val="00B150C8"/>
    <w:rsid w:val="00B1599A"/>
    <w:rsid w:val="00B16A68"/>
    <w:rsid w:val="00B179F5"/>
    <w:rsid w:val="00B20E6A"/>
    <w:rsid w:val="00B22778"/>
    <w:rsid w:val="00B2297D"/>
    <w:rsid w:val="00B2520A"/>
    <w:rsid w:val="00B25333"/>
    <w:rsid w:val="00B25E6F"/>
    <w:rsid w:val="00B263C6"/>
    <w:rsid w:val="00B264B6"/>
    <w:rsid w:val="00B27DF4"/>
    <w:rsid w:val="00B31F10"/>
    <w:rsid w:val="00B3299B"/>
    <w:rsid w:val="00B332DB"/>
    <w:rsid w:val="00B35800"/>
    <w:rsid w:val="00B36130"/>
    <w:rsid w:val="00B36435"/>
    <w:rsid w:val="00B4093C"/>
    <w:rsid w:val="00B41010"/>
    <w:rsid w:val="00B410BF"/>
    <w:rsid w:val="00B43638"/>
    <w:rsid w:val="00B43816"/>
    <w:rsid w:val="00B43A79"/>
    <w:rsid w:val="00B43D07"/>
    <w:rsid w:val="00B475E7"/>
    <w:rsid w:val="00B50034"/>
    <w:rsid w:val="00B50FA0"/>
    <w:rsid w:val="00B510C2"/>
    <w:rsid w:val="00B514C8"/>
    <w:rsid w:val="00B568A2"/>
    <w:rsid w:val="00B571C6"/>
    <w:rsid w:val="00B574B7"/>
    <w:rsid w:val="00B601F9"/>
    <w:rsid w:val="00B61D2D"/>
    <w:rsid w:val="00B6236E"/>
    <w:rsid w:val="00B62F13"/>
    <w:rsid w:val="00B632A6"/>
    <w:rsid w:val="00B6362C"/>
    <w:rsid w:val="00B64BE3"/>
    <w:rsid w:val="00B6528F"/>
    <w:rsid w:val="00B655F5"/>
    <w:rsid w:val="00B66749"/>
    <w:rsid w:val="00B70555"/>
    <w:rsid w:val="00B7369C"/>
    <w:rsid w:val="00B75CA4"/>
    <w:rsid w:val="00B75F82"/>
    <w:rsid w:val="00B821AA"/>
    <w:rsid w:val="00B8221A"/>
    <w:rsid w:val="00B82AF5"/>
    <w:rsid w:val="00B853AA"/>
    <w:rsid w:val="00B8576E"/>
    <w:rsid w:val="00B85B1E"/>
    <w:rsid w:val="00B85CC8"/>
    <w:rsid w:val="00B863C9"/>
    <w:rsid w:val="00B8709A"/>
    <w:rsid w:val="00B872B8"/>
    <w:rsid w:val="00B9089D"/>
    <w:rsid w:val="00B90C40"/>
    <w:rsid w:val="00B925C6"/>
    <w:rsid w:val="00B9281C"/>
    <w:rsid w:val="00B95025"/>
    <w:rsid w:val="00BA1204"/>
    <w:rsid w:val="00BA206F"/>
    <w:rsid w:val="00BA28AE"/>
    <w:rsid w:val="00BA3018"/>
    <w:rsid w:val="00BA4A72"/>
    <w:rsid w:val="00BA5154"/>
    <w:rsid w:val="00BA6975"/>
    <w:rsid w:val="00BA6D0A"/>
    <w:rsid w:val="00BA7B8E"/>
    <w:rsid w:val="00BB045E"/>
    <w:rsid w:val="00BB0B83"/>
    <w:rsid w:val="00BB1484"/>
    <w:rsid w:val="00BB2A31"/>
    <w:rsid w:val="00BB33DC"/>
    <w:rsid w:val="00BB3B7D"/>
    <w:rsid w:val="00BB5CA6"/>
    <w:rsid w:val="00BB6FD7"/>
    <w:rsid w:val="00BB7433"/>
    <w:rsid w:val="00BB79A3"/>
    <w:rsid w:val="00BC1218"/>
    <w:rsid w:val="00BC3E9A"/>
    <w:rsid w:val="00BC4D65"/>
    <w:rsid w:val="00BC515C"/>
    <w:rsid w:val="00BC5196"/>
    <w:rsid w:val="00BC6B4D"/>
    <w:rsid w:val="00BC7095"/>
    <w:rsid w:val="00BC78DE"/>
    <w:rsid w:val="00BD0744"/>
    <w:rsid w:val="00BD430A"/>
    <w:rsid w:val="00BD503B"/>
    <w:rsid w:val="00BD5270"/>
    <w:rsid w:val="00BD6508"/>
    <w:rsid w:val="00BD7EAA"/>
    <w:rsid w:val="00BE003F"/>
    <w:rsid w:val="00BE0231"/>
    <w:rsid w:val="00BE1303"/>
    <w:rsid w:val="00BE2B7C"/>
    <w:rsid w:val="00BE3734"/>
    <w:rsid w:val="00BE44ED"/>
    <w:rsid w:val="00BE475C"/>
    <w:rsid w:val="00BE5D67"/>
    <w:rsid w:val="00BE6C5C"/>
    <w:rsid w:val="00BE77D5"/>
    <w:rsid w:val="00BF149E"/>
    <w:rsid w:val="00C0073F"/>
    <w:rsid w:val="00C00C83"/>
    <w:rsid w:val="00C0190F"/>
    <w:rsid w:val="00C020CE"/>
    <w:rsid w:val="00C02448"/>
    <w:rsid w:val="00C025A3"/>
    <w:rsid w:val="00C02A14"/>
    <w:rsid w:val="00C02F01"/>
    <w:rsid w:val="00C02FFB"/>
    <w:rsid w:val="00C036A3"/>
    <w:rsid w:val="00C05A18"/>
    <w:rsid w:val="00C05B15"/>
    <w:rsid w:val="00C07A5F"/>
    <w:rsid w:val="00C10CCB"/>
    <w:rsid w:val="00C120C9"/>
    <w:rsid w:val="00C12584"/>
    <w:rsid w:val="00C142FE"/>
    <w:rsid w:val="00C16F15"/>
    <w:rsid w:val="00C17167"/>
    <w:rsid w:val="00C174E8"/>
    <w:rsid w:val="00C17653"/>
    <w:rsid w:val="00C20486"/>
    <w:rsid w:val="00C209D6"/>
    <w:rsid w:val="00C20D7B"/>
    <w:rsid w:val="00C21E7D"/>
    <w:rsid w:val="00C234DE"/>
    <w:rsid w:val="00C256ED"/>
    <w:rsid w:val="00C268CA"/>
    <w:rsid w:val="00C2697A"/>
    <w:rsid w:val="00C26BF8"/>
    <w:rsid w:val="00C27BBF"/>
    <w:rsid w:val="00C30396"/>
    <w:rsid w:val="00C330CF"/>
    <w:rsid w:val="00C33E9D"/>
    <w:rsid w:val="00C3611B"/>
    <w:rsid w:val="00C41AA7"/>
    <w:rsid w:val="00C4231E"/>
    <w:rsid w:val="00C43FE3"/>
    <w:rsid w:val="00C4462B"/>
    <w:rsid w:val="00C44BF7"/>
    <w:rsid w:val="00C460EA"/>
    <w:rsid w:val="00C46991"/>
    <w:rsid w:val="00C46ED8"/>
    <w:rsid w:val="00C46FE6"/>
    <w:rsid w:val="00C47BAA"/>
    <w:rsid w:val="00C505E3"/>
    <w:rsid w:val="00C507C6"/>
    <w:rsid w:val="00C5244F"/>
    <w:rsid w:val="00C534B8"/>
    <w:rsid w:val="00C55048"/>
    <w:rsid w:val="00C5692B"/>
    <w:rsid w:val="00C56FA2"/>
    <w:rsid w:val="00C57604"/>
    <w:rsid w:val="00C609EE"/>
    <w:rsid w:val="00C61CB9"/>
    <w:rsid w:val="00C61FE5"/>
    <w:rsid w:val="00C63294"/>
    <w:rsid w:val="00C633F5"/>
    <w:rsid w:val="00C64663"/>
    <w:rsid w:val="00C6596E"/>
    <w:rsid w:val="00C664EC"/>
    <w:rsid w:val="00C666DC"/>
    <w:rsid w:val="00C66E35"/>
    <w:rsid w:val="00C70B73"/>
    <w:rsid w:val="00C72060"/>
    <w:rsid w:val="00C72360"/>
    <w:rsid w:val="00C7248B"/>
    <w:rsid w:val="00C72DAC"/>
    <w:rsid w:val="00C73516"/>
    <w:rsid w:val="00C73C3D"/>
    <w:rsid w:val="00C73CCD"/>
    <w:rsid w:val="00C73D31"/>
    <w:rsid w:val="00C744F1"/>
    <w:rsid w:val="00C765B2"/>
    <w:rsid w:val="00C846BF"/>
    <w:rsid w:val="00C846CF"/>
    <w:rsid w:val="00C8749A"/>
    <w:rsid w:val="00C907E1"/>
    <w:rsid w:val="00C917BC"/>
    <w:rsid w:val="00C93019"/>
    <w:rsid w:val="00C931C1"/>
    <w:rsid w:val="00C9338C"/>
    <w:rsid w:val="00C94E85"/>
    <w:rsid w:val="00C94FDD"/>
    <w:rsid w:val="00CA016D"/>
    <w:rsid w:val="00CA02AA"/>
    <w:rsid w:val="00CA0ACA"/>
    <w:rsid w:val="00CA0DD9"/>
    <w:rsid w:val="00CA18F1"/>
    <w:rsid w:val="00CA1DD3"/>
    <w:rsid w:val="00CA360D"/>
    <w:rsid w:val="00CA5441"/>
    <w:rsid w:val="00CA5BBF"/>
    <w:rsid w:val="00CA5CF6"/>
    <w:rsid w:val="00CA60D5"/>
    <w:rsid w:val="00CB1198"/>
    <w:rsid w:val="00CB13D3"/>
    <w:rsid w:val="00CB1621"/>
    <w:rsid w:val="00CB22D7"/>
    <w:rsid w:val="00CB2A52"/>
    <w:rsid w:val="00CB490F"/>
    <w:rsid w:val="00CB599D"/>
    <w:rsid w:val="00CB5D8D"/>
    <w:rsid w:val="00CB60C2"/>
    <w:rsid w:val="00CC19F4"/>
    <w:rsid w:val="00CC2DF6"/>
    <w:rsid w:val="00CC3542"/>
    <w:rsid w:val="00CC3FF3"/>
    <w:rsid w:val="00CC6AFF"/>
    <w:rsid w:val="00CD15F1"/>
    <w:rsid w:val="00CD16F9"/>
    <w:rsid w:val="00CD3756"/>
    <w:rsid w:val="00CD3992"/>
    <w:rsid w:val="00CD4F1C"/>
    <w:rsid w:val="00CD5834"/>
    <w:rsid w:val="00CD5A17"/>
    <w:rsid w:val="00CD73EB"/>
    <w:rsid w:val="00CD7A7C"/>
    <w:rsid w:val="00CD7CBC"/>
    <w:rsid w:val="00CE2CBD"/>
    <w:rsid w:val="00CE4C27"/>
    <w:rsid w:val="00CE5EED"/>
    <w:rsid w:val="00CF0F3B"/>
    <w:rsid w:val="00CF3C91"/>
    <w:rsid w:val="00CF4F8B"/>
    <w:rsid w:val="00CF5A58"/>
    <w:rsid w:val="00CF5F53"/>
    <w:rsid w:val="00CF6D5A"/>
    <w:rsid w:val="00CF7081"/>
    <w:rsid w:val="00CF7451"/>
    <w:rsid w:val="00CF7B8B"/>
    <w:rsid w:val="00D0017C"/>
    <w:rsid w:val="00D01C67"/>
    <w:rsid w:val="00D029F4"/>
    <w:rsid w:val="00D04616"/>
    <w:rsid w:val="00D04620"/>
    <w:rsid w:val="00D0462D"/>
    <w:rsid w:val="00D06163"/>
    <w:rsid w:val="00D0680E"/>
    <w:rsid w:val="00D109A4"/>
    <w:rsid w:val="00D11475"/>
    <w:rsid w:val="00D12CB8"/>
    <w:rsid w:val="00D13840"/>
    <w:rsid w:val="00D157A0"/>
    <w:rsid w:val="00D15CF8"/>
    <w:rsid w:val="00D16218"/>
    <w:rsid w:val="00D21056"/>
    <w:rsid w:val="00D21C49"/>
    <w:rsid w:val="00D26196"/>
    <w:rsid w:val="00D31AEF"/>
    <w:rsid w:val="00D32EF6"/>
    <w:rsid w:val="00D34356"/>
    <w:rsid w:val="00D34E81"/>
    <w:rsid w:val="00D3567C"/>
    <w:rsid w:val="00D35B0D"/>
    <w:rsid w:val="00D401D3"/>
    <w:rsid w:val="00D4169A"/>
    <w:rsid w:val="00D41F2B"/>
    <w:rsid w:val="00D45AA0"/>
    <w:rsid w:val="00D47F3C"/>
    <w:rsid w:val="00D519DB"/>
    <w:rsid w:val="00D526CD"/>
    <w:rsid w:val="00D5333F"/>
    <w:rsid w:val="00D55ED1"/>
    <w:rsid w:val="00D57D73"/>
    <w:rsid w:val="00D60262"/>
    <w:rsid w:val="00D61E76"/>
    <w:rsid w:val="00D63D60"/>
    <w:rsid w:val="00D64BC8"/>
    <w:rsid w:val="00D653D3"/>
    <w:rsid w:val="00D70951"/>
    <w:rsid w:val="00D714F4"/>
    <w:rsid w:val="00D7269E"/>
    <w:rsid w:val="00D758DE"/>
    <w:rsid w:val="00D76BF9"/>
    <w:rsid w:val="00D8059E"/>
    <w:rsid w:val="00D81835"/>
    <w:rsid w:val="00D8333F"/>
    <w:rsid w:val="00D83BCB"/>
    <w:rsid w:val="00D867FD"/>
    <w:rsid w:val="00D86DA6"/>
    <w:rsid w:val="00D87ADB"/>
    <w:rsid w:val="00D90F8A"/>
    <w:rsid w:val="00D92DF6"/>
    <w:rsid w:val="00D94623"/>
    <w:rsid w:val="00D962F6"/>
    <w:rsid w:val="00D96671"/>
    <w:rsid w:val="00DA24BC"/>
    <w:rsid w:val="00DA3205"/>
    <w:rsid w:val="00DA3449"/>
    <w:rsid w:val="00DA5ABF"/>
    <w:rsid w:val="00DA63AD"/>
    <w:rsid w:val="00DA733C"/>
    <w:rsid w:val="00DB0BC8"/>
    <w:rsid w:val="00DB44B7"/>
    <w:rsid w:val="00DB4575"/>
    <w:rsid w:val="00DB4CF0"/>
    <w:rsid w:val="00DB73AD"/>
    <w:rsid w:val="00DB7CA6"/>
    <w:rsid w:val="00DC030B"/>
    <w:rsid w:val="00DC049E"/>
    <w:rsid w:val="00DC1316"/>
    <w:rsid w:val="00DC1808"/>
    <w:rsid w:val="00DC29EC"/>
    <w:rsid w:val="00DC342A"/>
    <w:rsid w:val="00DC5627"/>
    <w:rsid w:val="00DC56C3"/>
    <w:rsid w:val="00DC5F6B"/>
    <w:rsid w:val="00DD0F07"/>
    <w:rsid w:val="00DD2ADC"/>
    <w:rsid w:val="00DD2FF9"/>
    <w:rsid w:val="00DD4BF2"/>
    <w:rsid w:val="00DD7407"/>
    <w:rsid w:val="00DE05C5"/>
    <w:rsid w:val="00DE088F"/>
    <w:rsid w:val="00DE0A07"/>
    <w:rsid w:val="00DE15A1"/>
    <w:rsid w:val="00DE170E"/>
    <w:rsid w:val="00DE2709"/>
    <w:rsid w:val="00DE2BE6"/>
    <w:rsid w:val="00DE41B4"/>
    <w:rsid w:val="00DE652B"/>
    <w:rsid w:val="00DE697B"/>
    <w:rsid w:val="00DE7FB5"/>
    <w:rsid w:val="00DF0448"/>
    <w:rsid w:val="00DF0C56"/>
    <w:rsid w:val="00DF10E6"/>
    <w:rsid w:val="00DF15A9"/>
    <w:rsid w:val="00DF2C9D"/>
    <w:rsid w:val="00DF2D2A"/>
    <w:rsid w:val="00DF370C"/>
    <w:rsid w:val="00DF53A7"/>
    <w:rsid w:val="00DF67F3"/>
    <w:rsid w:val="00DF6B0C"/>
    <w:rsid w:val="00DF716C"/>
    <w:rsid w:val="00E0100C"/>
    <w:rsid w:val="00E010AE"/>
    <w:rsid w:val="00E05D73"/>
    <w:rsid w:val="00E062DF"/>
    <w:rsid w:val="00E11220"/>
    <w:rsid w:val="00E137AB"/>
    <w:rsid w:val="00E1448F"/>
    <w:rsid w:val="00E20FFE"/>
    <w:rsid w:val="00E218A7"/>
    <w:rsid w:val="00E21A2F"/>
    <w:rsid w:val="00E2244E"/>
    <w:rsid w:val="00E227B2"/>
    <w:rsid w:val="00E238B2"/>
    <w:rsid w:val="00E241FB"/>
    <w:rsid w:val="00E25370"/>
    <w:rsid w:val="00E253B2"/>
    <w:rsid w:val="00E2553A"/>
    <w:rsid w:val="00E30895"/>
    <w:rsid w:val="00E315E8"/>
    <w:rsid w:val="00E329A5"/>
    <w:rsid w:val="00E33160"/>
    <w:rsid w:val="00E33901"/>
    <w:rsid w:val="00E33CF5"/>
    <w:rsid w:val="00E34F3F"/>
    <w:rsid w:val="00E34FBA"/>
    <w:rsid w:val="00E36E7C"/>
    <w:rsid w:val="00E37167"/>
    <w:rsid w:val="00E40573"/>
    <w:rsid w:val="00E417D5"/>
    <w:rsid w:val="00E45342"/>
    <w:rsid w:val="00E45588"/>
    <w:rsid w:val="00E456E5"/>
    <w:rsid w:val="00E51151"/>
    <w:rsid w:val="00E52502"/>
    <w:rsid w:val="00E53948"/>
    <w:rsid w:val="00E54774"/>
    <w:rsid w:val="00E5698B"/>
    <w:rsid w:val="00E60AFB"/>
    <w:rsid w:val="00E60EDA"/>
    <w:rsid w:val="00E65C71"/>
    <w:rsid w:val="00E711DE"/>
    <w:rsid w:val="00E74756"/>
    <w:rsid w:val="00E75B2E"/>
    <w:rsid w:val="00E77202"/>
    <w:rsid w:val="00E77361"/>
    <w:rsid w:val="00E8007A"/>
    <w:rsid w:val="00E803D9"/>
    <w:rsid w:val="00E82F3D"/>
    <w:rsid w:val="00E83C3D"/>
    <w:rsid w:val="00E84AC7"/>
    <w:rsid w:val="00E84DEE"/>
    <w:rsid w:val="00E85B75"/>
    <w:rsid w:val="00E91C6E"/>
    <w:rsid w:val="00E92EBA"/>
    <w:rsid w:val="00E93DB8"/>
    <w:rsid w:val="00E95346"/>
    <w:rsid w:val="00E9553A"/>
    <w:rsid w:val="00E97292"/>
    <w:rsid w:val="00EA1258"/>
    <w:rsid w:val="00EA1E02"/>
    <w:rsid w:val="00EA2D2F"/>
    <w:rsid w:val="00EA48BD"/>
    <w:rsid w:val="00EA5049"/>
    <w:rsid w:val="00EA6806"/>
    <w:rsid w:val="00EA6EB6"/>
    <w:rsid w:val="00EB1674"/>
    <w:rsid w:val="00EB1BE5"/>
    <w:rsid w:val="00EB2738"/>
    <w:rsid w:val="00EB57C6"/>
    <w:rsid w:val="00EB58E6"/>
    <w:rsid w:val="00EB6C08"/>
    <w:rsid w:val="00EB6F57"/>
    <w:rsid w:val="00EB7155"/>
    <w:rsid w:val="00EB7327"/>
    <w:rsid w:val="00EB77D6"/>
    <w:rsid w:val="00EC261F"/>
    <w:rsid w:val="00EC29C2"/>
    <w:rsid w:val="00EC3BD7"/>
    <w:rsid w:val="00EC4B36"/>
    <w:rsid w:val="00EC4BA8"/>
    <w:rsid w:val="00EC4D50"/>
    <w:rsid w:val="00EC54C4"/>
    <w:rsid w:val="00EC598E"/>
    <w:rsid w:val="00EC5A92"/>
    <w:rsid w:val="00EC5FA3"/>
    <w:rsid w:val="00EC6006"/>
    <w:rsid w:val="00EC6011"/>
    <w:rsid w:val="00EC6F82"/>
    <w:rsid w:val="00ED2418"/>
    <w:rsid w:val="00ED2DD3"/>
    <w:rsid w:val="00ED4D1B"/>
    <w:rsid w:val="00ED4EE3"/>
    <w:rsid w:val="00ED56F7"/>
    <w:rsid w:val="00ED6A1C"/>
    <w:rsid w:val="00EE014A"/>
    <w:rsid w:val="00EE2524"/>
    <w:rsid w:val="00EE3177"/>
    <w:rsid w:val="00EE3281"/>
    <w:rsid w:val="00EE41CE"/>
    <w:rsid w:val="00EE4314"/>
    <w:rsid w:val="00EE439D"/>
    <w:rsid w:val="00EE56A6"/>
    <w:rsid w:val="00EE5E6C"/>
    <w:rsid w:val="00EE61A9"/>
    <w:rsid w:val="00EE68C0"/>
    <w:rsid w:val="00EE7DDB"/>
    <w:rsid w:val="00EF0882"/>
    <w:rsid w:val="00EF0B0A"/>
    <w:rsid w:val="00EF1270"/>
    <w:rsid w:val="00EF1F09"/>
    <w:rsid w:val="00EF2B3C"/>
    <w:rsid w:val="00EF637C"/>
    <w:rsid w:val="00EF7A33"/>
    <w:rsid w:val="00F012A8"/>
    <w:rsid w:val="00F0199F"/>
    <w:rsid w:val="00F02CC3"/>
    <w:rsid w:val="00F04692"/>
    <w:rsid w:val="00F06E54"/>
    <w:rsid w:val="00F079A4"/>
    <w:rsid w:val="00F1122F"/>
    <w:rsid w:val="00F112FD"/>
    <w:rsid w:val="00F1277A"/>
    <w:rsid w:val="00F12F61"/>
    <w:rsid w:val="00F15693"/>
    <w:rsid w:val="00F173CB"/>
    <w:rsid w:val="00F173F2"/>
    <w:rsid w:val="00F21EFF"/>
    <w:rsid w:val="00F21F36"/>
    <w:rsid w:val="00F22E3B"/>
    <w:rsid w:val="00F2527F"/>
    <w:rsid w:val="00F253DB"/>
    <w:rsid w:val="00F256BE"/>
    <w:rsid w:val="00F27F00"/>
    <w:rsid w:val="00F306D1"/>
    <w:rsid w:val="00F34535"/>
    <w:rsid w:val="00F36787"/>
    <w:rsid w:val="00F4319D"/>
    <w:rsid w:val="00F43732"/>
    <w:rsid w:val="00F43835"/>
    <w:rsid w:val="00F447E9"/>
    <w:rsid w:val="00F44E19"/>
    <w:rsid w:val="00F52595"/>
    <w:rsid w:val="00F53D51"/>
    <w:rsid w:val="00F54740"/>
    <w:rsid w:val="00F54F71"/>
    <w:rsid w:val="00F570D9"/>
    <w:rsid w:val="00F57D17"/>
    <w:rsid w:val="00F61EC7"/>
    <w:rsid w:val="00F65224"/>
    <w:rsid w:val="00F654DB"/>
    <w:rsid w:val="00F65556"/>
    <w:rsid w:val="00F71AD5"/>
    <w:rsid w:val="00F72D5C"/>
    <w:rsid w:val="00F73238"/>
    <w:rsid w:val="00F74161"/>
    <w:rsid w:val="00F74611"/>
    <w:rsid w:val="00F75272"/>
    <w:rsid w:val="00F75C70"/>
    <w:rsid w:val="00F7708A"/>
    <w:rsid w:val="00F77514"/>
    <w:rsid w:val="00F7777F"/>
    <w:rsid w:val="00F77A47"/>
    <w:rsid w:val="00F80BB3"/>
    <w:rsid w:val="00F81775"/>
    <w:rsid w:val="00F8356E"/>
    <w:rsid w:val="00F86F56"/>
    <w:rsid w:val="00F871A3"/>
    <w:rsid w:val="00F90B71"/>
    <w:rsid w:val="00F90EE8"/>
    <w:rsid w:val="00F91ABD"/>
    <w:rsid w:val="00F92E97"/>
    <w:rsid w:val="00F93887"/>
    <w:rsid w:val="00F93AA4"/>
    <w:rsid w:val="00F93B37"/>
    <w:rsid w:val="00F95D17"/>
    <w:rsid w:val="00FA1491"/>
    <w:rsid w:val="00FA1DEF"/>
    <w:rsid w:val="00FA2600"/>
    <w:rsid w:val="00FA2DB6"/>
    <w:rsid w:val="00FA49A0"/>
    <w:rsid w:val="00FA5116"/>
    <w:rsid w:val="00FA653B"/>
    <w:rsid w:val="00FA7387"/>
    <w:rsid w:val="00FA752E"/>
    <w:rsid w:val="00FB1F86"/>
    <w:rsid w:val="00FB2F04"/>
    <w:rsid w:val="00FB3CF9"/>
    <w:rsid w:val="00FB4414"/>
    <w:rsid w:val="00FB65A1"/>
    <w:rsid w:val="00FC00EE"/>
    <w:rsid w:val="00FC048F"/>
    <w:rsid w:val="00FC1E7F"/>
    <w:rsid w:val="00FC1F26"/>
    <w:rsid w:val="00FC2C9C"/>
    <w:rsid w:val="00FC3ABB"/>
    <w:rsid w:val="00FC4E33"/>
    <w:rsid w:val="00FC61DA"/>
    <w:rsid w:val="00FC6E55"/>
    <w:rsid w:val="00FD04EA"/>
    <w:rsid w:val="00FD07E6"/>
    <w:rsid w:val="00FD08EA"/>
    <w:rsid w:val="00FD4732"/>
    <w:rsid w:val="00FD5442"/>
    <w:rsid w:val="00FE0C5F"/>
    <w:rsid w:val="00FE1BBF"/>
    <w:rsid w:val="00FE277F"/>
    <w:rsid w:val="00FE4734"/>
    <w:rsid w:val="00FE4822"/>
    <w:rsid w:val="00FE5006"/>
    <w:rsid w:val="00FE5159"/>
    <w:rsid w:val="00FE5C2B"/>
    <w:rsid w:val="00FE600E"/>
    <w:rsid w:val="00FE6AFE"/>
    <w:rsid w:val="00FE7CBA"/>
    <w:rsid w:val="00FF0137"/>
    <w:rsid w:val="00FF1B40"/>
    <w:rsid w:val="00FF2021"/>
    <w:rsid w:val="00FF4745"/>
    <w:rsid w:val="00FF4BF0"/>
    <w:rsid w:val="00FF76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29697"/>
    <o:shapelayout v:ext="edit">
      <o:idmap v:ext="edit" data="1"/>
    </o:shapelayout>
  </w:shapeDefaults>
  <w:decimalSymbol w:val="."/>
  <w:listSeparator w:val=","/>
  <w14:docId w14:val="2F6AF053"/>
  <w15:chartTrackingRefBased/>
  <w15:docId w15:val="{5F157B7D-36A1-4221-BD17-4BA3CE18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4B8"/>
    <w:pPr>
      <w:tabs>
        <w:tab w:val="left" w:pos="567"/>
      </w:tabs>
      <w:spacing w:line="260" w:lineRule="exact"/>
    </w:pPr>
    <w:rPr>
      <w:sz w:val="22"/>
      <w:lang w:eastAsia="en-US"/>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pacing w:line="240" w:lineRule="auto"/>
    </w:pPr>
    <w:rPr>
      <w:rFonts w:ascii="Helvetica" w:hAnsi="Helvetica"/>
      <w:sz w:val="20"/>
    </w:rPr>
  </w:style>
  <w:style w:type="paragraph" w:styleId="Footer">
    <w:name w:val="footer"/>
    <w:basedOn w:val="Normal"/>
    <w:pPr>
      <w:tabs>
        <w:tab w:val="center" w:pos="4536"/>
        <w:tab w:val="center" w:pos="8930"/>
      </w:tabs>
      <w:spacing w:line="240" w:lineRule="auto"/>
    </w:pPr>
    <w:rPr>
      <w:rFonts w:ascii="Helvetica" w:hAnsi="Helvetica"/>
      <w:sz w:val="16"/>
    </w:rPr>
  </w:style>
  <w:style w:type="character" w:styleId="PageNumber">
    <w:name w:val="page number"/>
    <w:basedOn w:val="DefaultParagraphFont"/>
  </w:style>
  <w:style w:type="paragraph" w:styleId="EndnoteText">
    <w:name w:val="endnote text"/>
    <w:aliases w:val=" Char Char"/>
    <w:basedOn w:val="Normal"/>
    <w:link w:val="EndnoteTextChar"/>
    <w:semiHidden/>
    <w:pPr>
      <w:spacing w:line="240" w:lineRule="auto"/>
    </w:pPr>
  </w:style>
  <w:style w:type="character" w:styleId="EndnoteReference">
    <w:name w:val="endnote reference"/>
    <w:semiHidden/>
    <w:rPr>
      <w:vertAlign w:val="superscript"/>
    </w:rPr>
  </w:style>
  <w:style w:type="character" w:styleId="CommentReference">
    <w:name w:val="annotation reference"/>
    <w:semiHidden/>
    <w:rPr>
      <w:sz w:val="16"/>
    </w:rPr>
  </w:style>
  <w:style w:type="paragraph" w:styleId="CommentText">
    <w:name w:val="annotation text"/>
    <w:basedOn w:val="Normal"/>
    <w:link w:val="CommentTextChar"/>
    <w:uiPriority w:val="99"/>
    <w:rPr>
      <w:sz w:val="20"/>
    </w:rPr>
  </w:style>
  <w:style w:type="paragraph" w:styleId="BodyText2">
    <w:name w:val="Body Text 2"/>
    <w:basedOn w:val="Normal"/>
    <w:pPr>
      <w:tabs>
        <w:tab w:val="clear" w:pos="567"/>
      </w:tabs>
      <w:spacing w:line="240" w:lineRule="auto"/>
      <w:ind w:left="567" w:hanging="567"/>
    </w:pPr>
    <w:rPr>
      <w:b/>
    </w:rPr>
  </w:style>
  <w:style w:type="paragraph" w:styleId="BodyText">
    <w:name w:val="Body Text"/>
    <w:basedOn w:val="Normal"/>
    <w:rPr>
      <w:b/>
      <w:i/>
    </w:rPr>
  </w:style>
  <w:style w:type="paragraph" w:styleId="BodyText3">
    <w:name w:val="Body Text 3"/>
    <w:basedOn w:val="Normal"/>
    <w:pPr>
      <w:jc w:val="both"/>
    </w:pPr>
    <w:rPr>
      <w:b/>
      <w:i/>
    </w:rPr>
  </w:style>
  <w:style w:type="paragraph" w:styleId="BodyTextIndent2">
    <w:name w:val="Body Text Indent 2"/>
    <w:basedOn w:val="Normal"/>
    <w:pPr>
      <w:ind w:left="567" w:hanging="567"/>
      <w:jc w:val="both"/>
    </w:pPr>
    <w:rPr>
      <w:b/>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3">
    <w:name w:val="Body Text Indent 3"/>
    <w:basedOn w:val="Normal"/>
    <w:pPr>
      <w:ind w:left="567" w:hanging="567"/>
    </w:pPr>
    <w:rPr>
      <w:i/>
      <w:color w:val="008000"/>
    </w:rPr>
  </w:style>
  <w:style w:type="paragraph" w:styleId="BlockText">
    <w:name w:val="Block Text"/>
    <w:basedOn w:val="Normal"/>
    <w:pPr>
      <w:tabs>
        <w:tab w:val="clear" w:pos="567"/>
        <w:tab w:val="left" w:pos="2657"/>
      </w:tabs>
      <w:spacing w:before="120" w:line="240" w:lineRule="auto"/>
      <w:ind w:left="-37" w:right="-28"/>
    </w:pPr>
  </w:style>
  <w:style w:type="paragraph" w:styleId="BodyTextIndent">
    <w:name w:val="Body Text Indent"/>
    <w:basedOn w:val="Normal"/>
    <w:pPr>
      <w:tabs>
        <w:tab w:val="clear" w:pos="567"/>
      </w:tabs>
      <w:spacing w:line="240" w:lineRule="auto"/>
      <w:ind w:left="567" w:hanging="567"/>
    </w:pPr>
    <w:rPr>
      <w:b/>
      <w:color w:val="80808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ext">
    <w:name w:val="Text"/>
    <w:basedOn w:val="Normal"/>
    <w:pPr>
      <w:tabs>
        <w:tab w:val="clear" w:pos="567"/>
      </w:tabs>
      <w:spacing w:before="120" w:line="240" w:lineRule="auto"/>
      <w:jc w:val="both"/>
    </w:pPr>
    <w:rPr>
      <w:sz w:val="24"/>
      <w:lang w:val="en-US"/>
    </w:rPr>
  </w:style>
  <w:style w:type="paragraph" w:customStyle="1" w:styleId="Table">
    <w:name w:val="Table"/>
    <w:basedOn w:val="Normal"/>
    <w:pPr>
      <w:keepNext/>
      <w:keepLines/>
      <w:tabs>
        <w:tab w:val="clear" w:pos="567"/>
        <w:tab w:val="left" w:pos="284"/>
      </w:tabs>
      <w:spacing w:before="40" w:after="20" w:line="240" w:lineRule="auto"/>
    </w:pPr>
    <w:rPr>
      <w:rFonts w:ascii="Arial" w:hAnsi="Arial"/>
      <w:sz w:val="20"/>
      <w:lang w:val="en-US"/>
    </w:rPr>
  </w:style>
  <w:style w:type="paragraph" w:customStyle="1" w:styleId="Listlevel2">
    <w:name w:val="List level 2"/>
    <w:basedOn w:val="Normal"/>
    <w:pPr>
      <w:tabs>
        <w:tab w:val="clear" w:pos="567"/>
      </w:tabs>
      <w:spacing w:before="40" w:after="20" w:line="240" w:lineRule="auto"/>
      <w:ind w:left="850" w:hanging="425"/>
    </w:pPr>
    <w:rPr>
      <w:sz w:val="24"/>
      <w:lang w:val="en-US"/>
    </w:rPr>
  </w:style>
  <w:style w:type="paragraph" w:customStyle="1" w:styleId="Listlevel1">
    <w:name w:val="List level 1"/>
    <w:basedOn w:val="Normal"/>
    <w:pPr>
      <w:tabs>
        <w:tab w:val="clear" w:pos="567"/>
      </w:tabs>
      <w:spacing w:before="40" w:after="20" w:line="240" w:lineRule="auto"/>
      <w:ind w:left="425" w:hanging="425"/>
    </w:pPr>
    <w:rPr>
      <w:sz w:val="24"/>
      <w:lang w:val="en-US"/>
    </w:rPr>
  </w:style>
  <w:style w:type="paragraph" w:customStyle="1" w:styleId="Authors">
    <w:name w:val="Authors"/>
    <w:basedOn w:val="Normal"/>
    <w:pPr>
      <w:keepNext/>
      <w:tabs>
        <w:tab w:val="clear" w:pos="567"/>
        <w:tab w:val="left" w:pos="2268"/>
      </w:tabs>
      <w:spacing w:before="240" w:line="240" w:lineRule="auto"/>
    </w:pPr>
    <w:rPr>
      <w:rFonts w:ascii="Arial" w:hAnsi="Arial"/>
      <w:lang w:val="en-US"/>
    </w:rPr>
  </w:style>
  <w:style w:type="paragraph" w:customStyle="1" w:styleId="Releasedate">
    <w:name w:val="Releasedate"/>
    <w:basedOn w:val="Normal"/>
    <w:pPr>
      <w:keepNext/>
      <w:tabs>
        <w:tab w:val="clear" w:pos="567"/>
      </w:tabs>
      <w:spacing w:before="240" w:line="240" w:lineRule="auto"/>
    </w:pPr>
    <w:rPr>
      <w:rFonts w:ascii="Arial" w:hAnsi="Arial"/>
    </w:rPr>
  </w:style>
  <w:style w:type="paragraph" w:styleId="TOC6">
    <w:name w:val="toc 6"/>
    <w:basedOn w:val="Normal"/>
    <w:autoRedefine/>
    <w:semiHidden/>
    <w:rsid w:val="005F4AEF"/>
    <w:pPr>
      <w:tabs>
        <w:tab w:val="clear" w:pos="567"/>
        <w:tab w:val="right" w:leader="dot" w:pos="9061"/>
      </w:tabs>
      <w:spacing w:line="240" w:lineRule="auto"/>
      <w:ind w:right="227"/>
    </w:pPr>
    <w:rPr>
      <w:noProof/>
      <w:szCs w:val="22"/>
      <w:u w:val="single"/>
      <w:lang w:val="et-EE"/>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BodyText21">
    <w:name w:val="Body Text 21"/>
    <w:basedOn w:val="Normal"/>
    <w:pPr>
      <w:tabs>
        <w:tab w:val="clear" w:pos="567"/>
      </w:tabs>
      <w:spacing w:line="240" w:lineRule="auto"/>
      <w:ind w:left="567" w:hanging="567"/>
    </w:pPr>
    <w:rPr>
      <w:b/>
      <w:color w:val="808080"/>
    </w:rPr>
  </w:style>
  <w:style w:type="character" w:customStyle="1" w:styleId="TextChar">
    <w:name w:val="Text Char"/>
    <w:rPr>
      <w:sz w:val="24"/>
      <w:lang w:val="en-US" w:eastAsia="en-US" w:bidi="ar-SA"/>
    </w:rPr>
  </w:style>
  <w:style w:type="character" w:customStyle="1" w:styleId="TableChar">
    <w:name w:val="Table Char"/>
    <w:rPr>
      <w:rFonts w:ascii="Arial" w:hAnsi="Arial"/>
      <w:lang w:val="en-US" w:eastAsia="en-US" w:bidi="ar-SA"/>
    </w:rPr>
  </w:style>
  <w:style w:type="character" w:customStyle="1" w:styleId="Char">
    <w:name w:val="Char"/>
    <w:rPr>
      <w:sz w:val="22"/>
      <w:lang w:val="en-GB" w:eastAsia="en-US" w:bidi="ar-SA"/>
    </w:rPr>
  </w:style>
  <w:style w:type="table" w:styleId="TableGrid">
    <w:name w:val="Table Grid"/>
    <w:basedOn w:val="TableNormal"/>
    <w:rsid w:val="00DB73AD"/>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
    <w:name w:val="Char Char Char Char Char"/>
    <w:basedOn w:val="Normal"/>
    <w:rsid w:val="00556CBF"/>
    <w:pPr>
      <w:tabs>
        <w:tab w:val="clear" w:pos="567"/>
      </w:tabs>
      <w:spacing w:after="160" w:line="240" w:lineRule="exact"/>
    </w:pPr>
    <w:rPr>
      <w:rFonts w:ascii="Tahoma" w:hAnsi="Tahoma"/>
      <w:sz w:val="20"/>
      <w:lang w:val="en-US"/>
    </w:rPr>
  </w:style>
  <w:style w:type="paragraph" w:customStyle="1" w:styleId="Style">
    <w:name w:val="Style"/>
    <w:basedOn w:val="Normal"/>
    <w:rsid w:val="00184B56"/>
    <w:pPr>
      <w:tabs>
        <w:tab w:val="clear" w:pos="567"/>
      </w:tabs>
      <w:spacing w:after="160" w:line="240" w:lineRule="exact"/>
    </w:pPr>
    <w:rPr>
      <w:rFonts w:ascii="Verdana" w:hAnsi="Verdana" w:cs="Verdana"/>
      <w:sz w:val="20"/>
    </w:rPr>
  </w:style>
  <w:style w:type="character" w:customStyle="1" w:styleId="TextCharChar">
    <w:name w:val="Text Char Char"/>
    <w:rsid w:val="001F1664"/>
    <w:rPr>
      <w:rFonts w:eastAsia="SimSun"/>
      <w:sz w:val="24"/>
      <w:szCs w:val="24"/>
      <w:lang w:val="en-US" w:eastAsia="en-US" w:bidi="ar-SA"/>
    </w:rPr>
  </w:style>
  <w:style w:type="paragraph" w:customStyle="1" w:styleId="Default">
    <w:name w:val="Default"/>
    <w:rsid w:val="00CB599D"/>
    <w:pPr>
      <w:autoSpaceDE w:val="0"/>
      <w:autoSpaceDN w:val="0"/>
      <w:adjustRightInd w:val="0"/>
    </w:pPr>
    <w:rPr>
      <w:color w:val="000000"/>
      <w:sz w:val="24"/>
      <w:szCs w:val="24"/>
      <w:lang w:val="sl-SI" w:eastAsia="sl-SI"/>
    </w:rPr>
  </w:style>
  <w:style w:type="character" w:customStyle="1" w:styleId="EndnoteTextChar">
    <w:name w:val="Endnote Text Char"/>
    <w:aliases w:val=" Char Char Char"/>
    <w:link w:val="EndnoteText"/>
    <w:rsid w:val="00337CE0"/>
    <w:rPr>
      <w:sz w:val="22"/>
      <w:lang w:val="en-GB" w:eastAsia="en-US" w:bidi="ar-SA"/>
    </w:rPr>
  </w:style>
  <w:style w:type="paragraph" w:styleId="ListParagraph">
    <w:name w:val="List Paragraph"/>
    <w:basedOn w:val="Normal"/>
    <w:uiPriority w:val="34"/>
    <w:qFormat/>
    <w:rsid w:val="00DA3205"/>
    <w:pPr>
      <w:ind w:left="720"/>
    </w:pPr>
  </w:style>
  <w:style w:type="paragraph" w:styleId="Revision">
    <w:name w:val="Revision"/>
    <w:hidden/>
    <w:uiPriority w:val="99"/>
    <w:semiHidden/>
    <w:rsid w:val="00DA3205"/>
    <w:rPr>
      <w:sz w:val="22"/>
      <w:lang w:eastAsia="en-US"/>
    </w:rPr>
  </w:style>
  <w:style w:type="character" w:customStyle="1" w:styleId="CommentTextChar">
    <w:name w:val="Comment Text Char"/>
    <w:link w:val="CommentText"/>
    <w:uiPriority w:val="99"/>
    <w:rsid w:val="00140701"/>
    <w:rPr>
      <w:lang w:val="en-GB"/>
    </w:rPr>
  </w:style>
  <w:style w:type="paragraph" w:customStyle="1" w:styleId="BodytextAgency">
    <w:name w:val="Body text (Agency)"/>
    <w:basedOn w:val="Normal"/>
    <w:link w:val="BodytextAgencyChar"/>
    <w:qFormat/>
    <w:rsid w:val="0070547F"/>
    <w:pPr>
      <w:tabs>
        <w:tab w:val="clear" w:pos="567"/>
      </w:tabs>
      <w:spacing w:after="140" w:line="280" w:lineRule="atLeast"/>
    </w:pPr>
    <w:rPr>
      <w:rFonts w:ascii="Verdana" w:eastAsia="Verdana" w:hAnsi="Verdana"/>
      <w:sz w:val="18"/>
      <w:szCs w:val="18"/>
      <w:lang w:val="et-EE" w:eastAsia="et-EE" w:bidi="et-EE"/>
    </w:rPr>
  </w:style>
  <w:style w:type="paragraph" w:customStyle="1" w:styleId="DraftingNotesAgency">
    <w:name w:val="Drafting Notes (Agency)"/>
    <w:basedOn w:val="Normal"/>
    <w:next w:val="BodytextAgency"/>
    <w:link w:val="DraftingNotesAgencyChar"/>
    <w:rsid w:val="0070547F"/>
    <w:pPr>
      <w:tabs>
        <w:tab w:val="clear" w:pos="567"/>
      </w:tabs>
      <w:spacing w:after="140" w:line="280" w:lineRule="atLeast"/>
    </w:pPr>
    <w:rPr>
      <w:rFonts w:ascii="Courier New" w:eastAsia="Verdana" w:hAnsi="Courier New"/>
      <w:i/>
      <w:color w:val="339966"/>
      <w:szCs w:val="18"/>
      <w:lang w:val="et-EE" w:eastAsia="et-EE" w:bidi="et-EE"/>
    </w:rPr>
  </w:style>
  <w:style w:type="paragraph" w:customStyle="1" w:styleId="No-numheading3Agency">
    <w:name w:val="No-num heading 3 (Agency)"/>
    <w:basedOn w:val="Normal"/>
    <w:next w:val="BodytextAgency"/>
    <w:link w:val="No-numheading3AgencyChar"/>
    <w:rsid w:val="0070547F"/>
    <w:pPr>
      <w:keepNext/>
      <w:tabs>
        <w:tab w:val="clear" w:pos="567"/>
      </w:tabs>
      <w:spacing w:before="280" w:after="220" w:line="240" w:lineRule="auto"/>
      <w:outlineLvl w:val="2"/>
    </w:pPr>
    <w:rPr>
      <w:rFonts w:ascii="Verdana" w:eastAsia="Verdana" w:hAnsi="Verdana"/>
      <w:b/>
      <w:bCs/>
      <w:kern w:val="32"/>
      <w:szCs w:val="22"/>
      <w:lang w:val="et-EE" w:eastAsia="et-EE" w:bidi="et-EE"/>
    </w:rPr>
  </w:style>
  <w:style w:type="character" w:customStyle="1" w:styleId="DraftingNotesAgencyChar">
    <w:name w:val="Drafting Notes (Agency) Char"/>
    <w:link w:val="DraftingNotesAgency"/>
    <w:rsid w:val="0070547F"/>
    <w:rPr>
      <w:rFonts w:ascii="Courier New" w:eastAsia="Verdana" w:hAnsi="Courier New"/>
      <w:i/>
      <w:color w:val="339966"/>
      <w:sz w:val="22"/>
      <w:szCs w:val="18"/>
      <w:lang w:val="et-EE" w:eastAsia="et-EE" w:bidi="et-EE"/>
    </w:rPr>
  </w:style>
  <w:style w:type="character" w:customStyle="1" w:styleId="BodytextAgencyChar">
    <w:name w:val="Body text (Agency) Char"/>
    <w:link w:val="BodytextAgency"/>
    <w:rsid w:val="0070547F"/>
    <w:rPr>
      <w:rFonts w:ascii="Verdana" w:eastAsia="Verdana" w:hAnsi="Verdana"/>
      <w:sz w:val="18"/>
      <w:szCs w:val="18"/>
      <w:lang w:val="et-EE" w:eastAsia="et-EE" w:bidi="et-EE"/>
    </w:rPr>
  </w:style>
  <w:style w:type="character" w:customStyle="1" w:styleId="No-numheading3AgencyChar">
    <w:name w:val="No-num heading 3 (Agency) Char"/>
    <w:link w:val="No-numheading3Agency"/>
    <w:rsid w:val="0070547F"/>
    <w:rPr>
      <w:rFonts w:ascii="Verdana" w:eastAsia="Verdana" w:hAnsi="Verdana"/>
      <w:b/>
      <w:bCs/>
      <w:kern w:val="32"/>
      <w:sz w:val="22"/>
      <w:szCs w:val="22"/>
      <w:lang w:val="et-EE" w:eastAsia="et-EE" w:bidi="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F6AF9-78D6-4C4B-91F1-D25D0A361C0C}">
  <ds:schemaRefs>
    <ds:schemaRef ds:uri="http://purl.org/dc/terms/"/>
    <ds:schemaRef ds:uri="http://schemas.openxmlformats.org/package/2006/metadata/core-properties"/>
    <ds:schemaRef ds:uri="http://schemas.microsoft.com/office/2006/documentManagement/types"/>
    <ds:schemaRef ds:uri="e84aa060-13d4-4ddd-8d65-c3aafff2663b"/>
    <ds:schemaRef ds:uri="http://purl.org/dc/elements/1.1/"/>
    <ds:schemaRef ds:uri="http://schemas.microsoft.com/office/2006/metadata/properties"/>
    <ds:schemaRef ds:uri="08c21c09-beba-4072-8000-1dca26330969"/>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1F7FFC42-897B-44E9-A4AD-15BB78182CA7}"/>
</file>

<file path=customXml/itemProps3.xml><?xml version="1.0" encoding="utf-8"?>
<ds:datastoreItem xmlns:ds="http://schemas.openxmlformats.org/officeDocument/2006/customXml" ds:itemID="{1D1E278F-1BB8-4BF4-9E43-6F5F6E21BC17}">
  <ds:schemaRefs>
    <ds:schemaRef ds:uri="http://schemas.microsoft.com/sharepoint/v3/contenttype/forms"/>
  </ds:schemaRefs>
</ds:datastoreItem>
</file>

<file path=customXml/itemProps4.xml><?xml version="1.0" encoding="utf-8"?>
<ds:datastoreItem xmlns:ds="http://schemas.openxmlformats.org/officeDocument/2006/customXml" ds:itemID="{53D4A93C-E5B4-4964-8715-DB4EA7808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101</Pages>
  <Words>31963</Words>
  <Characters>232224</Characters>
  <Application>Microsoft Office Word</Application>
  <DocSecurity>0</DocSecurity>
  <Lines>1935</Lines>
  <Paragraphs>527</Paragraphs>
  <ScaleCrop>false</ScaleCrop>
  <HeadingPairs>
    <vt:vector size="2" baseType="variant">
      <vt:variant>
        <vt:lpstr>Title</vt:lpstr>
      </vt:variant>
      <vt:variant>
        <vt:i4>1</vt:i4>
      </vt:variant>
    </vt:vector>
  </HeadingPairs>
  <TitlesOfParts>
    <vt:vector size="1" baseType="lpstr">
      <vt:lpstr>Glivec, INN-imatinib</vt:lpstr>
    </vt:vector>
  </TitlesOfParts>
  <Company>Novartis</Company>
  <LinksUpToDate>false</LinksUpToDate>
  <CharactersWithSpaces>263660</CharactersWithSpaces>
  <SharedDoc>false</SharedDoc>
  <HLinks>
    <vt:vector size="36" baseType="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7</cp:revision>
  <cp:lastPrinted>2007-02-26T14:28:00Z</cp:lastPrinted>
  <dcterms:created xsi:type="dcterms:W3CDTF">2021-02-02T14:52:00Z</dcterms:created>
  <dcterms:modified xsi:type="dcterms:W3CDTF">2021-05-21T15:59:00Z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MSIP_Label_4929bff8-5b33-42aa-95d2-28f72e792cb0_Enabled">
    <vt:lpwstr>True</vt:lpwstr>
  </property>
  <property fmtid="{D5CDD505-2E9C-101B-9397-08002B2CF9AE}" pid="4" name="MSIP_Label_4929bff8-5b33-42aa-95d2-28f72e792cb0_SiteId">
    <vt:lpwstr>f35a6974-607f-47d4-82d7-ff31d7dc53a5</vt:lpwstr>
  </property>
  <property fmtid="{D5CDD505-2E9C-101B-9397-08002B2CF9AE}" pid="5" name="MSIP_Label_4929bff8-5b33-42aa-95d2-28f72e792cb0_SetDate">
    <vt:lpwstr>2020-02-26T09:26:26.9952269Z</vt:lpwstr>
  </property>
  <property fmtid="{D5CDD505-2E9C-101B-9397-08002B2CF9AE}" pid="6" name="MSIP_Label_4929bff8-5b33-42aa-95d2-28f72e792cb0_Name">
    <vt:lpwstr>Business Use Only</vt:lpwstr>
  </property>
  <property fmtid="{D5CDD505-2E9C-101B-9397-08002B2CF9AE}" pid="7" name="MSIP_Label_4929bff8-5b33-42aa-95d2-28f72e792cb0_ActionId">
    <vt:lpwstr>642cb062-651a-4ea0-8c17-bf59258f1456</vt:lpwstr>
  </property>
  <property fmtid="{D5CDD505-2E9C-101B-9397-08002B2CF9AE}" pid="8" name="MSIP_Label_4929bff8-5b33-42aa-95d2-28f72e792cb0_Extended_MSFT_Method">
    <vt:lpwstr>Automatic</vt:lpwstr>
  </property>
  <property fmtid="{D5CDD505-2E9C-101B-9397-08002B2CF9AE}" pid="9" name="Confidentiality">
    <vt:lpwstr>Business Use Only</vt:lpwstr>
  </property>
  <property fmtid="{D5CDD505-2E9C-101B-9397-08002B2CF9AE}" pid="10" name="MSIP_Label_0eea11ca-d417-4147-80ed-01a58412c458_Enabled">
    <vt:lpwstr>true</vt:lpwstr>
  </property>
  <property fmtid="{D5CDD505-2E9C-101B-9397-08002B2CF9AE}" pid="11" name="MSIP_Label_0eea11ca-d417-4147-80ed-01a58412c458_SetDate">
    <vt:lpwstr>2021-05-21T15:59:40Z</vt:lpwstr>
  </property>
  <property fmtid="{D5CDD505-2E9C-101B-9397-08002B2CF9AE}" pid="12" name="MSIP_Label_0eea11ca-d417-4147-80ed-01a58412c458_Method">
    <vt:lpwstr>Standard</vt:lpwstr>
  </property>
  <property fmtid="{D5CDD505-2E9C-101B-9397-08002B2CF9AE}" pid="13" name="MSIP_Label_0eea11ca-d417-4147-80ed-01a58412c458_Name">
    <vt:lpwstr>0eea11ca-d417-4147-80ed-01a58412c458</vt:lpwstr>
  </property>
  <property fmtid="{D5CDD505-2E9C-101B-9397-08002B2CF9AE}" pid="14" name="MSIP_Label_0eea11ca-d417-4147-80ed-01a58412c458_SiteId">
    <vt:lpwstr>bc9dc15c-61bc-4f03-b60b-e5b6d8922839</vt:lpwstr>
  </property>
  <property fmtid="{D5CDD505-2E9C-101B-9397-08002B2CF9AE}" pid="15" name="MSIP_Label_0eea11ca-d417-4147-80ed-01a58412c458_ActionId">
    <vt:lpwstr>6350b17b-949d-4c03-9d30-98ef86598e68</vt:lpwstr>
  </property>
  <property fmtid="{D5CDD505-2E9C-101B-9397-08002B2CF9AE}" pid="16" name="MSIP_Label_0eea11ca-d417-4147-80ed-01a58412c458_ContentBits">
    <vt:lpwstr>2</vt:lpwstr>
  </property>
</Properties>
</file>